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73CBC" w14:textId="6BBFBAE3" w:rsidR="004122D9" w:rsidRPr="00020DAD" w:rsidRDefault="00352E4F" w:rsidP="00092D79">
      <w:pPr>
        <w:pStyle w:val="Heading1"/>
      </w:pPr>
      <w:r w:rsidRPr="00020DAD">
        <w:t>S</w:t>
      </w:r>
      <w:r w:rsidR="003577A8" w:rsidRPr="00020DAD">
        <w:t>ide-effect expectations from COVID-19 vaccination</w:t>
      </w:r>
      <w:r w:rsidR="00334C6D" w:rsidRPr="00020DAD">
        <w:t xml:space="preserve">: </w:t>
      </w:r>
      <w:r w:rsidR="000D10BA" w:rsidRPr="00020DAD">
        <w:t xml:space="preserve">findings from </w:t>
      </w:r>
      <w:r w:rsidR="000B3337" w:rsidRPr="00020DAD">
        <w:t xml:space="preserve">a </w:t>
      </w:r>
      <w:r w:rsidR="00334C6D" w:rsidRPr="00020DAD">
        <w:t>nationally representative cross-sectional survey (</w:t>
      </w:r>
      <w:proofErr w:type="spellStart"/>
      <w:r w:rsidR="00334C6D" w:rsidRPr="00020DAD">
        <w:t>CoVAccS</w:t>
      </w:r>
      <w:proofErr w:type="spellEnd"/>
      <w:r w:rsidR="00334C6D" w:rsidRPr="00020DAD">
        <w:t xml:space="preserve"> – wave 2)</w:t>
      </w:r>
    </w:p>
    <w:p w14:paraId="35717D31" w14:textId="1BB6E478" w:rsidR="00224E58" w:rsidRPr="00020DAD" w:rsidRDefault="00224E58" w:rsidP="00224E58">
      <w:pPr>
        <w:ind w:firstLine="0"/>
        <w:rPr>
          <w:i/>
          <w:iCs/>
        </w:rPr>
      </w:pPr>
      <w:r w:rsidRPr="00020DAD">
        <w:rPr>
          <w:i/>
          <w:iCs/>
        </w:rPr>
        <w:t>Abbreviated running title: COVID-19 vaccine side-effect expectations</w:t>
      </w:r>
    </w:p>
    <w:p w14:paraId="37123001" w14:textId="77777777" w:rsidR="005313B3" w:rsidRPr="00020DAD" w:rsidRDefault="005313B3" w:rsidP="00011109">
      <w:pPr>
        <w:ind w:firstLine="0"/>
      </w:pPr>
    </w:p>
    <w:p w14:paraId="1F5DE1F3" w14:textId="4E0773BC" w:rsidR="00F45B9D" w:rsidRPr="00020DAD" w:rsidRDefault="00A75388" w:rsidP="00CD4CF0">
      <w:pPr>
        <w:ind w:firstLine="0"/>
      </w:pPr>
      <w:r w:rsidRPr="00020DAD">
        <w:t>Louise E. Smith</w:t>
      </w:r>
      <w:r w:rsidR="003D3EE4" w:rsidRPr="00020DAD">
        <w:t xml:space="preserve"> PhD</w:t>
      </w:r>
      <w:r w:rsidR="003D3EE4" w:rsidRPr="00020DAD">
        <w:rPr>
          <w:vertAlign w:val="superscript"/>
        </w:rPr>
        <w:t xml:space="preserve"> </w:t>
      </w:r>
      <w:r w:rsidR="00155700" w:rsidRPr="00020DAD">
        <w:rPr>
          <w:vertAlign w:val="superscript"/>
        </w:rPr>
        <w:t>1</w:t>
      </w:r>
      <w:r w:rsidRPr="00020DAD">
        <w:rPr>
          <w:vertAlign w:val="superscript"/>
        </w:rPr>
        <w:t>,</w:t>
      </w:r>
      <w:r w:rsidR="00155700" w:rsidRPr="00020DAD">
        <w:rPr>
          <w:vertAlign w:val="superscript"/>
        </w:rPr>
        <w:t>2</w:t>
      </w:r>
      <w:r w:rsidRPr="00020DAD">
        <w:t xml:space="preserve"> </w:t>
      </w:r>
      <w:r w:rsidR="002F0E0A" w:rsidRPr="00020DAD">
        <w:t>(0000-0002-1277-2564)</w:t>
      </w:r>
      <w:r w:rsidRPr="00020DAD">
        <w:t>, Julius Sim</w:t>
      </w:r>
      <w:r w:rsidR="003D3EE4" w:rsidRPr="00020DAD">
        <w:t xml:space="preserve"> PhD</w:t>
      </w:r>
      <w:r w:rsidR="003D3EE4" w:rsidRPr="00020DAD">
        <w:rPr>
          <w:vertAlign w:val="superscript"/>
        </w:rPr>
        <w:t xml:space="preserve"> </w:t>
      </w:r>
      <w:r w:rsidR="00511E77" w:rsidRPr="00020DAD">
        <w:rPr>
          <w:vertAlign w:val="superscript"/>
        </w:rPr>
        <w:t>3</w:t>
      </w:r>
      <w:r w:rsidRPr="00020DAD">
        <w:t xml:space="preserve"> </w:t>
      </w:r>
      <w:r w:rsidR="002F0E0A" w:rsidRPr="00020DAD">
        <w:t>(0000-0002-1816-1676)</w:t>
      </w:r>
      <w:r w:rsidRPr="00020DAD">
        <w:t>,</w:t>
      </w:r>
      <w:r w:rsidR="0002540B" w:rsidRPr="00020DAD">
        <w:t xml:space="preserve"> </w:t>
      </w:r>
      <w:r w:rsidR="00327154" w:rsidRPr="00020DAD">
        <w:t>Richard Amlôt</w:t>
      </w:r>
      <w:r w:rsidR="00511E77" w:rsidRPr="00020DAD">
        <w:rPr>
          <w:vertAlign w:val="superscript"/>
        </w:rPr>
        <w:t>2</w:t>
      </w:r>
      <w:r w:rsidR="00327154" w:rsidRPr="00020DAD">
        <w:rPr>
          <w:vertAlign w:val="superscript"/>
        </w:rPr>
        <w:t>,</w:t>
      </w:r>
      <w:r w:rsidR="00511E77" w:rsidRPr="00020DAD">
        <w:rPr>
          <w:vertAlign w:val="superscript"/>
        </w:rPr>
        <w:t>4</w:t>
      </w:r>
      <w:r w:rsidR="00327154" w:rsidRPr="00020DAD">
        <w:t xml:space="preserve"> PhD, </w:t>
      </w:r>
      <w:r w:rsidR="0002540B" w:rsidRPr="00020DAD">
        <w:t>Megan Cutts</w:t>
      </w:r>
      <w:r w:rsidR="00D176AE" w:rsidRPr="00020DAD">
        <w:rPr>
          <w:vertAlign w:val="superscript"/>
        </w:rPr>
        <w:t>5</w:t>
      </w:r>
      <w:r w:rsidR="0002540B" w:rsidRPr="00020DAD">
        <w:t xml:space="preserve"> MSc, Hannah Dasch</w:t>
      </w:r>
      <w:r w:rsidR="008C3566" w:rsidRPr="00020DAD">
        <w:rPr>
          <w:vertAlign w:val="superscript"/>
        </w:rPr>
        <w:t>1</w:t>
      </w:r>
      <w:r w:rsidR="0002540B" w:rsidRPr="00020DAD">
        <w:rPr>
          <w:vertAlign w:val="superscript"/>
        </w:rPr>
        <w:t>,</w:t>
      </w:r>
      <w:r w:rsidR="008C3566" w:rsidRPr="00020DAD">
        <w:rPr>
          <w:vertAlign w:val="superscript"/>
        </w:rPr>
        <w:t>6</w:t>
      </w:r>
      <w:r w:rsidR="0002540B" w:rsidRPr="00020DAD">
        <w:rPr>
          <w:vertAlign w:val="superscript"/>
        </w:rPr>
        <w:t xml:space="preserve"> </w:t>
      </w:r>
      <w:r w:rsidR="0002540B" w:rsidRPr="00020DAD">
        <w:t>MSc, Nick Sevdalis</w:t>
      </w:r>
      <w:r w:rsidR="003D3EE4" w:rsidRPr="00020DAD">
        <w:t xml:space="preserve"> PhD</w:t>
      </w:r>
      <w:r w:rsidR="003D3EE4" w:rsidRPr="00020DAD">
        <w:rPr>
          <w:vertAlign w:val="superscript"/>
        </w:rPr>
        <w:t xml:space="preserve"> </w:t>
      </w:r>
      <w:r w:rsidR="008C3566" w:rsidRPr="00020DAD">
        <w:rPr>
          <w:vertAlign w:val="superscript"/>
        </w:rPr>
        <w:t>1</w:t>
      </w:r>
      <w:r w:rsidR="0002540B" w:rsidRPr="00020DAD">
        <w:rPr>
          <w:vertAlign w:val="superscript"/>
        </w:rPr>
        <w:t>,</w:t>
      </w:r>
      <w:r w:rsidR="008C3566" w:rsidRPr="00020DAD">
        <w:rPr>
          <w:vertAlign w:val="superscript"/>
        </w:rPr>
        <w:t>6</w:t>
      </w:r>
      <w:r w:rsidR="0002540B" w:rsidRPr="00020DAD">
        <w:t xml:space="preserve"> </w:t>
      </w:r>
      <w:r w:rsidR="002F0E0A" w:rsidRPr="00020DAD">
        <w:t>(0000-0001-7560-8924),</w:t>
      </w:r>
      <w:r w:rsidR="002D6CB5" w:rsidRPr="00020DAD">
        <w:t xml:space="preserve"> </w:t>
      </w:r>
      <w:r w:rsidR="0002540B" w:rsidRPr="00020DAD">
        <w:t>G James Rubin</w:t>
      </w:r>
      <w:r w:rsidR="003D3EE4" w:rsidRPr="00020DAD">
        <w:t xml:space="preserve"> PhD</w:t>
      </w:r>
      <w:r w:rsidR="003D3EE4" w:rsidRPr="00020DAD">
        <w:rPr>
          <w:vertAlign w:val="superscript"/>
        </w:rPr>
        <w:t xml:space="preserve"> </w:t>
      </w:r>
      <w:r w:rsidR="00155700" w:rsidRPr="00020DAD">
        <w:rPr>
          <w:vertAlign w:val="superscript"/>
        </w:rPr>
        <w:t>1</w:t>
      </w:r>
      <w:r w:rsidR="0002540B" w:rsidRPr="00020DAD">
        <w:rPr>
          <w:vertAlign w:val="superscript"/>
        </w:rPr>
        <w:t>,</w:t>
      </w:r>
      <w:r w:rsidR="00155700" w:rsidRPr="00020DAD">
        <w:rPr>
          <w:vertAlign w:val="superscript"/>
        </w:rPr>
        <w:t>2</w:t>
      </w:r>
      <w:r w:rsidR="0002540B" w:rsidRPr="00020DAD">
        <w:t xml:space="preserve"> </w:t>
      </w:r>
      <w:r w:rsidR="002F0E0A" w:rsidRPr="00020DAD">
        <w:t>(0000-0002-4440-0570)</w:t>
      </w:r>
      <w:r w:rsidR="00300C70" w:rsidRPr="00020DAD">
        <w:t>, Susan M. Sherman</w:t>
      </w:r>
      <w:r w:rsidR="003D3EE4" w:rsidRPr="00020DAD">
        <w:t xml:space="preserve"> PhD</w:t>
      </w:r>
      <w:r w:rsidR="003D3EE4" w:rsidRPr="00020DAD">
        <w:rPr>
          <w:vertAlign w:val="superscript"/>
        </w:rPr>
        <w:t xml:space="preserve"> </w:t>
      </w:r>
      <w:r w:rsidR="00300C70" w:rsidRPr="00020DAD">
        <w:rPr>
          <w:vertAlign w:val="superscript"/>
        </w:rPr>
        <w:t>5</w:t>
      </w:r>
      <w:r w:rsidR="00300C70" w:rsidRPr="00020DAD">
        <w:t xml:space="preserve"> (0000-0001-6708-3398)</w:t>
      </w:r>
    </w:p>
    <w:p w14:paraId="60BC25D8" w14:textId="77777777" w:rsidR="0002540B" w:rsidRPr="00020DAD" w:rsidRDefault="0002540B" w:rsidP="00F45B9D"/>
    <w:p w14:paraId="4DCADD7A" w14:textId="77777777" w:rsidR="00155700" w:rsidRPr="00020DAD" w:rsidRDefault="00155700" w:rsidP="00CD4CF0">
      <w:pPr>
        <w:ind w:firstLine="0"/>
      </w:pPr>
      <w:r w:rsidRPr="00020DAD">
        <w:t>1 King’s College London, Institute of Psychiatry, Psychology and Neuroscience</w:t>
      </w:r>
    </w:p>
    <w:p w14:paraId="5CA10866" w14:textId="77777777" w:rsidR="00155700" w:rsidRPr="00020DAD" w:rsidRDefault="00155700" w:rsidP="00CD4CF0">
      <w:pPr>
        <w:ind w:firstLine="0"/>
      </w:pPr>
      <w:r w:rsidRPr="00020DAD">
        <w:t>2 NIHR Health Protection Research Unit in Emergency Preparedness and Response</w:t>
      </w:r>
    </w:p>
    <w:p w14:paraId="487B1F83" w14:textId="77777777" w:rsidR="00511E77" w:rsidRPr="00020DAD" w:rsidRDefault="00511E77" w:rsidP="00CD4CF0">
      <w:pPr>
        <w:ind w:firstLine="0"/>
      </w:pPr>
      <w:r w:rsidRPr="00020DAD">
        <w:t xml:space="preserve">3 </w:t>
      </w:r>
      <w:proofErr w:type="spellStart"/>
      <w:r w:rsidRPr="00020DAD">
        <w:t>Keele</w:t>
      </w:r>
      <w:proofErr w:type="spellEnd"/>
      <w:r w:rsidRPr="00020DAD">
        <w:t xml:space="preserve"> University, School of Medicine </w:t>
      </w:r>
    </w:p>
    <w:p w14:paraId="36795C1D" w14:textId="34C43752" w:rsidR="00511E77" w:rsidRPr="00020DAD" w:rsidRDefault="26583B47" w:rsidP="00CD4CF0">
      <w:pPr>
        <w:ind w:firstLine="0"/>
      </w:pPr>
      <w:r w:rsidRPr="00020DAD">
        <w:t xml:space="preserve">4 UK Health Security Agency, Behavioural </w:t>
      </w:r>
      <w:proofErr w:type="gramStart"/>
      <w:r w:rsidRPr="00020DAD">
        <w:t>Science</w:t>
      </w:r>
      <w:proofErr w:type="gramEnd"/>
      <w:r w:rsidRPr="00020DAD">
        <w:t xml:space="preserve"> and Insights Unit </w:t>
      </w:r>
    </w:p>
    <w:p w14:paraId="6FB1F008" w14:textId="3457881B" w:rsidR="00F45B9D" w:rsidRPr="00020DAD" w:rsidRDefault="00D176AE" w:rsidP="00CD4CF0">
      <w:pPr>
        <w:ind w:firstLine="0"/>
      </w:pPr>
      <w:r w:rsidRPr="00020DAD">
        <w:t>5</w:t>
      </w:r>
      <w:r w:rsidR="00F45B9D" w:rsidRPr="00020DAD">
        <w:t xml:space="preserve"> </w:t>
      </w:r>
      <w:proofErr w:type="spellStart"/>
      <w:r w:rsidR="00F45B9D" w:rsidRPr="00020DAD">
        <w:t>Keele</w:t>
      </w:r>
      <w:proofErr w:type="spellEnd"/>
      <w:r w:rsidR="00F45B9D" w:rsidRPr="00020DAD">
        <w:t xml:space="preserve"> University, School of Psychology</w:t>
      </w:r>
    </w:p>
    <w:p w14:paraId="28164482" w14:textId="1E8EB756" w:rsidR="00F45B9D" w:rsidRPr="00020DAD" w:rsidRDefault="00D176AE" w:rsidP="00CD4CF0">
      <w:pPr>
        <w:ind w:firstLine="0"/>
        <w:rPr>
          <w:rStyle w:val="Hyperlink"/>
          <w:color w:val="auto"/>
          <w:u w:val="none"/>
        </w:rPr>
      </w:pPr>
      <w:r w:rsidRPr="00020DAD">
        <w:rPr>
          <w:rStyle w:val="Hyperlink"/>
          <w:color w:val="auto"/>
          <w:u w:val="none"/>
        </w:rPr>
        <w:t>6</w:t>
      </w:r>
      <w:r w:rsidR="00F45B9D" w:rsidRPr="00020DAD">
        <w:rPr>
          <w:rStyle w:val="Hyperlink"/>
          <w:color w:val="auto"/>
          <w:u w:val="none"/>
        </w:rPr>
        <w:t xml:space="preserve"> King’s College London, Centre for Implementation Science</w:t>
      </w:r>
    </w:p>
    <w:p w14:paraId="73FF741A" w14:textId="77777777" w:rsidR="00F45B9D" w:rsidRPr="00020DAD" w:rsidRDefault="00F45B9D" w:rsidP="00F45B9D">
      <w:pPr>
        <w:rPr>
          <w:rStyle w:val="Hyperlink"/>
        </w:rPr>
      </w:pPr>
    </w:p>
    <w:p w14:paraId="77C1A7DB" w14:textId="6C460016" w:rsidR="00A75388" w:rsidRPr="00020DAD" w:rsidRDefault="00BE4406" w:rsidP="00CD4CF0">
      <w:pPr>
        <w:ind w:firstLine="0"/>
        <w:rPr>
          <w:rFonts w:eastAsiaTheme="minorHAnsi" w:cstheme="minorBidi"/>
          <w:color w:val="0563C1" w:themeColor="hyperlink"/>
          <w:szCs w:val="22"/>
          <w:u w:val="single"/>
        </w:rPr>
      </w:pPr>
      <w:r w:rsidRPr="00020DAD">
        <w:rPr>
          <w:rFonts w:eastAsiaTheme="minorHAnsi" w:cstheme="minorBidi"/>
          <w:szCs w:val="22"/>
        </w:rPr>
        <w:t xml:space="preserve">Corresponding author: Louise E Smith, Department of Psychological Medicine, Weston Education Centre, </w:t>
      </w:r>
      <w:proofErr w:type="spellStart"/>
      <w:r w:rsidRPr="00020DAD">
        <w:rPr>
          <w:rFonts w:eastAsiaTheme="minorHAnsi" w:cstheme="minorBidi"/>
          <w:szCs w:val="22"/>
        </w:rPr>
        <w:t>Cutcombe</w:t>
      </w:r>
      <w:proofErr w:type="spellEnd"/>
      <w:r w:rsidRPr="00020DAD">
        <w:rPr>
          <w:rFonts w:eastAsiaTheme="minorHAnsi" w:cstheme="minorBidi"/>
          <w:szCs w:val="22"/>
        </w:rPr>
        <w:t xml:space="preserve"> Road, London, SE5 9RJ. Email:</w:t>
      </w:r>
      <w:hyperlink r:id="rId7" w:history="1">
        <w:r w:rsidRPr="00020DAD">
          <w:rPr>
            <w:rStyle w:val="Hyperlink"/>
            <w:rFonts w:eastAsiaTheme="minorHAnsi" w:cstheme="minorBidi"/>
            <w:szCs w:val="22"/>
          </w:rPr>
          <w:t>louise.e.smith@kcl.ac.uk</w:t>
        </w:r>
      </w:hyperlink>
    </w:p>
    <w:p w14:paraId="547E4E4B" w14:textId="77777777" w:rsidR="00C913D4" w:rsidRPr="00020DAD" w:rsidRDefault="00C913D4" w:rsidP="00C913D4">
      <w:pPr>
        <w:rPr>
          <w:rFonts w:eastAsiaTheme="minorHAnsi" w:cstheme="minorBidi"/>
          <w:color w:val="0563C1" w:themeColor="hyperlink"/>
          <w:szCs w:val="22"/>
          <w:u w:val="single"/>
        </w:rPr>
      </w:pPr>
    </w:p>
    <w:p w14:paraId="717BEB87" w14:textId="3D04A79E" w:rsidR="00300C70" w:rsidRPr="00020DAD" w:rsidRDefault="00300C70" w:rsidP="00300C70">
      <w:pPr>
        <w:ind w:firstLine="0"/>
        <w:rPr>
          <w:szCs w:val="24"/>
        </w:rPr>
      </w:pPr>
    </w:p>
    <w:p w14:paraId="0982B480" w14:textId="6B74EFA0" w:rsidR="006A4F8F" w:rsidRPr="006A4F8F" w:rsidRDefault="004431EC" w:rsidP="006A4F8F">
      <w:pPr>
        <w:spacing w:after="160" w:line="259" w:lineRule="auto"/>
        <w:ind w:firstLine="0"/>
        <w:rPr>
          <w:szCs w:val="24"/>
        </w:rPr>
      </w:pPr>
      <w:r w:rsidRPr="00020DAD">
        <w:rPr>
          <w:szCs w:val="24"/>
        </w:rPr>
        <w:br w:type="page"/>
      </w:r>
      <w:bookmarkStart w:id="0" w:name="_Hlk75787427"/>
      <w:r w:rsidR="006A4F8F" w:rsidRPr="00C56714">
        <w:rPr>
          <w:b/>
          <w:bCs/>
          <w:sz w:val="28"/>
          <w:szCs w:val="28"/>
        </w:rPr>
        <w:lastRenderedPageBreak/>
        <w:t>Highlights</w:t>
      </w:r>
    </w:p>
    <w:p w14:paraId="76534A3E" w14:textId="77777777" w:rsidR="006A4F8F" w:rsidRDefault="006A4F8F" w:rsidP="006A4F8F">
      <w:pPr>
        <w:pStyle w:val="NormalWeb"/>
        <w:numPr>
          <w:ilvl w:val="0"/>
          <w:numId w:val="1"/>
        </w:numPr>
        <w:shd w:val="clear" w:color="auto" w:fill="FFFFFF"/>
        <w:ind w:left="714" w:hanging="357"/>
        <w:textAlignment w:val="baseline"/>
        <w:rPr>
          <w:rFonts w:eastAsiaTheme="minorHAnsi"/>
          <w:lang w:eastAsia="en-US"/>
        </w:rPr>
      </w:pPr>
      <w:bookmarkStart w:id="1" w:name="_Hlk75877176"/>
      <w:r>
        <w:rPr>
          <w:rFonts w:eastAsiaTheme="minorHAnsi"/>
          <w:lang w:eastAsia="en-US"/>
        </w:rPr>
        <w:t>COVID-19 vaccination causes systemic side effects in up to 70% of people.</w:t>
      </w:r>
    </w:p>
    <w:p w14:paraId="7454321E" w14:textId="77777777" w:rsidR="006A4F8F" w:rsidRPr="00964ACA" w:rsidRDefault="006A4F8F" w:rsidP="006A4F8F">
      <w:pPr>
        <w:pStyle w:val="NormalWeb"/>
        <w:numPr>
          <w:ilvl w:val="0"/>
          <w:numId w:val="1"/>
        </w:numPr>
        <w:shd w:val="clear" w:color="auto" w:fill="FFFFFF"/>
        <w:ind w:left="714" w:hanging="357"/>
        <w:textAlignment w:val="baseline"/>
        <w:rPr>
          <w:rFonts w:eastAsiaTheme="minorHAnsi"/>
          <w:lang w:eastAsia="en-US"/>
        </w:rPr>
      </w:pPr>
      <w:r>
        <w:rPr>
          <w:rFonts w:eastAsiaTheme="minorHAnsi"/>
          <w:lang w:eastAsia="en-US"/>
        </w:rPr>
        <w:t>But only 9% of survey respondents thought vaccine side effects were very likely.</w:t>
      </w:r>
    </w:p>
    <w:p w14:paraId="5D13A401" w14:textId="77777777" w:rsidR="006A4F8F" w:rsidRDefault="006A4F8F" w:rsidP="006A4F8F">
      <w:pPr>
        <w:pStyle w:val="NormalWeb"/>
        <w:numPr>
          <w:ilvl w:val="0"/>
          <w:numId w:val="1"/>
        </w:numPr>
        <w:shd w:val="clear" w:color="auto" w:fill="FFFFFF"/>
        <w:ind w:left="714" w:hanging="357"/>
        <w:textAlignment w:val="baseline"/>
        <w:rPr>
          <w:rFonts w:eastAsiaTheme="minorHAnsi"/>
          <w:lang w:eastAsia="en-US"/>
        </w:rPr>
      </w:pPr>
      <w:bookmarkStart w:id="2" w:name="_Hlk75876788"/>
      <w:r>
        <w:t>Experiencing unexpected side effects might affect uptake of a second dose.</w:t>
      </w:r>
    </w:p>
    <w:bookmarkEnd w:id="2"/>
    <w:p w14:paraId="5587A4FC" w14:textId="77777777" w:rsidR="006A4F8F" w:rsidRPr="009875D6" w:rsidRDefault="006A4F8F" w:rsidP="006A4F8F">
      <w:pPr>
        <w:pStyle w:val="NormalWeb"/>
        <w:numPr>
          <w:ilvl w:val="0"/>
          <w:numId w:val="1"/>
        </w:numPr>
        <w:shd w:val="clear" w:color="auto" w:fill="FFFFFF"/>
        <w:ind w:left="714" w:hanging="357"/>
        <w:textAlignment w:val="baseline"/>
        <w:rPr>
          <w:rFonts w:eastAsiaTheme="minorHAnsi"/>
          <w:lang w:eastAsia="en-US"/>
        </w:rPr>
      </w:pPr>
      <w:r>
        <w:t>Side-effect expectation was associated with lower perceived vaccine safety.</w:t>
      </w:r>
    </w:p>
    <w:p w14:paraId="4FD14398" w14:textId="77777777" w:rsidR="006A4F8F" w:rsidRPr="009875D6" w:rsidRDefault="006A4F8F" w:rsidP="006A4F8F">
      <w:pPr>
        <w:pStyle w:val="NormalWeb"/>
        <w:numPr>
          <w:ilvl w:val="0"/>
          <w:numId w:val="1"/>
        </w:numPr>
        <w:shd w:val="clear" w:color="auto" w:fill="FFFFFF"/>
        <w:ind w:left="714" w:hanging="357"/>
        <w:textAlignment w:val="baseline"/>
        <w:rPr>
          <w:rFonts w:eastAsiaTheme="minorHAnsi"/>
          <w:lang w:eastAsia="en-US"/>
        </w:rPr>
      </w:pPr>
      <w:r>
        <w:t>Side-effect expectation was associated with lower social norms for vaccination.</w:t>
      </w:r>
    </w:p>
    <w:bookmarkEnd w:id="0"/>
    <w:bookmarkEnd w:id="1"/>
    <w:p w14:paraId="6ADF7C8E" w14:textId="77777777" w:rsidR="006A4F8F" w:rsidRDefault="006A4F8F">
      <w:pPr>
        <w:spacing w:after="160" w:line="259" w:lineRule="auto"/>
        <w:ind w:firstLine="0"/>
        <w:rPr>
          <w:rFonts w:eastAsiaTheme="majorEastAsia" w:cstheme="majorBidi"/>
          <w:b/>
          <w:sz w:val="28"/>
          <w:szCs w:val="32"/>
        </w:rPr>
      </w:pPr>
      <w:r>
        <w:br w:type="page"/>
      </w:r>
    </w:p>
    <w:p w14:paraId="420122A2" w14:textId="77777777" w:rsidR="006A4F8F" w:rsidRPr="005C64AE" w:rsidRDefault="006A4F8F" w:rsidP="006A4F8F">
      <w:pPr>
        <w:pStyle w:val="Heading1"/>
      </w:pPr>
      <w:r w:rsidRPr="005C64AE">
        <w:lastRenderedPageBreak/>
        <w:t>Abstract</w:t>
      </w:r>
    </w:p>
    <w:p w14:paraId="409A8B66" w14:textId="77777777" w:rsidR="006A4F8F" w:rsidRPr="005C64AE" w:rsidRDefault="006A4F8F" w:rsidP="006A4F8F">
      <w:pPr>
        <w:ind w:firstLine="0"/>
        <w:rPr>
          <w:shd w:val="clear" w:color="auto" w:fill="FFFFFF"/>
        </w:rPr>
      </w:pPr>
      <w:r w:rsidRPr="006E2733">
        <w:rPr>
          <w:b/>
          <w:bCs/>
          <w:shd w:val="clear" w:color="auto" w:fill="FFFFFF"/>
        </w:rPr>
        <w:t>Objectives</w:t>
      </w:r>
      <w:r w:rsidRPr="005C64AE">
        <w:rPr>
          <w:shd w:val="clear" w:color="auto" w:fill="FFFFFF"/>
        </w:rPr>
        <w:t>:</w:t>
      </w:r>
      <w:r>
        <w:rPr>
          <w:shd w:val="clear" w:color="auto" w:fill="FFFFFF"/>
        </w:rPr>
        <w:t xml:space="preserve"> Concern about side effects is one of the most common reasons for refusing vaccination. Side-effect expectations are also known to predict perception of side effects. We aimed to investigate the percentage of people who thought side effects from COVID-19 vaccination were likely and investigate factors associated with side-effect expectation.</w:t>
      </w:r>
    </w:p>
    <w:p w14:paraId="03E2AD23" w14:textId="77777777" w:rsidR="006A4F8F" w:rsidRPr="005C64AE" w:rsidRDefault="006A4F8F" w:rsidP="006A4F8F">
      <w:pPr>
        <w:ind w:firstLine="0"/>
        <w:rPr>
          <w:color w:val="2A2A2A"/>
          <w:szCs w:val="24"/>
          <w:shd w:val="clear" w:color="auto" w:fill="FFFFFF"/>
        </w:rPr>
      </w:pPr>
      <w:r w:rsidRPr="006E2733">
        <w:rPr>
          <w:b/>
          <w:bCs/>
          <w:color w:val="2A2A2A"/>
          <w:szCs w:val="24"/>
          <w:shd w:val="clear" w:color="auto" w:fill="FFFFFF"/>
        </w:rPr>
        <w:t>Methods</w:t>
      </w:r>
      <w:r w:rsidRPr="005C64AE">
        <w:rPr>
          <w:color w:val="2A2A2A"/>
          <w:szCs w:val="24"/>
          <w:shd w:val="clear" w:color="auto" w:fill="FFFFFF"/>
        </w:rPr>
        <w:t>:</w:t>
      </w:r>
      <w:r>
        <w:rPr>
          <w:color w:val="2A2A2A"/>
          <w:szCs w:val="24"/>
          <w:shd w:val="clear" w:color="auto" w:fill="FFFFFF"/>
        </w:rPr>
        <w:t xml:space="preserve"> Online cross-sectional survey of 1470 UK adults who had not been vaccinated for COVID-19 (conducted 13 to 15 January 2021). We asked participants how likely they thought side effects from COVID-19 vaccination were. Linear regression analyses were used to investigate associations with side-effect expectations.</w:t>
      </w:r>
    </w:p>
    <w:p w14:paraId="2A18CC77" w14:textId="77777777" w:rsidR="006A4F8F" w:rsidRDefault="006A4F8F" w:rsidP="006A4F8F">
      <w:pPr>
        <w:ind w:firstLine="0"/>
      </w:pPr>
      <w:r w:rsidRPr="006E2733">
        <w:rPr>
          <w:b/>
          <w:bCs/>
          <w:color w:val="2A2A2A"/>
          <w:szCs w:val="24"/>
          <w:shd w:val="clear" w:color="auto" w:fill="FFFFFF"/>
        </w:rPr>
        <w:t>Results</w:t>
      </w:r>
      <w:r w:rsidRPr="005C64AE">
        <w:rPr>
          <w:color w:val="2A2A2A"/>
          <w:szCs w:val="24"/>
          <w:shd w:val="clear" w:color="auto" w:fill="FFFFFF"/>
        </w:rPr>
        <w:t>:</w:t>
      </w:r>
      <w:r w:rsidRPr="00F41558">
        <w:t xml:space="preserve"> </w:t>
      </w:r>
      <w:r w:rsidRPr="003A2E96">
        <w:rPr>
          <w:szCs w:val="24"/>
          <w:shd w:val="clear" w:color="auto" w:fill="FFFFFF"/>
        </w:rPr>
        <w:t>Most participants were uncertain whether they would experience side effects from a COVID-19 vaccine</w:t>
      </w:r>
      <w:r>
        <w:rPr>
          <w:szCs w:val="24"/>
          <w:shd w:val="clear" w:color="auto" w:fill="FFFFFF"/>
        </w:rPr>
        <w:t>; only a</w:t>
      </w:r>
      <w:r>
        <w:t xml:space="preserve"> minority reported that side effects were very likely (9.4%, 95% CI 7.9% to 10.9%, n=138/1470). Personal and clinical characteristics, general, and COVID-19 vaccination beliefs and attitudes explained 29.7% of the variance in side-effect expectation, with COVID-19 vaccination beliefs alone accounting for 17.2%. Side-effect expectations were associated </w:t>
      </w:r>
      <w:proofErr w:type="gramStart"/>
      <w:r>
        <w:t>with:</w:t>
      </w:r>
      <w:proofErr w:type="gramEnd"/>
      <w:r>
        <w:t xml:space="preserve"> older age, being clinically extremely vulnerable to COVID-19, being afraid of needles, lower perceived social norms for COVID-19 vaccination, lower perceived necessity and safety of COVID-19 vaccination, and perceived lack of information about COVID-19 and vaccination.</w:t>
      </w:r>
    </w:p>
    <w:p w14:paraId="1468C647" w14:textId="77777777" w:rsidR="006A4F8F" w:rsidRPr="003A2E96" w:rsidRDefault="006A4F8F" w:rsidP="006A4F8F">
      <w:pPr>
        <w:ind w:firstLine="0"/>
        <w:rPr>
          <w:szCs w:val="24"/>
          <w:shd w:val="clear" w:color="auto" w:fill="FFFFFF"/>
        </w:rPr>
      </w:pPr>
      <w:r w:rsidRPr="006E2733">
        <w:rPr>
          <w:b/>
          <w:bCs/>
          <w:szCs w:val="24"/>
          <w:shd w:val="clear" w:color="auto" w:fill="FFFFFF"/>
        </w:rPr>
        <w:t>Conclusions</w:t>
      </w:r>
      <w:r w:rsidRPr="003A2E96">
        <w:rPr>
          <w:szCs w:val="24"/>
          <w:shd w:val="clear" w:color="auto" w:fill="FFFFFF"/>
        </w:rPr>
        <w:t xml:space="preserve">: </w:t>
      </w:r>
      <w:r>
        <w:rPr>
          <w:szCs w:val="24"/>
          <w:shd w:val="clear" w:color="auto" w:fill="FFFFFF"/>
        </w:rPr>
        <w:t>S</w:t>
      </w:r>
      <w:r w:rsidRPr="003A2E96">
        <w:rPr>
          <w:szCs w:val="24"/>
          <w:shd w:val="clear" w:color="auto" w:fill="FFFFFF"/>
        </w:rPr>
        <w:t>ide</w:t>
      </w:r>
      <w:r>
        <w:rPr>
          <w:szCs w:val="24"/>
          <w:shd w:val="clear" w:color="auto" w:fill="FFFFFF"/>
        </w:rPr>
        <w:t>-</w:t>
      </w:r>
      <w:r w:rsidRPr="003A2E96">
        <w:rPr>
          <w:szCs w:val="24"/>
          <w:shd w:val="clear" w:color="auto" w:fill="FFFFFF"/>
        </w:rPr>
        <w:t>effect expectation was associated with believing that COVID-19 vaccination was unsafe, ineffective and that others would be less likely to approve of you having a COVID-19 vaccination</w:t>
      </w:r>
      <w:r w:rsidRPr="00557EF9">
        <w:rPr>
          <w:szCs w:val="24"/>
          <w:shd w:val="clear" w:color="auto" w:fill="FFFFFF"/>
        </w:rPr>
        <w:t>. Communications should emphasise the safety, effectiveness, and widespread uptake of vaccination</w:t>
      </w:r>
      <w:r>
        <w:rPr>
          <w:szCs w:val="24"/>
          <w:shd w:val="clear" w:color="auto" w:fill="FFFFFF"/>
        </w:rPr>
        <w:t>,</w:t>
      </w:r>
      <w:r w:rsidRPr="006E3034">
        <w:t xml:space="preserve"> </w:t>
      </w:r>
      <w:r>
        <w:t>while promoting accurate perceptions of the incidence of vaccination side effects</w:t>
      </w:r>
      <w:r w:rsidRPr="00557EF9">
        <w:rPr>
          <w:szCs w:val="24"/>
          <w:shd w:val="clear" w:color="auto" w:fill="FFFFFF"/>
        </w:rPr>
        <w:t>.</w:t>
      </w:r>
    </w:p>
    <w:p w14:paraId="128B4B7E" w14:textId="77777777" w:rsidR="006A4F8F" w:rsidRPr="00E25AC3" w:rsidRDefault="006A4F8F" w:rsidP="006A4F8F">
      <w:pPr>
        <w:ind w:firstLine="0"/>
        <w:rPr>
          <w:color w:val="2A2A2A"/>
          <w:szCs w:val="24"/>
          <w:shd w:val="clear" w:color="auto" w:fill="FFFFFF"/>
        </w:rPr>
      </w:pPr>
      <w:r w:rsidRPr="005C64AE">
        <w:rPr>
          <w:color w:val="2A2A2A"/>
          <w:szCs w:val="24"/>
          <w:shd w:val="clear" w:color="auto" w:fill="FFFFFF"/>
        </w:rPr>
        <w:t xml:space="preserve">Key words: </w:t>
      </w:r>
      <w:r>
        <w:rPr>
          <w:color w:val="2A2A2A"/>
          <w:szCs w:val="24"/>
          <w:shd w:val="clear" w:color="auto" w:fill="FFFFFF"/>
        </w:rPr>
        <w:t>adverse effects, COVID-19, expectation, nocebo effect, vaccination</w:t>
      </w:r>
    </w:p>
    <w:p w14:paraId="0541B5F1" w14:textId="40B7EBD7" w:rsidR="003577A8" w:rsidRPr="00020DAD" w:rsidRDefault="004431EC" w:rsidP="00092D79">
      <w:pPr>
        <w:pStyle w:val="Heading1"/>
      </w:pPr>
      <w:r w:rsidRPr="00020DAD">
        <w:lastRenderedPageBreak/>
        <w:t>Introduction</w:t>
      </w:r>
    </w:p>
    <w:p w14:paraId="02F8961E" w14:textId="734AB3D3" w:rsidR="00686020" w:rsidRPr="00020DAD" w:rsidRDefault="00686020" w:rsidP="005E7E49">
      <w:r w:rsidRPr="00020DAD">
        <w:t xml:space="preserve">Fears about vaccine side effects are </w:t>
      </w:r>
      <w:r w:rsidR="002D6806" w:rsidRPr="00020DAD">
        <w:t>among</w:t>
      </w:r>
      <w:r w:rsidRPr="00020DAD">
        <w:t xml:space="preserve"> the most common reasons for refusal of vaccinations</w:t>
      </w:r>
      <w:r w:rsidR="002D6806" w:rsidRPr="00020DAD">
        <w:t xml:space="preserve">, including during the H1N1 </w:t>
      </w:r>
      <w:r w:rsidR="0083275F" w:rsidRPr="00020DAD">
        <w:t>influenza pandemic</w:t>
      </w:r>
      <w:r w:rsidRPr="00020DAD">
        <w:t>.</w:t>
      </w:r>
      <w:r w:rsidR="002235A0" w:rsidRPr="00020DAD">
        <w:rPr>
          <w:noProof/>
        </w:rPr>
        <w:t>[1-3]</w:t>
      </w:r>
      <w:r w:rsidR="00563E1E" w:rsidRPr="00020DAD">
        <w:t xml:space="preserve"> In the UK, three COVID-19 vaccines have been approved for use</w:t>
      </w:r>
      <w:r w:rsidR="00DE2C90" w:rsidRPr="00020DAD">
        <w:t>: the Pfizer/</w:t>
      </w:r>
      <w:r w:rsidR="003B0500" w:rsidRPr="00020DAD">
        <w:t>BioNTech</w:t>
      </w:r>
      <w:r w:rsidR="00F759AC" w:rsidRPr="00020DAD">
        <w:t xml:space="preserve"> (</w:t>
      </w:r>
      <w:r w:rsidR="000E1FB8" w:rsidRPr="00020DAD">
        <w:t xml:space="preserve">approved </w:t>
      </w:r>
      <w:r w:rsidR="00F759AC" w:rsidRPr="00020DAD">
        <w:t>2 December 2020), AstraZeneca (</w:t>
      </w:r>
      <w:r w:rsidR="000E2963" w:rsidRPr="00020DAD">
        <w:t>30 December 2020), and Moderna (</w:t>
      </w:r>
      <w:r w:rsidR="00636DE3" w:rsidRPr="00020DAD">
        <w:t>8 January 2021)</w:t>
      </w:r>
      <w:r w:rsidR="000E1FB8" w:rsidRPr="00020DAD">
        <w:t xml:space="preserve"> vaccines</w:t>
      </w:r>
      <w:r w:rsidR="00636DE3" w:rsidRPr="00020DAD">
        <w:t>.</w:t>
      </w:r>
      <w:r w:rsidR="002235A0" w:rsidRPr="00020DAD">
        <w:rPr>
          <w:noProof/>
        </w:rPr>
        <w:t>[4-6]</w:t>
      </w:r>
      <w:r w:rsidRPr="00020DAD">
        <w:t xml:space="preserve"> </w:t>
      </w:r>
      <w:r w:rsidR="007652EA" w:rsidRPr="00020DAD">
        <w:t xml:space="preserve">Clinical trial data indicate that </w:t>
      </w:r>
      <w:bookmarkStart w:id="3" w:name="_Hlk72484994"/>
      <w:r w:rsidR="007716C9" w:rsidRPr="00020DAD">
        <w:t xml:space="preserve">injection site </w:t>
      </w:r>
      <w:r w:rsidR="009D5265" w:rsidRPr="00020DAD">
        <w:t xml:space="preserve">adverse events </w:t>
      </w:r>
      <w:r w:rsidR="007716C9" w:rsidRPr="00020DAD">
        <w:t xml:space="preserve">are </w:t>
      </w:r>
      <w:r w:rsidR="002D0FBE" w:rsidRPr="00020DAD">
        <w:t xml:space="preserve">very </w:t>
      </w:r>
      <w:r w:rsidR="007716C9" w:rsidRPr="00020DAD">
        <w:t xml:space="preserve">common (up to </w:t>
      </w:r>
      <w:r w:rsidR="00D42B89" w:rsidRPr="00020DAD">
        <w:t xml:space="preserve">83% Pfizer/BioNTech, </w:t>
      </w:r>
      <w:r w:rsidR="00E45F6D" w:rsidRPr="00020DAD">
        <w:t>67% Astra</w:t>
      </w:r>
      <w:r w:rsidR="00E93CAB" w:rsidRPr="00020DAD">
        <w:t>Z</w:t>
      </w:r>
      <w:r w:rsidR="00E45F6D" w:rsidRPr="00020DAD">
        <w:t>eneca</w:t>
      </w:r>
      <w:r w:rsidR="00E93CAB" w:rsidRPr="00020DAD">
        <w:t xml:space="preserve">, </w:t>
      </w:r>
      <w:r w:rsidR="002D0FBE" w:rsidRPr="00020DAD">
        <w:t>89% Moderna</w:t>
      </w:r>
      <w:bookmarkEnd w:id="3"/>
      <w:r w:rsidR="002D0FBE" w:rsidRPr="00020DAD">
        <w:t>).</w:t>
      </w:r>
      <w:r w:rsidR="002235A0" w:rsidRPr="00020DAD">
        <w:rPr>
          <w:noProof/>
        </w:rPr>
        <w:t>[7-9]</w:t>
      </w:r>
      <w:r w:rsidR="002D0FBE" w:rsidRPr="00020DAD">
        <w:t xml:space="preserve"> </w:t>
      </w:r>
      <w:r w:rsidR="00F90311" w:rsidRPr="00020DAD">
        <w:t>Common s</w:t>
      </w:r>
      <w:r w:rsidR="002D0FBE" w:rsidRPr="00020DAD">
        <w:t xml:space="preserve">ystemic adverse effects </w:t>
      </w:r>
      <w:r w:rsidR="00F90311" w:rsidRPr="00020DAD">
        <w:t>include fatigue (</w:t>
      </w:r>
      <w:r w:rsidR="00E55CE6" w:rsidRPr="00020DAD">
        <w:t xml:space="preserve">Pfizer/BioNTech </w:t>
      </w:r>
      <w:r w:rsidR="00F90311" w:rsidRPr="00020DAD">
        <w:t>up to 5</w:t>
      </w:r>
      <w:r w:rsidR="008F7F57" w:rsidRPr="00020DAD">
        <w:t>9</w:t>
      </w:r>
      <w:r w:rsidR="00F90311" w:rsidRPr="00020DAD">
        <w:t>%</w:t>
      </w:r>
      <w:r w:rsidR="00557147" w:rsidRPr="00020DAD">
        <w:t xml:space="preserve">, AstraZeneca </w:t>
      </w:r>
      <w:r w:rsidR="00C63DBC" w:rsidRPr="00020DAD">
        <w:t>70%</w:t>
      </w:r>
      <w:r w:rsidR="00F90311" w:rsidRPr="00020DAD">
        <w:t>)</w:t>
      </w:r>
      <w:r w:rsidR="00A46A47" w:rsidRPr="00020DAD">
        <w:t>,</w:t>
      </w:r>
      <w:r w:rsidR="008F7F57" w:rsidRPr="00020DAD">
        <w:t xml:space="preserve"> headache (Pfizer/BioNTech up to 52%</w:t>
      </w:r>
      <w:r w:rsidR="00C63DBC" w:rsidRPr="00020DAD">
        <w:t xml:space="preserve">, AstraZeneca </w:t>
      </w:r>
      <w:r w:rsidR="00637977" w:rsidRPr="00020DAD">
        <w:t>68%</w:t>
      </w:r>
      <w:r w:rsidR="00B96C63" w:rsidRPr="00020DAD">
        <w:t>)</w:t>
      </w:r>
      <w:r w:rsidR="00A46A47" w:rsidRPr="00020DAD">
        <w:t xml:space="preserve">, and fever (Pfizer/BioNTech up to </w:t>
      </w:r>
      <w:r w:rsidR="003D5ACF" w:rsidRPr="00020DAD">
        <w:t>16%</w:t>
      </w:r>
      <w:r w:rsidR="00637977" w:rsidRPr="00020DAD">
        <w:t>, AstraZeneca 18%</w:t>
      </w:r>
      <w:r w:rsidR="003D5ACF" w:rsidRPr="00020DAD">
        <w:t>)</w:t>
      </w:r>
      <w:r w:rsidR="00FE20E5" w:rsidRPr="00020DAD">
        <w:t>.</w:t>
      </w:r>
      <w:r w:rsidR="0037785D" w:rsidRPr="00020DAD">
        <w:rPr>
          <w:noProof/>
        </w:rPr>
        <w:t>[7, 8, 10]</w:t>
      </w:r>
      <w:r w:rsidR="00B96C63" w:rsidRPr="00020DAD">
        <w:t xml:space="preserve"> </w:t>
      </w:r>
      <w:r w:rsidR="00FE20E5" w:rsidRPr="00020DAD">
        <w:t>Older people experience fewer a</w:t>
      </w:r>
      <w:r w:rsidR="00B96C63" w:rsidRPr="00020DAD">
        <w:t>dverse effects</w:t>
      </w:r>
      <w:r w:rsidR="00EA2FAE" w:rsidRPr="00020DAD">
        <w:t>.</w:t>
      </w:r>
      <w:r w:rsidR="002235A0" w:rsidRPr="00020DAD">
        <w:rPr>
          <w:noProof/>
        </w:rPr>
        <w:t>[8, 9]</w:t>
      </w:r>
      <w:r w:rsidR="0021536F" w:rsidRPr="00020DAD">
        <w:t xml:space="preserve"> </w:t>
      </w:r>
      <w:r w:rsidR="009163BC" w:rsidRPr="00020DAD">
        <w:t>There is some evidence that side effects may be more common (</w:t>
      </w:r>
      <w:r w:rsidR="004E39B4" w:rsidRPr="00020DAD">
        <w:t>Pfizer/BioNTech)</w:t>
      </w:r>
      <w:r w:rsidR="009163BC" w:rsidRPr="00020DAD">
        <w:t xml:space="preserve"> and severe (Moderna) following the second dose of the vaccine</w:t>
      </w:r>
      <w:r w:rsidR="004E39B4" w:rsidRPr="00020DAD">
        <w:t>.</w:t>
      </w:r>
      <w:r w:rsidR="00761F56" w:rsidRPr="00020DAD">
        <w:rPr>
          <w:noProof/>
        </w:rPr>
        <w:t>[8-10]</w:t>
      </w:r>
    </w:p>
    <w:p w14:paraId="3AB6EA2B" w14:textId="65EA519E" w:rsidR="00B9349D" w:rsidRPr="00020DAD" w:rsidRDefault="00AC7188" w:rsidP="005E7E49">
      <w:r w:rsidRPr="00020DAD">
        <w:t xml:space="preserve">The cause of adverse effects </w:t>
      </w:r>
      <w:r w:rsidR="0022503D" w:rsidRPr="00020DAD">
        <w:t>from</w:t>
      </w:r>
      <w:r w:rsidRPr="00020DAD">
        <w:t xml:space="preserve"> vaccination </w:t>
      </w:r>
      <w:r w:rsidR="00EB185F" w:rsidRPr="00020DAD">
        <w:t>is</w:t>
      </w:r>
      <w:r w:rsidRPr="00020DAD">
        <w:t xml:space="preserve"> not</w:t>
      </w:r>
      <w:r w:rsidR="005E290C" w:rsidRPr="00020DAD">
        <w:t xml:space="preserve"> always clear. </w:t>
      </w:r>
      <w:r w:rsidR="00EA3157" w:rsidRPr="00020DAD">
        <w:t xml:space="preserve">While some may be </w:t>
      </w:r>
      <w:r w:rsidR="00371D65" w:rsidRPr="00020DAD">
        <w:t>caused by</w:t>
      </w:r>
      <w:r w:rsidR="00EA3157" w:rsidRPr="00020DAD">
        <w:t xml:space="preserve"> biological mechanisms of the vaccine, </w:t>
      </w:r>
      <w:r w:rsidR="001B58AB" w:rsidRPr="00020DAD">
        <w:t xml:space="preserve">psychological factors </w:t>
      </w:r>
      <w:r w:rsidR="00790EDF" w:rsidRPr="00020DAD">
        <w:t xml:space="preserve">also play a part. </w:t>
      </w:r>
      <w:r w:rsidR="003F1CFD" w:rsidRPr="00020DAD">
        <w:t>Side</w:t>
      </w:r>
      <w:r w:rsidR="0017680F" w:rsidRPr="00020DAD">
        <w:t>-</w:t>
      </w:r>
      <w:r w:rsidR="003F1CFD" w:rsidRPr="00020DAD">
        <w:t>effect e</w:t>
      </w:r>
      <w:r w:rsidR="00572260" w:rsidRPr="00020DAD">
        <w:t>xpectation</w:t>
      </w:r>
      <w:r w:rsidR="003F1CFD" w:rsidRPr="00020DAD">
        <w:t xml:space="preserve">s </w:t>
      </w:r>
      <w:r w:rsidR="00572260" w:rsidRPr="00020DAD">
        <w:t>are important</w:t>
      </w:r>
      <w:r w:rsidR="006130CF" w:rsidRPr="00020DAD">
        <w:t>,</w:t>
      </w:r>
      <w:r w:rsidR="00572260" w:rsidRPr="00020DAD">
        <w:t xml:space="preserve"> fuelling t</w:t>
      </w:r>
      <w:r w:rsidR="000329E2" w:rsidRPr="00020DAD">
        <w:t xml:space="preserve">he </w:t>
      </w:r>
      <w:r w:rsidR="00BA7288" w:rsidRPr="00020DAD">
        <w:t>‘</w:t>
      </w:r>
      <w:r w:rsidR="000329E2" w:rsidRPr="00020DAD">
        <w:t>nocebo effect</w:t>
      </w:r>
      <w:r w:rsidR="00BA7288" w:rsidRPr="00020DAD">
        <w:t>’</w:t>
      </w:r>
      <w:r w:rsidR="000329E2" w:rsidRPr="00020DAD">
        <w:t xml:space="preserve">, </w:t>
      </w:r>
      <w:r w:rsidR="0051399C" w:rsidRPr="00020DAD">
        <w:t xml:space="preserve">a phenomenon whereby the expectation of symptoms </w:t>
      </w:r>
      <w:r w:rsidR="00DB55AF" w:rsidRPr="00020DAD">
        <w:t>is self-fulfilling</w:t>
      </w:r>
      <w:r w:rsidR="00572260" w:rsidRPr="00020DAD">
        <w:t>.</w:t>
      </w:r>
      <w:r w:rsidR="000C25A7" w:rsidRPr="00020DAD">
        <w:t xml:space="preserve"> </w:t>
      </w:r>
      <w:r w:rsidR="002D1D2C" w:rsidRPr="00020DAD">
        <w:t>The association between side</w:t>
      </w:r>
      <w:r w:rsidR="003C7383" w:rsidRPr="00020DAD">
        <w:t>-</w:t>
      </w:r>
      <w:r w:rsidR="002D1D2C" w:rsidRPr="00020DAD">
        <w:t xml:space="preserve">effect expectations and subsequent </w:t>
      </w:r>
      <w:r w:rsidR="00082825" w:rsidRPr="00020DAD">
        <w:t>reporting</w:t>
      </w:r>
      <w:r w:rsidR="002D1D2C" w:rsidRPr="00020DAD">
        <w:t xml:space="preserve"> of side effects has been found for a range of medications, including</w:t>
      </w:r>
      <w:r w:rsidR="00611740" w:rsidRPr="00020DAD">
        <w:t xml:space="preserve"> </w:t>
      </w:r>
      <w:r w:rsidR="008407E1" w:rsidRPr="00020DAD">
        <w:t>cancer treatment</w:t>
      </w:r>
      <w:r w:rsidR="0062505B" w:rsidRPr="00020DAD">
        <w:t>s</w:t>
      </w:r>
      <w:r w:rsidR="008407E1" w:rsidRPr="00020DAD">
        <w:t>, rheumatoid arthritis</w:t>
      </w:r>
      <w:r w:rsidR="005A4D4A" w:rsidRPr="00020DAD">
        <w:t xml:space="preserve"> medication</w:t>
      </w:r>
      <w:r w:rsidR="008407E1" w:rsidRPr="00020DAD">
        <w:t xml:space="preserve">, </w:t>
      </w:r>
      <w:r w:rsidR="00647447" w:rsidRPr="00020DAD">
        <w:t>and child vaccination</w:t>
      </w:r>
      <w:r w:rsidR="00611740" w:rsidRPr="00020DAD">
        <w:t>.</w:t>
      </w:r>
      <w:r w:rsidR="00761F56" w:rsidRPr="00020DAD">
        <w:rPr>
          <w:noProof/>
        </w:rPr>
        <w:t>[11-13]</w:t>
      </w:r>
      <w:r w:rsidR="008C12C9" w:rsidRPr="00020DAD">
        <w:t xml:space="preserve"> </w:t>
      </w:r>
      <w:r w:rsidR="00726FC1" w:rsidRPr="00020DAD">
        <w:t>A systematic review of factors associated with e</w:t>
      </w:r>
      <w:r w:rsidR="008C12C9" w:rsidRPr="00020DAD">
        <w:t xml:space="preserve">xpectations of side effects </w:t>
      </w:r>
      <w:r w:rsidR="00945BA4" w:rsidRPr="00020DAD">
        <w:t xml:space="preserve">from medical interventions </w:t>
      </w:r>
      <w:r w:rsidR="00726FC1" w:rsidRPr="00020DAD">
        <w:t xml:space="preserve">found </w:t>
      </w:r>
      <w:r w:rsidR="00CC7896" w:rsidRPr="00020DAD">
        <w:t>some evidence that negative beliefs about medications was associated with greater side</w:t>
      </w:r>
      <w:r w:rsidR="003C7383" w:rsidRPr="00020DAD">
        <w:t>-</w:t>
      </w:r>
      <w:r w:rsidR="00CC7896" w:rsidRPr="00020DAD">
        <w:t xml:space="preserve">effect </w:t>
      </w:r>
      <w:r w:rsidR="005D1D82" w:rsidRPr="00020DAD">
        <w:t>expectations</w:t>
      </w:r>
      <w:r w:rsidR="00CC7896" w:rsidRPr="00020DAD">
        <w:t>.</w:t>
      </w:r>
      <w:r w:rsidR="00761F56" w:rsidRPr="00020DAD">
        <w:rPr>
          <w:noProof/>
        </w:rPr>
        <w:t>[14]</w:t>
      </w:r>
      <w:r w:rsidR="00726FC1" w:rsidRPr="00020DAD">
        <w:t xml:space="preserve">  </w:t>
      </w:r>
    </w:p>
    <w:p w14:paraId="2BDD5659" w14:textId="6A1D61DF" w:rsidR="005E7E49" w:rsidRPr="00020DAD" w:rsidRDefault="005E7E49" w:rsidP="005E7E49">
      <w:r w:rsidRPr="00020DAD">
        <w:t xml:space="preserve">The aim of this study was to </w:t>
      </w:r>
      <w:r w:rsidR="005211AB" w:rsidRPr="00020DAD">
        <w:t>estimate</w:t>
      </w:r>
      <w:r w:rsidR="00E16589" w:rsidRPr="00020DAD">
        <w:t xml:space="preserve"> </w:t>
      </w:r>
      <w:r w:rsidR="00495F82" w:rsidRPr="00020DAD">
        <w:t xml:space="preserve">the percentage of the UK population who expected side effects from the COVID-19 vaccine, and to </w:t>
      </w:r>
      <w:r w:rsidRPr="00020DAD">
        <w:t xml:space="preserve">investigate associations between </w:t>
      </w:r>
      <w:r w:rsidRPr="00020DAD">
        <w:lastRenderedPageBreak/>
        <w:t>side</w:t>
      </w:r>
      <w:r w:rsidR="009540D3" w:rsidRPr="00020DAD">
        <w:t>-</w:t>
      </w:r>
      <w:r w:rsidRPr="00020DAD">
        <w:t>effect expectations and personal and clinical characteristics, general vaccine beliefs and attitudes, and COVID-19 vaccination beliefs and attitudes.</w:t>
      </w:r>
    </w:p>
    <w:p w14:paraId="568E615C" w14:textId="72C0A32F" w:rsidR="00C913D4" w:rsidRPr="00020DAD" w:rsidRDefault="00C913D4" w:rsidP="00092D79">
      <w:pPr>
        <w:pStyle w:val="Heading1"/>
      </w:pPr>
      <w:r w:rsidRPr="00020DAD">
        <w:t>Methods</w:t>
      </w:r>
    </w:p>
    <w:p w14:paraId="634145F2" w14:textId="58B807F8" w:rsidR="009C29FC" w:rsidRPr="00020DAD" w:rsidRDefault="00CD4CF0" w:rsidP="009C29FC">
      <w:r w:rsidRPr="00020DAD">
        <w:t xml:space="preserve">This study reports data from the second wave of the </w:t>
      </w:r>
      <w:r w:rsidR="008F00AF" w:rsidRPr="00020DAD">
        <w:t>COVID-19 vaccination acceptability study (</w:t>
      </w:r>
      <w:proofErr w:type="spellStart"/>
      <w:r w:rsidR="008F00AF" w:rsidRPr="00020DAD">
        <w:t>CoVAccS</w:t>
      </w:r>
      <w:proofErr w:type="spellEnd"/>
      <w:r w:rsidR="008F00AF" w:rsidRPr="00020DAD">
        <w:t xml:space="preserve">). </w:t>
      </w:r>
      <w:r w:rsidR="009C29FC" w:rsidRPr="00020DAD">
        <w:t>Full methods of the s</w:t>
      </w:r>
      <w:r w:rsidR="00BA7288" w:rsidRPr="00020DAD">
        <w:t>tudy</w:t>
      </w:r>
      <w:r w:rsidR="009C29FC" w:rsidRPr="00020DAD">
        <w:t xml:space="preserve"> have been reported elsewhere.</w:t>
      </w:r>
      <w:r w:rsidR="00761F56" w:rsidRPr="00020DAD">
        <w:rPr>
          <w:noProof/>
        </w:rPr>
        <w:t>[15]</w:t>
      </w:r>
    </w:p>
    <w:p w14:paraId="02D0898E" w14:textId="3760D7B7" w:rsidR="00A179B9" w:rsidRPr="00020DAD" w:rsidRDefault="00A179B9" w:rsidP="0048782D">
      <w:pPr>
        <w:pStyle w:val="Heading2"/>
      </w:pPr>
      <w:r w:rsidRPr="00020DAD">
        <w:t>Design</w:t>
      </w:r>
    </w:p>
    <w:p w14:paraId="19404992" w14:textId="2AC13CAE" w:rsidR="00CF4E57" w:rsidRPr="00020DAD" w:rsidRDefault="00CF4E57" w:rsidP="00CF4E57">
      <w:r w:rsidRPr="00020DAD">
        <w:t xml:space="preserve">Cross-sectional online survey hosted on Qualtrics. Data were collected </w:t>
      </w:r>
      <w:r w:rsidR="00682792" w:rsidRPr="00020DAD">
        <w:t>from</w:t>
      </w:r>
      <w:r w:rsidR="008C064F" w:rsidRPr="00020DAD">
        <w:t xml:space="preserve"> </w:t>
      </w:r>
      <w:r w:rsidRPr="00020DAD">
        <w:t>13 to 15 January 2021</w:t>
      </w:r>
      <w:r w:rsidR="008C064F" w:rsidRPr="00020DAD">
        <w:t>.</w:t>
      </w:r>
    </w:p>
    <w:p w14:paraId="637A229C" w14:textId="6E067A1C" w:rsidR="00A179B9" w:rsidRPr="00020DAD" w:rsidRDefault="00A179B9" w:rsidP="0048782D">
      <w:pPr>
        <w:pStyle w:val="Heading2"/>
      </w:pPr>
      <w:r w:rsidRPr="00020DAD">
        <w:t>Participants</w:t>
      </w:r>
    </w:p>
    <w:p w14:paraId="1B6CA7D0" w14:textId="58274659" w:rsidR="003C1541" w:rsidRPr="00020DAD" w:rsidRDefault="00D43078" w:rsidP="0072783C">
      <w:r w:rsidRPr="00020DAD">
        <w:t xml:space="preserve">1,500 participants </w:t>
      </w:r>
      <w:r w:rsidR="003C1541" w:rsidRPr="00020DAD">
        <w:t xml:space="preserve">were recruited </w:t>
      </w:r>
      <w:r w:rsidRPr="00020DAD">
        <w:t xml:space="preserve">through </w:t>
      </w:r>
      <w:proofErr w:type="spellStart"/>
      <w:r w:rsidRPr="00020DAD">
        <w:t>Prolific’s</w:t>
      </w:r>
      <w:proofErr w:type="spellEnd"/>
      <w:r w:rsidRPr="00020DAD">
        <w:t xml:space="preserve"> UK online research panel. Participants were eligible for the study if they were </w:t>
      </w:r>
      <w:r w:rsidR="007C5582" w:rsidRPr="00020DAD">
        <w:t>aged eighteen years or over, lived in the UK, and had not completed our previous survey (n&gt;31,000 eligible participants).</w:t>
      </w:r>
      <w:r w:rsidR="00761F56" w:rsidRPr="00020DAD">
        <w:rPr>
          <w:noProof/>
        </w:rPr>
        <w:t>[16]</w:t>
      </w:r>
      <w:r w:rsidR="00DC0A1A" w:rsidRPr="00020DAD">
        <w:t xml:space="preserve"> </w:t>
      </w:r>
      <w:r w:rsidR="004D7DB8" w:rsidRPr="00020DAD">
        <w:t xml:space="preserve">We used quota sampling based on age, sex, and ethnicity </w:t>
      </w:r>
      <w:r w:rsidR="009B3DE7" w:rsidRPr="00020DAD">
        <w:t xml:space="preserve">so that participant characteristics were </w:t>
      </w:r>
      <w:r w:rsidR="0054570D" w:rsidRPr="00020DAD">
        <w:t xml:space="preserve">broadly reflective of those in the UK population. </w:t>
      </w:r>
      <w:r w:rsidR="005D2605" w:rsidRPr="00020DAD">
        <w:t>Participants provided informed consent to take part in the study</w:t>
      </w:r>
      <w:r w:rsidR="0067542B" w:rsidRPr="00020DAD">
        <w:t xml:space="preserve"> before being </w:t>
      </w:r>
      <w:r w:rsidR="00056BA8" w:rsidRPr="00020DAD">
        <w:t xml:space="preserve">able </w:t>
      </w:r>
      <w:r w:rsidR="0067542B" w:rsidRPr="00020DAD">
        <w:t xml:space="preserve">to commence </w:t>
      </w:r>
      <w:r w:rsidR="0060610B" w:rsidRPr="00020DAD">
        <w:t xml:space="preserve">the </w:t>
      </w:r>
      <w:r w:rsidR="0067542B" w:rsidRPr="00020DAD">
        <w:t>survey</w:t>
      </w:r>
      <w:r w:rsidR="005D2605" w:rsidRPr="00020DAD">
        <w:t xml:space="preserve">. </w:t>
      </w:r>
      <w:r w:rsidR="00787F59" w:rsidRPr="00020DAD">
        <w:t>Upon completion of the survey, p</w:t>
      </w:r>
      <w:r w:rsidR="00A72A96" w:rsidRPr="00020DAD">
        <w:t xml:space="preserve">articipants were </w:t>
      </w:r>
      <w:r w:rsidR="00787F59" w:rsidRPr="00020DAD">
        <w:t>paid £2.</w:t>
      </w:r>
      <w:r w:rsidR="00011D7F" w:rsidRPr="00020DAD">
        <w:t xml:space="preserve"> </w:t>
      </w:r>
    </w:p>
    <w:p w14:paraId="09877132" w14:textId="3B35292F" w:rsidR="0072783C" w:rsidRPr="00020DAD" w:rsidRDefault="003C1541" w:rsidP="0072783C">
      <w:r w:rsidRPr="00020DAD">
        <w:t xml:space="preserve">For this study, we included participants if they indicated that they had not yet received </w:t>
      </w:r>
      <w:r w:rsidR="00BA7288" w:rsidRPr="00020DAD">
        <w:t>a</w:t>
      </w:r>
      <w:r w:rsidRPr="00020DAD">
        <w:t xml:space="preserve"> COVID-19 vaccine (n=1470).</w:t>
      </w:r>
    </w:p>
    <w:p w14:paraId="2153B8DD" w14:textId="12AE78E0" w:rsidR="00A179B9" w:rsidRPr="00020DAD" w:rsidRDefault="00A179B9" w:rsidP="0048782D">
      <w:pPr>
        <w:pStyle w:val="Heading2"/>
      </w:pPr>
      <w:r w:rsidRPr="00020DAD">
        <w:t>Measures</w:t>
      </w:r>
    </w:p>
    <w:p w14:paraId="4A5FD489" w14:textId="4A6DDF4A" w:rsidR="00911BAB" w:rsidRPr="00020DAD" w:rsidRDefault="00911BAB" w:rsidP="00911BAB">
      <w:r w:rsidRPr="00020DAD">
        <w:t>Full survey materials are available online.</w:t>
      </w:r>
      <w:r w:rsidR="00761F56" w:rsidRPr="00020DAD">
        <w:rPr>
          <w:noProof/>
        </w:rPr>
        <w:t>[17]</w:t>
      </w:r>
    </w:p>
    <w:p w14:paraId="7D8FF01E" w14:textId="0179CEF0" w:rsidR="002639B6" w:rsidRPr="00020DAD" w:rsidRDefault="00FC2F28" w:rsidP="00911BAB">
      <w:pPr>
        <w:rPr>
          <w:color w:val="000000"/>
          <w:szCs w:val="24"/>
          <w:lang w:eastAsia="en-GB"/>
        </w:rPr>
      </w:pPr>
      <w:r w:rsidRPr="00020DAD">
        <w:t>Side</w:t>
      </w:r>
      <w:r w:rsidR="009540D3" w:rsidRPr="00020DAD">
        <w:t>-</w:t>
      </w:r>
      <w:r w:rsidRPr="00020DAD">
        <w:t xml:space="preserve">effect expectation was measured by a single item asking participants </w:t>
      </w:r>
      <w:r w:rsidR="00BE6F8C" w:rsidRPr="00020DAD">
        <w:t>h</w:t>
      </w:r>
      <w:r w:rsidR="00BE6F8C" w:rsidRPr="00020DAD">
        <w:rPr>
          <w:color w:val="000000"/>
          <w:szCs w:val="24"/>
          <w:lang w:eastAsia="en-GB"/>
        </w:rPr>
        <w:t>ow likely they thought it was that they “would get side effects from a coronavirus vaccine”</w:t>
      </w:r>
      <w:r w:rsidR="009D1A55" w:rsidRPr="00020DAD">
        <w:rPr>
          <w:color w:val="000000"/>
          <w:szCs w:val="24"/>
          <w:lang w:eastAsia="en-GB"/>
        </w:rPr>
        <w:t xml:space="preserve"> on an 11-point scale</w:t>
      </w:r>
      <w:r w:rsidR="00BA7288" w:rsidRPr="00020DAD">
        <w:rPr>
          <w:color w:val="000000"/>
          <w:szCs w:val="24"/>
          <w:lang w:eastAsia="en-GB"/>
        </w:rPr>
        <w:t>,</w:t>
      </w:r>
      <w:r w:rsidR="009D1A55" w:rsidRPr="00020DAD">
        <w:rPr>
          <w:color w:val="000000"/>
          <w:szCs w:val="24"/>
          <w:lang w:eastAsia="en-GB"/>
        </w:rPr>
        <w:t xml:space="preserve"> from “extremely unlikely” (0) to “extremely likely” (10).</w:t>
      </w:r>
    </w:p>
    <w:p w14:paraId="0B85C535" w14:textId="6E28F9E3" w:rsidR="009D1A55" w:rsidRPr="00020DAD" w:rsidRDefault="0028798C" w:rsidP="00566F68">
      <w:pPr>
        <w:rPr>
          <w:color w:val="000000"/>
          <w:szCs w:val="24"/>
          <w:lang w:eastAsia="en-GB"/>
        </w:rPr>
      </w:pPr>
      <w:r w:rsidRPr="00020DAD">
        <w:lastRenderedPageBreak/>
        <w:t xml:space="preserve">To measure general vaccination beliefs and attitudes, we asked participants to what extent they agreed that </w:t>
      </w:r>
      <w:r w:rsidR="00D65080" w:rsidRPr="00020DAD">
        <w:t>vaccination is a good thing in general and that they were afraid of needles</w:t>
      </w:r>
      <w:r w:rsidR="009540D3" w:rsidRPr="00020DAD">
        <w:t>,</w:t>
      </w:r>
      <w:r w:rsidR="00D65080" w:rsidRPr="00020DAD">
        <w:t xml:space="preserve"> </w:t>
      </w:r>
      <w:r w:rsidR="00D65080" w:rsidRPr="00020DAD">
        <w:rPr>
          <w:color w:val="000000"/>
          <w:szCs w:val="24"/>
          <w:lang w:eastAsia="en-GB"/>
        </w:rPr>
        <w:t>on an 11-point scale from “</w:t>
      </w:r>
      <w:r w:rsidR="00A97A99" w:rsidRPr="00020DAD">
        <w:rPr>
          <w:color w:val="000000"/>
          <w:szCs w:val="24"/>
          <w:lang w:eastAsia="en-GB"/>
        </w:rPr>
        <w:t>strongly disagree</w:t>
      </w:r>
      <w:r w:rsidR="00D65080" w:rsidRPr="00020DAD">
        <w:rPr>
          <w:color w:val="000000"/>
          <w:szCs w:val="24"/>
          <w:lang w:eastAsia="en-GB"/>
        </w:rPr>
        <w:t>” (0) to “</w:t>
      </w:r>
      <w:r w:rsidR="00A97A99" w:rsidRPr="00020DAD">
        <w:rPr>
          <w:color w:val="000000"/>
          <w:szCs w:val="24"/>
          <w:lang w:eastAsia="en-GB"/>
        </w:rPr>
        <w:t>strongly agree</w:t>
      </w:r>
      <w:r w:rsidR="00D65080" w:rsidRPr="00020DAD">
        <w:rPr>
          <w:color w:val="000000"/>
          <w:szCs w:val="24"/>
          <w:lang w:eastAsia="en-GB"/>
        </w:rPr>
        <w:t>” (10).</w:t>
      </w:r>
    </w:p>
    <w:p w14:paraId="3836BD3B" w14:textId="6E4DDE4B" w:rsidR="00566F68" w:rsidRPr="00020DAD" w:rsidRDefault="00566F68" w:rsidP="00C526A0">
      <w:pPr>
        <w:rPr>
          <w:color w:val="000000"/>
          <w:szCs w:val="24"/>
          <w:lang w:eastAsia="en-GB"/>
        </w:rPr>
      </w:pPr>
      <w:r w:rsidRPr="00020DAD">
        <w:rPr>
          <w:color w:val="000000"/>
          <w:szCs w:val="24"/>
          <w:lang w:eastAsia="en-GB"/>
        </w:rPr>
        <w:t xml:space="preserve">We measured COVID-19 vaccination beliefs and attitudes using </w:t>
      </w:r>
      <w:r w:rsidR="00407608" w:rsidRPr="00020DAD">
        <w:rPr>
          <w:color w:val="000000"/>
          <w:szCs w:val="24"/>
          <w:lang w:eastAsia="en-GB"/>
        </w:rPr>
        <w:t xml:space="preserve">21 </w:t>
      </w:r>
      <w:r w:rsidR="00345A36" w:rsidRPr="00020DAD">
        <w:rPr>
          <w:color w:val="000000"/>
          <w:szCs w:val="24"/>
          <w:lang w:eastAsia="en-GB"/>
        </w:rPr>
        <w:t>statements</w:t>
      </w:r>
      <w:r w:rsidR="006C3004" w:rsidRPr="00020DAD">
        <w:rPr>
          <w:color w:val="000000"/>
          <w:szCs w:val="24"/>
          <w:lang w:eastAsia="en-GB"/>
        </w:rPr>
        <w:t xml:space="preserve"> </w:t>
      </w:r>
      <w:r w:rsidR="00AB26C4" w:rsidRPr="00020DAD">
        <w:rPr>
          <w:color w:val="000000"/>
          <w:szCs w:val="24"/>
          <w:lang w:eastAsia="en-GB"/>
        </w:rPr>
        <w:t>investigating</w:t>
      </w:r>
      <w:r w:rsidR="009540D3" w:rsidRPr="00020DAD">
        <w:rPr>
          <w:color w:val="000000"/>
          <w:szCs w:val="24"/>
          <w:lang w:eastAsia="en-GB"/>
        </w:rPr>
        <w:t>:</w:t>
      </w:r>
      <w:r w:rsidR="00B001A3" w:rsidRPr="00020DAD">
        <w:rPr>
          <w:color w:val="000000"/>
          <w:szCs w:val="24"/>
          <w:lang w:eastAsia="en-GB"/>
        </w:rPr>
        <w:t xml:space="preserve"> </w:t>
      </w:r>
      <w:r w:rsidR="007D7CB2" w:rsidRPr="00020DAD">
        <w:rPr>
          <w:color w:val="000000"/>
          <w:szCs w:val="24"/>
          <w:lang w:eastAsia="en-GB"/>
        </w:rPr>
        <w:t xml:space="preserve">perceived effectiveness and safety of COVID-19 vaccination; barriers and facilitators to vaccination; </w:t>
      </w:r>
      <w:r w:rsidR="00B75337" w:rsidRPr="00020DAD">
        <w:rPr>
          <w:color w:val="000000"/>
          <w:szCs w:val="24"/>
          <w:lang w:eastAsia="en-GB"/>
        </w:rPr>
        <w:t xml:space="preserve">perceived information sufficiency about COVID-19 and the vaccine; </w:t>
      </w:r>
      <w:r w:rsidR="006E36B4" w:rsidRPr="00020DAD">
        <w:rPr>
          <w:color w:val="000000"/>
          <w:szCs w:val="24"/>
          <w:lang w:eastAsia="en-GB"/>
        </w:rPr>
        <w:t xml:space="preserve">social norms about vaccination; beliefs about profiteering; </w:t>
      </w:r>
      <w:r w:rsidR="007C1DCF" w:rsidRPr="00020DAD">
        <w:rPr>
          <w:color w:val="000000"/>
          <w:szCs w:val="24"/>
          <w:lang w:eastAsia="en-GB"/>
        </w:rPr>
        <w:t xml:space="preserve">and beliefs </w:t>
      </w:r>
      <w:r w:rsidR="002912AB" w:rsidRPr="00020DAD">
        <w:rPr>
          <w:color w:val="000000"/>
          <w:szCs w:val="24"/>
          <w:lang w:eastAsia="en-GB"/>
        </w:rPr>
        <w:t>concerning</w:t>
      </w:r>
      <w:r w:rsidR="007C1DCF" w:rsidRPr="00020DAD">
        <w:rPr>
          <w:color w:val="000000"/>
          <w:szCs w:val="24"/>
          <w:lang w:eastAsia="en-GB"/>
        </w:rPr>
        <w:t xml:space="preserve"> </w:t>
      </w:r>
      <w:r w:rsidR="007C4D36" w:rsidRPr="00020DAD">
        <w:rPr>
          <w:color w:val="000000"/>
          <w:szCs w:val="24"/>
          <w:lang w:eastAsia="en-GB"/>
        </w:rPr>
        <w:t>the impact of vaccination on restrictions.</w:t>
      </w:r>
      <w:r w:rsidR="001C690E" w:rsidRPr="00020DAD">
        <w:rPr>
          <w:color w:val="000000"/>
          <w:szCs w:val="24"/>
          <w:lang w:eastAsia="en-GB"/>
        </w:rPr>
        <w:t xml:space="preserve"> </w:t>
      </w:r>
      <w:r w:rsidR="007305A7" w:rsidRPr="00020DAD">
        <w:t>Participants were asked to what extent they agreed with the statements</w:t>
      </w:r>
      <w:r w:rsidR="007305A7" w:rsidRPr="00020DAD">
        <w:rPr>
          <w:color w:val="000000"/>
          <w:szCs w:val="24"/>
          <w:lang w:eastAsia="en-GB"/>
        </w:rPr>
        <w:t xml:space="preserve"> from “strongly disagree” (0) to “strongly agree” (10).</w:t>
      </w:r>
      <w:r w:rsidR="00B840A2" w:rsidRPr="00020DAD">
        <w:rPr>
          <w:color w:val="000000"/>
          <w:szCs w:val="24"/>
          <w:lang w:eastAsia="en-GB"/>
        </w:rPr>
        <w:t xml:space="preserve"> </w:t>
      </w:r>
      <w:r w:rsidR="002539CD" w:rsidRPr="00020DAD">
        <w:t>Sixteen of these items were included in a principal components analysis, which identified</w:t>
      </w:r>
      <w:r w:rsidR="00FB0B7D" w:rsidRPr="00020DAD">
        <w:rPr>
          <w:color w:val="000000"/>
          <w:szCs w:val="24"/>
          <w:lang w:eastAsia="en-GB"/>
        </w:rPr>
        <w:t xml:space="preserve"> five components</w:t>
      </w:r>
      <w:r w:rsidR="00C526A0" w:rsidRPr="00020DAD">
        <w:rPr>
          <w:color w:val="000000"/>
          <w:szCs w:val="24"/>
          <w:lang w:eastAsia="en-GB"/>
        </w:rPr>
        <w:t xml:space="preserve"> </w:t>
      </w:r>
      <w:r w:rsidR="00FD241B" w:rsidRPr="00020DAD">
        <w:rPr>
          <w:color w:val="000000"/>
          <w:szCs w:val="24"/>
          <w:lang w:eastAsia="en-GB"/>
        </w:rPr>
        <w:t>account</w:t>
      </w:r>
      <w:r w:rsidR="002539CD" w:rsidRPr="00020DAD">
        <w:rPr>
          <w:color w:val="000000"/>
          <w:szCs w:val="24"/>
          <w:lang w:eastAsia="en-GB"/>
        </w:rPr>
        <w:t>ing</w:t>
      </w:r>
      <w:r w:rsidR="00FD241B" w:rsidRPr="00020DAD">
        <w:rPr>
          <w:color w:val="000000"/>
          <w:szCs w:val="24"/>
          <w:lang w:eastAsia="en-GB"/>
        </w:rPr>
        <w:t xml:space="preserve"> for 68% of the variance in the original items</w:t>
      </w:r>
      <w:r w:rsidR="00C01B5A" w:rsidRPr="00020DAD">
        <w:rPr>
          <w:color w:val="000000"/>
          <w:szCs w:val="24"/>
          <w:lang w:eastAsia="en-GB"/>
        </w:rPr>
        <w:t>: social norms regarding vaccination, necessity of vaccination, safety of the vaccine, adequacy of information about the vaccine, and freedom from restrictions through the vaccine</w:t>
      </w:r>
      <w:r w:rsidR="00FD241B" w:rsidRPr="00020DAD">
        <w:rPr>
          <w:color w:val="000000"/>
          <w:szCs w:val="24"/>
          <w:lang w:eastAsia="en-GB"/>
        </w:rPr>
        <w:t>.</w:t>
      </w:r>
      <w:r w:rsidR="00761F56" w:rsidRPr="00020DAD">
        <w:rPr>
          <w:noProof/>
          <w:color w:val="000000"/>
          <w:szCs w:val="24"/>
          <w:lang w:eastAsia="en-GB"/>
        </w:rPr>
        <w:t>[15]</w:t>
      </w:r>
    </w:p>
    <w:p w14:paraId="65941336" w14:textId="517C668D" w:rsidR="00674060" w:rsidRPr="00020DAD" w:rsidRDefault="009254FC" w:rsidP="00C526A0">
      <w:pPr>
        <w:rPr>
          <w:color w:val="000000"/>
          <w:szCs w:val="24"/>
          <w:lang w:eastAsia="en-GB"/>
        </w:rPr>
      </w:pPr>
      <w:r w:rsidRPr="00020DAD">
        <w:rPr>
          <w:color w:val="000000"/>
          <w:szCs w:val="24"/>
          <w:lang w:eastAsia="en-GB"/>
        </w:rPr>
        <w:t>We asked participants for</w:t>
      </w:r>
      <w:r w:rsidR="00674060" w:rsidRPr="00020DAD">
        <w:rPr>
          <w:color w:val="000000"/>
          <w:szCs w:val="24"/>
          <w:lang w:eastAsia="en-GB"/>
        </w:rPr>
        <w:t xml:space="preserve"> their age, sex, </w:t>
      </w:r>
      <w:r w:rsidR="009979BE" w:rsidRPr="00020DAD">
        <w:rPr>
          <w:color w:val="000000"/>
          <w:szCs w:val="24"/>
          <w:lang w:eastAsia="en-GB"/>
        </w:rPr>
        <w:t xml:space="preserve">ethnicity, religion, </w:t>
      </w:r>
      <w:r w:rsidR="00282281" w:rsidRPr="00020DAD">
        <w:rPr>
          <w:color w:val="000000"/>
          <w:szCs w:val="24"/>
          <w:lang w:eastAsia="en-GB"/>
        </w:rPr>
        <w:t xml:space="preserve">highest level of qualification, and employment status. </w:t>
      </w:r>
      <w:r w:rsidRPr="00020DAD">
        <w:rPr>
          <w:color w:val="000000"/>
          <w:szCs w:val="24"/>
          <w:lang w:eastAsia="en-GB"/>
        </w:rPr>
        <w:t>P</w:t>
      </w:r>
      <w:r w:rsidR="00282281" w:rsidRPr="00020DAD">
        <w:rPr>
          <w:color w:val="000000"/>
          <w:szCs w:val="24"/>
          <w:lang w:eastAsia="en-GB"/>
        </w:rPr>
        <w:t xml:space="preserve">articipants </w:t>
      </w:r>
      <w:r w:rsidRPr="00020DAD">
        <w:rPr>
          <w:color w:val="000000"/>
          <w:szCs w:val="24"/>
          <w:lang w:eastAsia="en-GB"/>
        </w:rPr>
        <w:t xml:space="preserve">were asked </w:t>
      </w:r>
      <w:r w:rsidR="00CF27C3" w:rsidRPr="00020DAD">
        <w:rPr>
          <w:color w:val="000000"/>
          <w:szCs w:val="24"/>
          <w:lang w:eastAsia="en-GB"/>
        </w:rPr>
        <w:t>whether</w:t>
      </w:r>
      <w:r w:rsidR="00090C83" w:rsidRPr="00020DAD">
        <w:rPr>
          <w:color w:val="000000"/>
          <w:szCs w:val="24"/>
          <w:lang w:eastAsia="en-GB"/>
        </w:rPr>
        <w:t xml:space="preserve"> they, or someone they lived with, had a </w:t>
      </w:r>
      <w:r w:rsidR="006C3FA7" w:rsidRPr="00020DAD">
        <w:rPr>
          <w:color w:val="000000"/>
          <w:szCs w:val="24"/>
          <w:lang w:eastAsia="en-GB"/>
        </w:rPr>
        <w:t>medical condition</w:t>
      </w:r>
      <w:r w:rsidR="001B6791" w:rsidRPr="00020DAD">
        <w:rPr>
          <w:color w:val="000000"/>
          <w:szCs w:val="24"/>
          <w:lang w:eastAsia="en-GB"/>
        </w:rPr>
        <w:t xml:space="preserve"> </w:t>
      </w:r>
      <w:r w:rsidR="000C0558" w:rsidRPr="00020DAD">
        <w:rPr>
          <w:color w:val="000000"/>
          <w:szCs w:val="24"/>
          <w:lang w:eastAsia="en-GB"/>
        </w:rPr>
        <w:t>that</w:t>
      </w:r>
      <w:r w:rsidR="001B6791" w:rsidRPr="00020DAD">
        <w:rPr>
          <w:color w:val="000000"/>
          <w:szCs w:val="24"/>
          <w:lang w:eastAsia="en-GB"/>
        </w:rPr>
        <w:t xml:space="preserve"> made them</w:t>
      </w:r>
      <w:r w:rsidR="00C1629F" w:rsidRPr="00020DAD">
        <w:rPr>
          <w:color w:val="000000"/>
          <w:szCs w:val="24"/>
          <w:lang w:eastAsia="en-GB"/>
        </w:rPr>
        <w:t xml:space="preserve"> extremely clinically vulnerable to COVID-19</w:t>
      </w:r>
      <w:r w:rsidR="00CF27C3" w:rsidRPr="00020DAD">
        <w:rPr>
          <w:color w:val="000000"/>
          <w:szCs w:val="24"/>
          <w:lang w:eastAsia="en-GB"/>
        </w:rPr>
        <w:t>.</w:t>
      </w:r>
      <w:r w:rsidR="00761F56" w:rsidRPr="00020DAD">
        <w:rPr>
          <w:noProof/>
        </w:rPr>
        <w:t>[18]</w:t>
      </w:r>
      <w:r w:rsidRPr="00020DAD">
        <w:rPr>
          <w:color w:val="000000"/>
          <w:szCs w:val="24"/>
          <w:lang w:eastAsia="en-GB"/>
        </w:rPr>
        <w:t xml:space="preserve"> We </w:t>
      </w:r>
      <w:r w:rsidR="00D32E62" w:rsidRPr="00020DAD">
        <w:rPr>
          <w:color w:val="000000"/>
          <w:szCs w:val="24"/>
          <w:lang w:eastAsia="en-GB"/>
        </w:rPr>
        <w:t>also asked participants if they worked or volunteered in roles</w:t>
      </w:r>
      <w:r w:rsidR="00E50AB0" w:rsidRPr="00020DAD">
        <w:rPr>
          <w:color w:val="000000"/>
          <w:szCs w:val="24"/>
          <w:lang w:eastAsia="en-GB"/>
        </w:rPr>
        <w:t xml:space="preserve"> critical </w:t>
      </w:r>
      <w:r w:rsidR="009E7B3E" w:rsidRPr="00020DAD">
        <w:rPr>
          <w:color w:val="000000"/>
          <w:szCs w:val="24"/>
          <w:lang w:eastAsia="en-GB"/>
        </w:rPr>
        <w:t>to COVID-19 (“key worker”).</w:t>
      </w:r>
      <w:r w:rsidR="00761F56" w:rsidRPr="00020DAD">
        <w:rPr>
          <w:noProof/>
          <w:color w:val="000000"/>
          <w:szCs w:val="24"/>
          <w:lang w:eastAsia="en-GB"/>
        </w:rPr>
        <w:t>[19]</w:t>
      </w:r>
      <w:r w:rsidRPr="00020DAD">
        <w:rPr>
          <w:color w:val="000000"/>
          <w:szCs w:val="24"/>
          <w:lang w:eastAsia="en-GB"/>
        </w:rPr>
        <w:t xml:space="preserve"> </w:t>
      </w:r>
    </w:p>
    <w:p w14:paraId="54066ED3" w14:textId="67B7DD86" w:rsidR="00A179B9" w:rsidRPr="00020DAD" w:rsidRDefault="00C12E57" w:rsidP="0048782D">
      <w:pPr>
        <w:pStyle w:val="Heading2"/>
      </w:pPr>
      <w:r w:rsidRPr="00020DAD">
        <w:t>Ethics</w:t>
      </w:r>
    </w:p>
    <w:p w14:paraId="13BA4F59" w14:textId="2F93F7F2" w:rsidR="00327F71" w:rsidRPr="00020DAD" w:rsidRDefault="00327F71" w:rsidP="008F3FE9">
      <w:r w:rsidRPr="00020DAD">
        <w:t xml:space="preserve">We obtained ethical approval for this study from </w:t>
      </w:r>
      <w:proofErr w:type="spellStart"/>
      <w:r w:rsidR="008F3FE9" w:rsidRPr="00020DAD">
        <w:t>Keele</w:t>
      </w:r>
      <w:proofErr w:type="spellEnd"/>
      <w:r w:rsidR="008F3FE9" w:rsidRPr="00020DAD">
        <w:t xml:space="preserve"> University’s Research Ethics Committee (reference: PS-200129).</w:t>
      </w:r>
      <w:r w:rsidR="005D2605" w:rsidRPr="00020DAD">
        <w:t xml:space="preserve"> </w:t>
      </w:r>
    </w:p>
    <w:p w14:paraId="4F8B4049" w14:textId="365A885D" w:rsidR="00B3487E" w:rsidRPr="00020DAD" w:rsidRDefault="00D829D0" w:rsidP="00B3487E">
      <w:pPr>
        <w:pStyle w:val="Heading2"/>
      </w:pPr>
      <w:r w:rsidRPr="00020DAD">
        <w:lastRenderedPageBreak/>
        <w:t>Power</w:t>
      </w:r>
    </w:p>
    <w:p w14:paraId="4A2E3538" w14:textId="3F094D5B" w:rsidR="00B3487E" w:rsidRPr="00020DAD" w:rsidRDefault="00B3487E" w:rsidP="008B33E7">
      <w:pPr>
        <w:rPr>
          <w:szCs w:val="24"/>
        </w:rPr>
      </w:pPr>
      <w:r w:rsidRPr="00020DAD">
        <w:rPr>
          <w:szCs w:val="24"/>
        </w:rPr>
        <w:t xml:space="preserve">A sample size of 1500 </w:t>
      </w:r>
      <w:r w:rsidR="00F743DA" w:rsidRPr="00020DAD">
        <w:rPr>
          <w:szCs w:val="24"/>
        </w:rPr>
        <w:t xml:space="preserve">was chosen to </w:t>
      </w:r>
      <w:r w:rsidR="008B33E7" w:rsidRPr="00020DAD">
        <w:rPr>
          <w:szCs w:val="24"/>
        </w:rPr>
        <w:t>allow</w:t>
      </w:r>
      <w:r w:rsidRPr="00020DAD">
        <w:rPr>
          <w:noProof/>
          <w:szCs w:val="24"/>
        </w:rPr>
        <w:t xml:space="preserve"> a</w:t>
      </w:r>
      <w:r w:rsidR="00F848E1" w:rsidRPr="00020DAD">
        <w:rPr>
          <w:noProof/>
          <w:szCs w:val="24"/>
        </w:rPr>
        <w:t xml:space="preserve"> sufficiently</w:t>
      </w:r>
      <w:r w:rsidRPr="00020DAD">
        <w:rPr>
          <w:noProof/>
          <w:szCs w:val="24"/>
        </w:rPr>
        <w:t xml:space="preserve"> high ratio of cases to estimated parameters</w:t>
      </w:r>
      <w:r w:rsidR="008B33E7" w:rsidRPr="00020DAD">
        <w:rPr>
          <w:noProof/>
          <w:szCs w:val="24"/>
        </w:rPr>
        <w:t xml:space="preserve">, </w:t>
      </w:r>
      <w:r w:rsidRPr="00020DAD">
        <w:rPr>
          <w:noProof/>
          <w:szCs w:val="24"/>
        </w:rPr>
        <w:t>avoid</w:t>
      </w:r>
      <w:r w:rsidR="008B33E7" w:rsidRPr="00020DAD">
        <w:rPr>
          <w:noProof/>
          <w:szCs w:val="24"/>
        </w:rPr>
        <w:t>ing</w:t>
      </w:r>
      <w:r w:rsidRPr="00020DAD">
        <w:rPr>
          <w:noProof/>
          <w:szCs w:val="24"/>
        </w:rPr>
        <w:t xml:space="preserve"> overfitting and loss of generalizability in the regression model</w:t>
      </w:r>
      <w:r w:rsidR="008B33E7" w:rsidRPr="00020DAD">
        <w:rPr>
          <w:noProof/>
          <w:szCs w:val="24"/>
        </w:rPr>
        <w:t>.</w:t>
      </w:r>
      <w:r w:rsidRPr="00020DAD">
        <w:rPr>
          <w:noProof/>
          <w:szCs w:val="24"/>
        </w:rPr>
        <w:t>[21]</w:t>
      </w:r>
      <w:r w:rsidRPr="00020DAD">
        <w:rPr>
          <w:szCs w:val="24"/>
        </w:rPr>
        <w:t xml:space="preserve"> </w:t>
      </w:r>
    </w:p>
    <w:p w14:paraId="6862575B" w14:textId="57F37C86" w:rsidR="00D829D0" w:rsidRPr="00020DAD" w:rsidRDefault="00D829D0" w:rsidP="0048782D">
      <w:pPr>
        <w:pStyle w:val="Heading2"/>
      </w:pPr>
      <w:r w:rsidRPr="00020DAD">
        <w:t>Analysis</w:t>
      </w:r>
    </w:p>
    <w:p w14:paraId="7104FD4C" w14:textId="474DBA65" w:rsidR="00EE5353" w:rsidRPr="00020DAD" w:rsidRDefault="00DE7AD7" w:rsidP="00A179B9">
      <w:r w:rsidRPr="00020DAD">
        <w:t xml:space="preserve">We categorised respondents as expecting side effects from COVID-19 vaccination </w:t>
      </w:r>
      <w:r w:rsidR="001F0C02" w:rsidRPr="00020DAD">
        <w:t xml:space="preserve">using </w:t>
      </w:r>
      <w:r w:rsidR="001F0C02" w:rsidRPr="00020DAD">
        <w:rPr>
          <w:i/>
          <w:iCs/>
        </w:rPr>
        <w:t>a priori</w:t>
      </w:r>
      <w:r w:rsidR="001F0C02" w:rsidRPr="00020DAD">
        <w:t xml:space="preserve"> cut offs on the likelihood scale (</w:t>
      </w:r>
      <w:r w:rsidR="00BD34F9" w:rsidRPr="00020DAD">
        <w:t>zero to two = very unlikely, three to seven = uncertain, eight to ten = very likely)</w:t>
      </w:r>
      <w:r w:rsidR="004C2F99" w:rsidRPr="00020DAD">
        <w:t>.</w:t>
      </w:r>
      <w:r w:rsidR="00761F56" w:rsidRPr="00020DAD">
        <w:rPr>
          <w:noProof/>
        </w:rPr>
        <w:t>[15, 16]</w:t>
      </w:r>
    </w:p>
    <w:p w14:paraId="32FCFC8B" w14:textId="7988267B" w:rsidR="00D829D0" w:rsidRPr="00020DAD" w:rsidRDefault="1A097468" w:rsidP="1A097468">
      <w:r w:rsidRPr="00020DAD">
        <w:t>To investigate factors associated with side-effect expectations we used a linear regression model</w:t>
      </w:r>
      <w:r w:rsidR="00E46F28" w:rsidRPr="00020DAD">
        <w:t xml:space="preserve">, using </w:t>
      </w:r>
      <w:r w:rsidRPr="00020DAD">
        <w:t>the original 0</w:t>
      </w:r>
      <w:r w:rsidR="00977BCA" w:rsidRPr="00020DAD">
        <w:t xml:space="preserve"> to </w:t>
      </w:r>
      <w:r w:rsidRPr="00020DAD">
        <w:t>10 scale as the outcome measure. Variables were entered into the model in blocks: personal and clinical characteristics (block 1); general beliefs and attitudes relating to vaccination (block 2); and beliefs and attitudes relating to COVID-19 vaccination (block 3).</w:t>
      </w:r>
    </w:p>
    <w:p w14:paraId="665FE4CF" w14:textId="2DF011AC" w:rsidR="005A50AB" w:rsidRPr="00020DAD" w:rsidRDefault="006D6D0D" w:rsidP="00A179B9">
      <w:r w:rsidRPr="00020DAD">
        <w:rPr>
          <w:szCs w:val="24"/>
        </w:rPr>
        <w:t xml:space="preserve">To control </w:t>
      </w:r>
      <w:r w:rsidR="001E1C57" w:rsidRPr="00020DAD">
        <w:rPr>
          <w:szCs w:val="24"/>
        </w:rPr>
        <w:t>the rate of</w:t>
      </w:r>
      <w:r w:rsidR="00EE5CB5" w:rsidRPr="00020DAD">
        <w:rPr>
          <w:szCs w:val="24"/>
        </w:rPr>
        <w:t xml:space="preserve"> </w:t>
      </w:r>
      <w:r w:rsidRPr="00020DAD">
        <w:rPr>
          <w:szCs w:val="24"/>
        </w:rPr>
        <w:t xml:space="preserve">Type 1 errors, </w:t>
      </w:r>
      <w:r w:rsidR="005A50AB" w:rsidRPr="00020DAD">
        <w:rPr>
          <w:szCs w:val="24"/>
        </w:rPr>
        <w:t xml:space="preserve">we </w:t>
      </w:r>
      <w:r w:rsidR="00E233C7" w:rsidRPr="00020DAD">
        <w:rPr>
          <w:szCs w:val="24"/>
        </w:rPr>
        <w:t xml:space="preserve">set statistical significance at </w:t>
      </w:r>
      <w:r w:rsidRPr="00020DAD">
        <w:rPr>
          <w:i/>
          <w:iCs/>
          <w:szCs w:val="24"/>
        </w:rPr>
        <w:t>p</w:t>
      </w:r>
      <w:r w:rsidRPr="00020DAD">
        <w:rPr>
          <w:szCs w:val="24"/>
        </w:rPr>
        <w:t xml:space="preserve">≤.01 and </w:t>
      </w:r>
      <w:r w:rsidR="001E1C57" w:rsidRPr="00020DAD">
        <w:rPr>
          <w:szCs w:val="24"/>
        </w:rPr>
        <w:t xml:space="preserve">therefore </w:t>
      </w:r>
      <w:r w:rsidRPr="00020DAD">
        <w:rPr>
          <w:szCs w:val="24"/>
        </w:rPr>
        <w:t>calculated 99% confidence intervals (CIs) for regression coefficients.</w:t>
      </w:r>
    </w:p>
    <w:p w14:paraId="398E1CC7" w14:textId="142D6C22" w:rsidR="00C913D4" w:rsidRPr="00020DAD" w:rsidRDefault="00C913D4" w:rsidP="00092D79">
      <w:pPr>
        <w:pStyle w:val="Heading1"/>
      </w:pPr>
      <w:r w:rsidRPr="00020DAD">
        <w:t>Results</w:t>
      </w:r>
    </w:p>
    <w:p w14:paraId="2D9A0C79" w14:textId="20F0C412" w:rsidR="00CD1883" w:rsidRPr="00020DAD" w:rsidRDefault="00D46CE6" w:rsidP="00CD1883">
      <w:r w:rsidRPr="00020DAD">
        <w:t>The 1470 p</w:t>
      </w:r>
      <w:r w:rsidR="00AD492A" w:rsidRPr="00020DAD">
        <w:t xml:space="preserve">articipants </w:t>
      </w:r>
      <w:r w:rsidRPr="00020DAD">
        <w:t xml:space="preserve">included in analyses </w:t>
      </w:r>
      <w:r w:rsidR="00AD492A" w:rsidRPr="00020DAD">
        <w:t xml:space="preserve">were </w:t>
      </w:r>
      <w:r w:rsidRPr="00020DAD">
        <w:t>broadly representative of the UK population (</w:t>
      </w:r>
      <w:r w:rsidR="00E31859" w:rsidRPr="00020DAD">
        <w:t>50.8%</w:t>
      </w:r>
      <w:r w:rsidRPr="00020DAD">
        <w:t xml:space="preserve">, </w:t>
      </w:r>
      <w:r w:rsidR="00E31859" w:rsidRPr="00020DAD">
        <w:t>n=746 female</w:t>
      </w:r>
      <w:r w:rsidRPr="00020DAD">
        <w:t>;</w:t>
      </w:r>
      <w:r w:rsidR="00E31859" w:rsidRPr="00020DAD">
        <w:t xml:space="preserve"> </w:t>
      </w:r>
      <w:r w:rsidR="0016492B" w:rsidRPr="00020DAD">
        <w:t>85.2</w:t>
      </w:r>
      <w:r w:rsidR="00E31859" w:rsidRPr="00020DAD">
        <w:t>%</w:t>
      </w:r>
      <w:r w:rsidR="00CF21EF" w:rsidRPr="00020DAD">
        <w:t>,</w:t>
      </w:r>
      <w:r w:rsidR="00E31859" w:rsidRPr="00020DAD">
        <w:t xml:space="preserve"> </w:t>
      </w:r>
      <w:r w:rsidR="00CF21EF" w:rsidRPr="00020DAD">
        <w:t xml:space="preserve">n=1246 </w:t>
      </w:r>
      <w:r w:rsidR="0016492B" w:rsidRPr="00020DAD">
        <w:t>white ethnicity</w:t>
      </w:r>
      <w:r w:rsidR="00E61FCB" w:rsidRPr="00020DAD">
        <w:t>;</w:t>
      </w:r>
      <w:r w:rsidR="002E165A" w:rsidRPr="00020DAD">
        <w:t xml:space="preserve"> mean age 45.5 years</w:t>
      </w:r>
      <w:r w:rsidR="00E61FCB" w:rsidRPr="00020DAD">
        <w:t>, SD=</w:t>
      </w:r>
      <w:r w:rsidR="00D04776" w:rsidRPr="00020DAD">
        <w:t>15.5, range 18 to 80 years)</w:t>
      </w:r>
      <w:r w:rsidR="002E165A" w:rsidRPr="00020DAD">
        <w:t>.</w:t>
      </w:r>
    </w:p>
    <w:p w14:paraId="3B91B714" w14:textId="4EA0BD10" w:rsidR="00FE03DF" w:rsidRPr="00020DAD" w:rsidRDefault="007954C9" w:rsidP="00CD1883">
      <w:r w:rsidRPr="00020DAD">
        <w:t xml:space="preserve">Most participants were </w:t>
      </w:r>
      <w:r w:rsidR="00BE7D48" w:rsidRPr="00020DAD">
        <w:t>uncertain about the likelihood of side effects from COVID-19 vaccination, with the midpoint of the scale</w:t>
      </w:r>
      <w:r w:rsidR="00D87DD7" w:rsidRPr="00020DAD">
        <w:t xml:space="preserve"> being the most selected (modal</w:t>
      </w:r>
      <w:r w:rsidR="00F475A1" w:rsidRPr="00020DAD">
        <w:t>)</w:t>
      </w:r>
      <w:r w:rsidR="00D87DD7" w:rsidRPr="00020DAD">
        <w:t xml:space="preserve"> response</w:t>
      </w:r>
      <w:r w:rsidR="00BE7D48" w:rsidRPr="00020DAD">
        <w:t xml:space="preserve">. When using </w:t>
      </w:r>
      <w:r w:rsidR="00651033" w:rsidRPr="00020DAD">
        <w:t xml:space="preserve">our </w:t>
      </w:r>
      <w:r w:rsidR="00651033" w:rsidRPr="00020DAD">
        <w:rPr>
          <w:i/>
          <w:iCs/>
        </w:rPr>
        <w:t>a priori</w:t>
      </w:r>
      <w:r w:rsidR="00651033" w:rsidRPr="00020DAD">
        <w:t xml:space="preserve"> cut-offs, a</w:t>
      </w:r>
      <w:r w:rsidR="00531390" w:rsidRPr="00020DAD">
        <w:t xml:space="preserve"> minority of participants reported that side effects from a COVID-19 vaccine were very likely (9.4%, 95% CI 7.9% to 10.9%, n=138/</w:t>
      </w:r>
      <w:proofErr w:type="gramStart"/>
      <w:r w:rsidR="00531390" w:rsidRPr="00020DAD">
        <w:t>1470</w:t>
      </w:r>
      <w:r w:rsidR="00071A91" w:rsidRPr="00020DAD">
        <w:t>;</w:t>
      </w:r>
      <w:proofErr w:type="gramEnd"/>
      <w:r w:rsidR="00071A91" w:rsidRPr="00020DAD">
        <w:t xml:space="preserve"> </w:t>
      </w:r>
      <w:r w:rsidR="005D6D59" w:rsidRPr="00020DAD">
        <w:t>Figure 1</w:t>
      </w:r>
      <w:r w:rsidR="00531390" w:rsidRPr="00020DAD">
        <w:t xml:space="preserve">). </w:t>
      </w:r>
      <w:r w:rsidR="00E75798" w:rsidRPr="00020DAD">
        <w:lastRenderedPageBreak/>
        <w:t xml:space="preserve">One-third of participants </w:t>
      </w:r>
      <w:r w:rsidR="00EE4D9D" w:rsidRPr="00020DAD">
        <w:t xml:space="preserve">thought that side effects were very unlikely (33.1%, 95% CI 30.7% to </w:t>
      </w:r>
      <w:r w:rsidR="0086627D" w:rsidRPr="00020DAD">
        <w:t>35.5%, n=486/1470)</w:t>
      </w:r>
      <w:r w:rsidR="00071A91" w:rsidRPr="00020DAD">
        <w:t>, while</w:t>
      </w:r>
      <w:r w:rsidR="0086627D" w:rsidRPr="00020DAD">
        <w:t xml:space="preserve"> </w:t>
      </w:r>
      <w:r w:rsidR="006C3CA9" w:rsidRPr="00020DAD">
        <w:t>57.6% (95% CI 55.0% to 60.1%, n=</w:t>
      </w:r>
      <w:r w:rsidR="009D25D2" w:rsidRPr="00020DAD">
        <w:t>846/1470) were uncertain</w:t>
      </w:r>
      <w:r w:rsidR="00016FFC" w:rsidRPr="00020DAD">
        <w:t>.</w:t>
      </w:r>
    </w:p>
    <w:p w14:paraId="41F54905" w14:textId="15570CA5" w:rsidR="00E20F8A" w:rsidRPr="00020DAD" w:rsidRDefault="00F70626" w:rsidP="003173EA">
      <w:pPr>
        <w:ind w:firstLine="0"/>
      </w:pPr>
      <w:r w:rsidRPr="00020DAD">
        <w:rPr>
          <w:noProof/>
        </w:rPr>
        <w:drawing>
          <wp:inline distT="0" distB="0" distL="0" distR="0" wp14:anchorId="39B164CC" wp14:editId="157477C9">
            <wp:extent cx="5483524" cy="32600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361" cy="3261777"/>
                    </a:xfrm>
                    <a:prstGeom prst="rect">
                      <a:avLst/>
                    </a:prstGeom>
                    <a:noFill/>
                  </pic:spPr>
                </pic:pic>
              </a:graphicData>
            </a:graphic>
          </wp:inline>
        </w:drawing>
      </w:r>
    </w:p>
    <w:p w14:paraId="792DF508" w14:textId="22BC3EC2" w:rsidR="00105332" w:rsidRPr="00020DAD" w:rsidRDefault="005A2B31" w:rsidP="00980CD9">
      <w:pPr>
        <w:spacing w:line="240" w:lineRule="auto"/>
        <w:ind w:firstLine="0"/>
      </w:pPr>
      <w:r w:rsidRPr="00020DAD">
        <w:rPr>
          <w:b/>
          <w:bCs/>
        </w:rPr>
        <w:t>Figure 1</w:t>
      </w:r>
      <w:r w:rsidR="00071A91" w:rsidRPr="00020DAD">
        <w:rPr>
          <w:b/>
          <w:bCs/>
        </w:rPr>
        <w:t>.</w:t>
      </w:r>
      <w:r w:rsidR="003173EA" w:rsidRPr="00020DAD">
        <w:t xml:space="preserve"> </w:t>
      </w:r>
      <w:r w:rsidR="00F16208" w:rsidRPr="00020DAD">
        <w:t xml:space="preserve">Frequency </w:t>
      </w:r>
      <w:r w:rsidR="00542CA2" w:rsidRPr="00020DAD">
        <w:t xml:space="preserve">distribution </w:t>
      </w:r>
      <w:r w:rsidR="00F16208" w:rsidRPr="00020DAD">
        <w:t>of s</w:t>
      </w:r>
      <w:r w:rsidR="003173EA" w:rsidRPr="00020DAD">
        <w:t>ide</w:t>
      </w:r>
      <w:r w:rsidR="0017680F" w:rsidRPr="00020DAD">
        <w:t>-</w:t>
      </w:r>
      <w:r w:rsidR="003173EA" w:rsidRPr="00020DAD">
        <w:t xml:space="preserve">effect expectations (0 = “extremely unlikely” to 10 = “extremely </w:t>
      </w:r>
      <w:r w:rsidR="002F4E2A" w:rsidRPr="00020DAD">
        <w:t>likely</w:t>
      </w:r>
      <w:r w:rsidR="003173EA" w:rsidRPr="00020DAD">
        <w:t>”).</w:t>
      </w:r>
    </w:p>
    <w:p w14:paraId="6175CCC4" w14:textId="77777777" w:rsidR="00B41844" w:rsidRPr="00020DAD" w:rsidRDefault="00B41844" w:rsidP="00B41844">
      <w:pPr>
        <w:ind w:firstLine="0"/>
      </w:pPr>
    </w:p>
    <w:p w14:paraId="44E29335" w14:textId="404FA00C" w:rsidR="00EA0AF7" w:rsidRPr="00020DAD" w:rsidRDefault="00B41844" w:rsidP="00EA0AF7">
      <w:r w:rsidRPr="00020DAD">
        <w:t xml:space="preserve">1427 participants had complete data and were included in regression analyses. The overall regression model explained </w:t>
      </w:r>
      <w:r w:rsidR="006C293F" w:rsidRPr="00020DAD">
        <w:t>29.7% of the variance, with COVID-19 vaccination beliefs and attitudes alone explaining 17.</w:t>
      </w:r>
      <w:r w:rsidR="00CA18BE" w:rsidRPr="00020DAD">
        <w:t>2</w:t>
      </w:r>
      <w:r w:rsidR="006C293F" w:rsidRPr="00020DAD">
        <w:t>% of the variance.</w:t>
      </w:r>
      <w:r w:rsidR="003404D5" w:rsidRPr="00020DAD">
        <w:t xml:space="preserve"> Side</w:t>
      </w:r>
      <w:r w:rsidR="0017680F" w:rsidRPr="00020DAD">
        <w:t>-</w:t>
      </w:r>
      <w:r w:rsidR="003404D5" w:rsidRPr="00020DAD">
        <w:t xml:space="preserve">effect expectation was associated </w:t>
      </w:r>
      <w:proofErr w:type="gramStart"/>
      <w:r w:rsidR="003404D5" w:rsidRPr="00020DAD">
        <w:t>with:</w:t>
      </w:r>
      <w:proofErr w:type="gramEnd"/>
      <w:r w:rsidR="003404D5" w:rsidRPr="00020DAD">
        <w:t xml:space="preserve"> </w:t>
      </w:r>
      <w:r w:rsidR="004A1925" w:rsidRPr="00020DAD">
        <w:t>older</w:t>
      </w:r>
      <w:r w:rsidR="003404D5" w:rsidRPr="00020DAD">
        <w:t xml:space="preserve"> age</w:t>
      </w:r>
      <w:r w:rsidR="00AC3E21" w:rsidRPr="00020DAD">
        <w:t>;</w:t>
      </w:r>
      <w:r w:rsidR="007A771C" w:rsidRPr="00020DAD">
        <w:t xml:space="preserve"> being clinically extremely vulnerable to COVID-19 oneself</w:t>
      </w:r>
      <w:r w:rsidR="00AC3E21" w:rsidRPr="00020DAD">
        <w:t>;</w:t>
      </w:r>
      <w:r w:rsidR="007A771C" w:rsidRPr="00020DAD">
        <w:t xml:space="preserve"> being afraid of needles</w:t>
      </w:r>
      <w:r w:rsidR="00AC3E21" w:rsidRPr="00020DAD">
        <w:t>;</w:t>
      </w:r>
      <w:r w:rsidR="007A771C" w:rsidRPr="00020DAD">
        <w:t xml:space="preserve"> lower perceived social norms </w:t>
      </w:r>
      <w:r w:rsidR="00F475A1" w:rsidRPr="00020DAD">
        <w:t xml:space="preserve">regarding </w:t>
      </w:r>
      <w:r w:rsidR="007A771C" w:rsidRPr="00020DAD">
        <w:t>COVID-19 vaccination</w:t>
      </w:r>
      <w:r w:rsidR="00AC3E21" w:rsidRPr="00020DAD">
        <w:t>;</w:t>
      </w:r>
      <w:r w:rsidR="007A771C" w:rsidRPr="00020DAD">
        <w:t xml:space="preserve"> perceiving COVID-19 vaccination to be less necessary; poorer perceived safety of COVID-19 vaccination; and </w:t>
      </w:r>
      <w:r w:rsidR="00EA0AF7" w:rsidRPr="00020DAD">
        <w:t>perceived in</w:t>
      </w:r>
      <w:r w:rsidR="007A771C" w:rsidRPr="00020DAD">
        <w:t>adequacy of information about vaccin</w:t>
      </w:r>
      <w:r w:rsidR="003E3AF0" w:rsidRPr="00020DAD">
        <w:t>ation</w:t>
      </w:r>
      <w:r w:rsidR="00B4738A" w:rsidRPr="00020DAD">
        <w:t xml:space="preserve"> (Table 1)</w:t>
      </w:r>
      <w:r w:rsidR="00EA0AF7" w:rsidRPr="00020DAD">
        <w:t>.</w:t>
      </w:r>
    </w:p>
    <w:p w14:paraId="07CB1AE3" w14:textId="77777777" w:rsidR="00EA0AF7" w:rsidRPr="00020DAD" w:rsidRDefault="00EA0AF7">
      <w:pPr>
        <w:spacing w:after="160" w:line="259" w:lineRule="auto"/>
        <w:ind w:firstLine="0"/>
      </w:pPr>
      <w:r w:rsidRPr="00020DAD">
        <w:br w:type="page"/>
      </w:r>
    </w:p>
    <w:p w14:paraId="484B6093" w14:textId="77777777" w:rsidR="003D1205" w:rsidRPr="00020DAD" w:rsidRDefault="003D1205" w:rsidP="00B47EB1">
      <w:pPr>
        <w:spacing w:line="240" w:lineRule="auto"/>
        <w:ind w:firstLine="0"/>
        <w:rPr>
          <w:b/>
          <w:bCs/>
          <w:szCs w:val="24"/>
        </w:rPr>
        <w:sectPr w:rsidR="003D1205" w:rsidRPr="00020DAD">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p>
    <w:tbl>
      <w:tblPr>
        <w:tblStyle w:val="TableGrid2"/>
        <w:tblW w:w="0" w:type="auto"/>
        <w:tblLook w:val="04A0" w:firstRow="1" w:lastRow="0" w:firstColumn="1" w:lastColumn="0" w:noHBand="0" w:noVBand="1"/>
      </w:tblPr>
      <w:tblGrid>
        <w:gridCol w:w="6379"/>
        <w:gridCol w:w="2410"/>
        <w:gridCol w:w="1417"/>
        <w:gridCol w:w="1380"/>
        <w:gridCol w:w="1637"/>
        <w:gridCol w:w="735"/>
      </w:tblGrid>
      <w:tr w:rsidR="003D1205" w:rsidRPr="00020DAD" w14:paraId="6E177C88" w14:textId="77777777" w:rsidTr="1A097468">
        <w:tc>
          <w:tcPr>
            <w:tcW w:w="6379" w:type="dxa"/>
            <w:tcBorders>
              <w:top w:val="single" w:sz="12" w:space="0" w:color="auto"/>
              <w:left w:val="nil"/>
              <w:bottom w:val="single" w:sz="12" w:space="0" w:color="auto"/>
              <w:right w:val="nil"/>
            </w:tcBorders>
          </w:tcPr>
          <w:p w14:paraId="38A898DB" w14:textId="77777777" w:rsidR="003D1205" w:rsidRPr="00020DAD" w:rsidRDefault="1A097468" w:rsidP="1A097468">
            <w:pPr>
              <w:pStyle w:val="Tabletext"/>
              <w:spacing w:line="360" w:lineRule="auto"/>
            </w:pPr>
            <w:r w:rsidRPr="00020DAD">
              <w:lastRenderedPageBreak/>
              <w:t>Predictor variable</w:t>
            </w:r>
          </w:p>
        </w:tc>
        <w:tc>
          <w:tcPr>
            <w:tcW w:w="2410" w:type="dxa"/>
            <w:tcBorders>
              <w:top w:val="single" w:sz="12" w:space="0" w:color="auto"/>
              <w:left w:val="nil"/>
              <w:bottom w:val="single" w:sz="12" w:space="0" w:color="auto"/>
              <w:right w:val="nil"/>
            </w:tcBorders>
          </w:tcPr>
          <w:p w14:paraId="36FCCDF8" w14:textId="6EDFF342" w:rsidR="003D1205" w:rsidRPr="00020DAD" w:rsidRDefault="1A097468" w:rsidP="1A097468">
            <w:pPr>
              <w:pStyle w:val="Tabletext"/>
              <w:spacing w:line="360" w:lineRule="auto"/>
            </w:pPr>
            <w:r w:rsidRPr="00020DAD">
              <w:t>Level</w:t>
            </w:r>
          </w:p>
        </w:tc>
        <w:tc>
          <w:tcPr>
            <w:tcW w:w="1417" w:type="dxa"/>
            <w:tcBorders>
              <w:top w:val="single" w:sz="12" w:space="0" w:color="auto"/>
              <w:left w:val="nil"/>
              <w:bottom w:val="single" w:sz="12" w:space="0" w:color="auto"/>
              <w:right w:val="nil"/>
            </w:tcBorders>
          </w:tcPr>
          <w:p w14:paraId="1B7676B7" w14:textId="4848151D" w:rsidR="003D1205" w:rsidRPr="00020DAD" w:rsidRDefault="1A097468" w:rsidP="1A097468">
            <w:pPr>
              <w:pStyle w:val="Tabletext"/>
              <w:spacing w:line="360" w:lineRule="auto"/>
            </w:pPr>
            <w:r w:rsidRPr="00020DAD">
              <w:t>Standardized coefficient</w:t>
            </w:r>
          </w:p>
        </w:tc>
        <w:tc>
          <w:tcPr>
            <w:tcW w:w="1380" w:type="dxa"/>
            <w:tcBorders>
              <w:top w:val="single" w:sz="12" w:space="0" w:color="auto"/>
              <w:left w:val="nil"/>
              <w:bottom w:val="single" w:sz="12" w:space="0" w:color="auto"/>
              <w:right w:val="nil"/>
            </w:tcBorders>
          </w:tcPr>
          <w:p w14:paraId="2AB5193B" w14:textId="77777777" w:rsidR="003D1205" w:rsidRPr="00020DAD" w:rsidRDefault="1A097468" w:rsidP="1A097468">
            <w:pPr>
              <w:pStyle w:val="Tabletext"/>
              <w:spacing w:line="360" w:lineRule="auto"/>
            </w:pPr>
            <w:r w:rsidRPr="00020DAD">
              <w:t>Unstandardized coefficient</w:t>
            </w:r>
          </w:p>
        </w:tc>
        <w:tc>
          <w:tcPr>
            <w:tcW w:w="0" w:type="auto"/>
            <w:tcBorders>
              <w:top w:val="single" w:sz="12" w:space="0" w:color="auto"/>
              <w:left w:val="nil"/>
              <w:bottom w:val="single" w:sz="12" w:space="0" w:color="auto"/>
              <w:right w:val="nil"/>
            </w:tcBorders>
          </w:tcPr>
          <w:p w14:paraId="0095C29B" w14:textId="77777777" w:rsidR="003D1205" w:rsidRPr="00020DAD" w:rsidRDefault="1A097468" w:rsidP="1A097468">
            <w:pPr>
              <w:pStyle w:val="Tabletext"/>
              <w:spacing w:line="360" w:lineRule="auto"/>
            </w:pPr>
            <w:r w:rsidRPr="00020DAD">
              <w:t>99% confidence interval</w:t>
            </w:r>
          </w:p>
        </w:tc>
        <w:tc>
          <w:tcPr>
            <w:tcW w:w="0" w:type="auto"/>
            <w:tcBorders>
              <w:top w:val="single" w:sz="12" w:space="0" w:color="auto"/>
              <w:left w:val="nil"/>
              <w:bottom w:val="single" w:sz="12" w:space="0" w:color="auto"/>
              <w:right w:val="nil"/>
            </w:tcBorders>
          </w:tcPr>
          <w:p w14:paraId="0C576371" w14:textId="05819E7C" w:rsidR="003D1205" w:rsidRPr="00020DAD" w:rsidRDefault="1A097468" w:rsidP="1A097468">
            <w:pPr>
              <w:pStyle w:val="Tabletext"/>
              <w:spacing w:line="360" w:lineRule="auto"/>
            </w:pPr>
            <w:r w:rsidRPr="00020DAD">
              <w:rPr>
                <w:i/>
                <w:iCs/>
              </w:rPr>
              <w:t>p</w:t>
            </w:r>
            <w:r w:rsidRPr="00020DAD">
              <w:t xml:space="preserve"> value</w:t>
            </w:r>
          </w:p>
        </w:tc>
      </w:tr>
      <w:tr w:rsidR="003D1205" w:rsidRPr="00020DAD" w14:paraId="32D99BA6" w14:textId="2C1BAA5C" w:rsidTr="1A097468">
        <w:tc>
          <w:tcPr>
            <w:tcW w:w="13958" w:type="dxa"/>
            <w:gridSpan w:val="6"/>
            <w:tcBorders>
              <w:top w:val="single" w:sz="12" w:space="0" w:color="auto"/>
              <w:left w:val="nil"/>
              <w:right w:val="nil"/>
            </w:tcBorders>
          </w:tcPr>
          <w:p w14:paraId="3C635A06" w14:textId="08E0DB35" w:rsidR="003D1205" w:rsidRPr="00020DAD" w:rsidRDefault="003D1205" w:rsidP="00186457">
            <w:pPr>
              <w:pStyle w:val="Tabletext"/>
              <w:spacing w:line="480" w:lineRule="auto"/>
            </w:pPr>
            <w:r w:rsidRPr="00020DAD">
              <w:t xml:space="preserve">Block 1 – personal and clinical characteristics </w:t>
            </w:r>
            <w:r w:rsidRPr="00020DAD">
              <w:rPr>
                <w:vertAlign w:val="superscript"/>
              </w:rPr>
              <w:t>a</w:t>
            </w:r>
          </w:p>
        </w:tc>
      </w:tr>
      <w:tr w:rsidR="003D1205" w:rsidRPr="00020DAD" w14:paraId="4DE30400" w14:textId="77777777" w:rsidTr="1A097468">
        <w:tc>
          <w:tcPr>
            <w:tcW w:w="6379" w:type="dxa"/>
            <w:tcBorders>
              <w:left w:val="nil"/>
              <w:right w:val="nil"/>
            </w:tcBorders>
          </w:tcPr>
          <w:p w14:paraId="61350492" w14:textId="30021B5C" w:rsidR="003D1205" w:rsidRPr="00020DAD" w:rsidRDefault="003D1205" w:rsidP="00186457">
            <w:pPr>
              <w:pStyle w:val="Tabletext"/>
              <w:spacing w:line="480" w:lineRule="auto"/>
            </w:pPr>
            <w:r w:rsidRPr="00020DAD">
              <w:t>Age (years)</w:t>
            </w:r>
          </w:p>
        </w:tc>
        <w:tc>
          <w:tcPr>
            <w:tcW w:w="2410" w:type="dxa"/>
            <w:tcBorders>
              <w:left w:val="nil"/>
              <w:bottom w:val="single" w:sz="4" w:space="0" w:color="auto"/>
              <w:right w:val="nil"/>
            </w:tcBorders>
          </w:tcPr>
          <w:p w14:paraId="49FD4A00" w14:textId="5BE068D2" w:rsidR="003D1205" w:rsidRPr="00020DAD" w:rsidRDefault="003D1205" w:rsidP="00186457">
            <w:pPr>
              <w:pStyle w:val="Tabletext"/>
              <w:spacing w:line="480" w:lineRule="auto"/>
            </w:pPr>
          </w:p>
        </w:tc>
        <w:tc>
          <w:tcPr>
            <w:tcW w:w="1417" w:type="dxa"/>
            <w:tcBorders>
              <w:top w:val="nil"/>
              <w:left w:val="nil"/>
              <w:bottom w:val="single" w:sz="4" w:space="0" w:color="auto"/>
              <w:right w:val="nil"/>
            </w:tcBorders>
            <w:shd w:val="clear" w:color="auto" w:fill="auto"/>
          </w:tcPr>
          <w:p w14:paraId="150CD099" w14:textId="295A61D1" w:rsidR="003D1205" w:rsidRPr="00020DAD" w:rsidRDefault="003D1205" w:rsidP="00186457">
            <w:pPr>
              <w:pStyle w:val="Tabletext"/>
              <w:spacing w:line="480" w:lineRule="auto"/>
            </w:pPr>
            <w:r w:rsidRPr="00020DAD">
              <w:rPr>
                <w:color w:val="000000"/>
              </w:rPr>
              <w:t>0.107</w:t>
            </w:r>
          </w:p>
        </w:tc>
        <w:tc>
          <w:tcPr>
            <w:tcW w:w="1380" w:type="dxa"/>
            <w:tcBorders>
              <w:top w:val="nil"/>
              <w:left w:val="nil"/>
              <w:bottom w:val="single" w:sz="4" w:space="0" w:color="auto"/>
              <w:right w:val="nil"/>
            </w:tcBorders>
            <w:shd w:val="clear" w:color="auto" w:fill="auto"/>
          </w:tcPr>
          <w:p w14:paraId="27AB34F5" w14:textId="46928477" w:rsidR="003D1205" w:rsidRPr="00020DAD" w:rsidRDefault="003D1205" w:rsidP="00186457">
            <w:pPr>
              <w:pStyle w:val="Tabletext"/>
              <w:spacing w:line="480" w:lineRule="auto"/>
            </w:pPr>
            <w:r w:rsidRPr="00020DAD">
              <w:rPr>
                <w:color w:val="000000"/>
              </w:rPr>
              <w:t>0.017</w:t>
            </w:r>
          </w:p>
        </w:tc>
        <w:tc>
          <w:tcPr>
            <w:tcW w:w="0" w:type="auto"/>
            <w:tcBorders>
              <w:top w:val="nil"/>
              <w:left w:val="nil"/>
              <w:bottom w:val="single" w:sz="4" w:space="0" w:color="auto"/>
              <w:right w:val="nil"/>
            </w:tcBorders>
            <w:shd w:val="clear" w:color="auto" w:fill="auto"/>
          </w:tcPr>
          <w:p w14:paraId="6E1B5765" w14:textId="2F684379" w:rsidR="003D1205" w:rsidRPr="00020DAD" w:rsidRDefault="003D1205" w:rsidP="00186457">
            <w:pPr>
              <w:pStyle w:val="Tabletext"/>
              <w:spacing w:line="480" w:lineRule="auto"/>
            </w:pPr>
            <w:r w:rsidRPr="00020DAD">
              <w:rPr>
                <w:color w:val="000000"/>
              </w:rPr>
              <w:t>0.006 to 0.028</w:t>
            </w:r>
          </w:p>
        </w:tc>
        <w:tc>
          <w:tcPr>
            <w:tcW w:w="0" w:type="auto"/>
            <w:tcBorders>
              <w:left w:val="nil"/>
              <w:bottom w:val="single" w:sz="4" w:space="0" w:color="auto"/>
              <w:right w:val="nil"/>
            </w:tcBorders>
          </w:tcPr>
          <w:p w14:paraId="29F4A6F8" w14:textId="783EAA18" w:rsidR="003D1205" w:rsidRPr="00020DAD" w:rsidRDefault="003D1205" w:rsidP="00186457">
            <w:pPr>
              <w:pStyle w:val="Tabletext"/>
              <w:spacing w:line="480" w:lineRule="auto"/>
            </w:pPr>
            <w:r w:rsidRPr="00020DAD">
              <w:t>&lt;.001*</w:t>
            </w:r>
          </w:p>
        </w:tc>
      </w:tr>
      <w:tr w:rsidR="003D1205" w:rsidRPr="00020DAD" w14:paraId="0BFF5F41" w14:textId="77777777" w:rsidTr="1A097468">
        <w:tc>
          <w:tcPr>
            <w:tcW w:w="6379" w:type="dxa"/>
            <w:tcBorders>
              <w:left w:val="nil"/>
              <w:right w:val="nil"/>
            </w:tcBorders>
          </w:tcPr>
          <w:p w14:paraId="191D64EB" w14:textId="77777777" w:rsidR="003D1205" w:rsidRPr="00020DAD" w:rsidRDefault="003D1205" w:rsidP="00186457">
            <w:pPr>
              <w:pStyle w:val="Tabletext"/>
              <w:spacing w:line="480" w:lineRule="auto"/>
            </w:pPr>
            <w:r w:rsidRPr="00020DAD">
              <w:t>Sex (reference: female)</w:t>
            </w:r>
          </w:p>
        </w:tc>
        <w:tc>
          <w:tcPr>
            <w:tcW w:w="2410" w:type="dxa"/>
            <w:tcBorders>
              <w:top w:val="single" w:sz="4" w:space="0" w:color="auto"/>
              <w:left w:val="nil"/>
              <w:bottom w:val="single" w:sz="4" w:space="0" w:color="auto"/>
              <w:right w:val="nil"/>
            </w:tcBorders>
          </w:tcPr>
          <w:p w14:paraId="17B55AF3" w14:textId="77777777" w:rsidR="003D1205" w:rsidRPr="00020DAD" w:rsidRDefault="003D1205" w:rsidP="00186457">
            <w:pPr>
              <w:pStyle w:val="Tabletext"/>
              <w:spacing w:line="480" w:lineRule="auto"/>
            </w:pPr>
            <w:r w:rsidRPr="00020DAD">
              <w:t>Male</w:t>
            </w:r>
          </w:p>
        </w:tc>
        <w:tc>
          <w:tcPr>
            <w:tcW w:w="1417" w:type="dxa"/>
            <w:tcBorders>
              <w:top w:val="single" w:sz="4" w:space="0" w:color="auto"/>
              <w:left w:val="nil"/>
              <w:bottom w:val="single" w:sz="4" w:space="0" w:color="auto"/>
              <w:right w:val="nil"/>
            </w:tcBorders>
            <w:shd w:val="clear" w:color="auto" w:fill="auto"/>
          </w:tcPr>
          <w:p w14:paraId="236ECC02" w14:textId="37171CE3" w:rsidR="003D1205" w:rsidRPr="00020DAD" w:rsidRDefault="003D1205" w:rsidP="00186457">
            <w:pPr>
              <w:pStyle w:val="Tabletext"/>
              <w:spacing w:line="480" w:lineRule="auto"/>
            </w:pPr>
            <w:r w:rsidRPr="00020DAD">
              <w:rPr>
                <w:color w:val="000000"/>
              </w:rPr>
              <w:t>-0.039</w:t>
            </w:r>
          </w:p>
        </w:tc>
        <w:tc>
          <w:tcPr>
            <w:tcW w:w="1380" w:type="dxa"/>
            <w:tcBorders>
              <w:top w:val="single" w:sz="4" w:space="0" w:color="auto"/>
              <w:left w:val="nil"/>
              <w:bottom w:val="single" w:sz="4" w:space="0" w:color="auto"/>
              <w:right w:val="nil"/>
            </w:tcBorders>
            <w:shd w:val="clear" w:color="auto" w:fill="auto"/>
          </w:tcPr>
          <w:p w14:paraId="6C953740" w14:textId="7DF0A038" w:rsidR="003D1205" w:rsidRPr="00020DAD" w:rsidRDefault="003D1205" w:rsidP="00186457">
            <w:pPr>
              <w:pStyle w:val="Tabletext"/>
              <w:spacing w:line="480" w:lineRule="auto"/>
            </w:pPr>
            <w:r w:rsidRPr="00020DAD">
              <w:rPr>
                <w:color w:val="000000"/>
              </w:rPr>
              <w:t>-0.185</w:t>
            </w:r>
          </w:p>
        </w:tc>
        <w:tc>
          <w:tcPr>
            <w:tcW w:w="0" w:type="auto"/>
            <w:tcBorders>
              <w:top w:val="single" w:sz="4" w:space="0" w:color="auto"/>
              <w:left w:val="nil"/>
              <w:bottom w:val="single" w:sz="4" w:space="0" w:color="auto"/>
              <w:right w:val="nil"/>
            </w:tcBorders>
            <w:shd w:val="clear" w:color="auto" w:fill="auto"/>
          </w:tcPr>
          <w:p w14:paraId="337579E0" w14:textId="1352F8B4" w:rsidR="003D1205" w:rsidRPr="00020DAD" w:rsidRDefault="003D1205" w:rsidP="00186457">
            <w:pPr>
              <w:pStyle w:val="Tabletext"/>
              <w:spacing w:line="480" w:lineRule="auto"/>
            </w:pPr>
            <w:r w:rsidRPr="00020DAD">
              <w:rPr>
                <w:color w:val="000000"/>
              </w:rPr>
              <w:t>-0.471 to 0.102</w:t>
            </w:r>
          </w:p>
        </w:tc>
        <w:tc>
          <w:tcPr>
            <w:tcW w:w="0" w:type="auto"/>
            <w:tcBorders>
              <w:top w:val="single" w:sz="4" w:space="0" w:color="auto"/>
              <w:left w:val="nil"/>
              <w:bottom w:val="single" w:sz="4" w:space="0" w:color="auto"/>
              <w:right w:val="nil"/>
            </w:tcBorders>
            <w:shd w:val="clear" w:color="auto" w:fill="auto"/>
          </w:tcPr>
          <w:p w14:paraId="3CD1684F" w14:textId="3B0D6A30" w:rsidR="003D1205" w:rsidRPr="00020DAD" w:rsidRDefault="003D1205" w:rsidP="00186457">
            <w:pPr>
              <w:pStyle w:val="Tabletext"/>
              <w:spacing w:line="480" w:lineRule="auto"/>
            </w:pPr>
            <w:r w:rsidRPr="00020DAD">
              <w:rPr>
                <w:color w:val="000000"/>
              </w:rPr>
              <w:t>.096</w:t>
            </w:r>
          </w:p>
        </w:tc>
      </w:tr>
      <w:tr w:rsidR="003D1205" w:rsidRPr="00020DAD" w14:paraId="08298310" w14:textId="77777777" w:rsidTr="1A097468">
        <w:tc>
          <w:tcPr>
            <w:tcW w:w="6379" w:type="dxa"/>
            <w:tcBorders>
              <w:left w:val="nil"/>
              <w:right w:val="nil"/>
            </w:tcBorders>
          </w:tcPr>
          <w:p w14:paraId="5EF5EA92" w14:textId="77777777" w:rsidR="003D1205" w:rsidRPr="00020DAD" w:rsidRDefault="003D1205" w:rsidP="00186457">
            <w:pPr>
              <w:pStyle w:val="Tabletext"/>
              <w:spacing w:line="480" w:lineRule="auto"/>
            </w:pPr>
            <w:r w:rsidRPr="00020DAD">
              <w:t>Ethnicity (reference: black and minority ethnic)</w:t>
            </w:r>
          </w:p>
        </w:tc>
        <w:tc>
          <w:tcPr>
            <w:tcW w:w="2410" w:type="dxa"/>
            <w:tcBorders>
              <w:top w:val="single" w:sz="4" w:space="0" w:color="auto"/>
              <w:left w:val="nil"/>
              <w:bottom w:val="single" w:sz="4" w:space="0" w:color="auto"/>
              <w:right w:val="nil"/>
            </w:tcBorders>
          </w:tcPr>
          <w:p w14:paraId="1B34D874" w14:textId="77777777" w:rsidR="003D1205" w:rsidRPr="00020DAD" w:rsidRDefault="003D1205" w:rsidP="00186457">
            <w:pPr>
              <w:pStyle w:val="Tabletext"/>
              <w:spacing w:line="480" w:lineRule="auto"/>
            </w:pPr>
            <w:r w:rsidRPr="00020DAD">
              <w:t>White</w:t>
            </w:r>
          </w:p>
        </w:tc>
        <w:tc>
          <w:tcPr>
            <w:tcW w:w="1417" w:type="dxa"/>
            <w:tcBorders>
              <w:top w:val="single" w:sz="4" w:space="0" w:color="auto"/>
              <w:left w:val="nil"/>
              <w:bottom w:val="single" w:sz="4" w:space="0" w:color="auto"/>
              <w:right w:val="nil"/>
            </w:tcBorders>
            <w:shd w:val="clear" w:color="auto" w:fill="auto"/>
          </w:tcPr>
          <w:p w14:paraId="5560A5D1" w14:textId="3991217C" w:rsidR="003D1205" w:rsidRPr="00020DAD" w:rsidRDefault="003D1205" w:rsidP="00186457">
            <w:pPr>
              <w:pStyle w:val="Tabletext"/>
              <w:spacing w:line="480" w:lineRule="auto"/>
            </w:pPr>
            <w:r w:rsidRPr="00020DAD">
              <w:rPr>
                <w:color w:val="000000"/>
              </w:rPr>
              <w:t>-0.029</w:t>
            </w:r>
          </w:p>
        </w:tc>
        <w:tc>
          <w:tcPr>
            <w:tcW w:w="1380" w:type="dxa"/>
            <w:tcBorders>
              <w:top w:val="single" w:sz="4" w:space="0" w:color="auto"/>
              <w:left w:val="nil"/>
              <w:bottom w:val="single" w:sz="4" w:space="0" w:color="auto"/>
              <w:right w:val="nil"/>
            </w:tcBorders>
            <w:shd w:val="clear" w:color="auto" w:fill="auto"/>
          </w:tcPr>
          <w:p w14:paraId="77C62E4C" w14:textId="133F8021" w:rsidR="003D1205" w:rsidRPr="00020DAD" w:rsidRDefault="003D1205" w:rsidP="00186457">
            <w:pPr>
              <w:pStyle w:val="Tabletext"/>
              <w:spacing w:line="480" w:lineRule="auto"/>
            </w:pPr>
            <w:r w:rsidRPr="00020DAD">
              <w:rPr>
                <w:color w:val="000000"/>
              </w:rPr>
              <w:t>-0.198</w:t>
            </w:r>
          </w:p>
        </w:tc>
        <w:tc>
          <w:tcPr>
            <w:tcW w:w="0" w:type="auto"/>
            <w:tcBorders>
              <w:top w:val="single" w:sz="4" w:space="0" w:color="auto"/>
              <w:left w:val="nil"/>
              <w:bottom w:val="single" w:sz="4" w:space="0" w:color="auto"/>
              <w:right w:val="nil"/>
            </w:tcBorders>
            <w:shd w:val="clear" w:color="auto" w:fill="auto"/>
          </w:tcPr>
          <w:p w14:paraId="08EAFE9E" w14:textId="4DB9EAA2" w:rsidR="003D1205" w:rsidRPr="00020DAD" w:rsidRDefault="003D1205" w:rsidP="00186457">
            <w:pPr>
              <w:pStyle w:val="Tabletext"/>
              <w:spacing w:line="480" w:lineRule="auto"/>
            </w:pPr>
            <w:r w:rsidRPr="00020DAD">
              <w:rPr>
                <w:color w:val="000000"/>
              </w:rPr>
              <w:t>-0.653 to 0.257</w:t>
            </w:r>
          </w:p>
        </w:tc>
        <w:tc>
          <w:tcPr>
            <w:tcW w:w="0" w:type="auto"/>
            <w:tcBorders>
              <w:top w:val="single" w:sz="4" w:space="0" w:color="auto"/>
              <w:left w:val="nil"/>
              <w:bottom w:val="single" w:sz="4" w:space="0" w:color="auto"/>
              <w:right w:val="nil"/>
            </w:tcBorders>
            <w:shd w:val="clear" w:color="auto" w:fill="auto"/>
          </w:tcPr>
          <w:p w14:paraId="3A36A12E" w14:textId="0CAF92AD" w:rsidR="003D1205" w:rsidRPr="00020DAD" w:rsidRDefault="003D1205" w:rsidP="00186457">
            <w:pPr>
              <w:pStyle w:val="Tabletext"/>
              <w:spacing w:line="480" w:lineRule="auto"/>
            </w:pPr>
            <w:r w:rsidRPr="00020DAD">
              <w:rPr>
                <w:color w:val="000000"/>
              </w:rPr>
              <w:t>.262</w:t>
            </w:r>
          </w:p>
        </w:tc>
      </w:tr>
      <w:tr w:rsidR="003D1205" w:rsidRPr="00020DAD" w14:paraId="41A1B4BB" w14:textId="77777777" w:rsidTr="1A097468">
        <w:tc>
          <w:tcPr>
            <w:tcW w:w="6379" w:type="dxa"/>
            <w:vMerge w:val="restart"/>
            <w:tcBorders>
              <w:left w:val="nil"/>
              <w:right w:val="nil"/>
            </w:tcBorders>
          </w:tcPr>
          <w:p w14:paraId="3A10A4C6" w14:textId="59D266BE" w:rsidR="003D1205" w:rsidRPr="00020DAD" w:rsidRDefault="003D1205" w:rsidP="00186457">
            <w:pPr>
              <w:pStyle w:val="Tabletext"/>
              <w:spacing w:line="480" w:lineRule="auto"/>
            </w:pPr>
            <w:r w:rsidRPr="00020DAD">
              <w:t>Religion (reference: none)</w:t>
            </w:r>
          </w:p>
        </w:tc>
        <w:tc>
          <w:tcPr>
            <w:tcW w:w="2410" w:type="dxa"/>
            <w:tcBorders>
              <w:top w:val="nil"/>
              <w:left w:val="nil"/>
              <w:bottom w:val="nil"/>
              <w:right w:val="nil"/>
            </w:tcBorders>
          </w:tcPr>
          <w:p w14:paraId="2B8E2576" w14:textId="77777777" w:rsidR="003D1205" w:rsidRPr="00020DAD" w:rsidRDefault="003D1205" w:rsidP="00186457">
            <w:pPr>
              <w:pStyle w:val="Tabletext"/>
              <w:spacing w:line="480" w:lineRule="auto"/>
            </w:pPr>
          </w:p>
        </w:tc>
        <w:tc>
          <w:tcPr>
            <w:tcW w:w="1417" w:type="dxa"/>
            <w:tcBorders>
              <w:top w:val="single" w:sz="4" w:space="0" w:color="auto"/>
              <w:left w:val="nil"/>
              <w:bottom w:val="nil"/>
              <w:right w:val="nil"/>
            </w:tcBorders>
            <w:shd w:val="clear" w:color="auto" w:fill="auto"/>
          </w:tcPr>
          <w:p w14:paraId="3750C07E" w14:textId="77777777" w:rsidR="003D1205" w:rsidRPr="00020DAD" w:rsidRDefault="003D1205" w:rsidP="00186457">
            <w:pPr>
              <w:pStyle w:val="Tabletext"/>
              <w:spacing w:line="480" w:lineRule="auto"/>
              <w:rPr>
                <w:color w:val="000000"/>
              </w:rPr>
            </w:pPr>
          </w:p>
        </w:tc>
        <w:tc>
          <w:tcPr>
            <w:tcW w:w="1380" w:type="dxa"/>
            <w:tcBorders>
              <w:top w:val="single" w:sz="4" w:space="0" w:color="auto"/>
              <w:left w:val="nil"/>
              <w:bottom w:val="nil"/>
              <w:right w:val="nil"/>
            </w:tcBorders>
            <w:shd w:val="clear" w:color="auto" w:fill="auto"/>
          </w:tcPr>
          <w:p w14:paraId="2FF58415" w14:textId="77777777" w:rsidR="003D1205" w:rsidRPr="00020DAD" w:rsidRDefault="003D1205" w:rsidP="00186457">
            <w:pPr>
              <w:pStyle w:val="Tabletext"/>
              <w:spacing w:line="480" w:lineRule="auto"/>
              <w:rPr>
                <w:color w:val="000000"/>
              </w:rPr>
            </w:pPr>
          </w:p>
        </w:tc>
        <w:tc>
          <w:tcPr>
            <w:tcW w:w="0" w:type="auto"/>
            <w:tcBorders>
              <w:top w:val="single" w:sz="4" w:space="0" w:color="auto"/>
              <w:left w:val="nil"/>
              <w:bottom w:val="nil"/>
              <w:right w:val="nil"/>
            </w:tcBorders>
            <w:shd w:val="clear" w:color="auto" w:fill="auto"/>
          </w:tcPr>
          <w:p w14:paraId="78D8D917" w14:textId="77777777" w:rsidR="003D1205" w:rsidRPr="00020DAD" w:rsidRDefault="003D1205" w:rsidP="00186457">
            <w:pPr>
              <w:pStyle w:val="Tabletext"/>
              <w:spacing w:line="480" w:lineRule="auto"/>
              <w:rPr>
                <w:color w:val="000000"/>
              </w:rPr>
            </w:pPr>
          </w:p>
        </w:tc>
        <w:tc>
          <w:tcPr>
            <w:tcW w:w="0" w:type="auto"/>
            <w:tcBorders>
              <w:top w:val="single" w:sz="4" w:space="0" w:color="auto"/>
              <w:left w:val="nil"/>
              <w:bottom w:val="nil"/>
              <w:right w:val="nil"/>
            </w:tcBorders>
            <w:shd w:val="clear" w:color="auto" w:fill="auto"/>
          </w:tcPr>
          <w:p w14:paraId="320D41CA" w14:textId="2E2ABB0E" w:rsidR="003D1205" w:rsidRPr="00020DAD" w:rsidRDefault="003D1205" w:rsidP="00186457">
            <w:pPr>
              <w:pStyle w:val="Tabletext"/>
              <w:spacing w:line="480" w:lineRule="auto"/>
              <w:rPr>
                <w:color w:val="000000"/>
              </w:rPr>
            </w:pPr>
            <w:r w:rsidRPr="00020DAD">
              <w:rPr>
                <w:color w:val="000000"/>
              </w:rPr>
              <w:t>.307</w:t>
            </w:r>
          </w:p>
        </w:tc>
      </w:tr>
      <w:tr w:rsidR="003D1205" w:rsidRPr="00020DAD" w14:paraId="2DC89E84" w14:textId="77777777" w:rsidTr="00977BCA">
        <w:tc>
          <w:tcPr>
            <w:tcW w:w="6379" w:type="dxa"/>
            <w:vMerge/>
            <w:tcBorders>
              <w:left w:val="nil"/>
              <w:right w:val="nil"/>
            </w:tcBorders>
          </w:tcPr>
          <w:p w14:paraId="5AB95392" w14:textId="33658CAC" w:rsidR="003D1205" w:rsidRPr="00020DAD" w:rsidRDefault="003D1205" w:rsidP="00186457">
            <w:pPr>
              <w:pStyle w:val="Tabletext"/>
              <w:spacing w:line="480" w:lineRule="auto"/>
            </w:pPr>
          </w:p>
        </w:tc>
        <w:tc>
          <w:tcPr>
            <w:tcW w:w="2410" w:type="dxa"/>
            <w:tcBorders>
              <w:top w:val="nil"/>
              <w:left w:val="nil"/>
              <w:bottom w:val="nil"/>
              <w:right w:val="nil"/>
            </w:tcBorders>
          </w:tcPr>
          <w:p w14:paraId="12C7FCB5" w14:textId="77777777" w:rsidR="003D1205" w:rsidRPr="00020DAD" w:rsidRDefault="003D1205" w:rsidP="00186457">
            <w:pPr>
              <w:pStyle w:val="Tabletext"/>
              <w:spacing w:line="480" w:lineRule="auto"/>
            </w:pPr>
            <w:r w:rsidRPr="00020DAD">
              <w:t>Christian</w:t>
            </w:r>
          </w:p>
        </w:tc>
        <w:tc>
          <w:tcPr>
            <w:tcW w:w="1417" w:type="dxa"/>
            <w:tcBorders>
              <w:top w:val="nil"/>
              <w:left w:val="nil"/>
              <w:bottom w:val="nil"/>
              <w:right w:val="nil"/>
            </w:tcBorders>
            <w:shd w:val="clear" w:color="auto" w:fill="auto"/>
          </w:tcPr>
          <w:p w14:paraId="1D36581D" w14:textId="702D1410" w:rsidR="003D1205" w:rsidRPr="00020DAD" w:rsidRDefault="003D1205" w:rsidP="00186457">
            <w:pPr>
              <w:pStyle w:val="Tabletext"/>
              <w:spacing w:line="480" w:lineRule="auto"/>
            </w:pPr>
            <w:r w:rsidRPr="00020DAD">
              <w:rPr>
                <w:color w:val="000000"/>
              </w:rPr>
              <w:t>-0.026</w:t>
            </w:r>
          </w:p>
        </w:tc>
        <w:tc>
          <w:tcPr>
            <w:tcW w:w="1380" w:type="dxa"/>
            <w:tcBorders>
              <w:top w:val="nil"/>
              <w:left w:val="nil"/>
              <w:bottom w:val="nil"/>
              <w:right w:val="nil"/>
            </w:tcBorders>
            <w:shd w:val="clear" w:color="auto" w:fill="auto"/>
          </w:tcPr>
          <w:p w14:paraId="48DF1864" w14:textId="0C8A7865" w:rsidR="003D1205" w:rsidRPr="00020DAD" w:rsidRDefault="003D1205" w:rsidP="00186457">
            <w:pPr>
              <w:pStyle w:val="Tabletext"/>
              <w:spacing w:line="480" w:lineRule="auto"/>
            </w:pPr>
            <w:r w:rsidRPr="00020DAD">
              <w:rPr>
                <w:color w:val="000000"/>
              </w:rPr>
              <w:t>-0.128</w:t>
            </w:r>
          </w:p>
        </w:tc>
        <w:tc>
          <w:tcPr>
            <w:tcW w:w="0" w:type="auto"/>
            <w:tcBorders>
              <w:top w:val="nil"/>
              <w:left w:val="nil"/>
              <w:bottom w:val="nil"/>
              <w:right w:val="nil"/>
            </w:tcBorders>
            <w:shd w:val="clear" w:color="auto" w:fill="auto"/>
          </w:tcPr>
          <w:p w14:paraId="31B79596" w14:textId="1F16F865" w:rsidR="003D1205" w:rsidRPr="00020DAD" w:rsidRDefault="003D1205" w:rsidP="00186457">
            <w:pPr>
              <w:pStyle w:val="Tabletext"/>
              <w:spacing w:line="480" w:lineRule="auto"/>
            </w:pPr>
            <w:r w:rsidRPr="00020DAD">
              <w:rPr>
                <w:color w:val="000000"/>
              </w:rPr>
              <w:t>-0.440 to 0.184</w:t>
            </w:r>
          </w:p>
        </w:tc>
        <w:tc>
          <w:tcPr>
            <w:tcW w:w="0" w:type="auto"/>
            <w:tcBorders>
              <w:top w:val="nil"/>
              <w:left w:val="nil"/>
              <w:bottom w:val="nil"/>
              <w:right w:val="nil"/>
            </w:tcBorders>
            <w:shd w:val="clear" w:color="auto" w:fill="auto"/>
          </w:tcPr>
          <w:p w14:paraId="6AF26C7D" w14:textId="0859A33B" w:rsidR="003D1205" w:rsidRPr="00020DAD" w:rsidRDefault="003D1205" w:rsidP="00186457">
            <w:pPr>
              <w:pStyle w:val="Tabletext"/>
              <w:spacing w:line="480" w:lineRule="auto"/>
            </w:pPr>
          </w:p>
        </w:tc>
      </w:tr>
      <w:tr w:rsidR="003D1205" w:rsidRPr="00020DAD" w14:paraId="0651BFE7" w14:textId="77777777" w:rsidTr="00977BCA">
        <w:tc>
          <w:tcPr>
            <w:tcW w:w="6379" w:type="dxa"/>
            <w:vMerge/>
            <w:tcBorders>
              <w:left w:val="nil"/>
              <w:right w:val="nil"/>
            </w:tcBorders>
          </w:tcPr>
          <w:p w14:paraId="0475F66A" w14:textId="77777777" w:rsidR="003D1205" w:rsidRPr="00020DAD" w:rsidRDefault="003D1205" w:rsidP="00186457">
            <w:pPr>
              <w:pStyle w:val="Tabletext"/>
              <w:spacing w:line="480" w:lineRule="auto"/>
            </w:pPr>
          </w:p>
        </w:tc>
        <w:tc>
          <w:tcPr>
            <w:tcW w:w="2410" w:type="dxa"/>
            <w:tcBorders>
              <w:top w:val="nil"/>
              <w:left w:val="nil"/>
              <w:bottom w:val="single" w:sz="4" w:space="0" w:color="auto"/>
              <w:right w:val="nil"/>
            </w:tcBorders>
          </w:tcPr>
          <w:p w14:paraId="3C7AE66C" w14:textId="77777777" w:rsidR="003D1205" w:rsidRPr="00020DAD" w:rsidRDefault="003D1205" w:rsidP="00186457">
            <w:pPr>
              <w:pStyle w:val="Tabletext"/>
              <w:spacing w:line="480" w:lineRule="auto"/>
            </w:pPr>
            <w:r w:rsidRPr="00020DAD">
              <w:t>Other</w:t>
            </w:r>
          </w:p>
        </w:tc>
        <w:tc>
          <w:tcPr>
            <w:tcW w:w="1417" w:type="dxa"/>
            <w:tcBorders>
              <w:top w:val="nil"/>
              <w:left w:val="nil"/>
              <w:bottom w:val="single" w:sz="4" w:space="0" w:color="auto"/>
              <w:right w:val="nil"/>
            </w:tcBorders>
            <w:shd w:val="clear" w:color="auto" w:fill="auto"/>
          </w:tcPr>
          <w:p w14:paraId="51E693A0" w14:textId="3CCF365A" w:rsidR="003D1205" w:rsidRPr="00020DAD" w:rsidRDefault="003D1205" w:rsidP="00186457">
            <w:pPr>
              <w:pStyle w:val="Tabletext"/>
              <w:spacing w:line="480" w:lineRule="auto"/>
            </w:pPr>
            <w:r w:rsidRPr="00020DAD">
              <w:rPr>
                <w:color w:val="000000"/>
              </w:rPr>
              <w:t>0.021</w:t>
            </w:r>
          </w:p>
        </w:tc>
        <w:tc>
          <w:tcPr>
            <w:tcW w:w="1380" w:type="dxa"/>
            <w:tcBorders>
              <w:top w:val="nil"/>
              <w:left w:val="nil"/>
              <w:bottom w:val="single" w:sz="4" w:space="0" w:color="auto"/>
              <w:right w:val="nil"/>
            </w:tcBorders>
            <w:shd w:val="clear" w:color="auto" w:fill="auto"/>
          </w:tcPr>
          <w:p w14:paraId="15BA4B87" w14:textId="3739822D" w:rsidR="003D1205" w:rsidRPr="00020DAD" w:rsidRDefault="003D1205" w:rsidP="00186457">
            <w:pPr>
              <w:pStyle w:val="Tabletext"/>
              <w:spacing w:line="480" w:lineRule="auto"/>
            </w:pPr>
            <w:r w:rsidRPr="00020DAD">
              <w:rPr>
                <w:color w:val="000000"/>
              </w:rPr>
              <w:t>0.193</w:t>
            </w:r>
          </w:p>
        </w:tc>
        <w:tc>
          <w:tcPr>
            <w:tcW w:w="0" w:type="auto"/>
            <w:tcBorders>
              <w:top w:val="nil"/>
              <w:left w:val="nil"/>
              <w:bottom w:val="single" w:sz="4" w:space="0" w:color="auto"/>
              <w:right w:val="nil"/>
            </w:tcBorders>
            <w:shd w:val="clear" w:color="auto" w:fill="auto"/>
          </w:tcPr>
          <w:p w14:paraId="26F02AD3" w14:textId="35CFB002" w:rsidR="003D1205" w:rsidRPr="00020DAD" w:rsidRDefault="003D1205" w:rsidP="00186457">
            <w:pPr>
              <w:pStyle w:val="Tabletext"/>
              <w:spacing w:line="480" w:lineRule="auto"/>
            </w:pPr>
            <w:r w:rsidRPr="00020DAD">
              <w:rPr>
                <w:color w:val="000000"/>
              </w:rPr>
              <w:t>-0.409 to 0.796</w:t>
            </w:r>
          </w:p>
        </w:tc>
        <w:tc>
          <w:tcPr>
            <w:tcW w:w="0" w:type="auto"/>
            <w:tcBorders>
              <w:top w:val="nil"/>
              <w:left w:val="nil"/>
              <w:bottom w:val="single" w:sz="4" w:space="0" w:color="auto"/>
              <w:right w:val="nil"/>
            </w:tcBorders>
            <w:shd w:val="clear" w:color="auto" w:fill="auto"/>
          </w:tcPr>
          <w:p w14:paraId="66A79DA4" w14:textId="71D7CCEC" w:rsidR="003D1205" w:rsidRPr="00020DAD" w:rsidRDefault="003D1205" w:rsidP="00186457">
            <w:pPr>
              <w:pStyle w:val="Tabletext"/>
              <w:spacing w:line="480" w:lineRule="auto"/>
            </w:pPr>
          </w:p>
        </w:tc>
      </w:tr>
      <w:tr w:rsidR="003D1205" w:rsidRPr="00020DAD" w14:paraId="060B873B" w14:textId="77777777" w:rsidTr="1A097468">
        <w:tc>
          <w:tcPr>
            <w:tcW w:w="6379" w:type="dxa"/>
            <w:tcBorders>
              <w:left w:val="nil"/>
              <w:right w:val="nil"/>
            </w:tcBorders>
          </w:tcPr>
          <w:p w14:paraId="093BB200" w14:textId="77777777" w:rsidR="003D1205" w:rsidRPr="00020DAD" w:rsidRDefault="003D1205" w:rsidP="00186457">
            <w:pPr>
              <w:pStyle w:val="Tabletext"/>
              <w:spacing w:line="480" w:lineRule="auto"/>
            </w:pPr>
            <w:r w:rsidRPr="00020DAD">
              <w:t>Qualifications (reference: other)</w:t>
            </w:r>
          </w:p>
        </w:tc>
        <w:tc>
          <w:tcPr>
            <w:tcW w:w="2410" w:type="dxa"/>
            <w:tcBorders>
              <w:left w:val="nil"/>
              <w:bottom w:val="single" w:sz="4" w:space="0" w:color="auto"/>
              <w:right w:val="nil"/>
            </w:tcBorders>
          </w:tcPr>
          <w:p w14:paraId="52285C80" w14:textId="77777777" w:rsidR="003D1205" w:rsidRPr="00020DAD" w:rsidRDefault="003D1205" w:rsidP="00186457">
            <w:pPr>
              <w:pStyle w:val="Tabletext"/>
              <w:spacing w:line="480" w:lineRule="auto"/>
            </w:pPr>
            <w:r w:rsidRPr="00020DAD">
              <w:t>Degree equivalent or higher</w:t>
            </w:r>
          </w:p>
        </w:tc>
        <w:tc>
          <w:tcPr>
            <w:tcW w:w="1417" w:type="dxa"/>
            <w:tcBorders>
              <w:top w:val="nil"/>
              <w:left w:val="nil"/>
              <w:bottom w:val="single" w:sz="4" w:space="0" w:color="auto"/>
              <w:right w:val="nil"/>
            </w:tcBorders>
            <w:shd w:val="clear" w:color="auto" w:fill="auto"/>
          </w:tcPr>
          <w:p w14:paraId="717184AC" w14:textId="3DF11E4B" w:rsidR="003D1205" w:rsidRPr="00020DAD" w:rsidRDefault="003D1205" w:rsidP="00186457">
            <w:pPr>
              <w:pStyle w:val="Tabletext"/>
              <w:spacing w:line="480" w:lineRule="auto"/>
            </w:pPr>
            <w:r w:rsidRPr="00020DAD">
              <w:rPr>
                <w:color w:val="000000"/>
              </w:rPr>
              <w:t>-0.008</w:t>
            </w:r>
          </w:p>
        </w:tc>
        <w:tc>
          <w:tcPr>
            <w:tcW w:w="1380" w:type="dxa"/>
            <w:tcBorders>
              <w:top w:val="nil"/>
              <w:left w:val="nil"/>
              <w:bottom w:val="single" w:sz="4" w:space="0" w:color="auto"/>
              <w:right w:val="nil"/>
            </w:tcBorders>
            <w:shd w:val="clear" w:color="auto" w:fill="auto"/>
          </w:tcPr>
          <w:p w14:paraId="2AFBA316" w14:textId="3443B6C4" w:rsidR="003D1205" w:rsidRPr="00020DAD" w:rsidRDefault="003D1205" w:rsidP="00186457">
            <w:pPr>
              <w:pStyle w:val="Tabletext"/>
              <w:spacing w:line="480" w:lineRule="auto"/>
            </w:pPr>
            <w:r w:rsidRPr="00020DAD">
              <w:rPr>
                <w:color w:val="000000"/>
              </w:rPr>
              <w:t>-0.038</w:t>
            </w:r>
          </w:p>
        </w:tc>
        <w:tc>
          <w:tcPr>
            <w:tcW w:w="0" w:type="auto"/>
            <w:tcBorders>
              <w:top w:val="nil"/>
              <w:left w:val="nil"/>
              <w:bottom w:val="single" w:sz="4" w:space="0" w:color="auto"/>
              <w:right w:val="nil"/>
            </w:tcBorders>
            <w:shd w:val="clear" w:color="auto" w:fill="auto"/>
          </w:tcPr>
          <w:p w14:paraId="12AC4C5A" w14:textId="76BE558D" w:rsidR="003D1205" w:rsidRPr="00020DAD" w:rsidRDefault="003D1205" w:rsidP="00186457">
            <w:pPr>
              <w:pStyle w:val="Tabletext"/>
              <w:spacing w:line="480" w:lineRule="auto"/>
            </w:pPr>
            <w:r w:rsidRPr="00020DAD">
              <w:rPr>
                <w:color w:val="000000"/>
              </w:rPr>
              <w:t>-0.332 to 0.255</w:t>
            </w:r>
          </w:p>
        </w:tc>
        <w:tc>
          <w:tcPr>
            <w:tcW w:w="0" w:type="auto"/>
            <w:tcBorders>
              <w:top w:val="nil"/>
              <w:left w:val="nil"/>
              <w:bottom w:val="single" w:sz="4" w:space="0" w:color="auto"/>
              <w:right w:val="nil"/>
            </w:tcBorders>
            <w:shd w:val="clear" w:color="auto" w:fill="auto"/>
          </w:tcPr>
          <w:p w14:paraId="76F9C580" w14:textId="6F1AC93A" w:rsidR="003D1205" w:rsidRPr="00020DAD" w:rsidRDefault="003D1205" w:rsidP="00186457">
            <w:pPr>
              <w:pStyle w:val="Tabletext"/>
              <w:spacing w:line="480" w:lineRule="auto"/>
            </w:pPr>
            <w:r w:rsidRPr="00020DAD">
              <w:rPr>
                <w:color w:val="000000"/>
              </w:rPr>
              <w:t>.736</w:t>
            </w:r>
          </w:p>
        </w:tc>
      </w:tr>
      <w:tr w:rsidR="003D1205" w:rsidRPr="00020DAD" w14:paraId="01260D26" w14:textId="77777777" w:rsidTr="1A097468">
        <w:tc>
          <w:tcPr>
            <w:tcW w:w="6379" w:type="dxa"/>
            <w:vMerge w:val="restart"/>
            <w:tcBorders>
              <w:left w:val="nil"/>
              <w:right w:val="nil"/>
            </w:tcBorders>
          </w:tcPr>
          <w:p w14:paraId="67B620DA" w14:textId="67D66053" w:rsidR="003D1205" w:rsidRPr="00020DAD" w:rsidRDefault="003D1205" w:rsidP="00186457">
            <w:pPr>
              <w:pStyle w:val="Tabletext"/>
              <w:spacing w:line="480" w:lineRule="auto"/>
            </w:pPr>
            <w:r w:rsidRPr="00020DAD">
              <w:t>Employment status (reference: not working/other)</w:t>
            </w:r>
          </w:p>
        </w:tc>
        <w:tc>
          <w:tcPr>
            <w:tcW w:w="2410" w:type="dxa"/>
            <w:tcBorders>
              <w:top w:val="nil"/>
              <w:left w:val="nil"/>
              <w:bottom w:val="nil"/>
              <w:right w:val="nil"/>
            </w:tcBorders>
          </w:tcPr>
          <w:p w14:paraId="51172BB4" w14:textId="77777777" w:rsidR="003D1205" w:rsidRPr="00020DAD" w:rsidRDefault="003D1205" w:rsidP="00186457">
            <w:pPr>
              <w:pStyle w:val="Tabletext"/>
              <w:spacing w:line="480" w:lineRule="auto"/>
            </w:pPr>
          </w:p>
        </w:tc>
        <w:tc>
          <w:tcPr>
            <w:tcW w:w="1417" w:type="dxa"/>
            <w:tcBorders>
              <w:top w:val="single" w:sz="4" w:space="0" w:color="auto"/>
              <w:left w:val="nil"/>
              <w:bottom w:val="nil"/>
              <w:right w:val="nil"/>
            </w:tcBorders>
            <w:shd w:val="clear" w:color="auto" w:fill="auto"/>
          </w:tcPr>
          <w:p w14:paraId="3C8A1636" w14:textId="77777777" w:rsidR="003D1205" w:rsidRPr="00020DAD" w:rsidRDefault="003D1205" w:rsidP="00186457">
            <w:pPr>
              <w:pStyle w:val="Tabletext"/>
              <w:spacing w:line="480" w:lineRule="auto"/>
              <w:rPr>
                <w:color w:val="000000"/>
              </w:rPr>
            </w:pPr>
          </w:p>
        </w:tc>
        <w:tc>
          <w:tcPr>
            <w:tcW w:w="1380" w:type="dxa"/>
            <w:tcBorders>
              <w:top w:val="single" w:sz="4" w:space="0" w:color="auto"/>
              <w:left w:val="nil"/>
              <w:bottom w:val="nil"/>
              <w:right w:val="nil"/>
            </w:tcBorders>
            <w:shd w:val="clear" w:color="auto" w:fill="auto"/>
          </w:tcPr>
          <w:p w14:paraId="1882DED3" w14:textId="77777777" w:rsidR="003D1205" w:rsidRPr="00020DAD" w:rsidRDefault="003D1205" w:rsidP="00186457">
            <w:pPr>
              <w:pStyle w:val="Tabletext"/>
              <w:spacing w:line="480" w:lineRule="auto"/>
              <w:rPr>
                <w:color w:val="000000"/>
              </w:rPr>
            </w:pPr>
          </w:p>
        </w:tc>
        <w:tc>
          <w:tcPr>
            <w:tcW w:w="0" w:type="auto"/>
            <w:tcBorders>
              <w:top w:val="single" w:sz="4" w:space="0" w:color="auto"/>
              <w:left w:val="nil"/>
              <w:bottom w:val="nil"/>
              <w:right w:val="nil"/>
            </w:tcBorders>
            <w:shd w:val="clear" w:color="auto" w:fill="auto"/>
          </w:tcPr>
          <w:p w14:paraId="6FAB1559" w14:textId="77777777" w:rsidR="003D1205" w:rsidRPr="00020DAD" w:rsidRDefault="003D1205" w:rsidP="00186457">
            <w:pPr>
              <w:pStyle w:val="Tabletext"/>
              <w:spacing w:line="480" w:lineRule="auto"/>
              <w:rPr>
                <w:color w:val="000000"/>
              </w:rPr>
            </w:pPr>
          </w:p>
        </w:tc>
        <w:tc>
          <w:tcPr>
            <w:tcW w:w="0" w:type="auto"/>
            <w:tcBorders>
              <w:top w:val="single" w:sz="4" w:space="0" w:color="auto"/>
              <w:left w:val="nil"/>
              <w:bottom w:val="nil"/>
              <w:right w:val="nil"/>
            </w:tcBorders>
            <w:shd w:val="clear" w:color="auto" w:fill="auto"/>
          </w:tcPr>
          <w:p w14:paraId="115EE93A" w14:textId="57A0E3D2" w:rsidR="003D1205" w:rsidRPr="00020DAD" w:rsidRDefault="003D1205" w:rsidP="00186457">
            <w:pPr>
              <w:pStyle w:val="Tabletext"/>
              <w:spacing w:line="480" w:lineRule="auto"/>
              <w:rPr>
                <w:color w:val="000000"/>
              </w:rPr>
            </w:pPr>
            <w:r w:rsidRPr="00020DAD">
              <w:rPr>
                <w:color w:val="000000"/>
              </w:rPr>
              <w:t>.125</w:t>
            </w:r>
          </w:p>
        </w:tc>
      </w:tr>
      <w:tr w:rsidR="003D1205" w:rsidRPr="00020DAD" w14:paraId="1E76348D" w14:textId="77777777" w:rsidTr="00977BCA">
        <w:tc>
          <w:tcPr>
            <w:tcW w:w="6379" w:type="dxa"/>
            <w:vMerge/>
            <w:tcBorders>
              <w:left w:val="nil"/>
              <w:right w:val="nil"/>
            </w:tcBorders>
          </w:tcPr>
          <w:p w14:paraId="4B085D3A" w14:textId="2728EB44" w:rsidR="003D1205" w:rsidRPr="00020DAD" w:rsidRDefault="003D1205" w:rsidP="00186457">
            <w:pPr>
              <w:pStyle w:val="Tabletext"/>
              <w:spacing w:line="480" w:lineRule="auto"/>
            </w:pPr>
          </w:p>
        </w:tc>
        <w:tc>
          <w:tcPr>
            <w:tcW w:w="2410" w:type="dxa"/>
            <w:tcBorders>
              <w:top w:val="nil"/>
              <w:left w:val="nil"/>
              <w:bottom w:val="nil"/>
              <w:right w:val="nil"/>
            </w:tcBorders>
          </w:tcPr>
          <w:p w14:paraId="1AED4D3E" w14:textId="77777777" w:rsidR="003D1205" w:rsidRPr="00020DAD" w:rsidRDefault="003D1205" w:rsidP="00186457">
            <w:pPr>
              <w:pStyle w:val="Tabletext"/>
              <w:spacing w:line="480" w:lineRule="auto"/>
            </w:pPr>
            <w:r w:rsidRPr="00020DAD">
              <w:t>Part-time</w:t>
            </w:r>
          </w:p>
        </w:tc>
        <w:tc>
          <w:tcPr>
            <w:tcW w:w="1417" w:type="dxa"/>
            <w:tcBorders>
              <w:top w:val="nil"/>
              <w:left w:val="nil"/>
              <w:bottom w:val="nil"/>
              <w:right w:val="nil"/>
            </w:tcBorders>
            <w:shd w:val="clear" w:color="auto" w:fill="auto"/>
          </w:tcPr>
          <w:p w14:paraId="1CB90ED4" w14:textId="429B3C6B" w:rsidR="003D1205" w:rsidRPr="00020DAD" w:rsidRDefault="003D1205" w:rsidP="00186457">
            <w:pPr>
              <w:pStyle w:val="Tabletext"/>
              <w:spacing w:line="480" w:lineRule="auto"/>
            </w:pPr>
            <w:r w:rsidRPr="00020DAD">
              <w:rPr>
                <w:color w:val="000000"/>
              </w:rPr>
              <w:t>0.053</w:t>
            </w:r>
          </w:p>
        </w:tc>
        <w:tc>
          <w:tcPr>
            <w:tcW w:w="1380" w:type="dxa"/>
            <w:tcBorders>
              <w:top w:val="nil"/>
              <w:left w:val="nil"/>
              <w:bottom w:val="nil"/>
              <w:right w:val="nil"/>
            </w:tcBorders>
            <w:shd w:val="clear" w:color="auto" w:fill="auto"/>
          </w:tcPr>
          <w:p w14:paraId="027AA38D" w14:textId="57C998F4" w:rsidR="003D1205" w:rsidRPr="00020DAD" w:rsidRDefault="003D1205" w:rsidP="00186457">
            <w:pPr>
              <w:pStyle w:val="Tabletext"/>
              <w:spacing w:line="480" w:lineRule="auto"/>
            </w:pPr>
            <w:r w:rsidRPr="00020DAD">
              <w:rPr>
                <w:color w:val="000000"/>
              </w:rPr>
              <w:t>0.341</w:t>
            </w:r>
          </w:p>
        </w:tc>
        <w:tc>
          <w:tcPr>
            <w:tcW w:w="0" w:type="auto"/>
            <w:tcBorders>
              <w:top w:val="nil"/>
              <w:left w:val="nil"/>
              <w:bottom w:val="nil"/>
              <w:right w:val="nil"/>
            </w:tcBorders>
            <w:shd w:val="clear" w:color="auto" w:fill="auto"/>
          </w:tcPr>
          <w:p w14:paraId="35E1051B" w14:textId="7EF425FC" w:rsidR="003D1205" w:rsidRPr="00020DAD" w:rsidRDefault="003D1205" w:rsidP="00186457">
            <w:pPr>
              <w:pStyle w:val="Tabletext"/>
              <w:spacing w:line="480" w:lineRule="auto"/>
            </w:pPr>
            <w:r w:rsidRPr="00020DAD">
              <w:rPr>
                <w:color w:val="000000"/>
              </w:rPr>
              <w:t>-0.091 to 0.773</w:t>
            </w:r>
          </w:p>
        </w:tc>
        <w:tc>
          <w:tcPr>
            <w:tcW w:w="0" w:type="auto"/>
            <w:tcBorders>
              <w:top w:val="nil"/>
              <w:left w:val="nil"/>
              <w:bottom w:val="nil"/>
              <w:right w:val="nil"/>
            </w:tcBorders>
            <w:shd w:val="clear" w:color="auto" w:fill="auto"/>
          </w:tcPr>
          <w:p w14:paraId="148DAF16" w14:textId="71A6B512" w:rsidR="003D1205" w:rsidRPr="00020DAD" w:rsidRDefault="003D1205" w:rsidP="00186457">
            <w:pPr>
              <w:pStyle w:val="Tabletext"/>
              <w:spacing w:line="480" w:lineRule="auto"/>
            </w:pPr>
            <w:r w:rsidRPr="00020DAD">
              <w:rPr>
                <w:color w:val="000000"/>
              </w:rPr>
              <w:t>.042</w:t>
            </w:r>
          </w:p>
        </w:tc>
      </w:tr>
      <w:tr w:rsidR="003D1205" w:rsidRPr="00020DAD" w14:paraId="7506DF40" w14:textId="77777777" w:rsidTr="00977BCA">
        <w:tc>
          <w:tcPr>
            <w:tcW w:w="6379" w:type="dxa"/>
            <w:vMerge/>
            <w:tcBorders>
              <w:left w:val="nil"/>
              <w:right w:val="nil"/>
            </w:tcBorders>
          </w:tcPr>
          <w:p w14:paraId="37CAD4CC" w14:textId="77777777" w:rsidR="003D1205" w:rsidRPr="00020DAD" w:rsidRDefault="003D1205" w:rsidP="00186457">
            <w:pPr>
              <w:pStyle w:val="Tabletext"/>
              <w:spacing w:line="480" w:lineRule="auto"/>
            </w:pPr>
          </w:p>
        </w:tc>
        <w:tc>
          <w:tcPr>
            <w:tcW w:w="2410" w:type="dxa"/>
            <w:tcBorders>
              <w:top w:val="nil"/>
              <w:left w:val="nil"/>
              <w:right w:val="nil"/>
            </w:tcBorders>
          </w:tcPr>
          <w:p w14:paraId="7B526C33" w14:textId="77777777" w:rsidR="003D1205" w:rsidRPr="00020DAD" w:rsidRDefault="003D1205" w:rsidP="00186457">
            <w:pPr>
              <w:pStyle w:val="Tabletext"/>
              <w:spacing w:line="480" w:lineRule="auto"/>
            </w:pPr>
            <w:r w:rsidRPr="00020DAD">
              <w:t>Full-time</w:t>
            </w:r>
          </w:p>
        </w:tc>
        <w:tc>
          <w:tcPr>
            <w:tcW w:w="1417" w:type="dxa"/>
            <w:tcBorders>
              <w:top w:val="nil"/>
              <w:left w:val="nil"/>
              <w:bottom w:val="single" w:sz="4" w:space="0" w:color="auto"/>
              <w:right w:val="nil"/>
            </w:tcBorders>
            <w:shd w:val="clear" w:color="auto" w:fill="auto"/>
          </w:tcPr>
          <w:p w14:paraId="240DD56B" w14:textId="781092AE" w:rsidR="003D1205" w:rsidRPr="00020DAD" w:rsidRDefault="003D1205" w:rsidP="00186457">
            <w:pPr>
              <w:pStyle w:val="Tabletext"/>
              <w:spacing w:line="480" w:lineRule="auto"/>
            </w:pPr>
            <w:r w:rsidRPr="00020DAD">
              <w:rPr>
                <w:color w:val="000000"/>
              </w:rPr>
              <w:t>0.028</w:t>
            </w:r>
          </w:p>
        </w:tc>
        <w:tc>
          <w:tcPr>
            <w:tcW w:w="1380" w:type="dxa"/>
            <w:tcBorders>
              <w:top w:val="nil"/>
              <w:left w:val="nil"/>
              <w:bottom w:val="single" w:sz="4" w:space="0" w:color="auto"/>
              <w:right w:val="nil"/>
            </w:tcBorders>
            <w:shd w:val="clear" w:color="auto" w:fill="auto"/>
          </w:tcPr>
          <w:p w14:paraId="41C12B22" w14:textId="6BFDAA92" w:rsidR="003D1205" w:rsidRPr="00020DAD" w:rsidRDefault="003D1205" w:rsidP="00186457">
            <w:pPr>
              <w:pStyle w:val="Tabletext"/>
              <w:spacing w:line="480" w:lineRule="auto"/>
            </w:pPr>
            <w:r w:rsidRPr="00020DAD">
              <w:rPr>
                <w:color w:val="000000"/>
              </w:rPr>
              <w:t>0.136</w:t>
            </w:r>
          </w:p>
        </w:tc>
        <w:tc>
          <w:tcPr>
            <w:tcW w:w="0" w:type="auto"/>
            <w:tcBorders>
              <w:top w:val="nil"/>
              <w:left w:val="nil"/>
              <w:bottom w:val="single" w:sz="4" w:space="0" w:color="auto"/>
              <w:right w:val="nil"/>
            </w:tcBorders>
            <w:shd w:val="clear" w:color="auto" w:fill="auto"/>
          </w:tcPr>
          <w:p w14:paraId="2AA09936" w14:textId="522FBDB3" w:rsidR="003D1205" w:rsidRPr="00020DAD" w:rsidRDefault="003D1205" w:rsidP="00186457">
            <w:pPr>
              <w:pStyle w:val="Tabletext"/>
              <w:spacing w:line="480" w:lineRule="auto"/>
            </w:pPr>
            <w:r w:rsidRPr="00020DAD">
              <w:rPr>
                <w:color w:val="000000"/>
              </w:rPr>
              <w:t>-0.214 to 0.486</w:t>
            </w:r>
          </w:p>
        </w:tc>
        <w:tc>
          <w:tcPr>
            <w:tcW w:w="0" w:type="auto"/>
            <w:tcBorders>
              <w:top w:val="nil"/>
              <w:left w:val="nil"/>
              <w:bottom w:val="single" w:sz="4" w:space="0" w:color="auto"/>
              <w:right w:val="nil"/>
            </w:tcBorders>
            <w:shd w:val="clear" w:color="auto" w:fill="auto"/>
          </w:tcPr>
          <w:p w14:paraId="6E2268A2" w14:textId="237D6F3F" w:rsidR="003D1205" w:rsidRPr="00020DAD" w:rsidRDefault="003D1205" w:rsidP="00186457">
            <w:pPr>
              <w:pStyle w:val="Tabletext"/>
              <w:spacing w:line="480" w:lineRule="auto"/>
            </w:pPr>
            <w:r w:rsidRPr="00020DAD">
              <w:rPr>
                <w:color w:val="000000"/>
              </w:rPr>
              <w:t>.317</w:t>
            </w:r>
          </w:p>
        </w:tc>
      </w:tr>
      <w:tr w:rsidR="003D1205" w:rsidRPr="00020DAD" w14:paraId="4B3A9FB0" w14:textId="77777777" w:rsidTr="1A097468">
        <w:tc>
          <w:tcPr>
            <w:tcW w:w="6379" w:type="dxa"/>
            <w:tcBorders>
              <w:left w:val="nil"/>
              <w:right w:val="nil"/>
            </w:tcBorders>
          </w:tcPr>
          <w:p w14:paraId="23AF9330" w14:textId="77777777" w:rsidR="003D1205" w:rsidRPr="00020DAD" w:rsidRDefault="003D1205" w:rsidP="00186457">
            <w:pPr>
              <w:pStyle w:val="Tabletext"/>
              <w:spacing w:line="480" w:lineRule="auto"/>
            </w:pPr>
            <w:r w:rsidRPr="00020DAD">
              <w:t>Key worker (reference: not key worker)</w:t>
            </w:r>
          </w:p>
        </w:tc>
        <w:tc>
          <w:tcPr>
            <w:tcW w:w="2410" w:type="dxa"/>
            <w:tcBorders>
              <w:left w:val="nil"/>
              <w:right w:val="nil"/>
            </w:tcBorders>
          </w:tcPr>
          <w:p w14:paraId="21AE5282" w14:textId="77777777" w:rsidR="003D1205" w:rsidRPr="00020DAD" w:rsidRDefault="003D1205" w:rsidP="00186457">
            <w:pPr>
              <w:pStyle w:val="Tabletext"/>
              <w:spacing w:line="480" w:lineRule="auto"/>
            </w:pPr>
            <w:r w:rsidRPr="00020DAD">
              <w:t>Key worker</w:t>
            </w:r>
          </w:p>
        </w:tc>
        <w:tc>
          <w:tcPr>
            <w:tcW w:w="1417" w:type="dxa"/>
            <w:tcBorders>
              <w:top w:val="single" w:sz="4" w:space="0" w:color="auto"/>
              <w:left w:val="nil"/>
              <w:bottom w:val="single" w:sz="4" w:space="0" w:color="auto"/>
              <w:right w:val="nil"/>
            </w:tcBorders>
            <w:shd w:val="clear" w:color="auto" w:fill="auto"/>
          </w:tcPr>
          <w:p w14:paraId="37A0164D" w14:textId="54FBE1B4" w:rsidR="003D1205" w:rsidRPr="00020DAD" w:rsidRDefault="003D1205" w:rsidP="00186457">
            <w:pPr>
              <w:pStyle w:val="Tabletext"/>
              <w:spacing w:line="480" w:lineRule="auto"/>
            </w:pPr>
            <w:r w:rsidRPr="00020DAD">
              <w:rPr>
                <w:color w:val="000000"/>
              </w:rPr>
              <w:t>0.005</w:t>
            </w:r>
          </w:p>
        </w:tc>
        <w:tc>
          <w:tcPr>
            <w:tcW w:w="1380" w:type="dxa"/>
            <w:tcBorders>
              <w:top w:val="single" w:sz="4" w:space="0" w:color="auto"/>
              <w:left w:val="nil"/>
              <w:bottom w:val="single" w:sz="4" w:space="0" w:color="auto"/>
              <w:right w:val="nil"/>
            </w:tcBorders>
            <w:shd w:val="clear" w:color="auto" w:fill="auto"/>
          </w:tcPr>
          <w:p w14:paraId="13844FFB" w14:textId="17FCC3B5" w:rsidR="003D1205" w:rsidRPr="00020DAD" w:rsidRDefault="003D1205" w:rsidP="00186457">
            <w:pPr>
              <w:pStyle w:val="Tabletext"/>
              <w:spacing w:line="480" w:lineRule="auto"/>
            </w:pPr>
            <w:r w:rsidRPr="00020DAD">
              <w:rPr>
                <w:color w:val="000000"/>
              </w:rPr>
              <w:t>0.025</w:t>
            </w:r>
          </w:p>
        </w:tc>
        <w:tc>
          <w:tcPr>
            <w:tcW w:w="0" w:type="auto"/>
            <w:tcBorders>
              <w:top w:val="single" w:sz="4" w:space="0" w:color="auto"/>
              <w:left w:val="nil"/>
              <w:bottom w:val="single" w:sz="4" w:space="0" w:color="auto"/>
              <w:right w:val="nil"/>
            </w:tcBorders>
            <w:shd w:val="clear" w:color="auto" w:fill="auto"/>
          </w:tcPr>
          <w:p w14:paraId="55FD1903" w14:textId="14B20E78" w:rsidR="003D1205" w:rsidRPr="00020DAD" w:rsidRDefault="003D1205" w:rsidP="00186457">
            <w:pPr>
              <w:pStyle w:val="Tabletext"/>
              <w:spacing w:line="480" w:lineRule="auto"/>
            </w:pPr>
            <w:r w:rsidRPr="00020DAD">
              <w:rPr>
                <w:color w:val="000000"/>
              </w:rPr>
              <w:t>-0.307 to 0.357</w:t>
            </w:r>
          </w:p>
        </w:tc>
        <w:tc>
          <w:tcPr>
            <w:tcW w:w="0" w:type="auto"/>
            <w:tcBorders>
              <w:top w:val="single" w:sz="4" w:space="0" w:color="auto"/>
              <w:left w:val="nil"/>
              <w:bottom w:val="single" w:sz="4" w:space="0" w:color="auto"/>
              <w:right w:val="nil"/>
            </w:tcBorders>
            <w:shd w:val="clear" w:color="auto" w:fill="auto"/>
          </w:tcPr>
          <w:p w14:paraId="69B57735" w14:textId="1E219988" w:rsidR="003D1205" w:rsidRPr="00020DAD" w:rsidRDefault="003D1205" w:rsidP="00186457">
            <w:pPr>
              <w:pStyle w:val="Tabletext"/>
              <w:spacing w:line="480" w:lineRule="auto"/>
            </w:pPr>
            <w:r w:rsidRPr="00020DAD">
              <w:rPr>
                <w:color w:val="000000"/>
              </w:rPr>
              <w:t>.845</w:t>
            </w:r>
          </w:p>
        </w:tc>
      </w:tr>
      <w:tr w:rsidR="003D1205" w:rsidRPr="00020DAD" w14:paraId="619A3403" w14:textId="77777777" w:rsidTr="1A097468">
        <w:tc>
          <w:tcPr>
            <w:tcW w:w="6379" w:type="dxa"/>
            <w:tcBorders>
              <w:left w:val="nil"/>
              <w:right w:val="nil"/>
            </w:tcBorders>
          </w:tcPr>
          <w:p w14:paraId="230D0EE9" w14:textId="77777777" w:rsidR="003D1205" w:rsidRPr="00020DAD" w:rsidRDefault="003D1205" w:rsidP="00186457">
            <w:pPr>
              <w:pStyle w:val="Tabletext"/>
              <w:spacing w:line="480" w:lineRule="auto"/>
            </w:pPr>
            <w:r w:rsidRPr="00020DAD">
              <w:t>Extremely clinically vulnerable – self (reference: no)</w:t>
            </w:r>
          </w:p>
        </w:tc>
        <w:tc>
          <w:tcPr>
            <w:tcW w:w="2410" w:type="dxa"/>
            <w:tcBorders>
              <w:left w:val="nil"/>
              <w:right w:val="nil"/>
            </w:tcBorders>
          </w:tcPr>
          <w:p w14:paraId="4701D0AB" w14:textId="77777777" w:rsidR="003D1205" w:rsidRPr="00020DAD" w:rsidRDefault="003D1205" w:rsidP="00186457">
            <w:pPr>
              <w:pStyle w:val="Tabletext"/>
              <w:spacing w:line="480" w:lineRule="auto"/>
            </w:pPr>
            <w:r w:rsidRPr="00020DAD">
              <w:t>Yes</w:t>
            </w:r>
          </w:p>
        </w:tc>
        <w:tc>
          <w:tcPr>
            <w:tcW w:w="1417" w:type="dxa"/>
            <w:tcBorders>
              <w:top w:val="single" w:sz="4" w:space="0" w:color="auto"/>
              <w:left w:val="nil"/>
              <w:bottom w:val="single" w:sz="4" w:space="0" w:color="auto"/>
              <w:right w:val="nil"/>
            </w:tcBorders>
            <w:shd w:val="clear" w:color="auto" w:fill="auto"/>
          </w:tcPr>
          <w:p w14:paraId="2BAF09A9" w14:textId="686ACFDE" w:rsidR="003D1205" w:rsidRPr="00020DAD" w:rsidRDefault="003D1205" w:rsidP="00186457">
            <w:pPr>
              <w:pStyle w:val="Tabletext"/>
              <w:spacing w:line="480" w:lineRule="auto"/>
            </w:pPr>
            <w:r w:rsidRPr="00020DAD">
              <w:rPr>
                <w:color w:val="000000"/>
              </w:rPr>
              <w:t>0.061</w:t>
            </w:r>
          </w:p>
        </w:tc>
        <w:tc>
          <w:tcPr>
            <w:tcW w:w="1380" w:type="dxa"/>
            <w:tcBorders>
              <w:top w:val="single" w:sz="4" w:space="0" w:color="auto"/>
              <w:left w:val="nil"/>
              <w:bottom w:val="single" w:sz="4" w:space="0" w:color="auto"/>
              <w:right w:val="nil"/>
            </w:tcBorders>
            <w:shd w:val="clear" w:color="auto" w:fill="auto"/>
          </w:tcPr>
          <w:p w14:paraId="7512748E" w14:textId="56ECA835" w:rsidR="003D1205" w:rsidRPr="00020DAD" w:rsidRDefault="003D1205" w:rsidP="00186457">
            <w:pPr>
              <w:pStyle w:val="Tabletext"/>
              <w:spacing w:line="480" w:lineRule="auto"/>
            </w:pPr>
            <w:r w:rsidRPr="00020DAD">
              <w:rPr>
                <w:color w:val="000000"/>
              </w:rPr>
              <w:t>0.354</w:t>
            </w:r>
          </w:p>
        </w:tc>
        <w:tc>
          <w:tcPr>
            <w:tcW w:w="0" w:type="auto"/>
            <w:tcBorders>
              <w:top w:val="single" w:sz="4" w:space="0" w:color="auto"/>
              <w:left w:val="nil"/>
              <w:bottom w:val="single" w:sz="4" w:space="0" w:color="auto"/>
              <w:right w:val="nil"/>
            </w:tcBorders>
            <w:shd w:val="clear" w:color="auto" w:fill="auto"/>
          </w:tcPr>
          <w:p w14:paraId="600E5575" w14:textId="64320E50" w:rsidR="003D1205" w:rsidRPr="00020DAD" w:rsidRDefault="003D1205" w:rsidP="00186457">
            <w:pPr>
              <w:pStyle w:val="Tabletext"/>
              <w:spacing w:line="480" w:lineRule="auto"/>
            </w:pPr>
            <w:r w:rsidRPr="00020DAD">
              <w:rPr>
                <w:color w:val="000000"/>
              </w:rPr>
              <w:t>0.007 to 0.702</w:t>
            </w:r>
          </w:p>
        </w:tc>
        <w:tc>
          <w:tcPr>
            <w:tcW w:w="0" w:type="auto"/>
            <w:tcBorders>
              <w:top w:val="single" w:sz="4" w:space="0" w:color="auto"/>
              <w:left w:val="nil"/>
              <w:bottom w:val="single" w:sz="4" w:space="0" w:color="auto"/>
              <w:right w:val="nil"/>
            </w:tcBorders>
            <w:shd w:val="clear" w:color="auto" w:fill="auto"/>
          </w:tcPr>
          <w:p w14:paraId="20F15CAC" w14:textId="7A53B473" w:rsidR="003D1205" w:rsidRPr="00020DAD" w:rsidRDefault="003D1205" w:rsidP="00186457">
            <w:pPr>
              <w:pStyle w:val="Tabletext"/>
              <w:spacing w:line="480" w:lineRule="auto"/>
            </w:pPr>
            <w:r w:rsidRPr="00020DAD">
              <w:rPr>
                <w:color w:val="000000"/>
              </w:rPr>
              <w:t>.009*</w:t>
            </w:r>
          </w:p>
        </w:tc>
      </w:tr>
      <w:tr w:rsidR="003D1205" w:rsidRPr="00020DAD" w14:paraId="50F638FD" w14:textId="77777777" w:rsidTr="1A097468">
        <w:tc>
          <w:tcPr>
            <w:tcW w:w="6379" w:type="dxa"/>
            <w:tcBorders>
              <w:left w:val="nil"/>
              <w:bottom w:val="single" w:sz="12" w:space="0" w:color="auto"/>
              <w:right w:val="nil"/>
            </w:tcBorders>
          </w:tcPr>
          <w:p w14:paraId="73CA30DA" w14:textId="77777777" w:rsidR="003D1205" w:rsidRPr="00020DAD" w:rsidRDefault="003D1205" w:rsidP="00186457">
            <w:pPr>
              <w:pStyle w:val="Tabletext"/>
              <w:spacing w:line="480" w:lineRule="auto"/>
            </w:pPr>
            <w:r w:rsidRPr="00020DAD">
              <w:t>Extremely clinically vulnerable – household member (reference: no)</w:t>
            </w:r>
          </w:p>
        </w:tc>
        <w:tc>
          <w:tcPr>
            <w:tcW w:w="2410" w:type="dxa"/>
            <w:tcBorders>
              <w:left w:val="nil"/>
              <w:bottom w:val="single" w:sz="12" w:space="0" w:color="auto"/>
              <w:right w:val="nil"/>
            </w:tcBorders>
          </w:tcPr>
          <w:p w14:paraId="2EC10C43" w14:textId="77777777" w:rsidR="003D1205" w:rsidRPr="00020DAD" w:rsidRDefault="003D1205" w:rsidP="00186457">
            <w:pPr>
              <w:pStyle w:val="Tabletext"/>
              <w:spacing w:line="480" w:lineRule="auto"/>
            </w:pPr>
            <w:r w:rsidRPr="00020DAD">
              <w:t>Yes</w:t>
            </w:r>
          </w:p>
        </w:tc>
        <w:tc>
          <w:tcPr>
            <w:tcW w:w="1417" w:type="dxa"/>
            <w:tcBorders>
              <w:top w:val="single" w:sz="4" w:space="0" w:color="auto"/>
              <w:left w:val="nil"/>
              <w:bottom w:val="nil"/>
              <w:right w:val="nil"/>
            </w:tcBorders>
            <w:shd w:val="clear" w:color="auto" w:fill="auto"/>
          </w:tcPr>
          <w:p w14:paraId="3F0043ED" w14:textId="2FD70CF6" w:rsidR="003D1205" w:rsidRPr="00020DAD" w:rsidRDefault="003D1205" w:rsidP="00186457">
            <w:pPr>
              <w:pStyle w:val="Tabletext"/>
              <w:spacing w:line="480" w:lineRule="auto"/>
            </w:pPr>
            <w:r w:rsidRPr="00020DAD">
              <w:rPr>
                <w:color w:val="000000"/>
              </w:rPr>
              <w:t>0.004</w:t>
            </w:r>
          </w:p>
        </w:tc>
        <w:tc>
          <w:tcPr>
            <w:tcW w:w="1380" w:type="dxa"/>
            <w:tcBorders>
              <w:top w:val="single" w:sz="4" w:space="0" w:color="auto"/>
              <w:left w:val="nil"/>
              <w:bottom w:val="nil"/>
              <w:right w:val="nil"/>
            </w:tcBorders>
            <w:shd w:val="clear" w:color="auto" w:fill="auto"/>
          </w:tcPr>
          <w:p w14:paraId="083AAFEC" w14:textId="4FFDCE99" w:rsidR="003D1205" w:rsidRPr="00020DAD" w:rsidRDefault="003D1205" w:rsidP="00186457">
            <w:pPr>
              <w:pStyle w:val="Tabletext"/>
              <w:spacing w:line="480" w:lineRule="auto"/>
            </w:pPr>
            <w:r w:rsidRPr="00020DAD">
              <w:rPr>
                <w:color w:val="000000"/>
              </w:rPr>
              <w:t>0.025</w:t>
            </w:r>
          </w:p>
        </w:tc>
        <w:tc>
          <w:tcPr>
            <w:tcW w:w="0" w:type="auto"/>
            <w:tcBorders>
              <w:top w:val="single" w:sz="4" w:space="0" w:color="auto"/>
              <w:left w:val="nil"/>
              <w:bottom w:val="nil"/>
              <w:right w:val="nil"/>
            </w:tcBorders>
            <w:shd w:val="clear" w:color="auto" w:fill="auto"/>
          </w:tcPr>
          <w:p w14:paraId="4E7B9586" w14:textId="64C971EF" w:rsidR="003D1205" w:rsidRPr="00020DAD" w:rsidRDefault="003D1205" w:rsidP="00186457">
            <w:pPr>
              <w:pStyle w:val="Tabletext"/>
              <w:spacing w:line="480" w:lineRule="auto"/>
            </w:pPr>
            <w:r w:rsidRPr="00020DAD">
              <w:rPr>
                <w:color w:val="000000"/>
              </w:rPr>
              <w:t>-0.356 to 0.405</w:t>
            </w:r>
          </w:p>
        </w:tc>
        <w:tc>
          <w:tcPr>
            <w:tcW w:w="0" w:type="auto"/>
            <w:tcBorders>
              <w:top w:val="single" w:sz="4" w:space="0" w:color="auto"/>
              <w:left w:val="nil"/>
              <w:bottom w:val="nil"/>
              <w:right w:val="nil"/>
            </w:tcBorders>
            <w:shd w:val="clear" w:color="auto" w:fill="auto"/>
          </w:tcPr>
          <w:p w14:paraId="762416A2" w14:textId="000A8C0A" w:rsidR="003D1205" w:rsidRPr="00020DAD" w:rsidRDefault="003D1205" w:rsidP="00186457">
            <w:pPr>
              <w:pStyle w:val="Tabletext"/>
              <w:spacing w:line="480" w:lineRule="auto"/>
            </w:pPr>
            <w:r w:rsidRPr="00020DAD">
              <w:rPr>
                <w:color w:val="000000"/>
              </w:rPr>
              <w:t>.868</w:t>
            </w:r>
          </w:p>
        </w:tc>
      </w:tr>
      <w:tr w:rsidR="003D1205" w:rsidRPr="00020DAD" w14:paraId="320E460F" w14:textId="32FC24EB" w:rsidTr="1A097468">
        <w:tc>
          <w:tcPr>
            <w:tcW w:w="13958" w:type="dxa"/>
            <w:gridSpan w:val="6"/>
            <w:tcBorders>
              <w:top w:val="single" w:sz="12" w:space="0" w:color="auto"/>
              <w:left w:val="nil"/>
              <w:right w:val="nil"/>
            </w:tcBorders>
          </w:tcPr>
          <w:p w14:paraId="0E2115DA" w14:textId="751E2A97" w:rsidR="003D1205" w:rsidRPr="00020DAD" w:rsidRDefault="003D1205" w:rsidP="00186457">
            <w:pPr>
              <w:pStyle w:val="Tabletext"/>
              <w:spacing w:line="480" w:lineRule="auto"/>
            </w:pPr>
            <w:r w:rsidRPr="00020DAD">
              <w:t xml:space="preserve">Block 2 – general vaccination beliefs and attitudes </w:t>
            </w:r>
            <w:r w:rsidRPr="00020DAD">
              <w:rPr>
                <w:vertAlign w:val="superscript"/>
              </w:rPr>
              <w:t>b</w:t>
            </w:r>
          </w:p>
        </w:tc>
      </w:tr>
      <w:tr w:rsidR="003D1205" w:rsidRPr="00020DAD" w14:paraId="09728B3F" w14:textId="77777777" w:rsidTr="1A097468">
        <w:tc>
          <w:tcPr>
            <w:tcW w:w="6379" w:type="dxa"/>
            <w:tcBorders>
              <w:left w:val="nil"/>
              <w:right w:val="nil"/>
            </w:tcBorders>
          </w:tcPr>
          <w:p w14:paraId="68A27CCC" w14:textId="1214C199" w:rsidR="003D1205" w:rsidRPr="00020DAD" w:rsidRDefault="003D1205" w:rsidP="00186457">
            <w:pPr>
              <w:pStyle w:val="Tabletext"/>
              <w:spacing w:line="480" w:lineRule="auto"/>
            </w:pPr>
            <w:r w:rsidRPr="00020DAD">
              <w:t>Vaccination is generally good (0–10)</w:t>
            </w:r>
            <w:r w:rsidR="0085650E" w:rsidRPr="00020DAD">
              <w:t xml:space="preserve"> </w:t>
            </w:r>
            <w:r w:rsidRPr="00020DAD">
              <w:rPr>
                <w:vertAlign w:val="superscript"/>
              </w:rPr>
              <w:t>d</w:t>
            </w:r>
          </w:p>
        </w:tc>
        <w:tc>
          <w:tcPr>
            <w:tcW w:w="2410" w:type="dxa"/>
            <w:tcBorders>
              <w:left w:val="nil"/>
              <w:right w:val="nil"/>
            </w:tcBorders>
          </w:tcPr>
          <w:p w14:paraId="3C9A85A9" w14:textId="456CFB3F" w:rsidR="003D1205" w:rsidRPr="00020DAD" w:rsidRDefault="003D1205" w:rsidP="00186457">
            <w:pPr>
              <w:pStyle w:val="Tabletext"/>
              <w:spacing w:line="480" w:lineRule="auto"/>
            </w:pPr>
          </w:p>
        </w:tc>
        <w:tc>
          <w:tcPr>
            <w:tcW w:w="1417" w:type="dxa"/>
            <w:tcBorders>
              <w:top w:val="nil"/>
              <w:left w:val="nil"/>
              <w:bottom w:val="single" w:sz="4" w:space="0" w:color="auto"/>
              <w:right w:val="nil"/>
            </w:tcBorders>
            <w:shd w:val="clear" w:color="auto" w:fill="auto"/>
          </w:tcPr>
          <w:p w14:paraId="0F067F49" w14:textId="70A86206" w:rsidR="003D1205" w:rsidRPr="00020DAD" w:rsidRDefault="003D1205" w:rsidP="00186457">
            <w:pPr>
              <w:pStyle w:val="Tabletext"/>
              <w:spacing w:line="480" w:lineRule="auto"/>
            </w:pPr>
            <w:r w:rsidRPr="00020DAD">
              <w:rPr>
                <w:color w:val="000000"/>
              </w:rPr>
              <w:t>0.018</w:t>
            </w:r>
          </w:p>
        </w:tc>
        <w:tc>
          <w:tcPr>
            <w:tcW w:w="1380" w:type="dxa"/>
            <w:tcBorders>
              <w:top w:val="nil"/>
              <w:left w:val="nil"/>
              <w:bottom w:val="single" w:sz="4" w:space="0" w:color="auto"/>
              <w:right w:val="nil"/>
            </w:tcBorders>
            <w:shd w:val="clear" w:color="auto" w:fill="auto"/>
          </w:tcPr>
          <w:p w14:paraId="074DD3A9" w14:textId="121784AF" w:rsidR="003D1205" w:rsidRPr="00020DAD" w:rsidRDefault="003D1205" w:rsidP="00186457">
            <w:pPr>
              <w:pStyle w:val="Tabletext"/>
              <w:spacing w:line="480" w:lineRule="auto"/>
            </w:pPr>
            <w:r w:rsidRPr="00020DAD">
              <w:rPr>
                <w:color w:val="000000"/>
              </w:rPr>
              <w:t>0.026</w:t>
            </w:r>
          </w:p>
        </w:tc>
        <w:tc>
          <w:tcPr>
            <w:tcW w:w="0" w:type="auto"/>
            <w:tcBorders>
              <w:top w:val="nil"/>
              <w:left w:val="nil"/>
              <w:bottom w:val="single" w:sz="4" w:space="0" w:color="auto"/>
              <w:right w:val="nil"/>
            </w:tcBorders>
            <w:shd w:val="clear" w:color="auto" w:fill="auto"/>
          </w:tcPr>
          <w:p w14:paraId="4FBDC074" w14:textId="6A4BD77C" w:rsidR="003D1205" w:rsidRPr="00020DAD" w:rsidRDefault="003D1205" w:rsidP="00186457">
            <w:pPr>
              <w:pStyle w:val="Tabletext"/>
              <w:spacing w:line="480" w:lineRule="auto"/>
            </w:pPr>
            <w:r w:rsidRPr="00020DAD">
              <w:rPr>
                <w:color w:val="000000"/>
              </w:rPr>
              <w:t>-0.096 to 0.148</w:t>
            </w:r>
          </w:p>
        </w:tc>
        <w:tc>
          <w:tcPr>
            <w:tcW w:w="0" w:type="auto"/>
            <w:tcBorders>
              <w:top w:val="nil"/>
              <w:left w:val="nil"/>
              <w:bottom w:val="single" w:sz="4" w:space="0" w:color="auto"/>
              <w:right w:val="nil"/>
            </w:tcBorders>
            <w:shd w:val="clear" w:color="auto" w:fill="auto"/>
          </w:tcPr>
          <w:p w14:paraId="3D8CF59C" w14:textId="2FAB14E1" w:rsidR="003D1205" w:rsidRPr="00020DAD" w:rsidRDefault="003D1205" w:rsidP="00186457">
            <w:pPr>
              <w:pStyle w:val="Tabletext"/>
              <w:spacing w:line="480" w:lineRule="auto"/>
            </w:pPr>
            <w:r w:rsidRPr="00020DAD">
              <w:rPr>
                <w:color w:val="000000"/>
              </w:rPr>
              <w:t>.577</w:t>
            </w:r>
          </w:p>
        </w:tc>
      </w:tr>
      <w:tr w:rsidR="003D1205" w:rsidRPr="00020DAD" w14:paraId="7B422FC7" w14:textId="77777777" w:rsidTr="1A097468">
        <w:tc>
          <w:tcPr>
            <w:tcW w:w="6379" w:type="dxa"/>
            <w:tcBorders>
              <w:left w:val="nil"/>
              <w:bottom w:val="single" w:sz="12" w:space="0" w:color="auto"/>
              <w:right w:val="nil"/>
            </w:tcBorders>
          </w:tcPr>
          <w:p w14:paraId="0A549E45" w14:textId="4153BB49" w:rsidR="003D1205" w:rsidRPr="00020DAD" w:rsidRDefault="003D1205" w:rsidP="00186457">
            <w:pPr>
              <w:pStyle w:val="Tabletext"/>
              <w:spacing w:line="480" w:lineRule="auto"/>
            </w:pPr>
            <w:r w:rsidRPr="00020DAD">
              <w:t>I am afraid of needles (0–10)</w:t>
            </w:r>
            <w:r w:rsidR="0085650E" w:rsidRPr="00020DAD">
              <w:t xml:space="preserve"> </w:t>
            </w:r>
            <w:r w:rsidRPr="00020DAD">
              <w:rPr>
                <w:vertAlign w:val="superscript"/>
              </w:rPr>
              <w:t>d</w:t>
            </w:r>
          </w:p>
        </w:tc>
        <w:tc>
          <w:tcPr>
            <w:tcW w:w="2410" w:type="dxa"/>
            <w:tcBorders>
              <w:left w:val="nil"/>
              <w:bottom w:val="single" w:sz="12" w:space="0" w:color="auto"/>
              <w:right w:val="nil"/>
            </w:tcBorders>
          </w:tcPr>
          <w:p w14:paraId="6B488140" w14:textId="00EF6E91" w:rsidR="003D1205" w:rsidRPr="00020DAD" w:rsidRDefault="003D1205" w:rsidP="00186457">
            <w:pPr>
              <w:pStyle w:val="Tabletext"/>
              <w:spacing w:line="480" w:lineRule="auto"/>
            </w:pPr>
          </w:p>
        </w:tc>
        <w:tc>
          <w:tcPr>
            <w:tcW w:w="1417" w:type="dxa"/>
            <w:tcBorders>
              <w:top w:val="single" w:sz="4" w:space="0" w:color="auto"/>
              <w:left w:val="nil"/>
              <w:bottom w:val="nil"/>
              <w:right w:val="nil"/>
            </w:tcBorders>
            <w:shd w:val="clear" w:color="auto" w:fill="auto"/>
          </w:tcPr>
          <w:p w14:paraId="57935954" w14:textId="1CD1CA9B" w:rsidR="003D1205" w:rsidRPr="00020DAD" w:rsidRDefault="003D1205" w:rsidP="00186457">
            <w:pPr>
              <w:pStyle w:val="Tabletext"/>
              <w:spacing w:line="480" w:lineRule="auto"/>
            </w:pPr>
            <w:r w:rsidRPr="00020DAD">
              <w:rPr>
                <w:color w:val="000000"/>
              </w:rPr>
              <w:t>0.068</w:t>
            </w:r>
          </w:p>
        </w:tc>
        <w:tc>
          <w:tcPr>
            <w:tcW w:w="1380" w:type="dxa"/>
            <w:tcBorders>
              <w:top w:val="single" w:sz="4" w:space="0" w:color="auto"/>
              <w:left w:val="nil"/>
              <w:bottom w:val="nil"/>
              <w:right w:val="nil"/>
            </w:tcBorders>
            <w:shd w:val="clear" w:color="auto" w:fill="auto"/>
          </w:tcPr>
          <w:p w14:paraId="4AD6C6B4" w14:textId="66F05C83" w:rsidR="003D1205" w:rsidRPr="00020DAD" w:rsidRDefault="003D1205" w:rsidP="00186457">
            <w:pPr>
              <w:pStyle w:val="Tabletext"/>
              <w:spacing w:line="480" w:lineRule="auto"/>
            </w:pPr>
            <w:r w:rsidRPr="00020DAD">
              <w:rPr>
                <w:color w:val="000000"/>
              </w:rPr>
              <w:t>0.050</w:t>
            </w:r>
          </w:p>
        </w:tc>
        <w:tc>
          <w:tcPr>
            <w:tcW w:w="0" w:type="auto"/>
            <w:tcBorders>
              <w:top w:val="single" w:sz="4" w:space="0" w:color="auto"/>
              <w:left w:val="nil"/>
              <w:bottom w:val="nil"/>
              <w:right w:val="nil"/>
            </w:tcBorders>
            <w:shd w:val="clear" w:color="auto" w:fill="auto"/>
          </w:tcPr>
          <w:p w14:paraId="2C91C367" w14:textId="0777C1E8" w:rsidR="003D1205" w:rsidRPr="00020DAD" w:rsidRDefault="003D1205" w:rsidP="00186457">
            <w:pPr>
              <w:pStyle w:val="Tabletext"/>
              <w:spacing w:line="480" w:lineRule="auto"/>
            </w:pPr>
            <w:r w:rsidRPr="00020DAD">
              <w:rPr>
                <w:color w:val="000000"/>
              </w:rPr>
              <w:t>0.006 to 0.094</w:t>
            </w:r>
          </w:p>
        </w:tc>
        <w:tc>
          <w:tcPr>
            <w:tcW w:w="0" w:type="auto"/>
            <w:tcBorders>
              <w:top w:val="single" w:sz="4" w:space="0" w:color="auto"/>
              <w:left w:val="nil"/>
              <w:bottom w:val="nil"/>
              <w:right w:val="nil"/>
            </w:tcBorders>
            <w:shd w:val="clear" w:color="auto" w:fill="auto"/>
          </w:tcPr>
          <w:p w14:paraId="6F02225A" w14:textId="687F6507" w:rsidR="003D1205" w:rsidRPr="00020DAD" w:rsidRDefault="003D1205" w:rsidP="00186457">
            <w:pPr>
              <w:pStyle w:val="Tabletext"/>
              <w:spacing w:line="480" w:lineRule="auto"/>
            </w:pPr>
            <w:r w:rsidRPr="00020DAD">
              <w:rPr>
                <w:color w:val="000000"/>
              </w:rPr>
              <w:t>.003*</w:t>
            </w:r>
          </w:p>
        </w:tc>
      </w:tr>
      <w:tr w:rsidR="003D1205" w:rsidRPr="00020DAD" w14:paraId="13514573" w14:textId="6296829A" w:rsidTr="1A097468">
        <w:tc>
          <w:tcPr>
            <w:tcW w:w="13958" w:type="dxa"/>
            <w:gridSpan w:val="6"/>
            <w:tcBorders>
              <w:top w:val="single" w:sz="12" w:space="0" w:color="auto"/>
              <w:left w:val="nil"/>
              <w:right w:val="nil"/>
            </w:tcBorders>
          </w:tcPr>
          <w:p w14:paraId="431D2F21" w14:textId="701EC53E" w:rsidR="003D1205" w:rsidRPr="00020DAD" w:rsidRDefault="003D1205" w:rsidP="00186457">
            <w:pPr>
              <w:pStyle w:val="Tabletext"/>
              <w:spacing w:line="480" w:lineRule="auto"/>
            </w:pPr>
            <w:r w:rsidRPr="00020DAD">
              <w:t xml:space="preserve">Block 3 – beliefs and attitudes about COVID-19 vaccination </w:t>
            </w:r>
            <w:r w:rsidRPr="00020DAD">
              <w:rPr>
                <w:vertAlign w:val="superscript"/>
              </w:rPr>
              <w:t>c</w:t>
            </w:r>
          </w:p>
        </w:tc>
      </w:tr>
      <w:tr w:rsidR="003D1205" w:rsidRPr="00020DAD" w14:paraId="185D52FB" w14:textId="77777777" w:rsidTr="1A097468">
        <w:tc>
          <w:tcPr>
            <w:tcW w:w="6379" w:type="dxa"/>
            <w:tcBorders>
              <w:left w:val="nil"/>
              <w:right w:val="nil"/>
            </w:tcBorders>
          </w:tcPr>
          <w:p w14:paraId="2FE21A54" w14:textId="72B5C590" w:rsidR="003D1205" w:rsidRPr="00020DAD" w:rsidRDefault="003D1205" w:rsidP="00186457">
            <w:pPr>
              <w:pStyle w:val="Tabletext"/>
              <w:spacing w:line="480" w:lineRule="auto"/>
            </w:pPr>
            <w:bookmarkStart w:id="4" w:name="_Hlk71217185"/>
            <w:r w:rsidRPr="00020DAD">
              <w:lastRenderedPageBreak/>
              <w:t xml:space="preserve">Component: social norms </w:t>
            </w:r>
            <w:r w:rsidR="00FE25EB" w:rsidRPr="00020DAD">
              <w:t xml:space="preserve">regarding </w:t>
            </w:r>
            <w:r w:rsidR="002539CD" w:rsidRPr="00020DAD">
              <w:t xml:space="preserve">COVID-19 </w:t>
            </w:r>
            <w:r w:rsidR="00FE25EB" w:rsidRPr="00020DAD">
              <w:t xml:space="preserve">vaccination </w:t>
            </w:r>
            <w:r w:rsidRPr="00020DAD">
              <w:t>(-4.71 to 2.82)</w:t>
            </w:r>
          </w:p>
        </w:tc>
        <w:tc>
          <w:tcPr>
            <w:tcW w:w="2410" w:type="dxa"/>
            <w:tcBorders>
              <w:left w:val="nil"/>
              <w:right w:val="nil"/>
            </w:tcBorders>
          </w:tcPr>
          <w:p w14:paraId="1018E248" w14:textId="4512C1DB" w:rsidR="003D1205" w:rsidRPr="00020DAD" w:rsidRDefault="003D1205" w:rsidP="00186457">
            <w:pPr>
              <w:pStyle w:val="Tabletext"/>
              <w:spacing w:line="480" w:lineRule="auto"/>
            </w:pPr>
          </w:p>
        </w:tc>
        <w:tc>
          <w:tcPr>
            <w:tcW w:w="1417" w:type="dxa"/>
            <w:tcBorders>
              <w:top w:val="nil"/>
              <w:left w:val="nil"/>
              <w:bottom w:val="single" w:sz="4" w:space="0" w:color="auto"/>
              <w:right w:val="nil"/>
            </w:tcBorders>
            <w:shd w:val="clear" w:color="auto" w:fill="auto"/>
          </w:tcPr>
          <w:p w14:paraId="25ADAEDD" w14:textId="3B922AFB" w:rsidR="003D1205" w:rsidRPr="00020DAD" w:rsidRDefault="003D1205" w:rsidP="00186457">
            <w:pPr>
              <w:pStyle w:val="Tabletext"/>
              <w:spacing w:line="480" w:lineRule="auto"/>
            </w:pPr>
            <w:r w:rsidRPr="00020DAD">
              <w:rPr>
                <w:color w:val="000000"/>
              </w:rPr>
              <w:t>-0.209</w:t>
            </w:r>
          </w:p>
        </w:tc>
        <w:tc>
          <w:tcPr>
            <w:tcW w:w="1380" w:type="dxa"/>
            <w:tcBorders>
              <w:top w:val="nil"/>
              <w:left w:val="nil"/>
              <w:bottom w:val="single" w:sz="4" w:space="0" w:color="auto"/>
              <w:right w:val="nil"/>
            </w:tcBorders>
            <w:shd w:val="clear" w:color="auto" w:fill="auto"/>
          </w:tcPr>
          <w:p w14:paraId="131A0B6F" w14:textId="57FB7A40" w:rsidR="003D1205" w:rsidRPr="00020DAD" w:rsidRDefault="003D1205" w:rsidP="00186457">
            <w:pPr>
              <w:pStyle w:val="Tabletext"/>
              <w:spacing w:line="480" w:lineRule="auto"/>
            </w:pPr>
            <w:r w:rsidRPr="00020DAD">
              <w:rPr>
                <w:color w:val="000000"/>
              </w:rPr>
              <w:t>-0.517</w:t>
            </w:r>
          </w:p>
        </w:tc>
        <w:tc>
          <w:tcPr>
            <w:tcW w:w="0" w:type="auto"/>
            <w:tcBorders>
              <w:top w:val="nil"/>
              <w:left w:val="nil"/>
              <w:bottom w:val="single" w:sz="4" w:space="0" w:color="auto"/>
              <w:right w:val="nil"/>
            </w:tcBorders>
            <w:shd w:val="clear" w:color="auto" w:fill="auto"/>
          </w:tcPr>
          <w:p w14:paraId="69356F2C" w14:textId="6BFDD7D4" w:rsidR="003D1205" w:rsidRPr="00020DAD" w:rsidRDefault="003D1205" w:rsidP="00186457">
            <w:pPr>
              <w:pStyle w:val="Tabletext"/>
              <w:spacing w:line="480" w:lineRule="auto"/>
            </w:pPr>
            <w:r w:rsidRPr="00020DAD">
              <w:rPr>
                <w:color w:val="000000"/>
              </w:rPr>
              <w:t>-0.703 to -0.330</w:t>
            </w:r>
          </w:p>
        </w:tc>
        <w:tc>
          <w:tcPr>
            <w:tcW w:w="0" w:type="auto"/>
            <w:tcBorders>
              <w:left w:val="nil"/>
              <w:bottom w:val="single" w:sz="4" w:space="0" w:color="auto"/>
              <w:right w:val="nil"/>
            </w:tcBorders>
          </w:tcPr>
          <w:p w14:paraId="41F6E09F" w14:textId="1BF99DB0" w:rsidR="003D1205" w:rsidRPr="00020DAD" w:rsidRDefault="003D1205" w:rsidP="00186457">
            <w:pPr>
              <w:pStyle w:val="Tabletext"/>
              <w:spacing w:line="480" w:lineRule="auto"/>
            </w:pPr>
            <w:r w:rsidRPr="00020DAD">
              <w:t>&lt;.001*</w:t>
            </w:r>
          </w:p>
        </w:tc>
      </w:tr>
      <w:tr w:rsidR="003D1205" w:rsidRPr="00020DAD" w14:paraId="29604BA9" w14:textId="77777777" w:rsidTr="1A097468">
        <w:tc>
          <w:tcPr>
            <w:tcW w:w="6379" w:type="dxa"/>
            <w:tcBorders>
              <w:left w:val="nil"/>
              <w:right w:val="nil"/>
            </w:tcBorders>
          </w:tcPr>
          <w:p w14:paraId="4F4526F2" w14:textId="20EF7A6F" w:rsidR="003D1205" w:rsidRPr="00020DAD" w:rsidRDefault="003D1205" w:rsidP="00186457">
            <w:pPr>
              <w:pStyle w:val="Tabletext"/>
              <w:spacing w:line="480" w:lineRule="auto"/>
            </w:pPr>
            <w:r w:rsidRPr="00020DAD">
              <w:t>Component: the necessity of vaccination (-3.80 to 3.67)</w:t>
            </w:r>
          </w:p>
        </w:tc>
        <w:tc>
          <w:tcPr>
            <w:tcW w:w="2410" w:type="dxa"/>
            <w:tcBorders>
              <w:left w:val="nil"/>
              <w:right w:val="nil"/>
            </w:tcBorders>
          </w:tcPr>
          <w:p w14:paraId="2AF401DC" w14:textId="07EB8B6F" w:rsidR="003D1205" w:rsidRPr="00020DAD" w:rsidRDefault="003D1205" w:rsidP="00186457">
            <w:pPr>
              <w:pStyle w:val="Tabletext"/>
              <w:spacing w:line="480" w:lineRule="auto"/>
            </w:pPr>
          </w:p>
        </w:tc>
        <w:tc>
          <w:tcPr>
            <w:tcW w:w="1417" w:type="dxa"/>
            <w:tcBorders>
              <w:top w:val="single" w:sz="4" w:space="0" w:color="auto"/>
              <w:left w:val="nil"/>
              <w:bottom w:val="single" w:sz="4" w:space="0" w:color="auto"/>
              <w:right w:val="nil"/>
            </w:tcBorders>
            <w:shd w:val="clear" w:color="auto" w:fill="auto"/>
          </w:tcPr>
          <w:p w14:paraId="6DF816A2" w14:textId="08926386" w:rsidR="003D1205" w:rsidRPr="00020DAD" w:rsidRDefault="003D1205" w:rsidP="00186457">
            <w:pPr>
              <w:pStyle w:val="Tabletext"/>
              <w:spacing w:line="480" w:lineRule="auto"/>
            </w:pPr>
            <w:r w:rsidRPr="00020DAD">
              <w:rPr>
                <w:color w:val="000000"/>
              </w:rPr>
              <w:t>-0.144</w:t>
            </w:r>
          </w:p>
        </w:tc>
        <w:tc>
          <w:tcPr>
            <w:tcW w:w="1380" w:type="dxa"/>
            <w:tcBorders>
              <w:top w:val="single" w:sz="4" w:space="0" w:color="auto"/>
              <w:left w:val="nil"/>
              <w:bottom w:val="single" w:sz="4" w:space="0" w:color="auto"/>
              <w:right w:val="nil"/>
            </w:tcBorders>
            <w:shd w:val="clear" w:color="auto" w:fill="auto"/>
          </w:tcPr>
          <w:p w14:paraId="61892A27" w14:textId="658DBCA5" w:rsidR="003D1205" w:rsidRPr="00020DAD" w:rsidRDefault="003D1205" w:rsidP="00186457">
            <w:pPr>
              <w:pStyle w:val="Tabletext"/>
              <w:spacing w:line="480" w:lineRule="auto"/>
            </w:pPr>
            <w:r w:rsidRPr="00020DAD">
              <w:rPr>
                <w:color w:val="000000"/>
              </w:rPr>
              <w:t>-0.349</w:t>
            </w:r>
          </w:p>
        </w:tc>
        <w:tc>
          <w:tcPr>
            <w:tcW w:w="0" w:type="auto"/>
            <w:tcBorders>
              <w:top w:val="single" w:sz="4" w:space="0" w:color="auto"/>
              <w:left w:val="nil"/>
              <w:bottom w:val="single" w:sz="4" w:space="0" w:color="auto"/>
              <w:right w:val="nil"/>
            </w:tcBorders>
            <w:shd w:val="clear" w:color="auto" w:fill="auto"/>
          </w:tcPr>
          <w:p w14:paraId="66230A2F" w14:textId="2A01927C" w:rsidR="003D1205" w:rsidRPr="00020DAD" w:rsidRDefault="003D1205" w:rsidP="00186457">
            <w:pPr>
              <w:pStyle w:val="Tabletext"/>
              <w:spacing w:line="480" w:lineRule="auto"/>
            </w:pPr>
            <w:r w:rsidRPr="00020DAD">
              <w:rPr>
                <w:color w:val="000000"/>
              </w:rPr>
              <w:t>-0.527 to -0.171</w:t>
            </w:r>
          </w:p>
        </w:tc>
        <w:tc>
          <w:tcPr>
            <w:tcW w:w="0" w:type="auto"/>
            <w:tcBorders>
              <w:top w:val="single" w:sz="4" w:space="0" w:color="auto"/>
              <w:left w:val="nil"/>
              <w:bottom w:val="single" w:sz="4" w:space="0" w:color="auto"/>
              <w:right w:val="nil"/>
            </w:tcBorders>
          </w:tcPr>
          <w:p w14:paraId="694A9C1E" w14:textId="52232C39" w:rsidR="003D1205" w:rsidRPr="00020DAD" w:rsidRDefault="003D1205" w:rsidP="00186457">
            <w:pPr>
              <w:pStyle w:val="Tabletext"/>
              <w:spacing w:line="480" w:lineRule="auto"/>
            </w:pPr>
            <w:r w:rsidRPr="00020DAD">
              <w:t>&lt;.001*</w:t>
            </w:r>
          </w:p>
        </w:tc>
      </w:tr>
      <w:tr w:rsidR="003D1205" w:rsidRPr="00020DAD" w14:paraId="11C4A95E" w14:textId="77777777" w:rsidTr="1A097468">
        <w:tc>
          <w:tcPr>
            <w:tcW w:w="6379" w:type="dxa"/>
            <w:tcBorders>
              <w:left w:val="nil"/>
              <w:right w:val="nil"/>
            </w:tcBorders>
          </w:tcPr>
          <w:p w14:paraId="6E43578D" w14:textId="30A709CE" w:rsidR="003D1205" w:rsidRPr="00020DAD" w:rsidRDefault="003D1205" w:rsidP="00186457">
            <w:pPr>
              <w:pStyle w:val="Tabletext"/>
              <w:spacing w:line="480" w:lineRule="auto"/>
            </w:pPr>
            <w:r w:rsidRPr="00020DAD">
              <w:t>Component: safety of the vaccine (-3.91 to 2.56)</w:t>
            </w:r>
          </w:p>
        </w:tc>
        <w:tc>
          <w:tcPr>
            <w:tcW w:w="2410" w:type="dxa"/>
            <w:tcBorders>
              <w:left w:val="nil"/>
              <w:right w:val="nil"/>
            </w:tcBorders>
          </w:tcPr>
          <w:p w14:paraId="2882AF2A" w14:textId="09834614" w:rsidR="003D1205" w:rsidRPr="00020DAD" w:rsidRDefault="003D1205" w:rsidP="00186457">
            <w:pPr>
              <w:pStyle w:val="Tabletext"/>
              <w:spacing w:line="480" w:lineRule="auto"/>
            </w:pPr>
          </w:p>
        </w:tc>
        <w:tc>
          <w:tcPr>
            <w:tcW w:w="1417" w:type="dxa"/>
            <w:tcBorders>
              <w:top w:val="single" w:sz="4" w:space="0" w:color="auto"/>
              <w:left w:val="nil"/>
              <w:bottom w:val="single" w:sz="4" w:space="0" w:color="auto"/>
              <w:right w:val="nil"/>
            </w:tcBorders>
            <w:shd w:val="clear" w:color="auto" w:fill="auto"/>
          </w:tcPr>
          <w:p w14:paraId="3886AA50" w14:textId="6C375C36" w:rsidR="003D1205" w:rsidRPr="00020DAD" w:rsidRDefault="003D1205" w:rsidP="00186457">
            <w:pPr>
              <w:pStyle w:val="Tabletext"/>
              <w:spacing w:line="480" w:lineRule="auto"/>
            </w:pPr>
            <w:r w:rsidRPr="00020DAD">
              <w:rPr>
                <w:color w:val="000000"/>
              </w:rPr>
              <w:t>-0.454</w:t>
            </w:r>
          </w:p>
        </w:tc>
        <w:tc>
          <w:tcPr>
            <w:tcW w:w="1380" w:type="dxa"/>
            <w:tcBorders>
              <w:top w:val="single" w:sz="4" w:space="0" w:color="auto"/>
              <w:left w:val="nil"/>
              <w:bottom w:val="single" w:sz="4" w:space="0" w:color="auto"/>
              <w:right w:val="nil"/>
            </w:tcBorders>
            <w:shd w:val="clear" w:color="auto" w:fill="auto"/>
          </w:tcPr>
          <w:p w14:paraId="2140808D" w14:textId="098AF19E" w:rsidR="003D1205" w:rsidRPr="00020DAD" w:rsidRDefault="003D1205" w:rsidP="00186457">
            <w:pPr>
              <w:pStyle w:val="Tabletext"/>
              <w:spacing w:line="480" w:lineRule="auto"/>
            </w:pPr>
            <w:r w:rsidRPr="00020DAD">
              <w:rPr>
                <w:color w:val="000000"/>
              </w:rPr>
              <w:t>-1.104</w:t>
            </w:r>
          </w:p>
        </w:tc>
        <w:tc>
          <w:tcPr>
            <w:tcW w:w="0" w:type="auto"/>
            <w:tcBorders>
              <w:top w:val="single" w:sz="4" w:space="0" w:color="auto"/>
              <w:left w:val="nil"/>
              <w:bottom w:val="single" w:sz="4" w:space="0" w:color="auto"/>
              <w:right w:val="nil"/>
            </w:tcBorders>
            <w:shd w:val="clear" w:color="auto" w:fill="auto"/>
          </w:tcPr>
          <w:p w14:paraId="4290719F" w14:textId="0B74BE9E" w:rsidR="003D1205" w:rsidRPr="00020DAD" w:rsidRDefault="003D1205" w:rsidP="00186457">
            <w:pPr>
              <w:pStyle w:val="Tabletext"/>
              <w:spacing w:line="480" w:lineRule="auto"/>
            </w:pPr>
            <w:r w:rsidRPr="00020DAD">
              <w:rPr>
                <w:color w:val="000000"/>
              </w:rPr>
              <w:t>-1.285 to -0.923</w:t>
            </w:r>
          </w:p>
        </w:tc>
        <w:tc>
          <w:tcPr>
            <w:tcW w:w="0" w:type="auto"/>
            <w:tcBorders>
              <w:top w:val="single" w:sz="4" w:space="0" w:color="auto"/>
              <w:left w:val="nil"/>
              <w:bottom w:val="single" w:sz="4" w:space="0" w:color="auto"/>
              <w:right w:val="nil"/>
            </w:tcBorders>
          </w:tcPr>
          <w:p w14:paraId="3A63B6C8" w14:textId="2A6464E5" w:rsidR="003D1205" w:rsidRPr="00020DAD" w:rsidRDefault="003D1205" w:rsidP="00186457">
            <w:pPr>
              <w:pStyle w:val="Tabletext"/>
              <w:spacing w:line="480" w:lineRule="auto"/>
            </w:pPr>
            <w:r w:rsidRPr="00020DAD">
              <w:t>&lt;.001*</w:t>
            </w:r>
          </w:p>
        </w:tc>
      </w:tr>
      <w:tr w:rsidR="003D1205" w:rsidRPr="00020DAD" w14:paraId="0BE046C4" w14:textId="77777777" w:rsidTr="1A097468">
        <w:tc>
          <w:tcPr>
            <w:tcW w:w="6379" w:type="dxa"/>
            <w:tcBorders>
              <w:left w:val="nil"/>
              <w:right w:val="nil"/>
            </w:tcBorders>
          </w:tcPr>
          <w:p w14:paraId="40A23644" w14:textId="594212D3" w:rsidR="003D1205" w:rsidRPr="00020DAD" w:rsidRDefault="003D1205" w:rsidP="00186457">
            <w:pPr>
              <w:pStyle w:val="Tabletext"/>
              <w:spacing w:line="480" w:lineRule="auto"/>
            </w:pPr>
            <w:r w:rsidRPr="00020DAD">
              <w:t xml:space="preserve">Component: adequacy of information about </w:t>
            </w:r>
            <w:r w:rsidR="0007492E" w:rsidRPr="00020DAD">
              <w:t xml:space="preserve">vaccination </w:t>
            </w:r>
            <w:r w:rsidRPr="00020DAD">
              <w:t>(-3.77 to 3.41)</w:t>
            </w:r>
          </w:p>
        </w:tc>
        <w:tc>
          <w:tcPr>
            <w:tcW w:w="2410" w:type="dxa"/>
            <w:tcBorders>
              <w:left w:val="nil"/>
              <w:bottom w:val="single" w:sz="4" w:space="0" w:color="auto"/>
              <w:right w:val="nil"/>
            </w:tcBorders>
          </w:tcPr>
          <w:p w14:paraId="2A08B49B" w14:textId="4A424DBE" w:rsidR="003D1205" w:rsidRPr="00020DAD" w:rsidRDefault="003D1205" w:rsidP="00186457">
            <w:pPr>
              <w:pStyle w:val="Tabletext"/>
              <w:spacing w:line="480" w:lineRule="auto"/>
            </w:pPr>
          </w:p>
        </w:tc>
        <w:tc>
          <w:tcPr>
            <w:tcW w:w="1417" w:type="dxa"/>
            <w:tcBorders>
              <w:top w:val="single" w:sz="4" w:space="0" w:color="auto"/>
              <w:left w:val="nil"/>
              <w:bottom w:val="single" w:sz="4" w:space="0" w:color="auto"/>
              <w:right w:val="nil"/>
            </w:tcBorders>
            <w:shd w:val="clear" w:color="auto" w:fill="auto"/>
          </w:tcPr>
          <w:p w14:paraId="2B057959" w14:textId="73E59B22" w:rsidR="003D1205" w:rsidRPr="00020DAD" w:rsidRDefault="003D1205" w:rsidP="00186457">
            <w:pPr>
              <w:pStyle w:val="Tabletext"/>
              <w:spacing w:line="480" w:lineRule="auto"/>
            </w:pPr>
            <w:r w:rsidRPr="00020DAD">
              <w:rPr>
                <w:color w:val="000000"/>
              </w:rPr>
              <w:t>-0.076</w:t>
            </w:r>
          </w:p>
        </w:tc>
        <w:tc>
          <w:tcPr>
            <w:tcW w:w="1380" w:type="dxa"/>
            <w:tcBorders>
              <w:top w:val="single" w:sz="4" w:space="0" w:color="auto"/>
              <w:left w:val="nil"/>
              <w:bottom w:val="single" w:sz="4" w:space="0" w:color="auto"/>
              <w:right w:val="nil"/>
            </w:tcBorders>
            <w:shd w:val="clear" w:color="auto" w:fill="auto"/>
          </w:tcPr>
          <w:p w14:paraId="0C0D1969" w14:textId="3263EE8D" w:rsidR="003D1205" w:rsidRPr="00020DAD" w:rsidRDefault="003D1205" w:rsidP="00186457">
            <w:pPr>
              <w:pStyle w:val="Tabletext"/>
              <w:spacing w:line="480" w:lineRule="auto"/>
            </w:pPr>
            <w:r w:rsidRPr="00020DAD">
              <w:rPr>
                <w:color w:val="000000"/>
              </w:rPr>
              <w:t>-0.187</w:t>
            </w:r>
          </w:p>
        </w:tc>
        <w:tc>
          <w:tcPr>
            <w:tcW w:w="0" w:type="auto"/>
            <w:tcBorders>
              <w:top w:val="single" w:sz="4" w:space="0" w:color="auto"/>
              <w:left w:val="nil"/>
              <w:bottom w:val="single" w:sz="4" w:space="0" w:color="auto"/>
              <w:right w:val="nil"/>
            </w:tcBorders>
            <w:shd w:val="clear" w:color="auto" w:fill="auto"/>
          </w:tcPr>
          <w:p w14:paraId="6D948EF5" w14:textId="05FB6A92" w:rsidR="003D1205" w:rsidRPr="00020DAD" w:rsidRDefault="003D1205" w:rsidP="00186457">
            <w:pPr>
              <w:pStyle w:val="Tabletext"/>
              <w:spacing w:line="480" w:lineRule="auto"/>
            </w:pPr>
            <w:r w:rsidRPr="00020DAD">
              <w:rPr>
                <w:color w:val="000000"/>
              </w:rPr>
              <w:t>-0.338 to -0.035</w:t>
            </w:r>
          </w:p>
        </w:tc>
        <w:tc>
          <w:tcPr>
            <w:tcW w:w="0" w:type="auto"/>
            <w:tcBorders>
              <w:top w:val="single" w:sz="4" w:space="0" w:color="auto"/>
              <w:left w:val="nil"/>
              <w:bottom w:val="single" w:sz="4" w:space="0" w:color="auto"/>
              <w:right w:val="nil"/>
            </w:tcBorders>
            <w:shd w:val="clear" w:color="auto" w:fill="auto"/>
          </w:tcPr>
          <w:p w14:paraId="773D4795" w14:textId="64EE1071" w:rsidR="003D1205" w:rsidRPr="00020DAD" w:rsidRDefault="003D1205" w:rsidP="00186457">
            <w:pPr>
              <w:pStyle w:val="Tabletext"/>
              <w:spacing w:line="480" w:lineRule="auto"/>
            </w:pPr>
            <w:r w:rsidRPr="00020DAD">
              <w:rPr>
                <w:color w:val="000000"/>
              </w:rPr>
              <w:t>.002*</w:t>
            </w:r>
          </w:p>
        </w:tc>
      </w:tr>
      <w:bookmarkEnd w:id="4"/>
      <w:tr w:rsidR="003D1205" w:rsidRPr="00020DAD" w14:paraId="78955D1B" w14:textId="77777777" w:rsidTr="1A097468">
        <w:tc>
          <w:tcPr>
            <w:tcW w:w="6379" w:type="dxa"/>
            <w:tcBorders>
              <w:left w:val="nil"/>
              <w:right w:val="nil"/>
            </w:tcBorders>
          </w:tcPr>
          <w:p w14:paraId="3607864D" w14:textId="00AC9C9F" w:rsidR="003D1205" w:rsidRPr="00020DAD" w:rsidRDefault="003D1205" w:rsidP="00186457">
            <w:pPr>
              <w:pStyle w:val="Tabletext"/>
              <w:spacing w:line="480" w:lineRule="auto"/>
            </w:pPr>
            <w:r w:rsidRPr="00020DAD">
              <w:t xml:space="preserve">Component: </w:t>
            </w:r>
            <w:bookmarkStart w:id="5" w:name="_Hlk67845485"/>
            <w:r w:rsidRPr="00020DAD">
              <w:t>freedom from restrictions through the vaccine</w:t>
            </w:r>
            <w:bookmarkEnd w:id="5"/>
            <w:r w:rsidRPr="00020DAD">
              <w:t xml:space="preserve"> (-2.41 to 3.26)</w:t>
            </w:r>
          </w:p>
        </w:tc>
        <w:tc>
          <w:tcPr>
            <w:tcW w:w="2410" w:type="dxa"/>
            <w:tcBorders>
              <w:top w:val="single" w:sz="4" w:space="0" w:color="auto"/>
              <w:left w:val="nil"/>
              <w:right w:val="nil"/>
            </w:tcBorders>
          </w:tcPr>
          <w:p w14:paraId="59B7FB2F" w14:textId="52D1F65D" w:rsidR="003D1205" w:rsidRPr="00020DAD" w:rsidRDefault="003D1205" w:rsidP="00186457">
            <w:pPr>
              <w:pStyle w:val="Tabletext"/>
              <w:spacing w:line="480" w:lineRule="auto"/>
            </w:pPr>
          </w:p>
        </w:tc>
        <w:tc>
          <w:tcPr>
            <w:tcW w:w="1417" w:type="dxa"/>
            <w:tcBorders>
              <w:top w:val="single" w:sz="4" w:space="0" w:color="auto"/>
              <w:left w:val="nil"/>
              <w:bottom w:val="single" w:sz="4" w:space="0" w:color="auto"/>
              <w:right w:val="nil"/>
            </w:tcBorders>
            <w:shd w:val="clear" w:color="auto" w:fill="auto"/>
          </w:tcPr>
          <w:p w14:paraId="022C114B" w14:textId="36B356F2" w:rsidR="003D1205" w:rsidRPr="00020DAD" w:rsidRDefault="003D1205" w:rsidP="00186457">
            <w:pPr>
              <w:pStyle w:val="Tabletext"/>
              <w:spacing w:line="480" w:lineRule="auto"/>
            </w:pPr>
            <w:r w:rsidRPr="00020DAD">
              <w:rPr>
                <w:color w:val="000000"/>
              </w:rPr>
              <w:t>-0.017</w:t>
            </w:r>
          </w:p>
        </w:tc>
        <w:tc>
          <w:tcPr>
            <w:tcW w:w="1380" w:type="dxa"/>
            <w:tcBorders>
              <w:top w:val="single" w:sz="4" w:space="0" w:color="auto"/>
              <w:left w:val="nil"/>
              <w:bottom w:val="single" w:sz="4" w:space="0" w:color="auto"/>
              <w:right w:val="nil"/>
            </w:tcBorders>
            <w:shd w:val="clear" w:color="auto" w:fill="auto"/>
          </w:tcPr>
          <w:p w14:paraId="6FA02E34" w14:textId="3EC35AE2" w:rsidR="003D1205" w:rsidRPr="00020DAD" w:rsidRDefault="003D1205" w:rsidP="00186457">
            <w:pPr>
              <w:pStyle w:val="Tabletext"/>
              <w:spacing w:line="480" w:lineRule="auto"/>
            </w:pPr>
            <w:r w:rsidRPr="00020DAD">
              <w:rPr>
                <w:color w:val="000000"/>
              </w:rPr>
              <w:t>-0.041</w:t>
            </w:r>
          </w:p>
        </w:tc>
        <w:tc>
          <w:tcPr>
            <w:tcW w:w="0" w:type="auto"/>
            <w:tcBorders>
              <w:top w:val="single" w:sz="4" w:space="0" w:color="auto"/>
              <w:left w:val="nil"/>
              <w:bottom w:val="single" w:sz="4" w:space="0" w:color="auto"/>
              <w:right w:val="nil"/>
            </w:tcBorders>
            <w:shd w:val="clear" w:color="auto" w:fill="auto"/>
          </w:tcPr>
          <w:p w14:paraId="6F19776D" w14:textId="3B7B4C37" w:rsidR="003D1205" w:rsidRPr="00020DAD" w:rsidRDefault="003D1205" w:rsidP="00186457">
            <w:pPr>
              <w:pStyle w:val="Tabletext"/>
              <w:spacing w:line="480" w:lineRule="auto"/>
            </w:pPr>
            <w:r w:rsidRPr="00020DAD">
              <w:rPr>
                <w:color w:val="000000"/>
              </w:rPr>
              <w:t>-0.188 to 0.107</w:t>
            </w:r>
          </w:p>
        </w:tc>
        <w:tc>
          <w:tcPr>
            <w:tcW w:w="0" w:type="auto"/>
            <w:tcBorders>
              <w:top w:val="single" w:sz="4" w:space="0" w:color="auto"/>
              <w:left w:val="nil"/>
              <w:bottom w:val="single" w:sz="4" w:space="0" w:color="auto"/>
              <w:right w:val="nil"/>
            </w:tcBorders>
            <w:shd w:val="clear" w:color="auto" w:fill="auto"/>
          </w:tcPr>
          <w:p w14:paraId="3F078F27" w14:textId="2C65AF39" w:rsidR="003D1205" w:rsidRPr="00020DAD" w:rsidRDefault="003D1205" w:rsidP="00186457">
            <w:pPr>
              <w:pStyle w:val="Tabletext"/>
              <w:spacing w:line="480" w:lineRule="auto"/>
            </w:pPr>
            <w:r w:rsidRPr="00020DAD">
              <w:rPr>
                <w:color w:val="000000"/>
              </w:rPr>
              <w:t>.478</w:t>
            </w:r>
          </w:p>
        </w:tc>
      </w:tr>
      <w:tr w:rsidR="003D1205" w:rsidRPr="00020DAD" w14:paraId="2A6F2C6A" w14:textId="77777777" w:rsidTr="1A097468">
        <w:tc>
          <w:tcPr>
            <w:tcW w:w="6379" w:type="dxa"/>
            <w:tcBorders>
              <w:left w:val="nil"/>
              <w:right w:val="nil"/>
            </w:tcBorders>
          </w:tcPr>
          <w:p w14:paraId="1521BD09" w14:textId="4D704735" w:rsidR="003D1205" w:rsidRPr="00020DAD" w:rsidRDefault="003D1205" w:rsidP="00186457">
            <w:pPr>
              <w:pStyle w:val="Tabletext"/>
              <w:spacing w:line="480" w:lineRule="auto"/>
            </w:pPr>
            <w:r w:rsidRPr="00020DAD">
              <w:t>The way the coronavirus vaccines are being given in the UK goes against the manufacturers’ recommendations (0</w:t>
            </w:r>
            <w:r w:rsidR="004F658D" w:rsidRPr="00020DAD">
              <w:t>–</w:t>
            </w:r>
            <w:r w:rsidRPr="00020DAD">
              <w:t>10)</w:t>
            </w:r>
            <w:r w:rsidR="0085650E" w:rsidRPr="00020DAD">
              <w:t xml:space="preserve"> </w:t>
            </w:r>
            <w:r w:rsidRPr="00020DAD">
              <w:rPr>
                <w:vertAlign w:val="superscript"/>
              </w:rPr>
              <w:t>d</w:t>
            </w:r>
          </w:p>
        </w:tc>
        <w:tc>
          <w:tcPr>
            <w:tcW w:w="2410" w:type="dxa"/>
            <w:tcBorders>
              <w:left w:val="nil"/>
              <w:right w:val="nil"/>
            </w:tcBorders>
          </w:tcPr>
          <w:p w14:paraId="4A5DCF38" w14:textId="08F2CD9F" w:rsidR="003D1205" w:rsidRPr="00020DAD" w:rsidRDefault="003D1205" w:rsidP="00186457">
            <w:pPr>
              <w:pStyle w:val="Tabletext"/>
              <w:spacing w:line="480" w:lineRule="auto"/>
            </w:pPr>
          </w:p>
        </w:tc>
        <w:tc>
          <w:tcPr>
            <w:tcW w:w="1417" w:type="dxa"/>
            <w:tcBorders>
              <w:top w:val="single" w:sz="4" w:space="0" w:color="auto"/>
              <w:left w:val="nil"/>
              <w:bottom w:val="nil"/>
              <w:right w:val="nil"/>
            </w:tcBorders>
            <w:shd w:val="clear" w:color="auto" w:fill="auto"/>
          </w:tcPr>
          <w:p w14:paraId="0BE38617" w14:textId="743858D1" w:rsidR="003D1205" w:rsidRPr="00020DAD" w:rsidRDefault="003D1205" w:rsidP="00186457">
            <w:pPr>
              <w:pStyle w:val="Tabletext"/>
              <w:spacing w:line="480" w:lineRule="auto"/>
            </w:pPr>
            <w:r w:rsidRPr="00020DAD">
              <w:rPr>
                <w:color w:val="000000"/>
              </w:rPr>
              <w:t>0.014</w:t>
            </w:r>
          </w:p>
        </w:tc>
        <w:tc>
          <w:tcPr>
            <w:tcW w:w="1380" w:type="dxa"/>
            <w:tcBorders>
              <w:top w:val="single" w:sz="4" w:space="0" w:color="auto"/>
              <w:left w:val="nil"/>
              <w:bottom w:val="nil"/>
              <w:right w:val="nil"/>
            </w:tcBorders>
            <w:shd w:val="clear" w:color="auto" w:fill="auto"/>
          </w:tcPr>
          <w:p w14:paraId="329BE5AA" w14:textId="67826AC3" w:rsidR="003D1205" w:rsidRPr="00020DAD" w:rsidRDefault="003D1205" w:rsidP="00186457">
            <w:pPr>
              <w:pStyle w:val="Tabletext"/>
              <w:spacing w:line="480" w:lineRule="auto"/>
            </w:pPr>
            <w:r w:rsidRPr="00020DAD">
              <w:rPr>
                <w:color w:val="000000"/>
              </w:rPr>
              <w:t>0.011</w:t>
            </w:r>
          </w:p>
        </w:tc>
        <w:tc>
          <w:tcPr>
            <w:tcW w:w="0" w:type="auto"/>
            <w:tcBorders>
              <w:top w:val="single" w:sz="4" w:space="0" w:color="auto"/>
              <w:left w:val="nil"/>
              <w:bottom w:val="nil"/>
              <w:right w:val="nil"/>
            </w:tcBorders>
            <w:shd w:val="clear" w:color="auto" w:fill="auto"/>
          </w:tcPr>
          <w:p w14:paraId="21C68546" w14:textId="49C0BC4A" w:rsidR="003D1205" w:rsidRPr="00020DAD" w:rsidRDefault="003D1205" w:rsidP="00186457">
            <w:pPr>
              <w:pStyle w:val="Tabletext"/>
              <w:spacing w:line="480" w:lineRule="auto"/>
            </w:pPr>
            <w:r w:rsidRPr="00020DAD">
              <w:rPr>
                <w:color w:val="000000"/>
              </w:rPr>
              <w:t>-0.037 to 0.060</w:t>
            </w:r>
          </w:p>
        </w:tc>
        <w:tc>
          <w:tcPr>
            <w:tcW w:w="0" w:type="auto"/>
            <w:tcBorders>
              <w:top w:val="single" w:sz="4" w:space="0" w:color="auto"/>
              <w:left w:val="nil"/>
              <w:bottom w:val="nil"/>
              <w:right w:val="nil"/>
            </w:tcBorders>
            <w:shd w:val="clear" w:color="auto" w:fill="auto"/>
          </w:tcPr>
          <w:p w14:paraId="57F39217" w14:textId="1DDCA6A1" w:rsidR="003D1205" w:rsidRPr="00020DAD" w:rsidRDefault="003D1205" w:rsidP="00186457">
            <w:pPr>
              <w:pStyle w:val="Tabletext"/>
              <w:spacing w:line="480" w:lineRule="auto"/>
            </w:pPr>
            <w:r w:rsidRPr="00020DAD">
              <w:rPr>
                <w:color w:val="000000"/>
              </w:rPr>
              <w:t>.550</w:t>
            </w:r>
          </w:p>
        </w:tc>
      </w:tr>
      <w:tr w:rsidR="003D1205" w:rsidRPr="00020DAD" w14:paraId="2E27930F" w14:textId="77777777" w:rsidTr="1A097468">
        <w:tc>
          <w:tcPr>
            <w:tcW w:w="6379" w:type="dxa"/>
            <w:tcBorders>
              <w:left w:val="nil"/>
              <w:right w:val="nil"/>
            </w:tcBorders>
          </w:tcPr>
          <w:p w14:paraId="0607B0EF" w14:textId="61B9AAC1" w:rsidR="003D1205" w:rsidRPr="00020DAD" w:rsidRDefault="003D1205" w:rsidP="00186457">
            <w:pPr>
              <w:pStyle w:val="Tabletext"/>
              <w:spacing w:line="480" w:lineRule="auto"/>
            </w:pPr>
            <w:r w:rsidRPr="00020DAD">
              <w:t>Only people who are at risk of serious illness from coronavirus need to be vaccinated (0</w:t>
            </w:r>
            <w:r w:rsidR="00FE25EB" w:rsidRPr="00020DAD">
              <w:t>–</w:t>
            </w:r>
            <w:r w:rsidRPr="00020DAD">
              <w:t>10)</w:t>
            </w:r>
            <w:r w:rsidR="0085650E" w:rsidRPr="00020DAD">
              <w:t xml:space="preserve"> </w:t>
            </w:r>
            <w:r w:rsidRPr="00020DAD">
              <w:rPr>
                <w:vertAlign w:val="superscript"/>
              </w:rPr>
              <w:t>d</w:t>
            </w:r>
          </w:p>
        </w:tc>
        <w:tc>
          <w:tcPr>
            <w:tcW w:w="2410" w:type="dxa"/>
            <w:tcBorders>
              <w:left w:val="nil"/>
              <w:right w:val="nil"/>
            </w:tcBorders>
          </w:tcPr>
          <w:p w14:paraId="701B6CCE" w14:textId="65C70FAC" w:rsidR="003D1205" w:rsidRPr="00020DAD" w:rsidRDefault="003D1205" w:rsidP="00186457">
            <w:pPr>
              <w:pStyle w:val="Tabletext"/>
              <w:spacing w:line="480" w:lineRule="auto"/>
            </w:pPr>
          </w:p>
        </w:tc>
        <w:tc>
          <w:tcPr>
            <w:tcW w:w="1417" w:type="dxa"/>
            <w:tcBorders>
              <w:top w:val="single" w:sz="4" w:space="0" w:color="auto"/>
              <w:left w:val="nil"/>
              <w:bottom w:val="single" w:sz="4" w:space="0" w:color="auto"/>
              <w:right w:val="nil"/>
            </w:tcBorders>
            <w:shd w:val="clear" w:color="auto" w:fill="auto"/>
          </w:tcPr>
          <w:p w14:paraId="672A0C93" w14:textId="11FE929E" w:rsidR="003D1205" w:rsidRPr="00020DAD" w:rsidRDefault="003D1205" w:rsidP="00186457">
            <w:pPr>
              <w:pStyle w:val="Tabletext"/>
              <w:spacing w:line="480" w:lineRule="auto"/>
            </w:pPr>
            <w:r w:rsidRPr="00020DAD">
              <w:rPr>
                <w:color w:val="000000"/>
              </w:rPr>
              <w:t>0.005</w:t>
            </w:r>
          </w:p>
        </w:tc>
        <w:tc>
          <w:tcPr>
            <w:tcW w:w="1380" w:type="dxa"/>
            <w:tcBorders>
              <w:top w:val="single" w:sz="4" w:space="0" w:color="auto"/>
              <w:left w:val="nil"/>
              <w:bottom w:val="single" w:sz="4" w:space="0" w:color="auto"/>
              <w:right w:val="nil"/>
            </w:tcBorders>
            <w:shd w:val="clear" w:color="auto" w:fill="auto"/>
          </w:tcPr>
          <w:p w14:paraId="5331596A" w14:textId="1146B2CE" w:rsidR="003D1205" w:rsidRPr="00020DAD" w:rsidRDefault="003D1205" w:rsidP="00186457">
            <w:pPr>
              <w:pStyle w:val="Tabletext"/>
              <w:spacing w:line="480" w:lineRule="auto"/>
            </w:pPr>
            <w:r w:rsidRPr="00020DAD">
              <w:rPr>
                <w:color w:val="000000"/>
              </w:rPr>
              <w:t>0.004</w:t>
            </w:r>
          </w:p>
        </w:tc>
        <w:tc>
          <w:tcPr>
            <w:tcW w:w="0" w:type="auto"/>
            <w:tcBorders>
              <w:top w:val="single" w:sz="4" w:space="0" w:color="auto"/>
              <w:left w:val="nil"/>
              <w:bottom w:val="single" w:sz="4" w:space="0" w:color="auto"/>
              <w:right w:val="nil"/>
            </w:tcBorders>
            <w:shd w:val="clear" w:color="auto" w:fill="auto"/>
          </w:tcPr>
          <w:p w14:paraId="27401492" w14:textId="7FE4738A" w:rsidR="003D1205" w:rsidRPr="00020DAD" w:rsidRDefault="003D1205" w:rsidP="00186457">
            <w:pPr>
              <w:pStyle w:val="Tabletext"/>
              <w:spacing w:line="480" w:lineRule="auto"/>
            </w:pPr>
            <w:r w:rsidRPr="00020DAD">
              <w:rPr>
                <w:color w:val="000000"/>
              </w:rPr>
              <w:t>-0.052 to 0.061</w:t>
            </w:r>
          </w:p>
        </w:tc>
        <w:tc>
          <w:tcPr>
            <w:tcW w:w="0" w:type="auto"/>
            <w:tcBorders>
              <w:top w:val="single" w:sz="4" w:space="0" w:color="auto"/>
              <w:left w:val="nil"/>
              <w:bottom w:val="single" w:sz="4" w:space="0" w:color="auto"/>
              <w:right w:val="nil"/>
            </w:tcBorders>
            <w:shd w:val="clear" w:color="auto" w:fill="auto"/>
          </w:tcPr>
          <w:p w14:paraId="6061EF71" w14:textId="34F12B08" w:rsidR="003D1205" w:rsidRPr="00020DAD" w:rsidRDefault="003D1205" w:rsidP="00186457">
            <w:pPr>
              <w:pStyle w:val="Tabletext"/>
              <w:spacing w:line="480" w:lineRule="auto"/>
            </w:pPr>
            <w:r w:rsidRPr="00020DAD">
              <w:rPr>
                <w:color w:val="000000"/>
              </w:rPr>
              <w:t>.841</w:t>
            </w:r>
          </w:p>
        </w:tc>
      </w:tr>
      <w:tr w:rsidR="003D1205" w:rsidRPr="00020DAD" w14:paraId="0B0AC8DC" w14:textId="77777777" w:rsidTr="1A097468">
        <w:tc>
          <w:tcPr>
            <w:tcW w:w="6379" w:type="dxa"/>
            <w:tcBorders>
              <w:left w:val="nil"/>
              <w:bottom w:val="single" w:sz="12" w:space="0" w:color="auto"/>
              <w:right w:val="nil"/>
            </w:tcBorders>
          </w:tcPr>
          <w:p w14:paraId="3F41743A" w14:textId="2AD88F4C" w:rsidR="003D1205" w:rsidRPr="00020DAD" w:rsidRDefault="003D1205" w:rsidP="00186457">
            <w:pPr>
              <w:pStyle w:val="Tabletext"/>
              <w:spacing w:line="480" w:lineRule="auto"/>
            </w:pPr>
            <w:r w:rsidRPr="00020DAD">
              <w:t>Widespread coronavirus vaccination is just a way to make money for vaccine manufacturers (0</w:t>
            </w:r>
            <w:r w:rsidR="00FE25EB" w:rsidRPr="00020DAD">
              <w:t>–</w:t>
            </w:r>
            <w:r w:rsidRPr="00020DAD">
              <w:t>10)</w:t>
            </w:r>
            <w:r w:rsidR="0085650E" w:rsidRPr="00020DAD">
              <w:t xml:space="preserve"> </w:t>
            </w:r>
            <w:r w:rsidRPr="00020DAD">
              <w:rPr>
                <w:vertAlign w:val="superscript"/>
              </w:rPr>
              <w:t>d</w:t>
            </w:r>
          </w:p>
        </w:tc>
        <w:tc>
          <w:tcPr>
            <w:tcW w:w="2410" w:type="dxa"/>
            <w:tcBorders>
              <w:top w:val="nil"/>
              <w:left w:val="nil"/>
              <w:bottom w:val="single" w:sz="12" w:space="0" w:color="auto"/>
              <w:right w:val="nil"/>
            </w:tcBorders>
          </w:tcPr>
          <w:p w14:paraId="4D149D60" w14:textId="20B11B31" w:rsidR="003D1205" w:rsidRPr="00020DAD" w:rsidRDefault="003D1205" w:rsidP="00186457">
            <w:pPr>
              <w:pStyle w:val="Tabletext"/>
              <w:spacing w:line="480" w:lineRule="auto"/>
            </w:pPr>
          </w:p>
        </w:tc>
        <w:tc>
          <w:tcPr>
            <w:tcW w:w="1417" w:type="dxa"/>
            <w:tcBorders>
              <w:top w:val="single" w:sz="4" w:space="0" w:color="auto"/>
              <w:left w:val="nil"/>
              <w:bottom w:val="single" w:sz="12" w:space="0" w:color="auto"/>
              <w:right w:val="nil"/>
            </w:tcBorders>
            <w:shd w:val="clear" w:color="auto" w:fill="auto"/>
          </w:tcPr>
          <w:p w14:paraId="2AE65095" w14:textId="37D9854B" w:rsidR="003D1205" w:rsidRPr="00020DAD" w:rsidRDefault="003D1205" w:rsidP="00186457">
            <w:pPr>
              <w:pStyle w:val="Tabletext"/>
              <w:spacing w:line="480" w:lineRule="auto"/>
            </w:pPr>
            <w:r w:rsidRPr="00020DAD">
              <w:rPr>
                <w:color w:val="000000"/>
              </w:rPr>
              <w:t>0.026</w:t>
            </w:r>
          </w:p>
        </w:tc>
        <w:tc>
          <w:tcPr>
            <w:tcW w:w="1380" w:type="dxa"/>
            <w:tcBorders>
              <w:top w:val="single" w:sz="4" w:space="0" w:color="auto"/>
              <w:left w:val="nil"/>
              <w:bottom w:val="single" w:sz="12" w:space="0" w:color="auto"/>
              <w:right w:val="nil"/>
            </w:tcBorders>
            <w:shd w:val="clear" w:color="auto" w:fill="auto"/>
          </w:tcPr>
          <w:p w14:paraId="60AE1C66" w14:textId="604634E4" w:rsidR="003D1205" w:rsidRPr="00020DAD" w:rsidRDefault="003D1205" w:rsidP="00186457">
            <w:pPr>
              <w:pStyle w:val="Tabletext"/>
              <w:spacing w:line="480" w:lineRule="auto"/>
            </w:pPr>
            <w:r w:rsidRPr="00020DAD">
              <w:rPr>
                <w:color w:val="000000"/>
              </w:rPr>
              <w:t>0.024</w:t>
            </w:r>
          </w:p>
        </w:tc>
        <w:tc>
          <w:tcPr>
            <w:tcW w:w="0" w:type="auto"/>
            <w:tcBorders>
              <w:top w:val="single" w:sz="4" w:space="0" w:color="auto"/>
              <w:left w:val="nil"/>
              <w:bottom w:val="single" w:sz="12" w:space="0" w:color="auto"/>
              <w:right w:val="nil"/>
            </w:tcBorders>
            <w:shd w:val="clear" w:color="auto" w:fill="auto"/>
          </w:tcPr>
          <w:p w14:paraId="12845EB5" w14:textId="149E5080" w:rsidR="003D1205" w:rsidRPr="00020DAD" w:rsidRDefault="003D1205" w:rsidP="00186457">
            <w:pPr>
              <w:pStyle w:val="Tabletext"/>
              <w:spacing w:line="480" w:lineRule="auto"/>
            </w:pPr>
            <w:r w:rsidRPr="00020DAD">
              <w:rPr>
                <w:color w:val="000000"/>
              </w:rPr>
              <w:t>-0.051 to 0.100</w:t>
            </w:r>
          </w:p>
        </w:tc>
        <w:tc>
          <w:tcPr>
            <w:tcW w:w="0" w:type="auto"/>
            <w:tcBorders>
              <w:top w:val="single" w:sz="4" w:space="0" w:color="auto"/>
              <w:left w:val="nil"/>
              <w:bottom w:val="single" w:sz="12" w:space="0" w:color="auto"/>
              <w:right w:val="nil"/>
            </w:tcBorders>
            <w:shd w:val="clear" w:color="auto" w:fill="auto"/>
          </w:tcPr>
          <w:p w14:paraId="7B31FD92" w14:textId="230CA2C2" w:rsidR="003D1205" w:rsidRPr="00020DAD" w:rsidRDefault="003D1205" w:rsidP="00186457">
            <w:pPr>
              <w:pStyle w:val="Tabletext"/>
              <w:spacing w:line="480" w:lineRule="auto"/>
            </w:pPr>
            <w:r w:rsidRPr="00020DAD">
              <w:rPr>
                <w:color w:val="000000"/>
              </w:rPr>
              <w:t>.409</w:t>
            </w:r>
          </w:p>
        </w:tc>
      </w:tr>
    </w:tbl>
    <w:p w14:paraId="4521993D" w14:textId="77777777" w:rsidR="00186457" w:rsidRPr="00020DAD" w:rsidRDefault="003404D5" w:rsidP="00186457">
      <w:pPr>
        <w:spacing w:line="240" w:lineRule="auto"/>
        <w:ind w:firstLine="0"/>
        <w:rPr>
          <w:sz w:val="18"/>
          <w:szCs w:val="14"/>
        </w:rPr>
      </w:pPr>
      <w:r w:rsidRPr="00020DAD">
        <w:rPr>
          <w:sz w:val="18"/>
          <w:szCs w:val="14"/>
        </w:rPr>
        <w:t xml:space="preserve">* </w:t>
      </w:r>
      <w:r w:rsidRPr="00020DAD">
        <w:rPr>
          <w:i/>
          <w:iCs/>
          <w:sz w:val="18"/>
          <w:szCs w:val="14"/>
        </w:rPr>
        <w:t>p</w:t>
      </w:r>
      <w:r w:rsidRPr="00020DAD">
        <w:rPr>
          <w:sz w:val="18"/>
          <w:szCs w:val="14"/>
        </w:rPr>
        <w:t>≤.01</w:t>
      </w:r>
      <w:r w:rsidR="00976089" w:rsidRPr="00020DAD">
        <w:rPr>
          <w:sz w:val="18"/>
          <w:szCs w:val="14"/>
        </w:rPr>
        <w:t xml:space="preserve">; </w:t>
      </w:r>
      <w:r w:rsidR="009D6644" w:rsidRPr="00020DAD">
        <w:rPr>
          <w:sz w:val="18"/>
          <w:szCs w:val="14"/>
          <w:vertAlign w:val="superscript"/>
        </w:rPr>
        <w:t>a</w:t>
      </w:r>
      <w:r w:rsidR="009D6644" w:rsidRPr="00020DAD">
        <w:rPr>
          <w:sz w:val="18"/>
          <w:szCs w:val="14"/>
        </w:rPr>
        <w:t xml:space="preserve"> </w:t>
      </w:r>
      <w:proofErr w:type="gramStart"/>
      <w:r w:rsidR="009D6644" w:rsidRPr="00020DAD">
        <w:rPr>
          <w:sz w:val="18"/>
          <w:szCs w:val="14"/>
        </w:rPr>
        <w:t>variables</w:t>
      </w:r>
      <w:proofErr w:type="gramEnd"/>
      <w:r w:rsidR="009D6644" w:rsidRPr="00020DAD">
        <w:rPr>
          <w:sz w:val="18"/>
          <w:szCs w:val="14"/>
        </w:rPr>
        <w:t xml:space="preserve"> in this block explained 1.3 % of the variance; </w:t>
      </w:r>
      <w:r w:rsidR="009D6644" w:rsidRPr="00020DAD">
        <w:rPr>
          <w:sz w:val="18"/>
          <w:szCs w:val="14"/>
          <w:vertAlign w:val="superscript"/>
        </w:rPr>
        <w:t xml:space="preserve">b </w:t>
      </w:r>
      <w:r w:rsidR="009D6644" w:rsidRPr="00020DAD">
        <w:rPr>
          <w:sz w:val="18"/>
          <w:szCs w:val="14"/>
        </w:rPr>
        <w:t xml:space="preserve">variables in this block explained 0.3% of the variance; </w:t>
      </w:r>
      <w:r w:rsidR="009D6644" w:rsidRPr="00020DAD">
        <w:rPr>
          <w:sz w:val="18"/>
          <w:szCs w:val="14"/>
          <w:vertAlign w:val="superscript"/>
        </w:rPr>
        <w:t xml:space="preserve">c </w:t>
      </w:r>
      <w:r w:rsidR="009D6644" w:rsidRPr="00020DAD">
        <w:rPr>
          <w:sz w:val="18"/>
          <w:szCs w:val="14"/>
        </w:rPr>
        <w:t xml:space="preserve">variables in this block explained 17.2% of the variance; </w:t>
      </w:r>
      <w:r w:rsidR="009D6644" w:rsidRPr="00020DAD">
        <w:rPr>
          <w:sz w:val="18"/>
          <w:szCs w:val="14"/>
          <w:vertAlign w:val="superscript"/>
        </w:rPr>
        <w:t>d</w:t>
      </w:r>
      <w:r w:rsidR="009D6644" w:rsidRPr="00020DAD">
        <w:rPr>
          <w:sz w:val="18"/>
          <w:szCs w:val="14"/>
        </w:rPr>
        <w:t xml:space="preserve"> 0 = strongly disagree, 10 = strongly agree.</w:t>
      </w:r>
    </w:p>
    <w:p w14:paraId="5B6FFDAC" w14:textId="77777777" w:rsidR="00186457" w:rsidRPr="00020DAD" w:rsidRDefault="00186457" w:rsidP="00186457">
      <w:pPr>
        <w:spacing w:line="240" w:lineRule="auto"/>
        <w:ind w:firstLine="0"/>
        <w:rPr>
          <w:b/>
          <w:bCs/>
          <w:szCs w:val="24"/>
        </w:rPr>
      </w:pPr>
    </w:p>
    <w:p w14:paraId="2EEB33ED" w14:textId="72EBCEF8" w:rsidR="00186457" w:rsidRPr="00020DAD" w:rsidRDefault="00186457" w:rsidP="00186457">
      <w:pPr>
        <w:ind w:firstLine="0"/>
        <w:rPr>
          <w:sz w:val="18"/>
          <w:szCs w:val="14"/>
        </w:rPr>
        <w:sectPr w:rsidR="00186457" w:rsidRPr="00020DAD" w:rsidSect="003D1205">
          <w:pgSz w:w="16838" w:h="11906" w:orient="landscape"/>
          <w:pgMar w:top="1440" w:right="1440" w:bottom="1440" w:left="1440" w:header="709" w:footer="709" w:gutter="0"/>
          <w:cols w:space="708"/>
          <w:docGrid w:linePitch="360"/>
        </w:sectPr>
      </w:pPr>
      <w:r w:rsidRPr="00020DAD">
        <w:rPr>
          <w:b/>
          <w:bCs/>
          <w:szCs w:val="24"/>
        </w:rPr>
        <w:t xml:space="preserve">Table 1. </w:t>
      </w:r>
      <w:r w:rsidRPr="00020DAD">
        <w:rPr>
          <w:szCs w:val="24"/>
        </w:rPr>
        <w:t xml:space="preserve">Results of the full linear regression model analysing associations with side-effect expectation (adjusted </w:t>
      </w:r>
      <w:r w:rsidRPr="00020DAD">
        <w:rPr>
          <w:i/>
          <w:iCs/>
          <w:szCs w:val="24"/>
        </w:rPr>
        <w:t>R</w:t>
      </w:r>
      <w:r w:rsidRPr="00020DAD">
        <w:rPr>
          <w:szCs w:val="24"/>
          <w:vertAlign w:val="superscript"/>
        </w:rPr>
        <w:t>2</w:t>
      </w:r>
      <w:r w:rsidRPr="00020DAD">
        <w:rPr>
          <w:szCs w:val="24"/>
        </w:rPr>
        <w:t xml:space="preserve"> = .297). </w:t>
      </w:r>
      <w:bookmarkStart w:id="6" w:name="_Hlk46421429"/>
      <w:r w:rsidRPr="00020DAD">
        <w:rPr>
          <w:szCs w:val="24"/>
        </w:rPr>
        <w:t xml:space="preserve">Parameter estimates relate to the full model containing all predictors. The unstandardized regression coefficients represent the change in likelihood of side effects for a one-unit increase in the predictor variable (or, for dummy variables, a shift from the reference category to the category concerned). </w:t>
      </w:r>
      <w:bookmarkEnd w:id="6"/>
      <w:r w:rsidRPr="00020DAD">
        <w:rPr>
          <w:szCs w:val="24"/>
        </w:rPr>
        <w:t>The model was based on 1427 participants with complete data.</w:t>
      </w:r>
    </w:p>
    <w:p w14:paraId="04D4C62E" w14:textId="7E597E55" w:rsidR="003577A8" w:rsidRPr="00020DAD" w:rsidRDefault="00C913D4" w:rsidP="00092D79">
      <w:pPr>
        <w:pStyle w:val="Heading1"/>
      </w:pPr>
      <w:r w:rsidRPr="00020DAD">
        <w:lastRenderedPageBreak/>
        <w:t>Discussion</w:t>
      </w:r>
    </w:p>
    <w:p w14:paraId="18AAF2DB" w14:textId="17549DA8" w:rsidR="003A6505" w:rsidRPr="00020DAD" w:rsidRDefault="003A6505" w:rsidP="00830FE8">
      <w:r w:rsidRPr="00020DAD">
        <w:t>Despite clinical trial data indicating that most people will go on to develop local or systemic adverse effects</w:t>
      </w:r>
      <w:r w:rsidR="009B6498" w:rsidRPr="00020DAD">
        <w:t xml:space="preserve"> of COVID-19 vaccination</w:t>
      </w:r>
      <w:r w:rsidRPr="00020DAD">
        <w:t>,</w:t>
      </w:r>
      <w:r w:rsidR="009B6498" w:rsidRPr="00020DAD">
        <w:rPr>
          <w:noProof/>
        </w:rPr>
        <w:t>[7-9]</w:t>
      </w:r>
      <w:r w:rsidRPr="00020DAD">
        <w:t xml:space="preserve"> </w:t>
      </w:r>
      <w:r w:rsidR="005D67C8" w:rsidRPr="00020DAD">
        <w:t xml:space="preserve">participants were uncertain about </w:t>
      </w:r>
      <w:r w:rsidR="009C3B68" w:rsidRPr="00020DAD">
        <w:t xml:space="preserve">the likelihood of side effects from COVID-19 vaccination and </w:t>
      </w:r>
      <w:r w:rsidRPr="00020DAD">
        <w:t xml:space="preserve">only a minority </w:t>
      </w:r>
      <w:r w:rsidR="009B6498" w:rsidRPr="00020DAD">
        <w:t>thought side effects were very likely</w:t>
      </w:r>
      <w:r w:rsidR="005D67C8" w:rsidRPr="00020DAD">
        <w:t xml:space="preserve">. </w:t>
      </w:r>
      <w:r w:rsidR="000E1FB8" w:rsidRPr="00020DAD">
        <w:t>Under-estimation of the likelihood of side</w:t>
      </w:r>
      <w:r w:rsidR="00A83203" w:rsidRPr="00020DAD">
        <w:t xml:space="preserve"> </w:t>
      </w:r>
      <w:r w:rsidR="000E1FB8" w:rsidRPr="00020DAD">
        <w:t>effects is unusual for medications.</w:t>
      </w:r>
      <w:r w:rsidR="00761F56" w:rsidRPr="00020DAD">
        <w:rPr>
          <w:noProof/>
        </w:rPr>
        <w:t>[20]</w:t>
      </w:r>
      <w:r w:rsidR="000E1FB8" w:rsidRPr="00020DAD">
        <w:t xml:space="preserve"> In this instance, low levels of expectation may increase uptake of the first dose of the vaccination</w:t>
      </w:r>
      <w:r w:rsidR="005D67C8" w:rsidRPr="00020DAD">
        <w:t>.</w:t>
      </w:r>
      <w:r w:rsidR="002A63EF" w:rsidRPr="00020DAD">
        <w:rPr>
          <w:noProof/>
        </w:rPr>
        <w:t>[1-3]</w:t>
      </w:r>
      <w:r w:rsidR="002A63EF" w:rsidRPr="00020DAD">
        <w:t xml:space="preserve"> </w:t>
      </w:r>
      <w:r w:rsidR="000E1FB8" w:rsidRPr="00020DAD">
        <w:t xml:space="preserve">How the unexpected occurrence of side effects might affect uptake of the second dose is less clear. </w:t>
      </w:r>
      <w:r w:rsidR="002A63EF" w:rsidRPr="00020DAD">
        <w:t>Since data</w:t>
      </w:r>
      <w:r w:rsidR="00830FE8" w:rsidRPr="00020DAD">
        <w:t xml:space="preserve"> collection, evidence indicating that the</w:t>
      </w:r>
      <w:r w:rsidR="00815F72" w:rsidRPr="00020DAD">
        <w:t xml:space="preserve"> AstraZeneca vaccine </w:t>
      </w:r>
      <w:r w:rsidR="004F454D" w:rsidRPr="00020DAD">
        <w:t xml:space="preserve">may be linked </w:t>
      </w:r>
      <w:r w:rsidR="004B018F" w:rsidRPr="00020DAD">
        <w:t>to unusual blood clots with low blood platelets</w:t>
      </w:r>
      <w:r w:rsidR="00820809" w:rsidRPr="00020DAD">
        <w:t xml:space="preserve"> </w:t>
      </w:r>
      <w:r w:rsidR="00AE1194" w:rsidRPr="00020DAD">
        <w:t xml:space="preserve">(published 7 April 2021) </w:t>
      </w:r>
      <w:r w:rsidR="00C11830" w:rsidRPr="00020DAD">
        <w:t>has been</w:t>
      </w:r>
      <w:r w:rsidR="00820809" w:rsidRPr="00020DAD">
        <w:t xml:space="preserve"> the focus of much media attention.</w:t>
      </w:r>
      <w:r w:rsidR="00761F56" w:rsidRPr="00020DAD">
        <w:rPr>
          <w:noProof/>
        </w:rPr>
        <w:t>[21]</w:t>
      </w:r>
      <w:r w:rsidR="000F2DEE" w:rsidRPr="00020DAD">
        <w:t xml:space="preserve"> </w:t>
      </w:r>
      <w:r w:rsidR="00314F55" w:rsidRPr="00020DAD">
        <w:t>R</w:t>
      </w:r>
      <w:r w:rsidR="006E792E" w:rsidRPr="00020DAD">
        <w:t xml:space="preserve">esearch </w:t>
      </w:r>
      <w:r w:rsidR="00665BAA" w:rsidRPr="00020DAD">
        <w:t>has shown</w:t>
      </w:r>
      <w:r w:rsidR="006E792E" w:rsidRPr="00020DAD">
        <w:t xml:space="preserve"> that </w:t>
      </w:r>
      <w:r w:rsidR="00DF04CA" w:rsidRPr="00020DAD">
        <w:t xml:space="preserve">coverage of </w:t>
      </w:r>
      <w:r w:rsidR="009B6B63" w:rsidRPr="00020DAD">
        <w:t xml:space="preserve">medication side effects </w:t>
      </w:r>
      <w:r w:rsidR="00DF04CA" w:rsidRPr="00020DAD">
        <w:t xml:space="preserve">in the news media </w:t>
      </w:r>
      <w:r w:rsidR="009B6B63" w:rsidRPr="00020DAD">
        <w:t>increases symptom reporting.</w:t>
      </w:r>
      <w:r w:rsidR="00761F56" w:rsidRPr="00020DAD">
        <w:rPr>
          <w:noProof/>
        </w:rPr>
        <w:t>[22]</w:t>
      </w:r>
      <w:r w:rsidR="009B6B63" w:rsidRPr="00020DAD">
        <w:t xml:space="preserve"> </w:t>
      </w:r>
      <w:r w:rsidR="00665BAA" w:rsidRPr="00020DAD">
        <w:t>P</w:t>
      </w:r>
      <w:r w:rsidR="009B6B63" w:rsidRPr="00020DAD">
        <w:t xml:space="preserve">reliminary evidence </w:t>
      </w:r>
      <w:r w:rsidR="00665BAA" w:rsidRPr="00020DAD">
        <w:t xml:space="preserve">suggests </w:t>
      </w:r>
      <w:r w:rsidR="009B6B63" w:rsidRPr="00020DAD">
        <w:t>that</w:t>
      </w:r>
      <w:r w:rsidR="00C11830" w:rsidRPr="00020DAD">
        <w:t xml:space="preserve"> </w:t>
      </w:r>
      <w:r w:rsidR="009B6B63" w:rsidRPr="00020DAD">
        <w:t xml:space="preserve">coverage of </w:t>
      </w:r>
      <w:r w:rsidR="00542CA2" w:rsidRPr="00020DAD">
        <w:t>a</w:t>
      </w:r>
      <w:r w:rsidR="009B6B63" w:rsidRPr="00020DAD">
        <w:t xml:space="preserve"> </w:t>
      </w:r>
      <w:r w:rsidR="00542CA2" w:rsidRPr="00020DAD">
        <w:t xml:space="preserve">possible </w:t>
      </w:r>
      <w:r w:rsidR="00C53905" w:rsidRPr="00020DAD">
        <w:t>link between the AstraZeneca vaccine and blood clots may</w:t>
      </w:r>
      <w:r w:rsidR="00C11830" w:rsidRPr="00020DAD">
        <w:t xml:space="preserve"> have affected side</w:t>
      </w:r>
      <w:r w:rsidR="00A83203" w:rsidRPr="00020DAD">
        <w:t>-</w:t>
      </w:r>
      <w:r w:rsidR="00C11830" w:rsidRPr="00020DAD">
        <w:t>effect expectations.</w:t>
      </w:r>
      <w:r w:rsidR="00761F56" w:rsidRPr="00020DAD">
        <w:rPr>
          <w:noProof/>
        </w:rPr>
        <w:t>[23]</w:t>
      </w:r>
      <w:r w:rsidR="00315128" w:rsidRPr="00020DAD">
        <w:t xml:space="preserve"> </w:t>
      </w:r>
      <w:r w:rsidR="0058721C" w:rsidRPr="00020DAD">
        <w:t>However, t</w:t>
      </w:r>
      <w:r w:rsidR="009453A5" w:rsidRPr="00020DAD">
        <w:t>hese</w:t>
      </w:r>
      <w:r w:rsidR="00EC493F" w:rsidRPr="00020DAD">
        <w:t xml:space="preserve"> data remain important by virtue of </w:t>
      </w:r>
      <w:r w:rsidR="00915926" w:rsidRPr="00020DAD">
        <w:t>quantifying the prevalence of side</w:t>
      </w:r>
      <w:r w:rsidR="00E755B3" w:rsidRPr="00020DAD">
        <w:t xml:space="preserve">-effect expectations and </w:t>
      </w:r>
      <w:r w:rsidR="006E5287" w:rsidRPr="00020DAD">
        <w:t xml:space="preserve">associated </w:t>
      </w:r>
      <w:r w:rsidR="00E755B3" w:rsidRPr="00020DAD">
        <w:t xml:space="preserve">factors </w:t>
      </w:r>
      <w:r w:rsidR="00D93132" w:rsidRPr="00020DAD">
        <w:t xml:space="preserve">in the absence of much information </w:t>
      </w:r>
      <w:r w:rsidR="00424FD9" w:rsidRPr="00020DAD">
        <w:t>at the start of the vaccine rollout</w:t>
      </w:r>
      <w:r w:rsidR="00E46F28" w:rsidRPr="00020DAD">
        <w:t xml:space="preserve"> in the UK</w:t>
      </w:r>
      <w:r w:rsidR="00D93132" w:rsidRPr="00020DAD">
        <w:t>.</w:t>
      </w:r>
    </w:p>
    <w:p w14:paraId="3DB5FC4B" w14:textId="1B6C077E" w:rsidR="00822802" w:rsidRPr="00020DAD" w:rsidRDefault="00FC21B2" w:rsidP="00822802">
      <w:r w:rsidRPr="00020DAD">
        <w:t>Unsurprisingly</w:t>
      </w:r>
      <w:r w:rsidR="00273420" w:rsidRPr="00020DAD">
        <w:t>,</w:t>
      </w:r>
      <w:r w:rsidRPr="00020DAD">
        <w:t xml:space="preserve"> poorer perceived safety of COVID-19 vaccination was associated with </w:t>
      </w:r>
      <w:r w:rsidR="00DD077C" w:rsidRPr="00020DAD">
        <w:t>greater side</w:t>
      </w:r>
      <w:r w:rsidR="00A83203" w:rsidRPr="00020DAD">
        <w:t>-</w:t>
      </w:r>
      <w:r w:rsidR="00DD077C" w:rsidRPr="00020DAD">
        <w:t>effect expectations.</w:t>
      </w:r>
      <w:r w:rsidR="00761F56" w:rsidRPr="00020DAD">
        <w:rPr>
          <w:noProof/>
        </w:rPr>
        <w:t>[11]</w:t>
      </w:r>
      <w:r w:rsidR="00E23F26" w:rsidRPr="00020DAD">
        <w:t xml:space="preserve"> </w:t>
      </w:r>
      <w:r w:rsidR="008A3960" w:rsidRPr="00020DAD">
        <w:t xml:space="preserve">In line with research finding that negative beliefs about vaccinations were associated with </w:t>
      </w:r>
      <w:r w:rsidR="00542CA2" w:rsidRPr="00020DAD">
        <w:t xml:space="preserve">increased </w:t>
      </w:r>
      <w:r w:rsidR="008A3960" w:rsidRPr="00020DAD">
        <w:t>side</w:t>
      </w:r>
      <w:r w:rsidR="00A83203" w:rsidRPr="00020DAD">
        <w:t>-</w:t>
      </w:r>
      <w:r w:rsidR="008A3960" w:rsidRPr="00020DAD">
        <w:t>effect expectations,</w:t>
      </w:r>
      <w:r w:rsidR="00761F56" w:rsidRPr="00020DAD">
        <w:rPr>
          <w:noProof/>
        </w:rPr>
        <w:t>[20]</w:t>
      </w:r>
      <w:r w:rsidR="008A3960" w:rsidRPr="00020DAD">
        <w:t xml:space="preserve"> we also found that lower perceived necessity of COVID-19 vaccination was associated with greater side</w:t>
      </w:r>
      <w:r w:rsidR="00A83203" w:rsidRPr="00020DAD">
        <w:t>-</w:t>
      </w:r>
      <w:r w:rsidR="008A3960" w:rsidRPr="00020DAD">
        <w:t>effect expectations.</w:t>
      </w:r>
      <w:r w:rsidR="00822802" w:rsidRPr="00020DAD">
        <w:t xml:space="preserve"> Lower perceived social norms for COVID-19 vaccination</w:t>
      </w:r>
      <w:r w:rsidR="00A83203" w:rsidRPr="00020DAD">
        <w:t xml:space="preserve"> </w:t>
      </w:r>
      <w:r w:rsidR="00542CA2" w:rsidRPr="00020DAD">
        <w:t>(</w:t>
      </w:r>
      <w:proofErr w:type="gramStart"/>
      <w:r w:rsidR="00542CA2" w:rsidRPr="00020DAD">
        <w:t>i.e.</w:t>
      </w:r>
      <w:proofErr w:type="gramEnd"/>
      <w:r w:rsidR="00542CA2" w:rsidRPr="00020DAD">
        <w:t xml:space="preserve"> </w:t>
      </w:r>
      <w:r w:rsidR="007D2A42" w:rsidRPr="00020DAD">
        <w:t>being less likely to think that others would approve of you having a COVID-19 vaccine</w:t>
      </w:r>
      <w:r w:rsidR="00542CA2" w:rsidRPr="00020DAD">
        <w:t>)</w:t>
      </w:r>
      <w:r w:rsidR="007D2A42" w:rsidRPr="00020DAD">
        <w:t xml:space="preserve"> were also associated with greater side</w:t>
      </w:r>
      <w:r w:rsidR="00A83203" w:rsidRPr="00020DAD">
        <w:t>-</w:t>
      </w:r>
      <w:r w:rsidR="007D2A42" w:rsidRPr="00020DAD">
        <w:t xml:space="preserve">effect expectations. This may be an example of the </w:t>
      </w:r>
      <w:r w:rsidR="00542CA2" w:rsidRPr="00020DAD">
        <w:t>‘</w:t>
      </w:r>
      <w:r w:rsidR="009070BB" w:rsidRPr="00020DAD">
        <w:t>horn</w:t>
      </w:r>
      <w:r w:rsidR="007D2A42" w:rsidRPr="00020DAD">
        <w:t xml:space="preserve"> effect</w:t>
      </w:r>
      <w:r w:rsidR="00542CA2" w:rsidRPr="00020DAD">
        <w:t>’</w:t>
      </w:r>
      <w:r w:rsidR="009070BB" w:rsidRPr="00020DAD">
        <w:t xml:space="preserve"> (opposite </w:t>
      </w:r>
      <w:r w:rsidR="009070BB" w:rsidRPr="00020DAD">
        <w:lastRenderedPageBreak/>
        <w:t xml:space="preserve">of the </w:t>
      </w:r>
      <w:r w:rsidR="00542CA2" w:rsidRPr="00020DAD">
        <w:t>‘</w:t>
      </w:r>
      <w:r w:rsidR="009070BB" w:rsidRPr="00020DAD">
        <w:t>halo effect</w:t>
      </w:r>
      <w:r w:rsidR="00542CA2" w:rsidRPr="00020DAD">
        <w:t>’</w:t>
      </w:r>
      <w:r w:rsidR="009070BB" w:rsidRPr="00020DAD">
        <w:t>)</w:t>
      </w:r>
      <w:r w:rsidR="007D2A42" w:rsidRPr="00020DAD">
        <w:t>, whereby</w:t>
      </w:r>
      <w:r w:rsidR="006F66B3" w:rsidRPr="00020DAD">
        <w:t xml:space="preserve"> </w:t>
      </w:r>
      <w:r w:rsidR="009070BB" w:rsidRPr="00020DAD">
        <w:t>a</w:t>
      </w:r>
      <w:r w:rsidR="006F66B3" w:rsidRPr="00020DAD">
        <w:t xml:space="preserve"> negative impression</w:t>
      </w:r>
      <w:r w:rsidR="000B2F1A" w:rsidRPr="00020DAD">
        <w:t xml:space="preserve"> of something </w:t>
      </w:r>
      <w:r w:rsidR="00D77F1B" w:rsidRPr="00020DAD">
        <w:t xml:space="preserve">negatively </w:t>
      </w:r>
      <w:r w:rsidR="000B2F1A" w:rsidRPr="00020DAD">
        <w:t>influences perception</w:t>
      </w:r>
      <w:r w:rsidR="00EC653A" w:rsidRPr="00020DAD">
        <w:t>s</w:t>
      </w:r>
      <w:r w:rsidR="000B2F1A" w:rsidRPr="00020DAD">
        <w:t xml:space="preserve"> </w:t>
      </w:r>
      <w:r w:rsidR="00D77F1B" w:rsidRPr="00020DAD">
        <w:t>in a related area</w:t>
      </w:r>
      <w:r w:rsidR="006023AB" w:rsidRPr="00020DAD">
        <w:t>.</w:t>
      </w:r>
    </w:p>
    <w:p w14:paraId="2450CB50" w14:textId="544632DA" w:rsidR="00E56154" w:rsidRPr="00020DAD" w:rsidRDefault="004357FC" w:rsidP="003A6505">
      <w:r w:rsidRPr="00020DAD">
        <w:t xml:space="preserve">Perceived lack of information about COVID-19 and COVID-19 vaccination </w:t>
      </w:r>
      <w:r w:rsidR="00082BC7" w:rsidRPr="00020DAD">
        <w:t xml:space="preserve">was </w:t>
      </w:r>
      <w:r w:rsidR="003E3AF0" w:rsidRPr="00020DAD">
        <w:t xml:space="preserve">associated with </w:t>
      </w:r>
      <w:r w:rsidR="00AC75CC" w:rsidRPr="00020DAD">
        <w:t>greater side</w:t>
      </w:r>
      <w:r w:rsidR="00A83203" w:rsidRPr="00020DAD">
        <w:t>-</w:t>
      </w:r>
      <w:r w:rsidR="00AC75CC" w:rsidRPr="00020DAD">
        <w:t>effect expectations.</w:t>
      </w:r>
      <w:r w:rsidR="002C37B3" w:rsidRPr="00020DAD">
        <w:t xml:space="preserve"> </w:t>
      </w:r>
      <w:r w:rsidR="00B470AB" w:rsidRPr="00020DAD">
        <w:t>As side</w:t>
      </w:r>
      <w:r w:rsidR="00A83203" w:rsidRPr="00020DAD">
        <w:t>-</w:t>
      </w:r>
      <w:r w:rsidR="00B470AB" w:rsidRPr="00020DAD">
        <w:t xml:space="preserve">effect expectations are lower than suggested by clinical trial data, communications should aim to promote an accurate </w:t>
      </w:r>
      <w:r w:rsidR="008C7B87" w:rsidRPr="00020DAD">
        <w:t xml:space="preserve">perception of the incidence of side effects, and </w:t>
      </w:r>
      <w:r w:rsidR="00542CA2" w:rsidRPr="00020DAD">
        <w:t xml:space="preserve">the </w:t>
      </w:r>
      <w:r w:rsidR="008C7B87" w:rsidRPr="00020DAD">
        <w:t>mild and temporary nature of side effects likely to be experienced</w:t>
      </w:r>
      <w:r w:rsidR="00542CA2" w:rsidRPr="00020DAD">
        <w:t xml:space="preserve"> by most recipients of a COVID-19 vaccine</w:t>
      </w:r>
      <w:r w:rsidR="008C7B87" w:rsidRPr="00020DAD">
        <w:t>.</w:t>
      </w:r>
    </w:p>
    <w:p w14:paraId="56091056" w14:textId="1554E834" w:rsidR="005B5AC4" w:rsidRPr="00020DAD" w:rsidRDefault="005F369F" w:rsidP="003A6505">
      <w:r w:rsidRPr="00020DAD">
        <w:t>Although adverse effects are more likely in younger people,</w:t>
      </w:r>
      <w:r w:rsidR="00317BBD" w:rsidRPr="00020DAD">
        <w:rPr>
          <w:noProof/>
        </w:rPr>
        <w:t>[8-10]</w:t>
      </w:r>
      <w:r w:rsidRPr="00020DAD">
        <w:t xml:space="preserve"> we found that older people had greater s</w:t>
      </w:r>
      <w:r w:rsidR="003A6505" w:rsidRPr="00020DAD">
        <w:t>ide</w:t>
      </w:r>
      <w:r w:rsidR="00A83203" w:rsidRPr="00020DAD">
        <w:t>-</w:t>
      </w:r>
      <w:r w:rsidR="003A6505" w:rsidRPr="00020DAD">
        <w:t>effect expectation</w:t>
      </w:r>
      <w:r w:rsidRPr="00020DAD">
        <w:t>s.</w:t>
      </w:r>
      <w:r w:rsidR="005B5AC4" w:rsidRPr="00020DAD">
        <w:t xml:space="preserve"> </w:t>
      </w:r>
      <w:r w:rsidR="00CB1FA0" w:rsidRPr="00020DAD">
        <w:t>This may be reflective of the stage in the vaccination rollout</w:t>
      </w:r>
      <w:r w:rsidR="00C3410D" w:rsidRPr="00020DAD">
        <w:t xml:space="preserve"> in the UK at the time of this study (January 2021)</w:t>
      </w:r>
      <w:r w:rsidR="00CB1FA0" w:rsidRPr="00020DAD">
        <w:t xml:space="preserve">, with older people </w:t>
      </w:r>
      <w:r w:rsidR="00757A54" w:rsidRPr="00020DAD">
        <w:t xml:space="preserve">being offered the vaccine first. </w:t>
      </w:r>
      <w:r w:rsidR="00E052BE" w:rsidRPr="00020DAD">
        <w:t xml:space="preserve">As the rollout progresses, and people </w:t>
      </w:r>
      <w:r w:rsidR="00082BC7" w:rsidRPr="00020DAD">
        <w:t xml:space="preserve">learn about </w:t>
      </w:r>
      <w:r w:rsidR="00F02AB5" w:rsidRPr="00020DAD">
        <w:t>others developing side effects following vaccinations,</w:t>
      </w:r>
      <w:r w:rsidR="00761F56" w:rsidRPr="00020DAD">
        <w:rPr>
          <w:noProof/>
        </w:rPr>
        <w:t>[24, 25]</w:t>
      </w:r>
      <w:r w:rsidR="00F02AB5" w:rsidRPr="00020DAD">
        <w:t xml:space="preserve"> side</w:t>
      </w:r>
      <w:r w:rsidR="00A83203" w:rsidRPr="00020DAD">
        <w:t>-</w:t>
      </w:r>
      <w:r w:rsidR="00F02AB5" w:rsidRPr="00020DAD">
        <w:t xml:space="preserve">effect expectations in younger age groups may increase. </w:t>
      </w:r>
      <w:r w:rsidR="00757A54" w:rsidRPr="00020DAD">
        <w:t>Being clinically extremely vulnerable to COVID-19 was also associated with greater side</w:t>
      </w:r>
      <w:r w:rsidR="00A83203" w:rsidRPr="00020DAD">
        <w:t>-</w:t>
      </w:r>
      <w:r w:rsidR="00757A54" w:rsidRPr="00020DAD">
        <w:t xml:space="preserve">effect expectations. </w:t>
      </w:r>
      <w:r w:rsidR="00EC642F" w:rsidRPr="00020DAD">
        <w:t>There is evidence that side</w:t>
      </w:r>
      <w:r w:rsidR="00A83203" w:rsidRPr="00020DAD">
        <w:t>-</w:t>
      </w:r>
      <w:r w:rsidR="00EC642F" w:rsidRPr="00020DAD">
        <w:t xml:space="preserve">effect expectations are associated with </w:t>
      </w:r>
      <w:r w:rsidR="00D16EAA" w:rsidRPr="00020DAD">
        <w:t xml:space="preserve">currently </w:t>
      </w:r>
      <w:r w:rsidR="00EC642F" w:rsidRPr="00020DAD">
        <w:t>experiencing symptoms</w:t>
      </w:r>
      <w:r w:rsidR="00D16EAA" w:rsidRPr="00020DAD">
        <w:t>.</w:t>
      </w:r>
      <w:r w:rsidR="00761F56" w:rsidRPr="00020DAD">
        <w:rPr>
          <w:noProof/>
        </w:rPr>
        <w:t>[14]</w:t>
      </w:r>
      <w:r w:rsidR="00E7073E" w:rsidRPr="00020DAD">
        <w:t xml:space="preserve"> A</w:t>
      </w:r>
      <w:r w:rsidR="00B10ABD" w:rsidRPr="00020DAD">
        <w:t xml:space="preserve">s people </w:t>
      </w:r>
      <w:r w:rsidR="00E7073E" w:rsidRPr="00020DAD">
        <w:t>who were clinically extremely vulnerable to COVID-19</w:t>
      </w:r>
      <w:r w:rsidR="00B10ABD" w:rsidRPr="00020DAD">
        <w:t xml:space="preserve"> reported </w:t>
      </w:r>
      <w:r w:rsidR="00825C4F" w:rsidRPr="00020DAD">
        <w:t>ha</w:t>
      </w:r>
      <w:r w:rsidR="00B10ABD" w:rsidRPr="00020DAD">
        <w:t>ving</w:t>
      </w:r>
      <w:r w:rsidR="00825C4F" w:rsidRPr="00020DAD">
        <w:t xml:space="preserve"> a</w:t>
      </w:r>
      <w:r w:rsidR="00857E89" w:rsidRPr="00020DAD">
        <w:t>n underlying</w:t>
      </w:r>
      <w:r w:rsidR="00825C4F" w:rsidRPr="00020DAD">
        <w:t xml:space="preserve"> medical condition</w:t>
      </w:r>
      <w:r w:rsidR="00857E89" w:rsidRPr="00020DAD">
        <w:t xml:space="preserve">, </w:t>
      </w:r>
      <w:r w:rsidR="005367A4" w:rsidRPr="00020DAD">
        <w:t>they may have been more likely to be experiencing symptoms at the time of data collection.</w:t>
      </w:r>
    </w:p>
    <w:p w14:paraId="33403CE0" w14:textId="62AC9C55" w:rsidR="00625B56" w:rsidRPr="00020DAD" w:rsidRDefault="0068427B" w:rsidP="00392411">
      <w:r w:rsidRPr="00020DAD">
        <w:t xml:space="preserve">It is important that people are informed transparently and accurately about the likelihood </w:t>
      </w:r>
      <w:r w:rsidR="00BA37CF" w:rsidRPr="00020DAD">
        <w:t xml:space="preserve">and severity of side effects from vaccination. </w:t>
      </w:r>
      <w:r w:rsidR="00363271" w:rsidRPr="00020DAD">
        <w:t>While education</w:t>
      </w:r>
      <w:r w:rsidR="00C35146" w:rsidRPr="00020DAD">
        <w:t>al interventions</w:t>
      </w:r>
      <w:r w:rsidR="00363271" w:rsidRPr="00020DAD">
        <w:t xml:space="preserve"> may be a</w:t>
      </w:r>
      <w:r w:rsidR="00C35146" w:rsidRPr="00020DAD">
        <w:t xml:space="preserve">n attractive option, </w:t>
      </w:r>
      <w:r w:rsidR="00397186" w:rsidRPr="00020DAD">
        <w:t xml:space="preserve">there is mixed evidence for their effect on </w:t>
      </w:r>
      <w:r w:rsidR="00643CA1" w:rsidRPr="00020DAD">
        <w:t>vaccine uptake.</w:t>
      </w:r>
      <w:r w:rsidR="00643CA1" w:rsidRPr="00020DAD">
        <w:rPr>
          <w:noProof/>
        </w:rPr>
        <w:t>[26, 27]</w:t>
      </w:r>
      <w:r w:rsidR="00643CA1" w:rsidRPr="00020DAD">
        <w:t xml:space="preserve"> </w:t>
      </w:r>
      <w:r w:rsidR="0039529C" w:rsidRPr="00020DAD">
        <w:t>Using simple infographics (</w:t>
      </w:r>
      <w:proofErr w:type="gramStart"/>
      <w:r w:rsidR="0039529C" w:rsidRPr="00020DAD">
        <w:t>e.g.</w:t>
      </w:r>
      <w:proofErr w:type="gramEnd"/>
      <w:r w:rsidR="0039529C" w:rsidRPr="00020DAD">
        <w:t xml:space="preserve"> pictographs) and improving the clarity and readability of information increase the accuracy of side-effect expectations.</w:t>
      </w:r>
      <w:r w:rsidR="0039529C" w:rsidRPr="00020DAD">
        <w:rPr>
          <w:noProof/>
        </w:rPr>
        <w:t>[28, 29]</w:t>
      </w:r>
      <w:r w:rsidR="0039529C" w:rsidRPr="00020DAD">
        <w:t xml:space="preserve"> </w:t>
      </w:r>
      <w:r w:rsidR="003F20FB" w:rsidRPr="00020DAD">
        <w:t>Our results indicate that</w:t>
      </w:r>
      <w:r w:rsidR="00643CA1" w:rsidRPr="00020DAD">
        <w:t xml:space="preserve"> </w:t>
      </w:r>
      <w:r w:rsidR="00AC5F0F" w:rsidRPr="00020DAD">
        <w:t xml:space="preserve">side-effect expectations </w:t>
      </w:r>
      <w:r w:rsidR="003F20FB" w:rsidRPr="00020DAD">
        <w:t xml:space="preserve">at the start of the </w:t>
      </w:r>
      <w:r w:rsidR="0050762A" w:rsidRPr="00020DAD">
        <w:t xml:space="preserve">COVID-19 </w:t>
      </w:r>
      <w:r w:rsidR="003F20FB" w:rsidRPr="00020DAD">
        <w:t xml:space="preserve">vaccine rollout </w:t>
      </w:r>
      <w:r w:rsidR="0050762A" w:rsidRPr="00020DAD">
        <w:t xml:space="preserve">in the UK </w:t>
      </w:r>
      <w:r w:rsidR="00AC5F0F" w:rsidRPr="00020DAD">
        <w:t xml:space="preserve">were low compared to rates </w:t>
      </w:r>
      <w:r w:rsidR="003F20FB" w:rsidRPr="00020DAD">
        <w:t>described by</w:t>
      </w:r>
      <w:r w:rsidR="00AC5F0F" w:rsidRPr="00020DAD">
        <w:t xml:space="preserve"> clinical trial data. </w:t>
      </w:r>
      <w:r w:rsidR="009F1875" w:rsidRPr="00020DAD">
        <w:t xml:space="preserve">Therefore, bringing people’s expectations </w:t>
      </w:r>
      <w:r w:rsidR="009F1875" w:rsidRPr="00020DAD">
        <w:lastRenderedPageBreak/>
        <w:t xml:space="preserve">in line with </w:t>
      </w:r>
      <w:r w:rsidR="00F66BC1" w:rsidRPr="00020DAD">
        <w:t xml:space="preserve">these data may </w:t>
      </w:r>
      <w:r w:rsidR="00C81694" w:rsidRPr="00020DAD">
        <w:t xml:space="preserve">increase the incidence of nocebo-related symptoms. </w:t>
      </w:r>
      <w:r w:rsidR="00E146F8" w:rsidRPr="00020DAD">
        <w:t xml:space="preserve">However, </w:t>
      </w:r>
      <w:r w:rsidR="003172AB" w:rsidRPr="00020DAD">
        <w:t xml:space="preserve">side-effect expectations have increased </w:t>
      </w:r>
      <w:r w:rsidR="0050048A" w:rsidRPr="00020DAD">
        <w:t>since the MHRA’s announcement that the AstraZeneca vaccine may be linked to unusual blood clots related to low blood platelets (published 7 April 2021).</w:t>
      </w:r>
      <w:r w:rsidR="00FA6AFA" w:rsidRPr="00020DAD">
        <w:rPr>
          <w:noProof/>
        </w:rPr>
        <w:t>[23]</w:t>
      </w:r>
      <w:r w:rsidR="0050048A" w:rsidRPr="00020DAD">
        <w:t xml:space="preserve"> </w:t>
      </w:r>
      <w:r w:rsidR="00643CA1" w:rsidRPr="00020DAD">
        <w:t>Providing reassurance about the typically transitory and non-harmful nature of side-effects may be a useful strategy in increasing initial vaccine uptake and reducing long-term attrition among those offered booster jabs</w:t>
      </w:r>
      <w:r w:rsidR="00C81694" w:rsidRPr="00020DAD">
        <w:t xml:space="preserve"> (offered in the UK </w:t>
      </w:r>
      <w:r w:rsidR="00B5110C" w:rsidRPr="00020DAD">
        <w:t>since October 2021</w:t>
      </w:r>
      <w:r w:rsidR="00C81694" w:rsidRPr="00020DAD">
        <w:t>)</w:t>
      </w:r>
      <w:r w:rsidR="00B5110C" w:rsidRPr="00020DAD">
        <w:t>.</w:t>
      </w:r>
      <w:r w:rsidR="00E16146" w:rsidRPr="00020DAD">
        <w:t xml:space="preserve"> </w:t>
      </w:r>
    </w:p>
    <w:p w14:paraId="5852D35B" w14:textId="3A059E5D" w:rsidR="00725797" w:rsidRPr="00020DAD" w:rsidRDefault="00DF3733" w:rsidP="1A097468">
      <w:r w:rsidRPr="00020DAD">
        <w:t xml:space="preserve">As this study is cross-sectional, we cannot </w:t>
      </w:r>
      <w:r w:rsidR="00A83203" w:rsidRPr="00020DAD">
        <w:t xml:space="preserve">infer </w:t>
      </w:r>
      <w:r w:rsidR="00316E80" w:rsidRPr="00020DAD">
        <w:t xml:space="preserve">direction of causality between </w:t>
      </w:r>
      <w:r w:rsidR="004D7E63" w:rsidRPr="00020DAD">
        <w:t>attitudes and beliefs and side</w:t>
      </w:r>
      <w:r w:rsidR="00A83203" w:rsidRPr="00020DAD">
        <w:t>-</w:t>
      </w:r>
      <w:r w:rsidR="004D7E63" w:rsidRPr="00020DAD">
        <w:t>effect expectations</w:t>
      </w:r>
      <w:r w:rsidRPr="00020DAD">
        <w:t>.</w:t>
      </w:r>
      <w:r w:rsidR="00C3410D" w:rsidRPr="00020DAD">
        <w:t xml:space="preserve"> Further, the survey methodology used cannot rule out self-selection bias affecting the study results. </w:t>
      </w:r>
      <w:r w:rsidR="00CF0F94" w:rsidRPr="00020DAD">
        <w:t>T</w:t>
      </w:r>
      <w:r w:rsidR="00056BA8" w:rsidRPr="00020DAD">
        <w:t>o the best of our knowledge, t</w:t>
      </w:r>
      <w:r w:rsidR="00CF0F94" w:rsidRPr="00020DAD">
        <w:t>here is no validated measure of side</w:t>
      </w:r>
      <w:r w:rsidR="00056BA8" w:rsidRPr="00020DAD">
        <w:t>-</w:t>
      </w:r>
      <w:r w:rsidR="00CF0F94" w:rsidRPr="00020DAD">
        <w:t xml:space="preserve">effect expectation. </w:t>
      </w:r>
      <w:r w:rsidR="00DA0E83" w:rsidRPr="00020DAD">
        <w:t>We used a single item to measure side effect expectation</w:t>
      </w:r>
      <w:r w:rsidR="00CF0F94" w:rsidRPr="00020DAD">
        <w:t>,</w:t>
      </w:r>
      <w:r w:rsidR="002F525C" w:rsidRPr="00020DAD">
        <w:t xml:space="preserve"> </w:t>
      </w:r>
      <w:proofErr w:type="gramStart"/>
      <w:r w:rsidR="00FA6AFA" w:rsidRPr="00020DAD">
        <w:t>with regard to</w:t>
      </w:r>
      <w:proofErr w:type="gramEnd"/>
      <w:r w:rsidR="00FA6AFA" w:rsidRPr="00020DAD">
        <w:t xml:space="preserve"> the established psychometric properties of a 0 to 10 numerical rating scale format.</w:t>
      </w:r>
      <w:r w:rsidR="00FA6AFA" w:rsidRPr="00020DAD">
        <w:rPr>
          <w:noProof/>
        </w:rPr>
        <w:t>[30]</w:t>
      </w:r>
      <w:r w:rsidR="00FA6AFA" w:rsidRPr="00020DAD">
        <w:t xml:space="preserve"> This item was </w:t>
      </w:r>
      <w:r w:rsidR="00DA0E83" w:rsidRPr="00020DAD">
        <w:t>based on previous research conducted by our group</w:t>
      </w:r>
      <w:r w:rsidR="00FA6AFA" w:rsidRPr="00020DAD">
        <w:t>.</w:t>
      </w:r>
      <w:r w:rsidR="00B044DB" w:rsidRPr="00020DAD">
        <w:rPr>
          <w:noProof/>
        </w:rPr>
        <w:t>[11]</w:t>
      </w:r>
      <w:r w:rsidR="00FA6AFA" w:rsidRPr="00020DAD">
        <w:t xml:space="preserve"> </w:t>
      </w:r>
      <w:r w:rsidR="0055154D" w:rsidRPr="00020DAD">
        <w:t xml:space="preserve">Not all potential variables that could have been associated with side effect expectations were investigated due to space </w:t>
      </w:r>
      <w:r w:rsidR="009045CB" w:rsidRPr="00020DAD">
        <w:t>limitations in the survey.</w:t>
      </w:r>
    </w:p>
    <w:p w14:paraId="29BDE24D" w14:textId="4142510B" w:rsidR="002539CD" w:rsidRPr="00020DAD" w:rsidRDefault="002539CD" w:rsidP="002539CD">
      <w:pPr>
        <w:pStyle w:val="Heading2"/>
      </w:pPr>
      <w:r w:rsidRPr="00020DAD">
        <w:t>Conclusion</w:t>
      </w:r>
    </w:p>
    <w:p w14:paraId="4F3A806F" w14:textId="4AFCA44A" w:rsidR="00186457" w:rsidRPr="00020DAD" w:rsidRDefault="0058276D" w:rsidP="0039529C">
      <w:r w:rsidRPr="00020DAD">
        <w:t xml:space="preserve">At the start of the COVID-19 vaccine rollout in the UK, most people were unsure whether </w:t>
      </w:r>
      <w:r w:rsidR="00300493" w:rsidRPr="00020DAD">
        <w:t xml:space="preserve">side effects from vaccination were likely. Media coverage </w:t>
      </w:r>
      <w:r w:rsidR="0001641D" w:rsidRPr="00020DAD">
        <w:t xml:space="preserve">of side effects </w:t>
      </w:r>
      <w:r w:rsidR="00300493" w:rsidRPr="00020DAD">
        <w:t xml:space="preserve">and </w:t>
      </w:r>
      <w:r w:rsidR="0001641D" w:rsidRPr="00020DAD">
        <w:t>seeing people experience side effects as the vaccine rollout continues may heighten side</w:t>
      </w:r>
      <w:r w:rsidR="00A83203" w:rsidRPr="00020DAD">
        <w:t>-</w:t>
      </w:r>
      <w:r w:rsidR="0001641D" w:rsidRPr="00020DAD">
        <w:t xml:space="preserve">effect expectations. COVID-19 vaccination beliefs and attitudes </w:t>
      </w:r>
      <w:r w:rsidR="00A70067" w:rsidRPr="00020DAD">
        <w:t>were associated with side</w:t>
      </w:r>
      <w:r w:rsidR="00A83203" w:rsidRPr="00020DAD">
        <w:t>-</w:t>
      </w:r>
      <w:r w:rsidR="00A70067" w:rsidRPr="00020DAD">
        <w:t>effect expectations</w:t>
      </w:r>
      <w:r w:rsidR="008334A8" w:rsidRPr="00020DAD">
        <w:t xml:space="preserve">. </w:t>
      </w:r>
      <w:proofErr w:type="gramStart"/>
      <w:r w:rsidR="008334A8" w:rsidRPr="00020DAD">
        <w:t>I</w:t>
      </w:r>
      <w:r w:rsidR="00A70067" w:rsidRPr="00020DAD">
        <w:t>n particular</w:t>
      </w:r>
      <w:r w:rsidR="008334A8" w:rsidRPr="00020DAD">
        <w:t>,</w:t>
      </w:r>
      <w:r w:rsidR="00A70067" w:rsidRPr="00020DAD">
        <w:t xml:space="preserve"> </w:t>
      </w:r>
      <w:r w:rsidR="008334A8" w:rsidRPr="00020DAD">
        <w:t>side</w:t>
      </w:r>
      <w:r w:rsidR="00A83203" w:rsidRPr="00020DAD">
        <w:t>-</w:t>
      </w:r>
      <w:r w:rsidR="008334A8" w:rsidRPr="00020DAD">
        <w:t>effect</w:t>
      </w:r>
      <w:proofErr w:type="gramEnd"/>
      <w:r w:rsidR="008334A8" w:rsidRPr="00020DAD">
        <w:t xml:space="preserve"> expectations were associated with poorer perceived </w:t>
      </w:r>
      <w:r w:rsidR="00A70067" w:rsidRPr="00020DAD">
        <w:t>safety</w:t>
      </w:r>
      <w:r w:rsidR="008334A8" w:rsidRPr="00020DAD">
        <w:t xml:space="preserve"> and </w:t>
      </w:r>
      <w:r w:rsidR="00A70067" w:rsidRPr="00020DAD">
        <w:t>effectiveness</w:t>
      </w:r>
      <w:r w:rsidR="008334A8" w:rsidRPr="00020DAD">
        <w:t xml:space="preserve"> of the vaccine, thinking that others were less likely to approve if you were to have the vaccine</w:t>
      </w:r>
      <w:r w:rsidR="007A5F23" w:rsidRPr="00020DAD">
        <w:t>, and a perceived lack of information about COVID-19 and vaccination</w:t>
      </w:r>
      <w:r w:rsidR="008334A8" w:rsidRPr="00020DAD">
        <w:t xml:space="preserve">. </w:t>
      </w:r>
      <w:r w:rsidR="00C3410D" w:rsidRPr="00020DAD">
        <w:t>Public health c</w:t>
      </w:r>
      <w:r w:rsidR="008334A8" w:rsidRPr="00020DAD">
        <w:t>ommunications</w:t>
      </w:r>
      <w:r w:rsidR="007A5F23" w:rsidRPr="00020DAD">
        <w:t xml:space="preserve"> </w:t>
      </w:r>
      <w:r w:rsidR="00DA6FA4" w:rsidRPr="00020DAD">
        <w:t xml:space="preserve">should </w:t>
      </w:r>
      <w:r w:rsidR="007A5F23" w:rsidRPr="00020DAD">
        <w:t>emphasis</w:t>
      </w:r>
      <w:r w:rsidR="00DA6FA4" w:rsidRPr="00020DAD">
        <w:t>e</w:t>
      </w:r>
      <w:r w:rsidR="007A5F23" w:rsidRPr="00020DAD">
        <w:t xml:space="preserve"> the safety, effectiveness</w:t>
      </w:r>
      <w:r w:rsidR="00C14A1E" w:rsidRPr="00020DAD">
        <w:t>,</w:t>
      </w:r>
      <w:r w:rsidR="007A5F23" w:rsidRPr="00020DAD">
        <w:t xml:space="preserve"> and </w:t>
      </w:r>
      <w:r w:rsidR="007A5F23" w:rsidRPr="00020DAD">
        <w:lastRenderedPageBreak/>
        <w:t>widespread uptake of COVID-19 vaccination</w:t>
      </w:r>
      <w:r w:rsidR="00415CA8" w:rsidRPr="00020DAD">
        <w:t xml:space="preserve">, while also promoting accurate perceptions of the incidence </w:t>
      </w:r>
      <w:r w:rsidR="00C3410D" w:rsidRPr="00020DAD">
        <w:t xml:space="preserve">and nature </w:t>
      </w:r>
      <w:r w:rsidR="00415CA8" w:rsidRPr="00020DAD">
        <w:t>of side effects from vaccination</w:t>
      </w:r>
      <w:r w:rsidR="007A5F23" w:rsidRPr="00020DAD">
        <w:t>.</w:t>
      </w:r>
    </w:p>
    <w:p w14:paraId="2F5A68C1" w14:textId="77777777" w:rsidR="00E46F28" w:rsidRPr="00020DAD" w:rsidRDefault="00E46F28">
      <w:pPr>
        <w:spacing w:after="160" w:line="259" w:lineRule="auto"/>
        <w:ind w:firstLine="0"/>
        <w:rPr>
          <w:rFonts w:eastAsiaTheme="majorEastAsia" w:cstheme="majorBidi"/>
          <w:b/>
          <w:sz w:val="28"/>
          <w:szCs w:val="32"/>
        </w:rPr>
      </w:pPr>
      <w:r w:rsidRPr="00020DAD">
        <w:br w:type="page"/>
      </w:r>
    </w:p>
    <w:p w14:paraId="13FA9A29" w14:textId="7E416F5E" w:rsidR="00186457" w:rsidRPr="00020DAD" w:rsidRDefault="00186457" w:rsidP="00092D79">
      <w:pPr>
        <w:pStyle w:val="Heading1"/>
      </w:pPr>
      <w:r w:rsidRPr="00020DAD">
        <w:lastRenderedPageBreak/>
        <w:t>Sources of funding</w:t>
      </w:r>
    </w:p>
    <w:p w14:paraId="134FB3DA" w14:textId="5D7D16E5" w:rsidR="00186457" w:rsidRPr="00020DAD" w:rsidRDefault="1A097468" w:rsidP="00186457">
      <w:pPr>
        <w:ind w:firstLine="0"/>
      </w:pPr>
      <w:r w:rsidRPr="00020DAD">
        <w:t xml:space="preserve">Data collection was funded by a </w:t>
      </w:r>
      <w:proofErr w:type="spellStart"/>
      <w:r w:rsidRPr="00020DAD">
        <w:t>Keele</w:t>
      </w:r>
      <w:proofErr w:type="spellEnd"/>
      <w:r w:rsidRPr="00020DAD">
        <w:t xml:space="preserve"> University Faculty of Natural Sciences Research Development award to SS, JS and NS, and a Kings COVID Appeal Fund award granted jointly to LS, GJR, RA, NS, SS and JS. NS research is supported by the National Institute for Health Research (NIHR) Applied Research Collaboration (ARC) South London at King’s College Hospital NHS Foundation Trust. NS is a member of King’s Improvement Science, which offers co-funding to the NIHR ARC South London and is funded by Kings Health Partners (Guys and St Thomas NHS Foundation Trust, King’s College Hospital NHS Foundation Trust, Kings College London and South London and Maudsley NHS Foundation Trust), and the Guy’s and St Thomas’ Foundation. The views expressed are those of the authors and not necessarily those of the NIHR, the charities, UK Health Security Agency or the Department of Health and Social Care.</w:t>
      </w:r>
    </w:p>
    <w:p w14:paraId="73B37780" w14:textId="77777777" w:rsidR="00186457" w:rsidRPr="00020DAD" w:rsidRDefault="00186457" w:rsidP="00186457">
      <w:pPr>
        <w:ind w:firstLine="0"/>
        <w:rPr>
          <w:szCs w:val="24"/>
        </w:rPr>
      </w:pPr>
    </w:p>
    <w:p w14:paraId="5E9A5C36" w14:textId="77777777" w:rsidR="00186457" w:rsidRPr="00020DAD" w:rsidRDefault="00186457" w:rsidP="00092D79">
      <w:pPr>
        <w:pStyle w:val="Heading1"/>
      </w:pPr>
      <w:r w:rsidRPr="00020DAD">
        <w:t>Conflicts of Interest</w:t>
      </w:r>
    </w:p>
    <w:p w14:paraId="67204020" w14:textId="3A7D9171" w:rsidR="009A1EE4" w:rsidRPr="00020DAD" w:rsidRDefault="1A097468" w:rsidP="009A1EE4">
      <w:pPr>
        <w:ind w:firstLine="0"/>
      </w:pPr>
      <w:r w:rsidRPr="00020DAD">
        <w:t xml:space="preserve">All authors have completed the Unified Competing Interest form at </w:t>
      </w:r>
      <w:hyperlink r:id="rId15">
        <w:r w:rsidRPr="00020DAD">
          <w:rPr>
            <w:rStyle w:val="Hyperlink"/>
          </w:rPr>
          <w:t>http://www.icmje.org/coi_disclosure.pdf</w:t>
        </w:r>
      </w:hyperlink>
      <w:r w:rsidRPr="00020DAD">
        <w:t xml:space="preserve"> and declare that data collection was funded by a </w:t>
      </w:r>
      <w:proofErr w:type="spellStart"/>
      <w:r w:rsidRPr="00020DAD">
        <w:t>Keele</w:t>
      </w:r>
      <w:proofErr w:type="spellEnd"/>
      <w:r w:rsidRPr="00020DAD">
        <w:t xml:space="preserve"> University Faculty of Natural Sciences Research Development award to SS, JS and NS, and a Kings COVID Appeal Fund award granted jointly to LS, GJR, RA, NS, SS and JS.</w:t>
      </w:r>
    </w:p>
    <w:p w14:paraId="5B48E7C9" w14:textId="465182A0" w:rsidR="00E46F28" w:rsidRPr="00020DAD" w:rsidRDefault="009A1EE4" w:rsidP="009A1EE4">
      <w:pPr>
        <w:ind w:firstLine="0"/>
      </w:pPr>
      <w:r w:rsidRPr="00020DAD">
        <w:t>NS is the director of the London Safety and Training Solutions Ltd, which offers training in patient safety, implementation solutions and human factors to healthcare organisations and the pharmaceutical industry; RA is employed by the UK Health Security Agency. The other authors have no conflicts of interest to declare.</w:t>
      </w:r>
    </w:p>
    <w:p w14:paraId="400D1C6D" w14:textId="77777777" w:rsidR="00E46F28" w:rsidRPr="00020DAD" w:rsidRDefault="00E46F28">
      <w:pPr>
        <w:spacing w:after="160" w:line="259" w:lineRule="auto"/>
        <w:ind w:firstLine="0"/>
      </w:pPr>
      <w:r w:rsidRPr="00020DAD">
        <w:br w:type="page"/>
      </w:r>
    </w:p>
    <w:p w14:paraId="4772F95E" w14:textId="0C412235" w:rsidR="00C16F41" w:rsidRPr="00020DAD" w:rsidRDefault="1A097468" w:rsidP="00092D79">
      <w:pPr>
        <w:pStyle w:val="Heading1"/>
      </w:pPr>
      <w:r w:rsidRPr="00020DAD">
        <w:lastRenderedPageBreak/>
        <w:t>References</w:t>
      </w:r>
    </w:p>
    <w:p w14:paraId="0FFC0F9C" w14:textId="77777777" w:rsidR="00277061" w:rsidRPr="00020DAD" w:rsidRDefault="00277061" w:rsidP="00277061">
      <w:pPr>
        <w:pStyle w:val="EndNoteBibliography"/>
      </w:pPr>
      <w:r w:rsidRPr="00020DAD">
        <w:t>1.</w:t>
      </w:r>
      <w:r w:rsidRPr="00020DAD">
        <w:tab/>
        <w:t>Bish A, Yardley L, Nicoll A, Michie S: Factors associated with uptake of vaccination against pandemic influenza: A systematic review. Vaccine. 2011, 29:6472-6484.</w:t>
      </w:r>
    </w:p>
    <w:p w14:paraId="53EF85DF" w14:textId="77777777" w:rsidR="00277061" w:rsidRPr="00020DAD" w:rsidRDefault="00277061" w:rsidP="00277061">
      <w:pPr>
        <w:pStyle w:val="EndNoteBibliography"/>
      </w:pPr>
      <w:r w:rsidRPr="00020DAD">
        <w:t>2.</w:t>
      </w:r>
      <w:r w:rsidRPr="00020DAD">
        <w:tab/>
        <w:t>Smith LE, Amlôt R, Weinman J, Yiend J, Rubin GJ: A systematic review of factors affecting vaccine uptake in young children. Vaccine. 2017, 35:6059-6069.</w:t>
      </w:r>
    </w:p>
    <w:p w14:paraId="26EFB0AD" w14:textId="77777777" w:rsidR="00277061" w:rsidRPr="00020DAD" w:rsidRDefault="00277061" w:rsidP="00277061">
      <w:pPr>
        <w:pStyle w:val="EndNoteBibliography"/>
      </w:pPr>
      <w:r w:rsidRPr="00020DAD">
        <w:t>3.</w:t>
      </w:r>
      <w:r w:rsidRPr="00020DAD">
        <w:tab/>
        <w:t>Yeung MP, Lam FL, Coker R: Factors associated with the uptake of seasonal influenza vaccination in adults: a systematic review. J Public Health (Oxf). 2016, 38:746-753.</w:t>
      </w:r>
    </w:p>
    <w:p w14:paraId="5459AF91" w14:textId="77777777" w:rsidR="00277061" w:rsidRPr="00020DAD" w:rsidRDefault="00277061" w:rsidP="00277061">
      <w:pPr>
        <w:pStyle w:val="EndNoteBibliography"/>
      </w:pPr>
      <w:r w:rsidRPr="00020DAD">
        <w:t>4.</w:t>
      </w:r>
      <w:r w:rsidRPr="00020DAD">
        <w:tab/>
        <w:t xml:space="preserve">Medicines and Healthcare products Regulatory Agency: Regulatory approval of Pfizer/BioNTech vaccine for COVID-19. Available from: </w:t>
      </w:r>
      <w:hyperlink r:id="rId16" w:history="1">
        <w:r w:rsidRPr="00020DAD">
          <w:rPr>
            <w:rStyle w:val="Hyperlink"/>
          </w:rPr>
          <w:t>https://www.gov.uk/government/publications/regulatory-approval-of-pfizer-biontech-vaccine-for-covid-19</w:t>
        </w:r>
      </w:hyperlink>
      <w:r w:rsidRPr="00020DAD">
        <w:t xml:space="preserve"> </w:t>
      </w:r>
    </w:p>
    <w:p w14:paraId="0FB13BE6" w14:textId="77777777" w:rsidR="00277061" w:rsidRPr="00020DAD" w:rsidRDefault="00277061" w:rsidP="00277061">
      <w:pPr>
        <w:pStyle w:val="EndNoteBibliography"/>
      </w:pPr>
      <w:r w:rsidRPr="00020DAD">
        <w:t>5.</w:t>
      </w:r>
      <w:r w:rsidRPr="00020DAD">
        <w:tab/>
        <w:t xml:space="preserve">Medicines and Healthcare products Regulatory Agency: Regulatory approval of COVID-19 Vaccine AstraZeneca. Available from: </w:t>
      </w:r>
      <w:hyperlink r:id="rId17" w:history="1">
        <w:r w:rsidRPr="00020DAD">
          <w:rPr>
            <w:rStyle w:val="Hyperlink"/>
          </w:rPr>
          <w:t>https://www.gov.uk/government/publications/regulatory-approval-of-covid-19-vaccine-astrazeneca</w:t>
        </w:r>
      </w:hyperlink>
      <w:r w:rsidRPr="00020DAD">
        <w:t xml:space="preserve"> </w:t>
      </w:r>
    </w:p>
    <w:p w14:paraId="6DE9B131" w14:textId="77777777" w:rsidR="00277061" w:rsidRPr="00020DAD" w:rsidRDefault="00277061" w:rsidP="00277061">
      <w:pPr>
        <w:pStyle w:val="EndNoteBibliography"/>
      </w:pPr>
      <w:r w:rsidRPr="00020DAD">
        <w:t>6.</w:t>
      </w:r>
      <w:r w:rsidRPr="00020DAD">
        <w:tab/>
        <w:t xml:space="preserve">Medicines and Healthcare products Regulatory Agency: Regulatory approval of COVID-19 Vaccine Moderna. Available from: </w:t>
      </w:r>
      <w:hyperlink r:id="rId18" w:history="1">
        <w:r w:rsidRPr="00020DAD">
          <w:rPr>
            <w:rStyle w:val="Hyperlink"/>
          </w:rPr>
          <w:t>https://www.gov.uk/government/publications/regulatory-approval-of-covid-19-vaccine-moderna</w:t>
        </w:r>
      </w:hyperlink>
      <w:r w:rsidRPr="00020DAD">
        <w:t xml:space="preserve"> </w:t>
      </w:r>
    </w:p>
    <w:p w14:paraId="393F99FE" w14:textId="77777777" w:rsidR="00277061" w:rsidRPr="00020DAD" w:rsidRDefault="00277061" w:rsidP="00277061">
      <w:pPr>
        <w:pStyle w:val="EndNoteBibliography"/>
      </w:pPr>
      <w:r w:rsidRPr="00020DAD">
        <w:t>7.</w:t>
      </w:r>
      <w:r w:rsidRPr="00020DAD">
        <w:tab/>
        <w:t>Folegatti PM, Ewer KJ, Aley PK, et al.: Safety and immunogenicity of the ChAdOx1 nCoV-19 vaccine against SARS-CoV-2: a preliminary report of a phase 1/2, single-blind, randomised controlled trial. Lancet. 2020, 396: 467–78.</w:t>
      </w:r>
    </w:p>
    <w:p w14:paraId="5803731F" w14:textId="77777777" w:rsidR="00277061" w:rsidRPr="00020DAD" w:rsidRDefault="00277061" w:rsidP="00277061">
      <w:pPr>
        <w:pStyle w:val="EndNoteBibliography"/>
      </w:pPr>
      <w:r w:rsidRPr="00020DAD">
        <w:t>8.</w:t>
      </w:r>
      <w:r w:rsidRPr="00020DAD">
        <w:tab/>
        <w:t>Polack FP, Thomas SJ, Kitchin N, et al.: Safety and Efficacy of the BNT162b2 mRNA Covid-19 Vaccine. N Engl J Med. 2020, 383:2603-2615.</w:t>
      </w:r>
    </w:p>
    <w:p w14:paraId="3FBDABA7" w14:textId="77777777" w:rsidR="00277061" w:rsidRPr="00020DAD" w:rsidRDefault="00277061" w:rsidP="00277061">
      <w:pPr>
        <w:pStyle w:val="EndNoteBibliography"/>
      </w:pPr>
      <w:r w:rsidRPr="00020DAD">
        <w:lastRenderedPageBreak/>
        <w:t>9.</w:t>
      </w:r>
      <w:r w:rsidRPr="00020DAD">
        <w:tab/>
        <w:t>Baden LR, El Sahly HM, Essink B, et al.: Efficacy and Safety of the mRNA-1273 SARS-CoV-2 Vaccine. N Engl J Med. 2021, 384:403-416.</w:t>
      </w:r>
    </w:p>
    <w:p w14:paraId="6A6F0007" w14:textId="77777777" w:rsidR="00277061" w:rsidRPr="00020DAD" w:rsidRDefault="00277061" w:rsidP="00277061">
      <w:pPr>
        <w:pStyle w:val="EndNoteBibliography"/>
      </w:pPr>
      <w:r w:rsidRPr="00020DAD">
        <w:t>10.</w:t>
      </w:r>
      <w:r w:rsidRPr="00020DAD">
        <w:tab/>
        <w:t>Menni C, Klaser K, May A, et al.: Vaccine side-effects and SARS-CoV-2 infection after vaccination in users of the COVID Symptom Study app in the UK: a prospective observational study. Lancet Infectious Diseases. 2021, 21: 939–49.</w:t>
      </w:r>
    </w:p>
    <w:p w14:paraId="3F610EFE" w14:textId="77777777" w:rsidR="00277061" w:rsidRPr="00020DAD" w:rsidRDefault="00277061" w:rsidP="00277061">
      <w:pPr>
        <w:pStyle w:val="EndNoteBibliography"/>
      </w:pPr>
      <w:r w:rsidRPr="00020DAD">
        <w:t>11.</w:t>
      </w:r>
      <w:r w:rsidRPr="00020DAD">
        <w:tab/>
        <w:t>Smith LE, Weinman J, Amlot R, Yiend J, Rubin GJ: Parental expectation of side effects following vaccination is self-fulfilling: a prospective cohort study. Ann Behav Med. 2018, 53:267–282.</w:t>
      </w:r>
    </w:p>
    <w:p w14:paraId="0989092F" w14:textId="77777777" w:rsidR="00277061" w:rsidRPr="00020DAD" w:rsidRDefault="00277061" w:rsidP="00277061">
      <w:pPr>
        <w:pStyle w:val="EndNoteBibliography"/>
      </w:pPr>
      <w:r w:rsidRPr="00020DAD">
        <w:t>12.</w:t>
      </w:r>
      <w:r w:rsidRPr="00020DAD">
        <w:tab/>
        <w:t>Nestoriuc Y, Orav EJ, Liang MH, Horne R, Barsky AJ: Prediction of nonspecific side effects in rheumatoid arthritis patients by beliefs about medicines. Arthritis Care Res (Hoboken). 2010, 62:791-799.</w:t>
      </w:r>
    </w:p>
    <w:p w14:paraId="5CEEDA0E" w14:textId="77777777" w:rsidR="00277061" w:rsidRPr="00020DAD" w:rsidRDefault="00277061" w:rsidP="00277061">
      <w:pPr>
        <w:pStyle w:val="EndNoteBibliography"/>
      </w:pPr>
      <w:r w:rsidRPr="00020DAD">
        <w:t>13.</w:t>
      </w:r>
      <w:r w:rsidRPr="00020DAD">
        <w:tab/>
        <w:t>Fletcher C, Wilson C, Hutchinson AD, Grunfeld EA: The relationship between anticipated response and subsequent experience of cancer treatment-related side effects: A meta-analysis comparing effects before and after treatment exposure. Cancer Treatment Reviews. 2018, 68:86-93.</w:t>
      </w:r>
    </w:p>
    <w:p w14:paraId="52302872" w14:textId="77777777" w:rsidR="00277061" w:rsidRPr="00020DAD" w:rsidRDefault="00277061" w:rsidP="00277061">
      <w:pPr>
        <w:pStyle w:val="EndNoteBibliography"/>
      </w:pPr>
      <w:r w:rsidRPr="00020DAD">
        <w:t>14.</w:t>
      </w:r>
      <w:r w:rsidRPr="00020DAD">
        <w:tab/>
        <w:t>Smith LE, Webster RK, Rubin GJ: A systematic review of factors associated with side-effect expectations from medical interventions. Health Expect. 2020, 23:731–758.</w:t>
      </w:r>
    </w:p>
    <w:p w14:paraId="1C8C83B2" w14:textId="77777777" w:rsidR="00277061" w:rsidRPr="00020DAD" w:rsidRDefault="00277061" w:rsidP="00277061">
      <w:pPr>
        <w:pStyle w:val="EndNoteBibliography"/>
      </w:pPr>
      <w:r w:rsidRPr="00020DAD">
        <w:t>15.</w:t>
      </w:r>
      <w:r w:rsidRPr="00020DAD">
        <w:tab/>
        <w:t>Sherman SM, Sim J, Cutts M, et al.: COVID-19 vaccination acceptability in the UK at the start of the vaccination programme: a nationally representative cross-sectional survey (CoVAccS – wave 2). Public Health. 2021.</w:t>
      </w:r>
    </w:p>
    <w:p w14:paraId="55A4F4D1" w14:textId="77777777" w:rsidR="00277061" w:rsidRPr="00020DAD" w:rsidRDefault="00277061" w:rsidP="00277061">
      <w:pPr>
        <w:pStyle w:val="EndNoteBibliography"/>
      </w:pPr>
      <w:r w:rsidRPr="00020DAD">
        <w:t>16.</w:t>
      </w:r>
      <w:r w:rsidRPr="00020DAD">
        <w:tab/>
        <w:t>Sherman SM, Smith LE, Sim J, et al.: COVID-19 vaccination intention in the UK: results from the COVID-19 vaccination acceptability study (CoVAccS), a nationally representative cross-sectional survey. Hum Vaccin Immunother. 2021, 17:1612-1621.</w:t>
      </w:r>
    </w:p>
    <w:p w14:paraId="54ACE4C8" w14:textId="77777777" w:rsidR="00277061" w:rsidRPr="00020DAD" w:rsidRDefault="00277061" w:rsidP="00FA6AFA">
      <w:pPr>
        <w:pStyle w:val="EndNoteBibliography"/>
        <w:rPr>
          <w:rStyle w:val="Hyperlink"/>
        </w:rPr>
      </w:pPr>
      <w:r w:rsidRPr="00020DAD">
        <w:t>17.</w:t>
      </w:r>
      <w:r w:rsidRPr="00020DAD">
        <w:tab/>
        <w:t xml:space="preserve">COVID-19 vaccination acceptability in the UK January 2021 (CoVAccS - Wave 2). Available from: </w:t>
      </w:r>
      <w:hyperlink r:id="rId19" w:history="1">
        <w:r w:rsidRPr="00020DAD">
          <w:rPr>
            <w:rStyle w:val="Hyperlink"/>
          </w:rPr>
          <w:t>https://osf.io/ewch3/?view_only=8d25cf3247e240e28e61c9b8f5d04f01</w:t>
        </w:r>
      </w:hyperlink>
    </w:p>
    <w:p w14:paraId="22CEBD50" w14:textId="77777777" w:rsidR="00277061" w:rsidRPr="00020DAD" w:rsidRDefault="00277061" w:rsidP="00277061">
      <w:pPr>
        <w:pStyle w:val="EndNoteBibliography"/>
      </w:pPr>
      <w:r w:rsidRPr="00020DAD">
        <w:lastRenderedPageBreak/>
        <w:t>18.</w:t>
      </w:r>
      <w:r w:rsidRPr="00020DAD">
        <w:tab/>
        <w:t xml:space="preserve">NHS: Who is at higher risk of coronavirus (clinically extremely vulnerable). Available from: </w:t>
      </w:r>
      <w:hyperlink r:id="rId20" w:history="1">
        <w:r w:rsidRPr="00020DAD">
          <w:rPr>
            <w:rStyle w:val="Hyperlink"/>
          </w:rPr>
          <w:t>https://www.nhs.uk/conditions/coronavirus-covid-19/people-at-higher-risk/whos-at-higher-risk-from-coronavirus/</w:t>
        </w:r>
      </w:hyperlink>
      <w:r w:rsidRPr="00020DAD">
        <w:t xml:space="preserve"> </w:t>
      </w:r>
    </w:p>
    <w:p w14:paraId="7041605B" w14:textId="77777777" w:rsidR="00277061" w:rsidRPr="00020DAD" w:rsidRDefault="00277061" w:rsidP="00277061">
      <w:pPr>
        <w:pStyle w:val="EndNoteBibliography"/>
      </w:pPr>
      <w:r w:rsidRPr="00020DAD">
        <w:t>19.</w:t>
      </w:r>
      <w:r w:rsidRPr="00020DAD">
        <w:tab/>
        <w:t xml:space="preserve">Cabinet Office, Department for Education: Children of critical workers and vulnerable children who can access schools or educational settings. Available from: </w:t>
      </w:r>
      <w:hyperlink r:id="rId21" w:history="1">
        <w:r w:rsidRPr="00020DAD">
          <w:rPr>
            <w:rStyle w:val="Hyperlink"/>
          </w:rPr>
          <w:t>https://www.gov.uk/government/publications/coronavirus-covid-19-maintaining-educational-provision/guidance-for-schools-colleges-and-local-authorities-on-maintaining-educational-provision</w:t>
        </w:r>
      </w:hyperlink>
      <w:r w:rsidRPr="00020DAD">
        <w:t xml:space="preserve"> </w:t>
      </w:r>
    </w:p>
    <w:p w14:paraId="171A690A" w14:textId="77777777" w:rsidR="00277061" w:rsidRPr="00020DAD" w:rsidRDefault="00277061" w:rsidP="00277061">
      <w:pPr>
        <w:pStyle w:val="EndNoteBibliography"/>
      </w:pPr>
      <w:r w:rsidRPr="00020DAD">
        <w:t>20.</w:t>
      </w:r>
      <w:r w:rsidRPr="00020DAD">
        <w:tab/>
        <w:t>Webster RK, Weinman J, Rubin GJ: How does the side-effect information in patient information leaflets influence peoples’ side-effect expectations? A cross-sectional national survey of 18- to 65-year-olds in England. Health Expectations. 2017, 20:1411-1420.</w:t>
      </w:r>
    </w:p>
    <w:p w14:paraId="6B3C6059" w14:textId="77777777" w:rsidR="00277061" w:rsidRPr="00020DAD" w:rsidRDefault="00277061" w:rsidP="00277061">
      <w:pPr>
        <w:pStyle w:val="EndNoteBibliography"/>
      </w:pPr>
      <w:r w:rsidRPr="00020DAD">
        <w:t>21.</w:t>
      </w:r>
      <w:r w:rsidRPr="00020DAD">
        <w:tab/>
        <w:t xml:space="preserve">European Medicines Agency: AstraZeneca’s COVID-19 vaccine: EMA finds possible link to very rare cases of unusual blood clots with low blood platelets Share. Available from: </w:t>
      </w:r>
      <w:hyperlink r:id="rId22" w:history="1">
        <w:r w:rsidRPr="00020DAD">
          <w:rPr>
            <w:rStyle w:val="Hyperlink"/>
          </w:rPr>
          <w:t>https://www.ema.europa.eu/en/news/astrazenecas-covid-19-vaccine-ema-finds-possible-link-very-rare-cases-unusual-blood-clots-low-blood</w:t>
        </w:r>
      </w:hyperlink>
      <w:r w:rsidRPr="00020DAD">
        <w:t xml:space="preserve"> </w:t>
      </w:r>
    </w:p>
    <w:p w14:paraId="1E0F947F" w14:textId="77777777" w:rsidR="00277061" w:rsidRPr="00020DAD" w:rsidRDefault="00277061" w:rsidP="00277061">
      <w:pPr>
        <w:pStyle w:val="EndNoteBibliography"/>
      </w:pPr>
      <w:r w:rsidRPr="00020DAD">
        <w:t>22.</w:t>
      </w:r>
      <w:r w:rsidRPr="00020DAD">
        <w:tab/>
        <w:t>Faasse K, Gamble G, Cundy T, Petrie KJ: Impact of television coverage on the number and type of symptoms reported during a health scare: a retrospective pre-post observational study. BMJ Open. 2012, 2.</w:t>
      </w:r>
    </w:p>
    <w:p w14:paraId="56C07F3D" w14:textId="77777777" w:rsidR="00277061" w:rsidRPr="00020DAD" w:rsidRDefault="00277061" w:rsidP="00277061">
      <w:pPr>
        <w:pStyle w:val="EndNoteBibliography"/>
      </w:pPr>
      <w:r w:rsidRPr="00020DAD">
        <w:t>23.</w:t>
      </w:r>
      <w:r w:rsidRPr="00020DAD">
        <w:tab/>
        <w:t xml:space="preserve">Allington D, Duffy B, Moxham-Hall V, McAndrew S, Murkin G: Covid-19 vaccines: confidence, concerns and behaviours. Available from: </w:t>
      </w:r>
      <w:hyperlink r:id="rId23" w:history="1">
        <w:r w:rsidRPr="00020DAD">
          <w:rPr>
            <w:rStyle w:val="Hyperlink"/>
          </w:rPr>
          <w:t>https://www.kcl.ac.uk/policy-institute/assets/covid-19-vaccines-confidence-concerns-behaviours.pdf</w:t>
        </w:r>
      </w:hyperlink>
    </w:p>
    <w:p w14:paraId="31DE1C5B" w14:textId="77777777" w:rsidR="00277061" w:rsidRPr="00020DAD" w:rsidRDefault="00277061" w:rsidP="00277061">
      <w:pPr>
        <w:pStyle w:val="EndNoteBibliography"/>
      </w:pPr>
      <w:r w:rsidRPr="00020DAD">
        <w:t>24.</w:t>
      </w:r>
      <w:r w:rsidRPr="00020DAD">
        <w:tab/>
        <w:t>Webster RK, Weinman J, Rubin GJ: A systematic review of factors that contribute to nocebo effects. Health Psychol. 2016, 35:1334-1355.</w:t>
      </w:r>
    </w:p>
    <w:p w14:paraId="30F296B1" w14:textId="77777777" w:rsidR="00277061" w:rsidRPr="00020DAD" w:rsidRDefault="00277061" w:rsidP="00277061">
      <w:pPr>
        <w:pStyle w:val="EndNoteBibliography"/>
      </w:pPr>
      <w:r w:rsidRPr="00020DAD">
        <w:t>25.</w:t>
      </w:r>
      <w:r w:rsidRPr="00020DAD">
        <w:tab/>
        <w:t>Faasse K, Grey A, Jordan R, Garland S, Petrie KJ: Seeing is believing: Impact of social modeling on placebo and nocebo responding. Health Psychol. 2015, 34:880-885.</w:t>
      </w:r>
    </w:p>
    <w:p w14:paraId="78EC3248" w14:textId="77777777" w:rsidR="00277061" w:rsidRPr="00020DAD" w:rsidRDefault="00277061" w:rsidP="00277061">
      <w:pPr>
        <w:pStyle w:val="EndNoteBibliography"/>
      </w:pPr>
      <w:r w:rsidRPr="00020DAD">
        <w:lastRenderedPageBreak/>
        <w:t>26.</w:t>
      </w:r>
      <w:r w:rsidRPr="00020DAD">
        <w:tab/>
        <w:t>Kaufman J, Ryan R, Walsh L, et al.: Face-to-face interventions for informing or educating parents about early childhood vaccination. Cochrane Database Syst Rev. 2018, 5:CD010038.</w:t>
      </w:r>
    </w:p>
    <w:p w14:paraId="1851F1BE" w14:textId="77777777" w:rsidR="00277061" w:rsidRPr="00020DAD" w:rsidRDefault="00277061" w:rsidP="00277061">
      <w:pPr>
        <w:pStyle w:val="EndNoteBibliography"/>
      </w:pPr>
      <w:r w:rsidRPr="00020DAD">
        <w:t>27.</w:t>
      </w:r>
      <w:r w:rsidRPr="00020DAD">
        <w:tab/>
        <w:t xml:space="preserve">European Centre for Disease Prevention and Control: Catalogue of interventions addressing vaccine hesitancy. Stockholm, 2017. Available from: </w:t>
      </w:r>
      <w:hyperlink r:id="rId24" w:history="1">
        <w:r w:rsidRPr="00020DAD">
          <w:rPr>
            <w:rStyle w:val="Hyperlink"/>
          </w:rPr>
          <w:t>https://www.ecdc.europa.eu/sites/default/files/documents/Catalogue-interventions-vaccine-hesitancy.pdf</w:t>
        </w:r>
      </w:hyperlink>
      <w:r w:rsidRPr="00020DAD">
        <w:t xml:space="preserve"> </w:t>
      </w:r>
    </w:p>
    <w:p w14:paraId="1AB3BAB3" w14:textId="77777777" w:rsidR="00277061" w:rsidRPr="00020DAD" w:rsidRDefault="00277061" w:rsidP="00277061">
      <w:pPr>
        <w:pStyle w:val="EndNoteBibliography"/>
      </w:pPr>
      <w:r w:rsidRPr="00020DAD">
        <w:t>28.</w:t>
      </w:r>
      <w:r w:rsidRPr="00020DAD">
        <w:tab/>
        <w:t>Tait AR, Voepel-Lewis T, Zikmund-Fisher BJ, Fagerlin A: The effect of format on parents' understanding of the risks and benefits of clinical research: a comparison between text, tables, and graphics. J Health Commun. 2010, 15:487-501.</w:t>
      </w:r>
    </w:p>
    <w:p w14:paraId="7C0E3319" w14:textId="77777777" w:rsidR="00277061" w:rsidRPr="00020DAD" w:rsidRDefault="00277061" w:rsidP="00277061">
      <w:pPr>
        <w:pStyle w:val="EndNoteBibliography"/>
      </w:pPr>
      <w:r w:rsidRPr="00020DAD">
        <w:t>29.</w:t>
      </w:r>
      <w:r w:rsidRPr="00020DAD">
        <w:tab/>
        <w:t>Pires C, Vigario M, Cavaco A: Readability of medicinal package leaflets: a systematic review. Revista De Saúde Pública. 2015, 49.</w:t>
      </w:r>
    </w:p>
    <w:p w14:paraId="7F19F9FA" w14:textId="77777777" w:rsidR="00FA6AFA" w:rsidRPr="00FA6AFA" w:rsidRDefault="00FA6AFA" w:rsidP="00FA6AFA">
      <w:pPr>
        <w:pStyle w:val="EndNoteBibliography"/>
      </w:pPr>
      <w:r w:rsidRPr="00020DAD">
        <w:t>30.</w:t>
      </w:r>
      <w:r w:rsidRPr="00020DAD">
        <w:tab/>
        <w:t>Safikhani S, Gries KS, Trudeau JJ, et al.: Response scale selection in adult pain measures: results from a literature review. J Patient Rep Outcomes. 2017, 2:40.</w:t>
      </w:r>
    </w:p>
    <w:p w14:paraId="4A508F4B" w14:textId="548A738C" w:rsidR="00C913D4" w:rsidRPr="00C913D4" w:rsidRDefault="00C913D4" w:rsidP="002639B6"/>
    <w:sectPr w:rsidR="00C913D4" w:rsidRPr="00C913D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0E1E0" w14:textId="77777777" w:rsidR="00E43A2D" w:rsidRDefault="00E43A2D" w:rsidP="003D6382">
      <w:pPr>
        <w:spacing w:line="240" w:lineRule="auto"/>
      </w:pPr>
      <w:r>
        <w:separator/>
      </w:r>
    </w:p>
  </w:endnote>
  <w:endnote w:type="continuationSeparator" w:id="0">
    <w:p w14:paraId="3FE4B7D7" w14:textId="77777777" w:rsidR="00E43A2D" w:rsidRDefault="00E43A2D" w:rsidP="003D63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FE5ED" w14:textId="77777777" w:rsidR="00020DAD" w:rsidRDefault="00020D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8276232"/>
      <w:docPartObj>
        <w:docPartGallery w:val="Page Numbers (Bottom of Page)"/>
        <w:docPartUnique/>
      </w:docPartObj>
    </w:sdtPr>
    <w:sdtEndPr>
      <w:rPr>
        <w:noProof/>
      </w:rPr>
    </w:sdtEndPr>
    <w:sdtContent>
      <w:p w14:paraId="27188E85" w14:textId="1630F415" w:rsidR="003D6382" w:rsidRDefault="003D638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1DF037" w14:textId="77777777" w:rsidR="003D6382" w:rsidRDefault="003D63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EF866" w14:textId="77777777" w:rsidR="00020DAD" w:rsidRDefault="00020D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72600" w14:textId="77777777" w:rsidR="00E43A2D" w:rsidRDefault="00E43A2D" w:rsidP="003D6382">
      <w:pPr>
        <w:spacing w:line="240" w:lineRule="auto"/>
      </w:pPr>
      <w:r>
        <w:separator/>
      </w:r>
    </w:p>
  </w:footnote>
  <w:footnote w:type="continuationSeparator" w:id="0">
    <w:p w14:paraId="13C0C335" w14:textId="77777777" w:rsidR="00E43A2D" w:rsidRDefault="00E43A2D" w:rsidP="003D63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15372" w14:textId="2B402788" w:rsidR="00020DAD" w:rsidRDefault="00E43A2D">
    <w:pPr>
      <w:pStyle w:val="Header"/>
    </w:pPr>
    <w:r>
      <w:rPr>
        <w:noProof/>
      </w:rPr>
      <w:pict w14:anchorId="0D8465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508329" o:spid="_x0000_s1026" type="#_x0000_t136" style="position:absolute;left:0;text-align:left;margin-left:0;margin-top:0;width:509pt;height:127.25pt;rotation:315;z-index:-251655168;mso-position-horizontal:center;mso-position-horizontal-relative:margin;mso-position-vertical:center;mso-position-vertical-relative:margin" o:allowincell="f" fillcolor="silver" stroked="f">
          <v:fill opacity=".5"/>
          <v:textpath style="font-family:&quot;Times New Roman&quot;;font-size:1pt" string="Accept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FC122" w14:textId="0C1FF22F" w:rsidR="00020DAD" w:rsidRDefault="00E43A2D">
    <w:pPr>
      <w:pStyle w:val="Header"/>
    </w:pPr>
    <w:r>
      <w:rPr>
        <w:noProof/>
      </w:rPr>
      <w:pict w14:anchorId="0C0738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508330" o:spid="_x0000_s1027" type="#_x0000_t136" style="position:absolute;left:0;text-align:left;margin-left:0;margin-top:0;width:509pt;height:159.25pt;rotation:315;z-index:-251653120;mso-position-horizontal:center;mso-position-horizontal-relative:margin;mso-position-vertical:center;mso-position-vertical-relative:margin" o:allowincell="f" fillcolor="silver" stroked="f">
          <v:fill opacity=".5"/>
          <v:textpath style="font-family:&quot;Times New Roman&quot;;font-size:1pt" string="Accept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1DC75" w14:textId="166E3E0E" w:rsidR="00020DAD" w:rsidRDefault="00E43A2D">
    <w:pPr>
      <w:pStyle w:val="Header"/>
    </w:pPr>
    <w:r>
      <w:rPr>
        <w:noProof/>
      </w:rPr>
      <w:pict w14:anchorId="2949FC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508328" o:spid="_x0000_s1025" type="#_x0000_t136" style="position:absolute;left:0;text-align:left;margin-left:0;margin-top:0;width:509pt;height:127.25pt;rotation:315;z-index:-251657216;mso-position-horizontal:center;mso-position-horizontal-relative:margin;mso-position-vertical:center;mso-position-vertical-relative:margin" o:allowincell="f" fillcolor="silver" stroked="f">
          <v:fill opacity=".5"/>
          <v:textpath style="font-family:&quot;Times New Roman&quot;;font-size:1pt" string="Accept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E02D0"/>
    <w:multiLevelType w:val="hybridMultilevel"/>
    <w:tmpl w:val="3B6C2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Annals Behavioral Med Copy&lt;/Style&gt;&lt;LeftDelim&gt;{&lt;/LeftDelim&gt;&lt;RightDelim&gt;}&lt;/RightDelim&gt;&lt;FontName&gt;Times New Roman&lt;/FontName&gt;&lt;FontSize&gt;14&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sd52apfcatzr4eas2c50xv5w22frvd0sp92&quot;&gt;My EndNote Library&lt;record-ids&gt;&lt;item&gt;53&lt;/item&gt;&lt;item&gt;191&lt;/item&gt;&lt;item&gt;199&lt;/item&gt;&lt;item&gt;201&lt;/item&gt;&lt;item&gt;361&lt;/item&gt;&lt;item&gt;477&lt;/item&gt;&lt;item&gt;707&lt;/item&gt;&lt;item&gt;713&lt;/item&gt;&lt;item&gt;793&lt;/item&gt;&lt;item&gt;917&lt;/item&gt;&lt;item&gt;959&lt;/item&gt;&lt;item&gt;1032&lt;/item&gt;&lt;item&gt;1068&lt;/item&gt;&lt;item&gt;1113&lt;/item&gt;&lt;item&gt;1542&lt;/item&gt;&lt;/record-ids&gt;&lt;/item&gt;&lt;/Libraries&gt;"/>
  </w:docVars>
  <w:rsids>
    <w:rsidRoot w:val="003577A8"/>
    <w:rsid w:val="00011109"/>
    <w:rsid w:val="00011D7F"/>
    <w:rsid w:val="0001641D"/>
    <w:rsid w:val="00016FFC"/>
    <w:rsid w:val="0002024F"/>
    <w:rsid w:val="00020DAD"/>
    <w:rsid w:val="0002540B"/>
    <w:rsid w:val="00030F5D"/>
    <w:rsid w:val="000329E2"/>
    <w:rsid w:val="0003656C"/>
    <w:rsid w:val="00045BF1"/>
    <w:rsid w:val="00051A4F"/>
    <w:rsid w:val="00056BA8"/>
    <w:rsid w:val="00060059"/>
    <w:rsid w:val="00067992"/>
    <w:rsid w:val="0007127C"/>
    <w:rsid w:val="00071A91"/>
    <w:rsid w:val="0007492E"/>
    <w:rsid w:val="00082825"/>
    <w:rsid w:val="00082BC7"/>
    <w:rsid w:val="00086759"/>
    <w:rsid w:val="00090C83"/>
    <w:rsid w:val="00092D79"/>
    <w:rsid w:val="000951D5"/>
    <w:rsid w:val="00096CBA"/>
    <w:rsid w:val="000B1D11"/>
    <w:rsid w:val="000B2F1A"/>
    <w:rsid w:val="000B3337"/>
    <w:rsid w:val="000B5EB4"/>
    <w:rsid w:val="000B6844"/>
    <w:rsid w:val="000C0558"/>
    <w:rsid w:val="000C25A7"/>
    <w:rsid w:val="000D10BA"/>
    <w:rsid w:val="000D39A2"/>
    <w:rsid w:val="000D48EB"/>
    <w:rsid w:val="000E1A00"/>
    <w:rsid w:val="000E1FB8"/>
    <w:rsid w:val="000E2963"/>
    <w:rsid w:val="000E4B6E"/>
    <w:rsid w:val="000E7C21"/>
    <w:rsid w:val="000F2DEE"/>
    <w:rsid w:val="00100D7C"/>
    <w:rsid w:val="001010BF"/>
    <w:rsid w:val="00103A87"/>
    <w:rsid w:val="00105332"/>
    <w:rsid w:val="00120330"/>
    <w:rsid w:val="0013018A"/>
    <w:rsid w:val="00131D99"/>
    <w:rsid w:val="0013320E"/>
    <w:rsid w:val="00137074"/>
    <w:rsid w:val="00144DFE"/>
    <w:rsid w:val="001451F5"/>
    <w:rsid w:val="00145E65"/>
    <w:rsid w:val="001509CE"/>
    <w:rsid w:val="00155700"/>
    <w:rsid w:val="0016376F"/>
    <w:rsid w:val="0016492B"/>
    <w:rsid w:val="001710C6"/>
    <w:rsid w:val="0017680F"/>
    <w:rsid w:val="00177F40"/>
    <w:rsid w:val="00182F17"/>
    <w:rsid w:val="0018310A"/>
    <w:rsid w:val="00186457"/>
    <w:rsid w:val="001912F0"/>
    <w:rsid w:val="001938E4"/>
    <w:rsid w:val="001944A9"/>
    <w:rsid w:val="001A4AE2"/>
    <w:rsid w:val="001B4552"/>
    <w:rsid w:val="001B58AB"/>
    <w:rsid w:val="001B6791"/>
    <w:rsid w:val="001C690E"/>
    <w:rsid w:val="001E0102"/>
    <w:rsid w:val="001E0437"/>
    <w:rsid w:val="001E1C57"/>
    <w:rsid w:val="001F0A68"/>
    <w:rsid w:val="001F0C02"/>
    <w:rsid w:val="002035E0"/>
    <w:rsid w:val="0021016F"/>
    <w:rsid w:val="0021536F"/>
    <w:rsid w:val="00217C74"/>
    <w:rsid w:val="002235A0"/>
    <w:rsid w:val="00223E37"/>
    <w:rsid w:val="00224E58"/>
    <w:rsid w:val="0022503D"/>
    <w:rsid w:val="002316B5"/>
    <w:rsid w:val="00234ACE"/>
    <w:rsid w:val="00236AD5"/>
    <w:rsid w:val="002539CD"/>
    <w:rsid w:val="00256196"/>
    <w:rsid w:val="0025753A"/>
    <w:rsid w:val="002639B6"/>
    <w:rsid w:val="00265D51"/>
    <w:rsid w:val="0026699F"/>
    <w:rsid w:val="00273420"/>
    <w:rsid w:val="00275EBE"/>
    <w:rsid w:val="00277061"/>
    <w:rsid w:val="00280998"/>
    <w:rsid w:val="00282281"/>
    <w:rsid w:val="0028798C"/>
    <w:rsid w:val="002912AB"/>
    <w:rsid w:val="00293951"/>
    <w:rsid w:val="002A63EF"/>
    <w:rsid w:val="002C0370"/>
    <w:rsid w:val="002C09DA"/>
    <w:rsid w:val="002C0E68"/>
    <w:rsid w:val="002C37B3"/>
    <w:rsid w:val="002D0FBE"/>
    <w:rsid w:val="002D1D2C"/>
    <w:rsid w:val="002D6806"/>
    <w:rsid w:val="002D6CB5"/>
    <w:rsid w:val="002E165A"/>
    <w:rsid w:val="002F0E0A"/>
    <w:rsid w:val="002F411A"/>
    <w:rsid w:val="002F4E2A"/>
    <w:rsid w:val="002F525C"/>
    <w:rsid w:val="00300493"/>
    <w:rsid w:val="00300C70"/>
    <w:rsid w:val="00310015"/>
    <w:rsid w:val="00314F55"/>
    <w:rsid w:val="00315128"/>
    <w:rsid w:val="00316E80"/>
    <w:rsid w:val="003172AB"/>
    <w:rsid w:val="003173EA"/>
    <w:rsid w:val="00317BBD"/>
    <w:rsid w:val="00321505"/>
    <w:rsid w:val="00324767"/>
    <w:rsid w:val="00327154"/>
    <w:rsid w:val="00327F71"/>
    <w:rsid w:val="00330787"/>
    <w:rsid w:val="00332C07"/>
    <w:rsid w:val="00334C6D"/>
    <w:rsid w:val="003404D5"/>
    <w:rsid w:val="00345A36"/>
    <w:rsid w:val="00345B2D"/>
    <w:rsid w:val="00352E4F"/>
    <w:rsid w:val="003577A8"/>
    <w:rsid w:val="003622E4"/>
    <w:rsid w:val="00363271"/>
    <w:rsid w:val="00371D65"/>
    <w:rsid w:val="0037785D"/>
    <w:rsid w:val="00383091"/>
    <w:rsid w:val="00385E5A"/>
    <w:rsid w:val="00387E68"/>
    <w:rsid w:val="00392411"/>
    <w:rsid w:val="0039529C"/>
    <w:rsid w:val="00397186"/>
    <w:rsid w:val="003A2E96"/>
    <w:rsid w:val="003A6505"/>
    <w:rsid w:val="003B0500"/>
    <w:rsid w:val="003B110B"/>
    <w:rsid w:val="003B5CEE"/>
    <w:rsid w:val="003C1541"/>
    <w:rsid w:val="003C7383"/>
    <w:rsid w:val="003D1205"/>
    <w:rsid w:val="003D3EE4"/>
    <w:rsid w:val="003D5ACF"/>
    <w:rsid w:val="003D6382"/>
    <w:rsid w:val="003D7573"/>
    <w:rsid w:val="003E3AF0"/>
    <w:rsid w:val="003F1215"/>
    <w:rsid w:val="003F1348"/>
    <w:rsid w:val="003F1CFD"/>
    <w:rsid w:val="003F20FB"/>
    <w:rsid w:val="00400E5D"/>
    <w:rsid w:val="00402EFA"/>
    <w:rsid w:val="00403DD5"/>
    <w:rsid w:val="00407608"/>
    <w:rsid w:val="00407AC0"/>
    <w:rsid w:val="00411A36"/>
    <w:rsid w:val="004122D9"/>
    <w:rsid w:val="00413D69"/>
    <w:rsid w:val="00415CA8"/>
    <w:rsid w:val="00416D6D"/>
    <w:rsid w:val="00424FD9"/>
    <w:rsid w:val="004357FC"/>
    <w:rsid w:val="004431EC"/>
    <w:rsid w:val="0045767B"/>
    <w:rsid w:val="0046482A"/>
    <w:rsid w:val="004711C6"/>
    <w:rsid w:val="0048782D"/>
    <w:rsid w:val="00491666"/>
    <w:rsid w:val="0049311C"/>
    <w:rsid w:val="00495F82"/>
    <w:rsid w:val="00496AFE"/>
    <w:rsid w:val="004A0028"/>
    <w:rsid w:val="004A1925"/>
    <w:rsid w:val="004B018F"/>
    <w:rsid w:val="004B6026"/>
    <w:rsid w:val="004C0E50"/>
    <w:rsid w:val="004C2F99"/>
    <w:rsid w:val="004D1E00"/>
    <w:rsid w:val="004D7DB8"/>
    <w:rsid w:val="004D7E63"/>
    <w:rsid w:val="004E2E62"/>
    <w:rsid w:val="004E39B4"/>
    <w:rsid w:val="004F454D"/>
    <w:rsid w:val="004F658D"/>
    <w:rsid w:val="0050048A"/>
    <w:rsid w:val="005022B3"/>
    <w:rsid w:val="005073C2"/>
    <w:rsid w:val="0050762A"/>
    <w:rsid w:val="00511E77"/>
    <w:rsid w:val="00513307"/>
    <w:rsid w:val="0051399C"/>
    <w:rsid w:val="005211AB"/>
    <w:rsid w:val="0052129E"/>
    <w:rsid w:val="00531390"/>
    <w:rsid w:val="005313B3"/>
    <w:rsid w:val="0053440B"/>
    <w:rsid w:val="005367A4"/>
    <w:rsid w:val="00542CA2"/>
    <w:rsid w:val="0054570D"/>
    <w:rsid w:val="0055154D"/>
    <w:rsid w:val="005550D1"/>
    <w:rsid w:val="00557147"/>
    <w:rsid w:val="00557EF9"/>
    <w:rsid w:val="00563E1E"/>
    <w:rsid w:val="00566F68"/>
    <w:rsid w:val="00572260"/>
    <w:rsid w:val="005731ED"/>
    <w:rsid w:val="00573B03"/>
    <w:rsid w:val="0058276D"/>
    <w:rsid w:val="0058721C"/>
    <w:rsid w:val="00591206"/>
    <w:rsid w:val="005934EB"/>
    <w:rsid w:val="005A2B31"/>
    <w:rsid w:val="005A4D4A"/>
    <w:rsid w:val="005A50AB"/>
    <w:rsid w:val="005B0A33"/>
    <w:rsid w:val="005B2EC9"/>
    <w:rsid w:val="005B5AC4"/>
    <w:rsid w:val="005C3B60"/>
    <w:rsid w:val="005C64AE"/>
    <w:rsid w:val="005D06F1"/>
    <w:rsid w:val="005D1D82"/>
    <w:rsid w:val="005D2041"/>
    <w:rsid w:val="005D2605"/>
    <w:rsid w:val="005D3A45"/>
    <w:rsid w:val="005D5672"/>
    <w:rsid w:val="005D67C8"/>
    <w:rsid w:val="005D6D59"/>
    <w:rsid w:val="005E290C"/>
    <w:rsid w:val="005E7E49"/>
    <w:rsid w:val="005F2C20"/>
    <w:rsid w:val="005F369F"/>
    <w:rsid w:val="005F5C5B"/>
    <w:rsid w:val="006023AB"/>
    <w:rsid w:val="0060610B"/>
    <w:rsid w:val="00611405"/>
    <w:rsid w:val="00611740"/>
    <w:rsid w:val="006130CF"/>
    <w:rsid w:val="00616279"/>
    <w:rsid w:val="0061668F"/>
    <w:rsid w:val="0062505B"/>
    <w:rsid w:val="00625B56"/>
    <w:rsid w:val="006339D7"/>
    <w:rsid w:val="00634FDF"/>
    <w:rsid w:val="00636DE3"/>
    <w:rsid w:val="00637977"/>
    <w:rsid w:val="006403FF"/>
    <w:rsid w:val="00643CA1"/>
    <w:rsid w:val="00647447"/>
    <w:rsid w:val="00651033"/>
    <w:rsid w:val="00655F3A"/>
    <w:rsid w:val="00664F7F"/>
    <w:rsid w:val="00665BAA"/>
    <w:rsid w:val="00674060"/>
    <w:rsid w:val="0067542B"/>
    <w:rsid w:val="006810DA"/>
    <w:rsid w:val="00681640"/>
    <w:rsid w:val="006822D7"/>
    <w:rsid w:val="00682792"/>
    <w:rsid w:val="0068427B"/>
    <w:rsid w:val="00686020"/>
    <w:rsid w:val="00686EB0"/>
    <w:rsid w:val="006A13FE"/>
    <w:rsid w:val="006A3274"/>
    <w:rsid w:val="006A4F8F"/>
    <w:rsid w:val="006C1719"/>
    <w:rsid w:val="006C293F"/>
    <w:rsid w:val="006C3004"/>
    <w:rsid w:val="006C3023"/>
    <w:rsid w:val="006C3CA9"/>
    <w:rsid w:val="006C3FA7"/>
    <w:rsid w:val="006C6EF1"/>
    <w:rsid w:val="006D6D0D"/>
    <w:rsid w:val="006E3034"/>
    <w:rsid w:val="006E36B4"/>
    <w:rsid w:val="006E5287"/>
    <w:rsid w:val="006E792E"/>
    <w:rsid w:val="006F4FBB"/>
    <w:rsid w:val="006F66B3"/>
    <w:rsid w:val="00703E79"/>
    <w:rsid w:val="00725797"/>
    <w:rsid w:val="00726FC1"/>
    <w:rsid w:val="0072783C"/>
    <w:rsid w:val="007305A7"/>
    <w:rsid w:val="0074010D"/>
    <w:rsid w:val="007423DD"/>
    <w:rsid w:val="007435FA"/>
    <w:rsid w:val="00745BF8"/>
    <w:rsid w:val="00750878"/>
    <w:rsid w:val="0075503F"/>
    <w:rsid w:val="00757A54"/>
    <w:rsid w:val="00761F56"/>
    <w:rsid w:val="007652EA"/>
    <w:rsid w:val="0076779E"/>
    <w:rsid w:val="007716C9"/>
    <w:rsid w:val="007839E3"/>
    <w:rsid w:val="00785574"/>
    <w:rsid w:val="00787F59"/>
    <w:rsid w:val="00790EDF"/>
    <w:rsid w:val="007937C6"/>
    <w:rsid w:val="007954C9"/>
    <w:rsid w:val="00795673"/>
    <w:rsid w:val="007A4870"/>
    <w:rsid w:val="007A5F23"/>
    <w:rsid w:val="007A771C"/>
    <w:rsid w:val="007B2AC2"/>
    <w:rsid w:val="007B5A65"/>
    <w:rsid w:val="007B7520"/>
    <w:rsid w:val="007C1DCF"/>
    <w:rsid w:val="007C1FF2"/>
    <w:rsid w:val="007C4D36"/>
    <w:rsid w:val="007C5582"/>
    <w:rsid w:val="007C75B1"/>
    <w:rsid w:val="007D2A42"/>
    <w:rsid w:val="007D7CB2"/>
    <w:rsid w:val="007E37FF"/>
    <w:rsid w:val="007E400F"/>
    <w:rsid w:val="007F1A69"/>
    <w:rsid w:val="007F7820"/>
    <w:rsid w:val="00804709"/>
    <w:rsid w:val="008052F5"/>
    <w:rsid w:val="0080634F"/>
    <w:rsid w:val="00815F72"/>
    <w:rsid w:val="00820809"/>
    <w:rsid w:val="00822802"/>
    <w:rsid w:val="00823931"/>
    <w:rsid w:val="00825C4F"/>
    <w:rsid w:val="00826499"/>
    <w:rsid w:val="00830FE8"/>
    <w:rsid w:val="0083275F"/>
    <w:rsid w:val="008334A8"/>
    <w:rsid w:val="008407E1"/>
    <w:rsid w:val="00842417"/>
    <w:rsid w:val="00845C01"/>
    <w:rsid w:val="00846CB2"/>
    <w:rsid w:val="00856440"/>
    <w:rsid w:val="0085650E"/>
    <w:rsid w:val="00857E89"/>
    <w:rsid w:val="0086254E"/>
    <w:rsid w:val="0086627D"/>
    <w:rsid w:val="008736F1"/>
    <w:rsid w:val="0089119D"/>
    <w:rsid w:val="0089490C"/>
    <w:rsid w:val="008A3960"/>
    <w:rsid w:val="008A6DB7"/>
    <w:rsid w:val="008B1C9A"/>
    <w:rsid w:val="008B33E7"/>
    <w:rsid w:val="008B3850"/>
    <w:rsid w:val="008B5857"/>
    <w:rsid w:val="008C064F"/>
    <w:rsid w:val="008C12C9"/>
    <w:rsid w:val="008C319C"/>
    <w:rsid w:val="008C3566"/>
    <w:rsid w:val="008C7838"/>
    <w:rsid w:val="008C7B87"/>
    <w:rsid w:val="008D6BDD"/>
    <w:rsid w:val="008F00AF"/>
    <w:rsid w:val="008F3FE9"/>
    <w:rsid w:val="008F5F68"/>
    <w:rsid w:val="008F7F57"/>
    <w:rsid w:val="009045CB"/>
    <w:rsid w:val="009070BB"/>
    <w:rsid w:val="00911BAB"/>
    <w:rsid w:val="00915926"/>
    <w:rsid w:val="00915F68"/>
    <w:rsid w:val="009163BC"/>
    <w:rsid w:val="009254FC"/>
    <w:rsid w:val="009369A6"/>
    <w:rsid w:val="0094519A"/>
    <w:rsid w:val="009453A5"/>
    <w:rsid w:val="00945BA4"/>
    <w:rsid w:val="009540D3"/>
    <w:rsid w:val="009615D0"/>
    <w:rsid w:val="00962CD7"/>
    <w:rsid w:val="00976089"/>
    <w:rsid w:val="00977BCA"/>
    <w:rsid w:val="00980CD9"/>
    <w:rsid w:val="00984B27"/>
    <w:rsid w:val="00986283"/>
    <w:rsid w:val="00993D3A"/>
    <w:rsid w:val="00994E7F"/>
    <w:rsid w:val="009979BE"/>
    <w:rsid w:val="009A1EE4"/>
    <w:rsid w:val="009A1F3F"/>
    <w:rsid w:val="009B3DE7"/>
    <w:rsid w:val="009B44FB"/>
    <w:rsid w:val="009B6498"/>
    <w:rsid w:val="009B6B63"/>
    <w:rsid w:val="009C063C"/>
    <w:rsid w:val="009C29FC"/>
    <w:rsid w:val="009C3B68"/>
    <w:rsid w:val="009D1A55"/>
    <w:rsid w:val="009D25D2"/>
    <w:rsid w:val="009D5265"/>
    <w:rsid w:val="009D6644"/>
    <w:rsid w:val="009E7B3E"/>
    <w:rsid w:val="009F1875"/>
    <w:rsid w:val="00A1258E"/>
    <w:rsid w:val="00A128A7"/>
    <w:rsid w:val="00A12AA6"/>
    <w:rsid w:val="00A16866"/>
    <w:rsid w:val="00A179B9"/>
    <w:rsid w:val="00A17D36"/>
    <w:rsid w:val="00A237A8"/>
    <w:rsid w:val="00A30B67"/>
    <w:rsid w:val="00A369E8"/>
    <w:rsid w:val="00A41306"/>
    <w:rsid w:val="00A4394F"/>
    <w:rsid w:val="00A43ECB"/>
    <w:rsid w:val="00A46A47"/>
    <w:rsid w:val="00A67E4B"/>
    <w:rsid w:val="00A70067"/>
    <w:rsid w:val="00A71F2B"/>
    <w:rsid w:val="00A72800"/>
    <w:rsid w:val="00A72A96"/>
    <w:rsid w:val="00A75388"/>
    <w:rsid w:val="00A83203"/>
    <w:rsid w:val="00A94F5F"/>
    <w:rsid w:val="00A97A99"/>
    <w:rsid w:val="00AA4771"/>
    <w:rsid w:val="00AA74E8"/>
    <w:rsid w:val="00AB26C4"/>
    <w:rsid w:val="00AC2F9F"/>
    <w:rsid w:val="00AC3E21"/>
    <w:rsid w:val="00AC5F0F"/>
    <w:rsid w:val="00AC7188"/>
    <w:rsid w:val="00AC75CC"/>
    <w:rsid w:val="00AC79D2"/>
    <w:rsid w:val="00AD2D79"/>
    <w:rsid w:val="00AD492A"/>
    <w:rsid w:val="00AE1194"/>
    <w:rsid w:val="00AE30D4"/>
    <w:rsid w:val="00AE405F"/>
    <w:rsid w:val="00AF14AE"/>
    <w:rsid w:val="00B001A3"/>
    <w:rsid w:val="00B002B4"/>
    <w:rsid w:val="00B00939"/>
    <w:rsid w:val="00B044DB"/>
    <w:rsid w:val="00B10ABD"/>
    <w:rsid w:val="00B13C2A"/>
    <w:rsid w:val="00B3487E"/>
    <w:rsid w:val="00B36384"/>
    <w:rsid w:val="00B41844"/>
    <w:rsid w:val="00B470AB"/>
    <w:rsid w:val="00B4738A"/>
    <w:rsid w:val="00B47EB1"/>
    <w:rsid w:val="00B5110C"/>
    <w:rsid w:val="00B54CDC"/>
    <w:rsid w:val="00B63487"/>
    <w:rsid w:val="00B6595A"/>
    <w:rsid w:val="00B65DA0"/>
    <w:rsid w:val="00B67BF6"/>
    <w:rsid w:val="00B75337"/>
    <w:rsid w:val="00B840A2"/>
    <w:rsid w:val="00B9349D"/>
    <w:rsid w:val="00B96C63"/>
    <w:rsid w:val="00BA37CF"/>
    <w:rsid w:val="00BA59C0"/>
    <w:rsid w:val="00BA7288"/>
    <w:rsid w:val="00BA7562"/>
    <w:rsid w:val="00BC11E1"/>
    <w:rsid w:val="00BC17EB"/>
    <w:rsid w:val="00BD2524"/>
    <w:rsid w:val="00BD28EF"/>
    <w:rsid w:val="00BD34F9"/>
    <w:rsid w:val="00BE2F2C"/>
    <w:rsid w:val="00BE4406"/>
    <w:rsid w:val="00BE4E8A"/>
    <w:rsid w:val="00BE6F8C"/>
    <w:rsid w:val="00BE7D48"/>
    <w:rsid w:val="00BF2984"/>
    <w:rsid w:val="00BF4AE4"/>
    <w:rsid w:val="00C000F0"/>
    <w:rsid w:val="00C01B5A"/>
    <w:rsid w:val="00C07561"/>
    <w:rsid w:val="00C11830"/>
    <w:rsid w:val="00C12E57"/>
    <w:rsid w:val="00C14A1E"/>
    <w:rsid w:val="00C1629F"/>
    <w:rsid w:val="00C16F41"/>
    <w:rsid w:val="00C3410D"/>
    <w:rsid w:val="00C35146"/>
    <w:rsid w:val="00C41E5C"/>
    <w:rsid w:val="00C526A0"/>
    <w:rsid w:val="00C53905"/>
    <w:rsid w:val="00C63DBC"/>
    <w:rsid w:val="00C65C8C"/>
    <w:rsid w:val="00C80792"/>
    <w:rsid w:val="00C81694"/>
    <w:rsid w:val="00C913D4"/>
    <w:rsid w:val="00C94297"/>
    <w:rsid w:val="00C943E4"/>
    <w:rsid w:val="00CA18BE"/>
    <w:rsid w:val="00CB1FA0"/>
    <w:rsid w:val="00CB3321"/>
    <w:rsid w:val="00CB5FD5"/>
    <w:rsid w:val="00CB61A2"/>
    <w:rsid w:val="00CC548C"/>
    <w:rsid w:val="00CC7896"/>
    <w:rsid w:val="00CD1883"/>
    <w:rsid w:val="00CD490D"/>
    <w:rsid w:val="00CD4CF0"/>
    <w:rsid w:val="00CE0DE0"/>
    <w:rsid w:val="00CF0F94"/>
    <w:rsid w:val="00CF21EF"/>
    <w:rsid w:val="00CF27C3"/>
    <w:rsid w:val="00CF4E57"/>
    <w:rsid w:val="00CF7FF1"/>
    <w:rsid w:val="00D04776"/>
    <w:rsid w:val="00D16EAA"/>
    <w:rsid w:val="00D172A0"/>
    <w:rsid w:val="00D176AE"/>
    <w:rsid w:val="00D21615"/>
    <w:rsid w:val="00D224C6"/>
    <w:rsid w:val="00D23E82"/>
    <w:rsid w:val="00D25E65"/>
    <w:rsid w:val="00D2720E"/>
    <w:rsid w:val="00D308C1"/>
    <w:rsid w:val="00D31C94"/>
    <w:rsid w:val="00D32302"/>
    <w:rsid w:val="00D32E62"/>
    <w:rsid w:val="00D35DCB"/>
    <w:rsid w:val="00D42B89"/>
    <w:rsid w:val="00D43078"/>
    <w:rsid w:val="00D46CE6"/>
    <w:rsid w:val="00D50B60"/>
    <w:rsid w:val="00D65080"/>
    <w:rsid w:val="00D66FDE"/>
    <w:rsid w:val="00D67C65"/>
    <w:rsid w:val="00D74B2E"/>
    <w:rsid w:val="00D752A3"/>
    <w:rsid w:val="00D77F1B"/>
    <w:rsid w:val="00D829D0"/>
    <w:rsid w:val="00D84DE3"/>
    <w:rsid w:val="00D87DD7"/>
    <w:rsid w:val="00D903B2"/>
    <w:rsid w:val="00D905F8"/>
    <w:rsid w:val="00D93132"/>
    <w:rsid w:val="00D97A58"/>
    <w:rsid w:val="00DA0E83"/>
    <w:rsid w:val="00DA1D25"/>
    <w:rsid w:val="00DA6FA4"/>
    <w:rsid w:val="00DA7BB0"/>
    <w:rsid w:val="00DB01A2"/>
    <w:rsid w:val="00DB3006"/>
    <w:rsid w:val="00DB55AF"/>
    <w:rsid w:val="00DC0A1A"/>
    <w:rsid w:val="00DC4CD2"/>
    <w:rsid w:val="00DD077C"/>
    <w:rsid w:val="00DD09A6"/>
    <w:rsid w:val="00DD29B9"/>
    <w:rsid w:val="00DD3DB3"/>
    <w:rsid w:val="00DD6C34"/>
    <w:rsid w:val="00DE26BF"/>
    <w:rsid w:val="00DE2C90"/>
    <w:rsid w:val="00DE440E"/>
    <w:rsid w:val="00DE7489"/>
    <w:rsid w:val="00DE7AD7"/>
    <w:rsid w:val="00DF04CA"/>
    <w:rsid w:val="00DF08BB"/>
    <w:rsid w:val="00DF3733"/>
    <w:rsid w:val="00E02934"/>
    <w:rsid w:val="00E052BE"/>
    <w:rsid w:val="00E0623C"/>
    <w:rsid w:val="00E073E7"/>
    <w:rsid w:val="00E11A5A"/>
    <w:rsid w:val="00E146F8"/>
    <w:rsid w:val="00E16146"/>
    <w:rsid w:val="00E16589"/>
    <w:rsid w:val="00E20F8A"/>
    <w:rsid w:val="00E233C7"/>
    <w:rsid w:val="00E23F26"/>
    <w:rsid w:val="00E2766C"/>
    <w:rsid w:val="00E3172E"/>
    <w:rsid w:val="00E31859"/>
    <w:rsid w:val="00E42E17"/>
    <w:rsid w:val="00E43A2D"/>
    <w:rsid w:val="00E45F6D"/>
    <w:rsid w:val="00E46F28"/>
    <w:rsid w:val="00E50AB0"/>
    <w:rsid w:val="00E55CE6"/>
    <w:rsid w:val="00E56154"/>
    <w:rsid w:val="00E61FCB"/>
    <w:rsid w:val="00E67AA2"/>
    <w:rsid w:val="00E7073E"/>
    <w:rsid w:val="00E72A14"/>
    <w:rsid w:val="00E7545D"/>
    <w:rsid w:val="00E755B3"/>
    <w:rsid w:val="00E75798"/>
    <w:rsid w:val="00E76432"/>
    <w:rsid w:val="00E82E4B"/>
    <w:rsid w:val="00E87F86"/>
    <w:rsid w:val="00E93CAB"/>
    <w:rsid w:val="00EA0AF7"/>
    <w:rsid w:val="00EA2FAE"/>
    <w:rsid w:val="00EA3157"/>
    <w:rsid w:val="00EB0D31"/>
    <w:rsid w:val="00EB185F"/>
    <w:rsid w:val="00EC493F"/>
    <w:rsid w:val="00EC642F"/>
    <w:rsid w:val="00EC653A"/>
    <w:rsid w:val="00EE4D9D"/>
    <w:rsid w:val="00EE5353"/>
    <w:rsid w:val="00EE5CB5"/>
    <w:rsid w:val="00EF3279"/>
    <w:rsid w:val="00EF42CA"/>
    <w:rsid w:val="00F020A4"/>
    <w:rsid w:val="00F02AB5"/>
    <w:rsid w:val="00F16208"/>
    <w:rsid w:val="00F21C55"/>
    <w:rsid w:val="00F255E3"/>
    <w:rsid w:val="00F35460"/>
    <w:rsid w:val="00F35E47"/>
    <w:rsid w:val="00F41558"/>
    <w:rsid w:val="00F432FA"/>
    <w:rsid w:val="00F45B9D"/>
    <w:rsid w:val="00F46007"/>
    <w:rsid w:val="00F475A1"/>
    <w:rsid w:val="00F51413"/>
    <w:rsid w:val="00F52F57"/>
    <w:rsid w:val="00F56610"/>
    <w:rsid w:val="00F66BC1"/>
    <w:rsid w:val="00F70626"/>
    <w:rsid w:val="00F7241C"/>
    <w:rsid w:val="00F743DA"/>
    <w:rsid w:val="00F759AC"/>
    <w:rsid w:val="00F848E1"/>
    <w:rsid w:val="00F90311"/>
    <w:rsid w:val="00FA2BE7"/>
    <w:rsid w:val="00FA2F05"/>
    <w:rsid w:val="00FA6AFA"/>
    <w:rsid w:val="00FB0B7D"/>
    <w:rsid w:val="00FC21B2"/>
    <w:rsid w:val="00FC2F28"/>
    <w:rsid w:val="00FC4DDD"/>
    <w:rsid w:val="00FC52CB"/>
    <w:rsid w:val="00FD241B"/>
    <w:rsid w:val="00FD258D"/>
    <w:rsid w:val="00FE03DF"/>
    <w:rsid w:val="00FE0CA0"/>
    <w:rsid w:val="00FE20E5"/>
    <w:rsid w:val="00FE25EB"/>
    <w:rsid w:val="00FE738F"/>
    <w:rsid w:val="00FF0DBD"/>
    <w:rsid w:val="00FF413C"/>
    <w:rsid w:val="00FF42C8"/>
    <w:rsid w:val="1A097468"/>
    <w:rsid w:val="26583B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818A18"/>
  <w15:chartTrackingRefBased/>
  <w15:docId w15:val="{DB131936-D4FF-4258-8F1C-E06AB82B4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5FA"/>
    <w:pPr>
      <w:spacing w:after="0" w:line="480" w:lineRule="auto"/>
      <w:ind w:firstLine="567"/>
    </w:pPr>
    <w:rPr>
      <w:rFonts w:ascii="Times New Roman" w:hAnsi="Times New Roman" w:cs="Times New Roman"/>
      <w:sz w:val="24"/>
      <w:szCs w:val="20"/>
    </w:rPr>
  </w:style>
  <w:style w:type="paragraph" w:styleId="Heading1">
    <w:name w:val="heading 1"/>
    <w:basedOn w:val="Normal"/>
    <w:next w:val="Normal"/>
    <w:link w:val="Heading1Char"/>
    <w:autoRedefine/>
    <w:uiPriority w:val="9"/>
    <w:qFormat/>
    <w:rsid w:val="00092D79"/>
    <w:pPr>
      <w:keepNext/>
      <w:keepLines/>
      <w:spacing w:before="240"/>
      <w:ind w:firstLine="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3622E4"/>
    <w:pPr>
      <w:keepNext/>
      <w:keepLines/>
      <w:spacing w:before="40"/>
      <w:ind w:firstLine="0"/>
      <w:outlineLvl w:val="1"/>
    </w:pPr>
    <w:rPr>
      <w:sz w:val="26"/>
      <w:szCs w:val="26"/>
      <w:u w:val="single"/>
    </w:rPr>
  </w:style>
  <w:style w:type="paragraph" w:styleId="Heading3">
    <w:name w:val="heading 3"/>
    <w:basedOn w:val="Normal"/>
    <w:next w:val="Normal"/>
    <w:link w:val="Heading3Char"/>
    <w:uiPriority w:val="9"/>
    <w:semiHidden/>
    <w:unhideWhenUsed/>
    <w:qFormat/>
    <w:rsid w:val="004B6026"/>
    <w:pPr>
      <w:keepNext/>
      <w:keepLines/>
      <w:spacing w:before="40"/>
      <w:outlineLvl w:val="2"/>
    </w:pPr>
    <w:rPr>
      <w:rFonts w:eastAsiaTheme="majorEastAsia" w:cstheme="majorBidi"/>
      <w:i/>
      <w:szCs w:val="24"/>
    </w:rPr>
  </w:style>
  <w:style w:type="paragraph" w:styleId="Heading4">
    <w:name w:val="heading 4"/>
    <w:basedOn w:val="Normal"/>
    <w:next w:val="Normal"/>
    <w:link w:val="Heading4Char"/>
    <w:uiPriority w:val="9"/>
    <w:unhideWhenUsed/>
    <w:qFormat/>
    <w:rsid w:val="004B6026"/>
    <w:pPr>
      <w:keepNext/>
      <w:keepLines/>
      <w:spacing w:before="4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5F3A"/>
    <w:pPr>
      <w:ind w:left="720"/>
      <w:contextualSpacing/>
    </w:pPr>
  </w:style>
  <w:style w:type="paragraph" w:styleId="Caption">
    <w:name w:val="caption"/>
    <w:basedOn w:val="Normal"/>
    <w:next w:val="Normal"/>
    <w:uiPriority w:val="35"/>
    <w:unhideWhenUsed/>
    <w:qFormat/>
    <w:rsid w:val="005F5C5B"/>
    <w:pPr>
      <w:spacing w:after="200"/>
    </w:pPr>
    <w:rPr>
      <w:iCs/>
      <w:szCs w:val="18"/>
    </w:rPr>
  </w:style>
  <w:style w:type="character" w:customStyle="1" w:styleId="Heading1Char">
    <w:name w:val="Heading 1 Char"/>
    <w:basedOn w:val="DefaultParagraphFont"/>
    <w:link w:val="Heading1"/>
    <w:uiPriority w:val="9"/>
    <w:rsid w:val="00092D79"/>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3622E4"/>
    <w:rPr>
      <w:rFonts w:ascii="Times New Roman" w:hAnsi="Times New Roman" w:cs="Times New Roman"/>
      <w:sz w:val="26"/>
      <w:szCs w:val="26"/>
      <w:u w:val="single"/>
    </w:rPr>
  </w:style>
  <w:style w:type="paragraph" w:customStyle="1" w:styleId="Tabletext">
    <w:name w:val="Table text"/>
    <w:basedOn w:val="Normal"/>
    <w:qFormat/>
    <w:rsid w:val="00E0623C"/>
    <w:pPr>
      <w:spacing w:line="240" w:lineRule="auto"/>
      <w:ind w:firstLine="0"/>
    </w:pPr>
    <w:rPr>
      <w:rFonts w:eastAsia="Calibri"/>
      <w:sz w:val="18"/>
    </w:rPr>
  </w:style>
  <w:style w:type="paragraph" w:styleId="Subtitle">
    <w:name w:val="Subtitle"/>
    <w:basedOn w:val="Normal"/>
    <w:next w:val="Normal"/>
    <w:link w:val="SubtitleChar"/>
    <w:qFormat/>
    <w:rsid w:val="008052F5"/>
    <w:pPr>
      <w:numPr>
        <w:ilvl w:val="1"/>
      </w:numPr>
      <w:ind w:firstLine="720"/>
    </w:pPr>
    <w:rPr>
      <w:rFonts w:eastAsiaTheme="minorEastAsia"/>
      <w:color w:val="0000FF"/>
    </w:rPr>
  </w:style>
  <w:style w:type="character" w:customStyle="1" w:styleId="SubtitleChar">
    <w:name w:val="Subtitle Char"/>
    <w:basedOn w:val="DefaultParagraphFont"/>
    <w:link w:val="Subtitle"/>
    <w:rsid w:val="008052F5"/>
    <w:rPr>
      <w:rFonts w:ascii="Times New Roman" w:eastAsiaTheme="minorEastAsia" w:hAnsi="Times New Roman"/>
      <w:color w:val="0000FF"/>
      <w:sz w:val="24"/>
      <w:lang w:val="en-US"/>
    </w:rPr>
  </w:style>
  <w:style w:type="paragraph" w:customStyle="1" w:styleId="Paragraph">
    <w:name w:val="Paragraph"/>
    <w:basedOn w:val="Normal"/>
    <w:qFormat/>
    <w:rsid w:val="008052F5"/>
  </w:style>
  <w:style w:type="paragraph" w:customStyle="1" w:styleId="EndNoteBibliography">
    <w:name w:val="EndNote Bibliography"/>
    <w:basedOn w:val="Normal"/>
    <w:link w:val="EndNoteBibliographyChar"/>
    <w:qFormat/>
    <w:rsid w:val="00FA6AFA"/>
    <w:pPr>
      <w:ind w:firstLine="0"/>
    </w:pPr>
    <w:rPr>
      <w:noProof/>
      <w:szCs w:val="32"/>
      <w:lang w:val="en-US"/>
    </w:rPr>
  </w:style>
  <w:style w:type="character" w:customStyle="1" w:styleId="EndNoteBibliographyChar">
    <w:name w:val="EndNote Bibliography Char"/>
    <w:basedOn w:val="DefaultParagraphFont"/>
    <w:link w:val="EndNoteBibliography"/>
    <w:rsid w:val="00FA6AFA"/>
    <w:rPr>
      <w:rFonts w:ascii="Times New Roman" w:hAnsi="Times New Roman" w:cs="Times New Roman"/>
      <w:noProof/>
      <w:sz w:val="24"/>
      <w:szCs w:val="32"/>
      <w:lang w:val="en-US"/>
    </w:rPr>
  </w:style>
  <w:style w:type="character" w:customStyle="1" w:styleId="Heading3Char">
    <w:name w:val="Heading 3 Char"/>
    <w:basedOn w:val="DefaultParagraphFont"/>
    <w:link w:val="Heading3"/>
    <w:uiPriority w:val="9"/>
    <w:semiHidden/>
    <w:rsid w:val="004B6026"/>
    <w:rPr>
      <w:rFonts w:ascii="Times New Roman" w:eastAsiaTheme="majorEastAsia" w:hAnsi="Times New Roman" w:cstheme="majorBidi"/>
      <w:i/>
      <w:sz w:val="24"/>
      <w:szCs w:val="24"/>
    </w:rPr>
  </w:style>
  <w:style w:type="character" w:customStyle="1" w:styleId="Heading4Char">
    <w:name w:val="Heading 4 Char"/>
    <w:basedOn w:val="DefaultParagraphFont"/>
    <w:link w:val="Heading4"/>
    <w:uiPriority w:val="9"/>
    <w:rsid w:val="004B6026"/>
    <w:rPr>
      <w:rFonts w:ascii="Times" w:eastAsiaTheme="majorEastAsia" w:hAnsi="Times" w:cstheme="majorBidi"/>
      <w:b/>
      <w:iCs/>
      <w:sz w:val="24"/>
      <w:szCs w:val="20"/>
    </w:rPr>
  </w:style>
  <w:style w:type="paragraph" w:customStyle="1" w:styleId="BMJHeading4">
    <w:name w:val="BMJ Heading 4"/>
    <w:basedOn w:val="Heading4"/>
    <w:qFormat/>
    <w:rsid w:val="001912F0"/>
    <w:rPr>
      <w:b w:val="0"/>
      <w:i/>
    </w:rPr>
  </w:style>
  <w:style w:type="table" w:customStyle="1" w:styleId="TableGrid2">
    <w:name w:val="Table Grid2"/>
    <w:basedOn w:val="TableNormal"/>
    <w:next w:val="TableGrid"/>
    <w:uiPriority w:val="39"/>
    <w:rsid w:val="00F724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724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B5A65"/>
    <w:rPr>
      <w:sz w:val="16"/>
      <w:szCs w:val="16"/>
    </w:rPr>
  </w:style>
  <w:style w:type="paragraph" w:styleId="CommentText">
    <w:name w:val="annotation text"/>
    <w:basedOn w:val="Normal"/>
    <w:link w:val="CommentTextChar"/>
    <w:uiPriority w:val="99"/>
    <w:semiHidden/>
    <w:unhideWhenUsed/>
    <w:rsid w:val="007B5A65"/>
    <w:rPr>
      <w:sz w:val="20"/>
    </w:rPr>
  </w:style>
  <w:style w:type="character" w:customStyle="1" w:styleId="CommentTextChar">
    <w:name w:val="Comment Text Char"/>
    <w:basedOn w:val="DefaultParagraphFont"/>
    <w:link w:val="CommentText"/>
    <w:uiPriority w:val="99"/>
    <w:semiHidden/>
    <w:rsid w:val="007B5A6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B5A65"/>
    <w:rPr>
      <w:b/>
      <w:bCs/>
    </w:rPr>
  </w:style>
  <w:style w:type="character" w:customStyle="1" w:styleId="CommentSubjectChar">
    <w:name w:val="Comment Subject Char"/>
    <w:basedOn w:val="CommentTextChar"/>
    <w:link w:val="CommentSubject"/>
    <w:uiPriority w:val="99"/>
    <w:semiHidden/>
    <w:rsid w:val="007B5A65"/>
    <w:rPr>
      <w:rFonts w:ascii="Times New Roman" w:hAnsi="Times New Roman" w:cs="Times New Roman"/>
      <w:b/>
      <w:bCs/>
      <w:sz w:val="20"/>
      <w:szCs w:val="20"/>
    </w:rPr>
  </w:style>
  <w:style w:type="paragraph" w:styleId="NormalWeb">
    <w:name w:val="Normal (Web)"/>
    <w:basedOn w:val="Normal"/>
    <w:uiPriority w:val="99"/>
    <w:unhideWhenUsed/>
    <w:rsid w:val="007B5A65"/>
    <w:pPr>
      <w:spacing w:before="100" w:beforeAutospacing="1" w:after="100" w:afterAutospacing="1"/>
    </w:pPr>
    <w:rPr>
      <w:szCs w:val="24"/>
      <w:lang w:eastAsia="en-GB"/>
    </w:rPr>
  </w:style>
  <w:style w:type="character" w:styleId="Emphasis">
    <w:name w:val="Emphasis"/>
    <w:basedOn w:val="DefaultParagraphFont"/>
    <w:uiPriority w:val="20"/>
    <w:qFormat/>
    <w:rsid w:val="007B5A65"/>
    <w:rPr>
      <w:i/>
      <w:iCs/>
    </w:rPr>
  </w:style>
  <w:style w:type="paragraph" w:styleId="Header">
    <w:name w:val="header"/>
    <w:basedOn w:val="Normal"/>
    <w:link w:val="HeaderChar"/>
    <w:uiPriority w:val="99"/>
    <w:unhideWhenUsed/>
    <w:rsid w:val="003D6382"/>
    <w:pPr>
      <w:tabs>
        <w:tab w:val="center" w:pos="4513"/>
        <w:tab w:val="right" w:pos="9026"/>
      </w:tabs>
    </w:pPr>
  </w:style>
  <w:style w:type="character" w:customStyle="1" w:styleId="HeaderChar">
    <w:name w:val="Header Char"/>
    <w:basedOn w:val="DefaultParagraphFont"/>
    <w:link w:val="Header"/>
    <w:uiPriority w:val="99"/>
    <w:rsid w:val="003D6382"/>
    <w:rPr>
      <w:rFonts w:ascii="Times New Roman" w:hAnsi="Times New Roman" w:cs="Times New Roman"/>
      <w:sz w:val="24"/>
      <w:szCs w:val="20"/>
    </w:rPr>
  </w:style>
  <w:style w:type="paragraph" w:styleId="Footer">
    <w:name w:val="footer"/>
    <w:basedOn w:val="Normal"/>
    <w:link w:val="FooterChar"/>
    <w:uiPriority w:val="99"/>
    <w:unhideWhenUsed/>
    <w:rsid w:val="003D6382"/>
    <w:pPr>
      <w:tabs>
        <w:tab w:val="center" w:pos="4513"/>
        <w:tab w:val="right" w:pos="9026"/>
      </w:tabs>
    </w:pPr>
  </w:style>
  <w:style w:type="character" w:customStyle="1" w:styleId="FooterChar">
    <w:name w:val="Footer Char"/>
    <w:basedOn w:val="DefaultParagraphFont"/>
    <w:link w:val="Footer"/>
    <w:uiPriority w:val="99"/>
    <w:rsid w:val="003D6382"/>
    <w:rPr>
      <w:rFonts w:ascii="Times New Roman" w:hAnsi="Times New Roman" w:cs="Times New Roman"/>
      <w:sz w:val="24"/>
      <w:szCs w:val="20"/>
    </w:rPr>
  </w:style>
  <w:style w:type="character" w:styleId="Hyperlink">
    <w:name w:val="Hyperlink"/>
    <w:basedOn w:val="DefaultParagraphFont"/>
    <w:uiPriority w:val="99"/>
    <w:unhideWhenUsed/>
    <w:rsid w:val="00F45B9D"/>
    <w:rPr>
      <w:color w:val="0563C1" w:themeColor="hyperlink"/>
      <w:u w:val="single"/>
    </w:rPr>
  </w:style>
  <w:style w:type="character" w:styleId="UnresolvedMention">
    <w:name w:val="Unresolved Mention"/>
    <w:basedOn w:val="DefaultParagraphFont"/>
    <w:uiPriority w:val="99"/>
    <w:semiHidden/>
    <w:unhideWhenUsed/>
    <w:rsid w:val="002F0E0A"/>
    <w:rPr>
      <w:color w:val="605E5C"/>
      <w:shd w:val="clear" w:color="auto" w:fill="E1DFDD"/>
    </w:rPr>
  </w:style>
  <w:style w:type="paragraph" w:customStyle="1" w:styleId="EndNoteBibliographyTitle">
    <w:name w:val="EndNote Bibliography Title"/>
    <w:basedOn w:val="Normal"/>
    <w:link w:val="EndNoteBibliographyTitleChar"/>
    <w:rsid w:val="00C16F41"/>
    <w:pPr>
      <w:jc w:val="center"/>
    </w:pPr>
    <w:rPr>
      <w:noProof/>
      <w:sz w:val="28"/>
      <w:lang w:val="en-US"/>
    </w:rPr>
  </w:style>
  <w:style w:type="character" w:customStyle="1" w:styleId="EndNoteBibliographyTitleChar">
    <w:name w:val="EndNote Bibliography Title Char"/>
    <w:basedOn w:val="DefaultParagraphFont"/>
    <w:link w:val="EndNoteBibliographyTitle"/>
    <w:rsid w:val="00C16F41"/>
    <w:rPr>
      <w:rFonts w:ascii="Times New Roman" w:hAnsi="Times New Roman" w:cs="Times New Roman"/>
      <w:noProof/>
      <w:sz w:val="28"/>
      <w:szCs w:val="20"/>
      <w:lang w:val="en-US"/>
    </w:rPr>
  </w:style>
  <w:style w:type="paragraph" w:styleId="Revision">
    <w:name w:val="Revision"/>
    <w:hidden/>
    <w:uiPriority w:val="99"/>
    <w:semiHidden/>
    <w:rsid w:val="00491666"/>
    <w:pPr>
      <w:spacing w:after="0" w:line="240" w:lineRule="auto"/>
    </w:pPr>
    <w:rPr>
      <w:rFonts w:ascii="Times New Roman" w:hAnsi="Times New Roman" w:cs="Times New Roman"/>
      <w:sz w:val="24"/>
      <w:szCs w:val="20"/>
    </w:rPr>
  </w:style>
  <w:style w:type="character" w:styleId="FollowedHyperlink">
    <w:name w:val="FollowedHyperlink"/>
    <w:basedOn w:val="DefaultParagraphFont"/>
    <w:uiPriority w:val="99"/>
    <w:semiHidden/>
    <w:unhideWhenUsed/>
    <w:rsid w:val="00616279"/>
    <w:rPr>
      <w:color w:val="954F72" w:themeColor="followedHyperlink"/>
      <w:u w:val="single"/>
    </w:rPr>
  </w:style>
  <w:style w:type="paragraph" w:styleId="BalloonText">
    <w:name w:val="Balloon Text"/>
    <w:basedOn w:val="Normal"/>
    <w:link w:val="BalloonTextChar"/>
    <w:uiPriority w:val="99"/>
    <w:semiHidden/>
    <w:unhideWhenUsed/>
    <w:rsid w:val="00F255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55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687418">
      <w:bodyDiv w:val="1"/>
      <w:marLeft w:val="0"/>
      <w:marRight w:val="0"/>
      <w:marTop w:val="0"/>
      <w:marBottom w:val="0"/>
      <w:divBdr>
        <w:top w:val="none" w:sz="0" w:space="0" w:color="auto"/>
        <w:left w:val="none" w:sz="0" w:space="0" w:color="auto"/>
        <w:bottom w:val="none" w:sz="0" w:space="0" w:color="auto"/>
        <w:right w:val="none" w:sz="0" w:space="0" w:color="auto"/>
      </w:divBdr>
    </w:div>
    <w:div w:id="603997100">
      <w:bodyDiv w:val="1"/>
      <w:marLeft w:val="0"/>
      <w:marRight w:val="0"/>
      <w:marTop w:val="0"/>
      <w:marBottom w:val="0"/>
      <w:divBdr>
        <w:top w:val="none" w:sz="0" w:space="0" w:color="auto"/>
        <w:left w:val="none" w:sz="0" w:space="0" w:color="auto"/>
        <w:bottom w:val="none" w:sz="0" w:space="0" w:color="auto"/>
        <w:right w:val="none" w:sz="0" w:space="0" w:color="auto"/>
      </w:divBdr>
    </w:div>
    <w:div w:id="120278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www.gov.uk/government/publications/regulatory-approval-of-covid-19-vaccine-moderna"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gov.uk/government/publications/coronavirus-covid-19-maintaining-educational-provision/guidance-for-schools-colleges-and-local-authorities-on-maintaining-educational-provision" TargetMode="External"/><Relationship Id="rId7" Type="http://schemas.openxmlformats.org/officeDocument/2006/relationships/hyperlink" Target="mailto:louise.e.smith@kcl.ac.uk" TargetMode="External"/><Relationship Id="rId12" Type="http://schemas.openxmlformats.org/officeDocument/2006/relationships/footer" Target="footer2.xml"/><Relationship Id="rId17" Type="http://schemas.openxmlformats.org/officeDocument/2006/relationships/hyperlink" Target="https://www.gov.uk/government/publications/regulatory-approval-of-covid-19-vaccine-astrazeneca"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ov.uk/government/publications/regulatory-approval-of-pfizer-biontech-vaccine-for-covid-19" TargetMode="External"/><Relationship Id="rId20" Type="http://schemas.openxmlformats.org/officeDocument/2006/relationships/hyperlink" Target="https://www.nhs.uk/conditions/coronavirus-covid-19/people-at-higher-risk/whos-at-higher-risk-from-coronaviru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s://www.ecdc.europa.eu/sites/default/files/documents/Catalogue-interventions-vaccine-hesitancy.pdf" TargetMode="External"/><Relationship Id="rId5" Type="http://schemas.openxmlformats.org/officeDocument/2006/relationships/footnotes" Target="footnotes.xml"/><Relationship Id="rId15" Type="http://schemas.openxmlformats.org/officeDocument/2006/relationships/hyperlink" Target="http://www.icmje.org/coi_disclosure.pdf" TargetMode="External"/><Relationship Id="rId23" Type="http://schemas.openxmlformats.org/officeDocument/2006/relationships/hyperlink" Target="https://www.kcl.ac.uk/policy-institute/assets/covid-19-vaccines-confidence-concerns-behaviours.pdf" TargetMode="External"/><Relationship Id="rId10" Type="http://schemas.openxmlformats.org/officeDocument/2006/relationships/header" Target="header2.xml"/><Relationship Id="rId19" Type="http://schemas.openxmlformats.org/officeDocument/2006/relationships/hyperlink" Target="https://osf.io/ewch3/?view_only=8d25cf3247e240e28e61c9b8f5d04f01"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ema.europa.eu/en/news/astrazenecas-covid-19-vaccine-ema-finds-possible-link-very-rare-cases-unusual-blood-clots-low-blo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4287</Words>
  <Characters>24436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Louise</dc:creator>
  <cp:keywords/>
  <dc:description/>
  <cp:lastModifiedBy>Sue</cp:lastModifiedBy>
  <cp:revision>2</cp:revision>
  <dcterms:created xsi:type="dcterms:W3CDTF">2021-11-15T12:15:00Z</dcterms:created>
  <dcterms:modified xsi:type="dcterms:W3CDTF">2021-11-15T12:15:00Z</dcterms:modified>
</cp:coreProperties>
</file>