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A0B6" w14:textId="0161AB3A" w:rsidR="00B26C7C" w:rsidRDefault="00F3459A" w:rsidP="000F308D">
      <w:pPr>
        <w:pStyle w:val="Title"/>
        <w:jc w:val="center"/>
        <w:rPr>
          <w:sz w:val="40"/>
          <w:szCs w:val="48"/>
        </w:rPr>
      </w:pPr>
      <w:r>
        <w:rPr>
          <w:sz w:val="40"/>
          <w:szCs w:val="48"/>
        </w:rPr>
        <w:t xml:space="preserve">A method </w:t>
      </w:r>
      <w:r w:rsidR="00C54851">
        <w:rPr>
          <w:sz w:val="40"/>
          <w:szCs w:val="48"/>
        </w:rPr>
        <w:t>for</w:t>
      </w:r>
      <w:r>
        <w:rPr>
          <w:sz w:val="40"/>
          <w:szCs w:val="48"/>
        </w:rPr>
        <w:t xml:space="preserve"> the madness: </w:t>
      </w:r>
      <w:r w:rsidR="005714CA" w:rsidRPr="00576552">
        <w:rPr>
          <w:sz w:val="40"/>
          <w:szCs w:val="48"/>
        </w:rPr>
        <w:t xml:space="preserve">An international survey of </w:t>
      </w:r>
      <w:r w:rsidR="00C9058D">
        <w:rPr>
          <w:sz w:val="40"/>
          <w:szCs w:val="48"/>
        </w:rPr>
        <w:t xml:space="preserve">Health Professions Education </w:t>
      </w:r>
      <w:r w:rsidR="00FE7345" w:rsidRPr="00576552">
        <w:rPr>
          <w:sz w:val="40"/>
          <w:szCs w:val="48"/>
        </w:rPr>
        <w:t xml:space="preserve">authors’ </w:t>
      </w:r>
      <w:r w:rsidR="00215DDA" w:rsidRPr="00576552">
        <w:rPr>
          <w:sz w:val="40"/>
          <w:szCs w:val="48"/>
        </w:rPr>
        <w:t>journal choice</w:t>
      </w:r>
    </w:p>
    <w:p w14:paraId="66FB7EFC" w14:textId="0B2B4BD4" w:rsidR="002B3510" w:rsidRDefault="002B3510" w:rsidP="002B3510"/>
    <w:p w14:paraId="1708B279" w14:textId="78A4B7B0" w:rsidR="002B3510" w:rsidRDefault="002B3510" w:rsidP="00491070">
      <w:pPr>
        <w:jc w:val="center"/>
      </w:pPr>
      <w:r>
        <w:t>Eliot L Rees</w:t>
      </w:r>
      <w:r w:rsidR="00E4116C" w:rsidRPr="00B84C9D">
        <w:rPr>
          <w:vertAlign w:val="superscript"/>
        </w:rPr>
        <w:t>1,2</w:t>
      </w:r>
      <w:r>
        <w:t>, Oliver Burton</w:t>
      </w:r>
      <w:r w:rsidR="00E4116C" w:rsidRPr="00B84C9D">
        <w:rPr>
          <w:vertAlign w:val="superscript"/>
        </w:rPr>
        <w:t>3</w:t>
      </w:r>
      <w:r>
        <w:t>, Aqua Asif</w:t>
      </w:r>
      <w:r w:rsidR="00E4116C" w:rsidRPr="00B84C9D">
        <w:rPr>
          <w:vertAlign w:val="superscript"/>
        </w:rPr>
        <w:t>4</w:t>
      </w:r>
      <w:r>
        <w:t>, Kevin W Eva</w:t>
      </w:r>
      <w:r w:rsidR="00E4116C" w:rsidRPr="00B84C9D">
        <w:rPr>
          <w:vertAlign w:val="superscript"/>
        </w:rPr>
        <w:t>5</w:t>
      </w:r>
      <w:r>
        <w:t>.</w:t>
      </w:r>
    </w:p>
    <w:p w14:paraId="6227E268" w14:textId="1DD724CD" w:rsidR="00E4116C" w:rsidRDefault="00E4116C" w:rsidP="00E4116C">
      <w:pPr>
        <w:pStyle w:val="ListParagraph"/>
        <w:numPr>
          <w:ilvl w:val="0"/>
          <w:numId w:val="7"/>
        </w:numPr>
      </w:pPr>
      <w:r>
        <w:t>School of Medicine, Keele University</w:t>
      </w:r>
    </w:p>
    <w:p w14:paraId="61AB9B85" w14:textId="31E059D9" w:rsidR="00E4116C" w:rsidRDefault="00511B50" w:rsidP="00E4116C">
      <w:pPr>
        <w:pStyle w:val="ListParagraph"/>
        <w:numPr>
          <w:ilvl w:val="0"/>
          <w:numId w:val="7"/>
        </w:numPr>
      </w:pPr>
      <w:r>
        <w:t xml:space="preserve">Research </w:t>
      </w:r>
      <w:r w:rsidR="00E4116C">
        <w:t>Department for Primary Care and Population Health, University College London</w:t>
      </w:r>
    </w:p>
    <w:p w14:paraId="70DB9F16" w14:textId="07AEAB62" w:rsidR="00674A7B" w:rsidRDefault="00674A7B" w:rsidP="00E4116C">
      <w:pPr>
        <w:pStyle w:val="ListParagraph"/>
        <w:numPr>
          <w:ilvl w:val="0"/>
          <w:numId w:val="7"/>
        </w:numPr>
      </w:pPr>
      <w:r w:rsidRPr="00CF2E74">
        <w:t>School of Medical Education, Faculty of Medical Sciences, Newcastle Universit</w:t>
      </w:r>
      <w:r>
        <w:t>y</w:t>
      </w:r>
    </w:p>
    <w:p w14:paraId="7AFB0D2F" w14:textId="5664D34A" w:rsidR="00E4116C" w:rsidRDefault="00E4116C" w:rsidP="00E4116C">
      <w:pPr>
        <w:pStyle w:val="ListParagraph"/>
        <w:numPr>
          <w:ilvl w:val="0"/>
          <w:numId w:val="7"/>
        </w:numPr>
      </w:pPr>
      <w:r>
        <w:t>School of Medicine, University of Leicester</w:t>
      </w:r>
    </w:p>
    <w:p w14:paraId="76A78B11" w14:textId="178E325E" w:rsidR="00E4116C" w:rsidRDefault="00E4116C" w:rsidP="00E4116C">
      <w:pPr>
        <w:pStyle w:val="ListParagraph"/>
        <w:numPr>
          <w:ilvl w:val="0"/>
          <w:numId w:val="7"/>
        </w:numPr>
      </w:pPr>
      <w:r>
        <w:t>Centre for Health Education Scholarship</w:t>
      </w:r>
      <w:r w:rsidR="00B84C9D">
        <w:t xml:space="preserve"> and Department of Medicine</w:t>
      </w:r>
      <w:r>
        <w:t>, University of British Columbia</w:t>
      </w:r>
    </w:p>
    <w:p w14:paraId="452EF62C" w14:textId="35C560FA" w:rsidR="007F3568" w:rsidRPr="00E53DB4" w:rsidRDefault="007F3568" w:rsidP="007F3568">
      <w:pPr>
        <w:rPr>
          <w:b/>
          <w:bCs/>
          <w:u w:val="single"/>
        </w:rPr>
      </w:pPr>
      <w:r w:rsidRPr="00E53DB4">
        <w:rPr>
          <w:b/>
          <w:bCs/>
          <w:u w:val="single"/>
        </w:rPr>
        <w:t>ORCID:</w:t>
      </w:r>
    </w:p>
    <w:p w14:paraId="702637A0" w14:textId="6414C432" w:rsidR="007F3568" w:rsidRDefault="007F3568" w:rsidP="007F3568">
      <w:r>
        <w:t>Eliot L Rees</w:t>
      </w:r>
      <w:r w:rsidR="00A4311B">
        <w:t xml:space="preserve">, </w:t>
      </w:r>
      <w:hyperlink r:id="rId8" w:history="1">
        <w:r w:rsidR="00A4311B" w:rsidRPr="000B74B8">
          <w:rPr>
            <w:rStyle w:val="Hyperlink"/>
          </w:rPr>
          <w:t>https://orcid.org/0000-0002-6458-5808</w:t>
        </w:r>
      </w:hyperlink>
    </w:p>
    <w:p w14:paraId="5CACEDC0" w14:textId="621151E2" w:rsidR="007F3568" w:rsidRDefault="007F3568" w:rsidP="007F3568">
      <w:r>
        <w:t>Oliver Burton</w:t>
      </w:r>
      <w:r w:rsidR="00437FC8">
        <w:t xml:space="preserve">, </w:t>
      </w:r>
      <w:hyperlink r:id="rId9" w:history="1">
        <w:r w:rsidR="00437FC8" w:rsidRPr="000B74B8">
          <w:rPr>
            <w:rStyle w:val="Hyperlink"/>
          </w:rPr>
          <w:t>https://orcid.org/0000-0003-3569-069X</w:t>
        </w:r>
      </w:hyperlink>
    </w:p>
    <w:p w14:paraId="42A22E84" w14:textId="2F632C7E" w:rsidR="007F3568" w:rsidRPr="00761FB9" w:rsidRDefault="007F3568" w:rsidP="007F3568">
      <w:pPr>
        <w:rPr>
          <w:lang w:val="fr-CA"/>
        </w:rPr>
      </w:pPr>
      <w:r w:rsidRPr="00761FB9">
        <w:rPr>
          <w:lang w:val="fr-CA"/>
        </w:rPr>
        <w:t>Aqua Asif</w:t>
      </w:r>
      <w:r w:rsidR="00437FC8" w:rsidRPr="00761FB9">
        <w:rPr>
          <w:lang w:val="fr-CA"/>
        </w:rPr>
        <w:t xml:space="preserve">, </w:t>
      </w:r>
      <w:hyperlink r:id="rId10" w:history="1">
        <w:r w:rsidR="00BD33FD" w:rsidRPr="00761FB9">
          <w:rPr>
            <w:rStyle w:val="Hyperlink"/>
            <w:lang w:val="fr-CA"/>
          </w:rPr>
          <w:t>https://orcid.org/0000-0003-3233-7428</w:t>
        </w:r>
      </w:hyperlink>
    </w:p>
    <w:p w14:paraId="1371BD1E" w14:textId="111E8CB0" w:rsidR="007F3568" w:rsidRDefault="007F3568" w:rsidP="007F3568">
      <w:r>
        <w:t>Kevin W Eva</w:t>
      </w:r>
      <w:r w:rsidR="00E53DB4">
        <w:t xml:space="preserve">, </w:t>
      </w:r>
      <w:hyperlink r:id="rId11" w:history="1">
        <w:r w:rsidR="00E53DB4" w:rsidRPr="000B74B8">
          <w:rPr>
            <w:rStyle w:val="Hyperlink"/>
          </w:rPr>
          <w:t>https://orcid.org/0000-0002-8672-2500</w:t>
        </w:r>
      </w:hyperlink>
    </w:p>
    <w:p w14:paraId="116FE350" w14:textId="11C567DA" w:rsidR="00B60AE6" w:rsidRPr="00B84C9D" w:rsidRDefault="00EC5D0F" w:rsidP="00B84C9D">
      <w:pPr>
        <w:spacing w:line="240" w:lineRule="auto"/>
        <w:rPr>
          <w:b/>
          <w:bCs/>
          <w:u w:val="single"/>
        </w:rPr>
      </w:pPr>
      <w:r w:rsidRPr="00B84C9D">
        <w:rPr>
          <w:b/>
          <w:bCs/>
          <w:u w:val="single"/>
        </w:rPr>
        <w:t>Corresponding author:</w:t>
      </w:r>
    </w:p>
    <w:p w14:paraId="5D2DD1B0" w14:textId="1254A130" w:rsidR="00EC5D0F" w:rsidRDefault="00EC5D0F" w:rsidP="00B84C9D">
      <w:pPr>
        <w:spacing w:line="240" w:lineRule="auto"/>
      </w:pPr>
      <w:r>
        <w:t>Eliot L Rees</w:t>
      </w:r>
    </w:p>
    <w:p w14:paraId="53B857CC" w14:textId="26D69954" w:rsidR="00EC5D0F" w:rsidRDefault="00EC5D0F" w:rsidP="00B84C9D">
      <w:pPr>
        <w:spacing w:line="240" w:lineRule="auto"/>
      </w:pPr>
      <w:r>
        <w:t>KH77,</w:t>
      </w:r>
    </w:p>
    <w:p w14:paraId="11C50223" w14:textId="47D7ECEB" w:rsidR="00EC5D0F" w:rsidRDefault="00EC5D0F" w:rsidP="00B84C9D">
      <w:pPr>
        <w:spacing w:line="240" w:lineRule="auto"/>
      </w:pPr>
      <w:r>
        <w:t>Keele Hall,</w:t>
      </w:r>
    </w:p>
    <w:p w14:paraId="41A8C904" w14:textId="258624F5" w:rsidR="00EC5D0F" w:rsidRDefault="00EC5D0F" w:rsidP="00B84C9D">
      <w:pPr>
        <w:spacing w:line="240" w:lineRule="auto"/>
      </w:pPr>
      <w:r>
        <w:t>Keele University,</w:t>
      </w:r>
    </w:p>
    <w:p w14:paraId="58BFD259" w14:textId="7F3C459F" w:rsidR="00EC5D0F" w:rsidRDefault="00EC5D0F" w:rsidP="00B84C9D">
      <w:pPr>
        <w:spacing w:line="240" w:lineRule="auto"/>
      </w:pPr>
      <w:r>
        <w:t>ST5 5BG,</w:t>
      </w:r>
    </w:p>
    <w:p w14:paraId="4647E0C5" w14:textId="0E0168C6" w:rsidR="00EC5D0F" w:rsidRDefault="00EC5D0F" w:rsidP="00B84C9D">
      <w:pPr>
        <w:spacing w:line="240" w:lineRule="auto"/>
      </w:pPr>
      <w:r>
        <w:t>UK</w:t>
      </w:r>
    </w:p>
    <w:p w14:paraId="671D38C9" w14:textId="5AE193BA" w:rsidR="00EC5D0F" w:rsidRDefault="006D0324" w:rsidP="00B84C9D">
      <w:pPr>
        <w:spacing w:line="240" w:lineRule="auto"/>
      </w:pPr>
      <w:hyperlink r:id="rId12" w:history="1">
        <w:r w:rsidR="00EC5D0F" w:rsidRPr="000B74B8">
          <w:rPr>
            <w:rStyle w:val="Hyperlink"/>
          </w:rPr>
          <w:t>e.rees@keele.ac.uk</w:t>
        </w:r>
      </w:hyperlink>
    </w:p>
    <w:p w14:paraId="73176D0A" w14:textId="77777777" w:rsidR="00EC5D0F" w:rsidRDefault="00EC5D0F" w:rsidP="00EC5D0F">
      <w:pPr>
        <w:spacing w:line="240" w:lineRule="auto"/>
      </w:pPr>
      <w:r>
        <w:t>+44 1782 734939</w:t>
      </w:r>
    </w:p>
    <w:p w14:paraId="75C9BC50" w14:textId="29E7AD9F" w:rsidR="00E53DB4" w:rsidRDefault="00E53DB4" w:rsidP="001079B0">
      <w:pPr>
        <w:rPr>
          <w:b/>
          <w:bCs/>
          <w:u w:val="single"/>
        </w:rPr>
      </w:pPr>
      <w:r>
        <w:rPr>
          <w:b/>
          <w:bCs/>
          <w:u w:val="single"/>
        </w:rPr>
        <w:t>Funding</w:t>
      </w:r>
    </w:p>
    <w:p w14:paraId="3073DB41" w14:textId="1D060340" w:rsidR="00E53DB4" w:rsidRDefault="00922DDE" w:rsidP="001079B0">
      <w:pPr>
        <w:spacing w:after="0"/>
      </w:pPr>
      <w:r w:rsidRPr="00922DDE">
        <w:t xml:space="preserve">Eliot </w:t>
      </w:r>
      <w:r>
        <w:t xml:space="preserve">L </w:t>
      </w:r>
      <w:r w:rsidRPr="00922DDE">
        <w:t xml:space="preserve">Rees is funded by a National Institute for Health Research </w:t>
      </w:r>
      <w:r w:rsidR="003D3EC4">
        <w:t xml:space="preserve">(NIHR) </w:t>
      </w:r>
      <w:r w:rsidRPr="00922DDE">
        <w:t>Academic Clinical Fellowship: ACF-2020-18-021. The views expressed are those of the author(s) and not necessarily those of the NHS, the NIHR or the Department of Health and Social Care.</w:t>
      </w:r>
    </w:p>
    <w:p w14:paraId="6C2C5E2F" w14:textId="77777777" w:rsidR="00E53DB4" w:rsidRDefault="00E53DB4" w:rsidP="00EC5D0F">
      <w:pPr>
        <w:spacing w:line="240" w:lineRule="auto"/>
      </w:pPr>
    </w:p>
    <w:p w14:paraId="21DDC063" w14:textId="40C1F6F8" w:rsidR="00E53DB4" w:rsidRDefault="00E53DB4" w:rsidP="00EC5D0F">
      <w:pPr>
        <w:spacing w:line="240" w:lineRule="auto"/>
        <w:sectPr w:rsidR="00E53DB4" w:rsidSect="00524297">
          <w:footerReference w:type="even" r:id="rId13"/>
          <w:footerReference w:type="default" r:id="rId14"/>
          <w:pgSz w:w="11900" w:h="16840"/>
          <w:pgMar w:top="1440" w:right="1440" w:bottom="1440" w:left="1440" w:header="708" w:footer="708" w:gutter="0"/>
          <w:cols w:space="708"/>
          <w:docGrid w:linePitch="360"/>
        </w:sectPr>
      </w:pPr>
    </w:p>
    <w:p w14:paraId="56925052" w14:textId="3AEE9534" w:rsidR="00593D5B" w:rsidRDefault="001D19C0" w:rsidP="000F308D">
      <w:pPr>
        <w:pStyle w:val="Subtitle"/>
      </w:pPr>
      <w:r>
        <w:lastRenderedPageBreak/>
        <w:t>Abstract</w:t>
      </w:r>
    </w:p>
    <w:p w14:paraId="6DDEBDDC" w14:textId="369E8A15" w:rsidR="00576552" w:rsidRDefault="009B711C" w:rsidP="00576552">
      <w:r>
        <w:t>Introduction</w:t>
      </w:r>
    </w:p>
    <w:p w14:paraId="77276ADD" w14:textId="2FE2FD81" w:rsidR="00B94745" w:rsidRDefault="00B94745" w:rsidP="00576552">
      <w:r>
        <w:t xml:space="preserve">Scholarship is a key </w:t>
      </w:r>
      <w:r w:rsidR="00A02724">
        <w:t>activity in</w:t>
      </w:r>
      <w:r>
        <w:t xml:space="preserve"> health professions educat</w:t>
      </w:r>
      <w:r w:rsidR="00A02724">
        <w:t>ion</w:t>
      </w:r>
      <w:r w:rsidR="007D6ACD">
        <w:t xml:space="preserve"> (HPE)</w:t>
      </w:r>
      <w:r>
        <w:t xml:space="preserve">.  When disseminating scholarly work, how one selects the journal </w:t>
      </w:r>
      <w:r w:rsidR="00A02724">
        <w:t>to which they submit is</w:t>
      </w:r>
      <w:r>
        <w:t xml:space="preserve"> </w:t>
      </w:r>
      <w:r w:rsidR="00FF3CD7">
        <w:t>often argued to be a key</w:t>
      </w:r>
      <w:r>
        <w:t xml:space="preserve"> </w:t>
      </w:r>
      <w:r w:rsidR="00FF3CD7">
        <w:t xml:space="preserve">determinant of </w:t>
      </w:r>
      <w:r>
        <w:t xml:space="preserve">subsequent success.  </w:t>
      </w:r>
      <w:r w:rsidR="00FF3CD7">
        <w:t>T</w:t>
      </w:r>
      <w:r>
        <w:t xml:space="preserve">o draw </w:t>
      </w:r>
      <w:r w:rsidR="00FF3CD7">
        <w:t xml:space="preserve">more evidence-based </w:t>
      </w:r>
      <w:r>
        <w:t>recommendations</w:t>
      </w:r>
      <w:r w:rsidR="00FF3CD7">
        <w:t xml:space="preserve"> in this regard,</w:t>
      </w:r>
      <w:r>
        <w:t xml:space="preserve"> </w:t>
      </w:r>
      <w:r w:rsidR="00FF3CD7">
        <w:t xml:space="preserve">we </w:t>
      </w:r>
      <w:r w:rsidR="005974C2">
        <w:t xml:space="preserve">surveyed </w:t>
      </w:r>
      <w:r w:rsidR="00FF3CD7">
        <w:t>successful scholars working in HPE</w:t>
      </w:r>
      <w:r w:rsidR="005974C2">
        <w:t xml:space="preserve"> regarding their perspectives and experiences with journal selection</w:t>
      </w:r>
      <w:r>
        <w:t>.</w:t>
      </w:r>
    </w:p>
    <w:p w14:paraId="4B9C5F95" w14:textId="0C0D8092" w:rsidR="009B711C" w:rsidRDefault="009B711C" w:rsidP="00576552">
      <w:r>
        <w:t>Methods</w:t>
      </w:r>
    </w:p>
    <w:p w14:paraId="7D0A0573" w14:textId="2C9472BD" w:rsidR="009B711C" w:rsidRDefault="009B711C" w:rsidP="00576552">
      <w:r>
        <w:t xml:space="preserve">We conducted an international </w:t>
      </w:r>
      <w:r w:rsidR="0023075F">
        <w:t>survey of HPE scholars</w:t>
      </w:r>
      <w:r w:rsidR="00A02724">
        <w:t>,</w:t>
      </w:r>
      <w:r w:rsidR="0023075F">
        <w:t xml:space="preserve"> investigating their </w:t>
      </w:r>
      <w:r w:rsidR="00B94745">
        <w:t>decisions</w:t>
      </w:r>
      <w:r w:rsidR="0023075F">
        <w:t xml:space="preserve"> regarding journal choice.  Corresponding authors were identified from a sample of </w:t>
      </w:r>
      <w:r w:rsidR="00DD0960">
        <w:t xml:space="preserve">4000 </w:t>
      </w:r>
      <w:r w:rsidR="0023075F">
        <w:t xml:space="preserve">papers published in 2019 and 2020.  </w:t>
      </w:r>
      <w:r w:rsidR="00A02724">
        <w:t>They</w:t>
      </w:r>
      <w:r w:rsidR="0023075F">
        <w:t xml:space="preserve"> were invited via email with up to four reminders.  </w:t>
      </w:r>
      <w:r w:rsidR="004B1055">
        <w:t xml:space="preserve">We </w:t>
      </w:r>
      <w:r w:rsidR="00A02724">
        <w:t xml:space="preserve">describe their experience and </w:t>
      </w:r>
      <w:r w:rsidR="00B94745">
        <w:t>use</w:t>
      </w:r>
      <w:r w:rsidR="004B1055">
        <w:t xml:space="preserve"> principle component and regression analyses to identify factors associated with successful </w:t>
      </w:r>
      <w:r w:rsidR="00A02724">
        <w:t>acceptance</w:t>
      </w:r>
      <w:r w:rsidR="00B94745">
        <w:t>.</w:t>
      </w:r>
    </w:p>
    <w:p w14:paraId="49342C60" w14:textId="10F3C117" w:rsidR="009B711C" w:rsidRDefault="009B711C" w:rsidP="00576552">
      <w:r>
        <w:t>Results</w:t>
      </w:r>
    </w:p>
    <w:p w14:paraId="72433F88" w14:textId="560283EA" w:rsidR="004B1055" w:rsidRDefault="00220C24" w:rsidP="00576552">
      <w:r>
        <w:t xml:space="preserve">863 responses were received (24.7% response rate), </w:t>
      </w:r>
      <w:r w:rsidR="00A02724">
        <w:t xml:space="preserve">691 </w:t>
      </w:r>
      <w:r>
        <w:t xml:space="preserve">of which were included in our analyses.  </w:t>
      </w:r>
      <w:r w:rsidR="00B94745">
        <w:t>Two thirds of respondents had their manuscripts accepted at their first-choice journal</w:t>
      </w:r>
      <w:r w:rsidR="00A02724">
        <w:t xml:space="preserve"> with revisions required in</w:t>
      </w:r>
      <w:r w:rsidR="00B94745">
        <w:t xml:space="preserve"> 98% of </w:t>
      </w:r>
      <w:r w:rsidR="00A02724">
        <w:t>cases</w:t>
      </w:r>
      <w:r w:rsidR="00B94745">
        <w:t>. We identified six priority factors when choosing journals</w:t>
      </w:r>
      <w:r w:rsidR="00A02724">
        <w:t xml:space="preserve">. In </w:t>
      </w:r>
      <w:r w:rsidR="00A02724" w:rsidRPr="0065733E">
        <w:t>descending order</w:t>
      </w:r>
      <w:r w:rsidR="00A02724">
        <w:t xml:space="preserve"> of importance, they were</w:t>
      </w:r>
      <w:r w:rsidR="00B94745">
        <w:t xml:space="preserve">: </w:t>
      </w:r>
      <w:r w:rsidR="007234FA">
        <w:t>fit</w:t>
      </w:r>
      <w:r w:rsidR="00EB177C">
        <w:t xml:space="preserve">, impact, </w:t>
      </w:r>
      <w:r w:rsidR="00B94745">
        <w:t>editorial reputation, speed of dissemination, breadth of dissemination</w:t>
      </w:r>
      <w:r w:rsidR="0065733E">
        <w:t>, and guidance from others</w:t>
      </w:r>
      <w:r w:rsidR="00B94745">
        <w:t xml:space="preserve">.  Authors who prioritised fit higher and </w:t>
      </w:r>
      <w:r w:rsidR="00A02724">
        <w:t xml:space="preserve">who </w:t>
      </w:r>
      <w:r w:rsidR="00B94745">
        <w:t>selected a journal earlier were more likely to have their manuscripts accepted at the</w:t>
      </w:r>
      <w:r w:rsidR="00A02724">
        <w:t>ir</w:t>
      </w:r>
      <w:r w:rsidR="00B94745">
        <w:t xml:space="preserve"> first-choice journal.   </w:t>
      </w:r>
    </w:p>
    <w:p w14:paraId="5ABC8920" w14:textId="52CA3B6D" w:rsidR="009B711C" w:rsidRDefault="009B711C" w:rsidP="00576552">
      <w:r>
        <w:t>Discussion</w:t>
      </w:r>
    </w:p>
    <w:p w14:paraId="3356B42B" w14:textId="636079D0" w:rsidR="009B711C" w:rsidRPr="00576552" w:rsidRDefault="00B94745" w:rsidP="00AD5A0D">
      <w:r>
        <w:t xml:space="preserve">Based on our results we make three </w:t>
      </w:r>
      <w:r w:rsidR="00DE298F">
        <w:t>recommendations</w:t>
      </w:r>
      <w:r>
        <w:t xml:space="preserve"> for authors when writing manuscripts: do</w:t>
      </w:r>
      <w:r w:rsidR="00C9058D">
        <w:t xml:space="preserve"> not </w:t>
      </w:r>
      <w:r>
        <w:t xml:space="preserve">be disheartened by a revise decision, consider journal choice early in the research process, and use the fit between your manuscript and the journal as the main factor </w:t>
      </w:r>
      <w:r w:rsidR="00A02724">
        <w:t>driving journal choice</w:t>
      </w:r>
      <w:r>
        <w:t>.</w:t>
      </w:r>
    </w:p>
    <w:p w14:paraId="10BA5DCD" w14:textId="77777777" w:rsidR="00B84C9D" w:rsidRDefault="00B84C9D">
      <w:pPr>
        <w:spacing w:after="0" w:line="240" w:lineRule="auto"/>
        <w:rPr>
          <w:rFonts w:eastAsiaTheme="majorEastAsia" w:cstheme="majorBidi"/>
          <w:color w:val="000000" w:themeColor="text1"/>
          <w:sz w:val="32"/>
          <w:szCs w:val="32"/>
        </w:rPr>
      </w:pPr>
      <w:r>
        <w:br w:type="page"/>
      </w:r>
    </w:p>
    <w:p w14:paraId="25FC4001" w14:textId="422140A9" w:rsidR="00B43E3A" w:rsidRDefault="00B26C7C" w:rsidP="00C9058D">
      <w:pPr>
        <w:pStyle w:val="Heading1"/>
        <w:numPr>
          <w:ilvl w:val="0"/>
          <w:numId w:val="0"/>
        </w:numPr>
        <w:ind w:left="432" w:hanging="432"/>
      </w:pPr>
      <w:r>
        <w:lastRenderedPageBreak/>
        <w:t>Introduction</w:t>
      </w:r>
    </w:p>
    <w:p w14:paraId="21D1D406" w14:textId="7AD04BF6" w:rsidR="00B43E3A" w:rsidRDefault="00B84C9D" w:rsidP="00072164">
      <w:r>
        <w:t xml:space="preserve">Scholarship in </w:t>
      </w:r>
      <w:r w:rsidR="00B26C7C">
        <w:t xml:space="preserve">Health Professions Education (HPE) is considered one of the key </w:t>
      </w:r>
      <w:r w:rsidR="005B02D0">
        <w:t xml:space="preserve">activities </w:t>
      </w:r>
      <w:r w:rsidR="00B26C7C">
        <w:t>of clinician educators</w:t>
      </w:r>
      <w:r w:rsidR="00E90F54">
        <w:fldChar w:fldCharType="begin" w:fldLock="1"/>
      </w:r>
      <w:r w:rsidR="00F540F2">
        <w:instrText>ADDIN CSL_CITATION {"citationItems":[{"id":"ITEM-1","itemData":{"DOI":"10.1097/ACM.0000000000000217","ISBN":"0000000000000","ISSN":"1938808X","PMID":"24667507","abstract":"Purpose: To determine a consensus definition of a clinician-educator and the related domains of competence. Method: During September 2010 to March 2011, the authors conducted a two-phase mixed-methods national study in Canada using (1) focus groups of deans of medicine and directors of medical education centers to define the attributes, domains of competence, and core competencies of clinician-educators using a grounded theory analysis, and (2) a survey of 1,130 deans, academic chairs, and residency program directors to validate the focus group results. Results The 22 focus group participants described being active in clinical practice, applying theory to practice, and engaging in education scholarship-but not holding a particular administrative position-as essential attributes of clinician-educators. Program directors accounted for 68% of the 350 survey respondents, academic chairs for 19%, and deans for 13% (response rate: 31%). Among respondents, 85% endorsed the need for physicians with advanced training in medical education to serve as educational consultants. Domains of clinician-educator competence endorsed by &gt;85% of respondents as important or very important were assessment, communication, curriculum development, education theory, leadership, scholarship, and teaching. With regard to training requirements, 55% endorsed a master's degree in education as effective preparation, whereas 39% considered faculty development programs effective. Conclusions: On the basis of this study's findings, the authors defined a clinician-educator as a clinician active in health professional practice who applies theory to education practice, engages in education scholarship, and serves as a consultant to other health professionals on education issues.","author":[{"dropping-particle":"","family":"Sherbino","given":"Jonathan","non-dropping-particle":"","parse-names":false,"suffix":""},{"dropping-particle":"","family":"Frank","given":"Jason R.","non-dropping-particle":"","parse-names":false,"suffix":""},{"dropping-particle":"","family":"Snell","given":"Linda","non-dropping-particle":"","parse-names":false,"suffix":""}],"container-title":"Academic Medicine","id":"ITEM-1","issue":"5","issued":{"date-parts":[["2014"]]},"page":"783-789","title":"Defining the key roles and competencies of the clinician-educator of the 21st century: A national mixed-methods study","type":"article-journal","volume":"89"},"uris":["http://www.mendeley.com/documents/?uuid=ca6e26d7-a004-4b44-bdd8-6ddd64994737"]}],"mendeley":{"formattedCitation":"[1]","plainTextFormattedCitation":"[1]","previouslyFormattedCitation":"[1]"},"properties":{"noteIndex":0},"schema":"https://github.com/citation-style-language/schema/raw/master/csl-citation.json"}</w:instrText>
      </w:r>
      <w:r w:rsidR="00E90F54">
        <w:fldChar w:fldCharType="separate"/>
      </w:r>
      <w:r w:rsidR="00E90F54" w:rsidRPr="009F2244">
        <w:rPr>
          <w:noProof/>
        </w:rPr>
        <w:t>[1]</w:t>
      </w:r>
      <w:r w:rsidR="00E90F54">
        <w:fldChar w:fldCharType="end"/>
      </w:r>
      <w:r w:rsidR="00EB5154">
        <w:t>.</w:t>
      </w:r>
      <w:r w:rsidR="00B26C7C">
        <w:t xml:space="preserve"> This competency has been defined as the ability to ‘contribute to the development, dissemination, and translation of health professions education knowledge and practices’</w:t>
      </w:r>
      <w:r w:rsidR="00ED48AD">
        <w:fldChar w:fldCharType="begin" w:fldLock="1"/>
      </w:r>
      <w:r w:rsidR="00F540F2">
        <w:instrText>ADDIN CSL_CITATION {"citationItems":[{"id":"ITEM-1","itemData":{"DOI":"10.1097/ACM.0000000000000217","ISBN":"0000000000000","ISSN":"1938808X","PMID":"24667507","abstract":"Purpose: To determine a consensus definition of a clinician-educator and the related domains of competence. Method: During September 2010 to March 2011, the authors conducted a two-phase mixed-methods national study in Canada using (1) focus groups of deans of medicine and directors of medical education centers to define the attributes, domains of competence, and core competencies of clinician-educators using a grounded theory analysis, and (2) a survey of 1,130 deans, academic chairs, and residency program directors to validate the focus group results. Results The 22 focus group participants described being active in clinical practice, applying theory to practice, and engaging in education scholarship-but not holding a particular administrative position-as essential attributes of clinician-educators. Program directors accounted for 68% of the 350 survey respondents, academic chairs for 19%, and deans for 13% (response rate: 31%). Among respondents, 85% endorsed the need for physicians with advanced training in medical education to serve as educational consultants. Domains of clinician-educator competence endorsed by &gt;85% of respondents as important or very important were assessment, communication, curriculum development, education theory, leadership, scholarship, and teaching. With regard to training requirements, 55% endorsed a master's degree in education as effective preparation, whereas 39% considered faculty development programs effective. Conclusions: On the basis of this study's findings, the authors defined a clinician-educator as a clinician active in health professional practice who applies theory to education practice, engages in education scholarship, and serves as a consultant to other health professionals on education issues.","author":[{"dropping-particle":"","family":"Sherbino","given":"Jonathan","non-dropping-particle":"","parse-names":false,"suffix":""},{"dropping-particle":"","family":"Frank","given":"Jason R.","non-dropping-particle":"","parse-names":false,"suffix":""},{"dropping-particle":"","family":"Snell","given":"Linda","non-dropping-particle":"","parse-names":false,"suffix":""}],"container-title":"Academic Medicine","id":"ITEM-1","issue":"5","issued":{"date-parts":[["2014"]]},"page":"783-789","title":"Defining the key roles and competencies of the clinician-educator of the 21st century: A national mixed-methods study","type":"article-journal","volume":"89"},"uris":["http://www.mendeley.com/documents/?uuid=ca6e26d7-a004-4b44-bdd8-6ddd64994737"]}],"mendeley":{"formattedCitation":"[1]","plainTextFormattedCitation":"[1]","previouslyFormattedCitation":"[1]"},"properties":{"noteIndex":0},"schema":"https://github.com/citation-style-language/schema/raw/master/csl-citation.json"}</w:instrText>
      </w:r>
      <w:r w:rsidR="00ED48AD">
        <w:fldChar w:fldCharType="separate"/>
      </w:r>
      <w:r w:rsidR="00ED48AD" w:rsidRPr="009F2244">
        <w:rPr>
          <w:noProof/>
        </w:rPr>
        <w:t>[1]</w:t>
      </w:r>
      <w:r w:rsidR="00ED48AD">
        <w:fldChar w:fldCharType="end"/>
      </w:r>
      <w:r>
        <w:t>.</w:t>
      </w:r>
      <w:r w:rsidR="00B26C7C">
        <w:t xml:space="preserve">  </w:t>
      </w:r>
      <w:r w:rsidR="00072164">
        <w:t>In fact, making one’s efforts publicly available with peer review is a defining feature of scholarship according to Boyer’s classic model</w:t>
      </w:r>
      <w:r w:rsidR="00ED48AD">
        <w:fldChar w:fldCharType="begin" w:fldLock="1"/>
      </w:r>
      <w:r w:rsidR="00F540F2">
        <w:instrText>ADDIN CSL_CITATION {"citationItems":[{"id":"ITEM-1","itemData":{"ISSN":"1040-2446","abstract":"Debate about faculty roles and rewards in higher education during the past decade has been fueled by the work of the Carnegie Foundation for the Advancement of Teaching, principally Scholarship Reconsidered and Scholarship Assessed. The author summarizes those publications and reviews the more recent work of Lee Shulman on the scholarship of teaching. In 1990, Ernest Boyer proposed that higher education move beyond the tired old “teaching versus research” debate and that the familiar and honorable term “scholarship” be given a broader meaning. Specifically, scholarship should have four separate yet overlapping meanings: the scholarship of discovery, the scholarship of integration, the scholarship of application, and the scholarship of teaching. This expanded definition was well received, but from the beginning, assessment of quality was a stumbling block. Clearly, Boyer's concepts would be useful only if scholars could be assured that excellence in scholarly work would be maintained. Scholars at the Carnegie Foundation for the Advancement of Teaching addressed this issue by surveying journal editors, scholarly press directors, and granting agencies to learn their definitions of excellence in scholarship. From the findings of these surveys, six standards of excellence in scholarship were derived: Scholars whose work is published or rewarded must have clear goals, be adequately prepared, use appropriate methods, achieve outstanding results, communicate effectively, and then reflectively critique their work. The scholarship of teaching remains elusive, however. The work of Lee Shulman and others has helped clarify the issues. The definition of this form of scholarship continues to be debated at colleges and universities across the nation.","author":[{"dropping-particle":"","family":"Glassick","given":"Charles E","non-dropping-particle":"","parse-names":false,"suffix":""}],"container-title":"Academic Medicine","id":"ITEM-1","issue":"9","issued":{"date-parts":[["2000"]]},"title":"Boyer's Expanded Definitions of Scholarship, the Standards for Assessing Scholarship, and the Elusiveness of the Scholarship of Teaching","type":"article-journal","volume":"75"},"uris":["http://www.mendeley.com/documents/?uuid=26ed4f45-80d8-4c3b-9467-80794234f539"]}],"mendeley":{"formattedCitation":"[2]","plainTextFormattedCitation":"[2]","previouslyFormattedCitation":"[2]"},"properties":{"noteIndex":0},"schema":"https://github.com/citation-style-language/schema/raw/master/csl-citation.json"}</w:instrText>
      </w:r>
      <w:r w:rsidR="00ED48AD">
        <w:fldChar w:fldCharType="separate"/>
      </w:r>
      <w:r w:rsidR="00ED48AD" w:rsidRPr="009F2244">
        <w:rPr>
          <w:noProof/>
        </w:rPr>
        <w:t>[2]</w:t>
      </w:r>
      <w:r w:rsidR="00ED48AD">
        <w:fldChar w:fldCharType="end"/>
      </w:r>
      <w:r w:rsidR="00B26C7C">
        <w:t>.</w:t>
      </w:r>
      <w:r w:rsidR="00072164">
        <w:t xml:space="preserve"> This creates a particular challenge for our field because most come to it through serendipity</w:t>
      </w:r>
      <w:r w:rsidR="00EB5154">
        <w:t>,</w:t>
      </w:r>
      <w:r w:rsidR="00072164">
        <w:t xml:space="preserve"> with little formal training in scholarship, and with a wide array of backgrounds</w:t>
      </w:r>
      <w:r w:rsidR="00B43E3A">
        <w:t xml:space="preserve">, </w:t>
      </w:r>
      <w:r w:rsidR="00072164">
        <w:t>interests</w:t>
      </w:r>
      <w:r w:rsidR="00B43E3A">
        <w:t>, and roles</w:t>
      </w:r>
      <w:r w:rsidR="00ED48AD">
        <w:fldChar w:fldCharType="begin" w:fldLock="1"/>
      </w:r>
      <w:r w:rsidR="00F540F2">
        <w:instrText>ADDIN CSL_CITATION {"citationItems":[{"id":"ITEM-1","itemData":{"DOI":"10.1111/medu.12822","ISSN":"1365-2923","abstract":"Context: Despite a demand for educational expertise in medical universities, little is known of the roles of medical educators and the sustainability of academic careers in medical education. We examined the experiences and career paths of medical educators from diverse professional backgrounds seeking to establish, maintain and strengthen their careers in medical schools.; Methods: Semi-structured interviews were conducted with 44 lead and early-career medical educators from all 21 Australian and New Zealand medical schools. Questions explored career beginnings, rewards and challenges. Transcripts underwent systematic coding and independent thematic analysis. Final themes were confirmed by iterative review and member checking. Analysis was informed by Bourdieu's concepts of field (a social space for hierarchical interactions), habitus (individual dispositions which influence social interactions) and capital (economic, symbolic, social and cultural forms of power).; Results: Participants provided diverse accounts of what constitutes the practice of medical education. Serendipitous career entry and little commonality of professional backgrounds and responsibilities suggest an ambiguous habitus with ill-defined career pathways. Within the field of medicine as enacted in medical schools, educators have invisible yet essential roles, experiencing tension between service expectations, a lesser form of capital, and demands for more highly valued forms of scholarship. Participants reported increasing expectations to produce research and obtain postgraduate qualifications to enter and maintain their careers. Unable to draw upon cultural capital accrued from clinical work, non-clinician educators faced additional challenges. To strengthen their position, educators consciously built social capital through essential service relationships, capitalising on times when education takes precedence, such as curriculum renewal and accreditation.; Conclusions: Bourdieu's theory provides insight into medical educator career paths and the positioning of medical education within medical schools. Medical educators have an indistinct practice, and limited cultural capital in the form of research outputs. In order to maintain and strengthen their careers, educators must create alternative sources of capital, through fostering collaborative alliances.; © 2015 John Wiley &amp; Sons Ltd.","author":[{"dropping-particle":"","family":"Hu","given":"Wendy C Y","non-dropping-particle":"","parse-names":false,"suffix":""},{"dropping-particle":"","family":"Thistlethwaite","given":"Jill E","non-dropping-particle":"","parse-names":false,"suffix":""},{"dropping-particle":"","family":"Weller","given":"Jennifer","non-dropping-particle":"","parse-names":false,"suffix":""},{"dropping-particle":"","family":"Gallego","given":"Gisselle","non-dropping-particle":"","parse-names":false,"suffix":""},{"dropping-particle":"","family":"Monteith","given":"Joseph","non-dropping-particle":"","parse-names":false,"suffix":""},{"dropping-particle":"","family":"McColl","given":"Geoff J","non-dropping-particle":"","parse-names":false,"suffix":""}],"container-title":"Medical Education","id":"ITEM-1","issue":"11","issued":{"date-parts":[["2015","11"]]},"note":"Accession Number: 26494065. Language: English. Date Revised: 20151023. Date Created: 20151023. Date Completed: 20160511. Update Code: 20161213. Publication Type: Journal Article. Journal ID: 7605655. Publication Model: Print. Cited Medium: Internet. NLM ISO Abbr: Med Educ. Linking ISSN: 03080110. Subset: IM; Date of Electronic Publication: 20151101. Current Imprints: Publication: Oxford : Wiley-Blackwell; Original Imprints: Publication: Oxford, Blackwell Scientific Publications.","page":"1124-1136","publisher":"Wiley-Blackwell","publisher-place":"School of Medicine, University of Western Sydney, Sydney, New South Wales, Australia.","title":"'It was serendipity': a qualitative study of academic careers in medical education.","type":"article-journal","volume":"49"},"uris":["http://www.mendeley.com/documents/?uuid=ea8077e3-d31e-4cec-b61b-5d1cf252ffb0"]}],"mendeley":{"formattedCitation":"[3]","plainTextFormattedCitation":"[3]","previouslyFormattedCitation":"[3]"},"properties":{"noteIndex":0},"schema":"https://github.com/citation-style-language/schema/raw/master/csl-citation.json"}</w:instrText>
      </w:r>
      <w:r w:rsidR="00ED48AD">
        <w:fldChar w:fldCharType="separate"/>
      </w:r>
      <w:r w:rsidR="00ED48AD" w:rsidRPr="009F2244">
        <w:rPr>
          <w:noProof/>
        </w:rPr>
        <w:t>[3]</w:t>
      </w:r>
      <w:r w:rsidR="00ED48AD">
        <w:fldChar w:fldCharType="end"/>
      </w:r>
      <w:r w:rsidR="00072164">
        <w:t xml:space="preserve">. </w:t>
      </w:r>
      <w:r w:rsidR="00B43E3A">
        <w:t xml:space="preserve">Much advice has been generated in an effort to support </w:t>
      </w:r>
      <w:r w:rsidR="00965FBA">
        <w:t xml:space="preserve">individuals who are new to the field to have publication success, but little empirical work is available to help separate good advice from lore. What journals should they choose and why? How should they engage with or rely upon peer review processes? </w:t>
      </w:r>
      <w:r w:rsidR="00F12F05">
        <w:t xml:space="preserve">To what extent are publication priorities </w:t>
      </w:r>
      <w:r w:rsidR="00533140">
        <w:t>malleable and what impact might changing perspectives have</w:t>
      </w:r>
      <w:r w:rsidR="00F12F05">
        <w:t>?</w:t>
      </w:r>
    </w:p>
    <w:p w14:paraId="18FD4DF5" w14:textId="08B68B2B" w:rsidR="00F12F05" w:rsidRDefault="00AF02C9" w:rsidP="00072164">
      <w:r>
        <w:t>Finding</w:t>
      </w:r>
      <w:r w:rsidR="00F12F05">
        <w:t xml:space="preserve"> answers to such questions </w:t>
      </w:r>
      <w:r w:rsidR="00630ACB">
        <w:t>would be particularly timely</w:t>
      </w:r>
      <w:r w:rsidR="00F12F05">
        <w:t xml:space="preserve"> given increased global </w:t>
      </w:r>
      <w:r w:rsidR="00630ACB">
        <w:t>awareness of</w:t>
      </w:r>
      <w:r w:rsidR="00F12F05">
        <w:t xml:space="preserve"> equity, diversity, and inclusion issues. </w:t>
      </w:r>
      <w:r w:rsidR="001D56DE">
        <w:t>M</w:t>
      </w:r>
      <w:r w:rsidR="00F12F05">
        <w:t>edical education literature in particular has been dominated by research from North America, the U</w:t>
      </w:r>
      <w:r w:rsidR="00630ACB">
        <w:t xml:space="preserve">nited </w:t>
      </w:r>
      <w:r w:rsidR="00F12F05">
        <w:t>K</w:t>
      </w:r>
      <w:r w:rsidR="00630ACB">
        <w:t>ingdom</w:t>
      </w:r>
      <w:r w:rsidR="00F12F05">
        <w:t>, the Netherlands, and Australia</w:t>
      </w:r>
      <w:r w:rsidR="00ED48AD">
        <w:fldChar w:fldCharType="begin" w:fldLock="1"/>
      </w:r>
      <w:r w:rsidR="00F540F2">
        <w:instrText>ADDIN CSL_CITATION {"citationItems":[{"id":"ITEM-1","itemData":{"DOI":"10.1186/s12909-014-0243-8","ISSN":"14726920","PMID":"25404502","abstract":"Background: Productivity and countries of origin of publications within the field of medical education research have not been explored. Using bibliometric techniques we conducted an analysis of studies evaluating medical education interventions, examining the country where research originated as well as networks of authors within countries identified as 'most productive'. Methods: PubMed was used to search for evaluative studies of medical education. We then examined relative productivity of countries with &gt;100 publications in our sample (number of publications/number of medical schools in country). Author networks from the top 2 countries with the highest relative productivity were constructed. Results: 6874 publications from 18,883 different authors were included. The countries with the highest relative publication productivity were Canada (37.1), Netherlands (28.3), New Zealand (27), the UK (23), and the U.S.A (17.1). Author collaboration networks differed in both numbers of authors and intensity of collaborations in the countries with highest relative productivity. Conclusions: In terms of the number of publications of evaluative studies in medical education, Canada was the country with the highest relative productivity. Author networks allow for the identification of ongoing and potential new collaborations amongst authors.","author":[{"dropping-particle":"","family":"Doja","given":"Asif","non-dropping-particle":"","parse-names":false,"suffix":""},{"dropping-particle":"","family":"Horsley","given":"Tanya","non-dropping-particle":"","parse-names":false,"suffix":""},{"dropping-particle":"","family":"Sampson","given":"Margaret","non-dropping-particle":"","parse-names":false,"suffix":""}],"container-title":"BMC Medical Education","id":"ITEM-1","issue":"1","issued":{"date-parts":[["2014"]]},"page":"1-9","title":"Productivity in medical education research: An examination of countries of origin","type":"article-journal","volume":"14"},"uris":["http://www.mendeley.com/documents/?uuid=c6d7bfcc-8b9e-4d4f-9ba0-820a81ca4ad3"]},{"id":"ITEM-2","itemData":{"DOI":"10.1186/s12909-019-1639-2","ISSN":"14726920","PMID":"31170974","abstract":"Background: Whether medical education research (MER) is primarily conducted in wealthy countries (in the \"Realm of the Rich\") is the subject of an ongoing debate. Previous studies of the geography of MER publication output have relied upon proprietary databases, have not compared MER with other fields of study, and have not studied the relationship between authorship geography and topics of study. This study was designed to evaluate the geographic distribution of MER authorship and to relate this to the topics studied in MER. Methods: Authors' countries of affiliation were identified from PubMed records by parsing and cleaning the text of affiliations and submitting them to the google maps geocoding API. The geography of publication output in MER was compared to other fields using the chi-square goodness-of-fit test. Country income classifications and medical subject heading (MeSH) terms were used to evaluate the topical contributions of countries at different income levels, and simulation was used to compute significance of MeSH term enrichment in MER papers from low income and lower middle income countries. Results: The vast majority of MER papers were contributed by authors based in high income countries. The top four countries were the United States, the United Kingdom, Canada, and Australia, with listed author affiliations in 80% of all MER papers. This percentage was greater in MER than in several other categories, including Biological Science Disciplines (48%), Medicine (69%) and Education (74%), which is a parent category of MER. Authors from low income countries contributed significantly to the topical diversity of MER. MeSH terms associated with government, community health, and health delivery were enriched in papers from low income countries, while terms associated with specialty and clinical training, technology in teaching, and professional obligations (such as workload, burnout, and empathy) were enriched in papers from high income countries. Conclusions: Geographic disparities in publication output are greater in MER than in any other field examined. The historical origins of MER in North America might explain disproportionate publication output by authors from this region. This study suggests that the MER field benefits from research contributed by authors from low income countries, and also points to potential gaps in MER (and medical education as a whole) in the developing world.","author":[{"dropping-particle":"","family":"Thomas","given":"Marshall P.","non-dropping-particle":"","parse-names":false,"suffix":""}],"container-title":"BMC Medical Education","id":"ITEM-2","issue":"1","issued":{"date-parts":[["2019"]]},"page":"1-5","publisher":"BMC Medical Education","title":"The geographic and topical landscape of medical education research","type":"article-journal","volume":"19"},"uris":["http://www.mendeley.com/documents/?uuid=a4fda59e-bb7c-43f7-afd0-9b67917b7315"]}],"mendeley":{"formattedCitation":"[4,5]","plainTextFormattedCitation":"[4,5]","previouslyFormattedCitation":"[4,5]"},"properties":{"noteIndex":0},"schema":"https://github.com/citation-style-language/schema/raw/master/csl-citation.json"}</w:instrText>
      </w:r>
      <w:r w:rsidR="00ED48AD">
        <w:fldChar w:fldCharType="separate"/>
      </w:r>
      <w:r w:rsidR="00ED48AD" w:rsidRPr="009F2244">
        <w:rPr>
          <w:noProof/>
        </w:rPr>
        <w:t>[4,5]</w:t>
      </w:r>
      <w:r w:rsidR="00ED48AD">
        <w:fldChar w:fldCharType="end"/>
      </w:r>
      <w:r w:rsidR="00F12F05">
        <w:t>.</w:t>
      </w:r>
      <w:r w:rsidR="00ED48AD" w:rsidRPr="00ED48AD">
        <w:t xml:space="preserve"> </w:t>
      </w:r>
      <w:r w:rsidR="00F12F05">
        <w:t xml:space="preserve"> </w:t>
      </w:r>
      <w:r w:rsidR="007512EA">
        <w:t xml:space="preserve"> </w:t>
      </w:r>
      <w:r w:rsidR="00F12F05">
        <w:t xml:space="preserve">Other countries are less prominent for a variety of reasons including population </w:t>
      </w:r>
      <w:r w:rsidR="00630ACB">
        <w:t xml:space="preserve">size </w:t>
      </w:r>
      <w:r w:rsidR="00F12F05">
        <w:t>and lack of priority having been given to scholarship in this area. To ensure those countries are not excluded for unacceptable reasons like systemic bias</w:t>
      </w:r>
      <w:r w:rsidR="00ED4649">
        <w:t>, however,</w:t>
      </w:r>
      <w:r w:rsidR="00F12F05">
        <w:t xml:space="preserve"> it is important that we determine and share the </w:t>
      </w:r>
      <w:r w:rsidR="00630ACB">
        <w:t xml:space="preserve">trustworthy </w:t>
      </w:r>
      <w:r w:rsidR="00F12F05">
        <w:t>‘tricks of the trade’ that have been learned by individuals who successful</w:t>
      </w:r>
      <w:r w:rsidR="00C1520F">
        <w:t>ly published a manuscript</w:t>
      </w:r>
      <w:r w:rsidR="00F12F05">
        <w:t xml:space="preserve"> in this field</w:t>
      </w:r>
      <w:r w:rsidR="00ED48AD">
        <w:fldChar w:fldCharType="begin" w:fldLock="1"/>
      </w:r>
      <w:r w:rsidR="00F540F2">
        <w:instrText>ADDIN CSL_CITATION {"citationItems":[{"id":"ITEM-1","itemData":{"DOI":"10.1111/j.1365-2923.2012.04318.x","ISSN":"1365-2923","container-title":"Medical Education","id":"ITEM-1","issue":"9","issued":{"date-parts":[["2012","9"]]},"note":"Accession Number: 22775485. Language: English. Date Revised: 20120815. Date Created: 20120815. Date Completed: 20130117. Update Code: 20161213. Publication Type: Editorial. Journal ID: 7605655. Publication Model: Print-Electronic. Cited Medium: Internet. NLM ISO Abbr: Med Educ. Linking ISSN: 03080110. Subset: IM; Date of Electronic Publication: 2012 Jul 06. Current Imprints: Publication: Oxford : Wiley-Blackwell; Original Imprints: Publication: Oxford, Blackwell Scientific Publications.","page":"828-829","publisher":"Wiley-Blackwell","publisher-place":"England","title":"Good advice from the deputy editors of Medical Education.","type":"article-journal","volume":"46"},"uris":["http://www.mendeley.com/documents/?uuid=f13f63fc-c430-4c49-bf57-3cf928cebf39"]}],"mendeley":{"formattedCitation":"[6]","plainTextFormattedCitation":"[6]","previouslyFormattedCitation":"[6]"},"properties":{"noteIndex":0},"schema":"https://github.com/citation-style-language/schema/raw/master/csl-citation.json"}</w:instrText>
      </w:r>
      <w:r w:rsidR="00ED48AD">
        <w:fldChar w:fldCharType="separate"/>
      </w:r>
      <w:r w:rsidR="00ED48AD" w:rsidRPr="009F2244">
        <w:rPr>
          <w:noProof/>
        </w:rPr>
        <w:t>[6]</w:t>
      </w:r>
      <w:r w:rsidR="00ED48AD">
        <w:fldChar w:fldCharType="end"/>
      </w:r>
      <w:r w:rsidR="00F12F05">
        <w:t>.</w:t>
      </w:r>
      <w:r w:rsidR="00B865FE">
        <w:t xml:space="preserve"> </w:t>
      </w:r>
      <w:r w:rsidR="00F12F05">
        <w:t xml:space="preserve">To that end, we sought information </w:t>
      </w:r>
      <w:r w:rsidR="00EB5154">
        <w:t xml:space="preserve">regarding </w:t>
      </w:r>
      <w:r w:rsidR="006B011C">
        <w:t xml:space="preserve">successful authors’ </w:t>
      </w:r>
      <w:r w:rsidR="00EB5154">
        <w:t xml:space="preserve">publication strategies and experiences pertaining to a wide range of issues encountered in </w:t>
      </w:r>
      <w:r w:rsidR="00B865FE">
        <w:t>HPE</w:t>
      </w:r>
      <w:r w:rsidR="00EB5154">
        <w:t xml:space="preserve"> scholarship</w:t>
      </w:r>
      <w:r w:rsidR="008014DA">
        <w:t xml:space="preserve"> to offer an evidence-base and guidance to those </w:t>
      </w:r>
      <w:r w:rsidR="009B69D8">
        <w:t>who would benefit from understanding</w:t>
      </w:r>
      <w:r w:rsidR="008014DA">
        <w:t xml:space="preserve"> the norms in this field</w:t>
      </w:r>
      <w:r w:rsidR="00EB5154">
        <w:t xml:space="preserve">. </w:t>
      </w:r>
    </w:p>
    <w:p w14:paraId="2A31EA79" w14:textId="617CBAE1" w:rsidR="00B26C7C" w:rsidRDefault="00EB5154" w:rsidP="00B26C7C">
      <w:r>
        <w:t xml:space="preserve">What priorities do authors hold when selecting where to publish their work? To what extent </w:t>
      </w:r>
      <w:r w:rsidR="00FD4AAF">
        <w:t>do</w:t>
      </w:r>
      <w:r>
        <w:t xml:space="preserve"> those priorities </w:t>
      </w:r>
      <w:r w:rsidR="00852E66">
        <w:t>vary between different demographic groups</w:t>
      </w:r>
      <w:r>
        <w:t>?</w:t>
      </w:r>
      <w:r w:rsidR="00B26C7C">
        <w:t xml:space="preserve">  </w:t>
      </w:r>
      <w:r w:rsidR="00143329">
        <w:t xml:space="preserve">Multiple factors have been </w:t>
      </w:r>
      <w:r w:rsidR="005B02D0">
        <w:t xml:space="preserve">previously </w:t>
      </w:r>
      <w:r w:rsidR="00143329">
        <w:t>identified as important considerations</w:t>
      </w:r>
      <w:r w:rsidR="00696E81">
        <w:t xml:space="preserve"> for medical education authors</w:t>
      </w:r>
      <w:r w:rsidR="007A4547">
        <w:t xml:space="preserve">, </w:t>
      </w:r>
      <w:r w:rsidR="005B02D0">
        <w:t>including</w:t>
      </w:r>
      <w:r w:rsidR="007A4547">
        <w:t xml:space="preserve"> impact factor </w:t>
      </w:r>
      <w:r w:rsidR="00C57D6E">
        <w:t>and prestige</w:t>
      </w:r>
      <w:r w:rsidR="00ED48AD">
        <w:fldChar w:fldCharType="begin" w:fldLock="1"/>
      </w:r>
      <w:r w:rsidR="00F540F2">
        <w:instrText>ADDIN CSL_CITATION {"citationItems":[{"id":"ITEM-1","itemData":{"DOI":"10.1097/ACM.0000000000002265","ISBN":"0000000000","ISSN":"1938808X","PMID":"29697431","abstract":"Purpose Publishing in peer-reviewed journals is essential for medical education researchers. Competition remains fierce for top journals, and authors are advised to consider impact factor (IF), audience, and alignment of focus. However, little is known about how authors balance these factors when making submission decisions. The authors aimed to explore decision making around journal choice. Method Using constructivist grounded theory, the authors conducted and analyzed 27 semistructured phone interviews (August-November 2016) with medical education researchers. Participants were recruited from a larger study, and all had presented abstracts at medical education meetings in 2005 or 2006. Results When deciding where to submit an article, participants weighed a journal's IF and prestige against other factors, such as a journal's vision and mission, finding the right audience, study-specific factors including perceived quality of the work, and the peer review process. The opportunity cost of aiming high and risking rejection was influenced by career stage and external pressures. Despite much higher IFs, clinical journals were viewed as less desirable for establishing legitimacy in the medical education field and were often targeted for less novel or rigorous work. Participants expressed dissatisfaction with peer review in general, citing overly critical and poorly informed reviewers. Conclusions Authors strategize around a particular article's submission by attempting to balance many interrelated factors. Their perceptions that high-IF clinical journals are viewed as less prestigious in this field can lead to publication strategies running counter to advice given to junior faculty. This has implications for mentorship and institutional leadership.","author":[{"dropping-particle":"","family":"Ginsburg","given":"Shiphra","non-dropping-particle":"","parse-names":false,"suffix":""},{"dropping-particle":"","family":"Lynch","given":"Meghan","non-dropping-particle":"","parse-names":false,"suffix":""},{"dropping-particle":"","family":"Walsh","given":"Catharine M.","non-dropping-particle":"","parse-names":false,"suffix":""}],"container-title":"Academic Medicine","id":"ITEM-1","issue":"8","issued":{"date-parts":[["2018"]]},"page":"1176-1181","title":"A fine balance: How authors strategize around journal submission","type":"article-journal","volume":"93"},"uris":["http://www.mendeley.com/documents/?uuid=3553b9bd-915b-4485-b899-5489ca0794bc"]}],"mendeley":{"formattedCitation":"[7]","plainTextFormattedCitation":"[7]","previouslyFormattedCitation":"[7]"},"properties":{"noteIndex":0},"schema":"https://github.com/citation-style-language/schema/raw/master/csl-citation.json"}</w:instrText>
      </w:r>
      <w:r w:rsidR="00ED48AD">
        <w:fldChar w:fldCharType="separate"/>
      </w:r>
      <w:r w:rsidR="00ED48AD" w:rsidRPr="009F2244">
        <w:rPr>
          <w:noProof/>
        </w:rPr>
        <w:t>[7]</w:t>
      </w:r>
      <w:r w:rsidR="00ED48AD">
        <w:fldChar w:fldCharType="end"/>
      </w:r>
      <w:r w:rsidR="00421FE3">
        <w:t xml:space="preserve">.  </w:t>
      </w:r>
      <w:r>
        <w:t>Work in health sciences more generally</w:t>
      </w:r>
      <w:r w:rsidR="005B02D0">
        <w:t>,</w:t>
      </w:r>
      <w:r>
        <w:t xml:space="preserve"> </w:t>
      </w:r>
      <w:r w:rsidR="00ED4649">
        <w:t>from the US</w:t>
      </w:r>
      <w:r w:rsidR="005B02D0">
        <w:t>,</w:t>
      </w:r>
      <w:r w:rsidR="00ED4649">
        <w:t xml:space="preserve"> </w:t>
      </w:r>
      <w:r w:rsidR="00630ACB">
        <w:t xml:space="preserve">has </w:t>
      </w:r>
      <w:r w:rsidR="008938A6">
        <w:t xml:space="preserve">corroborated the </w:t>
      </w:r>
      <w:r w:rsidR="00FC2C02">
        <w:t>primacy</w:t>
      </w:r>
      <w:r w:rsidR="008938A6">
        <w:t xml:space="preserve"> of </w:t>
      </w:r>
      <w:r w:rsidR="00B26C7C">
        <w:t>prestige when choosing a journal</w:t>
      </w:r>
      <w:r w:rsidR="00ED48AD">
        <w:fldChar w:fldCharType="begin" w:fldLock="1"/>
      </w:r>
      <w:r w:rsidR="00F540F2">
        <w:instrText>ADDIN CSL_CITATION {"citationItems":[{"id":"ITEM-1","itemData":{"author":[{"dropping-particle":"","family":"Frank","given":"E","non-dropping-particle":"","parse-names":false,"suffix":""}],"container-title":"JAMA","id":"ITEM-1","issue":"2","issued":{"date-parts":[["1994"]]},"page":"163-164","title":"Authors' criteria for selecting journals","type":"article-journal","volume":"272"},"uris":["http://www.mendeley.com/documents/?uuid=c0543449-e80a-4bc9-86f3-0e0146ed6b33"]}],"mendeley":{"formattedCitation":"[8]","plainTextFormattedCitation":"[8]","previouslyFormattedCitation":"[8]"},"properties":{"noteIndex":0},"schema":"https://github.com/citation-style-language/schema/raw/master/csl-citation.json"}</w:instrText>
      </w:r>
      <w:r w:rsidR="00ED48AD">
        <w:fldChar w:fldCharType="separate"/>
      </w:r>
      <w:r w:rsidR="00ED48AD" w:rsidRPr="009F2244">
        <w:rPr>
          <w:noProof/>
        </w:rPr>
        <w:t>[8]</w:t>
      </w:r>
      <w:r w:rsidR="00ED48AD">
        <w:fldChar w:fldCharType="end"/>
      </w:r>
      <w:r>
        <w:t>.</w:t>
      </w:r>
      <w:r w:rsidR="00B26C7C">
        <w:t xml:space="preserve"> </w:t>
      </w:r>
      <w:r>
        <w:t xml:space="preserve">If that first choice is unsuccessful, </w:t>
      </w:r>
      <w:r w:rsidR="00B26C7C">
        <w:t>acceptance odds and frequency of the topic appearing in the journal became more important</w:t>
      </w:r>
      <w:r w:rsidR="00ED48AD">
        <w:fldChar w:fldCharType="begin" w:fldLock="1"/>
      </w:r>
      <w:r w:rsidR="00F540F2">
        <w:instrText>ADDIN CSL_CITATION {"citationItems":[{"id":"ITEM-1","itemData":{"author":[{"dropping-particle":"","family":"Frank","given":"E","non-dropping-particle":"","parse-names":false,"suffix":""}],"container-title":"JAMA","id":"ITEM-1","issue":"2","issued":{"date-parts":[["1994"]]},"page":"163-164","title":"Authors' criteria for selecting journals","type":"article-journal","volume":"272"},"uris":["http://www.mendeley.com/documents/?uuid=c0543449-e80a-4bc9-86f3-0e0146ed6b33"]}],"mendeley":{"formattedCitation":"[8]","plainTextFormattedCitation":"[8]","previouslyFormattedCitation":"[8]"},"properties":{"noteIndex":0},"schema":"https://github.com/citation-style-language/schema/raw/master/csl-citation.json"}</w:instrText>
      </w:r>
      <w:r w:rsidR="00ED48AD">
        <w:fldChar w:fldCharType="separate"/>
      </w:r>
      <w:r w:rsidR="00ED48AD" w:rsidRPr="009F2244">
        <w:rPr>
          <w:noProof/>
        </w:rPr>
        <w:t>[8]</w:t>
      </w:r>
      <w:r w:rsidR="00ED48AD">
        <w:fldChar w:fldCharType="end"/>
      </w:r>
      <w:r>
        <w:t>.</w:t>
      </w:r>
      <w:r w:rsidR="00B26C7C">
        <w:t xml:space="preserve">  A more recent study of medical and dental academics in India identified the five most important factors as: the databases in which the journal is indexed, the ability to submit online, impact factor, peer review, and publication fees</w:t>
      </w:r>
      <w:r w:rsidR="00ED48AD">
        <w:fldChar w:fldCharType="begin" w:fldLock="1"/>
      </w:r>
      <w:r w:rsidR="00F540F2">
        <w:instrText>ADDIN CSL_CITATION {"citationItems":[{"id":"ITEM-1","itemData":{"DOI":"10.15386/cjmed-704","ISSN":"20668872","abstract":"Background and aim. With the increasing demand to publish due to 'publish or perish' culture among research and academic institutions, the choice of a journal for publishing scientific articles becomes very important. A publication with many citations and high impact factor can propel researchers in their academic careers. The aim of this study is to explore the perceptions of medical and dental researchers in India about the important criteria to consider while selecting scientific journals for publishing their research. Methods. 206 faculty staff members from three medical and five dental institutions were selected through convenience sampling. The study participants completed a questionnaire with 24 closed ended questions on various factors related to journal selection for publication. Factors such as publication frequency, journal citation, indexing, peer-review, impact factor, publication fees, acceptance or rejection rate, publishing house, previous submission and online submission process were considered. The responses were recorded using a Likert scale. Cronbach's alpha as a measure of internal consistency or homogeneity was 0.909. Descriptive statistics and Mann-Whitney U test were employed for comparison of responses among study participants. Results. The mean weight of 24 criteria on a scale of 0 to 4 varied between 2.13 and 3.45. The results showed that indexing of journal (3.45±0.74), online submission (3.24±0.83), impact factor (3.11±0.91), peer-review process (3.0±1.02) and publication fees (2.99±1.11) were among the most important criteria to consider in journal selection. Conclusions. Of the 24 factors considered by health researchers for journal selection, the most important were Journal indexing, online submission, impact factor, peer-review and publication fees. Compared to dental researchers, medical researchers perceived open access and peer-review process as significantly more important criteria.","author":[{"dropping-particle":"","family":"Sandesh","given":"Nagarajappa","non-dropping-particle":"","parse-names":false,"suffix":""},{"dropping-particle":"","family":"Wahrekar","given":"Shilpa","non-dropping-particle":"","parse-names":false,"suffix":""}],"container-title":"Clujul Medical","id":"ITEM-1","issue":"2","issued":{"date-parts":[["2017"]]},"page":"196-202","title":"Choosing the scientific journal for publishing research work: Perceptions of medical and dental researchers","type":"article-journal","volume":"90"},"uris":["http://www.mendeley.com/documents/?uuid=87968690-db9e-451e-b96a-017c0004c3c6"]}],"mendeley":{"formattedCitation":"[9]","plainTextFormattedCitation":"[9]","previouslyFormattedCitation":"[9]"},"properties":{"noteIndex":0},"schema":"https://github.com/citation-style-language/schema/raw/master/csl-citation.json"}</w:instrText>
      </w:r>
      <w:r w:rsidR="00ED48AD">
        <w:fldChar w:fldCharType="separate"/>
      </w:r>
      <w:r w:rsidR="00ED48AD" w:rsidRPr="009F2244">
        <w:rPr>
          <w:noProof/>
        </w:rPr>
        <w:t>[9]</w:t>
      </w:r>
      <w:r w:rsidR="00ED48AD">
        <w:fldChar w:fldCharType="end"/>
      </w:r>
      <w:r>
        <w:t>.</w:t>
      </w:r>
      <w:r w:rsidR="00B26C7C">
        <w:t xml:space="preserve"> While the inclusion of indexing and publication fees </w:t>
      </w:r>
      <w:r w:rsidR="00B26C7C">
        <w:lastRenderedPageBreak/>
        <w:t xml:space="preserve">here may be a consequence of the rise in both predatory and legitimate open access journals, </w:t>
      </w:r>
      <w:r w:rsidR="00CE7A08">
        <w:t>variability in these rankings</w:t>
      </w:r>
      <w:r>
        <w:t xml:space="preserve"> across study may</w:t>
      </w:r>
      <w:r w:rsidR="00B26C7C">
        <w:t xml:space="preserve"> also be the result of contextual differences</w:t>
      </w:r>
      <w:r w:rsidR="00ED4649">
        <w:t>, thereby suggesting the importance of examining these issues in our specific field</w:t>
      </w:r>
      <w:r w:rsidR="00B26C7C">
        <w:t>.</w:t>
      </w:r>
    </w:p>
    <w:p w14:paraId="57FCF1A8" w14:textId="6E85DF0A" w:rsidR="00B26C7C" w:rsidRDefault="006B011C" w:rsidP="00B26C7C">
      <w:r>
        <w:t xml:space="preserve">Of course, authors’ priorities for pursuing a particular journal are not the only determinants of where a work is eventually published. As such, it is important to explore their choices in relation to what happened to the paper with respect to peer review and subsequent revision. </w:t>
      </w:r>
      <w:r w:rsidR="00EB5154">
        <w:t>While long known to have reliability problems, peer review’s primary value may be highlighting diversity of opinion, helping authors to see ways in which their work might be misinterpreted relative to the way in which it was intended</w:t>
      </w:r>
      <w:r w:rsidR="00ED48AD">
        <w:fldChar w:fldCharType="begin" w:fldLock="1"/>
      </w:r>
      <w:r w:rsidR="00F540F2">
        <w:instrText>ADDIN CSL_CITATION {"citationItems":[{"id":"ITEM-1","itemData":{"DOI":"10.1111/j.1365-2923.2008.03243.x","ISSN":"1365-2923","author":[{"dropping-particle":"","family":"Eva","given":"Kevin W","non-dropping-particle":"","parse-names":false,"suffix":""}],"container-title":"Medical Education","id":"ITEM-1","issue":"1","issued":{"date-parts":[["2009","1"]]},"note":"Accession Number: 19140991. Language: English. Date Revised: 20090114. Date Created: 20090114. Date Completed: 20090417. Update Code: 20161213. Publication Type: Editorial. Journal ID: 7605655. Publication Model: Print. Cited Medium: Internet. NLM ISO Abbr: Med Educ. Linking ISSN: 03080110. Subset: IM; Date of Electronic Publication: 20090101. Current Imprints: Publication: Oxford : Wiley-Blackwell; Original Imprints: Publication: Oxford, Blackwell Scientific Publications.","page":"2-4","publisher":"Wiley-Blackwell","publisher-place":"England","title":"The reviewer is always right: peer review of research in Medical Education.","type":"article-journal","volume":"43"},"uris":["http://www.mendeley.com/documents/?uuid=eb44f884-ad32-4cdf-be36-fe1ce9c49f61"]}],"mendeley":{"formattedCitation":"[10]","plainTextFormattedCitation":"[10]","previouslyFormattedCitation":"[10]"},"properties":{"noteIndex":0},"schema":"https://github.com/citation-style-language/schema/raw/master/csl-citation.json"}</w:instrText>
      </w:r>
      <w:r w:rsidR="00ED48AD">
        <w:fldChar w:fldCharType="separate"/>
      </w:r>
      <w:r w:rsidR="00ED48AD" w:rsidRPr="009F2244">
        <w:rPr>
          <w:noProof/>
        </w:rPr>
        <w:t>[10]</w:t>
      </w:r>
      <w:r w:rsidR="00ED48AD">
        <w:fldChar w:fldCharType="end"/>
      </w:r>
      <w:r w:rsidR="00EB5154">
        <w:t xml:space="preserve">. </w:t>
      </w:r>
      <w:r w:rsidR="00B26C7C">
        <w:t xml:space="preserve">A study of the prepublication history of 80,748 </w:t>
      </w:r>
      <w:r w:rsidR="005B02D0">
        <w:t xml:space="preserve">biological sciences </w:t>
      </w:r>
      <w:r w:rsidR="00B26C7C">
        <w:t>articles across 923 journals</w:t>
      </w:r>
      <w:r w:rsidR="00EB5154">
        <w:t xml:space="preserve"> supports this argument by showing that </w:t>
      </w:r>
      <w:r w:rsidR="00B26C7C">
        <w:t xml:space="preserve">articles that </w:t>
      </w:r>
      <w:r w:rsidR="00533140">
        <w:t xml:space="preserve">were given more challenging feedback (presumably, given that the paper was </w:t>
      </w:r>
      <w:r w:rsidR="00B26C7C">
        <w:t>rejected</w:t>
      </w:r>
      <w:r w:rsidR="00533140">
        <w:t xml:space="preserve">) ultimately accumulated more </w:t>
      </w:r>
      <w:r w:rsidR="00B26C7C">
        <w:t>cit</w:t>
      </w:r>
      <w:r w:rsidR="00533140">
        <w:t xml:space="preserve">ations </w:t>
      </w:r>
      <w:r w:rsidR="00B26C7C">
        <w:t>relative to articles that were accepted at the first journal</w:t>
      </w:r>
      <w:r w:rsidR="00533140">
        <w:t xml:space="preserve"> to which they were submitted</w:t>
      </w:r>
      <w:r w:rsidR="00ED48AD">
        <w:fldChar w:fldCharType="begin" w:fldLock="1"/>
      </w:r>
      <w:r w:rsidR="00F540F2">
        <w:instrText>ADDIN CSL_CITATION {"citationItems":[{"id":"ITEM-1","itemData":{"author":[{"dropping-particle":"","family":"Calcagno","given":"V","non-dropping-particle":"","parse-names":false,"suffix":""},{"dropping-particle":"","family":"Demoinet","given":"E","non-dropping-particle":"","parse-names":false,"suffix":""},{"dropping-particle":"","family":"Gollner","given":"K","non-dropping-particle":"","parse-names":false,"suffix":""},{"dropping-particle":"","family":"Guidi","given":"L","non-dropping-particle":"","parse-names":false,"suffix":""},{"dropping-particle":"","family":"Ruths","given":"D","non-dropping-particle":"","parse-names":false,"suffix":""},{"dropping-particle":"","family":"Mazancourt","given":"C","non-dropping-particle":"de","parse-names":false,"suffix":""}],"container-title":"Science","id":"ITEM-1","issue":"November","issued":{"date-parts":[["2012"]]},"page":"1065-1069","title":"Flows of Research Manuscripts among scientific journals reval hidden submission patterns","type":"article-journal","volume":"338"},"uris":["http://www.mendeley.com/documents/?uuid=696e574d-6905-4229-9c7b-1e6b375f366e"]}],"mendeley":{"formattedCitation":"[11]","plainTextFormattedCitation":"[11]","previouslyFormattedCitation":"[11]"},"properties":{"noteIndex":0},"schema":"https://github.com/citation-style-language/schema/raw/master/csl-citation.json"}</w:instrText>
      </w:r>
      <w:r w:rsidR="00ED48AD">
        <w:fldChar w:fldCharType="separate"/>
      </w:r>
      <w:r w:rsidR="00ED48AD" w:rsidRPr="009F2244">
        <w:rPr>
          <w:noProof/>
        </w:rPr>
        <w:t>[11]</w:t>
      </w:r>
      <w:r w:rsidR="00ED48AD">
        <w:fldChar w:fldCharType="end"/>
      </w:r>
      <w:r w:rsidR="00533140">
        <w:t>.</w:t>
      </w:r>
      <w:r w:rsidR="00ED48AD" w:rsidDel="00ED48AD">
        <w:t xml:space="preserve"> </w:t>
      </w:r>
    </w:p>
    <w:p w14:paraId="13077E4A" w14:textId="2D350192" w:rsidR="00F946D6" w:rsidRDefault="00331A5E" w:rsidP="003926AE">
      <w:r>
        <w:t>T</w:t>
      </w:r>
      <w:r w:rsidR="00CE7A08">
        <w:t xml:space="preserve">hese big picture issues require </w:t>
      </w:r>
      <w:r w:rsidR="007F203B">
        <w:t xml:space="preserve">further </w:t>
      </w:r>
      <w:r w:rsidR="00CE7A08">
        <w:t xml:space="preserve">exploration if we are to both offer good advice to </w:t>
      </w:r>
      <w:r w:rsidR="00DF2826">
        <w:t>authors in</w:t>
      </w:r>
      <w:r w:rsidR="00CE7A08">
        <w:t xml:space="preserve"> our field and reflect on the strength</w:t>
      </w:r>
      <w:r w:rsidR="005B02D0">
        <w:t xml:space="preserve">s and </w:t>
      </w:r>
      <w:r w:rsidR="00CE7A08">
        <w:t xml:space="preserve">priorities of the field as a scientific enterprise in its own right. </w:t>
      </w:r>
      <w:r w:rsidR="00533140">
        <w:t>With t</w:t>
      </w:r>
      <w:r w:rsidR="008E539A">
        <w:t>his study</w:t>
      </w:r>
      <w:r w:rsidR="00CE7A08">
        <w:t>, therefore,</w:t>
      </w:r>
      <w:r w:rsidR="008E539A">
        <w:t xml:space="preserve"> </w:t>
      </w:r>
      <w:r w:rsidR="00533140">
        <w:t xml:space="preserve">we </w:t>
      </w:r>
      <w:r w:rsidR="005974C2">
        <w:t>surveyed successful scholars working in HPE regarding their perspectives and experiences with journal selection</w:t>
      </w:r>
      <w:r w:rsidR="006B37E5">
        <w:t>.</w:t>
      </w:r>
    </w:p>
    <w:p w14:paraId="3FC39F67" w14:textId="63D62E19" w:rsidR="00B26C7C" w:rsidRDefault="00B26C7C" w:rsidP="00B041FF">
      <w:pPr>
        <w:pStyle w:val="Heading1"/>
        <w:numPr>
          <w:ilvl w:val="0"/>
          <w:numId w:val="0"/>
        </w:numPr>
      </w:pPr>
      <w:r>
        <w:t>Methods</w:t>
      </w:r>
    </w:p>
    <w:p w14:paraId="2AB35BF6" w14:textId="3F6D1679" w:rsidR="00B26C7C" w:rsidRDefault="00B26C7C" w:rsidP="00B041FF">
      <w:pPr>
        <w:pStyle w:val="Heading2"/>
        <w:numPr>
          <w:ilvl w:val="0"/>
          <w:numId w:val="0"/>
        </w:numPr>
      </w:pPr>
      <w:r>
        <w:t>Design</w:t>
      </w:r>
    </w:p>
    <w:p w14:paraId="5703FC45" w14:textId="46E3AB45" w:rsidR="00B26C7C" w:rsidRPr="00B26C7C" w:rsidRDefault="00B26C7C" w:rsidP="00B26C7C">
      <w:r>
        <w:t xml:space="preserve">We </w:t>
      </w:r>
      <w:r w:rsidR="00D0426E">
        <w:t>conducted</w:t>
      </w:r>
      <w:r>
        <w:t xml:space="preserve"> a cross</w:t>
      </w:r>
      <w:r w:rsidR="00AE72C2">
        <w:t>-</w:t>
      </w:r>
      <w:r>
        <w:t xml:space="preserve">sectional </w:t>
      </w:r>
      <w:r w:rsidR="003F5416">
        <w:t xml:space="preserve">online </w:t>
      </w:r>
      <w:r>
        <w:t xml:space="preserve">questionnaire study of </w:t>
      </w:r>
      <w:r w:rsidR="003F5416">
        <w:t xml:space="preserve">recently published </w:t>
      </w:r>
      <w:r w:rsidR="00B865FE">
        <w:t>HPE</w:t>
      </w:r>
      <w:r>
        <w:t xml:space="preserve"> </w:t>
      </w:r>
      <w:r w:rsidR="00DB1BA1">
        <w:t>scholars</w:t>
      </w:r>
      <w:r>
        <w:t>.</w:t>
      </w:r>
      <w:r w:rsidR="00B865FE">
        <w:t xml:space="preserve"> Ethical approval was granted by the Keele Institute for Innovation and Teaching Excellence - Educational Research Ethics Committee (KIITE-EREC) at Keele University (Ref: </w:t>
      </w:r>
      <w:r w:rsidR="00B865FE" w:rsidRPr="00C84AEC">
        <w:t>KR-210048</w:t>
      </w:r>
      <w:r w:rsidR="00B865FE">
        <w:t>).</w:t>
      </w:r>
    </w:p>
    <w:p w14:paraId="248BDE8C" w14:textId="66024559" w:rsidR="00B26C7C" w:rsidRDefault="00B26C7C" w:rsidP="001F3D61">
      <w:pPr>
        <w:pStyle w:val="Heading2"/>
        <w:numPr>
          <w:ilvl w:val="0"/>
          <w:numId w:val="0"/>
        </w:numPr>
      </w:pPr>
      <w:r>
        <w:t>Sampling and recruitment</w:t>
      </w:r>
    </w:p>
    <w:p w14:paraId="002B4346" w14:textId="75429E65" w:rsidR="00B26C7C" w:rsidRDefault="006D6C24" w:rsidP="003926AE">
      <w:r>
        <w:t xml:space="preserve">To </w:t>
      </w:r>
      <w:r w:rsidR="00B26C7C">
        <w:t>identif</w:t>
      </w:r>
      <w:r>
        <w:t>y a sample, we generated a list of</w:t>
      </w:r>
      <w:r w:rsidR="00B26C7C">
        <w:t xml:space="preserve"> HPE papers</w:t>
      </w:r>
      <w:r>
        <w:t xml:space="preserve"> published in 2019 and 2020 by searching</w:t>
      </w:r>
      <w:r w:rsidR="00B26C7C">
        <w:t xml:space="preserve"> </w:t>
      </w:r>
      <w:r w:rsidR="00820A2D">
        <w:t>PubMed</w:t>
      </w:r>
      <w:r w:rsidR="001F3D61">
        <w:t xml:space="preserve"> </w:t>
      </w:r>
      <w:r w:rsidR="00B865FE">
        <w:t xml:space="preserve">using the query: </w:t>
      </w:r>
      <w:r w:rsidR="00B26C7C">
        <w:t>‘Education, medical’</w:t>
      </w:r>
      <w:r w:rsidR="00B865FE">
        <w:t xml:space="preserve"> OR </w:t>
      </w:r>
      <w:r w:rsidR="00B26C7C">
        <w:t xml:space="preserve">‘health professions education’ </w:t>
      </w:r>
      <w:r w:rsidR="00B865FE">
        <w:t xml:space="preserve">across all database fields. </w:t>
      </w:r>
      <w:r w:rsidR="006B011C">
        <w:t xml:space="preserve">We did not deliberately exclude non-English articles, but our search strategy would have implicitly focused on the English literature. </w:t>
      </w:r>
      <w:r w:rsidR="00B865FE">
        <w:t>L</w:t>
      </w:r>
      <w:r w:rsidR="0095174E">
        <w:t>etters</w:t>
      </w:r>
      <w:r w:rsidR="00BD5623">
        <w:t xml:space="preserve"> </w:t>
      </w:r>
      <w:r w:rsidR="00B865FE">
        <w:t>and</w:t>
      </w:r>
      <w:r w:rsidR="00BD5623">
        <w:t xml:space="preserve"> </w:t>
      </w:r>
      <w:r w:rsidR="0095174E">
        <w:t xml:space="preserve">editorials were </w:t>
      </w:r>
      <w:r w:rsidR="00BD5623">
        <w:t>excluded because</w:t>
      </w:r>
      <w:r w:rsidR="0095174E">
        <w:t xml:space="preserve"> </w:t>
      </w:r>
      <w:r w:rsidR="00182CD2">
        <w:t xml:space="preserve">authors </w:t>
      </w:r>
      <w:r w:rsidR="00BD5623">
        <w:t xml:space="preserve">of such pieces </w:t>
      </w:r>
      <w:r w:rsidR="00182CD2">
        <w:t xml:space="preserve">do not </w:t>
      </w:r>
      <w:r w:rsidR="00BD5623">
        <w:t xml:space="preserve">generally </w:t>
      </w:r>
      <w:r w:rsidR="00182CD2">
        <w:t>undertake the same choice</w:t>
      </w:r>
      <w:r w:rsidR="00BD5623">
        <w:t>-making</w:t>
      </w:r>
      <w:r w:rsidR="00182CD2">
        <w:t xml:space="preserve"> process</w:t>
      </w:r>
      <w:r w:rsidR="00BD5623">
        <w:t>es</w:t>
      </w:r>
      <w:r w:rsidR="00182CD2">
        <w:t xml:space="preserve"> </w:t>
      </w:r>
      <w:r w:rsidR="00BD5623">
        <w:t>regarding where to</w:t>
      </w:r>
      <w:r w:rsidR="00182CD2">
        <w:t xml:space="preserve"> submit. </w:t>
      </w:r>
      <w:r w:rsidR="00B26C7C">
        <w:t xml:space="preserve">We </w:t>
      </w:r>
      <w:r w:rsidR="00BD5623">
        <w:t xml:space="preserve">then </w:t>
      </w:r>
      <w:r w:rsidR="00B26C7C">
        <w:t>extract</w:t>
      </w:r>
      <w:r w:rsidR="00C84AEC">
        <w:t>ed</w:t>
      </w:r>
      <w:r w:rsidR="00B26C7C">
        <w:t xml:space="preserve"> the names and email addresses of the corresponding authors from </w:t>
      </w:r>
      <w:r>
        <w:t xml:space="preserve">all remaining </w:t>
      </w:r>
      <w:r w:rsidR="00B26C7C">
        <w:t xml:space="preserve">papers. </w:t>
      </w:r>
      <w:r w:rsidR="00E567C3">
        <w:t>Duplicate</w:t>
      </w:r>
      <w:r w:rsidR="00BD5623">
        <w:t xml:space="preserve"> name</w:t>
      </w:r>
      <w:r w:rsidR="00E567C3">
        <w:t xml:space="preserve">s were reviewed and the most recent research paper </w:t>
      </w:r>
      <w:r w:rsidR="00BD5623">
        <w:t xml:space="preserve">for each unique author </w:t>
      </w:r>
      <w:r w:rsidR="00E567C3">
        <w:t xml:space="preserve">was selected. </w:t>
      </w:r>
      <w:r w:rsidR="00B26C7C">
        <w:t xml:space="preserve">We </w:t>
      </w:r>
      <w:r w:rsidR="00BD5623">
        <w:t xml:space="preserve">then </w:t>
      </w:r>
      <w:r w:rsidR="00CC7AD9">
        <w:t>random</w:t>
      </w:r>
      <w:r w:rsidR="004C0EDF">
        <w:t>ly</w:t>
      </w:r>
      <w:r w:rsidR="00CC7AD9">
        <w:t xml:space="preserve"> </w:t>
      </w:r>
      <w:r w:rsidR="004C0EDF">
        <w:t>selected</w:t>
      </w:r>
      <w:r w:rsidR="00C84AEC">
        <w:t xml:space="preserve"> 4000 unique corresponding </w:t>
      </w:r>
      <w:r w:rsidR="007D18A6">
        <w:t>authors</w:t>
      </w:r>
      <w:r w:rsidR="004C0EDF">
        <w:t xml:space="preserve"> and </w:t>
      </w:r>
      <w:r w:rsidR="00B26C7C">
        <w:t xml:space="preserve">invited </w:t>
      </w:r>
      <w:r w:rsidR="004C0EDF">
        <w:t xml:space="preserve">them, </w:t>
      </w:r>
      <w:r w:rsidR="00B26C7C">
        <w:t>via email</w:t>
      </w:r>
      <w:r w:rsidR="004C0EDF">
        <w:t>, to complete our questionnaire. F</w:t>
      </w:r>
      <w:r w:rsidR="00B26C7C">
        <w:t xml:space="preserve">our </w:t>
      </w:r>
      <w:r w:rsidR="00B26C7C">
        <w:lastRenderedPageBreak/>
        <w:t xml:space="preserve">reminders </w:t>
      </w:r>
      <w:r w:rsidR="004C0EDF">
        <w:t xml:space="preserve">were sent at </w:t>
      </w:r>
      <w:r w:rsidR="00703F70">
        <w:t>one-week</w:t>
      </w:r>
      <w:r w:rsidR="00B26C7C">
        <w:t xml:space="preserve"> </w:t>
      </w:r>
      <w:r w:rsidR="004C0EDF">
        <w:t>intervals</w:t>
      </w:r>
      <w:r w:rsidR="00B26C7C">
        <w:t>.</w:t>
      </w:r>
      <w:r w:rsidR="00FD5682">
        <w:t xml:space="preserve"> </w:t>
      </w:r>
      <w:r w:rsidR="002C3AC7">
        <w:t>For the same reason as expressed above, e</w:t>
      </w:r>
      <w:r w:rsidR="00FD5682">
        <w:t xml:space="preserve">xclusion criteria applied after </w:t>
      </w:r>
      <w:r w:rsidR="002C3AC7">
        <w:t xml:space="preserve">survey completion were (a) </w:t>
      </w:r>
      <w:r w:rsidR="009D1156">
        <w:t xml:space="preserve">the </w:t>
      </w:r>
      <w:r w:rsidR="002C3AC7">
        <w:t xml:space="preserve">author identified the manuscript as a letter or editorial and (b) </w:t>
      </w:r>
      <w:r w:rsidR="009D1156">
        <w:t xml:space="preserve">the </w:t>
      </w:r>
      <w:r w:rsidR="002C3AC7">
        <w:t>author identified the manuscript as having been commissioned.</w:t>
      </w:r>
    </w:p>
    <w:p w14:paraId="01C380E9" w14:textId="17C37A36" w:rsidR="00B26C7C" w:rsidRDefault="00B828F9" w:rsidP="00F63C17">
      <w:pPr>
        <w:pStyle w:val="Heading2"/>
        <w:numPr>
          <w:ilvl w:val="0"/>
          <w:numId w:val="0"/>
        </w:numPr>
      </w:pPr>
      <w:r>
        <w:t>Survey development</w:t>
      </w:r>
    </w:p>
    <w:p w14:paraId="2DDDD73E" w14:textId="34226245" w:rsidR="00593D5B" w:rsidRDefault="00593D5B" w:rsidP="00593D5B">
      <w:r>
        <w:t>We developed a novel questionnaire for this study</w:t>
      </w:r>
      <w:r w:rsidR="006D6C24">
        <w:t xml:space="preserve"> by </w:t>
      </w:r>
      <w:r>
        <w:t>conduct</w:t>
      </w:r>
      <w:r w:rsidR="006D6C24">
        <w:t>ing</w:t>
      </w:r>
      <w:r>
        <w:t xml:space="preserve"> a literature review</w:t>
      </w:r>
      <w:r w:rsidR="00255397">
        <w:t xml:space="preserve"> </w:t>
      </w:r>
      <w:r w:rsidR="007B348E">
        <w:t xml:space="preserve">aimed at identifying any existing measures that could be adapted to suit our research questions </w:t>
      </w:r>
      <w:r w:rsidR="00255397">
        <w:t>and</w:t>
      </w:r>
      <w:r w:rsidR="006D6C24">
        <w:t xml:space="preserve"> supplement</w:t>
      </w:r>
      <w:r w:rsidR="00255397">
        <w:t>ing that with</w:t>
      </w:r>
      <w:r w:rsidR="006D6C24">
        <w:t xml:space="preserve"> personal experience</w:t>
      </w:r>
      <w:r>
        <w:t xml:space="preserve"> to identify important aspects of journal choice. </w:t>
      </w:r>
      <w:r w:rsidR="006D6C24">
        <w:t>Individual i</w:t>
      </w:r>
      <w:r>
        <w:t xml:space="preserve">tems </w:t>
      </w:r>
      <w:r w:rsidR="006D6C24">
        <w:t xml:space="preserve">were generated </w:t>
      </w:r>
      <w:r>
        <w:t>following guidelines for best practice</w:t>
      </w:r>
      <w:r w:rsidR="00CF2E74">
        <w:t>. This</w:t>
      </w:r>
      <w:r w:rsidR="006D6C24">
        <w:t xml:space="preserve"> included </w:t>
      </w:r>
      <w:r w:rsidR="002A464C">
        <w:t xml:space="preserve">stating both positive and negative </w:t>
      </w:r>
      <w:r w:rsidR="00B9215B">
        <w:t xml:space="preserve">sides in question stems, developing response options that were comprehensive and mutually </w:t>
      </w:r>
      <w:r w:rsidR="00D642D1">
        <w:t>exclusive</w:t>
      </w:r>
      <w:r w:rsidR="00B9215B">
        <w:t xml:space="preserve">, and </w:t>
      </w:r>
      <w:r w:rsidR="00E12424">
        <w:t xml:space="preserve">using </w:t>
      </w:r>
      <w:r w:rsidR="00541C3A">
        <w:t xml:space="preserve">balanced scales with </w:t>
      </w:r>
      <w:r w:rsidR="00E12424">
        <w:t>construct specific labels</w:t>
      </w:r>
      <w:r w:rsidR="00ED48AD">
        <w:fldChar w:fldCharType="begin" w:fldLock="1"/>
      </w:r>
      <w:r w:rsidR="00F540F2">
        <w:instrText>ADDIN CSL_CITATION {"citationItems":[{"id":"ITEM-1","itemData":{"author":[{"dropping-particle":"","family":"Dillman","given":"Don A","non-dropping-particle":"","parse-names":false,"suffix":""},{"dropping-particle":"","family":"Smyth","given":"Jolene D","non-dropping-particle":"","parse-names":false,"suffix":""},{"dropping-particle":"","family":"Christian","given":"Leah Melani","non-dropping-particle":"","parse-names":false,"suffix":""}],"edition":"4","id":"ITEM-1","issued":{"date-parts":[["2014"]]},"publisher":"WILEY","publisher-place":"Hoboken, NJ","title":"Internet, phone, mail, and mixed-mode survyes: the tailored design method","type":"book"},"uris":["http://www.mendeley.com/documents/?uuid=80802f20-283d-45dc-805c-1a414c132cd7"]}],"mendeley":{"formattedCitation":"[12]","plainTextFormattedCitation":"[12]","previouslyFormattedCitation":"[12]"},"properties":{"noteIndex":0},"schema":"https://github.com/citation-style-language/schema/raw/master/csl-citation.json"}</w:instrText>
      </w:r>
      <w:r w:rsidR="00ED48AD">
        <w:fldChar w:fldCharType="separate"/>
      </w:r>
      <w:r w:rsidR="00ED48AD" w:rsidRPr="009F2244">
        <w:rPr>
          <w:noProof/>
        </w:rPr>
        <w:t>[12]</w:t>
      </w:r>
      <w:r w:rsidR="00ED48AD">
        <w:fldChar w:fldCharType="end"/>
      </w:r>
      <w:r w:rsidR="00255397">
        <w:t>.</w:t>
      </w:r>
      <w:r>
        <w:t xml:space="preserve"> </w:t>
      </w:r>
      <w:r w:rsidR="007B348E">
        <w:t>Questions about d</w:t>
      </w:r>
      <w:r w:rsidR="00651A01">
        <w:t>emographic</w:t>
      </w:r>
      <w:r w:rsidR="00CE7AA2">
        <w:t xml:space="preserve"> </w:t>
      </w:r>
      <w:r w:rsidR="00217193">
        <w:t xml:space="preserve">and professional background </w:t>
      </w:r>
      <w:r w:rsidR="00CE7AA2">
        <w:t xml:space="preserve">were adapted from a </w:t>
      </w:r>
      <w:r w:rsidR="004448EA">
        <w:t>previous study of HPE authors</w:t>
      </w:r>
      <w:r w:rsidR="00ED48AD">
        <w:fldChar w:fldCharType="begin" w:fldLock="1"/>
      </w:r>
      <w:r w:rsidR="00F540F2">
        <w:instrText>ADDIN CSL_CITATION {"citationItems":[{"id":"ITEM-1","itemData":{"DOI":"10.1097/ACM.0000000000002412","ISBN":"0000000000","ISSN":"1938808X","PMID":"30113363","abstract":"Purpose To maintain scientific integrity and engender public confidence, research must be conducted responsibly. Whereas deliberate scientific misconduct such as data fabrication is clearly unethical, other behaviors-often referred to as questionable research practices (QRPs)-exploit the ethical shades of gray that color acceptable practice. This study aimed to measure the frequency of self-reported misconduct and QRPs in a diverse, international sample of health professions education (HPE) researchers. Method In 2017, the authors conducted an anonymous, cross-sectional survey study. The web-based survey contained 43 items that asked respondents to rate how often they had engaged in a variety of irresponsible research behaviors. The items were adapted from previously published surveys. Results In total, 590 HPE researchers took the survey. The mean age was 46 years (SD = 11.6), and the majority of participants were from the United States (26.4%), Europe (23.2%), and Canada (15.3%). The three most frequently reported irresponsible research behaviors were adding authors who did not qualify for authorship (60.6%), citing articles that were not read (49.5%), and selectively citing papers to please editors or reviewers (49.4%). Additionally, respondents reported misrepresenting a participant's words (6.7%), plagiarizing (5.5%), inappropriately modifying results (5.3%), deleting data without disclosure (3.4%), and fabricating data (2.4%). Overall, 533 (90.3%) respondents reported at least one irresponsible behavior. Conclusions Notwithstanding the methodological limitations of survey research, these findings indicate that a substantial proportion of HPE researchers report a range of misconduct and QRPs. Consequently, reforms may be needed to improve the conduct of HPE research.","author":[{"dropping-particle":"","family":"Artino","given":"Anthony R.","non-dropping-particle":"","parse-names":false,"suffix":""},{"dropping-particle":"","family":"Driessen","given":"Erik W.","non-dropping-particle":"","parse-names":false,"suffix":""},{"dropping-particle":"","family":"Maggio","given":"Lauren A.","non-dropping-particle":"","parse-names":false,"suffix":""}],"container-title":"Academic Medicine","id":"ITEM-1","issue":"1","issued":{"date-parts":[["2019"]]},"page":"76-84","title":"Ethical Shades of Gray: International Frequency of Scientific Misconduct and Questionable Research Practices in Health Professions Education","type":"article-journal","volume":"94"},"uris":["http://www.mendeley.com/documents/?uuid=d6c2d134-0cfb-4821-afc4-aedbfdeec504"]}],"mendeley":{"formattedCitation":"[13]","plainTextFormattedCitation":"[13]","previouslyFormattedCitation":"[13]"},"properties":{"noteIndex":0},"schema":"https://github.com/citation-style-language/schema/raw/master/csl-citation.json"}</w:instrText>
      </w:r>
      <w:r w:rsidR="00ED48AD">
        <w:fldChar w:fldCharType="separate"/>
      </w:r>
      <w:r w:rsidR="00ED48AD" w:rsidRPr="009F2244">
        <w:rPr>
          <w:noProof/>
        </w:rPr>
        <w:t>[13]</w:t>
      </w:r>
      <w:r w:rsidR="00ED48AD">
        <w:fldChar w:fldCharType="end"/>
      </w:r>
      <w:r w:rsidR="00255397">
        <w:t>.</w:t>
      </w:r>
      <w:r w:rsidR="001B0B4B">
        <w:t xml:space="preserve"> </w:t>
      </w:r>
      <w:r w:rsidR="00EC6BD3">
        <w:t xml:space="preserve">Items exploring </w:t>
      </w:r>
      <w:r w:rsidR="00380CC0">
        <w:t xml:space="preserve">perspectives on peer review feedback were developed based on </w:t>
      </w:r>
      <w:r w:rsidR="006214D3">
        <w:t>characteristics</w:t>
      </w:r>
      <w:r w:rsidR="000E7F5F">
        <w:t xml:space="preserve"> of reviewers</w:t>
      </w:r>
      <w:r w:rsidR="006214D3">
        <w:t>’</w:t>
      </w:r>
      <w:r w:rsidR="000E7F5F">
        <w:t xml:space="preserve"> comments identified in a systematic review of </w:t>
      </w:r>
      <w:r w:rsidR="006214D3">
        <w:t>tools to assess quality of peer review reports</w:t>
      </w:r>
      <w:r w:rsidR="00ED48AD">
        <w:fldChar w:fldCharType="begin" w:fldLock="1"/>
      </w:r>
      <w:r w:rsidR="00F540F2">
        <w:instrText>ADDIN CSL_CITATION {"citationItems":[{"id":"ITEM-1","itemData":{"DOI":"10.1186/s12874-019-0688-x","ISSN":"14712288","PMID":"30841850","abstract":"Background: A strong need exists for a validated tool that clearly defines peer review report quality in biomedical research, as it will allow evaluating interventions aimed at improving the peer review process in well-performed trials. We aim to identify and describe existing tools for assessing the quality of peer review reports in biomedical research. Methods: We conducted a methodological systematic review by searching PubMed, EMBASE (via Ovid) and The Cochrane Methodology Register (via The Cochrane Library) as well as Google® for all reports in English describing a tool for assessing the quality of a peer review report in biomedical research. Data extraction was performed in duplicate using a standardized data extraction form. We extracted information on the structure, development and validation of each tool. We also identified quality components across tools using a systematic multi-step approach and we investigated quality domain similarities among tools by performing hierarchical, complete-linkage clustering analysis. Results: We identified a total number of 24 tools: 23 scales and 1 checklist. Six tools consisted of a single item and 18 had several items ranging from 4 to 26. None of the tools reported a definition of 'quality'. Only 1 tool described the scale development and 10 provided measures of validity and reliability. Five tools were used as an outcome in a randomized controlled trial (RCT). Moreover, we classified the quality components of the 18 tools with more than one item into 9 main quality domains and 11 subdomains. The tools contained from two to seven quality domains. Some domains and subdomains were considered in most tools such as the detailed/thorough (11/18) nature of reviewer's comments. Others were rarely considered, such as whether or not the reviewer made comments on the statistical methods (1/18). Conclusion: Several tools are available to assess the quality of peer review reports; however, the development and validation process is questionable and the concepts evaluated by these tools vary widely. The results from this study and from further investigations will inform the development of a new tool for assessing the quality of peer review reports in biomedical research.","author":[{"dropping-particle":"","family":"Superchi","given":"Cecilia","non-dropping-particle":"","parse-names":false,"suffix":""},{"dropping-particle":"","family":"González","given":"José Antonio","non-dropping-particle":"","parse-names":false,"suffix":""},{"dropping-particle":"","family":"Solà","given":"Ivan","non-dropping-particle":"","parse-names":false,"suffix":""},{"dropping-particle":"","family":"Cobo","given":"Erik","non-dropping-particle":"","parse-names":false,"suffix":""},{"dropping-particle":"","family":"Hren","given":"Darko","non-dropping-particle":"","parse-names":false,"suffix":""},{"dropping-particle":"","family":"Boutron","given":"Isabelle","non-dropping-particle":"","parse-names":false,"suffix":""}],"container-title":"BMC Medical Research Methodology","id":"ITEM-1","issue":"1","issued":{"date-parts":[["2019"]]},"page":"1-14","publisher":"BMC Medical Research Methodology","title":"Tools used to assess the quality of peer review reports: A methodological systematic review","type":"article-journal","volume":"19"},"uris":["http://www.mendeley.com/documents/?uuid=85aac6e6-10af-4c68-b53d-bb41cc18276e"]}],"mendeley":{"formattedCitation":"[14]","plainTextFormattedCitation":"[14]","previouslyFormattedCitation":"[14]"},"properties":{"noteIndex":0},"schema":"https://github.com/citation-style-language/schema/raw/master/csl-citation.json"}</w:instrText>
      </w:r>
      <w:r w:rsidR="00ED48AD">
        <w:fldChar w:fldCharType="separate"/>
      </w:r>
      <w:r w:rsidR="00ED48AD" w:rsidRPr="009F2244">
        <w:rPr>
          <w:noProof/>
        </w:rPr>
        <w:t>[14]</w:t>
      </w:r>
      <w:r w:rsidR="00ED48AD">
        <w:fldChar w:fldCharType="end"/>
      </w:r>
      <w:r w:rsidR="00255397">
        <w:t>.</w:t>
      </w:r>
      <w:r w:rsidR="006214D3">
        <w:t xml:space="preserve"> </w:t>
      </w:r>
      <w:r>
        <w:t xml:space="preserve">Draft versions of the questionnaire were discussed amongst the researchers until a final draft was complete.  </w:t>
      </w:r>
    </w:p>
    <w:p w14:paraId="2F6EF57A" w14:textId="256B51ED" w:rsidR="00593D5B" w:rsidRDefault="007B348E" w:rsidP="00593D5B">
      <w:r>
        <w:t>We then submitted the draft for</w:t>
      </w:r>
      <w:r w:rsidR="00593D5B">
        <w:t xml:space="preserve"> expert </w:t>
      </w:r>
      <w:r w:rsidR="00095D7C">
        <w:t>review</w:t>
      </w:r>
      <w:r>
        <w:t xml:space="preserve"> by</w:t>
      </w:r>
      <w:r w:rsidR="00593D5B">
        <w:t xml:space="preserve"> invit</w:t>
      </w:r>
      <w:r>
        <w:t>ing</w:t>
      </w:r>
      <w:r w:rsidR="00593D5B">
        <w:t xml:space="preserve"> a panel of four senior HPE researchers (two male, two female, including clinical academics and scientists) to </w:t>
      </w:r>
      <w:r w:rsidR="006D6C24">
        <w:t xml:space="preserve">offer </w:t>
      </w:r>
      <w:r w:rsidR="00593D5B">
        <w:t>feedback on the questionnaire regard</w:t>
      </w:r>
      <w:r w:rsidR="006D6C24">
        <w:t>ing</w:t>
      </w:r>
      <w:r w:rsidR="00593D5B">
        <w:t xml:space="preserve"> </w:t>
      </w:r>
      <w:r>
        <w:t xml:space="preserve">its </w:t>
      </w:r>
      <w:r w:rsidR="00593D5B">
        <w:t xml:space="preserve">clarity and relevance. </w:t>
      </w:r>
      <w:r>
        <w:t>W</w:t>
      </w:r>
      <w:r w:rsidR="00593D5B">
        <w:t xml:space="preserve">e </w:t>
      </w:r>
      <w:r>
        <w:t xml:space="preserve">used their guidance to </w:t>
      </w:r>
      <w:r w:rsidR="00593D5B">
        <w:t xml:space="preserve">revise the </w:t>
      </w:r>
      <w:r w:rsidR="007C6C74">
        <w:t>survey</w:t>
      </w:r>
      <w:r>
        <w:t xml:space="preserve">, </w:t>
      </w:r>
      <w:r w:rsidR="00D10E96">
        <w:t>rephras</w:t>
      </w:r>
      <w:r>
        <w:t>ing</w:t>
      </w:r>
      <w:r w:rsidR="00D10E96">
        <w:t xml:space="preserve"> unclear items and </w:t>
      </w:r>
      <w:r>
        <w:t>adding</w:t>
      </w:r>
      <w:r w:rsidR="00525AAD">
        <w:t xml:space="preserve"> response options</w:t>
      </w:r>
      <w:r>
        <w:t>,</w:t>
      </w:r>
      <w:r w:rsidR="00525AAD">
        <w:t xml:space="preserve"> </w:t>
      </w:r>
      <w:r w:rsidR="00593D5B">
        <w:t xml:space="preserve">and conducted a </w:t>
      </w:r>
      <w:r w:rsidR="00255397">
        <w:t xml:space="preserve">trial administration </w:t>
      </w:r>
      <w:r w:rsidR="00593D5B">
        <w:t xml:space="preserve">with five </w:t>
      </w:r>
      <w:r w:rsidR="009F37D0">
        <w:t>early career</w:t>
      </w:r>
      <w:r w:rsidR="00593D5B">
        <w:t xml:space="preserve"> authors</w:t>
      </w:r>
      <w:r w:rsidR="002B0907">
        <w:t xml:space="preserve"> to identify any further </w:t>
      </w:r>
      <w:r w:rsidR="00581DE7">
        <w:t>concerns</w:t>
      </w:r>
      <w:r w:rsidR="002B0907">
        <w:t xml:space="preserve"> regarding clarity and to provide an accurate estimate of </w:t>
      </w:r>
      <w:r w:rsidR="00581DE7">
        <w:t>duration for completion</w:t>
      </w:r>
      <w:r w:rsidR="001D19C0">
        <w:t>.</w:t>
      </w:r>
    </w:p>
    <w:p w14:paraId="51A5DC17" w14:textId="3FA738E6" w:rsidR="00593D5B" w:rsidRDefault="001D19C0" w:rsidP="00610642">
      <w:r>
        <w:t xml:space="preserve">The </w:t>
      </w:r>
      <w:r w:rsidR="00255397">
        <w:t>f</w:t>
      </w:r>
      <w:r>
        <w:t xml:space="preserve">inal version of the survey included </w:t>
      </w:r>
      <w:r w:rsidR="00472096">
        <w:t>59</w:t>
      </w:r>
      <w:r>
        <w:t xml:space="preserve"> items divided into 10 sections (</w:t>
      </w:r>
      <w:r w:rsidR="006D6C24">
        <w:t xml:space="preserve">see </w:t>
      </w:r>
      <w:r>
        <w:t>supplementary materials)</w:t>
      </w:r>
      <w:r w:rsidR="00753D78">
        <w:t xml:space="preserve">. Participants were presented with the title of the manuscript </w:t>
      </w:r>
      <w:r w:rsidR="00255397">
        <w:t>that was used to</w:t>
      </w:r>
      <w:r w:rsidR="00AB2DD6">
        <w:t xml:space="preserve"> identif</w:t>
      </w:r>
      <w:r w:rsidR="00255397">
        <w:t>y</w:t>
      </w:r>
      <w:r w:rsidR="00AB2DD6">
        <w:t xml:space="preserve"> them and </w:t>
      </w:r>
      <w:r w:rsidR="00255397">
        <w:t xml:space="preserve">they </w:t>
      </w:r>
      <w:r w:rsidR="00AB2DD6">
        <w:t xml:space="preserve">were asked to answer </w:t>
      </w:r>
      <w:r w:rsidR="00255397">
        <w:t xml:space="preserve">all questions </w:t>
      </w:r>
      <w:r w:rsidR="00AB2DD6">
        <w:t>based on that manuscript.</w:t>
      </w:r>
      <w:r w:rsidR="00255397">
        <w:t xml:space="preserve"> </w:t>
      </w:r>
    </w:p>
    <w:p w14:paraId="7E3744EA" w14:textId="03EC06F7" w:rsidR="00B26C7C" w:rsidRDefault="00B26C7C" w:rsidP="00255735">
      <w:pPr>
        <w:pStyle w:val="Heading2"/>
        <w:numPr>
          <w:ilvl w:val="0"/>
          <w:numId w:val="0"/>
        </w:numPr>
      </w:pPr>
      <w:r>
        <w:t>Data analysis</w:t>
      </w:r>
    </w:p>
    <w:p w14:paraId="333EEE49" w14:textId="0D3EB1A4" w:rsidR="000E0371" w:rsidRDefault="000E0371" w:rsidP="00EF6174">
      <w:pPr>
        <w:rPr>
          <w:lang w:eastAsia="en-GB"/>
        </w:rPr>
      </w:pPr>
      <w:r w:rsidRPr="000E0371">
        <w:rPr>
          <w:lang w:eastAsia="en-GB"/>
        </w:rPr>
        <w:t>We used SPSS version 2</w:t>
      </w:r>
      <w:r>
        <w:rPr>
          <w:lang w:eastAsia="en-GB"/>
        </w:rPr>
        <w:t>7</w:t>
      </w:r>
      <w:r w:rsidRPr="000E0371">
        <w:rPr>
          <w:lang w:eastAsia="en-GB"/>
        </w:rPr>
        <w:t xml:space="preserve"> (SPSS Inc., Chicago, IL) for all analyses and considered p-values less than 0.0</w:t>
      </w:r>
      <w:r w:rsidR="00547DD2">
        <w:rPr>
          <w:lang w:eastAsia="en-GB"/>
        </w:rPr>
        <w:t>1</w:t>
      </w:r>
      <w:r w:rsidRPr="000E0371">
        <w:rPr>
          <w:lang w:eastAsia="en-GB"/>
        </w:rPr>
        <w:t xml:space="preserve"> to be statistically significant.</w:t>
      </w:r>
      <w:r w:rsidR="00EF6174">
        <w:rPr>
          <w:lang w:eastAsia="en-GB"/>
        </w:rPr>
        <w:t xml:space="preserve"> We present categorical variables as frequencies with percentages and continuous variables as means</w:t>
      </w:r>
      <w:r w:rsidR="00845E06">
        <w:rPr>
          <w:lang w:eastAsia="en-GB"/>
        </w:rPr>
        <w:t xml:space="preserve"> </w:t>
      </w:r>
      <w:r w:rsidR="00EF6174">
        <w:rPr>
          <w:lang w:eastAsia="en-GB"/>
        </w:rPr>
        <w:t>with their standard deviation.</w:t>
      </w:r>
    </w:p>
    <w:p w14:paraId="54997B86" w14:textId="40F73419" w:rsidR="006467A2" w:rsidRDefault="006467A2" w:rsidP="00EF6174">
      <w:pPr>
        <w:rPr>
          <w:lang w:eastAsia="en-GB"/>
        </w:rPr>
      </w:pPr>
      <w:r>
        <w:rPr>
          <w:lang w:eastAsia="en-GB"/>
        </w:rPr>
        <w:t xml:space="preserve">To assess for nonresponse bias we conducted a wave </w:t>
      </w:r>
      <w:r w:rsidR="00D049BB">
        <w:rPr>
          <w:lang w:eastAsia="en-GB"/>
        </w:rPr>
        <w:t>analysis</w:t>
      </w:r>
      <w:r w:rsidR="00772048">
        <w:rPr>
          <w:lang w:eastAsia="en-GB"/>
        </w:rPr>
        <w:t xml:space="preserve"> </w:t>
      </w:r>
      <w:r w:rsidR="005825A7">
        <w:rPr>
          <w:lang w:eastAsia="en-GB"/>
        </w:rPr>
        <w:fldChar w:fldCharType="begin" w:fldLock="1"/>
      </w:r>
      <w:r w:rsidR="00F540F2">
        <w:rPr>
          <w:lang w:eastAsia="en-GB"/>
        </w:rPr>
        <w:instrText>ADDIN CSL_CITATION {"citationItems":[{"id":"ITEM-1","itemData":{"DOI":"10.3109/0142159X.2015.1105945","ISSN":"1466187X","PMID":"26648511","abstract":"Robust response rates are essential for effective survey-based strategies. Researchers can improve survey validity by addressing both response rates and nonresponse bias. In this AMEE Guide, we explain response rate calculations and discuss methods for improving response rates to surveys as a whole (unit nonresponse) and to questions within a survey (item nonresponse). Finally, we introduce the concept of nonresponse bias and provide simple methods to measure it.","author":[{"dropping-particle":"","family":"Phillips","given":"Andrew W.","non-dropping-particle":"","parse-names":false,"suffix":""},{"dropping-particle":"","family":"Reddy","given":"Shalini","non-dropping-particle":"","parse-names":false,"suffix":""},{"dropping-particle":"","family":"Durning","given":"Steven J.","non-dropping-particle":"","parse-names":false,"suffix":""}],"container-title":"Medical Teacher","id":"ITEM-1","issue":"3","issued":{"date-parts":[["2016"]]},"page":"217-228","title":"Improving response rates and evaluating nonresponse bias in surveys: AMEE Guide No. 102","type":"article-journal","volume":"38"},"uris":["http://www.mendeley.com/documents/?uuid=1ad5260c-6cc0-46bc-8215-3df4292fe237"]}],"mendeley":{"formattedCitation":"[15]","plainTextFormattedCitation":"[15]","previouslyFormattedCitation":"[15]"},"properties":{"noteIndex":0},"schema":"https://github.com/citation-style-language/schema/raw/master/csl-citation.json"}</w:instrText>
      </w:r>
      <w:r w:rsidR="005825A7">
        <w:rPr>
          <w:lang w:eastAsia="en-GB"/>
        </w:rPr>
        <w:fldChar w:fldCharType="separate"/>
      </w:r>
      <w:r w:rsidR="009F2244" w:rsidRPr="009F2244">
        <w:rPr>
          <w:noProof/>
          <w:lang w:eastAsia="en-GB"/>
        </w:rPr>
        <w:t>[15]</w:t>
      </w:r>
      <w:r w:rsidR="005825A7">
        <w:rPr>
          <w:lang w:eastAsia="en-GB"/>
        </w:rPr>
        <w:fldChar w:fldCharType="end"/>
      </w:r>
      <w:r w:rsidR="00D049BB">
        <w:rPr>
          <w:lang w:eastAsia="en-GB"/>
        </w:rPr>
        <w:t xml:space="preserve">. </w:t>
      </w:r>
      <w:r w:rsidR="007B348E">
        <w:rPr>
          <w:lang w:eastAsia="en-GB"/>
        </w:rPr>
        <w:t>That is, w</w:t>
      </w:r>
      <w:r w:rsidR="00D049BB">
        <w:rPr>
          <w:lang w:eastAsia="en-GB"/>
        </w:rPr>
        <w:t xml:space="preserve">e used late responders (those </w:t>
      </w:r>
      <w:r w:rsidR="007B348E">
        <w:rPr>
          <w:lang w:eastAsia="en-GB"/>
        </w:rPr>
        <w:t xml:space="preserve">who participated </w:t>
      </w:r>
      <w:r w:rsidR="00D049BB">
        <w:rPr>
          <w:lang w:eastAsia="en-GB"/>
        </w:rPr>
        <w:t>after the final reminder</w:t>
      </w:r>
      <w:r w:rsidR="007B348E">
        <w:rPr>
          <w:lang w:eastAsia="en-GB"/>
        </w:rPr>
        <w:t xml:space="preserve"> was sent</w:t>
      </w:r>
      <w:r w:rsidR="00D049BB">
        <w:rPr>
          <w:lang w:eastAsia="en-GB"/>
        </w:rPr>
        <w:t>) as proxies for nonrespondents and compared their responses to immediate responders</w:t>
      </w:r>
      <w:r w:rsidR="007B348E">
        <w:rPr>
          <w:lang w:eastAsia="en-GB"/>
        </w:rPr>
        <w:t xml:space="preserve"> (those who participated after the initial invitation was sent)</w:t>
      </w:r>
      <w:r w:rsidR="00D049BB">
        <w:rPr>
          <w:lang w:eastAsia="en-GB"/>
        </w:rPr>
        <w:t xml:space="preserve">. </w:t>
      </w:r>
      <w:r w:rsidR="007B348E">
        <w:rPr>
          <w:lang w:eastAsia="en-GB"/>
        </w:rPr>
        <w:t>In doing so, we calculated a</w:t>
      </w:r>
      <w:r w:rsidR="00B10310">
        <w:rPr>
          <w:lang w:eastAsia="en-GB"/>
        </w:rPr>
        <w:t xml:space="preserve"> nonresponse statistic for each of the </w:t>
      </w:r>
      <w:r w:rsidR="007B348E">
        <w:rPr>
          <w:lang w:eastAsia="en-GB"/>
        </w:rPr>
        <w:t xml:space="preserve">items focused on rating factors’ influence on </w:t>
      </w:r>
      <w:r w:rsidR="00B10310">
        <w:rPr>
          <w:lang w:eastAsia="en-GB"/>
        </w:rPr>
        <w:t xml:space="preserve">journal </w:t>
      </w:r>
      <w:r w:rsidR="007B348E">
        <w:rPr>
          <w:lang w:eastAsia="en-GB"/>
        </w:rPr>
        <w:t>selection (i.e.,</w:t>
      </w:r>
      <w:r w:rsidR="00B10310">
        <w:rPr>
          <w:lang w:eastAsia="en-GB"/>
        </w:rPr>
        <w:t xml:space="preserve"> our primary outcome</w:t>
      </w:r>
      <w:r w:rsidR="007B348E">
        <w:rPr>
          <w:lang w:eastAsia="en-GB"/>
        </w:rPr>
        <w:t>)</w:t>
      </w:r>
      <w:r w:rsidR="00B10310">
        <w:rPr>
          <w:lang w:eastAsia="en-GB"/>
        </w:rPr>
        <w:t>.</w:t>
      </w:r>
    </w:p>
    <w:p w14:paraId="725AE8B1" w14:textId="386842B5" w:rsidR="00213833" w:rsidRDefault="00213833" w:rsidP="00EF6174">
      <w:pPr>
        <w:rPr>
          <w:lang w:eastAsia="en-GB"/>
        </w:rPr>
      </w:pPr>
      <w:r>
        <w:rPr>
          <w:lang w:eastAsia="en-GB"/>
        </w:rPr>
        <w:lastRenderedPageBreak/>
        <w:t xml:space="preserve">We grouped career stages </w:t>
      </w:r>
      <w:r w:rsidR="006D4B00">
        <w:rPr>
          <w:lang w:eastAsia="en-GB"/>
        </w:rPr>
        <w:t>into</w:t>
      </w:r>
      <w:r>
        <w:rPr>
          <w:lang w:eastAsia="en-GB"/>
        </w:rPr>
        <w:t xml:space="preserve"> trainee</w:t>
      </w:r>
      <w:r w:rsidR="0021252D">
        <w:rPr>
          <w:lang w:eastAsia="en-GB"/>
        </w:rPr>
        <w:t xml:space="preserve"> (students and clinical trainees)</w:t>
      </w:r>
      <w:r>
        <w:rPr>
          <w:lang w:eastAsia="en-GB"/>
        </w:rPr>
        <w:t>, junior academic</w:t>
      </w:r>
      <w:r w:rsidR="0021252D">
        <w:rPr>
          <w:lang w:eastAsia="en-GB"/>
        </w:rPr>
        <w:t xml:space="preserve"> (below senior lecturer / associate professor)</w:t>
      </w:r>
      <w:r>
        <w:rPr>
          <w:lang w:eastAsia="en-GB"/>
        </w:rPr>
        <w:t>, and senior academic</w:t>
      </w:r>
      <w:r w:rsidR="0021252D">
        <w:rPr>
          <w:lang w:eastAsia="en-GB"/>
        </w:rPr>
        <w:t xml:space="preserve"> (</w:t>
      </w:r>
      <w:r w:rsidR="00D43D20">
        <w:rPr>
          <w:lang w:eastAsia="en-GB"/>
        </w:rPr>
        <w:t xml:space="preserve">senior lecturer / associate professor and above). We </w:t>
      </w:r>
      <w:r w:rsidR="009A17CF">
        <w:rPr>
          <w:lang w:eastAsia="en-GB"/>
        </w:rPr>
        <w:t xml:space="preserve">grouped country </w:t>
      </w:r>
      <w:r w:rsidR="00B741C2">
        <w:rPr>
          <w:lang w:eastAsia="en-GB"/>
        </w:rPr>
        <w:t xml:space="preserve">of corresponding author </w:t>
      </w:r>
      <w:r w:rsidR="006D4B00">
        <w:rPr>
          <w:lang w:eastAsia="en-GB"/>
        </w:rPr>
        <w:t>into</w:t>
      </w:r>
      <w:r w:rsidR="00B741C2">
        <w:rPr>
          <w:lang w:eastAsia="en-GB"/>
        </w:rPr>
        <w:t xml:space="preserve"> </w:t>
      </w:r>
      <w:r w:rsidR="009D1156">
        <w:rPr>
          <w:lang w:eastAsia="en-GB"/>
        </w:rPr>
        <w:t xml:space="preserve">those </w:t>
      </w:r>
      <w:r w:rsidR="00255397">
        <w:rPr>
          <w:lang w:eastAsia="en-GB"/>
        </w:rPr>
        <w:t>that are</w:t>
      </w:r>
      <w:r w:rsidR="00B741C2">
        <w:rPr>
          <w:lang w:eastAsia="en-GB"/>
        </w:rPr>
        <w:t xml:space="preserve"> most </w:t>
      </w:r>
      <w:r w:rsidR="00255397">
        <w:rPr>
          <w:lang w:eastAsia="en-GB"/>
        </w:rPr>
        <w:t>represented</w:t>
      </w:r>
      <w:r w:rsidR="00B741C2">
        <w:rPr>
          <w:lang w:eastAsia="en-GB"/>
        </w:rPr>
        <w:t xml:space="preserve"> in the HPE </w:t>
      </w:r>
      <w:r w:rsidR="00255397">
        <w:rPr>
          <w:lang w:eastAsia="en-GB"/>
        </w:rPr>
        <w:t>literature</w:t>
      </w:r>
      <w:r w:rsidR="00B741C2">
        <w:rPr>
          <w:lang w:eastAsia="en-GB"/>
        </w:rPr>
        <w:t xml:space="preserve"> (USA, UK, Canada, Australia, Netherlands)</w:t>
      </w:r>
      <w:r w:rsidR="00F540F2">
        <w:rPr>
          <w:lang w:eastAsia="en-GB"/>
        </w:rPr>
        <w:fldChar w:fldCharType="begin" w:fldLock="1"/>
      </w:r>
      <w:r w:rsidR="009D57F5">
        <w:rPr>
          <w:lang w:eastAsia="en-GB"/>
        </w:rPr>
        <w:instrText>ADDIN CSL_CITATION {"citationItems":[{"id":"ITEM-1","itemData":{"DOI":"10.1186/s12909-019-1639-2","ISSN":"14726920","PMID":"31170974","abstract":"Background: Whether medical education research (MER) is primarily conducted in wealthy countries (in the \"Realm of the Rich\") is the subject of an ongoing debate. Previous studies of the geography of MER publication output have relied upon proprietary databases, have not compared MER with other fields of study, and have not studied the relationship between authorship geography and topics of study. This study was designed to evaluate the geographic distribution of MER authorship and to relate this to the topics studied in MER. Methods: Authors' countries of affiliation were identified from PubMed records by parsing and cleaning the text of affiliations and submitting them to the google maps geocoding API. The geography of publication output in MER was compared to other fields using the chi-square goodness-of-fit test. Country income classifications and medical subject heading (MeSH) terms were used to evaluate the topical contributions of countries at different income levels, and simulation was used to compute significance of MeSH term enrichment in MER papers from low income and lower middle income countries. Results: The vast majority of MER papers were contributed by authors based in high income countries. The top four countries were the United States, the United Kingdom, Canada, and Australia, with listed author affiliations in 80% of all MER papers. This percentage was greater in MER than in several other categories, including Biological Science Disciplines (48%), Medicine (69%) and Education (74%), which is a parent category of MER. Authors from low income countries contributed significantly to the topical diversity of MER. MeSH terms associated with government, community health, and health delivery were enriched in papers from low income countries, while terms associated with specialty and clinical training, technology in teaching, and professional obligations (such as workload, burnout, and empathy) were enriched in papers from high income countries. Conclusions: Geographic disparities in publication output are greater in MER than in any other field examined. The historical origins of MER in North America might explain disproportionate publication output by authors from this region. This study suggests that the MER field benefits from research contributed by authors from low income countries, and also points to potential gaps in MER (and medical education as a whole) in the developing world.","author":[{"dropping-particle":"","family":"Thomas","given":"Marshall P.","non-dropping-particle":"","parse-names":false,"suffix":""}],"container-title":"BMC Medical Education","id":"ITEM-1","issue":"1","issued":{"date-parts":[["2019"]]},"page":"1-5","publisher":"BMC Medical Education","title":"The geographic and topical landscape of medical education research","type":"article-journal","volume":"19"},"uris":["http://www.mendeley.com/documents/?uuid=a4fda59e-bb7c-43f7-afd0-9b67917b7315"]},{"id":"ITEM-2","itemData":{"DOI":"10.1186/s12909-014-0243-8","ISSN":"14726920","PMID":"25404502","abstract":"Background: Productivity and countries of origin of publications within the field of medical education research have not been explored. Using bibliometric techniques we conducted an analysis of studies evaluating medical education interventions, examining the country where research originated as well as networks of authors within countries identified as 'most productive'. Methods: PubMed was used to search for evaluative studies of medical education. We then examined relative productivity of countries with &gt;100 publications in our sample (number of publications/number of medical schools in country). Author networks from the top 2 countries with the highest relative productivity were constructed. Results: 6874 publications from 18,883 different authors were included. The countries with the highest relative publication productivity were Canada (37.1), Netherlands (28.3), New Zealand (27), the UK (23), and the U.S.A (17.1). Author collaboration networks differed in both numbers of authors and intensity of collaborations in the countries with highest relative productivity. Conclusions: In terms of the number of publications of evaluative studies in medical education, Canada was the country with the highest relative productivity. Author networks allow for the identification of ongoing and potential new collaborations amongst authors.","author":[{"dropping-particle":"","family":"Doja","given":"Asif","non-dropping-particle":"","parse-names":false,"suffix":""},{"dropping-particle":"","family":"Horsley","given":"Tanya","non-dropping-particle":"","parse-names":false,"suffix":""},{"dropping-particle":"","family":"Sampson","given":"Margaret","non-dropping-particle":"","parse-names":false,"suffix":""}],"container-title":"BMC Medical Education","id":"ITEM-2","issue":"1","issued":{"date-parts":[["2014"]]},"page":"1-9","title":"Productivity in medical education research: An examination of countries of origin","type":"article-journal","volume":"14"},"uris":["http://www.mendeley.com/documents/?uuid=c6d7bfcc-8b9e-4d4f-9ba0-820a81ca4ad3"]}],"mendeley":{"formattedCitation":"[4,5]","plainTextFormattedCitation":"[4,5]","previouslyFormattedCitation":"[4,5]"},"properties":{"noteIndex":0},"schema":"https://github.com/citation-style-language/schema/raw/master/csl-citation.json"}</w:instrText>
      </w:r>
      <w:r w:rsidR="00F540F2">
        <w:rPr>
          <w:lang w:eastAsia="en-GB"/>
        </w:rPr>
        <w:fldChar w:fldCharType="separate"/>
      </w:r>
      <w:r w:rsidR="00F540F2" w:rsidRPr="00F540F2">
        <w:rPr>
          <w:noProof/>
          <w:lang w:eastAsia="en-GB"/>
        </w:rPr>
        <w:t>[4,5]</w:t>
      </w:r>
      <w:r w:rsidR="00F540F2">
        <w:rPr>
          <w:lang w:eastAsia="en-GB"/>
        </w:rPr>
        <w:fldChar w:fldCharType="end"/>
      </w:r>
      <w:r w:rsidR="00B741C2">
        <w:rPr>
          <w:lang w:eastAsia="en-GB"/>
        </w:rPr>
        <w:t xml:space="preserve"> and </w:t>
      </w:r>
      <w:r w:rsidR="00255397">
        <w:rPr>
          <w:lang w:eastAsia="en-GB"/>
        </w:rPr>
        <w:t>others</w:t>
      </w:r>
      <w:r w:rsidR="00E944D2">
        <w:rPr>
          <w:lang w:eastAsia="en-GB"/>
        </w:rPr>
        <w:t xml:space="preserve">.  </w:t>
      </w:r>
    </w:p>
    <w:p w14:paraId="74A600D1" w14:textId="12F3EEDA" w:rsidR="00F92FA1" w:rsidRDefault="00255397" w:rsidP="00EF6174">
      <w:pPr>
        <w:rPr>
          <w:lang w:eastAsia="en-GB"/>
        </w:rPr>
      </w:pPr>
      <w:r>
        <w:rPr>
          <w:lang w:eastAsia="en-GB"/>
        </w:rPr>
        <w:t xml:space="preserve">To reduce data and create more robust measures of </w:t>
      </w:r>
      <w:r w:rsidR="009D1156">
        <w:rPr>
          <w:lang w:eastAsia="en-GB"/>
        </w:rPr>
        <w:t xml:space="preserve">the </w:t>
      </w:r>
      <w:r>
        <w:rPr>
          <w:lang w:eastAsia="en-GB"/>
        </w:rPr>
        <w:t>constructs of interest, w</w:t>
      </w:r>
      <w:r w:rsidR="00F92FA1">
        <w:rPr>
          <w:lang w:eastAsia="en-GB"/>
        </w:rPr>
        <w:t>e performed princip</w:t>
      </w:r>
      <w:r w:rsidR="00401189">
        <w:rPr>
          <w:lang w:eastAsia="en-GB"/>
        </w:rPr>
        <w:t>al</w:t>
      </w:r>
      <w:r w:rsidR="00F92FA1">
        <w:rPr>
          <w:lang w:eastAsia="en-GB"/>
        </w:rPr>
        <w:t xml:space="preserve"> </w:t>
      </w:r>
      <w:r w:rsidR="001D0F0F">
        <w:rPr>
          <w:lang w:eastAsia="en-GB"/>
        </w:rPr>
        <w:t>component</w:t>
      </w:r>
      <w:r w:rsidR="00F92FA1">
        <w:rPr>
          <w:lang w:eastAsia="en-GB"/>
        </w:rPr>
        <w:t xml:space="preserve"> analys</w:t>
      </w:r>
      <w:r w:rsidR="00401189">
        <w:rPr>
          <w:lang w:eastAsia="en-GB"/>
        </w:rPr>
        <w:t>e</w:t>
      </w:r>
      <w:r w:rsidR="00F92FA1">
        <w:rPr>
          <w:lang w:eastAsia="en-GB"/>
        </w:rPr>
        <w:t>s</w:t>
      </w:r>
      <w:r w:rsidR="00B865FE">
        <w:rPr>
          <w:lang w:eastAsia="en-GB"/>
        </w:rPr>
        <w:t xml:space="preserve"> (PCA)</w:t>
      </w:r>
      <w:r w:rsidR="00F92FA1">
        <w:rPr>
          <w:lang w:eastAsia="en-GB"/>
        </w:rPr>
        <w:t xml:space="preserve"> on the 10 </w:t>
      </w:r>
      <w:r>
        <w:rPr>
          <w:lang w:eastAsia="en-GB"/>
        </w:rPr>
        <w:t>“</w:t>
      </w:r>
      <w:r w:rsidR="00F92FA1">
        <w:rPr>
          <w:lang w:eastAsia="en-GB"/>
        </w:rPr>
        <w:t xml:space="preserve">motivation for </w:t>
      </w:r>
      <w:r w:rsidR="00401189">
        <w:rPr>
          <w:lang w:eastAsia="en-GB"/>
        </w:rPr>
        <w:t>publication</w:t>
      </w:r>
      <w:r>
        <w:rPr>
          <w:lang w:eastAsia="en-GB"/>
        </w:rPr>
        <w:t>”</w:t>
      </w:r>
      <w:r w:rsidR="00F92FA1">
        <w:rPr>
          <w:lang w:eastAsia="en-GB"/>
        </w:rPr>
        <w:t xml:space="preserve"> items and the 21 </w:t>
      </w:r>
      <w:r>
        <w:rPr>
          <w:lang w:eastAsia="en-GB"/>
        </w:rPr>
        <w:t>“</w:t>
      </w:r>
      <w:r w:rsidR="00401189">
        <w:rPr>
          <w:lang w:eastAsia="en-GB"/>
        </w:rPr>
        <w:t>journal priority items</w:t>
      </w:r>
      <w:r>
        <w:rPr>
          <w:lang w:eastAsia="en-GB"/>
        </w:rPr>
        <w:t>”</w:t>
      </w:r>
      <w:r w:rsidR="00401189">
        <w:rPr>
          <w:lang w:eastAsia="en-GB"/>
        </w:rPr>
        <w:t xml:space="preserve"> with </w:t>
      </w:r>
      <w:r w:rsidR="000014FD">
        <w:rPr>
          <w:lang w:eastAsia="en-GB"/>
        </w:rPr>
        <w:t>oblique rotation. The Kaiser</w:t>
      </w:r>
      <w:r w:rsidR="001D0F46">
        <w:rPr>
          <w:lang w:eastAsia="en-GB"/>
        </w:rPr>
        <w:t>-M</w:t>
      </w:r>
      <w:r w:rsidR="000014FD">
        <w:rPr>
          <w:lang w:eastAsia="en-GB"/>
        </w:rPr>
        <w:t xml:space="preserve">eyer-Olkin measure </w:t>
      </w:r>
      <w:r w:rsidR="007A5D65">
        <w:rPr>
          <w:lang w:eastAsia="en-GB"/>
        </w:rPr>
        <w:t>verified</w:t>
      </w:r>
      <w:r w:rsidR="000014FD">
        <w:rPr>
          <w:lang w:eastAsia="en-GB"/>
        </w:rPr>
        <w:t xml:space="preserve"> sampling </w:t>
      </w:r>
      <w:r w:rsidR="007A5D65">
        <w:rPr>
          <w:lang w:eastAsia="en-GB"/>
        </w:rPr>
        <w:t>adequacy</w:t>
      </w:r>
      <w:r w:rsidR="000014FD">
        <w:rPr>
          <w:lang w:eastAsia="en-GB"/>
        </w:rPr>
        <w:t xml:space="preserve"> for the two analyses </w:t>
      </w:r>
      <w:r w:rsidR="001D0F46">
        <w:rPr>
          <w:lang w:eastAsia="en-GB"/>
        </w:rPr>
        <w:t>at KMO=</w:t>
      </w:r>
      <w:r w:rsidR="00C9406D">
        <w:rPr>
          <w:lang w:eastAsia="en-GB"/>
        </w:rPr>
        <w:t xml:space="preserve">.775 </w:t>
      </w:r>
      <w:r w:rsidR="001D0F46">
        <w:rPr>
          <w:lang w:eastAsia="en-GB"/>
        </w:rPr>
        <w:t>and</w:t>
      </w:r>
      <w:r w:rsidR="009D1156">
        <w:rPr>
          <w:lang w:eastAsia="en-GB"/>
        </w:rPr>
        <w:t xml:space="preserve"> </w:t>
      </w:r>
      <w:r w:rsidR="000F643F">
        <w:rPr>
          <w:lang w:eastAsia="en-GB"/>
        </w:rPr>
        <w:t xml:space="preserve">.839 </w:t>
      </w:r>
      <w:r w:rsidR="001D0F46">
        <w:rPr>
          <w:lang w:eastAsia="en-GB"/>
        </w:rPr>
        <w:t xml:space="preserve">for </w:t>
      </w:r>
      <w:r w:rsidR="007A5D65">
        <w:rPr>
          <w:lang w:eastAsia="en-GB"/>
        </w:rPr>
        <w:t>motivations</w:t>
      </w:r>
      <w:r w:rsidR="001D0F46">
        <w:rPr>
          <w:lang w:eastAsia="en-GB"/>
        </w:rPr>
        <w:t xml:space="preserve"> and priorities, respectively.</w:t>
      </w:r>
      <w:r w:rsidR="00552BE6">
        <w:rPr>
          <w:lang w:eastAsia="en-GB"/>
        </w:rPr>
        <w:t xml:space="preserve"> Subsequent analyses used computed factor scores based on the </w:t>
      </w:r>
      <w:r w:rsidR="00F04AD2">
        <w:rPr>
          <w:lang w:eastAsia="en-GB"/>
        </w:rPr>
        <w:t>mean</w:t>
      </w:r>
      <w:r w:rsidR="00552BE6">
        <w:rPr>
          <w:lang w:eastAsia="en-GB"/>
        </w:rPr>
        <w:t xml:space="preserve"> of their components.</w:t>
      </w:r>
      <w:r w:rsidR="00FE492F">
        <w:rPr>
          <w:lang w:eastAsia="en-GB"/>
        </w:rPr>
        <w:t xml:space="preserve"> Missing data were </w:t>
      </w:r>
      <w:r w:rsidR="000C37ED">
        <w:rPr>
          <w:lang w:eastAsia="en-GB"/>
        </w:rPr>
        <w:t>replaced with item means</w:t>
      </w:r>
      <w:r>
        <w:rPr>
          <w:lang w:eastAsia="en-GB"/>
        </w:rPr>
        <w:t xml:space="preserve"> where possible</w:t>
      </w:r>
      <w:r w:rsidR="000C37ED">
        <w:rPr>
          <w:lang w:eastAsia="en-GB"/>
        </w:rPr>
        <w:t>.</w:t>
      </w:r>
    </w:p>
    <w:p w14:paraId="2D0D5364" w14:textId="411C58CB" w:rsidR="00753D78" w:rsidRDefault="00255397" w:rsidP="00EF6174">
      <w:pPr>
        <w:rPr>
          <w:lang w:eastAsia="en-GB"/>
        </w:rPr>
      </w:pPr>
      <w:r>
        <w:rPr>
          <w:lang w:eastAsia="en-GB"/>
        </w:rPr>
        <w:t>Finally, w</w:t>
      </w:r>
      <w:r w:rsidR="00753D78">
        <w:rPr>
          <w:lang w:eastAsia="en-GB"/>
        </w:rPr>
        <w:t xml:space="preserve">e </w:t>
      </w:r>
      <w:r w:rsidR="00656CAA">
        <w:rPr>
          <w:lang w:eastAsia="en-GB"/>
        </w:rPr>
        <w:t xml:space="preserve">performed </w:t>
      </w:r>
      <w:r w:rsidR="0096198B">
        <w:rPr>
          <w:lang w:eastAsia="en-GB"/>
        </w:rPr>
        <w:t xml:space="preserve">linear and logistic regression analyses to identify associations between author demographics and priorities with </w:t>
      </w:r>
      <w:r w:rsidR="00D104ED">
        <w:rPr>
          <w:lang w:eastAsia="en-GB"/>
        </w:rPr>
        <w:t xml:space="preserve">submission </w:t>
      </w:r>
      <w:r w:rsidR="00E47D2B">
        <w:rPr>
          <w:lang w:eastAsia="en-GB"/>
        </w:rPr>
        <w:t>outcome</w:t>
      </w:r>
      <w:r w:rsidR="00D104ED">
        <w:rPr>
          <w:lang w:eastAsia="en-GB"/>
        </w:rPr>
        <w:t>.</w:t>
      </w:r>
      <w:r w:rsidR="00574997">
        <w:rPr>
          <w:lang w:eastAsia="en-GB"/>
        </w:rPr>
        <w:t xml:space="preserve"> We included the </w:t>
      </w:r>
      <w:r w:rsidR="007068FC">
        <w:rPr>
          <w:lang w:eastAsia="en-GB"/>
        </w:rPr>
        <w:t xml:space="preserve">stage at which authors decided on a </w:t>
      </w:r>
      <w:r w:rsidR="008B149C">
        <w:rPr>
          <w:lang w:eastAsia="en-GB"/>
        </w:rPr>
        <w:t>first-choice</w:t>
      </w:r>
      <w:r w:rsidR="007068FC">
        <w:rPr>
          <w:lang w:eastAsia="en-GB"/>
        </w:rPr>
        <w:t xml:space="preserve"> journal in these models</w:t>
      </w:r>
      <w:r w:rsidR="00A77BA6">
        <w:rPr>
          <w:lang w:eastAsia="en-GB"/>
        </w:rPr>
        <w:t xml:space="preserve"> because</w:t>
      </w:r>
      <w:r w:rsidR="007068FC">
        <w:rPr>
          <w:lang w:eastAsia="en-GB"/>
        </w:rPr>
        <w:t xml:space="preserve"> deciding early and tailoring one’s article to the journal style is </w:t>
      </w:r>
      <w:r w:rsidR="008B149C">
        <w:rPr>
          <w:lang w:eastAsia="en-GB"/>
        </w:rPr>
        <w:t>commonly advised.</w:t>
      </w:r>
      <w:r w:rsidR="007068FC">
        <w:rPr>
          <w:lang w:eastAsia="en-GB"/>
        </w:rPr>
        <w:t xml:space="preserve"> </w:t>
      </w:r>
    </w:p>
    <w:p w14:paraId="44F617AA" w14:textId="5A8655CB" w:rsidR="00C84AEC" w:rsidRPr="00C84AEC" w:rsidRDefault="00C84AEC" w:rsidP="00C84AEC"/>
    <w:p w14:paraId="3294A4F0" w14:textId="4446EB7B" w:rsidR="00B26C7C" w:rsidRDefault="00B26C7C" w:rsidP="00255735">
      <w:pPr>
        <w:pStyle w:val="Heading1"/>
        <w:numPr>
          <w:ilvl w:val="0"/>
          <w:numId w:val="0"/>
        </w:numPr>
      </w:pPr>
      <w:r>
        <w:t>Results</w:t>
      </w:r>
    </w:p>
    <w:p w14:paraId="6FC49623" w14:textId="03B7F1B4" w:rsidR="00115DC9" w:rsidRPr="00115DC9" w:rsidRDefault="00115DC9" w:rsidP="00255735">
      <w:pPr>
        <w:pStyle w:val="Heading2"/>
        <w:numPr>
          <w:ilvl w:val="0"/>
          <w:numId w:val="0"/>
        </w:numPr>
      </w:pPr>
      <w:r>
        <w:t>Participants</w:t>
      </w:r>
    </w:p>
    <w:p w14:paraId="374CFE17" w14:textId="166F328F" w:rsidR="00ED46EF" w:rsidRDefault="000D005B" w:rsidP="00ED46EF">
      <w:r>
        <w:t xml:space="preserve">Of the 4000 email invitations, </w:t>
      </w:r>
      <w:r w:rsidR="009E2778">
        <w:t xml:space="preserve">509 </w:t>
      </w:r>
      <w:r w:rsidR="00104BB7">
        <w:t xml:space="preserve">were returned as undeliverable. </w:t>
      </w:r>
      <w:r w:rsidR="006D6C24">
        <w:t>8</w:t>
      </w:r>
      <w:r w:rsidR="00A230E1">
        <w:t xml:space="preserve">63 </w:t>
      </w:r>
      <w:r w:rsidR="006D6C24">
        <w:t>of the remaining</w:t>
      </w:r>
      <w:r w:rsidR="0057629B">
        <w:t xml:space="preserve"> 3491</w:t>
      </w:r>
      <w:r w:rsidR="006D6C24">
        <w:t xml:space="preserve"> </w:t>
      </w:r>
      <w:r w:rsidR="00A230E1">
        <w:t>individuals responded to our survey</w:t>
      </w:r>
      <w:r w:rsidR="006D6C24">
        <w:t>, g</w:t>
      </w:r>
      <w:r w:rsidR="00A230E1">
        <w:t>iving a</w:t>
      </w:r>
      <w:r w:rsidR="00946EE1">
        <w:t>n overall</w:t>
      </w:r>
      <w:r w:rsidR="00A230E1">
        <w:t xml:space="preserve"> response rate of </w:t>
      </w:r>
      <w:r w:rsidR="00F46664">
        <w:t xml:space="preserve">24.7%. </w:t>
      </w:r>
      <w:r w:rsidR="006D6C24">
        <w:t>From this group, w</w:t>
      </w:r>
      <w:r w:rsidR="00E1092F">
        <w:t>e excluded 9</w:t>
      </w:r>
      <w:r w:rsidR="004108DC">
        <w:t>8</w:t>
      </w:r>
      <w:r w:rsidR="007163EA">
        <w:t xml:space="preserve"> </w:t>
      </w:r>
      <w:r w:rsidR="004108DC">
        <w:t>responses</w:t>
      </w:r>
      <w:r w:rsidR="006D6C24">
        <w:t xml:space="preserve"> focused on ineligible contributions to the literature</w:t>
      </w:r>
      <w:r w:rsidR="004108DC">
        <w:t xml:space="preserve"> </w:t>
      </w:r>
      <w:r w:rsidR="007163EA">
        <w:t xml:space="preserve">(19 editorials, </w:t>
      </w:r>
      <w:r w:rsidR="002C3AC7">
        <w:t xml:space="preserve">7 </w:t>
      </w:r>
      <w:r w:rsidR="007163EA">
        <w:t>letters,</w:t>
      </w:r>
      <w:r w:rsidR="00AC5158">
        <w:t xml:space="preserve"> and 72 commissioned articles</w:t>
      </w:r>
      <w:r w:rsidR="007163EA">
        <w:t>)</w:t>
      </w:r>
      <w:r w:rsidR="00D42978">
        <w:t xml:space="preserve">, </w:t>
      </w:r>
      <w:r w:rsidR="002C3AC7">
        <w:t xml:space="preserve">3 </w:t>
      </w:r>
      <w:r w:rsidR="00D42978">
        <w:t>duplicate</w:t>
      </w:r>
      <w:r w:rsidR="002C3AC7">
        <w:t xml:space="preserve"> response</w:t>
      </w:r>
      <w:r w:rsidR="00D42978">
        <w:t xml:space="preserve">s, and </w:t>
      </w:r>
      <w:r w:rsidR="004108DC">
        <w:t>75 incomplete responses (33 completed the consent form but no</w:t>
      </w:r>
      <w:r w:rsidR="00600DC0">
        <w:t>t the</w:t>
      </w:r>
      <w:r w:rsidR="004108DC">
        <w:t xml:space="preserve"> </w:t>
      </w:r>
      <w:r w:rsidR="004A243A">
        <w:t>questionnaire</w:t>
      </w:r>
      <w:r w:rsidR="00600DC0">
        <w:t xml:space="preserve"> and</w:t>
      </w:r>
      <w:r w:rsidR="004A243A">
        <w:t xml:space="preserve"> 42 completed the demographic </w:t>
      </w:r>
      <w:r w:rsidR="00D42978">
        <w:t>items only)</w:t>
      </w:r>
      <w:r w:rsidR="00AC5158">
        <w:t>.</w:t>
      </w:r>
      <w:r w:rsidR="00D42978">
        <w:t xml:space="preserve"> Our final dataset</w:t>
      </w:r>
      <w:r w:rsidR="006D6C24">
        <w:t>, therefore,</w:t>
      </w:r>
      <w:r w:rsidR="00D42978">
        <w:t xml:space="preserve"> consisted of </w:t>
      </w:r>
      <w:r w:rsidR="003A23E2">
        <w:t>691 responses</w:t>
      </w:r>
      <w:r w:rsidR="00946EE1">
        <w:t xml:space="preserve">, </w:t>
      </w:r>
      <w:r w:rsidR="00986A0C">
        <w:t>a final response rate of 21.7%</w:t>
      </w:r>
      <w:r w:rsidR="00706D26">
        <w:t xml:space="preserve"> </w:t>
      </w:r>
      <w:r w:rsidR="00F96E03">
        <w:t>(American Association for Public Opinion Research</w:t>
      </w:r>
      <w:r w:rsidR="00706D26">
        <w:t>, standard definition 4)</w:t>
      </w:r>
      <w:r w:rsidR="004126C6" w:rsidRPr="004126C6">
        <w:t xml:space="preserve"> </w:t>
      </w:r>
      <w:r w:rsidR="004126C6">
        <w:fldChar w:fldCharType="begin" w:fldLock="1"/>
      </w:r>
      <w:r w:rsidR="004126C6">
        <w:instrText>ADDIN CSL_CITATION {"citationItems":[{"id":"ITEM-1","itemData":{"ISSN":"15327906","author":[{"dropping-particle":"","family":"The American Association for Public Opinion Research","given":"","non-dropping-particle":"","parse-names":false,"suffix":""}],"container-title":"Multivariate Behavioral Research","id":"ITEM-1","issue":"1","issued":{"date-parts":[["2016"]]},"title":"Standard Definitions: Final Dispositions of Case Codes and Outcome Rates for Surveys. 9th edition","type":"report","volume":"25"},"uris":["http://www.mendeley.com/documents/?uuid=9a444c52-fc61-45f2-8aa1-c604f2c609e8"]}],"mendeley":{"formattedCitation":"[16]","plainTextFormattedCitation":"[16]","previouslyFormattedCitation":"[16]"},"properties":{"noteIndex":0},"schema":"https://github.com/citation-style-language/schema/raw/master/csl-citation.json"}</w:instrText>
      </w:r>
      <w:r w:rsidR="004126C6">
        <w:fldChar w:fldCharType="separate"/>
      </w:r>
      <w:r w:rsidR="004126C6" w:rsidRPr="009F2244">
        <w:rPr>
          <w:noProof/>
        </w:rPr>
        <w:t>[16]</w:t>
      </w:r>
      <w:r w:rsidR="004126C6">
        <w:fldChar w:fldCharType="end"/>
      </w:r>
      <w:r w:rsidR="00E12532">
        <w:t>.</w:t>
      </w:r>
      <w:r w:rsidR="006524F7">
        <w:t xml:space="preserve"> </w:t>
      </w:r>
      <w:r w:rsidR="00495FB7">
        <w:t xml:space="preserve">Wave analysis </w:t>
      </w:r>
      <w:r w:rsidR="00600DC0">
        <w:t>revealed</w:t>
      </w:r>
      <w:r w:rsidR="00495FB7">
        <w:t xml:space="preserve"> a median nonresponse </w:t>
      </w:r>
      <w:r w:rsidR="00072AE5">
        <w:t xml:space="preserve">bias </w:t>
      </w:r>
      <w:r w:rsidR="00495FB7">
        <w:t xml:space="preserve">statistic of </w:t>
      </w:r>
      <w:r w:rsidR="00072AE5">
        <w:t>0.03</w:t>
      </w:r>
      <w:r w:rsidR="004F4CF5">
        <w:t xml:space="preserve">, suggesting </w:t>
      </w:r>
      <w:r w:rsidR="001F5CEF">
        <w:t>very little difference between respondents and proxy nonrespondents</w:t>
      </w:r>
      <w:r w:rsidR="004F4CF5">
        <w:t>.</w:t>
      </w:r>
    </w:p>
    <w:p w14:paraId="2F87CC59" w14:textId="7ABB438B" w:rsidR="008B318E" w:rsidRDefault="008B318E" w:rsidP="00ED46EF">
      <w:r>
        <w:t xml:space="preserve">Respondents </w:t>
      </w:r>
      <w:r w:rsidR="00B84297">
        <w:t>were</w:t>
      </w:r>
      <w:r>
        <w:t xml:space="preserve"> </w:t>
      </w:r>
      <w:r w:rsidR="00A561A4">
        <w:t xml:space="preserve">aged 22 to 90 with </w:t>
      </w:r>
      <w:r>
        <w:t xml:space="preserve">a mean of </w:t>
      </w:r>
      <w:r w:rsidR="00097E7B">
        <w:t>44.</w:t>
      </w:r>
      <w:r w:rsidR="00474913">
        <w:t>8</w:t>
      </w:r>
      <w:r w:rsidR="00097E7B">
        <w:t xml:space="preserve"> (</w:t>
      </w:r>
      <w:r w:rsidR="00B865FE">
        <w:t>SD=</w:t>
      </w:r>
      <w:r w:rsidR="003E2038">
        <w:t>11.2</w:t>
      </w:r>
      <w:r w:rsidR="00016A99">
        <w:t>)</w:t>
      </w:r>
      <w:r w:rsidR="00D1226E">
        <w:t xml:space="preserve"> years</w:t>
      </w:r>
      <w:r w:rsidR="00016A99">
        <w:t>. They</w:t>
      </w:r>
      <w:r w:rsidR="00B84297">
        <w:t xml:space="preserve"> had </w:t>
      </w:r>
      <w:r w:rsidR="0047745E">
        <w:t xml:space="preserve">a </w:t>
      </w:r>
      <w:r w:rsidR="00862E33">
        <w:t>median</w:t>
      </w:r>
      <w:r w:rsidR="0047745E">
        <w:t xml:space="preserve"> of </w:t>
      </w:r>
      <w:r w:rsidR="00C82451">
        <w:t>27</w:t>
      </w:r>
      <w:r w:rsidR="00824031">
        <w:t xml:space="preserve"> (</w:t>
      </w:r>
      <w:r w:rsidR="00B865FE">
        <w:t>range=</w:t>
      </w:r>
      <w:r w:rsidR="00C843BD">
        <w:t>1-700)</w:t>
      </w:r>
      <w:r w:rsidR="003317B2">
        <w:t xml:space="preserve"> publications.</w:t>
      </w:r>
      <w:r w:rsidR="00F509AA">
        <w:t xml:space="preserve">  </w:t>
      </w:r>
      <w:r w:rsidR="00751438">
        <w:t>471</w:t>
      </w:r>
      <w:r w:rsidR="004B7ED1">
        <w:t xml:space="preserve"> (68%)</w:t>
      </w:r>
      <w:r w:rsidR="00751438">
        <w:t xml:space="preserve"> respondents </w:t>
      </w:r>
      <w:r w:rsidR="00352226">
        <w:t xml:space="preserve">were from </w:t>
      </w:r>
      <w:r w:rsidR="00A561A4">
        <w:t xml:space="preserve">the </w:t>
      </w:r>
      <w:r w:rsidR="00352226">
        <w:t>dominant HPE publishing</w:t>
      </w:r>
      <w:r w:rsidR="00A561A4">
        <w:t xml:space="preserve"> countries</w:t>
      </w:r>
      <w:r w:rsidR="00352226">
        <w:t xml:space="preserve"> (Unite</w:t>
      </w:r>
      <w:r w:rsidR="00A561A4">
        <w:t>d</w:t>
      </w:r>
      <w:r w:rsidR="00352226">
        <w:t xml:space="preserve"> States, United Kingdom, Canada, Australia, </w:t>
      </w:r>
      <w:r w:rsidR="00A561A4">
        <w:t xml:space="preserve">the </w:t>
      </w:r>
      <w:r w:rsidR="00352226">
        <w:t>Netherlands)</w:t>
      </w:r>
      <w:r w:rsidR="004B7ED1">
        <w:t>.</w:t>
      </w:r>
      <w:r w:rsidR="00A56BDB">
        <w:t xml:space="preserve"> Further demographics are presented in</w:t>
      </w:r>
      <w:r w:rsidR="003B6DBC">
        <w:t xml:space="preserve"> Supplementary Table 1</w:t>
      </w:r>
      <w:r w:rsidR="00A56BDB">
        <w:t>.</w:t>
      </w:r>
    </w:p>
    <w:p w14:paraId="5B2B2C72" w14:textId="6C3183CB" w:rsidR="002078C1" w:rsidRDefault="002078C1" w:rsidP="009269BB">
      <w:pPr>
        <w:pStyle w:val="Heading2"/>
        <w:numPr>
          <w:ilvl w:val="0"/>
          <w:numId w:val="0"/>
        </w:numPr>
      </w:pPr>
      <w:r>
        <w:lastRenderedPageBreak/>
        <w:t>Prepublication history</w:t>
      </w:r>
    </w:p>
    <w:p w14:paraId="532CDCA9" w14:textId="0B720719" w:rsidR="00160E18" w:rsidRDefault="00420BCA">
      <w:r>
        <w:t xml:space="preserve">Manuscripts were initially submitted to 233 different </w:t>
      </w:r>
      <w:r w:rsidR="00892B43">
        <w:t>first</w:t>
      </w:r>
      <w:r w:rsidR="00AA20DB">
        <w:t>-</w:t>
      </w:r>
      <w:r w:rsidR="00892B43">
        <w:t xml:space="preserve">choice journals. </w:t>
      </w:r>
      <w:r w:rsidR="009E2F41">
        <w:t>Of the</w:t>
      </w:r>
      <w:r w:rsidR="001D5DBE">
        <w:t xml:space="preserve"> </w:t>
      </w:r>
      <w:r w:rsidR="00351890">
        <w:t xml:space="preserve">337 </w:t>
      </w:r>
      <w:r w:rsidR="002823FC">
        <w:t>(</w:t>
      </w:r>
      <w:r w:rsidR="00B02FCB">
        <w:t>63.5%</w:t>
      </w:r>
      <w:r w:rsidR="002823FC">
        <w:t xml:space="preserve">) </w:t>
      </w:r>
      <w:r w:rsidR="00C824C1">
        <w:t xml:space="preserve">manuscripts that were accepted at the first journal to which they were submitted, </w:t>
      </w:r>
      <w:r w:rsidR="00162479">
        <w:t>6</w:t>
      </w:r>
      <w:r w:rsidR="00607D53">
        <w:t xml:space="preserve"> (</w:t>
      </w:r>
      <w:r w:rsidR="00162479">
        <w:t>1.8</w:t>
      </w:r>
      <w:r w:rsidR="00607D53">
        <w:t xml:space="preserve">%) were </w:t>
      </w:r>
      <w:r w:rsidR="00B6330F">
        <w:t xml:space="preserve">accepted without revisions, </w:t>
      </w:r>
      <w:r w:rsidR="008E385A">
        <w:t>172</w:t>
      </w:r>
      <w:r w:rsidR="00B6330F">
        <w:t xml:space="preserve"> (</w:t>
      </w:r>
      <w:r w:rsidR="00015709">
        <w:t>51.0</w:t>
      </w:r>
      <w:r w:rsidR="00B6330F">
        <w:t xml:space="preserve">%) were accepted after </w:t>
      </w:r>
      <w:r w:rsidR="003D6B25">
        <w:t xml:space="preserve">minor revisions, </w:t>
      </w:r>
      <w:r w:rsidR="00B5664F">
        <w:t xml:space="preserve">and </w:t>
      </w:r>
      <w:r w:rsidR="00015709">
        <w:t>1</w:t>
      </w:r>
      <w:r w:rsidR="00B31D02">
        <w:t>5</w:t>
      </w:r>
      <w:r w:rsidR="00015709">
        <w:t>9</w:t>
      </w:r>
      <w:r w:rsidR="003D6B25">
        <w:t xml:space="preserve"> (</w:t>
      </w:r>
      <w:r w:rsidR="00B31D02">
        <w:t>47.2</w:t>
      </w:r>
      <w:r w:rsidR="003D6B25">
        <w:t xml:space="preserve">%) were accepted after </w:t>
      </w:r>
      <w:r w:rsidR="00B31D02">
        <w:t>major</w:t>
      </w:r>
      <w:r w:rsidR="003D6B25">
        <w:t xml:space="preserve"> revisions. </w:t>
      </w:r>
      <w:r w:rsidR="00E85C4C">
        <w:t xml:space="preserve">These manuscripts required a mean </w:t>
      </w:r>
      <w:r w:rsidR="00453139">
        <w:t>of 1.4 (</w:t>
      </w:r>
      <w:r w:rsidR="00B865FE">
        <w:t>SD=</w:t>
      </w:r>
      <w:r w:rsidR="00453139">
        <w:t>.</w:t>
      </w:r>
      <w:r w:rsidR="00E85638">
        <w:t>7</w:t>
      </w:r>
      <w:r w:rsidR="00453139">
        <w:t>) rounds of revision.</w:t>
      </w:r>
      <w:r w:rsidR="003D6B25">
        <w:t xml:space="preserve"> </w:t>
      </w:r>
      <w:r w:rsidR="00F231D2">
        <w:t xml:space="preserve">The likelihood of being accepted at the first journal to which authors submitted was </w:t>
      </w:r>
      <w:r w:rsidR="00600DC0">
        <w:t xml:space="preserve">comparable </w:t>
      </w:r>
      <w:r w:rsidR="00F231D2">
        <w:t>for those submitting from a “dominant” country (</w:t>
      </w:r>
      <w:r w:rsidR="0006112E">
        <w:t>67.9</w:t>
      </w:r>
      <w:r w:rsidR="00F231D2">
        <w:t>%) relative to a “non-dominant” country (</w:t>
      </w:r>
      <w:r w:rsidR="003B0701">
        <w:t>62.4</w:t>
      </w:r>
      <w:r w:rsidR="00F231D2">
        <w:t>%; Chi-squared=</w:t>
      </w:r>
      <w:r w:rsidR="00E85638">
        <w:t>2</w:t>
      </w:r>
      <w:r w:rsidR="00704262">
        <w:t>.</w:t>
      </w:r>
      <w:r w:rsidR="00E85638">
        <w:t>0</w:t>
      </w:r>
      <w:r w:rsidR="00F231D2">
        <w:t>, p=</w:t>
      </w:r>
      <w:r w:rsidR="007D43EC">
        <w:t>.16</w:t>
      </w:r>
      <w:r w:rsidR="00F231D2">
        <w:t>)</w:t>
      </w:r>
      <w:r w:rsidR="00600DC0">
        <w:t xml:space="preserve">; the same is true for those </w:t>
      </w:r>
      <w:r w:rsidR="00014C1B">
        <w:t>whose corresponding authors varied in experience level</w:t>
      </w:r>
      <w:r w:rsidR="007E6F3D">
        <w:t xml:space="preserve"> -</w:t>
      </w:r>
      <w:r w:rsidR="00014C1B">
        <w:t xml:space="preserve"> trainees, junior academics, and senior academics </w:t>
      </w:r>
      <w:r w:rsidR="00123E5B">
        <w:t>=</w:t>
      </w:r>
      <w:r w:rsidR="00014C1B">
        <w:t xml:space="preserve"> </w:t>
      </w:r>
      <w:r w:rsidR="00C70FDB">
        <w:t>57.1</w:t>
      </w:r>
      <w:r w:rsidR="00F231D2">
        <w:t>%</w:t>
      </w:r>
      <w:r w:rsidR="00014C1B">
        <w:t xml:space="preserve">, </w:t>
      </w:r>
      <w:r w:rsidR="00C70FDB">
        <w:t>68.8</w:t>
      </w:r>
      <w:r w:rsidR="00014C1B">
        <w:t xml:space="preserve">%, and </w:t>
      </w:r>
      <w:r w:rsidR="00C70FDB">
        <w:t>68.2</w:t>
      </w:r>
      <w:r w:rsidR="00014C1B">
        <w:t>%, respectively (</w:t>
      </w:r>
      <w:r w:rsidR="00F231D2">
        <w:t>Chi-squared=</w:t>
      </w:r>
      <w:r w:rsidR="00022933">
        <w:t>5.9</w:t>
      </w:r>
      <w:r w:rsidR="00F231D2">
        <w:t>, p=</w:t>
      </w:r>
      <w:r w:rsidR="00022933">
        <w:t>.05</w:t>
      </w:r>
      <w:r w:rsidR="00F231D2">
        <w:t>)</w:t>
      </w:r>
      <w:r w:rsidR="00600DC0">
        <w:t>; those</w:t>
      </w:r>
      <w:r w:rsidR="007E6F3D">
        <w:t xml:space="preserve"> </w:t>
      </w:r>
      <w:r w:rsidR="00F84D92">
        <w:t>whose</w:t>
      </w:r>
      <w:r w:rsidR="007E6F3D">
        <w:t xml:space="preserve"> research type prioritiz</w:t>
      </w:r>
      <w:r w:rsidR="00F84D92">
        <w:t>ation differed</w:t>
      </w:r>
      <w:r w:rsidR="007E6F3D">
        <w:t xml:space="preserve"> - quantitative, qualitative, and mixed methods </w:t>
      </w:r>
      <w:r w:rsidR="00123E5B">
        <w:t>=</w:t>
      </w:r>
      <w:r w:rsidR="007E6F3D">
        <w:t xml:space="preserve"> </w:t>
      </w:r>
      <w:r w:rsidR="003F6410">
        <w:t>66.1</w:t>
      </w:r>
      <w:r w:rsidR="007E6F3D">
        <w:t xml:space="preserve">%, </w:t>
      </w:r>
      <w:r w:rsidR="003F6410">
        <w:t>71.4</w:t>
      </w:r>
      <w:r w:rsidR="007E6F3D">
        <w:t xml:space="preserve">%, and </w:t>
      </w:r>
      <w:r w:rsidR="00ED20E4">
        <w:t>64.9</w:t>
      </w:r>
      <w:r w:rsidR="007E6F3D">
        <w:t>%, respectively (Chi-squared=</w:t>
      </w:r>
      <w:r w:rsidR="003F6410">
        <w:t>1.8</w:t>
      </w:r>
      <w:r w:rsidR="007E6F3D">
        <w:t>, p=</w:t>
      </w:r>
      <w:r w:rsidR="003F6410">
        <w:t>.40</w:t>
      </w:r>
      <w:r w:rsidR="00600DC0">
        <w:t>;</w:t>
      </w:r>
      <w:r w:rsidR="00F84D92">
        <w:t xml:space="preserve"> and for male vs female corresponding author</w:t>
      </w:r>
      <w:r w:rsidR="00123E5B">
        <w:t>s</w:t>
      </w:r>
      <w:r w:rsidR="00F84D92">
        <w:t xml:space="preserve"> (</w:t>
      </w:r>
      <w:r w:rsidR="000F1F90">
        <w:t>61.7</w:t>
      </w:r>
      <w:r w:rsidR="00F84D92">
        <w:t xml:space="preserve">% and </w:t>
      </w:r>
      <w:r w:rsidR="00DE3D90">
        <w:t>70.1</w:t>
      </w:r>
      <w:r w:rsidR="00F84D92">
        <w:t>%, respectively (Chi-squared=</w:t>
      </w:r>
      <w:r w:rsidR="00DE3D90">
        <w:t>5.</w:t>
      </w:r>
      <w:r w:rsidR="00E85638">
        <w:t>2</w:t>
      </w:r>
      <w:r w:rsidR="00F84D92">
        <w:t>, p=</w:t>
      </w:r>
      <w:r w:rsidR="00DE3D90">
        <w:t>.02</w:t>
      </w:r>
      <w:r w:rsidR="00F84D92">
        <w:t>)</w:t>
      </w:r>
      <w:r w:rsidR="00F231D2">
        <w:t>.</w:t>
      </w:r>
    </w:p>
    <w:p w14:paraId="4299FED4" w14:textId="25D59516" w:rsidR="002078C1" w:rsidRPr="002078C1" w:rsidRDefault="00160E18" w:rsidP="00571F7B">
      <w:r>
        <w:t>Journals took a mean of 8.4 (</w:t>
      </w:r>
      <w:r w:rsidR="00ED24FE">
        <w:t>SD=</w:t>
      </w:r>
      <w:r>
        <w:t xml:space="preserve">7.8) weeks to make a first decision and </w:t>
      </w:r>
      <w:r w:rsidR="00AA20DB">
        <w:t>overall,</w:t>
      </w:r>
      <w:r>
        <w:t xml:space="preserve"> the process took a mean of 19.6 (</w:t>
      </w:r>
      <w:r w:rsidR="00ED24FE">
        <w:t>SD=</w:t>
      </w:r>
      <w:r>
        <w:t xml:space="preserve">19.6) weeks between first submission and ultimate acceptance. </w:t>
      </w:r>
      <w:r w:rsidR="00B5664F">
        <w:t>On average</w:t>
      </w:r>
      <w:r w:rsidR="00E85638">
        <w:t>,</w:t>
      </w:r>
      <w:r w:rsidR="00B5664F">
        <w:t xml:space="preserve"> papers were sent to a total of </w:t>
      </w:r>
      <w:r w:rsidR="007402C5">
        <w:t>1.5</w:t>
      </w:r>
      <w:r w:rsidR="00B5664F">
        <w:t xml:space="preserve"> journals before publication was achieved. </w:t>
      </w:r>
      <w:r w:rsidR="00A77ED4">
        <w:t xml:space="preserve">Of the 194 (36.5%) manuscripts that were not accepted at the first journal, 105 (54.1%) were rejected without peer review and 89 (45.9%) were rejected after review. </w:t>
      </w:r>
      <w:r w:rsidR="006333F3">
        <w:t xml:space="preserve">The modal approach to revising manuscripts </w:t>
      </w:r>
      <w:r w:rsidR="00A932B0">
        <w:t>before submitting to another journal was to change the formatting to meet the new journal’s requirements</w:t>
      </w:r>
      <w:r w:rsidR="005F5598">
        <w:t xml:space="preserve">; this was the case for those that were rejected </w:t>
      </w:r>
      <w:r w:rsidR="00E034A6">
        <w:t>after</w:t>
      </w:r>
      <w:r w:rsidR="005F5598">
        <w:t xml:space="preserve"> </w:t>
      </w:r>
      <w:r w:rsidR="00E85638">
        <w:t xml:space="preserve">peer review </w:t>
      </w:r>
      <w:r w:rsidR="005F5598">
        <w:t>and without peer review</w:t>
      </w:r>
      <w:r w:rsidR="00A13DF9">
        <w:t xml:space="preserve"> </w:t>
      </w:r>
      <w:r w:rsidR="00E85638">
        <w:t xml:space="preserve">but the proportion who fell into that category varied markedly (33.0% of those who received peer review made only formatting changes vs 65.0% of those who were rejected without peer review; </w:t>
      </w:r>
      <w:r w:rsidR="00E85638" w:rsidRPr="003E4143">
        <w:t>Chi-squared=</w:t>
      </w:r>
      <w:r w:rsidR="003E4143" w:rsidRPr="006D0324">
        <w:t>41.5</w:t>
      </w:r>
      <w:r w:rsidR="00E85638" w:rsidRPr="003E4143">
        <w:t>; p=</w:t>
      </w:r>
      <w:r w:rsidR="003E4143" w:rsidRPr="003E4143">
        <w:t>&lt;.001</w:t>
      </w:r>
      <w:r w:rsidR="00E85638" w:rsidRPr="003E4143">
        <w:t>))</w:t>
      </w:r>
      <w:r w:rsidR="006F1582" w:rsidRPr="003E4143">
        <w:t>. For</w:t>
      </w:r>
      <w:r w:rsidR="006F1582">
        <w:t xml:space="preserve"> those rejected after peer review, </w:t>
      </w:r>
      <w:r w:rsidR="001F60DF">
        <w:t>8</w:t>
      </w:r>
      <w:r w:rsidR="000B2493">
        <w:t xml:space="preserve"> (</w:t>
      </w:r>
      <w:r w:rsidR="001F60DF">
        <w:t>9.1%</w:t>
      </w:r>
      <w:r w:rsidR="000B2493">
        <w:t xml:space="preserve">) tweaked the wording, </w:t>
      </w:r>
      <w:r w:rsidR="007B657A">
        <w:t xml:space="preserve">24 </w:t>
      </w:r>
      <w:r w:rsidR="000B2493">
        <w:t>(</w:t>
      </w:r>
      <w:r w:rsidR="007B657A">
        <w:t>27.3</w:t>
      </w:r>
      <w:r w:rsidR="000B2493">
        <w:t xml:space="preserve">%) made changes to reporting without significant changes to content, </w:t>
      </w:r>
      <w:r w:rsidR="00EE1D1E">
        <w:t xml:space="preserve">22 </w:t>
      </w:r>
      <w:r w:rsidR="004B49D7">
        <w:t>(</w:t>
      </w:r>
      <w:r w:rsidR="00EE1D1E">
        <w:t>25</w:t>
      </w:r>
      <w:r w:rsidR="004B49D7">
        <w:t xml:space="preserve">%) made substantial changes to the manuscript, and </w:t>
      </w:r>
      <w:r w:rsidR="00EE1D1E">
        <w:t xml:space="preserve">5 </w:t>
      </w:r>
      <w:r w:rsidR="004B49D7">
        <w:t>(</w:t>
      </w:r>
      <w:r w:rsidR="00EE1D1E">
        <w:t>5.7</w:t>
      </w:r>
      <w:r w:rsidR="0035040D">
        <w:t xml:space="preserve"> </w:t>
      </w:r>
      <w:r w:rsidR="004B49D7">
        <w:t>%</w:t>
      </w:r>
      <w:r w:rsidR="00B5664F">
        <w:t>)</w:t>
      </w:r>
      <w:r w:rsidR="004B49D7">
        <w:t xml:space="preserve"> just resubmitted the original manuscript. </w:t>
      </w:r>
      <w:r>
        <w:t xml:space="preserve">When comparing the 38 that made substantial changes to the 179 </w:t>
      </w:r>
      <w:r w:rsidR="00142FE3">
        <w:t>who</w:t>
      </w:r>
      <w:r>
        <w:t xml:space="preserve"> </w:t>
      </w:r>
      <w:r w:rsidR="003F13FF">
        <w:t xml:space="preserve">changed formatting, wording, </w:t>
      </w:r>
      <w:r w:rsidR="00142FE3">
        <w:t>or reporting</w:t>
      </w:r>
      <w:r>
        <w:t xml:space="preserve">, the average number of journals pursued before publication was </w:t>
      </w:r>
      <w:r w:rsidRPr="00EF6555">
        <w:t xml:space="preserve">achieved was </w:t>
      </w:r>
      <w:r w:rsidR="00153848" w:rsidRPr="00EF6555">
        <w:t>2.6</w:t>
      </w:r>
      <w:r w:rsidRPr="00EF6555">
        <w:t xml:space="preserve"> and </w:t>
      </w:r>
      <w:r w:rsidR="004B1345">
        <w:t>2.5</w:t>
      </w:r>
      <w:r>
        <w:t>, respectively (</w:t>
      </w:r>
      <w:r w:rsidR="004B1345">
        <w:t xml:space="preserve">t=.4, </w:t>
      </w:r>
      <w:r w:rsidR="00115567">
        <w:t>p=.68</w:t>
      </w:r>
      <w:r>
        <w:t>). The average length of time the</w:t>
      </w:r>
      <w:r w:rsidR="004E7FA7">
        <w:t xml:space="preserve"> subsequent</w:t>
      </w:r>
      <w:r>
        <w:t xml:space="preserve"> journal required to offer a </w:t>
      </w:r>
      <w:r w:rsidR="00D309C8">
        <w:t xml:space="preserve">first </w:t>
      </w:r>
      <w:r>
        <w:t xml:space="preserve">decision was </w:t>
      </w:r>
      <w:r w:rsidR="00DC2BC9">
        <w:t>6.7 weeks.</w:t>
      </w:r>
      <w:r w:rsidR="001C391F">
        <w:t xml:space="preserve"> There was no significant difference in the duration between rejection from first journal and final acceptance </w:t>
      </w:r>
      <w:r w:rsidR="0004575C">
        <w:t>between those who made substantial changes (</w:t>
      </w:r>
      <w:r w:rsidR="004B0DAB">
        <w:t xml:space="preserve">mean = 23.1, SD = </w:t>
      </w:r>
      <w:r w:rsidR="00BF07BB">
        <w:t>20.8 weeks</w:t>
      </w:r>
      <w:r w:rsidR="0004575C">
        <w:t>) and those who made formatting, wording, or reporting changes (</w:t>
      </w:r>
      <w:r w:rsidR="00BF07BB">
        <w:t xml:space="preserve">mean = 35.2, SD= </w:t>
      </w:r>
      <w:r w:rsidR="00672060">
        <w:t>39.0</w:t>
      </w:r>
      <w:r w:rsidR="0004575C">
        <w:t>)(</w:t>
      </w:r>
      <w:r w:rsidR="00672060">
        <w:t>t=</w:t>
      </w:r>
      <w:r w:rsidR="00DE3B03">
        <w:t>-1.42, p=</w:t>
      </w:r>
      <w:r w:rsidR="00DC05D0">
        <w:t>.17</w:t>
      </w:r>
      <w:r w:rsidR="0004575C">
        <w:t>).</w:t>
      </w:r>
    </w:p>
    <w:p w14:paraId="384211C8" w14:textId="25D4436B" w:rsidR="00204EA3" w:rsidRPr="00553FDC" w:rsidRDefault="003926AE" w:rsidP="002939E0">
      <w:pPr>
        <w:pStyle w:val="Heading2"/>
        <w:numPr>
          <w:ilvl w:val="0"/>
          <w:numId w:val="0"/>
        </w:numPr>
      </w:pPr>
      <w:r>
        <w:lastRenderedPageBreak/>
        <w:t>M</w:t>
      </w:r>
      <w:r w:rsidR="00204EA3" w:rsidRPr="00553FDC">
        <w:t>otivations for publishing</w:t>
      </w:r>
    </w:p>
    <w:p w14:paraId="724FFF2D" w14:textId="24E0CBB3" w:rsidR="00636840" w:rsidRDefault="002F258E" w:rsidP="00560DA9">
      <w:r>
        <w:t>In</w:t>
      </w:r>
      <w:r w:rsidR="00560DA9">
        <w:t xml:space="preserve"> </w:t>
      </w:r>
      <w:r w:rsidR="00742FDB">
        <w:t>order of</w:t>
      </w:r>
      <w:r w:rsidR="00560DA9">
        <w:t xml:space="preserve"> importan</w:t>
      </w:r>
      <w:r>
        <w:t>ce rating</w:t>
      </w:r>
      <w:r w:rsidR="00BF6FE9">
        <w:t xml:space="preserve"> (which ranged from 1 to 5)</w:t>
      </w:r>
      <w:r>
        <w:t>, respondents’</w:t>
      </w:r>
      <w:r w:rsidR="00742FDB">
        <w:t xml:space="preserve"> </w:t>
      </w:r>
      <w:r w:rsidR="00560DA9">
        <w:t xml:space="preserve">motivations for publication </w:t>
      </w:r>
      <w:r w:rsidR="003926AE">
        <w:t xml:space="preserve">were </w:t>
      </w:r>
      <w:r>
        <w:t xml:space="preserve">as follows: </w:t>
      </w:r>
      <w:r w:rsidR="00560DA9">
        <w:t xml:space="preserve">to communicate with others </w:t>
      </w:r>
      <w:r w:rsidR="009C5B30">
        <w:t>(</w:t>
      </w:r>
      <w:r w:rsidR="003926AE">
        <w:t>mean=</w:t>
      </w:r>
      <w:r w:rsidR="009C5B30">
        <w:t>4.26</w:t>
      </w:r>
      <w:r w:rsidR="00B74388">
        <w:t>, SD=.71</w:t>
      </w:r>
      <w:r w:rsidR="009C5B30">
        <w:t>)</w:t>
      </w:r>
      <w:r w:rsidR="00742FDB">
        <w:t xml:space="preserve">, </w:t>
      </w:r>
      <w:r w:rsidR="009C5B30">
        <w:t>to advance knowledge in the field</w:t>
      </w:r>
      <w:r>
        <w:t xml:space="preserve"> (</w:t>
      </w:r>
      <w:r w:rsidR="00D21E64">
        <w:t>mean=</w:t>
      </w:r>
      <w:r>
        <w:t>4.16</w:t>
      </w:r>
      <w:r w:rsidR="00D21E64">
        <w:t>, SD=.81</w:t>
      </w:r>
      <w:r>
        <w:t>)</w:t>
      </w:r>
      <w:r w:rsidR="00742FDB">
        <w:t xml:space="preserve">, to develop </w:t>
      </w:r>
      <w:r w:rsidR="00740FB8">
        <w:t>national</w:t>
      </w:r>
      <w:r w:rsidR="00742FDB">
        <w:t xml:space="preserve"> / international reputation (</w:t>
      </w:r>
      <w:r w:rsidR="00D21E64">
        <w:t>mean=</w:t>
      </w:r>
      <w:r w:rsidR="00742FDB">
        <w:t>3.25</w:t>
      </w:r>
      <w:r w:rsidR="00D21E64">
        <w:t>, SD</w:t>
      </w:r>
      <w:r w:rsidR="009908F6">
        <w:t>=1.12</w:t>
      </w:r>
      <w:r w:rsidR="00742FDB">
        <w:t xml:space="preserve">), </w:t>
      </w:r>
      <w:r w:rsidR="005A6F94">
        <w:t>to support career development of co-authors (</w:t>
      </w:r>
      <w:r w:rsidR="00D21E64">
        <w:t>mean=</w:t>
      </w:r>
      <w:r w:rsidR="005A6F94">
        <w:t>3.23</w:t>
      </w:r>
      <w:r w:rsidR="009908F6">
        <w:t>, SD=1.27</w:t>
      </w:r>
      <w:r w:rsidR="005A6F94">
        <w:t xml:space="preserve">), to get feedback from peer </w:t>
      </w:r>
      <w:r w:rsidR="00740FB8">
        <w:t>reviewers</w:t>
      </w:r>
      <w:r w:rsidR="005A6F94">
        <w:t xml:space="preserve"> (</w:t>
      </w:r>
      <w:r w:rsidR="00D21E64">
        <w:t>mean=</w:t>
      </w:r>
      <w:r w:rsidR="005A6F94">
        <w:t>3.08</w:t>
      </w:r>
      <w:r w:rsidR="009908F6">
        <w:t>, SD=1.10</w:t>
      </w:r>
      <w:r w:rsidR="005A6F94">
        <w:t>), to enable networking with others in the field (</w:t>
      </w:r>
      <w:r w:rsidR="00D21E64">
        <w:t>mean=</w:t>
      </w:r>
      <w:r w:rsidR="001E1ABE">
        <w:t>3.08</w:t>
      </w:r>
      <w:r w:rsidR="009908F6">
        <w:t>, SD</w:t>
      </w:r>
      <w:r w:rsidR="00C2549D">
        <w:t>=1.11</w:t>
      </w:r>
      <w:r w:rsidR="001E1ABE">
        <w:t>), to enable promotion or other type of career advancement (</w:t>
      </w:r>
      <w:r w:rsidR="00D21E64">
        <w:t>mean=</w:t>
      </w:r>
      <w:r w:rsidR="001E1ABE">
        <w:t>3.01</w:t>
      </w:r>
      <w:r w:rsidR="00C2549D">
        <w:t>, SD=1.30</w:t>
      </w:r>
      <w:r w:rsidR="001E1ABE">
        <w:t>), to enjoy the thrill of s</w:t>
      </w:r>
      <w:r w:rsidR="00740FB8">
        <w:t>ee</w:t>
      </w:r>
      <w:r w:rsidR="001E1ABE">
        <w:t>ing work in print (</w:t>
      </w:r>
      <w:r w:rsidR="00D21E64">
        <w:t>mean=</w:t>
      </w:r>
      <w:r w:rsidR="00740FB8">
        <w:t>2.79</w:t>
      </w:r>
      <w:r w:rsidR="00C2549D">
        <w:t>, SD=1.16</w:t>
      </w:r>
      <w:r>
        <w:t>)</w:t>
      </w:r>
      <w:r w:rsidR="00740FB8">
        <w:t>, to assist with winning grants and research support (</w:t>
      </w:r>
      <w:r w:rsidR="00D21E64">
        <w:t>mean=</w:t>
      </w:r>
      <w:r w:rsidR="00740FB8">
        <w:t>2.21</w:t>
      </w:r>
      <w:r w:rsidR="00C2549D">
        <w:t>, SD=1.17</w:t>
      </w:r>
      <w:r w:rsidR="00740FB8">
        <w:t>), and to act as a catalyst for attracting high quality staff and students (</w:t>
      </w:r>
      <w:r w:rsidR="00D21E64">
        <w:t>mean=</w:t>
      </w:r>
      <w:r w:rsidR="00740FB8">
        <w:t>2.21</w:t>
      </w:r>
      <w:r w:rsidR="00C2549D">
        <w:t>, SD=1.15</w:t>
      </w:r>
      <w:r w:rsidR="00740FB8">
        <w:t xml:space="preserve">). </w:t>
      </w:r>
      <w:r w:rsidR="001A7C8B">
        <w:t>(</w:t>
      </w:r>
      <w:r w:rsidR="00AA20DB">
        <w:t>Supplementary Table</w:t>
      </w:r>
      <w:r w:rsidR="001A7C8B">
        <w:t xml:space="preserve"> </w:t>
      </w:r>
      <w:r w:rsidR="002333AF">
        <w:t>2</w:t>
      </w:r>
      <w:r w:rsidR="002C3888">
        <w:t>)</w:t>
      </w:r>
    </w:p>
    <w:p w14:paraId="6D699470" w14:textId="5CF98C7B" w:rsidR="00636840" w:rsidRDefault="00AA20DB" w:rsidP="00560DA9">
      <w:r>
        <w:t>The application of</w:t>
      </w:r>
      <w:r w:rsidR="00BD1250">
        <w:t xml:space="preserve"> p</w:t>
      </w:r>
      <w:r w:rsidR="00F81F63">
        <w:t xml:space="preserve">rincipal component analysis </w:t>
      </w:r>
      <w:r w:rsidR="00BD1250">
        <w:t xml:space="preserve">to these motivations </w:t>
      </w:r>
      <w:r w:rsidR="00F81F63">
        <w:t>identified three factors with eigenvalues greater than 1</w:t>
      </w:r>
      <w:r w:rsidR="00BD1250">
        <w:t>; they</w:t>
      </w:r>
      <w:r w:rsidR="003926AE">
        <w:t xml:space="preserve"> </w:t>
      </w:r>
      <w:r w:rsidR="00603D62">
        <w:t>explain</w:t>
      </w:r>
      <w:r w:rsidR="003926AE">
        <w:t>ed</w:t>
      </w:r>
      <w:r w:rsidR="00603D62">
        <w:t xml:space="preserve"> 58.9% of </w:t>
      </w:r>
      <w:r w:rsidR="003926AE">
        <w:t xml:space="preserve">the </w:t>
      </w:r>
      <w:r w:rsidR="00603D62">
        <w:t>variance</w:t>
      </w:r>
      <w:r w:rsidR="0025049A">
        <w:t xml:space="preserve"> (</w:t>
      </w:r>
      <w:r>
        <w:t>Supplementary Table</w:t>
      </w:r>
      <w:r w:rsidR="0025049A">
        <w:t xml:space="preserve"> </w:t>
      </w:r>
      <w:r w:rsidR="00596DC2">
        <w:t>3</w:t>
      </w:r>
      <w:r w:rsidR="0025049A">
        <w:t>)</w:t>
      </w:r>
      <w:r w:rsidR="00BD1250">
        <w:t xml:space="preserve"> and t</w:t>
      </w:r>
      <w:r w:rsidR="00603D62">
        <w:t>h</w:t>
      </w:r>
      <w:r w:rsidR="00123C40">
        <w:t>e scree plot</w:t>
      </w:r>
      <w:r w:rsidR="0025049A">
        <w:t>’s inflexion point further</w:t>
      </w:r>
      <w:r w:rsidR="00123C40">
        <w:t xml:space="preserve"> </w:t>
      </w:r>
      <w:r w:rsidR="0025049A">
        <w:t>suggested that</w:t>
      </w:r>
      <w:r w:rsidR="00123C40">
        <w:t xml:space="preserve"> </w:t>
      </w:r>
      <w:r w:rsidR="00500197">
        <w:t>three</w:t>
      </w:r>
      <w:r w:rsidR="00123C40">
        <w:t xml:space="preserve"> factor</w:t>
      </w:r>
      <w:r w:rsidR="00C8344F">
        <w:t>s</w:t>
      </w:r>
      <w:r w:rsidR="0025049A">
        <w:t xml:space="preserve"> underl</w:t>
      </w:r>
      <w:r w:rsidR="00BD1250">
        <w:t>aid</w:t>
      </w:r>
      <w:r w:rsidR="0025049A">
        <w:t xml:space="preserve"> the responses to individual questions</w:t>
      </w:r>
      <w:r w:rsidR="00C8344F">
        <w:t xml:space="preserve">. </w:t>
      </w:r>
      <w:r w:rsidR="0025049A">
        <w:t>Content review of t</w:t>
      </w:r>
      <w:r w:rsidR="00D7389C">
        <w:t xml:space="preserve">he item clustering </w:t>
      </w:r>
      <w:r w:rsidR="00BD1250">
        <w:t xml:space="preserve">suggested </w:t>
      </w:r>
      <w:r w:rsidR="0025049A">
        <w:t>that the three factors</w:t>
      </w:r>
      <w:r w:rsidR="003E28A3">
        <w:t xml:space="preserve"> represent </w:t>
      </w:r>
      <w:r w:rsidR="00C960AD">
        <w:t xml:space="preserve">motivation </w:t>
      </w:r>
      <w:r w:rsidR="0025049A">
        <w:t xml:space="preserve">for </w:t>
      </w:r>
      <w:r w:rsidR="00C960AD">
        <w:t>personal promotion</w:t>
      </w:r>
      <w:r w:rsidR="00DE243F">
        <w:t xml:space="preserve">, </w:t>
      </w:r>
      <w:r w:rsidR="003E28A3">
        <w:t xml:space="preserve">desire to advance the field’s </w:t>
      </w:r>
      <w:r w:rsidR="00DE243F">
        <w:t>knowledge</w:t>
      </w:r>
      <w:r w:rsidR="003E28A3">
        <w:t xml:space="preserve">, </w:t>
      </w:r>
      <w:r w:rsidR="001D2CC0">
        <w:t xml:space="preserve">and </w:t>
      </w:r>
      <w:r w:rsidR="00491310">
        <w:t>capacity building</w:t>
      </w:r>
      <w:r w:rsidR="001D2CC0">
        <w:t>.</w:t>
      </w:r>
    </w:p>
    <w:p w14:paraId="3A6CFCCF" w14:textId="14951F9A" w:rsidR="00A27A90" w:rsidRDefault="00B90188" w:rsidP="00A27A90">
      <w:r>
        <w:t>M</w:t>
      </w:r>
      <w:r w:rsidR="008261C0">
        <w:t xml:space="preserve">ultivariate </w:t>
      </w:r>
      <w:r w:rsidR="000D0333">
        <w:t xml:space="preserve">linear </w:t>
      </w:r>
      <w:r w:rsidR="008E69E7">
        <w:t xml:space="preserve">regression analyses </w:t>
      </w:r>
      <w:r w:rsidR="00652E2F">
        <w:t>(</w:t>
      </w:r>
      <w:r w:rsidR="00BF0360">
        <w:t>Table 1</w:t>
      </w:r>
      <w:r w:rsidR="00652E2F">
        <w:t xml:space="preserve">) </w:t>
      </w:r>
      <w:r>
        <w:t xml:space="preserve">performed </w:t>
      </w:r>
      <w:r w:rsidR="00E449D1">
        <w:t xml:space="preserve">using each of </w:t>
      </w:r>
      <w:r>
        <w:t>these factors</w:t>
      </w:r>
      <w:r w:rsidR="00E449D1">
        <w:t xml:space="preserve"> as a dependent variable</w:t>
      </w:r>
      <w:r>
        <w:t xml:space="preserve"> </w:t>
      </w:r>
      <w:r w:rsidR="008E69E7">
        <w:t>indicated that</w:t>
      </w:r>
      <w:r w:rsidR="00CA588E">
        <w:t xml:space="preserve"> females </w:t>
      </w:r>
      <w:r w:rsidR="008E69E7">
        <w:t xml:space="preserve">authors from non-dominant countries, </w:t>
      </w:r>
      <w:r w:rsidR="004028C2">
        <w:t xml:space="preserve">and </w:t>
      </w:r>
      <w:r>
        <w:t xml:space="preserve">those </w:t>
      </w:r>
      <w:r w:rsidR="004028C2">
        <w:t>at earlier career stages</w:t>
      </w:r>
      <w:r w:rsidR="008C5F4D">
        <w:t xml:space="preserve"> </w:t>
      </w:r>
      <w:r w:rsidR="00B04384">
        <w:t>w</w:t>
      </w:r>
      <w:r w:rsidR="003F2D71">
        <w:t xml:space="preserve">ere </w:t>
      </w:r>
      <w:r w:rsidR="00CA588E">
        <w:t xml:space="preserve">statistically </w:t>
      </w:r>
      <w:r w:rsidR="003F2D71">
        <w:t xml:space="preserve">more motivated </w:t>
      </w:r>
      <w:r>
        <w:t xml:space="preserve">than their counterparts </w:t>
      </w:r>
      <w:r w:rsidR="003F2D71">
        <w:t>by personal promotion</w:t>
      </w:r>
      <w:r w:rsidR="00CA588E">
        <w:t>, but the effect of gender was small</w:t>
      </w:r>
      <w:r w:rsidR="008C5F4D">
        <w:t xml:space="preserve"> as illustrated by the </w:t>
      </w:r>
      <w:r w:rsidR="00A16A0B">
        <w:t xml:space="preserve">beta weights presented in Table </w:t>
      </w:r>
      <w:r w:rsidR="00BF0360">
        <w:t>1</w:t>
      </w:r>
      <w:r w:rsidR="003F2D71">
        <w:t>.</w:t>
      </w:r>
      <w:r w:rsidR="008E69E7">
        <w:t xml:space="preserve"> </w:t>
      </w:r>
      <w:r w:rsidR="0021382C">
        <w:t xml:space="preserve">Authors from </w:t>
      </w:r>
      <w:r w:rsidR="00652E2F">
        <w:t>non-dominant</w:t>
      </w:r>
      <w:r w:rsidR="0021382C">
        <w:t xml:space="preserve"> countries and at more senior career stages were more </w:t>
      </w:r>
      <w:r w:rsidR="0074671C">
        <w:t>motivated by capacity building</w:t>
      </w:r>
      <w:r>
        <w:t xml:space="preserve"> than their counterparts</w:t>
      </w:r>
      <w:r w:rsidR="0074671C">
        <w:t xml:space="preserve">. There were no differences between </w:t>
      </w:r>
      <w:r w:rsidR="000A7C9A">
        <w:t>genders, country groups, or career stage</w:t>
      </w:r>
      <w:r w:rsidR="0074671C">
        <w:t xml:space="preserve"> in the extent </w:t>
      </w:r>
      <w:r>
        <w:t>t</w:t>
      </w:r>
      <w:r w:rsidR="0074671C">
        <w:t xml:space="preserve">o which </w:t>
      </w:r>
      <w:r>
        <w:t xml:space="preserve">respondents </w:t>
      </w:r>
      <w:r w:rsidR="0074671C">
        <w:t xml:space="preserve">were motivated </w:t>
      </w:r>
      <w:r w:rsidR="00652E2F">
        <w:t>to advance knowledge in the field.</w:t>
      </w:r>
      <w:r w:rsidR="003F2D71">
        <w:t xml:space="preserve"> </w:t>
      </w:r>
      <w:r w:rsidR="008C5F4D">
        <w:t xml:space="preserve">Those who were published at the first journal to which they submitted were </w:t>
      </w:r>
      <w:r w:rsidR="00323A9C">
        <w:t>equally</w:t>
      </w:r>
      <w:r w:rsidR="008C5F4D">
        <w:t xml:space="preserve"> likely to be motivated by</w:t>
      </w:r>
      <w:r w:rsidR="005D024D">
        <w:t xml:space="preserve"> </w:t>
      </w:r>
      <w:r w:rsidR="00936793">
        <w:t>personal promotion, advancing the field’s knowledge, or capacity building</w:t>
      </w:r>
      <w:r w:rsidR="008C5F4D">
        <w:t xml:space="preserve"> </w:t>
      </w:r>
      <w:r w:rsidR="00323A9C">
        <w:t>as</w:t>
      </w:r>
      <w:r w:rsidR="008C5F4D">
        <w:t xml:space="preserve"> </w:t>
      </w:r>
      <w:r w:rsidR="00BD1250">
        <w:t xml:space="preserve">were </w:t>
      </w:r>
      <w:r w:rsidR="008C5F4D">
        <w:t>other authors</w:t>
      </w:r>
      <w:r w:rsidR="00A1334C">
        <w:t>.</w:t>
      </w:r>
    </w:p>
    <w:p w14:paraId="2E5700A6" w14:textId="38E714E9" w:rsidR="00985E1E" w:rsidRDefault="00B90188" w:rsidP="00625210">
      <w:pPr>
        <w:pStyle w:val="Heading2"/>
        <w:numPr>
          <w:ilvl w:val="0"/>
          <w:numId w:val="0"/>
        </w:numPr>
      </w:pPr>
      <w:r>
        <w:t>P</w:t>
      </w:r>
      <w:r w:rsidR="00B40A47">
        <w:t>riorities when selecting a journal</w:t>
      </w:r>
    </w:p>
    <w:p w14:paraId="5AC0BEF0" w14:textId="5AA3F572" w:rsidR="00985E1E" w:rsidRDefault="00B90188" w:rsidP="00985E1E">
      <w:r>
        <w:t>Respondents’ ratings indicated that the</w:t>
      </w:r>
      <w:r w:rsidR="00985E1E">
        <w:t xml:space="preserve"> most important </w:t>
      </w:r>
      <w:r>
        <w:t xml:space="preserve">priorities when selecting a journal in the first instance </w:t>
      </w:r>
      <w:r w:rsidR="00985E1E">
        <w:t>were match between the journal’s readership and the audience the author hoped to reach (</w:t>
      </w:r>
      <w:r w:rsidR="007606D2">
        <w:t>mean=</w:t>
      </w:r>
      <w:r w:rsidR="00985E1E">
        <w:t xml:space="preserve">4.13) </w:t>
      </w:r>
      <w:r w:rsidR="007606D2">
        <w:t xml:space="preserve">along with </w:t>
      </w:r>
      <w:r w:rsidR="00985E1E">
        <w:t xml:space="preserve">focus </w:t>
      </w:r>
      <w:r w:rsidR="007606D2">
        <w:t>of</w:t>
      </w:r>
      <w:r w:rsidR="00985E1E">
        <w:t xml:space="preserve"> the journal</w:t>
      </w:r>
      <w:r w:rsidR="007606D2">
        <w:t xml:space="preserve"> </w:t>
      </w:r>
      <w:r w:rsidR="00985E1E">
        <w:t>(4.12)</w:t>
      </w:r>
      <w:r w:rsidR="007606D2">
        <w:t>. These were</w:t>
      </w:r>
      <w:r w:rsidR="00985E1E">
        <w:t xml:space="preserve"> followed by familiarity with journal (3.66), manuscript types accepted (3.63), reputation for publishing rigorous research (3.63), database indexin</w:t>
      </w:r>
      <w:r w:rsidR="00114C62">
        <w:t>g</w:t>
      </w:r>
      <w:r w:rsidR="00985E1E">
        <w:t xml:space="preserve"> (3.48), and impact factor (3.47)</w:t>
      </w:r>
      <w:r w:rsidR="0016733C">
        <w:t xml:space="preserve"> (</w:t>
      </w:r>
      <w:r w:rsidR="00AA20DB">
        <w:t>Supplementary Table</w:t>
      </w:r>
      <w:r w:rsidR="0016733C">
        <w:t xml:space="preserve"> </w:t>
      </w:r>
      <w:r w:rsidR="00F1550B">
        <w:t>4)</w:t>
      </w:r>
      <w:r w:rsidR="00985E1E">
        <w:t>.</w:t>
      </w:r>
      <w:r w:rsidR="00DA1198">
        <w:t xml:space="preserve"> </w:t>
      </w:r>
      <w:r w:rsidR="00F2691E">
        <w:t xml:space="preserve">In response to a free text question eliciting any other priorities, </w:t>
      </w:r>
      <w:r w:rsidR="00663885">
        <w:t xml:space="preserve">three </w:t>
      </w:r>
      <w:r w:rsidR="00687E40">
        <w:t>other factors were frequently reported</w:t>
      </w:r>
      <w:r w:rsidR="00663885">
        <w:t xml:space="preserve">: </w:t>
      </w:r>
      <w:r w:rsidR="00DE5DA3">
        <w:lastRenderedPageBreak/>
        <w:t xml:space="preserve">responding to a call for a special issue, </w:t>
      </w:r>
      <w:r w:rsidR="004660B1">
        <w:t xml:space="preserve">having published previous work from the same research programme in the journal, </w:t>
      </w:r>
      <w:r w:rsidR="00AA20DB">
        <w:t xml:space="preserve">and </w:t>
      </w:r>
      <w:r w:rsidR="00575BB8">
        <w:t xml:space="preserve">a </w:t>
      </w:r>
      <w:r w:rsidR="007606D2">
        <w:t>requirement to submit to that journal as a condition for</w:t>
      </w:r>
      <w:r w:rsidR="00575BB8">
        <w:t xml:space="preserve"> abstract acceptance </w:t>
      </w:r>
      <w:r w:rsidR="007606D2">
        <w:t>at</w:t>
      </w:r>
      <w:r w:rsidR="00575BB8">
        <w:t xml:space="preserve"> a conference.</w:t>
      </w:r>
    </w:p>
    <w:p w14:paraId="1E58FCC1" w14:textId="04DCC36F" w:rsidR="00876C0D" w:rsidRDefault="00625210" w:rsidP="00985E1E">
      <w:r>
        <w:t>PCA</w:t>
      </w:r>
      <w:r w:rsidR="00FF6EA8">
        <w:t xml:space="preserve"> identified </w:t>
      </w:r>
      <w:r w:rsidR="008A148C">
        <w:t>six</w:t>
      </w:r>
      <w:r w:rsidR="00FF6EA8">
        <w:t xml:space="preserve"> factors with eigenvalues greater than 1 </w:t>
      </w:r>
      <w:r w:rsidR="007606D2">
        <w:t xml:space="preserve">that </w:t>
      </w:r>
      <w:r w:rsidR="00FF6EA8">
        <w:t>explain</w:t>
      </w:r>
      <w:r w:rsidR="007606D2">
        <w:t>ed</w:t>
      </w:r>
      <w:r w:rsidR="00FF6EA8">
        <w:t xml:space="preserve"> </w:t>
      </w:r>
      <w:r w:rsidR="00EE1287">
        <w:t>61.9</w:t>
      </w:r>
      <w:r w:rsidR="00FF6EA8">
        <w:t>% of variance</w:t>
      </w:r>
      <w:r w:rsidR="00267B83">
        <w:t xml:space="preserve"> and </w:t>
      </w:r>
      <w:r w:rsidR="007606D2">
        <w:t xml:space="preserve">were </w:t>
      </w:r>
      <w:r w:rsidR="00267B83">
        <w:t>reinforced by the location of the inflexion point on t</w:t>
      </w:r>
      <w:r w:rsidR="00FF6EA8">
        <w:t>he scree plot</w:t>
      </w:r>
      <w:r w:rsidR="00267B83">
        <w:t xml:space="preserve"> (Supplementary Table </w:t>
      </w:r>
      <w:r w:rsidR="00F1550B">
        <w:t>5</w:t>
      </w:r>
      <w:r w:rsidR="00267B83">
        <w:t>)</w:t>
      </w:r>
      <w:r w:rsidR="00FF6EA8">
        <w:t xml:space="preserve">.  </w:t>
      </w:r>
      <w:r w:rsidR="00267B83">
        <w:t xml:space="preserve">Content analysis of the </w:t>
      </w:r>
      <w:r w:rsidR="00DF59C3">
        <w:t>item</w:t>
      </w:r>
      <w:r w:rsidR="00267B83">
        <w:t>s within each</w:t>
      </w:r>
      <w:r w:rsidR="00DF59C3">
        <w:t xml:space="preserve"> cluster </w:t>
      </w:r>
      <w:r w:rsidR="00267B83">
        <w:t xml:space="preserve">suggested that these factors </w:t>
      </w:r>
      <w:r w:rsidR="00114C62">
        <w:t>reflect</w:t>
      </w:r>
      <w:r w:rsidR="00D872F9">
        <w:t xml:space="preserve"> editorial reputation</w:t>
      </w:r>
      <w:r w:rsidR="00CE56EB">
        <w:t xml:space="preserve"> (reputation </w:t>
      </w:r>
      <w:r w:rsidR="00CF16F7">
        <w:t>of</w:t>
      </w:r>
      <w:r w:rsidR="00CE56EB">
        <w:t xml:space="preserve"> editor, reputation of editorial board, reputation for useful feedback during peer review)</w:t>
      </w:r>
      <w:r w:rsidR="009232BA">
        <w:t>, fit between manuscript and journal</w:t>
      </w:r>
      <w:r w:rsidR="00D4520C">
        <w:t xml:space="preserve"> (</w:t>
      </w:r>
      <w:r w:rsidR="00EE3B4E">
        <w:t xml:space="preserve">focus of the journal, </w:t>
      </w:r>
      <w:r w:rsidR="003604C4">
        <w:t xml:space="preserve">match between the journal’s readership and the audience hoped to reach, </w:t>
      </w:r>
      <w:r w:rsidR="00BC7680">
        <w:t>manuscript types accepted, familiarity with journal</w:t>
      </w:r>
      <w:r w:rsidR="00D4520C">
        <w:t>)</w:t>
      </w:r>
      <w:r w:rsidR="009232BA">
        <w:t>, guidance fr</w:t>
      </w:r>
      <w:r w:rsidR="00267B83">
        <w:t>o</w:t>
      </w:r>
      <w:r w:rsidR="009232BA">
        <w:t>m others</w:t>
      </w:r>
      <w:r w:rsidR="00BC7680">
        <w:t xml:space="preserve"> (department head/supervisor, colleagues)</w:t>
      </w:r>
      <w:r w:rsidR="009232BA">
        <w:t xml:space="preserve">, </w:t>
      </w:r>
      <w:r w:rsidR="00DA0857">
        <w:t xml:space="preserve">speed </w:t>
      </w:r>
      <w:r w:rsidR="00614F55">
        <w:t>of dissemination</w:t>
      </w:r>
      <w:r w:rsidR="00F06325">
        <w:t xml:space="preserve"> (acceptance rate, ability to publish open access, time taken to publish accepted manuscripts, </w:t>
      </w:r>
      <w:r w:rsidR="00775279">
        <w:t>reputation for making quick decisions</w:t>
      </w:r>
      <w:r w:rsidR="00F06325">
        <w:t>)</w:t>
      </w:r>
      <w:r w:rsidR="00614F55">
        <w:t>,</w:t>
      </w:r>
      <w:r w:rsidR="00E21534">
        <w:t xml:space="preserve"> impact</w:t>
      </w:r>
      <w:r w:rsidR="00775279">
        <w:t xml:space="preserve"> (impact factor, attention the journal gets in press, </w:t>
      </w:r>
      <w:r w:rsidR="001306E9">
        <w:t>reputation for publishing rigorous research, databases in which journal is indexed</w:t>
      </w:r>
      <w:r w:rsidR="00775279">
        <w:t>)</w:t>
      </w:r>
      <w:r w:rsidR="00E21534">
        <w:t>, and breadth of journal dissemination</w:t>
      </w:r>
      <w:r w:rsidR="001306E9">
        <w:t xml:space="preserve"> (link with a society or organisation, geographic distribution of readership)</w:t>
      </w:r>
      <w:r w:rsidR="00E21534">
        <w:t>.</w:t>
      </w:r>
    </w:p>
    <w:p w14:paraId="7584A246" w14:textId="7FA2C8AF" w:rsidR="003B2CB1" w:rsidRDefault="004502BC" w:rsidP="00985E1E">
      <w:r>
        <w:t xml:space="preserve">Multivariate regression analyses </w:t>
      </w:r>
      <w:r w:rsidR="00F40695">
        <w:t>(</w:t>
      </w:r>
      <w:r w:rsidR="00F1550B">
        <w:t>Table 2</w:t>
      </w:r>
      <w:r w:rsidR="00F40695">
        <w:t xml:space="preserve">) </w:t>
      </w:r>
      <w:r w:rsidR="007D6A78">
        <w:t xml:space="preserve">indicated </w:t>
      </w:r>
      <w:r w:rsidR="00184A26">
        <w:t xml:space="preserve">that females </w:t>
      </w:r>
      <w:r w:rsidR="001F024F">
        <w:t xml:space="preserve">prioritised guidance from others </w:t>
      </w:r>
      <w:r w:rsidR="003B2CB1">
        <w:t>and fit</w:t>
      </w:r>
      <w:r w:rsidR="00267B83">
        <w:t xml:space="preserve"> </w:t>
      </w:r>
      <w:r w:rsidR="001F024F">
        <w:t>more than males. Authors from non</w:t>
      </w:r>
      <w:r w:rsidR="00267B83">
        <w:t>-</w:t>
      </w:r>
      <w:r w:rsidR="001F024F">
        <w:t xml:space="preserve">dominant </w:t>
      </w:r>
      <w:r w:rsidR="00267B83">
        <w:t xml:space="preserve">HPE publishing </w:t>
      </w:r>
      <w:r w:rsidR="001F024F">
        <w:t xml:space="preserve">countries prioritised </w:t>
      </w:r>
      <w:r w:rsidR="003B2CB1">
        <w:t>speed of dissemination, impact, editorial reputation, and breadth of dissemination</w:t>
      </w:r>
      <w:r w:rsidR="00267B83">
        <w:t xml:space="preserve"> </w:t>
      </w:r>
      <w:r w:rsidR="003B2CB1">
        <w:t xml:space="preserve">more than those from dominant countries. Authors at earlier career stages prioritised </w:t>
      </w:r>
      <w:r w:rsidR="00F40695">
        <w:t>guidance from others more than more senior authors.</w:t>
      </w:r>
    </w:p>
    <w:p w14:paraId="107BAE54" w14:textId="6975ADDE" w:rsidR="00892DFA" w:rsidRDefault="00FE7D9C" w:rsidP="00FE7D9C">
      <w:r>
        <w:t xml:space="preserve">An additional </w:t>
      </w:r>
      <w:r w:rsidR="00B138A2">
        <w:t>multivariate</w:t>
      </w:r>
      <w:r w:rsidR="00892DFA">
        <w:t xml:space="preserve"> </w:t>
      </w:r>
      <w:r w:rsidR="00070280">
        <w:t xml:space="preserve">logistic </w:t>
      </w:r>
      <w:r w:rsidR="00892DFA">
        <w:t xml:space="preserve">regression demonstrated that </w:t>
      </w:r>
      <w:r w:rsidR="009F2309">
        <w:t>the extent to which an author prioritise</w:t>
      </w:r>
      <w:r>
        <w:t>d</w:t>
      </w:r>
      <w:r w:rsidR="009F2309">
        <w:t xml:space="preserve"> fit </w:t>
      </w:r>
      <w:r w:rsidR="00114C62">
        <w:t xml:space="preserve">yielded </w:t>
      </w:r>
      <w:r w:rsidR="00F32306">
        <w:t>the greatest odds of being accepted at the first journal (</w:t>
      </w:r>
      <w:r w:rsidR="00724CF8" w:rsidRPr="00724CF8">
        <w:t>Exp(B)</w:t>
      </w:r>
      <w:r>
        <w:t>=</w:t>
      </w:r>
      <w:r w:rsidR="00F32306">
        <w:t>2.</w:t>
      </w:r>
      <w:r w:rsidR="00B4707F">
        <w:t>05</w:t>
      </w:r>
      <w:r w:rsidR="00B138A2">
        <w:t>, 95% CI 1.</w:t>
      </w:r>
      <w:r w:rsidR="00F310B2">
        <w:t>48</w:t>
      </w:r>
      <w:r w:rsidR="00B138A2">
        <w:t xml:space="preserve"> – </w:t>
      </w:r>
      <w:r w:rsidR="00F310B2">
        <w:t>2.83</w:t>
      </w:r>
      <w:r w:rsidR="00B138A2">
        <w:t xml:space="preserve">) followed by </w:t>
      </w:r>
      <w:r>
        <w:t xml:space="preserve">the extent to which they prioritized </w:t>
      </w:r>
      <w:r w:rsidR="00597FDA">
        <w:t>speed of dissemination</w:t>
      </w:r>
      <w:r w:rsidR="001D5FAD">
        <w:t xml:space="preserve"> (</w:t>
      </w:r>
      <w:r w:rsidR="00724CF8" w:rsidRPr="00724CF8">
        <w:t>Exp(B)</w:t>
      </w:r>
      <w:r>
        <w:t>=</w:t>
      </w:r>
      <w:r w:rsidR="001D5FAD">
        <w:t>1.</w:t>
      </w:r>
      <w:r w:rsidR="00994830">
        <w:t>78</w:t>
      </w:r>
      <w:r w:rsidR="001D5FAD">
        <w:t xml:space="preserve">, 95% CI </w:t>
      </w:r>
      <w:r w:rsidR="00A16B12">
        <w:t>1.3</w:t>
      </w:r>
      <w:r w:rsidR="00994830">
        <w:t>9</w:t>
      </w:r>
      <w:r w:rsidR="00A16B12">
        <w:t xml:space="preserve"> – 2.</w:t>
      </w:r>
      <w:r w:rsidR="00994830">
        <w:t>29</w:t>
      </w:r>
      <w:r w:rsidR="00A16B12">
        <w:t xml:space="preserve">).  Prioritising </w:t>
      </w:r>
      <w:r w:rsidR="00114C62">
        <w:t xml:space="preserve">journal </w:t>
      </w:r>
      <w:r w:rsidR="00A16B12">
        <w:t xml:space="preserve">impact </w:t>
      </w:r>
      <w:r w:rsidR="003D5B98">
        <w:t>reduced the odds of being accepted at the first journal (</w:t>
      </w:r>
      <w:r w:rsidR="00724CF8" w:rsidRPr="00724CF8">
        <w:t>Exp(B)</w:t>
      </w:r>
      <w:r>
        <w:t>=</w:t>
      </w:r>
      <w:r w:rsidR="003D5B98">
        <w:t xml:space="preserve">.38, 95% CI </w:t>
      </w:r>
      <w:r w:rsidR="00136C65">
        <w:t xml:space="preserve">.29 </w:t>
      </w:r>
      <w:r w:rsidR="00AE72C2">
        <w:t xml:space="preserve">– </w:t>
      </w:r>
      <w:r w:rsidR="00136C65">
        <w:t>.50</w:t>
      </w:r>
      <w:r w:rsidR="003D5B98">
        <w:t>)</w:t>
      </w:r>
      <w:r w:rsidR="0081315C">
        <w:t xml:space="preserve"> as </w:t>
      </w:r>
      <w:r>
        <w:t xml:space="preserve">did </w:t>
      </w:r>
      <w:r w:rsidR="0081315C">
        <w:t>deciding later in the manuscript writing process</w:t>
      </w:r>
      <w:r>
        <w:t xml:space="preserve"> to which journal to submit</w:t>
      </w:r>
      <w:r w:rsidR="0081315C">
        <w:t xml:space="preserve"> (</w:t>
      </w:r>
      <w:r w:rsidR="00724CF8" w:rsidRPr="00724CF8">
        <w:t>Exp(B)</w:t>
      </w:r>
      <w:r>
        <w:t>=</w:t>
      </w:r>
      <w:r w:rsidR="003973E6">
        <w:t>.78, 95% CI .67</w:t>
      </w:r>
      <w:r w:rsidR="004F0BA9">
        <w:t xml:space="preserve"> </w:t>
      </w:r>
      <w:r w:rsidR="00AE72C2">
        <w:t xml:space="preserve">– </w:t>
      </w:r>
      <w:r w:rsidR="004F0BA9">
        <w:t>.91</w:t>
      </w:r>
      <w:r w:rsidR="0081315C">
        <w:t>)</w:t>
      </w:r>
      <w:r w:rsidR="002074E9">
        <w:t xml:space="preserve"> </w:t>
      </w:r>
      <w:r w:rsidR="00383242">
        <w:t>(</w:t>
      </w:r>
      <w:r w:rsidR="00383242">
        <w:fldChar w:fldCharType="begin"/>
      </w:r>
      <w:r w:rsidR="00383242">
        <w:instrText xml:space="preserve"> REF _Ref73658724 \h </w:instrText>
      </w:r>
      <w:r w:rsidR="00383242">
        <w:fldChar w:fldCharType="separate"/>
      </w:r>
      <w:r w:rsidR="00383242">
        <w:fldChar w:fldCharType="end"/>
      </w:r>
      <w:r w:rsidR="00F1550B">
        <w:t>Table 3)</w:t>
      </w:r>
      <w:r w:rsidR="002074E9">
        <w:t>.</w:t>
      </w:r>
      <w:r w:rsidR="00273C4B">
        <w:t xml:space="preserve">  </w:t>
      </w:r>
      <w:r w:rsidR="00962783">
        <w:t>No priority or demographic factors were associated with overall duration between submission and final acceptance (</w:t>
      </w:r>
      <w:r w:rsidR="00FB5D9A">
        <w:t>data not displayed</w:t>
      </w:r>
      <w:r w:rsidR="00962783">
        <w:t>).</w:t>
      </w:r>
    </w:p>
    <w:p w14:paraId="1D1CBD49" w14:textId="1B02A841" w:rsidR="00280079" w:rsidRDefault="00280079" w:rsidP="008F6563">
      <w:pPr>
        <w:pStyle w:val="Heading2"/>
        <w:numPr>
          <w:ilvl w:val="0"/>
          <w:numId w:val="0"/>
        </w:numPr>
      </w:pPr>
      <w:r>
        <w:t>Perception of peer review</w:t>
      </w:r>
    </w:p>
    <w:p w14:paraId="1B0BF076" w14:textId="629BFB88" w:rsidR="00C0627F" w:rsidRDefault="00627ADC" w:rsidP="00280079">
      <w:r>
        <w:t xml:space="preserve">Over three </w:t>
      </w:r>
      <w:r w:rsidR="000D5AA8">
        <w:t>quarters</w:t>
      </w:r>
      <w:r>
        <w:t xml:space="preserve"> of participants felt that </w:t>
      </w:r>
      <w:r w:rsidR="00026B3F">
        <w:t xml:space="preserve">peer reviewers’ comments enabled them to improve their manuscript either a little </w:t>
      </w:r>
      <w:r w:rsidR="000D5AA8">
        <w:t>(50.9</w:t>
      </w:r>
      <w:r w:rsidR="00EA3BA2">
        <w:t>%</w:t>
      </w:r>
      <w:r w:rsidR="000D5AA8">
        <w:t xml:space="preserve">) </w:t>
      </w:r>
      <w:r w:rsidR="00026B3F">
        <w:t>or a lot</w:t>
      </w:r>
      <w:r w:rsidR="000D5AA8">
        <w:t xml:space="preserve"> (27.8</w:t>
      </w:r>
      <w:r w:rsidR="00EA3BA2">
        <w:t>%</w:t>
      </w:r>
      <w:r w:rsidR="000D5AA8">
        <w:t>)</w:t>
      </w:r>
      <w:r w:rsidR="00026B3F">
        <w:t xml:space="preserve">. </w:t>
      </w:r>
      <w:r w:rsidR="00FB0D93">
        <w:t>A similar</w:t>
      </w:r>
      <w:r w:rsidR="00EA3BA2">
        <w:t xml:space="preserve"> 74.4% of participants felt </w:t>
      </w:r>
      <w:r w:rsidR="00FB0D93">
        <w:t>their final paper was better than the original submitted.</w:t>
      </w:r>
    </w:p>
    <w:p w14:paraId="08DD8D7B" w14:textId="38E65912" w:rsidR="00882A97" w:rsidRPr="00280079" w:rsidRDefault="00EE1659" w:rsidP="009507F7">
      <w:r>
        <w:lastRenderedPageBreak/>
        <w:t xml:space="preserve">Authors </w:t>
      </w:r>
      <w:r w:rsidR="00FB741E">
        <w:t xml:space="preserve">who ultimately </w:t>
      </w:r>
      <w:r w:rsidR="00114C62">
        <w:t xml:space="preserve">had </w:t>
      </w:r>
      <w:r w:rsidR="00FB741E">
        <w:t>their manuscripts accepted at the</w:t>
      </w:r>
      <w:r w:rsidR="00B865FE">
        <w:t>ir</w:t>
      </w:r>
      <w:r w:rsidR="00FB741E">
        <w:t xml:space="preserve"> first</w:t>
      </w:r>
      <w:r w:rsidR="00AF7BB9">
        <w:t>-</w:t>
      </w:r>
      <w:r w:rsidR="00B865FE">
        <w:t>choice</w:t>
      </w:r>
      <w:r w:rsidR="00FB741E">
        <w:t xml:space="preserve"> journal ha</w:t>
      </w:r>
      <w:r w:rsidR="00114C62">
        <w:t>d</w:t>
      </w:r>
      <w:r w:rsidR="00FB741E">
        <w:t xml:space="preserve"> more positive views of the peer review</w:t>
      </w:r>
      <w:r w:rsidR="00D4397F">
        <w:t xml:space="preserve">er feedback </w:t>
      </w:r>
      <w:r w:rsidR="002D1016">
        <w:t>(</w:t>
      </w:r>
      <w:r w:rsidR="00943486">
        <w:t>mean score = 3.5</w:t>
      </w:r>
      <w:r w:rsidR="002D1016">
        <w:t>)</w:t>
      </w:r>
      <w:r w:rsidR="00F34498">
        <w:t xml:space="preserve"> </w:t>
      </w:r>
      <w:r w:rsidR="00D4397F">
        <w:t>receive</w:t>
      </w:r>
      <w:r w:rsidR="00114C62">
        <w:t>d</w:t>
      </w:r>
      <w:r w:rsidR="004551BF">
        <w:t xml:space="preserve"> </w:t>
      </w:r>
      <w:r w:rsidR="00943486">
        <w:t xml:space="preserve">than those who did not (mean score = </w:t>
      </w:r>
      <w:r w:rsidR="00FA6BE6">
        <w:t>2.8</w:t>
      </w:r>
      <w:r w:rsidR="00DA1D0F">
        <w:t xml:space="preserve">; </w:t>
      </w:r>
      <w:r w:rsidR="000147E8">
        <w:t>t=18.</w:t>
      </w:r>
      <w:r w:rsidR="00DA1D0F">
        <w:t>2</w:t>
      </w:r>
      <w:r w:rsidR="000147E8">
        <w:t>, d</w:t>
      </w:r>
      <w:r w:rsidR="002D1016">
        <w:t>=1.</w:t>
      </w:r>
      <w:r w:rsidR="00DA1D0F">
        <w:t>5</w:t>
      </w:r>
      <w:r w:rsidR="002D1016">
        <w:t>, p&lt;.001</w:t>
      </w:r>
      <w:r w:rsidR="000147E8">
        <w:t>)</w:t>
      </w:r>
      <w:r w:rsidR="00106951">
        <w:t xml:space="preserve">. </w:t>
      </w:r>
      <w:r w:rsidR="009507F7">
        <w:t>More interesting, however, is that the</w:t>
      </w:r>
      <w:r w:rsidR="00A261DB">
        <w:t xml:space="preserve"> factors most associated with whether </w:t>
      </w:r>
      <w:r w:rsidR="00180BD1">
        <w:t>the author perceived</w:t>
      </w:r>
      <w:r w:rsidR="009507F7">
        <w:t xml:space="preserve"> that</w:t>
      </w:r>
      <w:r w:rsidR="00180BD1">
        <w:t xml:space="preserve"> the feedback enabled them to improve their manuscript were </w:t>
      </w:r>
      <w:r w:rsidR="006C7C94">
        <w:t>the perceived knowledge of the reviewers (</w:t>
      </w:r>
      <w:r w:rsidR="00A6135C">
        <w:t>B = .</w:t>
      </w:r>
      <w:r w:rsidR="00F8361D">
        <w:t>1</w:t>
      </w:r>
      <w:r w:rsidR="00AF0352">
        <w:t>6</w:t>
      </w:r>
      <w:r w:rsidR="00515434">
        <w:t xml:space="preserve">, </w:t>
      </w:r>
      <w:r w:rsidR="00DA1D0F">
        <w:t>95%CI=</w:t>
      </w:r>
      <w:r w:rsidR="00515434">
        <w:t xml:space="preserve">.07 </w:t>
      </w:r>
      <w:r w:rsidR="00AE72C2">
        <w:t xml:space="preserve">– </w:t>
      </w:r>
      <w:r w:rsidR="00515434">
        <w:t xml:space="preserve"> .24</w:t>
      </w:r>
      <w:r w:rsidR="006C7C94">
        <w:t>) and the perceived constructiveness of the reviews (</w:t>
      </w:r>
      <w:r w:rsidR="00515434">
        <w:t xml:space="preserve">B = </w:t>
      </w:r>
      <w:r w:rsidR="001406D8">
        <w:t xml:space="preserve">.43, </w:t>
      </w:r>
      <w:r w:rsidR="00DA1D0F">
        <w:t>95%CI=</w:t>
      </w:r>
      <w:r w:rsidR="001406D8">
        <w:t xml:space="preserve">.34 </w:t>
      </w:r>
      <w:r w:rsidR="00AE72C2">
        <w:t xml:space="preserve">– </w:t>
      </w:r>
      <w:r w:rsidR="001406D8">
        <w:t>.52</w:t>
      </w:r>
      <w:r w:rsidR="006C7C94">
        <w:t>).</w:t>
      </w:r>
      <w:r w:rsidR="009379A2">
        <w:t xml:space="preserve">  </w:t>
      </w:r>
      <w:r w:rsidR="00616A88">
        <w:t>N</w:t>
      </w:r>
      <w:r w:rsidR="009B5E78">
        <w:t xml:space="preserve">o correlation was seen between </w:t>
      </w:r>
      <w:r w:rsidR="007729BB">
        <w:t>perception of review and duration from first rejection to ultimate acceptance, for manuscripts that were not accepted at the first journal (</w:t>
      </w:r>
      <w:r w:rsidR="002C26E3">
        <w:t>r=.0</w:t>
      </w:r>
      <w:r w:rsidR="00DA1D0F">
        <w:t>2</w:t>
      </w:r>
      <w:r w:rsidR="002C26E3">
        <w:t>, p=.44)</w:t>
      </w:r>
      <w:r w:rsidR="00130C96">
        <w:t xml:space="preserve">. </w:t>
      </w:r>
      <w:r w:rsidR="00847D5E">
        <w:t xml:space="preserve">Those who had made substantial changes to their manuscripts </w:t>
      </w:r>
      <w:r w:rsidR="00E07355">
        <w:t>before submitting to a second journal had a more positive view of the peer review feedback they had received (mean score =</w:t>
      </w:r>
      <w:r w:rsidR="00AE72C2">
        <w:t xml:space="preserve"> </w:t>
      </w:r>
      <w:r w:rsidR="002F1791">
        <w:t>3.</w:t>
      </w:r>
      <w:r w:rsidR="00DA1D0F">
        <w:t>2</w:t>
      </w:r>
      <w:r w:rsidR="002F1791">
        <w:t>) compared to those that made cosmetic changes (2.7</w:t>
      </w:r>
      <w:r w:rsidR="00DA1D0F">
        <w:t xml:space="preserve">; </w:t>
      </w:r>
      <w:r w:rsidR="002F1791">
        <w:t>t=3.96, p&lt;.001)</w:t>
      </w:r>
      <w:r w:rsidR="004D55D6">
        <w:t>.</w:t>
      </w:r>
    </w:p>
    <w:p w14:paraId="3570473F" w14:textId="5B21A9BC" w:rsidR="00B26C7C" w:rsidRDefault="00B26C7C" w:rsidP="00916361">
      <w:pPr>
        <w:pStyle w:val="Heading1"/>
        <w:numPr>
          <w:ilvl w:val="0"/>
          <w:numId w:val="0"/>
        </w:numPr>
      </w:pPr>
      <w:r>
        <w:t>Discussion</w:t>
      </w:r>
    </w:p>
    <w:p w14:paraId="7E462BD4" w14:textId="2779A710" w:rsidR="00865E5C" w:rsidRDefault="00AE42E7" w:rsidP="00833E81">
      <w:r>
        <w:t xml:space="preserve">This study aimed to </w:t>
      </w:r>
      <w:r w:rsidRPr="00AE42E7">
        <w:t>investigate how HPE scholars choose to which journals to submit their manuscripts</w:t>
      </w:r>
      <w:r w:rsidR="00CB6325">
        <w:t>,</w:t>
      </w:r>
      <w:r w:rsidR="007A52DB">
        <w:t xml:space="preserve"> whether or not strategies differ between </w:t>
      </w:r>
      <w:r w:rsidR="00261BDD">
        <w:t>subgroups of scholars</w:t>
      </w:r>
      <w:r w:rsidR="00CB6325">
        <w:t>, and what their publication experience was like once a choice was made</w:t>
      </w:r>
      <w:r>
        <w:t xml:space="preserve">. </w:t>
      </w:r>
      <w:r w:rsidR="007E2CF1">
        <w:t>T</w:t>
      </w:r>
      <w:r>
        <w:t xml:space="preserve">he most important </w:t>
      </w:r>
      <w:r w:rsidR="00077F00">
        <w:t>priority</w:t>
      </w:r>
      <w:r>
        <w:t xml:space="preserve"> for authors </w:t>
      </w:r>
      <w:r w:rsidR="00C918A5">
        <w:t>within our sample</w:t>
      </w:r>
      <w:r>
        <w:t xml:space="preserve"> w</w:t>
      </w:r>
      <w:r w:rsidR="00096923">
        <w:t>as the fit between their manuscript and the journal</w:t>
      </w:r>
      <w:r w:rsidR="00D73B4F">
        <w:t xml:space="preserve">. </w:t>
      </w:r>
      <w:r w:rsidR="00C65BDF">
        <w:t xml:space="preserve">This is important because </w:t>
      </w:r>
      <w:r w:rsidR="00285653">
        <w:t xml:space="preserve">even within this narrow sample of successful authors, </w:t>
      </w:r>
      <w:r w:rsidR="00C65BDF">
        <w:t>p</w:t>
      </w:r>
      <w:r w:rsidR="00D73B4F">
        <w:t xml:space="preserve">rioritising </w:t>
      </w:r>
      <w:r w:rsidR="00285653">
        <w:t xml:space="preserve">fit </w:t>
      </w:r>
      <w:r w:rsidR="007E2CF1">
        <w:t xml:space="preserve">more highly </w:t>
      </w:r>
      <w:r w:rsidR="00D73B4F">
        <w:t xml:space="preserve">was </w:t>
      </w:r>
      <w:r w:rsidR="008E6D34">
        <w:t>associated with</w:t>
      </w:r>
      <w:r w:rsidR="00D3090A">
        <w:t xml:space="preserve"> </w:t>
      </w:r>
      <w:r w:rsidR="007E2CF1">
        <w:t xml:space="preserve">the likelihood of a </w:t>
      </w:r>
      <w:r w:rsidR="00D73B4F">
        <w:t>successful first submission</w:t>
      </w:r>
      <w:r w:rsidR="00870849">
        <w:t xml:space="preserve">. </w:t>
      </w:r>
      <w:r w:rsidR="00695E76">
        <w:t xml:space="preserve">While all groups rated fit as their top priority, authors from </w:t>
      </w:r>
      <w:r w:rsidR="005003D6">
        <w:t>countries</w:t>
      </w:r>
      <w:r w:rsidR="007E2CF1">
        <w:t xml:space="preserve"> that dominate HPE publishing</w:t>
      </w:r>
      <w:r w:rsidR="005003D6">
        <w:t xml:space="preserve"> </w:t>
      </w:r>
      <w:r w:rsidR="006150BB">
        <w:t xml:space="preserve">rated </w:t>
      </w:r>
      <w:r w:rsidR="00773AFC">
        <w:t>editorial reputation, impact, speed of dissemination and brea</w:t>
      </w:r>
      <w:r w:rsidR="00C65BDF">
        <w:t>d</w:t>
      </w:r>
      <w:r w:rsidR="00773AFC">
        <w:t>th of dissemination as lower priorities than those from non</w:t>
      </w:r>
      <w:r w:rsidR="007E2CF1">
        <w:t>-</w:t>
      </w:r>
      <w:r w:rsidR="00773AFC">
        <w:t xml:space="preserve">dominant countries. </w:t>
      </w:r>
      <w:r w:rsidR="00285653">
        <w:t>The likelihood of being published the first place one submitted was not different between those from dominant and non-dominant countries who did achieve publication, but we have no data on the amount of time and energy spent pursuing journals that are a poor fit by those who were not ultimately successful.</w:t>
      </w:r>
      <w:r w:rsidR="00733576">
        <w:t xml:space="preserve"> </w:t>
      </w:r>
    </w:p>
    <w:p w14:paraId="576F0CE9" w14:textId="73A67A63" w:rsidR="00833E81" w:rsidRDefault="006B011C" w:rsidP="00833E81">
      <w:r>
        <w:t>That said, the full list of prioritization reasons should likely be considered by those who are trying to find their way to success in the field given that the most important factor is arguably dependent on the personal and professional context and goals of each author. Newcomers will inevitably require guidance in this regard and, as such, it was comforting to see that t</w:t>
      </w:r>
      <w:r w:rsidR="00733576">
        <w:t xml:space="preserve">rainees and </w:t>
      </w:r>
      <w:r w:rsidR="00055B29">
        <w:t xml:space="preserve">junior academics </w:t>
      </w:r>
      <w:r>
        <w:t xml:space="preserve">highly </w:t>
      </w:r>
      <w:r w:rsidR="00055B29">
        <w:t>prioritised guidance from others, suggesti</w:t>
      </w:r>
      <w:r w:rsidR="00FE3881">
        <w:t>ng</w:t>
      </w:r>
      <w:r w:rsidR="00055B29">
        <w:t xml:space="preserve"> th</w:t>
      </w:r>
      <w:r w:rsidR="00285653">
        <w:t>e</w:t>
      </w:r>
      <w:r w:rsidR="00055B29">
        <w:t xml:space="preserve"> </w:t>
      </w:r>
      <w:r w:rsidR="00285653">
        <w:t>value of</w:t>
      </w:r>
      <w:r w:rsidR="00055B29">
        <w:t xml:space="preserve"> </w:t>
      </w:r>
      <w:r w:rsidR="00FE3881">
        <w:t>drawing on the knowledge</w:t>
      </w:r>
      <w:r w:rsidR="00285653">
        <w:t xml:space="preserve"> of those with more experience as a means to achieve publication success </w:t>
      </w:r>
      <w:r w:rsidR="00865E5C">
        <w:t>(</w:t>
      </w:r>
      <w:r w:rsidR="00285653">
        <w:t>and likely explaining why the odds of being accepted at the first journal to which our respondents submitted were equal in junior and senior participants</w:t>
      </w:r>
      <w:r w:rsidR="00865E5C">
        <w:t>)</w:t>
      </w:r>
      <w:r w:rsidR="00FE3881">
        <w:t xml:space="preserve">. </w:t>
      </w:r>
      <w:r w:rsidR="008537F7">
        <w:t xml:space="preserve">We also found that </w:t>
      </w:r>
      <w:r w:rsidR="00444D72">
        <w:t xml:space="preserve">deciding on the </w:t>
      </w:r>
      <w:r w:rsidR="00444D72">
        <w:lastRenderedPageBreak/>
        <w:t xml:space="preserve">journal to which one intends </w:t>
      </w:r>
      <w:r w:rsidR="00285653">
        <w:t xml:space="preserve">to </w:t>
      </w:r>
      <w:r w:rsidR="00444D72">
        <w:t xml:space="preserve">submit their manuscript earlier within the research process </w:t>
      </w:r>
      <w:r w:rsidR="00581BF1">
        <w:t>was associated with higher odds of acceptance.</w:t>
      </w:r>
      <w:r w:rsidR="008537F7">
        <w:t xml:space="preserve"> </w:t>
      </w:r>
    </w:p>
    <w:p w14:paraId="7C20543A" w14:textId="27EDA5D6" w:rsidR="00AE42E7" w:rsidRPr="00AE42E7" w:rsidRDefault="00C16F07" w:rsidP="00AE42E7">
      <w:r>
        <w:t xml:space="preserve">Contrary to </w:t>
      </w:r>
      <w:r w:rsidR="00FD367D">
        <w:t>prior research</w:t>
      </w:r>
      <w:r>
        <w:t xml:space="preserve">, </w:t>
      </w:r>
      <w:r w:rsidR="00C30A71">
        <w:t xml:space="preserve">the </w:t>
      </w:r>
      <w:r w:rsidR="00E21920">
        <w:t>majority</w:t>
      </w:r>
      <w:r w:rsidR="00C30A71">
        <w:t xml:space="preserve"> of </w:t>
      </w:r>
      <w:r w:rsidR="00B865FE">
        <w:t xml:space="preserve">our </w:t>
      </w:r>
      <w:r w:rsidR="00C30A71">
        <w:t>respondents felt that peer review enabled them to improve their manuscripts</w:t>
      </w:r>
      <w:r w:rsidR="00A71837">
        <w:fldChar w:fldCharType="begin" w:fldLock="1"/>
      </w:r>
      <w:r w:rsidR="00A71837">
        <w:instrText>ADDIN CSL_CITATION {"citationItems":[{"id":"ITEM-1","itemData":{"author":[{"dropping-particle":"","family":"Frank","given":"E","non-dropping-particle":"","parse-names":false,"suffix":""}],"container-title":"JAMA","id":"ITEM-1","issue":"2","issued":{"date-parts":[["1994"]]},"page":"163-164","title":"Authors' criteria for selecting journals","type":"article-journal","volume":"272"},"uris":["http://www.mendeley.com/documents/?uuid=c0543449-e80a-4bc9-86f3-0e0146ed6b33"]}],"mendeley":{"formattedCitation":"[8]","plainTextFormattedCitation":"[8]","previouslyFormattedCitation":"[8]"},"properties":{"noteIndex":0},"schema":"https://github.com/citation-style-language/schema/raw/master/csl-citation.json"}</w:instrText>
      </w:r>
      <w:r w:rsidR="00A71837">
        <w:fldChar w:fldCharType="separate"/>
      </w:r>
      <w:r w:rsidR="00A71837" w:rsidRPr="009F2244">
        <w:rPr>
          <w:noProof/>
        </w:rPr>
        <w:t>[8]</w:t>
      </w:r>
      <w:r w:rsidR="00A71837">
        <w:fldChar w:fldCharType="end"/>
      </w:r>
      <w:r w:rsidR="00875BA8">
        <w:t>.</w:t>
      </w:r>
      <w:r w:rsidR="00C30A71">
        <w:t xml:space="preserve"> </w:t>
      </w:r>
      <w:r w:rsidR="00CE38E8">
        <w:t>U</w:t>
      </w:r>
      <w:r w:rsidR="00ED21C5">
        <w:t xml:space="preserve">nsurprisingly, authors who have their manuscripts accepted at the first journal have a more positive perception of the feedback they received from peer reviewers.  </w:t>
      </w:r>
      <w:r w:rsidR="009360B0">
        <w:t xml:space="preserve">The </w:t>
      </w:r>
      <w:r w:rsidR="006122C6">
        <w:t xml:space="preserve">aspects of peer review that </w:t>
      </w:r>
      <w:r w:rsidR="00D25169">
        <w:t>lead</w:t>
      </w:r>
      <w:r w:rsidR="006122C6">
        <w:t xml:space="preserve"> authors to</w:t>
      </w:r>
      <w:r w:rsidR="00D25169">
        <w:t xml:space="preserve"> perceive value</w:t>
      </w:r>
      <w:r w:rsidR="006122C6">
        <w:t xml:space="preserve"> </w:t>
      </w:r>
      <w:r w:rsidR="005E2618">
        <w:t xml:space="preserve">are the constructiveness of the reviews and the perceived knowledge of </w:t>
      </w:r>
      <w:r w:rsidR="00E97945">
        <w:t xml:space="preserve">the reviewers. </w:t>
      </w:r>
      <w:r w:rsidR="00F24DD2">
        <w:t>Given the oft</w:t>
      </w:r>
      <w:r w:rsidR="00382ADE">
        <w:t>-</w:t>
      </w:r>
      <w:r w:rsidR="00F24DD2">
        <w:t xml:space="preserve">bemoaned </w:t>
      </w:r>
      <w:r w:rsidR="00382ADE">
        <w:t xml:space="preserve">inconsistency of reviewers, it was notable that </w:t>
      </w:r>
      <w:r w:rsidR="00B5502D">
        <w:t>consistency</w:t>
      </w:r>
      <w:r w:rsidR="00382ADE">
        <w:t xml:space="preserve"> was not significantly associated</w:t>
      </w:r>
      <w:r w:rsidR="00B5502D">
        <w:t xml:space="preserve"> with authors</w:t>
      </w:r>
      <w:r w:rsidR="00875BA8">
        <w:t>’ perceptions that the review</w:t>
      </w:r>
      <w:r w:rsidR="00B5502D">
        <w:t xml:space="preserve"> improve</w:t>
      </w:r>
      <w:r w:rsidR="00875BA8">
        <w:t>d</w:t>
      </w:r>
      <w:r w:rsidR="00B5502D">
        <w:t xml:space="preserve"> their manuscripts.</w:t>
      </w:r>
      <w:r w:rsidR="009F5F32">
        <w:t xml:space="preserve"> </w:t>
      </w:r>
      <w:r w:rsidR="00962E4E">
        <w:t xml:space="preserve">It was concerning that only a minority of authors </w:t>
      </w:r>
      <w:r w:rsidR="0008308F">
        <w:t xml:space="preserve">who were </w:t>
      </w:r>
      <w:r w:rsidR="00962E4E">
        <w:t xml:space="preserve">unsuccessful at their </w:t>
      </w:r>
      <w:r w:rsidR="00543024">
        <w:t>first-choice</w:t>
      </w:r>
      <w:r w:rsidR="00962E4E">
        <w:t xml:space="preserve"> journal made substantial changes to their manuscripts</w:t>
      </w:r>
      <w:r w:rsidR="0008308F">
        <w:t xml:space="preserve">. </w:t>
      </w:r>
      <w:r w:rsidR="006B7F33">
        <w:t xml:space="preserve">While all of these manuscripts were ultimately published, one </w:t>
      </w:r>
      <w:r w:rsidR="006B7F33" w:rsidRPr="006B7F33">
        <w:t>wonder</w:t>
      </w:r>
      <w:r w:rsidR="006B7F33">
        <w:t>s</w:t>
      </w:r>
      <w:r w:rsidR="006B7F33" w:rsidRPr="006B7F33">
        <w:t xml:space="preserve"> how many more did not make it into the population of accepted articles because the authors did not engage substantively with the feedback received from reviewers.</w:t>
      </w:r>
    </w:p>
    <w:p w14:paraId="716B991A" w14:textId="5823F088" w:rsidR="00CD0E2D" w:rsidRDefault="00CD0E2D" w:rsidP="009E3E2D">
      <w:pPr>
        <w:pStyle w:val="Heading2"/>
        <w:numPr>
          <w:ilvl w:val="0"/>
          <w:numId w:val="0"/>
        </w:numPr>
      </w:pPr>
      <w:r>
        <w:t>Strengths and limitations</w:t>
      </w:r>
    </w:p>
    <w:p w14:paraId="0ED0A02E" w14:textId="7B729107" w:rsidR="00481962" w:rsidRDefault="00B0091D" w:rsidP="007C7D42">
      <w:r>
        <w:t xml:space="preserve">This </w:t>
      </w:r>
      <w:r w:rsidR="00904516">
        <w:t xml:space="preserve">is the first </w:t>
      </w:r>
      <w:r w:rsidR="009F1784">
        <w:t xml:space="preserve">survey </w:t>
      </w:r>
      <w:r w:rsidR="00904516">
        <w:t xml:space="preserve">of </w:t>
      </w:r>
      <w:r w:rsidR="00B865FE">
        <w:t>HPE</w:t>
      </w:r>
      <w:r w:rsidR="004E4F7A">
        <w:t xml:space="preserve"> scholars’ motivations and priorities when publishing manuscripts</w:t>
      </w:r>
      <w:r w:rsidR="00D25169">
        <w:t xml:space="preserve"> although it</w:t>
      </w:r>
      <w:r w:rsidR="009F1784">
        <w:t xml:space="preserve"> builds on previous qualitative research</w:t>
      </w:r>
      <w:r w:rsidR="009F1784">
        <w:fldChar w:fldCharType="begin" w:fldLock="1"/>
      </w:r>
      <w:r w:rsidR="00F540F2">
        <w:instrText>ADDIN CSL_CITATION {"citationItems":[{"id":"ITEM-1","itemData":{"DOI":"10.1097/ACM.0000000000002265","ISBN":"0000000000","ISSN":"1938808X","PMID":"29697431","abstract":"Purpose Publishing in peer-reviewed journals is essential for medical education researchers. Competition remains fierce for top journals, and authors are advised to consider impact factor (IF), audience, and alignment of focus. However, little is known about how authors balance these factors when making submission decisions. The authors aimed to explore decision making around journal choice. Method Using constructivist grounded theory, the authors conducted and analyzed 27 semistructured phone interviews (August-November 2016) with medical education researchers. Participants were recruited from a larger study, and all had presented abstracts at medical education meetings in 2005 or 2006. Results When deciding where to submit an article, participants weighed a journal's IF and prestige against other factors, such as a journal's vision and mission, finding the right audience, study-specific factors including perceived quality of the work, and the peer review process. The opportunity cost of aiming high and risking rejection was influenced by career stage and external pressures. Despite much higher IFs, clinical journals were viewed as less desirable for establishing legitimacy in the medical education field and were often targeted for less novel or rigorous work. Participants expressed dissatisfaction with peer review in general, citing overly critical and poorly informed reviewers. Conclusions Authors strategize around a particular article's submission by attempting to balance many interrelated factors. Their perceptions that high-IF clinical journals are viewed as less prestigious in this field can lead to publication strategies running counter to advice given to junior faculty. This has implications for mentorship and institutional leadership.","author":[{"dropping-particle":"","family":"Ginsburg","given":"Shiphra","non-dropping-particle":"","parse-names":false,"suffix":""},{"dropping-particle":"","family":"Lynch","given":"Meghan","non-dropping-particle":"","parse-names":false,"suffix":""},{"dropping-particle":"","family":"Walsh","given":"Catharine M.","non-dropping-particle":"","parse-names":false,"suffix":""}],"container-title":"Academic Medicine","id":"ITEM-1","issue":"8","issued":{"date-parts":[["2018"]]},"page":"1176-1181","title":"A fine balance: How authors strategize around journal submission","type":"article-journal","volume":"93"},"uris":["http://www.mendeley.com/documents/?uuid=3553b9bd-915b-4485-b899-5489ca0794bc"]}],"mendeley":{"formattedCitation":"[7]","plainTextFormattedCitation":"[7]","previouslyFormattedCitation":"[7]"},"properties":{"noteIndex":0},"schema":"https://github.com/citation-style-language/schema/raw/master/csl-citation.json"}</w:instrText>
      </w:r>
      <w:r w:rsidR="009F1784">
        <w:fldChar w:fldCharType="separate"/>
      </w:r>
      <w:r w:rsidR="009F2244" w:rsidRPr="009F2244">
        <w:rPr>
          <w:noProof/>
        </w:rPr>
        <w:t>[7]</w:t>
      </w:r>
      <w:r w:rsidR="009F1784">
        <w:fldChar w:fldCharType="end"/>
      </w:r>
      <w:r w:rsidR="004E4F7A">
        <w:t xml:space="preserve">. </w:t>
      </w:r>
      <w:r w:rsidR="003506F0">
        <w:t>While previous research had a predominantly senior and North American sample, o</w:t>
      </w:r>
      <w:r w:rsidR="00976F49">
        <w:t xml:space="preserve">ur study </w:t>
      </w:r>
      <w:r w:rsidR="00D25169">
        <w:t xml:space="preserve">employed </w:t>
      </w:r>
      <w:r w:rsidR="00976F49">
        <w:t>a</w:t>
      </w:r>
      <w:r w:rsidR="006B2983">
        <w:t xml:space="preserve"> large and </w:t>
      </w:r>
      <w:r w:rsidR="000446E0">
        <w:t xml:space="preserve">highly </w:t>
      </w:r>
      <w:r w:rsidR="006B2983">
        <w:t xml:space="preserve">diverse sample of HPE scholars. </w:t>
      </w:r>
      <w:r w:rsidR="00FA7620">
        <w:t xml:space="preserve">Sampling adequacy for the principal </w:t>
      </w:r>
      <w:r w:rsidR="0078027E">
        <w:t>component analyses were in the range</w:t>
      </w:r>
      <w:r w:rsidR="006B2E90">
        <w:t>s</w:t>
      </w:r>
      <w:r w:rsidR="0078027E">
        <w:t xml:space="preserve"> termed ‘</w:t>
      </w:r>
      <w:r w:rsidR="006B2E90">
        <w:t>middling’ and ‘meritorious’</w:t>
      </w:r>
      <w:r w:rsidR="0078027E">
        <w:t xml:space="preserve"> by </w:t>
      </w:r>
      <w:r w:rsidR="00B33550">
        <w:t>Kaiser and Rice</w:t>
      </w:r>
      <w:r w:rsidR="00083A35">
        <w:fldChar w:fldCharType="begin" w:fldLock="1"/>
      </w:r>
      <w:r w:rsidR="00F540F2">
        <w:instrText>ADDIN CSL_CITATION {"citationItems":[{"id":"ITEM-1","itemData":{"DOI":"10.1177/001316447403400115","ISSN":"0013-1644","author":[{"dropping-particle":"","family":"Kaiser","given":"Henry F","non-dropping-particle":"","parse-names":false,"suffix":""},{"dropping-particle":"","family":"Rice","given":"John","non-dropping-particle":"","parse-names":false,"suffix":""}],"container-title":"Educational and Psychological Measurement","id":"ITEM-1","issue":"1","issued":{"date-parts":[["1974","4","1"]]},"note":"doi: 10.1177/001316447403400115","page":"111-117","publisher":"SAGE Publications Inc","title":"Little Jiffy, Mark Iv","type":"article-journal","volume":"34"},"uris":["http://www.mendeley.com/documents/?uuid=caaffa4f-d88b-4e08-ac5b-51b0bcb72fe9"]}],"mendeley":{"formattedCitation":"[17]","plainTextFormattedCitation":"[17]","previouslyFormattedCitation":"[17]"},"properties":{"noteIndex":0},"schema":"https://github.com/citation-style-language/schema/raw/master/csl-citation.json"}</w:instrText>
      </w:r>
      <w:r w:rsidR="00083A35">
        <w:fldChar w:fldCharType="separate"/>
      </w:r>
      <w:r w:rsidR="009F2244" w:rsidRPr="009F2244">
        <w:rPr>
          <w:noProof/>
        </w:rPr>
        <w:t>[17]</w:t>
      </w:r>
      <w:r w:rsidR="00083A35">
        <w:fldChar w:fldCharType="end"/>
      </w:r>
      <w:r w:rsidR="0019593B">
        <w:t xml:space="preserve">.  These strengths notwithstanding, </w:t>
      </w:r>
      <w:r w:rsidR="000B74DD">
        <w:t>our study has several limitations.</w:t>
      </w:r>
      <w:r w:rsidR="00DC06C5">
        <w:t xml:space="preserve"> First, w</w:t>
      </w:r>
      <w:r w:rsidR="00BB1123">
        <w:t xml:space="preserve">e </w:t>
      </w:r>
      <w:r w:rsidR="00FB6C1B">
        <w:t>surveyed</w:t>
      </w:r>
      <w:r w:rsidR="00BB1123">
        <w:t xml:space="preserve"> only authors who</w:t>
      </w:r>
      <w:r w:rsidR="00FB6C1B">
        <w:t xml:space="preserve">se manuscripts were published. While </w:t>
      </w:r>
      <w:r w:rsidR="009C1266">
        <w:t xml:space="preserve">this enables us to offer guidance based on success stories, </w:t>
      </w:r>
      <w:r w:rsidR="00C94ADE">
        <w:t xml:space="preserve">it prevents us from knowing if authors </w:t>
      </w:r>
      <w:r w:rsidR="00D25169">
        <w:t xml:space="preserve">of </w:t>
      </w:r>
      <w:r w:rsidR="00C94ADE">
        <w:t xml:space="preserve">manuscripts </w:t>
      </w:r>
      <w:r w:rsidR="00D25169">
        <w:t xml:space="preserve">that were </w:t>
      </w:r>
      <w:r w:rsidR="00C94ADE">
        <w:t xml:space="preserve">never accepted adopt different approaches. </w:t>
      </w:r>
      <w:r w:rsidR="00C331CB">
        <w:t xml:space="preserve">These manuscripts were also identified through </w:t>
      </w:r>
      <w:r w:rsidR="00B36B84">
        <w:t>PubMed</w:t>
      </w:r>
      <w:r w:rsidR="00196C7F">
        <w:t>;</w:t>
      </w:r>
      <w:r w:rsidR="003F6197">
        <w:t xml:space="preserve"> </w:t>
      </w:r>
      <w:r w:rsidR="00D25169">
        <w:t xml:space="preserve">as such, </w:t>
      </w:r>
      <w:r w:rsidR="00565491">
        <w:t>our findings may not be representative of</w:t>
      </w:r>
      <w:r w:rsidR="003F6197">
        <w:t xml:space="preserve"> those that ultimately ended up having their manuscripts </w:t>
      </w:r>
      <w:r w:rsidR="00884D75">
        <w:t>accepted</w:t>
      </w:r>
      <w:r w:rsidR="003F6197">
        <w:t xml:space="preserve"> </w:t>
      </w:r>
      <w:r w:rsidR="00565491">
        <w:t>i</w:t>
      </w:r>
      <w:r w:rsidR="003F6197">
        <w:t>n non-Medline indexed journals</w:t>
      </w:r>
      <w:r w:rsidR="005E471B">
        <w:t>,</w:t>
      </w:r>
      <w:r w:rsidR="00D83821">
        <w:t xml:space="preserve"> </w:t>
      </w:r>
      <w:r w:rsidR="005C1A7B">
        <w:t>and may exclude articles published in languages other than English</w:t>
      </w:r>
      <w:r w:rsidR="00201B6C">
        <w:t xml:space="preserve">. </w:t>
      </w:r>
      <w:r w:rsidR="002D6BF5">
        <w:t xml:space="preserve">Our </w:t>
      </w:r>
      <w:r w:rsidR="00167919">
        <w:t>use of keyword and MeSH searching may also omit relevant HPE paper</w:t>
      </w:r>
      <w:r w:rsidR="00A013A0">
        <w:t xml:space="preserve">s. </w:t>
      </w:r>
      <w:r w:rsidR="007E3327">
        <w:t>Recent efforts to delineate the field of medical education have highlighted the challenges of identifying a</w:t>
      </w:r>
      <w:r w:rsidR="00B65FFB">
        <w:t xml:space="preserve"> comprehensive </w:t>
      </w:r>
      <w:r w:rsidR="00D13AA0">
        <w:t>approach</w:t>
      </w:r>
      <w:r w:rsidR="0043191E">
        <w:fldChar w:fldCharType="begin" w:fldLock="1"/>
      </w:r>
      <w:r w:rsidR="00F540F2">
        <w:instrText>ADDIN CSL_CITATION {"citationItems":[{"id":"ITEM-1","itemData":{"DOI":"https://doi.org/10.1111/medu.14677","ISSN":"0308-0110","abstract":"Abstract Background The field of medical education remains poorly delineated such that there is no broad consensus of articles or journals that comprise ?the field.? This lack of consensus indicates a missed opportunity for researchers to generate insights about the field that could facilitate conducting bibliometric studies and other research designs (e.g., systematic reviews) and also enable individuals to identify themselves as ?medical education researchers.? Other fields have utilized bibliometric field delineation, which is the assigning of articles or journals to a certain field in an effort to define that field. Process In this Research Approach, three bibliometric field delineation approaches?information retrieval, core journals, and journal co-citation?are introduced. For each approach, the authors describe attempts to apply it in medical education and identify related strengths and weaknesses. Based on co-citation, the authors propose the Medical Education Journal List 24 (MEJ-24), as a starting point for delineating medical education and invite the community to collaborate on improving and potentially expanding this list. Pearls As a research approach, field delineation is complicated, and there is no clear best way to delineate the field of medical education. However, recent advances in information science provide potentially fruitful approaches to deal with the field?s complexity. When considering these approaches, researchers should consider collaborating with bibliometricians. Bibliometric approaches rely on available metadata for articles and journals, which necessitates that researchers examine the metadata prior to analysis to understand its strengths and weaknesses, and to assess how this might affect data interpretation. While using bibliometric approaches for field delineation is valuable, it is important to remember that these techniques are only as good as the research team?s interpretation of the data, which suggests that an expanded approach is needed to better delineate medical education, an approach that includes active discussion within the medical education community.","author":[{"dropping-particle":"","family":"Maggio","given":"Lauren A","non-dropping-particle":"","parse-names":false,"suffix":""},{"dropping-particle":"","family":"Ninkov","given":"Anton","non-dropping-particle":"","parse-names":false,"suffix":""},{"dropping-particle":"","family":"Frank","given":"Jason R","non-dropping-particle":"","parse-names":false,"suffix":""},{"dropping-particle":"","family":"Costello","given":"Joseph A","non-dropping-particle":"","parse-names":false,"suffix":""},{"dropping-particle":"","family":"Artino Jr","given":"Anthony R","non-dropping-particle":"","parse-names":false,"suffix":""}],"container-title":"Medical Education","id":"ITEM-1","issue":"n/a","issued":{"date-parts":[["2021","10","15"]]},"note":"https://doi.org/10.1111/medu.14677","publisher":"John Wiley &amp; Sons, Ltd","title":"Delineating the field of Medical Education: Bibliometric Research Approach (es)","type":"article-journal","volume":"n/a"},"uris":["http://www.mendeley.com/documents/?uuid=d41cfee0-e4eb-4fe9-9e31-d1b6c57104a8"]}],"mendeley":{"formattedCitation":"[18]","plainTextFormattedCitation":"[18]","previouslyFormattedCitation":"[18]"},"properties":{"noteIndex":0},"schema":"https://github.com/citation-style-language/schema/raw/master/csl-citation.json"}</w:instrText>
      </w:r>
      <w:r w:rsidR="0043191E">
        <w:fldChar w:fldCharType="separate"/>
      </w:r>
      <w:r w:rsidR="009F2244" w:rsidRPr="009F2244">
        <w:rPr>
          <w:noProof/>
        </w:rPr>
        <w:t>[18]</w:t>
      </w:r>
      <w:r w:rsidR="0043191E">
        <w:fldChar w:fldCharType="end"/>
      </w:r>
      <w:r w:rsidR="00665F67">
        <w:t xml:space="preserve">. We considered the alternative of using articles published within a core set of HPE journals would lead to greater bias than </w:t>
      </w:r>
      <w:r w:rsidR="00415A14">
        <w:t>our search strategy.</w:t>
      </w:r>
    </w:p>
    <w:p w14:paraId="357E5926" w14:textId="3E43D9AF" w:rsidR="00951A88" w:rsidRDefault="00DC06C5" w:rsidP="00384386">
      <w:r>
        <w:t xml:space="preserve">Second, </w:t>
      </w:r>
      <w:r w:rsidR="0095417D">
        <w:t>we have through necessity adopted a cross</w:t>
      </w:r>
      <w:r w:rsidR="00AE72C2">
        <w:t>-</w:t>
      </w:r>
      <w:r w:rsidR="0095417D">
        <w:t xml:space="preserve">sectional design. This </w:t>
      </w:r>
      <w:r w:rsidR="004A489A">
        <w:t xml:space="preserve">makes it difficult to </w:t>
      </w:r>
      <w:r w:rsidR="00ED1533">
        <w:t xml:space="preserve">make causal inferences and </w:t>
      </w:r>
      <w:r w:rsidR="00CA3336">
        <w:t xml:space="preserve">makes our study susceptible to </w:t>
      </w:r>
      <w:r w:rsidR="004D034E">
        <w:t>recall</w:t>
      </w:r>
      <w:r w:rsidR="000446E0">
        <w:t xml:space="preserve"> and social desirability</w:t>
      </w:r>
      <w:r w:rsidR="004D034E">
        <w:t xml:space="preserve"> bias</w:t>
      </w:r>
      <w:r w:rsidR="000446E0">
        <w:t>es</w:t>
      </w:r>
      <w:r w:rsidR="00A71837">
        <w:fldChar w:fldCharType="begin" w:fldLock="1"/>
      </w:r>
      <w:r w:rsidR="00A71837">
        <w:instrText>ADDIN CSL_CITATION {"citationItems":[{"id":"ITEM-1","itemData":{"DOI":"https://doi.org/10.1016/j.chest.2020.03.012","ISSN":"0012-3692","abstract":"Cross-sectional studies are observational studies that analyze data from a population at a single point in time. They are often used to measure the prevalence of health outcomes, understand determinants of health, and describe features of a population. Unlike other types of observational studies, cross-sectional studies do not follow individuals up over time. They are usually inexpensive and easy to conduct. They are useful for establishing preliminary evidence in planning a future advanced study. This article reviews the essential characteristics, describes strengths and weaknesses, discusses methodological issues, and gives our recommendations on design and statistical analysis for cross-sectional studies in pulmonary and critical care medicine. A list of considerations for reviewers is also provided.","author":[{"dropping-particle":"","family":"Wang","given":"Xiaofeng","non-dropping-particle":"","parse-names":false,"suffix":""},{"dropping-particle":"","family":"Cheng","given":"Zhenshun","non-dropping-particle":"","parse-names":false,"suffix":""}],"container-title":"Chest","id":"ITEM-1","issue":"1, Supplement ","issued":{"date-parts":[["2020"]]},"page":"S65-S71","title":"Cross-Sectional Studies: Strengths, Weaknesses, and Recommendations","type":"article-journal","volume":"158"},"uris":["http://www.mendeley.com/documents/?uuid=ad48e391-2a92-4809-a81c-f51fc74942c1"]}],"mendeley":{"formattedCitation":"[19]","plainTextFormattedCitation":"[19]","previouslyFormattedCitation":"[19]"},"properties":{"noteIndex":0},"schema":"https://github.com/citation-style-language/schema/raw/master/csl-citation.json"}</w:instrText>
      </w:r>
      <w:r w:rsidR="00A71837">
        <w:fldChar w:fldCharType="separate"/>
      </w:r>
      <w:r w:rsidR="00A71837" w:rsidRPr="009F2244">
        <w:rPr>
          <w:noProof/>
        </w:rPr>
        <w:t>[19]</w:t>
      </w:r>
      <w:r w:rsidR="00A71837">
        <w:fldChar w:fldCharType="end"/>
      </w:r>
      <w:r w:rsidR="000446E0">
        <w:t xml:space="preserve">. </w:t>
      </w:r>
      <w:r w:rsidR="007B4AEF">
        <w:t>Indeed, that 63% of our sample were accepted the first place they submitted suggests those who were accepted at the first journal were more likely to respond to the survey</w:t>
      </w:r>
      <w:r w:rsidR="00D25169">
        <w:t xml:space="preserve"> relative to </w:t>
      </w:r>
      <w:r w:rsidR="00D25169">
        <w:lastRenderedPageBreak/>
        <w:t>the general population of HPE authors (or more likely to claim they sent their manuscript to only one journal)</w:t>
      </w:r>
      <w:r w:rsidR="002170A2">
        <w:t>.</w:t>
      </w:r>
      <w:r w:rsidR="00D25169" w:rsidRPr="00D25169">
        <w:t xml:space="preserve"> </w:t>
      </w:r>
      <w:r w:rsidR="00D25169">
        <w:t>Limitations in autobiographical memory might have been particularly problematic for those respondents who authored multiple papers within the sampling window, but we attempted to minimize that risk by always asking about the most recent paper we uncovered when defining the study population. Surveying the corresponding author may have under-represented any team-based decision processes that informed journal choice. In that regard</w:t>
      </w:r>
      <w:r w:rsidR="0028762E">
        <w:t xml:space="preserve">, it would </w:t>
      </w:r>
      <w:r w:rsidR="00D25169">
        <w:t xml:space="preserve">also </w:t>
      </w:r>
      <w:r w:rsidR="0028762E">
        <w:t xml:space="preserve">have been useful to have more trustworthy information regarding the location and perspectives from which all authors and all journals came to enable deeper analysis of geographic, demographic, and other differences in the patterns observed. </w:t>
      </w:r>
      <w:r w:rsidR="00D25169">
        <w:t>Finally</w:t>
      </w:r>
      <w:r w:rsidR="001E4F59">
        <w:t xml:space="preserve">, </w:t>
      </w:r>
      <w:r w:rsidR="00FC008C">
        <w:t xml:space="preserve">while </w:t>
      </w:r>
      <w:r w:rsidR="00F12A9C">
        <w:t xml:space="preserve">the number of responses is satisfactory, the response rate </w:t>
      </w:r>
      <w:r w:rsidR="00D25169">
        <w:t>wa</w:t>
      </w:r>
      <w:r w:rsidR="00F12A9C">
        <w:t>s</w:t>
      </w:r>
      <w:r w:rsidR="005D1C8E">
        <w:t xml:space="preserve"> low</w:t>
      </w:r>
      <w:r w:rsidR="0086504C">
        <w:t>er than desired</w:t>
      </w:r>
      <w:r w:rsidR="005D1C8E">
        <w:t xml:space="preserve">.  </w:t>
      </w:r>
      <w:r w:rsidR="00D25169">
        <w:t>That said, it is</w:t>
      </w:r>
      <w:r w:rsidR="005D1C8E">
        <w:t xml:space="preserve"> in line with the response rates seen in other survey research of HPE authors</w:t>
      </w:r>
      <w:r w:rsidR="0086504C">
        <w:fldChar w:fldCharType="begin" w:fldLock="1"/>
      </w:r>
      <w:r w:rsidR="00F540F2">
        <w:instrText>ADDIN CSL_CITATION {"citationItems":[{"id":"ITEM-1","itemData":{"DOI":"10.1097/ACM.0000000000002412","ISBN":"0000000000","ISSN":"1938808X","PMID":"30113363","abstract":"Purpose To maintain scientific integrity and engender public confidence, research must be conducted responsibly. Whereas deliberate scientific misconduct such as data fabrication is clearly unethical, other behaviors-often referred to as questionable research practices (QRPs)-exploit the ethical shades of gray that color acceptable practice. This study aimed to measure the frequency of self-reported misconduct and QRPs in a diverse, international sample of health professions education (HPE) researchers. Method In 2017, the authors conducted an anonymous, cross-sectional survey study. The web-based survey contained 43 items that asked respondents to rate how often they had engaged in a variety of irresponsible research behaviors. The items were adapted from previously published surveys. Results In total, 590 HPE researchers took the survey. The mean age was 46 years (SD = 11.6), and the majority of participants were from the United States (26.4%), Europe (23.2%), and Canada (15.3%). The three most frequently reported irresponsible research behaviors were adding authors who did not qualify for authorship (60.6%), citing articles that were not read (49.5%), and selectively citing papers to please editors or reviewers (49.4%). Additionally, respondents reported misrepresenting a participant's words (6.7%), plagiarizing (5.5%), inappropriately modifying results (5.3%), deleting data without disclosure (3.4%), and fabricating data (2.4%). Overall, 533 (90.3%) respondents reported at least one irresponsible behavior. Conclusions Notwithstanding the methodological limitations of survey research, these findings indicate that a substantial proportion of HPE researchers report a range of misconduct and QRPs. Consequently, reforms may be needed to improve the conduct of HPE research.","author":[{"dropping-particle":"","family":"Artino","given":"Anthony R.","non-dropping-particle":"","parse-names":false,"suffix":""},{"dropping-particle":"","family":"Driessen","given":"Erik W.","non-dropping-particle":"","parse-names":false,"suffix":""},{"dropping-particle":"","family":"Maggio","given":"Lauren A.","non-dropping-particle":"","parse-names":false,"suffix":""}],"container-title":"Academic Medicine","id":"ITEM-1","issue":"1","issued":{"date-parts":[["2019"]]},"page":"76-84","title":"Ethical Shades of Gray: International Frequency of Scientific Misconduct and Questionable Research Practices in Health Professions Education","type":"article-journal","volume":"94"},"uris":["http://www.mendeley.com/documents/?uuid=d6c2d134-0cfb-4821-afc4-aedbfdeec504"]}],"mendeley":{"formattedCitation":"[13]","plainTextFormattedCitation":"[13]","previouslyFormattedCitation":"[13]"},"properties":{"noteIndex":0},"schema":"https://github.com/citation-style-language/schema/raw/master/csl-citation.json"}</w:instrText>
      </w:r>
      <w:r w:rsidR="0086504C">
        <w:fldChar w:fldCharType="separate"/>
      </w:r>
      <w:r w:rsidR="009F2244" w:rsidRPr="009F2244">
        <w:rPr>
          <w:noProof/>
        </w:rPr>
        <w:t>[13]</w:t>
      </w:r>
      <w:r w:rsidR="0086504C">
        <w:fldChar w:fldCharType="end"/>
      </w:r>
      <w:r w:rsidR="00E24B5E">
        <w:t xml:space="preserve">, and our wave analysis suggests very little nonresponse bias.  </w:t>
      </w:r>
    </w:p>
    <w:p w14:paraId="429C9E52" w14:textId="608C5937" w:rsidR="00CD0E2D" w:rsidRDefault="00CD0E2D" w:rsidP="00F11ADF">
      <w:pPr>
        <w:pStyle w:val="Heading2"/>
        <w:numPr>
          <w:ilvl w:val="0"/>
          <w:numId w:val="0"/>
        </w:numPr>
      </w:pPr>
      <w:r>
        <w:t>Implications for practice</w:t>
      </w:r>
    </w:p>
    <w:p w14:paraId="668DB50B" w14:textId="0B44F5B7" w:rsidR="0092770C" w:rsidRDefault="00BF2B05" w:rsidP="00F4108F">
      <w:r>
        <w:t xml:space="preserve">Based on our findings we can offer a number of recommendations to scholars in the field.  </w:t>
      </w:r>
      <w:r w:rsidR="0060054E">
        <w:t xml:space="preserve">First, do not be disheartened by a </w:t>
      </w:r>
      <w:r w:rsidR="000D5372">
        <w:t>‘revise’ decision</w:t>
      </w:r>
      <w:r w:rsidR="00BF6FE9">
        <w:t xml:space="preserve"> in the way that we have often observed new authors to be; an invitation to revise is an expression of an editor’s interest. N</w:t>
      </w:r>
      <w:r w:rsidR="0028762E">
        <w:t xml:space="preserve">early all </w:t>
      </w:r>
      <w:r w:rsidR="000D5372">
        <w:t xml:space="preserve">manuscripts </w:t>
      </w:r>
      <w:r w:rsidR="0028762E">
        <w:t>that were</w:t>
      </w:r>
      <w:r w:rsidR="000D5372">
        <w:t xml:space="preserve"> </w:t>
      </w:r>
      <w:r w:rsidR="00C73B3F">
        <w:t xml:space="preserve">published at the </w:t>
      </w:r>
      <w:r w:rsidR="0028762E">
        <w:t>‘</w:t>
      </w:r>
      <w:r w:rsidR="00C73B3F">
        <w:t>first</w:t>
      </w:r>
      <w:r w:rsidR="00AA20DB">
        <w:t>-</w:t>
      </w:r>
      <w:r w:rsidR="00C73B3F">
        <w:t>choice</w:t>
      </w:r>
      <w:r w:rsidR="0028762E">
        <w:t>’</w:t>
      </w:r>
      <w:r w:rsidR="00C73B3F">
        <w:t xml:space="preserve"> journal </w:t>
      </w:r>
      <w:r w:rsidR="00240AC4">
        <w:t xml:space="preserve">were </w:t>
      </w:r>
      <w:r w:rsidR="0028762E">
        <w:t>accepted only</w:t>
      </w:r>
      <w:r w:rsidR="00240AC4">
        <w:t xml:space="preserve"> after revisions</w:t>
      </w:r>
      <w:r w:rsidR="0028762E">
        <w:t xml:space="preserve"> were made</w:t>
      </w:r>
      <w:r w:rsidR="00240AC4">
        <w:t xml:space="preserve">. </w:t>
      </w:r>
      <w:r w:rsidR="00BF6FE9">
        <w:t xml:space="preserve">Not receiving such an offer, however, does not necessarily mean the issues cannot be addressed or that a journal that better ‘fits’ the scope of the project cannot be found. Authors submitted their manuscripts to 1.5 journals on average prior to publication and </w:t>
      </w:r>
      <w:r w:rsidR="00384386">
        <w:t>w</w:t>
      </w:r>
      <w:r w:rsidR="0028762E">
        <w:t xml:space="preserve">e suspect </w:t>
      </w:r>
      <w:r w:rsidR="00BF6FE9">
        <w:t>that number</w:t>
      </w:r>
      <w:r w:rsidR="0028762E">
        <w:t xml:space="preserve"> to be an under-estimate given the direction of bias that is most likely to impact upon these data.</w:t>
      </w:r>
      <w:r w:rsidR="00240AC4">
        <w:t xml:space="preserve"> </w:t>
      </w:r>
    </w:p>
    <w:p w14:paraId="2C5AD41C" w14:textId="0D60491B" w:rsidR="00F4108F" w:rsidRDefault="00240AC4" w:rsidP="00F4108F">
      <w:r>
        <w:t xml:space="preserve">Second, </w:t>
      </w:r>
      <w:r w:rsidR="007F3CE9">
        <w:t xml:space="preserve">start </w:t>
      </w:r>
      <w:r w:rsidR="0028762E">
        <w:t>thinking about</w:t>
      </w:r>
      <w:r w:rsidR="007F3CE9">
        <w:t xml:space="preserve"> the journal </w:t>
      </w:r>
      <w:r w:rsidR="0028762E">
        <w:t xml:space="preserve">to which </w:t>
      </w:r>
      <w:r w:rsidR="007F3CE9">
        <w:t xml:space="preserve">you </w:t>
      </w:r>
      <w:r w:rsidR="0028762E">
        <w:t>would ideally</w:t>
      </w:r>
      <w:r w:rsidR="007F3CE9">
        <w:t xml:space="preserve"> submit early in your research process</w:t>
      </w:r>
      <w:r w:rsidR="000B0044">
        <w:t xml:space="preserve">. </w:t>
      </w:r>
      <w:r w:rsidR="0028762E">
        <w:t>In doing so</w:t>
      </w:r>
      <w:r w:rsidR="000B0044">
        <w:t xml:space="preserve">, </w:t>
      </w:r>
      <w:r w:rsidR="000A5E9B">
        <w:t xml:space="preserve">consider where your manuscript best ‘fits’ in terms of the scope of the journal and matching </w:t>
      </w:r>
      <w:r w:rsidR="001D4BA0">
        <w:t>your</w:t>
      </w:r>
      <w:r w:rsidR="000A5E9B">
        <w:t xml:space="preserve"> work to their readership</w:t>
      </w:r>
      <w:r w:rsidR="0028762E">
        <w:t xml:space="preserve"> to</w:t>
      </w:r>
      <w:r w:rsidR="001D4BA0">
        <w:t xml:space="preserve"> maximise your chance of acceptance</w:t>
      </w:r>
      <w:r w:rsidR="0028762E">
        <w:t xml:space="preserve">. Prioritizing fit </w:t>
      </w:r>
      <w:r w:rsidR="005F101E">
        <w:t>was not associated with an increase</w:t>
      </w:r>
      <w:r w:rsidR="00AE7ABD">
        <w:t xml:space="preserve"> </w:t>
      </w:r>
      <w:r w:rsidR="005F101E">
        <w:t>i</w:t>
      </w:r>
      <w:r w:rsidR="00AE7ABD">
        <w:t>n duration between submission and acceptance compared to prioritising speed of dissemination</w:t>
      </w:r>
      <w:r w:rsidR="0028762E">
        <w:t xml:space="preserve"> and the overall delay between manuscript completion and publication is likely to be lowest if the right journal is selected first rather than sending one’s article to a different journal for the wrong reasons</w:t>
      </w:r>
      <w:r w:rsidR="00AE7ABD">
        <w:t>.</w:t>
      </w:r>
    </w:p>
    <w:p w14:paraId="47890023" w14:textId="7FE3A460" w:rsidR="00FC402A" w:rsidRDefault="00FC402A" w:rsidP="00F4108F">
      <w:r>
        <w:t xml:space="preserve">In determining where one’s manuscript might best ‘fit’ we suggest authors familiarise themselves with a breadth of journals through reading </w:t>
      </w:r>
      <w:r w:rsidR="00B865FE">
        <w:t xml:space="preserve">its </w:t>
      </w:r>
      <w:r>
        <w:t xml:space="preserve">articles, editorials, </w:t>
      </w:r>
      <w:r w:rsidR="00B865FE">
        <w:t xml:space="preserve">author </w:t>
      </w:r>
      <w:r w:rsidR="00940823">
        <w:t xml:space="preserve">instructions, and discussing </w:t>
      </w:r>
      <w:r w:rsidR="00B865FE">
        <w:t xml:space="preserve">journal selection </w:t>
      </w:r>
      <w:r w:rsidR="00940823">
        <w:t xml:space="preserve">with experienced </w:t>
      </w:r>
      <w:r w:rsidR="00B865FE">
        <w:t xml:space="preserve">HPE </w:t>
      </w:r>
      <w:r w:rsidR="00940823">
        <w:t>colleagues.</w:t>
      </w:r>
    </w:p>
    <w:p w14:paraId="5CD713F2" w14:textId="77777777" w:rsidR="000446E0" w:rsidRDefault="000446E0">
      <w:pPr>
        <w:spacing w:after="0" w:line="240" w:lineRule="auto"/>
        <w:rPr>
          <w:rFonts w:eastAsiaTheme="majorEastAsia" w:cstheme="majorBidi"/>
          <w:color w:val="000000" w:themeColor="text1"/>
          <w:sz w:val="32"/>
          <w:szCs w:val="32"/>
          <w:highlight w:val="lightGray"/>
        </w:rPr>
      </w:pPr>
      <w:r>
        <w:rPr>
          <w:highlight w:val="lightGray"/>
        </w:rPr>
        <w:br w:type="page"/>
      </w:r>
    </w:p>
    <w:p w14:paraId="1751B375" w14:textId="6CB452BD" w:rsidR="00E51DA1" w:rsidRDefault="00E51DA1" w:rsidP="00BE6A58">
      <w:pPr>
        <w:pStyle w:val="Heading1"/>
        <w:numPr>
          <w:ilvl w:val="0"/>
          <w:numId w:val="0"/>
        </w:numPr>
      </w:pPr>
      <w:r>
        <w:lastRenderedPageBreak/>
        <w:t>References</w:t>
      </w:r>
    </w:p>
    <w:p w14:paraId="7ED46AC8" w14:textId="554D14C9" w:rsidR="00213804" w:rsidRPr="00213804" w:rsidRDefault="00656E45" w:rsidP="00213804">
      <w:pPr>
        <w:widowControl w:val="0"/>
        <w:autoSpaceDE w:val="0"/>
        <w:autoSpaceDN w:val="0"/>
        <w:adjustRightInd w:val="0"/>
        <w:ind w:left="640" w:hanging="640"/>
        <w:rPr>
          <w:rFonts w:cs="Times New Roman"/>
          <w:noProof/>
        </w:rPr>
      </w:pPr>
      <w:r>
        <w:fldChar w:fldCharType="begin" w:fldLock="1"/>
      </w:r>
      <w:r>
        <w:instrText xml:space="preserve">ADDIN Mendeley Bibliography CSL_BIBLIOGRAPHY </w:instrText>
      </w:r>
      <w:r>
        <w:fldChar w:fldCharType="separate"/>
      </w:r>
      <w:r w:rsidR="00213804" w:rsidRPr="00213804">
        <w:rPr>
          <w:rFonts w:cs="Times New Roman"/>
          <w:noProof/>
        </w:rPr>
        <w:t xml:space="preserve">1. </w:t>
      </w:r>
      <w:r w:rsidR="00213804" w:rsidRPr="00213804">
        <w:rPr>
          <w:rFonts w:cs="Times New Roman"/>
          <w:noProof/>
        </w:rPr>
        <w:tab/>
        <w:t xml:space="preserve">Sherbino J, Frank JR, Snell L. Defining the key roles and competencies of the clinician-educator of the 21st century: A national mixed-methods study. Acad Med. 2014;89(5):783–9. </w:t>
      </w:r>
    </w:p>
    <w:p w14:paraId="361180A1" w14:textId="77777777" w:rsidR="00213804" w:rsidRPr="00213804" w:rsidRDefault="00213804" w:rsidP="00213804">
      <w:pPr>
        <w:widowControl w:val="0"/>
        <w:autoSpaceDE w:val="0"/>
        <w:autoSpaceDN w:val="0"/>
        <w:adjustRightInd w:val="0"/>
        <w:ind w:left="640" w:hanging="640"/>
        <w:rPr>
          <w:rFonts w:cs="Times New Roman"/>
          <w:noProof/>
        </w:rPr>
      </w:pPr>
      <w:r w:rsidRPr="00213804">
        <w:rPr>
          <w:rFonts w:cs="Times New Roman"/>
          <w:noProof/>
        </w:rPr>
        <w:t xml:space="preserve">2. </w:t>
      </w:r>
      <w:r w:rsidRPr="00213804">
        <w:rPr>
          <w:rFonts w:cs="Times New Roman"/>
          <w:noProof/>
        </w:rPr>
        <w:tab/>
        <w:t xml:space="preserve">Glassick CE. Boyer’s Expanded Definitions of Scholarship, the Standards for Assessing Scholarship, and the Elusiveness of the Scholarship of Teaching. Acad Med. 2000;75(9). </w:t>
      </w:r>
    </w:p>
    <w:p w14:paraId="588071A2" w14:textId="77777777" w:rsidR="00213804" w:rsidRPr="00213804" w:rsidRDefault="00213804" w:rsidP="00213804">
      <w:pPr>
        <w:widowControl w:val="0"/>
        <w:autoSpaceDE w:val="0"/>
        <w:autoSpaceDN w:val="0"/>
        <w:adjustRightInd w:val="0"/>
        <w:ind w:left="640" w:hanging="640"/>
        <w:rPr>
          <w:rFonts w:cs="Times New Roman"/>
          <w:noProof/>
        </w:rPr>
      </w:pPr>
      <w:r w:rsidRPr="00213804">
        <w:rPr>
          <w:rFonts w:cs="Times New Roman"/>
          <w:noProof/>
        </w:rPr>
        <w:t xml:space="preserve">3. </w:t>
      </w:r>
      <w:r w:rsidRPr="00213804">
        <w:rPr>
          <w:rFonts w:cs="Times New Roman"/>
          <w:noProof/>
        </w:rPr>
        <w:tab/>
        <w:t xml:space="preserve">Hu WCY, Thistlethwaite JE, Weller J, Gallego G, Monteith J, McColl GJ. “It was serendipity”: a qualitative study of academic careers in medical education. Med Educ. 2015 Nov;49(11):1124–36. </w:t>
      </w:r>
    </w:p>
    <w:p w14:paraId="52944930" w14:textId="77777777" w:rsidR="00213804" w:rsidRPr="00213804" w:rsidRDefault="00213804" w:rsidP="00213804">
      <w:pPr>
        <w:widowControl w:val="0"/>
        <w:autoSpaceDE w:val="0"/>
        <w:autoSpaceDN w:val="0"/>
        <w:adjustRightInd w:val="0"/>
        <w:ind w:left="640" w:hanging="640"/>
        <w:rPr>
          <w:rFonts w:cs="Times New Roman"/>
          <w:noProof/>
        </w:rPr>
      </w:pPr>
      <w:r w:rsidRPr="00213804">
        <w:rPr>
          <w:rFonts w:cs="Times New Roman"/>
          <w:noProof/>
        </w:rPr>
        <w:t xml:space="preserve">4. </w:t>
      </w:r>
      <w:r w:rsidRPr="00213804">
        <w:rPr>
          <w:rFonts w:cs="Times New Roman"/>
          <w:noProof/>
        </w:rPr>
        <w:tab/>
        <w:t xml:space="preserve">Doja A, Horsley T, Sampson M. Productivity in medical education research: An examination of countries of origin. BMC Med Educ. 2014;14(1):1–9. </w:t>
      </w:r>
    </w:p>
    <w:p w14:paraId="1DC8A183" w14:textId="77777777" w:rsidR="00213804" w:rsidRPr="00213804" w:rsidRDefault="00213804" w:rsidP="00213804">
      <w:pPr>
        <w:widowControl w:val="0"/>
        <w:autoSpaceDE w:val="0"/>
        <w:autoSpaceDN w:val="0"/>
        <w:adjustRightInd w:val="0"/>
        <w:ind w:left="640" w:hanging="640"/>
        <w:rPr>
          <w:rFonts w:cs="Times New Roman"/>
          <w:noProof/>
        </w:rPr>
      </w:pPr>
      <w:r w:rsidRPr="00213804">
        <w:rPr>
          <w:rFonts w:cs="Times New Roman"/>
          <w:noProof/>
        </w:rPr>
        <w:t xml:space="preserve">5. </w:t>
      </w:r>
      <w:r w:rsidRPr="00213804">
        <w:rPr>
          <w:rFonts w:cs="Times New Roman"/>
          <w:noProof/>
        </w:rPr>
        <w:tab/>
        <w:t xml:space="preserve">Thomas MP. The geographic and topical landscape of medical education research. BMC Med Educ. 2019;19(1):1–5. </w:t>
      </w:r>
    </w:p>
    <w:p w14:paraId="34E8E7B9" w14:textId="77777777" w:rsidR="00213804" w:rsidRPr="00213804" w:rsidRDefault="00213804" w:rsidP="00213804">
      <w:pPr>
        <w:widowControl w:val="0"/>
        <w:autoSpaceDE w:val="0"/>
        <w:autoSpaceDN w:val="0"/>
        <w:adjustRightInd w:val="0"/>
        <w:ind w:left="640" w:hanging="640"/>
        <w:rPr>
          <w:rFonts w:cs="Times New Roman"/>
          <w:noProof/>
        </w:rPr>
      </w:pPr>
      <w:r w:rsidRPr="00213804">
        <w:rPr>
          <w:rFonts w:cs="Times New Roman"/>
          <w:noProof/>
        </w:rPr>
        <w:t xml:space="preserve">6. </w:t>
      </w:r>
      <w:r w:rsidRPr="00213804">
        <w:rPr>
          <w:rFonts w:cs="Times New Roman"/>
          <w:noProof/>
        </w:rPr>
        <w:tab/>
        <w:t xml:space="preserve">Good advice from the deputy editors of Medical Education. Med Educ. 2012 Sep;46(9):828–9. </w:t>
      </w:r>
    </w:p>
    <w:p w14:paraId="660E6278" w14:textId="77777777" w:rsidR="00213804" w:rsidRPr="00213804" w:rsidRDefault="00213804" w:rsidP="00213804">
      <w:pPr>
        <w:widowControl w:val="0"/>
        <w:autoSpaceDE w:val="0"/>
        <w:autoSpaceDN w:val="0"/>
        <w:adjustRightInd w:val="0"/>
        <w:ind w:left="640" w:hanging="640"/>
        <w:rPr>
          <w:rFonts w:cs="Times New Roman"/>
          <w:noProof/>
        </w:rPr>
      </w:pPr>
      <w:r w:rsidRPr="00213804">
        <w:rPr>
          <w:rFonts w:cs="Times New Roman"/>
          <w:noProof/>
        </w:rPr>
        <w:t xml:space="preserve">7. </w:t>
      </w:r>
      <w:r w:rsidRPr="00213804">
        <w:rPr>
          <w:rFonts w:cs="Times New Roman"/>
          <w:noProof/>
        </w:rPr>
        <w:tab/>
        <w:t xml:space="preserve">Ginsburg S, Lynch M, Walsh CM. A fine balance: How authors strategize around journal submission. Acad Med. 2018;93(8):1176–81. </w:t>
      </w:r>
    </w:p>
    <w:p w14:paraId="50E4939F" w14:textId="77777777" w:rsidR="00213804" w:rsidRPr="00213804" w:rsidRDefault="00213804" w:rsidP="00213804">
      <w:pPr>
        <w:widowControl w:val="0"/>
        <w:autoSpaceDE w:val="0"/>
        <w:autoSpaceDN w:val="0"/>
        <w:adjustRightInd w:val="0"/>
        <w:ind w:left="640" w:hanging="640"/>
        <w:rPr>
          <w:rFonts w:cs="Times New Roman"/>
          <w:noProof/>
        </w:rPr>
      </w:pPr>
      <w:r w:rsidRPr="00213804">
        <w:rPr>
          <w:rFonts w:cs="Times New Roman"/>
          <w:noProof/>
        </w:rPr>
        <w:t xml:space="preserve">8. </w:t>
      </w:r>
      <w:r w:rsidRPr="00213804">
        <w:rPr>
          <w:rFonts w:cs="Times New Roman"/>
          <w:noProof/>
        </w:rPr>
        <w:tab/>
        <w:t xml:space="preserve">Frank E. Authors’ criteria for selecting journals. JAMA. 1994;272(2):163–4. </w:t>
      </w:r>
    </w:p>
    <w:p w14:paraId="6C002888" w14:textId="77777777" w:rsidR="00213804" w:rsidRPr="00213804" w:rsidRDefault="00213804" w:rsidP="00213804">
      <w:pPr>
        <w:widowControl w:val="0"/>
        <w:autoSpaceDE w:val="0"/>
        <w:autoSpaceDN w:val="0"/>
        <w:adjustRightInd w:val="0"/>
        <w:ind w:left="640" w:hanging="640"/>
        <w:rPr>
          <w:rFonts w:cs="Times New Roman"/>
          <w:noProof/>
        </w:rPr>
      </w:pPr>
      <w:r w:rsidRPr="00213804">
        <w:rPr>
          <w:rFonts w:cs="Times New Roman"/>
          <w:noProof/>
        </w:rPr>
        <w:t xml:space="preserve">9. </w:t>
      </w:r>
      <w:r w:rsidRPr="00213804">
        <w:rPr>
          <w:rFonts w:cs="Times New Roman"/>
          <w:noProof/>
        </w:rPr>
        <w:tab/>
        <w:t xml:space="preserve">Sandesh N, Wahrekar S. Choosing the scientific journal for publishing research work: Perceptions of medical and dental researchers. Clujul Med. 2017;90(2):196–202. </w:t>
      </w:r>
    </w:p>
    <w:p w14:paraId="5D1FC737" w14:textId="77777777" w:rsidR="00213804" w:rsidRPr="00213804" w:rsidRDefault="00213804" w:rsidP="00213804">
      <w:pPr>
        <w:widowControl w:val="0"/>
        <w:autoSpaceDE w:val="0"/>
        <w:autoSpaceDN w:val="0"/>
        <w:adjustRightInd w:val="0"/>
        <w:ind w:left="640" w:hanging="640"/>
        <w:rPr>
          <w:rFonts w:cs="Times New Roman"/>
          <w:noProof/>
        </w:rPr>
      </w:pPr>
      <w:r w:rsidRPr="00213804">
        <w:rPr>
          <w:rFonts w:cs="Times New Roman"/>
          <w:noProof/>
        </w:rPr>
        <w:t xml:space="preserve">10. </w:t>
      </w:r>
      <w:r w:rsidRPr="00213804">
        <w:rPr>
          <w:rFonts w:cs="Times New Roman"/>
          <w:noProof/>
        </w:rPr>
        <w:tab/>
        <w:t xml:space="preserve">Eva KW. The reviewer is always right: peer review of research in Medical Education. Med Educ. 2009 Jan;43(1):2–4. </w:t>
      </w:r>
    </w:p>
    <w:p w14:paraId="272A72B5" w14:textId="77777777" w:rsidR="00213804" w:rsidRPr="00213804" w:rsidRDefault="00213804" w:rsidP="00213804">
      <w:pPr>
        <w:widowControl w:val="0"/>
        <w:autoSpaceDE w:val="0"/>
        <w:autoSpaceDN w:val="0"/>
        <w:adjustRightInd w:val="0"/>
        <w:ind w:left="640" w:hanging="640"/>
        <w:rPr>
          <w:rFonts w:cs="Times New Roman"/>
          <w:noProof/>
        </w:rPr>
      </w:pPr>
      <w:r w:rsidRPr="00213804">
        <w:rPr>
          <w:rFonts w:cs="Times New Roman"/>
          <w:noProof/>
        </w:rPr>
        <w:t xml:space="preserve">11. </w:t>
      </w:r>
      <w:r w:rsidRPr="00213804">
        <w:rPr>
          <w:rFonts w:cs="Times New Roman"/>
          <w:noProof/>
        </w:rPr>
        <w:tab/>
        <w:t xml:space="preserve">Calcagno V, Demoinet E, Gollner K, Guidi L, Ruths D, de Mazancourt C. Flows of Research Manuscripts among scientific journals reval hidden submission patterns. Science (80- ). 2012;338(November):1065–9. </w:t>
      </w:r>
    </w:p>
    <w:p w14:paraId="227F488C" w14:textId="77777777" w:rsidR="00213804" w:rsidRPr="00213804" w:rsidRDefault="00213804" w:rsidP="00213804">
      <w:pPr>
        <w:widowControl w:val="0"/>
        <w:autoSpaceDE w:val="0"/>
        <w:autoSpaceDN w:val="0"/>
        <w:adjustRightInd w:val="0"/>
        <w:ind w:left="640" w:hanging="640"/>
        <w:rPr>
          <w:rFonts w:cs="Times New Roman"/>
          <w:noProof/>
        </w:rPr>
      </w:pPr>
      <w:r w:rsidRPr="00213804">
        <w:rPr>
          <w:rFonts w:cs="Times New Roman"/>
          <w:noProof/>
        </w:rPr>
        <w:t xml:space="preserve">12. </w:t>
      </w:r>
      <w:r w:rsidRPr="00213804">
        <w:rPr>
          <w:rFonts w:cs="Times New Roman"/>
          <w:noProof/>
        </w:rPr>
        <w:tab/>
        <w:t xml:space="preserve">Dillman DA, Smyth JD, Christian LM. Internet, phone, mail, and mixed-mode survyes: the tailored design method. 4th ed. Hoboken, NJ: WILEY; 2014. </w:t>
      </w:r>
    </w:p>
    <w:p w14:paraId="080EDE95" w14:textId="77777777" w:rsidR="00213804" w:rsidRPr="00213804" w:rsidRDefault="00213804" w:rsidP="00213804">
      <w:pPr>
        <w:widowControl w:val="0"/>
        <w:autoSpaceDE w:val="0"/>
        <w:autoSpaceDN w:val="0"/>
        <w:adjustRightInd w:val="0"/>
        <w:ind w:left="640" w:hanging="640"/>
        <w:rPr>
          <w:rFonts w:cs="Times New Roman"/>
          <w:noProof/>
        </w:rPr>
      </w:pPr>
      <w:r w:rsidRPr="00213804">
        <w:rPr>
          <w:rFonts w:cs="Times New Roman"/>
          <w:noProof/>
        </w:rPr>
        <w:t xml:space="preserve">13. </w:t>
      </w:r>
      <w:r w:rsidRPr="00213804">
        <w:rPr>
          <w:rFonts w:cs="Times New Roman"/>
          <w:noProof/>
        </w:rPr>
        <w:tab/>
        <w:t xml:space="preserve">Artino AR, Driessen EW, Maggio LA. Ethical Shades of Gray: International Frequency of Scientific Misconduct and Questionable Research Practices in Health Professions Education. Acad Med. 2019;94(1):76–84. </w:t>
      </w:r>
    </w:p>
    <w:p w14:paraId="3D7DA4B0" w14:textId="77777777" w:rsidR="00213804" w:rsidRPr="00213804" w:rsidRDefault="00213804" w:rsidP="00213804">
      <w:pPr>
        <w:widowControl w:val="0"/>
        <w:autoSpaceDE w:val="0"/>
        <w:autoSpaceDN w:val="0"/>
        <w:adjustRightInd w:val="0"/>
        <w:ind w:left="640" w:hanging="640"/>
        <w:rPr>
          <w:rFonts w:cs="Times New Roman"/>
          <w:noProof/>
        </w:rPr>
      </w:pPr>
      <w:r w:rsidRPr="00213804">
        <w:rPr>
          <w:rFonts w:cs="Times New Roman"/>
          <w:noProof/>
        </w:rPr>
        <w:lastRenderedPageBreak/>
        <w:t xml:space="preserve">14. </w:t>
      </w:r>
      <w:r w:rsidRPr="00213804">
        <w:rPr>
          <w:rFonts w:cs="Times New Roman"/>
          <w:noProof/>
        </w:rPr>
        <w:tab/>
        <w:t xml:space="preserve">Superchi C, González JA, Solà I, Cobo E, Hren D, Boutron I. Tools used to assess the quality of peer review reports: A methodological systematic review. BMC Med Res Methodol. 2019;19(1):1–14. </w:t>
      </w:r>
    </w:p>
    <w:p w14:paraId="1823D45F" w14:textId="77777777" w:rsidR="00213804" w:rsidRPr="00213804" w:rsidRDefault="00213804" w:rsidP="00213804">
      <w:pPr>
        <w:widowControl w:val="0"/>
        <w:autoSpaceDE w:val="0"/>
        <w:autoSpaceDN w:val="0"/>
        <w:adjustRightInd w:val="0"/>
        <w:ind w:left="640" w:hanging="640"/>
        <w:rPr>
          <w:rFonts w:cs="Times New Roman"/>
          <w:noProof/>
        </w:rPr>
      </w:pPr>
      <w:r w:rsidRPr="00213804">
        <w:rPr>
          <w:rFonts w:cs="Times New Roman"/>
          <w:noProof/>
        </w:rPr>
        <w:t xml:space="preserve">15. </w:t>
      </w:r>
      <w:r w:rsidRPr="00213804">
        <w:rPr>
          <w:rFonts w:cs="Times New Roman"/>
          <w:noProof/>
        </w:rPr>
        <w:tab/>
        <w:t xml:space="preserve">Phillips AW, Reddy S, Durning SJ. Improving response rates and evaluating nonresponse bias in surveys: AMEE Guide No. 102. Med Teach. 2016;38(3):217–28. </w:t>
      </w:r>
    </w:p>
    <w:p w14:paraId="31971196" w14:textId="77777777" w:rsidR="00213804" w:rsidRPr="00213804" w:rsidRDefault="00213804" w:rsidP="00213804">
      <w:pPr>
        <w:widowControl w:val="0"/>
        <w:autoSpaceDE w:val="0"/>
        <w:autoSpaceDN w:val="0"/>
        <w:adjustRightInd w:val="0"/>
        <w:ind w:left="640" w:hanging="640"/>
        <w:rPr>
          <w:rFonts w:cs="Times New Roman"/>
          <w:noProof/>
        </w:rPr>
      </w:pPr>
      <w:r w:rsidRPr="00213804">
        <w:rPr>
          <w:rFonts w:cs="Times New Roman"/>
          <w:noProof/>
        </w:rPr>
        <w:t xml:space="preserve">16. </w:t>
      </w:r>
      <w:r w:rsidRPr="00213804">
        <w:rPr>
          <w:rFonts w:cs="Times New Roman"/>
          <w:noProof/>
        </w:rPr>
        <w:tab/>
        <w:t xml:space="preserve">The American Association for Public Opinion Research. Standard Definitions: Final Dispositions of Case Codes and Outcome Rates for Surveys. 9th edition [Internet]. Vol. 25, Multivariate Behavioral Research. 2016. </w:t>
      </w:r>
    </w:p>
    <w:p w14:paraId="0B8A6F80" w14:textId="77777777" w:rsidR="00213804" w:rsidRPr="00213804" w:rsidRDefault="00213804" w:rsidP="00213804">
      <w:pPr>
        <w:widowControl w:val="0"/>
        <w:autoSpaceDE w:val="0"/>
        <w:autoSpaceDN w:val="0"/>
        <w:adjustRightInd w:val="0"/>
        <w:ind w:left="640" w:hanging="640"/>
        <w:rPr>
          <w:rFonts w:cs="Times New Roman"/>
          <w:noProof/>
        </w:rPr>
      </w:pPr>
      <w:r w:rsidRPr="00213804">
        <w:rPr>
          <w:rFonts w:cs="Times New Roman"/>
          <w:noProof/>
        </w:rPr>
        <w:t xml:space="preserve">17. </w:t>
      </w:r>
      <w:r w:rsidRPr="00213804">
        <w:rPr>
          <w:rFonts w:cs="Times New Roman"/>
          <w:noProof/>
        </w:rPr>
        <w:tab/>
        <w:t xml:space="preserve">Kaiser HF, Rice J. Little Jiffy, Mark Iv. Educ Psychol Meas. 1974 Apr 1;34(1):111–7. </w:t>
      </w:r>
    </w:p>
    <w:p w14:paraId="58E44A54" w14:textId="77777777" w:rsidR="00213804" w:rsidRPr="00213804" w:rsidRDefault="00213804" w:rsidP="00213804">
      <w:pPr>
        <w:widowControl w:val="0"/>
        <w:autoSpaceDE w:val="0"/>
        <w:autoSpaceDN w:val="0"/>
        <w:adjustRightInd w:val="0"/>
        <w:ind w:left="640" w:hanging="640"/>
        <w:rPr>
          <w:rFonts w:cs="Times New Roman"/>
          <w:noProof/>
        </w:rPr>
      </w:pPr>
      <w:r w:rsidRPr="00213804">
        <w:rPr>
          <w:rFonts w:cs="Times New Roman"/>
          <w:noProof/>
        </w:rPr>
        <w:t xml:space="preserve">18. </w:t>
      </w:r>
      <w:r w:rsidRPr="00213804">
        <w:rPr>
          <w:rFonts w:cs="Times New Roman"/>
          <w:noProof/>
        </w:rPr>
        <w:tab/>
        <w:t xml:space="preserve">Maggio LA, Ninkov A, Frank JR, Costello JA, Artino Jr AR. Delineating the field of Medical Education: Bibliometric Research Approach (es). Med Educ. 2021 Oct 15;n/a(n/a). </w:t>
      </w:r>
    </w:p>
    <w:p w14:paraId="490467A2" w14:textId="77777777" w:rsidR="00213804" w:rsidRPr="00213804" w:rsidRDefault="00213804" w:rsidP="00213804">
      <w:pPr>
        <w:widowControl w:val="0"/>
        <w:autoSpaceDE w:val="0"/>
        <w:autoSpaceDN w:val="0"/>
        <w:adjustRightInd w:val="0"/>
        <w:ind w:left="640" w:hanging="640"/>
        <w:rPr>
          <w:noProof/>
        </w:rPr>
      </w:pPr>
      <w:r w:rsidRPr="00213804">
        <w:rPr>
          <w:rFonts w:cs="Times New Roman"/>
          <w:noProof/>
        </w:rPr>
        <w:t xml:space="preserve">19. </w:t>
      </w:r>
      <w:r w:rsidRPr="00213804">
        <w:rPr>
          <w:rFonts w:cs="Times New Roman"/>
          <w:noProof/>
        </w:rPr>
        <w:tab/>
        <w:t xml:space="preserve">Wang X, Cheng Z. Cross-Sectional Studies: Strengths, Weaknesses, and Recommendations. Chest. 2020;158(1, Supplement):S65–71. </w:t>
      </w:r>
    </w:p>
    <w:p w14:paraId="79D4BD6B" w14:textId="49089A00" w:rsidR="0041681C" w:rsidRDefault="00656E45" w:rsidP="00213804">
      <w:pPr>
        <w:widowControl w:val="0"/>
        <w:autoSpaceDE w:val="0"/>
        <w:autoSpaceDN w:val="0"/>
        <w:adjustRightInd w:val="0"/>
        <w:ind w:left="640" w:hanging="640"/>
        <w:sectPr w:rsidR="0041681C" w:rsidSect="00524297">
          <w:pgSz w:w="11900" w:h="16840"/>
          <w:pgMar w:top="1440" w:right="1440" w:bottom="1440" w:left="1440" w:header="708" w:footer="708" w:gutter="0"/>
          <w:cols w:space="708"/>
          <w:docGrid w:linePitch="360"/>
        </w:sectPr>
      </w:pPr>
      <w:r>
        <w:fldChar w:fldCharType="end"/>
      </w:r>
    </w:p>
    <w:p w14:paraId="563E5204" w14:textId="2A17EA27" w:rsidR="00B26C7C" w:rsidRPr="00B26C7C" w:rsidRDefault="00B26C7C" w:rsidP="00BE6A58">
      <w:pPr>
        <w:pStyle w:val="Heading1"/>
      </w:pPr>
      <w:r>
        <w:lastRenderedPageBreak/>
        <w:t>Tables</w:t>
      </w:r>
    </w:p>
    <w:p w14:paraId="2280E03A" w14:textId="6673DD76" w:rsidR="009A497C" w:rsidRDefault="009A497C" w:rsidP="009A497C">
      <w:pPr>
        <w:pStyle w:val="Caption"/>
        <w:keepNext/>
      </w:pPr>
      <w:bookmarkStart w:id="0" w:name="_Ref73655868"/>
      <w:r>
        <w:t xml:space="preserve">Table </w:t>
      </w:r>
      <w:bookmarkEnd w:id="0"/>
      <w:r w:rsidR="00A54567">
        <w:rPr>
          <w:noProof/>
        </w:rPr>
        <w:t>1</w:t>
      </w:r>
      <w:r>
        <w:t>. Multivariate regression analyses of association between author demographics and motivations for publication</w:t>
      </w:r>
    </w:p>
    <w:tbl>
      <w:tblPr>
        <w:tblStyle w:val="TableGrid"/>
        <w:tblW w:w="0" w:type="auto"/>
        <w:tblLook w:val="04A0" w:firstRow="1" w:lastRow="0" w:firstColumn="1" w:lastColumn="0" w:noHBand="0" w:noVBand="1"/>
      </w:tblPr>
      <w:tblGrid>
        <w:gridCol w:w="1655"/>
        <w:gridCol w:w="1524"/>
        <w:gridCol w:w="1112"/>
        <w:gridCol w:w="12"/>
        <w:gridCol w:w="1582"/>
        <w:gridCol w:w="12"/>
        <w:gridCol w:w="1602"/>
        <w:gridCol w:w="12"/>
        <w:gridCol w:w="1491"/>
        <w:gridCol w:w="8"/>
      </w:tblGrid>
      <w:tr w:rsidR="00F41AAA" w14:paraId="52F013A9" w14:textId="77777777" w:rsidTr="00116F87">
        <w:trPr>
          <w:gridAfter w:val="1"/>
          <w:wAfter w:w="8" w:type="dxa"/>
        </w:trPr>
        <w:tc>
          <w:tcPr>
            <w:tcW w:w="4291" w:type="dxa"/>
            <w:gridSpan w:val="3"/>
            <w:shd w:val="clear" w:color="auto" w:fill="BFBFBF" w:themeFill="background1" w:themeFillShade="BF"/>
            <w:vAlign w:val="center"/>
          </w:tcPr>
          <w:p w14:paraId="44655CC4" w14:textId="1A441165" w:rsidR="00F41AAA" w:rsidRPr="009F7FF0" w:rsidRDefault="00F41AAA" w:rsidP="00B43E3A">
            <w:pPr>
              <w:spacing w:line="240" w:lineRule="auto"/>
              <w:jc w:val="center"/>
              <w:rPr>
                <w:b/>
                <w:bCs/>
              </w:rPr>
            </w:pPr>
            <w:r w:rsidRPr="009F7FF0">
              <w:rPr>
                <w:b/>
                <w:bCs/>
              </w:rPr>
              <w:t>Dependent variables:</w:t>
            </w:r>
          </w:p>
        </w:tc>
        <w:tc>
          <w:tcPr>
            <w:tcW w:w="1594" w:type="dxa"/>
            <w:gridSpan w:val="2"/>
            <w:shd w:val="clear" w:color="auto" w:fill="BFBFBF" w:themeFill="background1" w:themeFillShade="BF"/>
            <w:vAlign w:val="center"/>
          </w:tcPr>
          <w:p w14:paraId="7DCA5AF3" w14:textId="60DE1F58" w:rsidR="00F41AAA" w:rsidRPr="009F7FF0" w:rsidRDefault="00F41AAA" w:rsidP="00B43E3A">
            <w:pPr>
              <w:spacing w:line="240" w:lineRule="auto"/>
              <w:jc w:val="center"/>
              <w:rPr>
                <w:b/>
                <w:bCs/>
              </w:rPr>
            </w:pPr>
            <w:r w:rsidRPr="009F7FF0">
              <w:rPr>
                <w:b/>
                <w:bCs/>
              </w:rPr>
              <w:t>Personal promotion</w:t>
            </w:r>
          </w:p>
        </w:tc>
        <w:tc>
          <w:tcPr>
            <w:tcW w:w="1614" w:type="dxa"/>
            <w:gridSpan w:val="2"/>
            <w:shd w:val="clear" w:color="auto" w:fill="BFBFBF" w:themeFill="background1" w:themeFillShade="BF"/>
            <w:vAlign w:val="center"/>
          </w:tcPr>
          <w:p w14:paraId="57101CEE" w14:textId="77777777" w:rsidR="00F41AAA" w:rsidRPr="009F7FF0" w:rsidRDefault="00F41AAA" w:rsidP="00B43E3A">
            <w:pPr>
              <w:spacing w:line="240" w:lineRule="auto"/>
              <w:jc w:val="center"/>
              <w:rPr>
                <w:b/>
                <w:bCs/>
              </w:rPr>
            </w:pPr>
            <w:r w:rsidRPr="009F7FF0">
              <w:rPr>
                <w:b/>
                <w:bCs/>
              </w:rPr>
              <w:t>Advancing knowledge</w:t>
            </w:r>
          </w:p>
        </w:tc>
        <w:tc>
          <w:tcPr>
            <w:tcW w:w="1503" w:type="dxa"/>
            <w:gridSpan w:val="2"/>
            <w:shd w:val="clear" w:color="auto" w:fill="BFBFBF" w:themeFill="background1" w:themeFillShade="BF"/>
            <w:vAlign w:val="center"/>
          </w:tcPr>
          <w:p w14:paraId="2032ABA8" w14:textId="77777777" w:rsidR="00F41AAA" w:rsidRPr="009F7FF0" w:rsidRDefault="00F41AAA" w:rsidP="00B43E3A">
            <w:pPr>
              <w:spacing w:line="240" w:lineRule="auto"/>
              <w:jc w:val="center"/>
              <w:rPr>
                <w:b/>
                <w:bCs/>
              </w:rPr>
            </w:pPr>
            <w:r w:rsidRPr="009F7FF0">
              <w:rPr>
                <w:b/>
                <w:bCs/>
              </w:rPr>
              <w:t>Capacity building</w:t>
            </w:r>
          </w:p>
        </w:tc>
      </w:tr>
      <w:tr w:rsidR="00591E79" w14:paraId="7034857D" w14:textId="77777777" w:rsidTr="00116F87">
        <w:tc>
          <w:tcPr>
            <w:tcW w:w="1655" w:type="dxa"/>
            <w:vMerge w:val="restart"/>
            <w:shd w:val="clear" w:color="auto" w:fill="BFBFBF" w:themeFill="background1" w:themeFillShade="BF"/>
            <w:vAlign w:val="center"/>
          </w:tcPr>
          <w:p w14:paraId="5F2F2D1C" w14:textId="670F826A" w:rsidR="00591E79" w:rsidRPr="0046502C" w:rsidRDefault="00591E79" w:rsidP="00B43E3A">
            <w:pPr>
              <w:spacing w:line="240" w:lineRule="auto"/>
              <w:jc w:val="center"/>
              <w:rPr>
                <w:b/>
                <w:bCs/>
              </w:rPr>
            </w:pPr>
            <w:r w:rsidRPr="0046502C">
              <w:rPr>
                <w:b/>
                <w:bCs/>
              </w:rPr>
              <w:t xml:space="preserve">Independent variables: </w:t>
            </w:r>
          </w:p>
        </w:tc>
        <w:tc>
          <w:tcPr>
            <w:tcW w:w="1524" w:type="dxa"/>
            <w:shd w:val="clear" w:color="auto" w:fill="D9D9D9" w:themeFill="background1" w:themeFillShade="D9"/>
            <w:vAlign w:val="center"/>
          </w:tcPr>
          <w:p w14:paraId="2FE26889" w14:textId="77777777" w:rsidR="00591E79" w:rsidRPr="0046502C" w:rsidRDefault="00591E79" w:rsidP="00B43E3A">
            <w:pPr>
              <w:spacing w:line="240" w:lineRule="auto"/>
              <w:jc w:val="center"/>
              <w:rPr>
                <w:b/>
                <w:bCs/>
              </w:rPr>
            </w:pPr>
            <w:r w:rsidRPr="0046502C">
              <w:rPr>
                <w:b/>
                <w:bCs/>
              </w:rPr>
              <w:t>Gender (Male)</w:t>
            </w:r>
          </w:p>
        </w:tc>
        <w:tc>
          <w:tcPr>
            <w:tcW w:w="1124" w:type="dxa"/>
            <w:gridSpan w:val="2"/>
            <w:shd w:val="clear" w:color="auto" w:fill="D9D9D9" w:themeFill="background1" w:themeFillShade="D9"/>
          </w:tcPr>
          <w:p w14:paraId="26283E1C" w14:textId="66A2656A" w:rsidR="00591E79" w:rsidRDefault="00591E79" w:rsidP="00B43E3A">
            <w:pPr>
              <w:spacing w:line="240" w:lineRule="auto"/>
              <w:jc w:val="center"/>
            </w:pPr>
            <w:r w:rsidRPr="0046502C">
              <w:rPr>
                <w:b/>
                <w:bCs/>
              </w:rPr>
              <w:t>B (95% CI)</w:t>
            </w:r>
          </w:p>
        </w:tc>
        <w:tc>
          <w:tcPr>
            <w:tcW w:w="1594" w:type="dxa"/>
            <w:gridSpan w:val="2"/>
            <w:shd w:val="clear" w:color="auto" w:fill="D9D9D9" w:themeFill="background1" w:themeFillShade="D9"/>
            <w:vAlign w:val="center"/>
          </w:tcPr>
          <w:p w14:paraId="1BD10FB0" w14:textId="11452EFC" w:rsidR="00591E79" w:rsidRDefault="00591E79" w:rsidP="00B43E3A">
            <w:pPr>
              <w:spacing w:line="240" w:lineRule="auto"/>
              <w:jc w:val="center"/>
            </w:pPr>
            <w:r>
              <w:t>-.198 (-.316, -.080)</w:t>
            </w:r>
          </w:p>
        </w:tc>
        <w:tc>
          <w:tcPr>
            <w:tcW w:w="1614" w:type="dxa"/>
            <w:gridSpan w:val="2"/>
            <w:shd w:val="clear" w:color="auto" w:fill="D9D9D9" w:themeFill="background1" w:themeFillShade="D9"/>
            <w:vAlign w:val="center"/>
          </w:tcPr>
          <w:p w14:paraId="3E538417" w14:textId="77777777" w:rsidR="00591E79" w:rsidRDefault="00591E79" w:rsidP="00B43E3A">
            <w:pPr>
              <w:spacing w:line="240" w:lineRule="auto"/>
              <w:jc w:val="center"/>
            </w:pPr>
            <w:r>
              <w:t>n/s</w:t>
            </w:r>
          </w:p>
        </w:tc>
        <w:tc>
          <w:tcPr>
            <w:tcW w:w="1499" w:type="dxa"/>
            <w:gridSpan w:val="2"/>
            <w:shd w:val="clear" w:color="auto" w:fill="D9D9D9" w:themeFill="background1" w:themeFillShade="D9"/>
            <w:vAlign w:val="center"/>
          </w:tcPr>
          <w:p w14:paraId="24FF4631" w14:textId="77777777" w:rsidR="00591E79" w:rsidRDefault="00591E79" w:rsidP="00B43E3A">
            <w:pPr>
              <w:spacing w:line="240" w:lineRule="auto"/>
              <w:jc w:val="center"/>
            </w:pPr>
            <w:r>
              <w:t>n/s</w:t>
            </w:r>
          </w:p>
        </w:tc>
      </w:tr>
      <w:tr w:rsidR="00591E79" w14:paraId="0AEF3BE3" w14:textId="77777777" w:rsidTr="00116F87">
        <w:tc>
          <w:tcPr>
            <w:tcW w:w="1655" w:type="dxa"/>
            <w:vMerge/>
            <w:shd w:val="clear" w:color="auto" w:fill="BFBFBF" w:themeFill="background1" w:themeFillShade="BF"/>
            <w:vAlign w:val="center"/>
          </w:tcPr>
          <w:p w14:paraId="48BF31EE" w14:textId="77777777" w:rsidR="00591E79" w:rsidRPr="0046502C" w:rsidRDefault="00591E79" w:rsidP="00B43E3A">
            <w:pPr>
              <w:spacing w:line="240" w:lineRule="auto"/>
              <w:jc w:val="center"/>
              <w:rPr>
                <w:b/>
                <w:bCs/>
              </w:rPr>
            </w:pPr>
          </w:p>
        </w:tc>
        <w:tc>
          <w:tcPr>
            <w:tcW w:w="1524" w:type="dxa"/>
            <w:vAlign w:val="center"/>
          </w:tcPr>
          <w:p w14:paraId="69EB51F9" w14:textId="1F4D8B3B" w:rsidR="00591E79" w:rsidRPr="0046502C" w:rsidRDefault="00591E79" w:rsidP="00B43E3A">
            <w:pPr>
              <w:spacing w:line="240" w:lineRule="auto"/>
              <w:jc w:val="center"/>
              <w:rPr>
                <w:b/>
                <w:bCs/>
              </w:rPr>
            </w:pPr>
            <w:r>
              <w:rPr>
                <w:b/>
                <w:bCs/>
              </w:rPr>
              <w:t>Male</w:t>
            </w:r>
          </w:p>
        </w:tc>
        <w:tc>
          <w:tcPr>
            <w:tcW w:w="1124" w:type="dxa"/>
            <w:gridSpan w:val="2"/>
          </w:tcPr>
          <w:p w14:paraId="0C412A9A" w14:textId="4FD3DDA4" w:rsidR="00591E79" w:rsidRDefault="00591E79" w:rsidP="00B43E3A">
            <w:pPr>
              <w:spacing w:line="240" w:lineRule="auto"/>
              <w:jc w:val="center"/>
            </w:pPr>
            <w:r>
              <w:t>Mean (SD)</w:t>
            </w:r>
          </w:p>
        </w:tc>
        <w:tc>
          <w:tcPr>
            <w:tcW w:w="1594" w:type="dxa"/>
            <w:gridSpan w:val="2"/>
            <w:vAlign w:val="center"/>
          </w:tcPr>
          <w:p w14:paraId="03B4A77C" w14:textId="793DF74E" w:rsidR="00591E79" w:rsidRDefault="0094050B" w:rsidP="00B43E3A">
            <w:pPr>
              <w:spacing w:line="240" w:lineRule="auto"/>
              <w:jc w:val="center"/>
            </w:pPr>
            <w:r>
              <w:t>2.99 (.80)</w:t>
            </w:r>
          </w:p>
        </w:tc>
        <w:tc>
          <w:tcPr>
            <w:tcW w:w="1614" w:type="dxa"/>
            <w:gridSpan w:val="2"/>
            <w:vAlign w:val="center"/>
          </w:tcPr>
          <w:p w14:paraId="4489F459" w14:textId="75AC15DD" w:rsidR="00591E79" w:rsidRDefault="0094050B" w:rsidP="00B43E3A">
            <w:pPr>
              <w:spacing w:line="240" w:lineRule="auto"/>
              <w:jc w:val="center"/>
            </w:pPr>
            <w:r>
              <w:t>4.20 (</w:t>
            </w:r>
            <w:r w:rsidR="006A02B8">
              <w:t>.70)</w:t>
            </w:r>
          </w:p>
        </w:tc>
        <w:tc>
          <w:tcPr>
            <w:tcW w:w="1499" w:type="dxa"/>
            <w:gridSpan w:val="2"/>
            <w:vAlign w:val="center"/>
          </w:tcPr>
          <w:p w14:paraId="7B6FCBED" w14:textId="69A4B20A" w:rsidR="00591E79" w:rsidRDefault="006A02B8" w:rsidP="00B43E3A">
            <w:pPr>
              <w:spacing w:line="240" w:lineRule="auto"/>
              <w:jc w:val="center"/>
            </w:pPr>
            <w:r>
              <w:t>2.53 (.91)</w:t>
            </w:r>
          </w:p>
        </w:tc>
      </w:tr>
      <w:tr w:rsidR="00591E79" w14:paraId="7EF8D0AD" w14:textId="77777777" w:rsidTr="00116F87">
        <w:tc>
          <w:tcPr>
            <w:tcW w:w="1655" w:type="dxa"/>
            <w:vMerge/>
            <w:shd w:val="clear" w:color="auto" w:fill="BFBFBF" w:themeFill="background1" w:themeFillShade="BF"/>
            <w:vAlign w:val="center"/>
          </w:tcPr>
          <w:p w14:paraId="5DD9DB79" w14:textId="77777777" w:rsidR="00591E79" w:rsidRPr="0046502C" w:rsidRDefault="00591E79" w:rsidP="00B43E3A">
            <w:pPr>
              <w:spacing w:line="240" w:lineRule="auto"/>
              <w:jc w:val="center"/>
              <w:rPr>
                <w:b/>
                <w:bCs/>
              </w:rPr>
            </w:pPr>
          </w:p>
        </w:tc>
        <w:tc>
          <w:tcPr>
            <w:tcW w:w="1524" w:type="dxa"/>
            <w:vAlign w:val="center"/>
          </w:tcPr>
          <w:p w14:paraId="09C5967D" w14:textId="75781644" w:rsidR="00591E79" w:rsidRPr="0046502C" w:rsidRDefault="00591E79" w:rsidP="00B43E3A">
            <w:pPr>
              <w:spacing w:line="240" w:lineRule="auto"/>
              <w:jc w:val="center"/>
              <w:rPr>
                <w:b/>
                <w:bCs/>
              </w:rPr>
            </w:pPr>
            <w:r>
              <w:rPr>
                <w:b/>
                <w:bCs/>
              </w:rPr>
              <w:t>Female</w:t>
            </w:r>
          </w:p>
        </w:tc>
        <w:tc>
          <w:tcPr>
            <w:tcW w:w="1124" w:type="dxa"/>
            <w:gridSpan w:val="2"/>
          </w:tcPr>
          <w:p w14:paraId="2F851203" w14:textId="7D318A4B" w:rsidR="00591E79" w:rsidRDefault="00591E79" w:rsidP="00B43E3A">
            <w:pPr>
              <w:spacing w:line="240" w:lineRule="auto"/>
              <w:jc w:val="center"/>
            </w:pPr>
            <w:r>
              <w:t>Mean (SD)</w:t>
            </w:r>
          </w:p>
        </w:tc>
        <w:tc>
          <w:tcPr>
            <w:tcW w:w="1594" w:type="dxa"/>
            <w:gridSpan w:val="2"/>
            <w:vAlign w:val="center"/>
          </w:tcPr>
          <w:p w14:paraId="7C2AF19A" w14:textId="6FA9AE31" w:rsidR="00591E79" w:rsidRDefault="006A02B8" w:rsidP="00B43E3A">
            <w:pPr>
              <w:spacing w:line="240" w:lineRule="auto"/>
              <w:jc w:val="center"/>
            </w:pPr>
            <w:r>
              <w:t>3.09 (.79)</w:t>
            </w:r>
          </w:p>
        </w:tc>
        <w:tc>
          <w:tcPr>
            <w:tcW w:w="1614" w:type="dxa"/>
            <w:gridSpan w:val="2"/>
            <w:vAlign w:val="center"/>
          </w:tcPr>
          <w:p w14:paraId="1683A9FE" w14:textId="095D8E63" w:rsidR="00591E79" w:rsidRDefault="006A02B8" w:rsidP="00B43E3A">
            <w:pPr>
              <w:spacing w:line="240" w:lineRule="auto"/>
              <w:jc w:val="center"/>
            </w:pPr>
            <w:r>
              <w:t>4.22 (.66)</w:t>
            </w:r>
          </w:p>
        </w:tc>
        <w:tc>
          <w:tcPr>
            <w:tcW w:w="1499" w:type="dxa"/>
            <w:gridSpan w:val="2"/>
            <w:vAlign w:val="center"/>
          </w:tcPr>
          <w:p w14:paraId="541D314A" w14:textId="217720B8" w:rsidR="00591E79" w:rsidRDefault="006A02B8" w:rsidP="00B43E3A">
            <w:pPr>
              <w:spacing w:line="240" w:lineRule="auto"/>
              <w:jc w:val="center"/>
            </w:pPr>
            <w:r>
              <w:t>2.50 (.89)</w:t>
            </w:r>
          </w:p>
        </w:tc>
      </w:tr>
      <w:tr w:rsidR="00591E79" w14:paraId="3E36C0E0" w14:textId="77777777" w:rsidTr="00116F87">
        <w:tc>
          <w:tcPr>
            <w:tcW w:w="1655" w:type="dxa"/>
            <w:vMerge/>
            <w:shd w:val="clear" w:color="auto" w:fill="BFBFBF" w:themeFill="background1" w:themeFillShade="BF"/>
          </w:tcPr>
          <w:p w14:paraId="29F1F563" w14:textId="77777777" w:rsidR="00591E79" w:rsidRPr="0046502C" w:rsidRDefault="00591E79" w:rsidP="00B43E3A">
            <w:pPr>
              <w:spacing w:line="240" w:lineRule="auto"/>
              <w:rPr>
                <w:b/>
                <w:bCs/>
              </w:rPr>
            </w:pPr>
          </w:p>
        </w:tc>
        <w:tc>
          <w:tcPr>
            <w:tcW w:w="1524" w:type="dxa"/>
            <w:shd w:val="clear" w:color="auto" w:fill="D9D9D9" w:themeFill="background1" w:themeFillShade="D9"/>
            <w:vAlign w:val="center"/>
          </w:tcPr>
          <w:p w14:paraId="425F9CE0" w14:textId="77777777" w:rsidR="00591E79" w:rsidRPr="0046502C" w:rsidRDefault="00591E79" w:rsidP="00B43E3A">
            <w:pPr>
              <w:spacing w:line="240" w:lineRule="auto"/>
              <w:jc w:val="center"/>
              <w:rPr>
                <w:b/>
                <w:bCs/>
              </w:rPr>
            </w:pPr>
            <w:r w:rsidRPr="0046502C">
              <w:rPr>
                <w:b/>
                <w:bCs/>
              </w:rPr>
              <w:t>Dominant country</w:t>
            </w:r>
          </w:p>
        </w:tc>
        <w:tc>
          <w:tcPr>
            <w:tcW w:w="1124" w:type="dxa"/>
            <w:gridSpan w:val="2"/>
            <w:shd w:val="clear" w:color="auto" w:fill="D9D9D9" w:themeFill="background1" w:themeFillShade="D9"/>
          </w:tcPr>
          <w:p w14:paraId="7909987E" w14:textId="1EE493F1" w:rsidR="00591E79" w:rsidRDefault="00591E79" w:rsidP="00B43E3A">
            <w:pPr>
              <w:spacing w:line="240" w:lineRule="auto"/>
              <w:jc w:val="center"/>
            </w:pPr>
            <w:r w:rsidRPr="0046502C">
              <w:rPr>
                <w:b/>
                <w:bCs/>
              </w:rPr>
              <w:t>B (95% CI)</w:t>
            </w:r>
          </w:p>
        </w:tc>
        <w:tc>
          <w:tcPr>
            <w:tcW w:w="1594" w:type="dxa"/>
            <w:gridSpan w:val="2"/>
            <w:shd w:val="clear" w:color="auto" w:fill="D9D9D9" w:themeFill="background1" w:themeFillShade="D9"/>
            <w:vAlign w:val="center"/>
          </w:tcPr>
          <w:p w14:paraId="691202E8" w14:textId="7BAEB959" w:rsidR="00591E79" w:rsidRDefault="00591E79" w:rsidP="00B43E3A">
            <w:pPr>
              <w:spacing w:line="240" w:lineRule="auto"/>
              <w:jc w:val="center"/>
            </w:pPr>
            <w:r>
              <w:t>-.463 (-.590, -.337)</w:t>
            </w:r>
          </w:p>
        </w:tc>
        <w:tc>
          <w:tcPr>
            <w:tcW w:w="1614" w:type="dxa"/>
            <w:gridSpan w:val="2"/>
            <w:shd w:val="clear" w:color="auto" w:fill="D9D9D9" w:themeFill="background1" w:themeFillShade="D9"/>
            <w:vAlign w:val="center"/>
          </w:tcPr>
          <w:p w14:paraId="73066DB2" w14:textId="77777777" w:rsidR="00591E79" w:rsidRDefault="00591E79" w:rsidP="00B43E3A">
            <w:pPr>
              <w:spacing w:line="240" w:lineRule="auto"/>
              <w:jc w:val="center"/>
            </w:pPr>
            <w:r>
              <w:t>n/s</w:t>
            </w:r>
          </w:p>
        </w:tc>
        <w:tc>
          <w:tcPr>
            <w:tcW w:w="1499" w:type="dxa"/>
            <w:gridSpan w:val="2"/>
            <w:shd w:val="clear" w:color="auto" w:fill="D9D9D9" w:themeFill="background1" w:themeFillShade="D9"/>
            <w:vAlign w:val="center"/>
          </w:tcPr>
          <w:p w14:paraId="58AB49B0" w14:textId="2B00A4E1" w:rsidR="00591E79" w:rsidRDefault="00591E79" w:rsidP="00B43E3A">
            <w:pPr>
              <w:spacing w:line="240" w:lineRule="auto"/>
              <w:jc w:val="center"/>
            </w:pPr>
            <w:r>
              <w:t>-.266 (-.411, -.121)</w:t>
            </w:r>
          </w:p>
        </w:tc>
      </w:tr>
      <w:tr w:rsidR="00591E79" w14:paraId="4A3293FD" w14:textId="77777777" w:rsidTr="00116F87">
        <w:tc>
          <w:tcPr>
            <w:tcW w:w="1655" w:type="dxa"/>
            <w:vMerge/>
            <w:shd w:val="clear" w:color="auto" w:fill="BFBFBF" w:themeFill="background1" w:themeFillShade="BF"/>
          </w:tcPr>
          <w:p w14:paraId="53867DA1" w14:textId="77777777" w:rsidR="00591E79" w:rsidRPr="0046502C" w:rsidRDefault="00591E79" w:rsidP="00B43E3A">
            <w:pPr>
              <w:spacing w:line="240" w:lineRule="auto"/>
              <w:rPr>
                <w:b/>
                <w:bCs/>
              </w:rPr>
            </w:pPr>
          </w:p>
        </w:tc>
        <w:tc>
          <w:tcPr>
            <w:tcW w:w="1524" w:type="dxa"/>
            <w:vAlign w:val="center"/>
          </w:tcPr>
          <w:p w14:paraId="698E66EC" w14:textId="12D0EB50" w:rsidR="00591E79" w:rsidRPr="0046502C" w:rsidRDefault="00905DBE" w:rsidP="00B43E3A">
            <w:pPr>
              <w:spacing w:line="240" w:lineRule="auto"/>
              <w:jc w:val="center"/>
              <w:rPr>
                <w:b/>
                <w:bCs/>
              </w:rPr>
            </w:pPr>
            <w:r>
              <w:rPr>
                <w:b/>
                <w:bCs/>
              </w:rPr>
              <w:t>Dominant country</w:t>
            </w:r>
          </w:p>
        </w:tc>
        <w:tc>
          <w:tcPr>
            <w:tcW w:w="1124" w:type="dxa"/>
            <w:gridSpan w:val="2"/>
          </w:tcPr>
          <w:p w14:paraId="3EDB5BA9" w14:textId="3FF5A505" w:rsidR="00591E79" w:rsidRDefault="00591E79" w:rsidP="00B43E3A">
            <w:pPr>
              <w:spacing w:line="240" w:lineRule="auto"/>
              <w:jc w:val="center"/>
            </w:pPr>
            <w:r>
              <w:t>Mean (SD)</w:t>
            </w:r>
          </w:p>
        </w:tc>
        <w:tc>
          <w:tcPr>
            <w:tcW w:w="1594" w:type="dxa"/>
            <w:gridSpan w:val="2"/>
            <w:vAlign w:val="center"/>
          </w:tcPr>
          <w:p w14:paraId="170F58FC" w14:textId="2F284EC6" w:rsidR="00591E79" w:rsidRDefault="00052672" w:rsidP="00B43E3A">
            <w:pPr>
              <w:spacing w:line="240" w:lineRule="auto"/>
              <w:jc w:val="center"/>
            </w:pPr>
            <w:r>
              <w:t>2.91 (.76)</w:t>
            </w:r>
          </w:p>
        </w:tc>
        <w:tc>
          <w:tcPr>
            <w:tcW w:w="1614" w:type="dxa"/>
            <w:gridSpan w:val="2"/>
            <w:vAlign w:val="center"/>
          </w:tcPr>
          <w:p w14:paraId="42D56894" w14:textId="76A1001B" w:rsidR="00591E79" w:rsidRDefault="003B0633" w:rsidP="00B43E3A">
            <w:pPr>
              <w:spacing w:line="240" w:lineRule="auto"/>
              <w:jc w:val="center"/>
            </w:pPr>
            <w:r>
              <w:t>4.21 (.69)</w:t>
            </w:r>
          </w:p>
        </w:tc>
        <w:tc>
          <w:tcPr>
            <w:tcW w:w="1499" w:type="dxa"/>
            <w:gridSpan w:val="2"/>
            <w:vAlign w:val="center"/>
          </w:tcPr>
          <w:p w14:paraId="1019D5FA" w14:textId="69B5A54E" w:rsidR="00591E79" w:rsidRDefault="003B0633" w:rsidP="00B43E3A">
            <w:pPr>
              <w:spacing w:line="240" w:lineRule="auto"/>
              <w:jc w:val="center"/>
            </w:pPr>
            <w:r>
              <w:t>2.44 (.86)</w:t>
            </w:r>
          </w:p>
        </w:tc>
      </w:tr>
      <w:tr w:rsidR="00591E79" w14:paraId="0E4989A9" w14:textId="77777777" w:rsidTr="00116F87">
        <w:tc>
          <w:tcPr>
            <w:tcW w:w="1655" w:type="dxa"/>
            <w:vMerge/>
            <w:shd w:val="clear" w:color="auto" w:fill="BFBFBF" w:themeFill="background1" w:themeFillShade="BF"/>
          </w:tcPr>
          <w:p w14:paraId="2FD37496" w14:textId="77777777" w:rsidR="00591E79" w:rsidRPr="0046502C" w:rsidRDefault="00591E79" w:rsidP="00B43E3A">
            <w:pPr>
              <w:spacing w:line="240" w:lineRule="auto"/>
              <w:rPr>
                <w:b/>
                <w:bCs/>
              </w:rPr>
            </w:pPr>
          </w:p>
        </w:tc>
        <w:tc>
          <w:tcPr>
            <w:tcW w:w="1524" w:type="dxa"/>
            <w:vAlign w:val="center"/>
          </w:tcPr>
          <w:p w14:paraId="5E2C69CB" w14:textId="53FE7210" w:rsidR="00591E79" w:rsidRPr="0046502C" w:rsidRDefault="00905DBE" w:rsidP="00B43E3A">
            <w:pPr>
              <w:spacing w:line="240" w:lineRule="auto"/>
              <w:jc w:val="center"/>
              <w:rPr>
                <w:b/>
                <w:bCs/>
              </w:rPr>
            </w:pPr>
            <w:r>
              <w:rPr>
                <w:b/>
                <w:bCs/>
              </w:rPr>
              <w:t>Other</w:t>
            </w:r>
          </w:p>
        </w:tc>
        <w:tc>
          <w:tcPr>
            <w:tcW w:w="1124" w:type="dxa"/>
            <w:gridSpan w:val="2"/>
          </w:tcPr>
          <w:p w14:paraId="1EE5BE00" w14:textId="66D82B58" w:rsidR="00591E79" w:rsidRDefault="00591E79" w:rsidP="00B43E3A">
            <w:pPr>
              <w:spacing w:line="240" w:lineRule="auto"/>
              <w:jc w:val="center"/>
            </w:pPr>
            <w:r>
              <w:t>Mean (SD)</w:t>
            </w:r>
          </w:p>
        </w:tc>
        <w:tc>
          <w:tcPr>
            <w:tcW w:w="1594" w:type="dxa"/>
            <w:gridSpan w:val="2"/>
            <w:vAlign w:val="center"/>
          </w:tcPr>
          <w:p w14:paraId="68E37FA3" w14:textId="1756F3C9" w:rsidR="00591E79" w:rsidRDefault="003B0633" w:rsidP="00B43E3A">
            <w:pPr>
              <w:spacing w:line="240" w:lineRule="auto"/>
              <w:jc w:val="center"/>
            </w:pPr>
            <w:r>
              <w:t>3.34 (</w:t>
            </w:r>
            <w:r w:rsidR="004620F5">
              <w:t>.80)</w:t>
            </w:r>
          </w:p>
        </w:tc>
        <w:tc>
          <w:tcPr>
            <w:tcW w:w="1614" w:type="dxa"/>
            <w:gridSpan w:val="2"/>
            <w:vAlign w:val="center"/>
          </w:tcPr>
          <w:p w14:paraId="7AA489D2" w14:textId="15848C60" w:rsidR="00591E79" w:rsidRDefault="004620F5" w:rsidP="00B43E3A">
            <w:pPr>
              <w:spacing w:line="240" w:lineRule="auto"/>
              <w:jc w:val="center"/>
            </w:pPr>
            <w:r>
              <w:t>4.22 (.65)</w:t>
            </w:r>
          </w:p>
        </w:tc>
        <w:tc>
          <w:tcPr>
            <w:tcW w:w="1499" w:type="dxa"/>
            <w:gridSpan w:val="2"/>
            <w:vAlign w:val="center"/>
          </w:tcPr>
          <w:p w14:paraId="154835ED" w14:textId="343EA2BE" w:rsidR="00591E79" w:rsidRDefault="004620F5" w:rsidP="00B43E3A">
            <w:pPr>
              <w:spacing w:line="240" w:lineRule="auto"/>
              <w:jc w:val="center"/>
            </w:pPr>
            <w:r>
              <w:t>2.68 (.96)</w:t>
            </w:r>
          </w:p>
        </w:tc>
      </w:tr>
      <w:tr w:rsidR="00591E79" w14:paraId="61D55E01" w14:textId="77777777" w:rsidTr="00116F87">
        <w:tc>
          <w:tcPr>
            <w:tcW w:w="1655" w:type="dxa"/>
            <w:vMerge/>
            <w:shd w:val="clear" w:color="auto" w:fill="BFBFBF" w:themeFill="background1" w:themeFillShade="BF"/>
          </w:tcPr>
          <w:p w14:paraId="55922658" w14:textId="77777777" w:rsidR="00591E79" w:rsidRPr="0046502C" w:rsidRDefault="00591E79" w:rsidP="00B43E3A">
            <w:pPr>
              <w:spacing w:line="240" w:lineRule="auto"/>
              <w:rPr>
                <w:b/>
                <w:bCs/>
              </w:rPr>
            </w:pPr>
          </w:p>
        </w:tc>
        <w:tc>
          <w:tcPr>
            <w:tcW w:w="1524" w:type="dxa"/>
            <w:shd w:val="clear" w:color="auto" w:fill="D9D9D9" w:themeFill="background1" w:themeFillShade="D9"/>
            <w:vAlign w:val="center"/>
          </w:tcPr>
          <w:p w14:paraId="62D5D70F" w14:textId="77777777" w:rsidR="00591E79" w:rsidRPr="0046502C" w:rsidRDefault="00591E79" w:rsidP="00B43E3A">
            <w:pPr>
              <w:spacing w:line="240" w:lineRule="auto"/>
              <w:jc w:val="center"/>
              <w:rPr>
                <w:b/>
                <w:bCs/>
              </w:rPr>
            </w:pPr>
            <w:r w:rsidRPr="0046502C">
              <w:rPr>
                <w:b/>
                <w:bCs/>
              </w:rPr>
              <w:t>Career stage</w:t>
            </w:r>
          </w:p>
        </w:tc>
        <w:tc>
          <w:tcPr>
            <w:tcW w:w="1124" w:type="dxa"/>
            <w:gridSpan w:val="2"/>
            <w:shd w:val="clear" w:color="auto" w:fill="D9D9D9" w:themeFill="background1" w:themeFillShade="D9"/>
          </w:tcPr>
          <w:p w14:paraId="48F9E9BB" w14:textId="4160DCC2" w:rsidR="00591E79" w:rsidRDefault="00591E79" w:rsidP="00B43E3A">
            <w:pPr>
              <w:spacing w:line="240" w:lineRule="auto"/>
              <w:jc w:val="center"/>
            </w:pPr>
            <w:r w:rsidRPr="0046502C">
              <w:rPr>
                <w:b/>
                <w:bCs/>
              </w:rPr>
              <w:t>B (95% CI)</w:t>
            </w:r>
          </w:p>
        </w:tc>
        <w:tc>
          <w:tcPr>
            <w:tcW w:w="1594" w:type="dxa"/>
            <w:gridSpan w:val="2"/>
            <w:shd w:val="clear" w:color="auto" w:fill="D9D9D9" w:themeFill="background1" w:themeFillShade="D9"/>
            <w:vAlign w:val="center"/>
          </w:tcPr>
          <w:p w14:paraId="40A8332A" w14:textId="605571C1" w:rsidR="00591E79" w:rsidRDefault="00591E79" w:rsidP="00B43E3A">
            <w:pPr>
              <w:spacing w:line="240" w:lineRule="auto"/>
              <w:jc w:val="center"/>
            </w:pPr>
            <w:r>
              <w:t>-.145 (-.221, -.069)</w:t>
            </w:r>
          </w:p>
        </w:tc>
        <w:tc>
          <w:tcPr>
            <w:tcW w:w="1614" w:type="dxa"/>
            <w:gridSpan w:val="2"/>
            <w:shd w:val="clear" w:color="auto" w:fill="D9D9D9" w:themeFill="background1" w:themeFillShade="D9"/>
            <w:vAlign w:val="center"/>
          </w:tcPr>
          <w:p w14:paraId="0FBFAE7F" w14:textId="77777777" w:rsidR="00591E79" w:rsidRDefault="00591E79" w:rsidP="00B43E3A">
            <w:pPr>
              <w:spacing w:line="240" w:lineRule="auto"/>
              <w:jc w:val="center"/>
            </w:pPr>
            <w:r>
              <w:t>n/s</w:t>
            </w:r>
          </w:p>
        </w:tc>
        <w:tc>
          <w:tcPr>
            <w:tcW w:w="1499" w:type="dxa"/>
            <w:gridSpan w:val="2"/>
            <w:shd w:val="clear" w:color="auto" w:fill="D9D9D9" w:themeFill="background1" w:themeFillShade="D9"/>
            <w:vAlign w:val="center"/>
          </w:tcPr>
          <w:p w14:paraId="4796089E" w14:textId="481721E6" w:rsidR="00591E79" w:rsidRDefault="00591E79" w:rsidP="00B43E3A">
            <w:pPr>
              <w:spacing w:line="240" w:lineRule="auto"/>
              <w:jc w:val="center"/>
            </w:pPr>
            <w:r>
              <w:t>.147 (.059, .236)</w:t>
            </w:r>
          </w:p>
        </w:tc>
      </w:tr>
      <w:tr w:rsidR="00591E79" w14:paraId="0A0E65F0" w14:textId="77777777" w:rsidTr="00116F87">
        <w:tc>
          <w:tcPr>
            <w:tcW w:w="1655" w:type="dxa"/>
            <w:vMerge/>
            <w:shd w:val="clear" w:color="auto" w:fill="BFBFBF" w:themeFill="background1" w:themeFillShade="BF"/>
          </w:tcPr>
          <w:p w14:paraId="29D161D2" w14:textId="77777777" w:rsidR="00591E79" w:rsidRPr="0046502C" w:rsidRDefault="00591E79" w:rsidP="00B43E3A">
            <w:pPr>
              <w:spacing w:line="240" w:lineRule="auto"/>
              <w:rPr>
                <w:b/>
                <w:bCs/>
              </w:rPr>
            </w:pPr>
          </w:p>
        </w:tc>
        <w:tc>
          <w:tcPr>
            <w:tcW w:w="1524" w:type="dxa"/>
            <w:vAlign w:val="center"/>
          </w:tcPr>
          <w:p w14:paraId="60A270EE" w14:textId="12318F64" w:rsidR="00591E79" w:rsidRPr="0046502C" w:rsidRDefault="00905DBE" w:rsidP="00B43E3A">
            <w:pPr>
              <w:spacing w:line="240" w:lineRule="auto"/>
              <w:jc w:val="center"/>
              <w:rPr>
                <w:b/>
                <w:bCs/>
              </w:rPr>
            </w:pPr>
            <w:r>
              <w:rPr>
                <w:b/>
                <w:bCs/>
              </w:rPr>
              <w:t>Trainee</w:t>
            </w:r>
          </w:p>
        </w:tc>
        <w:tc>
          <w:tcPr>
            <w:tcW w:w="1124" w:type="dxa"/>
            <w:gridSpan w:val="2"/>
          </w:tcPr>
          <w:p w14:paraId="4FA97413" w14:textId="6D19941C" w:rsidR="00591E79" w:rsidRDefault="00591E79" w:rsidP="00B43E3A">
            <w:pPr>
              <w:spacing w:line="240" w:lineRule="auto"/>
              <w:jc w:val="center"/>
            </w:pPr>
            <w:r>
              <w:t>Mean (SD)</w:t>
            </w:r>
          </w:p>
        </w:tc>
        <w:tc>
          <w:tcPr>
            <w:tcW w:w="1594" w:type="dxa"/>
            <w:gridSpan w:val="2"/>
            <w:vAlign w:val="center"/>
          </w:tcPr>
          <w:p w14:paraId="52D34AC7" w14:textId="7B0294AB" w:rsidR="00591E79" w:rsidRDefault="00E954B3" w:rsidP="00B43E3A">
            <w:pPr>
              <w:spacing w:line="240" w:lineRule="auto"/>
              <w:jc w:val="center"/>
            </w:pPr>
            <w:r>
              <w:t>3.18 (.81)</w:t>
            </w:r>
          </w:p>
        </w:tc>
        <w:tc>
          <w:tcPr>
            <w:tcW w:w="1614" w:type="dxa"/>
            <w:gridSpan w:val="2"/>
            <w:vAlign w:val="center"/>
          </w:tcPr>
          <w:p w14:paraId="0EE898DA" w14:textId="37FE87E6" w:rsidR="00591E79" w:rsidRDefault="00800672" w:rsidP="00B43E3A">
            <w:pPr>
              <w:spacing w:line="240" w:lineRule="auto"/>
              <w:jc w:val="center"/>
            </w:pPr>
            <w:r>
              <w:t>4.13 (.94)</w:t>
            </w:r>
          </w:p>
        </w:tc>
        <w:tc>
          <w:tcPr>
            <w:tcW w:w="1499" w:type="dxa"/>
            <w:gridSpan w:val="2"/>
            <w:vAlign w:val="center"/>
          </w:tcPr>
          <w:p w14:paraId="0C3C8D89" w14:textId="1E8B058D" w:rsidR="00591E79" w:rsidRDefault="00800672" w:rsidP="00B43E3A">
            <w:pPr>
              <w:spacing w:line="240" w:lineRule="auto"/>
              <w:jc w:val="center"/>
            </w:pPr>
            <w:r>
              <w:t>2.30 (.89)</w:t>
            </w:r>
          </w:p>
        </w:tc>
      </w:tr>
      <w:tr w:rsidR="00591E79" w14:paraId="436CF1DC" w14:textId="77777777" w:rsidTr="00116F87">
        <w:tc>
          <w:tcPr>
            <w:tcW w:w="1655" w:type="dxa"/>
            <w:vMerge/>
            <w:shd w:val="clear" w:color="auto" w:fill="BFBFBF" w:themeFill="background1" w:themeFillShade="BF"/>
          </w:tcPr>
          <w:p w14:paraId="29EF34E6" w14:textId="77777777" w:rsidR="00591E79" w:rsidRPr="0046502C" w:rsidRDefault="00591E79" w:rsidP="00B43E3A">
            <w:pPr>
              <w:spacing w:line="240" w:lineRule="auto"/>
              <w:rPr>
                <w:b/>
                <w:bCs/>
              </w:rPr>
            </w:pPr>
          </w:p>
        </w:tc>
        <w:tc>
          <w:tcPr>
            <w:tcW w:w="1524" w:type="dxa"/>
            <w:vAlign w:val="center"/>
          </w:tcPr>
          <w:p w14:paraId="58CD2343" w14:textId="12A0EE70" w:rsidR="00591E79" w:rsidRPr="0046502C" w:rsidRDefault="00905DBE" w:rsidP="00B43E3A">
            <w:pPr>
              <w:spacing w:line="240" w:lineRule="auto"/>
              <w:jc w:val="center"/>
              <w:rPr>
                <w:b/>
                <w:bCs/>
              </w:rPr>
            </w:pPr>
            <w:r>
              <w:rPr>
                <w:b/>
                <w:bCs/>
              </w:rPr>
              <w:t>Junior academic</w:t>
            </w:r>
          </w:p>
        </w:tc>
        <w:tc>
          <w:tcPr>
            <w:tcW w:w="1124" w:type="dxa"/>
            <w:gridSpan w:val="2"/>
          </w:tcPr>
          <w:p w14:paraId="6E4B326A" w14:textId="5EC776DE" w:rsidR="00591E79" w:rsidRDefault="00591E79" w:rsidP="00B43E3A">
            <w:pPr>
              <w:spacing w:line="240" w:lineRule="auto"/>
              <w:jc w:val="center"/>
            </w:pPr>
            <w:r>
              <w:t>Mean (SD)</w:t>
            </w:r>
          </w:p>
        </w:tc>
        <w:tc>
          <w:tcPr>
            <w:tcW w:w="1594" w:type="dxa"/>
            <w:gridSpan w:val="2"/>
            <w:vAlign w:val="center"/>
          </w:tcPr>
          <w:p w14:paraId="50CE94A9" w14:textId="07613FA0" w:rsidR="00591E79" w:rsidRDefault="00800672" w:rsidP="00B43E3A">
            <w:pPr>
              <w:spacing w:line="240" w:lineRule="auto"/>
              <w:jc w:val="center"/>
            </w:pPr>
            <w:r>
              <w:t>3.17 (.7</w:t>
            </w:r>
            <w:r w:rsidR="00C12022">
              <w:t>9)</w:t>
            </w:r>
          </w:p>
        </w:tc>
        <w:tc>
          <w:tcPr>
            <w:tcW w:w="1614" w:type="dxa"/>
            <w:gridSpan w:val="2"/>
            <w:vAlign w:val="center"/>
          </w:tcPr>
          <w:p w14:paraId="2029F0A3" w14:textId="23F5007F" w:rsidR="00591E79" w:rsidRDefault="00C12022" w:rsidP="00B43E3A">
            <w:pPr>
              <w:spacing w:line="240" w:lineRule="auto"/>
              <w:jc w:val="center"/>
            </w:pPr>
            <w:r>
              <w:t>4.17 (.71)</w:t>
            </w:r>
          </w:p>
        </w:tc>
        <w:tc>
          <w:tcPr>
            <w:tcW w:w="1499" w:type="dxa"/>
            <w:gridSpan w:val="2"/>
            <w:vAlign w:val="center"/>
          </w:tcPr>
          <w:p w14:paraId="04015D82" w14:textId="76143F83" w:rsidR="00591E79" w:rsidRDefault="00C12022" w:rsidP="00B43E3A">
            <w:pPr>
              <w:spacing w:line="240" w:lineRule="auto"/>
              <w:jc w:val="center"/>
            </w:pPr>
            <w:r>
              <w:t>2.53 (.91)</w:t>
            </w:r>
          </w:p>
        </w:tc>
      </w:tr>
      <w:tr w:rsidR="00591E79" w14:paraId="2488E21C" w14:textId="77777777" w:rsidTr="00116F87">
        <w:tc>
          <w:tcPr>
            <w:tcW w:w="1655" w:type="dxa"/>
            <w:vMerge/>
            <w:shd w:val="clear" w:color="auto" w:fill="BFBFBF" w:themeFill="background1" w:themeFillShade="BF"/>
          </w:tcPr>
          <w:p w14:paraId="5BE19E74" w14:textId="77777777" w:rsidR="00591E79" w:rsidRPr="0046502C" w:rsidRDefault="00591E79" w:rsidP="00B43E3A">
            <w:pPr>
              <w:spacing w:line="240" w:lineRule="auto"/>
              <w:rPr>
                <w:b/>
                <w:bCs/>
              </w:rPr>
            </w:pPr>
          </w:p>
        </w:tc>
        <w:tc>
          <w:tcPr>
            <w:tcW w:w="1524" w:type="dxa"/>
            <w:vAlign w:val="center"/>
          </w:tcPr>
          <w:p w14:paraId="7988B994" w14:textId="35F0AFFF" w:rsidR="00591E79" w:rsidRPr="0046502C" w:rsidRDefault="00905DBE" w:rsidP="00B43E3A">
            <w:pPr>
              <w:spacing w:line="240" w:lineRule="auto"/>
              <w:jc w:val="center"/>
              <w:rPr>
                <w:b/>
                <w:bCs/>
              </w:rPr>
            </w:pPr>
            <w:r>
              <w:rPr>
                <w:b/>
                <w:bCs/>
              </w:rPr>
              <w:t>Senior academic</w:t>
            </w:r>
          </w:p>
        </w:tc>
        <w:tc>
          <w:tcPr>
            <w:tcW w:w="1124" w:type="dxa"/>
            <w:gridSpan w:val="2"/>
          </w:tcPr>
          <w:p w14:paraId="0D44631F" w14:textId="36BA1F5D" w:rsidR="00591E79" w:rsidRDefault="00591E79" w:rsidP="00B43E3A">
            <w:pPr>
              <w:spacing w:line="240" w:lineRule="auto"/>
              <w:jc w:val="center"/>
            </w:pPr>
            <w:r>
              <w:t>Mean (SD)</w:t>
            </w:r>
          </w:p>
        </w:tc>
        <w:tc>
          <w:tcPr>
            <w:tcW w:w="1594" w:type="dxa"/>
            <w:gridSpan w:val="2"/>
            <w:vAlign w:val="center"/>
          </w:tcPr>
          <w:p w14:paraId="139B5596" w14:textId="2720BBF9" w:rsidR="00591E79" w:rsidRDefault="00653056" w:rsidP="00B43E3A">
            <w:pPr>
              <w:spacing w:line="240" w:lineRule="auto"/>
              <w:jc w:val="center"/>
            </w:pPr>
            <w:r>
              <w:t>2.89 (.80)</w:t>
            </w:r>
          </w:p>
        </w:tc>
        <w:tc>
          <w:tcPr>
            <w:tcW w:w="1614" w:type="dxa"/>
            <w:gridSpan w:val="2"/>
            <w:vAlign w:val="center"/>
          </w:tcPr>
          <w:p w14:paraId="492F0D3F" w14:textId="349D6BAD" w:rsidR="00591E79" w:rsidRDefault="00653056" w:rsidP="00B43E3A">
            <w:pPr>
              <w:spacing w:line="240" w:lineRule="auto"/>
              <w:jc w:val="center"/>
            </w:pPr>
            <w:r>
              <w:t>4.28 (.67)</w:t>
            </w:r>
          </w:p>
        </w:tc>
        <w:tc>
          <w:tcPr>
            <w:tcW w:w="1499" w:type="dxa"/>
            <w:gridSpan w:val="2"/>
            <w:vAlign w:val="center"/>
          </w:tcPr>
          <w:p w14:paraId="2D1BF4BE" w14:textId="565906B8" w:rsidR="00591E79" w:rsidRDefault="00653056" w:rsidP="00B43E3A">
            <w:pPr>
              <w:spacing w:line="240" w:lineRule="auto"/>
              <w:jc w:val="center"/>
            </w:pPr>
            <w:r>
              <w:t>2.61 (</w:t>
            </w:r>
            <w:r w:rsidR="0094050B">
              <w:t>.89)</w:t>
            </w:r>
          </w:p>
        </w:tc>
      </w:tr>
    </w:tbl>
    <w:p w14:paraId="00A72E8C" w14:textId="01907C14" w:rsidR="00107A60" w:rsidRDefault="009A497C" w:rsidP="0041681C">
      <w:r>
        <w:t>n/s = not significant</w:t>
      </w:r>
    </w:p>
    <w:p w14:paraId="7728B5AE" w14:textId="6FCEC07B" w:rsidR="00745141" w:rsidRDefault="00745141" w:rsidP="0041681C"/>
    <w:p w14:paraId="0D7F8757" w14:textId="77777777" w:rsidR="00745141" w:rsidRDefault="00745141" w:rsidP="0041681C">
      <w:pPr>
        <w:sectPr w:rsidR="00745141" w:rsidSect="00524297">
          <w:pgSz w:w="11900" w:h="16840"/>
          <w:pgMar w:top="1440" w:right="1440" w:bottom="1440" w:left="1440" w:header="708" w:footer="708" w:gutter="0"/>
          <w:cols w:space="708"/>
          <w:docGrid w:linePitch="360"/>
        </w:sectPr>
      </w:pPr>
    </w:p>
    <w:p w14:paraId="25F5870F" w14:textId="7E270392" w:rsidR="00485A40" w:rsidRDefault="00485A40" w:rsidP="00485A40">
      <w:pPr>
        <w:pStyle w:val="Caption"/>
        <w:keepNext/>
      </w:pPr>
      <w:bookmarkStart w:id="1" w:name="_Ref73656598"/>
      <w:r>
        <w:lastRenderedPageBreak/>
        <w:t xml:space="preserve">Table </w:t>
      </w:r>
      <w:bookmarkEnd w:id="1"/>
      <w:r w:rsidR="00A54567">
        <w:rPr>
          <w:noProof/>
        </w:rPr>
        <w:t>2</w:t>
      </w:r>
      <w:r>
        <w:t>. Multivariate regression analyses of association between author demographics and priorities for first choice journal</w:t>
      </w:r>
    </w:p>
    <w:tbl>
      <w:tblPr>
        <w:tblStyle w:val="TableGrid"/>
        <w:tblW w:w="0" w:type="auto"/>
        <w:tblLook w:val="04A0" w:firstRow="1" w:lastRow="0" w:firstColumn="1" w:lastColumn="0" w:noHBand="0" w:noVBand="1"/>
      </w:tblPr>
      <w:tblGrid>
        <w:gridCol w:w="1413"/>
        <w:gridCol w:w="1813"/>
        <w:gridCol w:w="1022"/>
        <w:gridCol w:w="1847"/>
        <w:gridCol w:w="1382"/>
        <w:gridCol w:w="1576"/>
        <w:gridCol w:w="1738"/>
        <w:gridCol w:w="1485"/>
        <w:gridCol w:w="1674"/>
      </w:tblGrid>
      <w:tr w:rsidR="00274917" w14:paraId="01A9BD76" w14:textId="77777777" w:rsidTr="00A64CE0">
        <w:tc>
          <w:tcPr>
            <w:tcW w:w="4248" w:type="dxa"/>
            <w:gridSpan w:val="3"/>
            <w:shd w:val="clear" w:color="auto" w:fill="BFBFBF" w:themeFill="background1" w:themeFillShade="BF"/>
            <w:vAlign w:val="center"/>
          </w:tcPr>
          <w:p w14:paraId="08E23043" w14:textId="6E5EBEEC" w:rsidR="00274917" w:rsidRPr="009F7FF0" w:rsidRDefault="00274917" w:rsidP="00B43E3A">
            <w:pPr>
              <w:spacing w:line="240" w:lineRule="auto"/>
              <w:jc w:val="center"/>
              <w:rPr>
                <w:b/>
                <w:bCs/>
              </w:rPr>
            </w:pPr>
            <w:r w:rsidRPr="009F7FF0">
              <w:rPr>
                <w:b/>
                <w:bCs/>
              </w:rPr>
              <w:t>Dependent variables:</w:t>
            </w:r>
          </w:p>
        </w:tc>
        <w:tc>
          <w:tcPr>
            <w:tcW w:w="1847" w:type="dxa"/>
            <w:shd w:val="clear" w:color="auto" w:fill="BFBFBF" w:themeFill="background1" w:themeFillShade="BF"/>
            <w:vAlign w:val="center"/>
          </w:tcPr>
          <w:p w14:paraId="77C4C7AC" w14:textId="54241FBB" w:rsidR="00274917" w:rsidRPr="009F7FF0" w:rsidRDefault="00274917" w:rsidP="00B43E3A">
            <w:pPr>
              <w:spacing w:line="240" w:lineRule="auto"/>
              <w:jc w:val="center"/>
              <w:rPr>
                <w:b/>
                <w:bCs/>
              </w:rPr>
            </w:pPr>
            <w:r w:rsidRPr="009F7FF0">
              <w:rPr>
                <w:b/>
                <w:bCs/>
              </w:rPr>
              <w:t>Editorial reputation</w:t>
            </w:r>
          </w:p>
        </w:tc>
        <w:tc>
          <w:tcPr>
            <w:tcW w:w="1382" w:type="dxa"/>
            <w:shd w:val="clear" w:color="auto" w:fill="BFBFBF" w:themeFill="background1" w:themeFillShade="BF"/>
            <w:vAlign w:val="center"/>
          </w:tcPr>
          <w:p w14:paraId="532D1A61" w14:textId="77777777" w:rsidR="00274917" w:rsidRPr="009F7FF0" w:rsidRDefault="00274917" w:rsidP="00B43E3A">
            <w:pPr>
              <w:spacing w:line="240" w:lineRule="auto"/>
              <w:jc w:val="center"/>
              <w:rPr>
                <w:b/>
                <w:bCs/>
              </w:rPr>
            </w:pPr>
            <w:r w:rsidRPr="009F7FF0">
              <w:rPr>
                <w:b/>
                <w:bCs/>
              </w:rPr>
              <w:t>Fit</w:t>
            </w:r>
          </w:p>
        </w:tc>
        <w:tc>
          <w:tcPr>
            <w:tcW w:w="1576" w:type="dxa"/>
            <w:shd w:val="clear" w:color="auto" w:fill="BFBFBF" w:themeFill="background1" w:themeFillShade="BF"/>
            <w:vAlign w:val="center"/>
          </w:tcPr>
          <w:p w14:paraId="0459CFB0" w14:textId="77777777" w:rsidR="00274917" w:rsidRPr="009F7FF0" w:rsidRDefault="00274917" w:rsidP="00B43E3A">
            <w:pPr>
              <w:spacing w:line="240" w:lineRule="auto"/>
              <w:jc w:val="center"/>
              <w:rPr>
                <w:b/>
                <w:bCs/>
              </w:rPr>
            </w:pPr>
            <w:r w:rsidRPr="009F7FF0">
              <w:rPr>
                <w:b/>
                <w:bCs/>
              </w:rPr>
              <w:t>Guidance from others</w:t>
            </w:r>
          </w:p>
        </w:tc>
        <w:tc>
          <w:tcPr>
            <w:tcW w:w="1738" w:type="dxa"/>
            <w:shd w:val="clear" w:color="auto" w:fill="BFBFBF" w:themeFill="background1" w:themeFillShade="BF"/>
            <w:vAlign w:val="center"/>
          </w:tcPr>
          <w:p w14:paraId="04813B41" w14:textId="77777777" w:rsidR="00274917" w:rsidRPr="009F7FF0" w:rsidRDefault="00274917" w:rsidP="00B43E3A">
            <w:pPr>
              <w:spacing w:line="240" w:lineRule="auto"/>
              <w:jc w:val="center"/>
              <w:rPr>
                <w:b/>
                <w:bCs/>
              </w:rPr>
            </w:pPr>
            <w:r w:rsidRPr="009F7FF0">
              <w:rPr>
                <w:b/>
                <w:bCs/>
              </w:rPr>
              <w:t>Speed of dissemination</w:t>
            </w:r>
          </w:p>
        </w:tc>
        <w:tc>
          <w:tcPr>
            <w:tcW w:w="1485" w:type="dxa"/>
            <w:shd w:val="clear" w:color="auto" w:fill="BFBFBF" w:themeFill="background1" w:themeFillShade="BF"/>
            <w:vAlign w:val="center"/>
          </w:tcPr>
          <w:p w14:paraId="6CCAD572" w14:textId="77777777" w:rsidR="00274917" w:rsidRPr="009F7FF0" w:rsidRDefault="00274917" w:rsidP="00B43E3A">
            <w:pPr>
              <w:spacing w:line="240" w:lineRule="auto"/>
              <w:jc w:val="center"/>
              <w:rPr>
                <w:b/>
                <w:bCs/>
              </w:rPr>
            </w:pPr>
            <w:r w:rsidRPr="009F7FF0">
              <w:rPr>
                <w:b/>
                <w:bCs/>
              </w:rPr>
              <w:t>Impact</w:t>
            </w:r>
          </w:p>
        </w:tc>
        <w:tc>
          <w:tcPr>
            <w:tcW w:w="1674" w:type="dxa"/>
            <w:shd w:val="clear" w:color="auto" w:fill="BFBFBF" w:themeFill="background1" w:themeFillShade="BF"/>
            <w:vAlign w:val="center"/>
          </w:tcPr>
          <w:p w14:paraId="3C6B7664" w14:textId="77777777" w:rsidR="00274917" w:rsidRPr="009F7FF0" w:rsidRDefault="00274917" w:rsidP="00B43E3A">
            <w:pPr>
              <w:spacing w:line="240" w:lineRule="auto"/>
              <w:jc w:val="center"/>
              <w:rPr>
                <w:b/>
                <w:bCs/>
              </w:rPr>
            </w:pPr>
            <w:r w:rsidRPr="009F7FF0">
              <w:rPr>
                <w:b/>
                <w:bCs/>
              </w:rPr>
              <w:t>Breadth of dissemination</w:t>
            </w:r>
          </w:p>
        </w:tc>
      </w:tr>
      <w:tr w:rsidR="008A4BD7" w14:paraId="1FEBB842" w14:textId="77777777" w:rsidTr="00A64CE0">
        <w:tc>
          <w:tcPr>
            <w:tcW w:w="1413" w:type="dxa"/>
            <w:vMerge w:val="restart"/>
            <w:shd w:val="clear" w:color="auto" w:fill="BFBFBF" w:themeFill="background1" w:themeFillShade="BF"/>
            <w:vAlign w:val="center"/>
          </w:tcPr>
          <w:p w14:paraId="67D61741" w14:textId="7DBF33E0" w:rsidR="008A4BD7" w:rsidRDefault="008A4BD7" w:rsidP="00B43E3A">
            <w:pPr>
              <w:spacing w:line="240" w:lineRule="auto"/>
              <w:jc w:val="center"/>
            </w:pPr>
            <w:r>
              <w:t xml:space="preserve">Independent variables: </w:t>
            </w:r>
          </w:p>
        </w:tc>
        <w:tc>
          <w:tcPr>
            <w:tcW w:w="1813" w:type="dxa"/>
            <w:shd w:val="clear" w:color="auto" w:fill="D9D9D9" w:themeFill="background1" w:themeFillShade="D9"/>
            <w:vAlign w:val="center"/>
          </w:tcPr>
          <w:p w14:paraId="1B470C15" w14:textId="77777777" w:rsidR="008A4BD7" w:rsidRDefault="008A4BD7" w:rsidP="00B43E3A">
            <w:pPr>
              <w:spacing w:line="240" w:lineRule="auto"/>
              <w:jc w:val="center"/>
            </w:pPr>
            <w:r>
              <w:t>Gender (Male)</w:t>
            </w:r>
          </w:p>
        </w:tc>
        <w:tc>
          <w:tcPr>
            <w:tcW w:w="1022" w:type="dxa"/>
            <w:shd w:val="clear" w:color="auto" w:fill="D9D9D9" w:themeFill="background1" w:themeFillShade="D9"/>
          </w:tcPr>
          <w:p w14:paraId="51C7CAC4" w14:textId="37C20D8B" w:rsidR="008A4BD7" w:rsidRDefault="008A4BD7" w:rsidP="00B43E3A">
            <w:pPr>
              <w:spacing w:line="240" w:lineRule="auto"/>
              <w:jc w:val="center"/>
            </w:pPr>
            <w:r>
              <w:t>B (95% CI)</w:t>
            </w:r>
          </w:p>
        </w:tc>
        <w:tc>
          <w:tcPr>
            <w:tcW w:w="1847" w:type="dxa"/>
            <w:shd w:val="clear" w:color="auto" w:fill="D9D9D9" w:themeFill="background1" w:themeFillShade="D9"/>
            <w:vAlign w:val="center"/>
          </w:tcPr>
          <w:p w14:paraId="0FA73D0D" w14:textId="709CFDF6" w:rsidR="008A4BD7" w:rsidRDefault="008A4BD7" w:rsidP="00B43E3A">
            <w:pPr>
              <w:spacing w:line="240" w:lineRule="auto"/>
              <w:jc w:val="center"/>
            </w:pPr>
            <w:r>
              <w:t>n/s</w:t>
            </w:r>
          </w:p>
        </w:tc>
        <w:tc>
          <w:tcPr>
            <w:tcW w:w="1382" w:type="dxa"/>
            <w:shd w:val="clear" w:color="auto" w:fill="D9D9D9" w:themeFill="background1" w:themeFillShade="D9"/>
            <w:vAlign w:val="center"/>
          </w:tcPr>
          <w:p w14:paraId="1DDDD0C6" w14:textId="039C9196" w:rsidR="008A4BD7" w:rsidRDefault="008A4BD7" w:rsidP="00B43E3A">
            <w:pPr>
              <w:spacing w:line="240" w:lineRule="auto"/>
              <w:jc w:val="center"/>
            </w:pPr>
            <w:r>
              <w:t>-.141 (-.237, -.046)</w:t>
            </w:r>
          </w:p>
        </w:tc>
        <w:tc>
          <w:tcPr>
            <w:tcW w:w="1576" w:type="dxa"/>
            <w:shd w:val="clear" w:color="auto" w:fill="D9D9D9" w:themeFill="background1" w:themeFillShade="D9"/>
            <w:vAlign w:val="center"/>
          </w:tcPr>
          <w:p w14:paraId="619F067B" w14:textId="48A87009" w:rsidR="008A4BD7" w:rsidRDefault="008A4BD7" w:rsidP="00B43E3A">
            <w:pPr>
              <w:spacing w:line="240" w:lineRule="auto"/>
              <w:jc w:val="center"/>
            </w:pPr>
            <w:r>
              <w:t>-.288 (-.430, -.145</w:t>
            </w:r>
          </w:p>
        </w:tc>
        <w:tc>
          <w:tcPr>
            <w:tcW w:w="1738" w:type="dxa"/>
            <w:shd w:val="clear" w:color="auto" w:fill="D9D9D9" w:themeFill="background1" w:themeFillShade="D9"/>
            <w:vAlign w:val="center"/>
          </w:tcPr>
          <w:p w14:paraId="2CC8929F" w14:textId="77777777" w:rsidR="008A4BD7" w:rsidRDefault="008A4BD7" w:rsidP="00B43E3A">
            <w:pPr>
              <w:spacing w:line="240" w:lineRule="auto"/>
              <w:jc w:val="center"/>
            </w:pPr>
            <w:r>
              <w:t>n/s</w:t>
            </w:r>
          </w:p>
        </w:tc>
        <w:tc>
          <w:tcPr>
            <w:tcW w:w="1485" w:type="dxa"/>
            <w:shd w:val="clear" w:color="auto" w:fill="D9D9D9" w:themeFill="background1" w:themeFillShade="D9"/>
            <w:vAlign w:val="center"/>
          </w:tcPr>
          <w:p w14:paraId="25ADB3DB" w14:textId="77777777" w:rsidR="008A4BD7" w:rsidRDefault="008A4BD7" w:rsidP="00B43E3A">
            <w:pPr>
              <w:spacing w:line="240" w:lineRule="auto"/>
              <w:jc w:val="center"/>
            </w:pPr>
            <w:r>
              <w:t>n/s</w:t>
            </w:r>
          </w:p>
        </w:tc>
        <w:tc>
          <w:tcPr>
            <w:tcW w:w="1674" w:type="dxa"/>
            <w:shd w:val="clear" w:color="auto" w:fill="D9D9D9" w:themeFill="background1" w:themeFillShade="D9"/>
            <w:vAlign w:val="center"/>
          </w:tcPr>
          <w:p w14:paraId="13D9A716" w14:textId="77777777" w:rsidR="008A4BD7" w:rsidRDefault="008A4BD7" w:rsidP="00B43E3A">
            <w:pPr>
              <w:spacing w:line="240" w:lineRule="auto"/>
              <w:jc w:val="center"/>
            </w:pPr>
            <w:r>
              <w:t>n/s</w:t>
            </w:r>
          </w:p>
        </w:tc>
      </w:tr>
      <w:tr w:rsidR="008A4BD7" w14:paraId="6788A1E5" w14:textId="77777777" w:rsidTr="00A64CE0">
        <w:tc>
          <w:tcPr>
            <w:tcW w:w="1413" w:type="dxa"/>
            <w:vMerge/>
            <w:shd w:val="clear" w:color="auto" w:fill="BFBFBF" w:themeFill="background1" w:themeFillShade="BF"/>
            <w:vAlign w:val="center"/>
          </w:tcPr>
          <w:p w14:paraId="505B57F5" w14:textId="77777777" w:rsidR="008A4BD7" w:rsidRDefault="008A4BD7" w:rsidP="00B43E3A">
            <w:pPr>
              <w:spacing w:line="240" w:lineRule="auto"/>
              <w:jc w:val="center"/>
            </w:pPr>
          </w:p>
        </w:tc>
        <w:tc>
          <w:tcPr>
            <w:tcW w:w="1813" w:type="dxa"/>
            <w:vAlign w:val="center"/>
          </w:tcPr>
          <w:p w14:paraId="5B4A3BBA" w14:textId="7D30298E" w:rsidR="008A4BD7" w:rsidRDefault="008A4BD7" w:rsidP="00B43E3A">
            <w:pPr>
              <w:spacing w:line="240" w:lineRule="auto"/>
              <w:jc w:val="center"/>
            </w:pPr>
            <w:r>
              <w:t>Male</w:t>
            </w:r>
          </w:p>
        </w:tc>
        <w:tc>
          <w:tcPr>
            <w:tcW w:w="1022" w:type="dxa"/>
          </w:tcPr>
          <w:p w14:paraId="07135681" w14:textId="7A8758E7" w:rsidR="008A4BD7" w:rsidRDefault="008A4BD7" w:rsidP="00B43E3A">
            <w:pPr>
              <w:spacing w:line="240" w:lineRule="auto"/>
              <w:jc w:val="center"/>
            </w:pPr>
            <w:r>
              <w:t>Mean (SD)</w:t>
            </w:r>
          </w:p>
        </w:tc>
        <w:tc>
          <w:tcPr>
            <w:tcW w:w="1847" w:type="dxa"/>
            <w:vAlign w:val="center"/>
          </w:tcPr>
          <w:p w14:paraId="49E233B9" w14:textId="139F2091" w:rsidR="008A4BD7" w:rsidRDefault="00911F51" w:rsidP="00B43E3A">
            <w:pPr>
              <w:spacing w:line="240" w:lineRule="auto"/>
              <w:jc w:val="center"/>
            </w:pPr>
            <w:r>
              <w:t>2.57 (1.09)</w:t>
            </w:r>
          </w:p>
        </w:tc>
        <w:tc>
          <w:tcPr>
            <w:tcW w:w="1382" w:type="dxa"/>
            <w:vAlign w:val="center"/>
          </w:tcPr>
          <w:p w14:paraId="05E7224B" w14:textId="2EC840ED" w:rsidR="008A4BD7" w:rsidRDefault="00911F51" w:rsidP="00B43E3A">
            <w:pPr>
              <w:spacing w:line="240" w:lineRule="auto"/>
              <w:jc w:val="center"/>
            </w:pPr>
            <w:r>
              <w:t>3.81 (.65)</w:t>
            </w:r>
          </w:p>
        </w:tc>
        <w:tc>
          <w:tcPr>
            <w:tcW w:w="1576" w:type="dxa"/>
            <w:vAlign w:val="center"/>
          </w:tcPr>
          <w:p w14:paraId="0F1B41CF" w14:textId="5106B5D2" w:rsidR="008A4BD7" w:rsidRDefault="00911F51" w:rsidP="00B43E3A">
            <w:pPr>
              <w:spacing w:line="240" w:lineRule="auto"/>
              <w:jc w:val="center"/>
            </w:pPr>
            <w:r>
              <w:t>1.95 (.93)</w:t>
            </w:r>
          </w:p>
        </w:tc>
        <w:tc>
          <w:tcPr>
            <w:tcW w:w="1738" w:type="dxa"/>
            <w:vAlign w:val="center"/>
          </w:tcPr>
          <w:p w14:paraId="23B85C45" w14:textId="341B4A40" w:rsidR="008A4BD7" w:rsidRDefault="002B0537" w:rsidP="00B43E3A">
            <w:pPr>
              <w:spacing w:line="240" w:lineRule="auto"/>
              <w:jc w:val="center"/>
            </w:pPr>
            <w:r>
              <w:t>2.2 (.90)</w:t>
            </w:r>
          </w:p>
        </w:tc>
        <w:tc>
          <w:tcPr>
            <w:tcW w:w="1485" w:type="dxa"/>
            <w:vAlign w:val="center"/>
          </w:tcPr>
          <w:p w14:paraId="72B89423" w14:textId="7644EE71" w:rsidR="008A4BD7" w:rsidRDefault="002B0537" w:rsidP="00B43E3A">
            <w:pPr>
              <w:spacing w:line="240" w:lineRule="auto"/>
              <w:jc w:val="center"/>
            </w:pPr>
            <w:r>
              <w:t>3.56 (</w:t>
            </w:r>
            <w:r w:rsidR="004A103F">
              <w:t>.83)</w:t>
            </w:r>
          </w:p>
        </w:tc>
        <w:tc>
          <w:tcPr>
            <w:tcW w:w="1674" w:type="dxa"/>
            <w:vAlign w:val="center"/>
          </w:tcPr>
          <w:p w14:paraId="2E17F116" w14:textId="6452E4F8" w:rsidR="008A4BD7" w:rsidRDefault="004A103F" w:rsidP="00B43E3A">
            <w:pPr>
              <w:spacing w:line="240" w:lineRule="auto"/>
              <w:jc w:val="center"/>
            </w:pPr>
            <w:r>
              <w:t>2.23 9.76)</w:t>
            </w:r>
          </w:p>
        </w:tc>
      </w:tr>
      <w:tr w:rsidR="008A4BD7" w14:paraId="3B1D782B" w14:textId="77777777" w:rsidTr="00A64CE0">
        <w:tc>
          <w:tcPr>
            <w:tcW w:w="1413" w:type="dxa"/>
            <w:vMerge/>
            <w:shd w:val="clear" w:color="auto" w:fill="BFBFBF" w:themeFill="background1" w:themeFillShade="BF"/>
            <w:vAlign w:val="center"/>
          </w:tcPr>
          <w:p w14:paraId="74FD5B63" w14:textId="77777777" w:rsidR="008A4BD7" w:rsidRDefault="008A4BD7" w:rsidP="00B43E3A">
            <w:pPr>
              <w:spacing w:line="240" w:lineRule="auto"/>
              <w:jc w:val="center"/>
            </w:pPr>
          </w:p>
        </w:tc>
        <w:tc>
          <w:tcPr>
            <w:tcW w:w="1813" w:type="dxa"/>
            <w:vAlign w:val="center"/>
          </w:tcPr>
          <w:p w14:paraId="36A7ECBC" w14:textId="67F066F3" w:rsidR="008A4BD7" w:rsidRDefault="008A4BD7" w:rsidP="00B43E3A">
            <w:pPr>
              <w:spacing w:line="240" w:lineRule="auto"/>
              <w:jc w:val="center"/>
            </w:pPr>
            <w:r>
              <w:t>Female</w:t>
            </w:r>
          </w:p>
        </w:tc>
        <w:tc>
          <w:tcPr>
            <w:tcW w:w="1022" w:type="dxa"/>
          </w:tcPr>
          <w:p w14:paraId="532A4DA8" w14:textId="7A0CE7C6" w:rsidR="008A4BD7" w:rsidRDefault="008A4BD7" w:rsidP="00B43E3A">
            <w:pPr>
              <w:spacing w:line="240" w:lineRule="auto"/>
              <w:jc w:val="center"/>
            </w:pPr>
            <w:r>
              <w:t>Mean (SD)</w:t>
            </w:r>
          </w:p>
        </w:tc>
        <w:tc>
          <w:tcPr>
            <w:tcW w:w="1847" w:type="dxa"/>
            <w:vAlign w:val="center"/>
          </w:tcPr>
          <w:p w14:paraId="6331C73B" w14:textId="78E5746C" w:rsidR="008A4BD7" w:rsidRDefault="00DA0A40" w:rsidP="00B43E3A">
            <w:pPr>
              <w:spacing w:line="240" w:lineRule="auto"/>
              <w:jc w:val="center"/>
            </w:pPr>
            <w:r>
              <w:t>2.59 (1.00)</w:t>
            </w:r>
          </w:p>
        </w:tc>
        <w:tc>
          <w:tcPr>
            <w:tcW w:w="1382" w:type="dxa"/>
            <w:vAlign w:val="center"/>
          </w:tcPr>
          <w:p w14:paraId="07B50199" w14:textId="717DD11F" w:rsidR="008A4BD7" w:rsidRDefault="00DA0A40" w:rsidP="00B43E3A">
            <w:pPr>
              <w:spacing w:line="240" w:lineRule="auto"/>
              <w:jc w:val="center"/>
            </w:pPr>
            <w:r>
              <w:t>3.95 (.61)</w:t>
            </w:r>
          </w:p>
        </w:tc>
        <w:tc>
          <w:tcPr>
            <w:tcW w:w="1576" w:type="dxa"/>
            <w:vAlign w:val="center"/>
          </w:tcPr>
          <w:p w14:paraId="460AF1EB" w14:textId="2739C174" w:rsidR="008A4BD7" w:rsidRDefault="00DA0A40" w:rsidP="00B43E3A">
            <w:pPr>
              <w:spacing w:line="240" w:lineRule="auto"/>
              <w:jc w:val="center"/>
            </w:pPr>
            <w:r>
              <w:t>2.23 (</w:t>
            </w:r>
            <w:r w:rsidR="00F779B5">
              <w:t>1.04)</w:t>
            </w:r>
          </w:p>
        </w:tc>
        <w:tc>
          <w:tcPr>
            <w:tcW w:w="1738" w:type="dxa"/>
            <w:vAlign w:val="center"/>
          </w:tcPr>
          <w:p w14:paraId="2CEFAC13" w14:textId="7087763A" w:rsidR="008A4BD7" w:rsidRDefault="00F779B5" w:rsidP="00B43E3A">
            <w:pPr>
              <w:spacing w:line="240" w:lineRule="auto"/>
              <w:jc w:val="center"/>
            </w:pPr>
            <w:r>
              <w:t>2.56 (.91)</w:t>
            </w:r>
          </w:p>
        </w:tc>
        <w:tc>
          <w:tcPr>
            <w:tcW w:w="1485" w:type="dxa"/>
            <w:vAlign w:val="center"/>
          </w:tcPr>
          <w:p w14:paraId="01A9175E" w14:textId="46307F8B" w:rsidR="008A4BD7" w:rsidRDefault="00F779B5" w:rsidP="00B43E3A">
            <w:pPr>
              <w:spacing w:line="240" w:lineRule="auto"/>
              <w:jc w:val="center"/>
            </w:pPr>
            <w:r>
              <w:t>3.29 (.84)</w:t>
            </w:r>
          </w:p>
        </w:tc>
        <w:tc>
          <w:tcPr>
            <w:tcW w:w="1674" w:type="dxa"/>
            <w:vAlign w:val="center"/>
          </w:tcPr>
          <w:p w14:paraId="4EF2290B" w14:textId="1820A5E8" w:rsidR="008A4BD7" w:rsidRDefault="00F779B5" w:rsidP="00B43E3A">
            <w:pPr>
              <w:spacing w:line="240" w:lineRule="auto"/>
              <w:jc w:val="center"/>
            </w:pPr>
            <w:r>
              <w:t>2.20 (.74)</w:t>
            </w:r>
          </w:p>
        </w:tc>
      </w:tr>
      <w:tr w:rsidR="008A4BD7" w14:paraId="5C8AC8BE" w14:textId="77777777" w:rsidTr="00A64CE0">
        <w:tc>
          <w:tcPr>
            <w:tcW w:w="1413" w:type="dxa"/>
            <w:vMerge/>
            <w:shd w:val="clear" w:color="auto" w:fill="BFBFBF" w:themeFill="background1" w:themeFillShade="BF"/>
          </w:tcPr>
          <w:p w14:paraId="31087779" w14:textId="77777777" w:rsidR="008A4BD7" w:rsidRDefault="008A4BD7" w:rsidP="00B43E3A">
            <w:pPr>
              <w:spacing w:line="240" w:lineRule="auto"/>
            </w:pPr>
          </w:p>
        </w:tc>
        <w:tc>
          <w:tcPr>
            <w:tcW w:w="1813" w:type="dxa"/>
            <w:shd w:val="clear" w:color="auto" w:fill="D9D9D9" w:themeFill="background1" w:themeFillShade="D9"/>
            <w:vAlign w:val="center"/>
          </w:tcPr>
          <w:p w14:paraId="2CDC18FA" w14:textId="77777777" w:rsidR="008A4BD7" w:rsidRDefault="008A4BD7" w:rsidP="00B43E3A">
            <w:pPr>
              <w:spacing w:line="240" w:lineRule="auto"/>
              <w:jc w:val="center"/>
            </w:pPr>
            <w:r>
              <w:t>Dominant country</w:t>
            </w:r>
          </w:p>
        </w:tc>
        <w:tc>
          <w:tcPr>
            <w:tcW w:w="1022" w:type="dxa"/>
            <w:shd w:val="clear" w:color="auto" w:fill="D9D9D9" w:themeFill="background1" w:themeFillShade="D9"/>
          </w:tcPr>
          <w:p w14:paraId="58529B8B" w14:textId="04E6D6A0" w:rsidR="008A4BD7" w:rsidRDefault="008A4BD7" w:rsidP="00B43E3A">
            <w:pPr>
              <w:spacing w:line="240" w:lineRule="auto"/>
              <w:jc w:val="center"/>
            </w:pPr>
            <w:r>
              <w:t>B (95% CI)</w:t>
            </w:r>
          </w:p>
        </w:tc>
        <w:tc>
          <w:tcPr>
            <w:tcW w:w="1847" w:type="dxa"/>
            <w:shd w:val="clear" w:color="auto" w:fill="D9D9D9" w:themeFill="background1" w:themeFillShade="D9"/>
            <w:vAlign w:val="center"/>
          </w:tcPr>
          <w:p w14:paraId="12B6F542" w14:textId="0E972AD3" w:rsidR="008A4BD7" w:rsidRDefault="008A4BD7" w:rsidP="00B43E3A">
            <w:pPr>
              <w:spacing w:line="240" w:lineRule="auto"/>
              <w:jc w:val="center"/>
            </w:pPr>
            <w:r>
              <w:t>-.466 (-.632, -.300)</w:t>
            </w:r>
          </w:p>
        </w:tc>
        <w:tc>
          <w:tcPr>
            <w:tcW w:w="1382" w:type="dxa"/>
            <w:shd w:val="clear" w:color="auto" w:fill="D9D9D9" w:themeFill="background1" w:themeFillShade="D9"/>
            <w:vAlign w:val="center"/>
          </w:tcPr>
          <w:p w14:paraId="0FEB8E91" w14:textId="77777777" w:rsidR="008A4BD7" w:rsidRDefault="008A4BD7" w:rsidP="00B43E3A">
            <w:pPr>
              <w:spacing w:line="240" w:lineRule="auto"/>
              <w:jc w:val="center"/>
            </w:pPr>
            <w:r>
              <w:t>n/s</w:t>
            </w:r>
          </w:p>
        </w:tc>
        <w:tc>
          <w:tcPr>
            <w:tcW w:w="1576" w:type="dxa"/>
            <w:shd w:val="clear" w:color="auto" w:fill="D9D9D9" w:themeFill="background1" w:themeFillShade="D9"/>
            <w:vAlign w:val="center"/>
          </w:tcPr>
          <w:p w14:paraId="5AC8FCE2" w14:textId="77777777" w:rsidR="008A4BD7" w:rsidRDefault="008A4BD7" w:rsidP="00B43E3A">
            <w:pPr>
              <w:spacing w:line="240" w:lineRule="auto"/>
              <w:jc w:val="center"/>
            </w:pPr>
            <w:r>
              <w:t>n/s</w:t>
            </w:r>
          </w:p>
        </w:tc>
        <w:tc>
          <w:tcPr>
            <w:tcW w:w="1738" w:type="dxa"/>
            <w:shd w:val="clear" w:color="auto" w:fill="D9D9D9" w:themeFill="background1" w:themeFillShade="D9"/>
            <w:vAlign w:val="center"/>
          </w:tcPr>
          <w:p w14:paraId="6B9A4A62" w14:textId="50EF88A1" w:rsidR="008A4BD7" w:rsidRDefault="008A4BD7" w:rsidP="00B43E3A">
            <w:pPr>
              <w:spacing w:line="240" w:lineRule="auto"/>
              <w:jc w:val="center"/>
            </w:pPr>
            <w:r>
              <w:t>-.544 (-.689, -.400)</w:t>
            </w:r>
          </w:p>
        </w:tc>
        <w:tc>
          <w:tcPr>
            <w:tcW w:w="1485" w:type="dxa"/>
            <w:shd w:val="clear" w:color="auto" w:fill="D9D9D9" w:themeFill="background1" w:themeFillShade="D9"/>
            <w:vAlign w:val="center"/>
          </w:tcPr>
          <w:p w14:paraId="19247B1A" w14:textId="1FEA84C3" w:rsidR="008A4BD7" w:rsidRDefault="008A4BD7" w:rsidP="00B43E3A">
            <w:pPr>
              <w:spacing w:line="240" w:lineRule="auto"/>
              <w:jc w:val="center"/>
            </w:pPr>
            <w:r>
              <w:t>-.474 (-.607, -.341)</w:t>
            </w:r>
          </w:p>
        </w:tc>
        <w:tc>
          <w:tcPr>
            <w:tcW w:w="1674" w:type="dxa"/>
            <w:shd w:val="clear" w:color="auto" w:fill="D9D9D9" w:themeFill="background1" w:themeFillShade="D9"/>
            <w:vAlign w:val="center"/>
          </w:tcPr>
          <w:p w14:paraId="279364B2" w14:textId="13438C0C" w:rsidR="008A4BD7" w:rsidRDefault="008A4BD7" w:rsidP="00B43E3A">
            <w:pPr>
              <w:spacing w:line="240" w:lineRule="auto"/>
              <w:jc w:val="center"/>
            </w:pPr>
            <w:r>
              <w:t>-.214 (-.336, -.092)</w:t>
            </w:r>
          </w:p>
        </w:tc>
      </w:tr>
      <w:tr w:rsidR="008A4BD7" w14:paraId="369055C2" w14:textId="77777777" w:rsidTr="00A64CE0">
        <w:tc>
          <w:tcPr>
            <w:tcW w:w="1413" w:type="dxa"/>
            <w:vMerge/>
            <w:shd w:val="clear" w:color="auto" w:fill="BFBFBF" w:themeFill="background1" w:themeFillShade="BF"/>
          </w:tcPr>
          <w:p w14:paraId="16754D5D" w14:textId="77777777" w:rsidR="008A4BD7" w:rsidRDefault="008A4BD7" w:rsidP="00B43E3A">
            <w:pPr>
              <w:spacing w:line="240" w:lineRule="auto"/>
            </w:pPr>
          </w:p>
        </w:tc>
        <w:tc>
          <w:tcPr>
            <w:tcW w:w="1813" w:type="dxa"/>
            <w:vAlign w:val="center"/>
          </w:tcPr>
          <w:p w14:paraId="2D25B5BD" w14:textId="5DDC3D5A" w:rsidR="008A4BD7" w:rsidRDefault="008A4BD7" w:rsidP="00B43E3A">
            <w:pPr>
              <w:spacing w:line="240" w:lineRule="auto"/>
              <w:jc w:val="center"/>
            </w:pPr>
            <w:r>
              <w:t>Dominant country</w:t>
            </w:r>
          </w:p>
        </w:tc>
        <w:tc>
          <w:tcPr>
            <w:tcW w:w="1022" w:type="dxa"/>
          </w:tcPr>
          <w:p w14:paraId="322BCE3F" w14:textId="5FF5E4EE" w:rsidR="008A4BD7" w:rsidRDefault="008A4BD7" w:rsidP="00B43E3A">
            <w:pPr>
              <w:spacing w:line="240" w:lineRule="auto"/>
              <w:jc w:val="center"/>
            </w:pPr>
            <w:r>
              <w:t>Mean (SD)</w:t>
            </w:r>
          </w:p>
        </w:tc>
        <w:tc>
          <w:tcPr>
            <w:tcW w:w="1847" w:type="dxa"/>
            <w:vAlign w:val="center"/>
          </w:tcPr>
          <w:p w14:paraId="1AB9DC0B" w14:textId="22B44DBD" w:rsidR="008A4BD7" w:rsidRDefault="00290561" w:rsidP="00B43E3A">
            <w:pPr>
              <w:spacing w:line="240" w:lineRule="auto"/>
              <w:jc w:val="center"/>
            </w:pPr>
            <w:r>
              <w:t>2.45 (1.01)</w:t>
            </w:r>
          </w:p>
        </w:tc>
        <w:tc>
          <w:tcPr>
            <w:tcW w:w="1382" w:type="dxa"/>
            <w:vAlign w:val="center"/>
          </w:tcPr>
          <w:p w14:paraId="673B574D" w14:textId="05CB7351" w:rsidR="008A4BD7" w:rsidRDefault="00290561" w:rsidP="00B43E3A">
            <w:pPr>
              <w:spacing w:line="240" w:lineRule="auto"/>
              <w:jc w:val="center"/>
            </w:pPr>
            <w:r>
              <w:t>3.90 (.65)</w:t>
            </w:r>
          </w:p>
        </w:tc>
        <w:tc>
          <w:tcPr>
            <w:tcW w:w="1576" w:type="dxa"/>
            <w:vAlign w:val="center"/>
          </w:tcPr>
          <w:p w14:paraId="6A9125D9" w14:textId="234EB78B" w:rsidR="008A4BD7" w:rsidRDefault="0082682A" w:rsidP="00B43E3A">
            <w:pPr>
              <w:spacing w:line="240" w:lineRule="auto"/>
              <w:jc w:val="center"/>
            </w:pPr>
            <w:r>
              <w:t>2.04 (.99)</w:t>
            </w:r>
          </w:p>
        </w:tc>
        <w:tc>
          <w:tcPr>
            <w:tcW w:w="1738" w:type="dxa"/>
            <w:vAlign w:val="center"/>
          </w:tcPr>
          <w:p w14:paraId="5D65DFDB" w14:textId="46D5DC6A" w:rsidR="008A4BD7" w:rsidRDefault="0082682A" w:rsidP="00B43E3A">
            <w:pPr>
              <w:spacing w:line="240" w:lineRule="auto"/>
              <w:jc w:val="center"/>
            </w:pPr>
            <w:r>
              <w:t>2.38 (.84)</w:t>
            </w:r>
          </w:p>
        </w:tc>
        <w:tc>
          <w:tcPr>
            <w:tcW w:w="1485" w:type="dxa"/>
            <w:vAlign w:val="center"/>
          </w:tcPr>
          <w:p w14:paraId="2849AF39" w14:textId="5D95A6EB" w:rsidR="008A4BD7" w:rsidRDefault="0082682A" w:rsidP="00B43E3A">
            <w:pPr>
              <w:spacing w:line="240" w:lineRule="auto"/>
              <w:jc w:val="center"/>
            </w:pPr>
            <w:r>
              <w:t>3.17 (.84)</w:t>
            </w:r>
          </w:p>
        </w:tc>
        <w:tc>
          <w:tcPr>
            <w:tcW w:w="1674" w:type="dxa"/>
            <w:vAlign w:val="center"/>
          </w:tcPr>
          <w:p w14:paraId="2DD3EF4E" w14:textId="1145BC42" w:rsidR="008A4BD7" w:rsidRDefault="0082682A" w:rsidP="00B43E3A">
            <w:pPr>
              <w:spacing w:line="240" w:lineRule="auto"/>
              <w:jc w:val="center"/>
            </w:pPr>
            <w:r>
              <w:t>2.15 (.73)</w:t>
            </w:r>
          </w:p>
        </w:tc>
      </w:tr>
      <w:tr w:rsidR="008A4BD7" w14:paraId="622756E8" w14:textId="77777777" w:rsidTr="00A64CE0">
        <w:tc>
          <w:tcPr>
            <w:tcW w:w="1413" w:type="dxa"/>
            <w:vMerge/>
            <w:shd w:val="clear" w:color="auto" w:fill="BFBFBF" w:themeFill="background1" w:themeFillShade="BF"/>
          </w:tcPr>
          <w:p w14:paraId="067FBEDE" w14:textId="77777777" w:rsidR="008A4BD7" w:rsidRDefault="008A4BD7" w:rsidP="00B43E3A">
            <w:pPr>
              <w:spacing w:line="240" w:lineRule="auto"/>
            </w:pPr>
          </w:p>
        </w:tc>
        <w:tc>
          <w:tcPr>
            <w:tcW w:w="1813" w:type="dxa"/>
            <w:vAlign w:val="center"/>
          </w:tcPr>
          <w:p w14:paraId="6DCA0A1C" w14:textId="0CC38550" w:rsidR="008A4BD7" w:rsidRDefault="008A4BD7" w:rsidP="00B43E3A">
            <w:pPr>
              <w:spacing w:line="240" w:lineRule="auto"/>
              <w:jc w:val="center"/>
            </w:pPr>
            <w:r>
              <w:t>Other</w:t>
            </w:r>
          </w:p>
        </w:tc>
        <w:tc>
          <w:tcPr>
            <w:tcW w:w="1022" w:type="dxa"/>
          </w:tcPr>
          <w:p w14:paraId="1B48CABD" w14:textId="775C6F13" w:rsidR="008A4BD7" w:rsidRDefault="008A4BD7" w:rsidP="00B43E3A">
            <w:pPr>
              <w:spacing w:line="240" w:lineRule="auto"/>
              <w:jc w:val="center"/>
            </w:pPr>
            <w:r>
              <w:t>Mean (SD)</w:t>
            </w:r>
          </w:p>
        </w:tc>
        <w:tc>
          <w:tcPr>
            <w:tcW w:w="1847" w:type="dxa"/>
            <w:vAlign w:val="center"/>
          </w:tcPr>
          <w:p w14:paraId="7AF2CE9A" w14:textId="4AB98C10" w:rsidR="008A4BD7" w:rsidRDefault="004A103F" w:rsidP="00B43E3A">
            <w:pPr>
              <w:spacing w:line="240" w:lineRule="auto"/>
              <w:jc w:val="center"/>
            </w:pPr>
            <w:r>
              <w:t>2.89 (1.07)</w:t>
            </w:r>
          </w:p>
        </w:tc>
        <w:tc>
          <w:tcPr>
            <w:tcW w:w="1382" w:type="dxa"/>
            <w:vAlign w:val="center"/>
          </w:tcPr>
          <w:p w14:paraId="4FECE2A7" w14:textId="623DC506" w:rsidR="008A4BD7" w:rsidRDefault="00785049" w:rsidP="00B43E3A">
            <w:pPr>
              <w:spacing w:line="240" w:lineRule="auto"/>
              <w:jc w:val="center"/>
            </w:pPr>
            <w:r>
              <w:t>3.85 (.58)</w:t>
            </w:r>
          </w:p>
        </w:tc>
        <w:tc>
          <w:tcPr>
            <w:tcW w:w="1576" w:type="dxa"/>
            <w:vAlign w:val="center"/>
          </w:tcPr>
          <w:p w14:paraId="4DC0127C" w14:textId="0D23522B" w:rsidR="008A4BD7" w:rsidRDefault="00785049" w:rsidP="00B43E3A">
            <w:pPr>
              <w:spacing w:line="240" w:lineRule="auto"/>
              <w:jc w:val="center"/>
            </w:pPr>
            <w:r>
              <w:t>2.18 (1.01)</w:t>
            </w:r>
          </w:p>
        </w:tc>
        <w:tc>
          <w:tcPr>
            <w:tcW w:w="1738" w:type="dxa"/>
            <w:vAlign w:val="center"/>
          </w:tcPr>
          <w:p w14:paraId="5C91F583" w14:textId="0E2AA49C" w:rsidR="008A4BD7" w:rsidRDefault="00785049" w:rsidP="00B43E3A">
            <w:pPr>
              <w:spacing w:line="240" w:lineRule="auto"/>
              <w:jc w:val="center"/>
            </w:pPr>
            <w:r>
              <w:t>2.90 (.94)</w:t>
            </w:r>
          </w:p>
        </w:tc>
        <w:tc>
          <w:tcPr>
            <w:tcW w:w="1485" w:type="dxa"/>
            <w:vAlign w:val="center"/>
          </w:tcPr>
          <w:p w14:paraId="668493F4" w14:textId="14DBBB70" w:rsidR="008A4BD7" w:rsidRDefault="00785049" w:rsidP="00B43E3A">
            <w:pPr>
              <w:spacing w:line="240" w:lineRule="auto"/>
              <w:jc w:val="center"/>
            </w:pPr>
            <w:r>
              <w:t>3.64 (.75)</w:t>
            </w:r>
          </w:p>
        </w:tc>
        <w:tc>
          <w:tcPr>
            <w:tcW w:w="1674" w:type="dxa"/>
            <w:vAlign w:val="center"/>
          </w:tcPr>
          <w:p w14:paraId="072CF107" w14:textId="55D077CA" w:rsidR="008A4BD7" w:rsidRDefault="00290561" w:rsidP="00B43E3A">
            <w:pPr>
              <w:spacing w:line="240" w:lineRule="auto"/>
              <w:jc w:val="center"/>
            </w:pPr>
            <w:r>
              <w:t>2.36 (.79)</w:t>
            </w:r>
          </w:p>
        </w:tc>
      </w:tr>
      <w:tr w:rsidR="008A4BD7" w14:paraId="62DC93E5" w14:textId="77777777" w:rsidTr="00A64CE0">
        <w:tc>
          <w:tcPr>
            <w:tcW w:w="1413" w:type="dxa"/>
            <w:vMerge/>
            <w:shd w:val="clear" w:color="auto" w:fill="BFBFBF" w:themeFill="background1" w:themeFillShade="BF"/>
          </w:tcPr>
          <w:p w14:paraId="5344172F" w14:textId="77777777" w:rsidR="008A4BD7" w:rsidRDefault="008A4BD7" w:rsidP="00B43E3A">
            <w:pPr>
              <w:spacing w:line="240" w:lineRule="auto"/>
            </w:pPr>
          </w:p>
        </w:tc>
        <w:tc>
          <w:tcPr>
            <w:tcW w:w="1813" w:type="dxa"/>
            <w:shd w:val="clear" w:color="auto" w:fill="D9D9D9" w:themeFill="background1" w:themeFillShade="D9"/>
            <w:vAlign w:val="center"/>
          </w:tcPr>
          <w:p w14:paraId="763A5112" w14:textId="77777777" w:rsidR="008A4BD7" w:rsidRDefault="008A4BD7" w:rsidP="00B43E3A">
            <w:pPr>
              <w:spacing w:line="240" w:lineRule="auto"/>
              <w:jc w:val="center"/>
            </w:pPr>
            <w:r>
              <w:t>Career stage</w:t>
            </w:r>
          </w:p>
        </w:tc>
        <w:tc>
          <w:tcPr>
            <w:tcW w:w="1022" w:type="dxa"/>
            <w:shd w:val="clear" w:color="auto" w:fill="D9D9D9" w:themeFill="background1" w:themeFillShade="D9"/>
          </w:tcPr>
          <w:p w14:paraId="752AAC94" w14:textId="5E4555C3" w:rsidR="008A4BD7" w:rsidRDefault="008A4BD7" w:rsidP="00B43E3A">
            <w:pPr>
              <w:spacing w:line="240" w:lineRule="auto"/>
              <w:jc w:val="center"/>
            </w:pPr>
            <w:r>
              <w:t>B (95% CI)</w:t>
            </w:r>
          </w:p>
        </w:tc>
        <w:tc>
          <w:tcPr>
            <w:tcW w:w="1847" w:type="dxa"/>
            <w:shd w:val="clear" w:color="auto" w:fill="D9D9D9" w:themeFill="background1" w:themeFillShade="D9"/>
            <w:vAlign w:val="center"/>
          </w:tcPr>
          <w:p w14:paraId="36450811" w14:textId="0FEC3E9C" w:rsidR="008A4BD7" w:rsidRDefault="008A4BD7" w:rsidP="00B43E3A">
            <w:pPr>
              <w:spacing w:line="240" w:lineRule="auto"/>
              <w:jc w:val="center"/>
            </w:pPr>
            <w:r>
              <w:t>n/s</w:t>
            </w:r>
          </w:p>
        </w:tc>
        <w:tc>
          <w:tcPr>
            <w:tcW w:w="1382" w:type="dxa"/>
            <w:shd w:val="clear" w:color="auto" w:fill="D9D9D9" w:themeFill="background1" w:themeFillShade="D9"/>
            <w:vAlign w:val="center"/>
          </w:tcPr>
          <w:p w14:paraId="115336A4" w14:textId="77777777" w:rsidR="008A4BD7" w:rsidRDefault="008A4BD7" w:rsidP="00B43E3A">
            <w:pPr>
              <w:spacing w:line="240" w:lineRule="auto"/>
              <w:jc w:val="center"/>
            </w:pPr>
            <w:r>
              <w:t>n/s</w:t>
            </w:r>
          </w:p>
        </w:tc>
        <w:tc>
          <w:tcPr>
            <w:tcW w:w="1576" w:type="dxa"/>
            <w:shd w:val="clear" w:color="auto" w:fill="D9D9D9" w:themeFill="background1" w:themeFillShade="D9"/>
            <w:vAlign w:val="center"/>
          </w:tcPr>
          <w:p w14:paraId="4063E97A" w14:textId="09E66473" w:rsidR="008A4BD7" w:rsidRDefault="008A4BD7" w:rsidP="00B43E3A">
            <w:pPr>
              <w:spacing w:line="240" w:lineRule="auto"/>
              <w:jc w:val="center"/>
            </w:pPr>
            <w:r>
              <w:t>-.497 (-.589, -.405)</w:t>
            </w:r>
          </w:p>
        </w:tc>
        <w:tc>
          <w:tcPr>
            <w:tcW w:w="1738" w:type="dxa"/>
            <w:shd w:val="clear" w:color="auto" w:fill="D9D9D9" w:themeFill="background1" w:themeFillShade="D9"/>
            <w:vAlign w:val="center"/>
          </w:tcPr>
          <w:p w14:paraId="5400B420" w14:textId="77777777" w:rsidR="008A4BD7" w:rsidRDefault="008A4BD7" w:rsidP="00B43E3A">
            <w:pPr>
              <w:spacing w:line="240" w:lineRule="auto"/>
              <w:jc w:val="center"/>
            </w:pPr>
            <w:r>
              <w:t>n/s</w:t>
            </w:r>
          </w:p>
        </w:tc>
        <w:tc>
          <w:tcPr>
            <w:tcW w:w="1485" w:type="dxa"/>
            <w:shd w:val="clear" w:color="auto" w:fill="D9D9D9" w:themeFill="background1" w:themeFillShade="D9"/>
            <w:vAlign w:val="center"/>
          </w:tcPr>
          <w:p w14:paraId="3A0B226A" w14:textId="77777777" w:rsidR="008A4BD7" w:rsidRDefault="008A4BD7" w:rsidP="00B43E3A">
            <w:pPr>
              <w:spacing w:line="240" w:lineRule="auto"/>
              <w:jc w:val="center"/>
            </w:pPr>
            <w:r>
              <w:t>n/s</w:t>
            </w:r>
          </w:p>
        </w:tc>
        <w:tc>
          <w:tcPr>
            <w:tcW w:w="1674" w:type="dxa"/>
            <w:shd w:val="clear" w:color="auto" w:fill="D9D9D9" w:themeFill="background1" w:themeFillShade="D9"/>
            <w:vAlign w:val="center"/>
          </w:tcPr>
          <w:p w14:paraId="583420D6" w14:textId="77777777" w:rsidR="008A4BD7" w:rsidRDefault="008A4BD7" w:rsidP="00B43E3A">
            <w:pPr>
              <w:spacing w:line="240" w:lineRule="auto"/>
              <w:jc w:val="center"/>
            </w:pPr>
            <w:r>
              <w:t>n/s</w:t>
            </w:r>
          </w:p>
        </w:tc>
      </w:tr>
      <w:tr w:rsidR="008A4BD7" w14:paraId="1D3F16E8" w14:textId="77777777" w:rsidTr="00A64CE0">
        <w:tc>
          <w:tcPr>
            <w:tcW w:w="1413" w:type="dxa"/>
            <w:vMerge/>
            <w:shd w:val="clear" w:color="auto" w:fill="BFBFBF" w:themeFill="background1" w:themeFillShade="BF"/>
          </w:tcPr>
          <w:p w14:paraId="38B5002F" w14:textId="77777777" w:rsidR="008A4BD7" w:rsidRDefault="008A4BD7" w:rsidP="00B43E3A">
            <w:pPr>
              <w:spacing w:line="240" w:lineRule="auto"/>
            </w:pPr>
          </w:p>
        </w:tc>
        <w:tc>
          <w:tcPr>
            <w:tcW w:w="1813" w:type="dxa"/>
            <w:vAlign w:val="center"/>
          </w:tcPr>
          <w:p w14:paraId="12D4D8EE" w14:textId="4BA30781" w:rsidR="008A4BD7" w:rsidRDefault="008A4BD7" w:rsidP="00B43E3A">
            <w:pPr>
              <w:spacing w:line="240" w:lineRule="auto"/>
              <w:jc w:val="center"/>
            </w:pPr>
            <w:r>
              <w:t>Trainee</w:t>
            </w:r>
          </w:p>
        </w:tc>
        <w:tc>
          <w:tcPr>
            <w:tcW w:w="1022" w:type="dxa"/>
          </w:tcPr>
          <w:p w14:paraId="327071FF" w14:textId="3819CCC4" w:rsidR="008A4BD7" w:rsidRDefault="008A4BD7" w:rsidP="00B43E3A">
            <w:pPr>
              <w:spacing w:line="240" w:lineRule="auto"/>
              <w:jc w:val="center"/>
            </w:pPr>
            <w:r>
              <w:t>Mean (SD)</w:t>
            </w:r>
          </w:p>
        </w:tc>
        <w:tc>
          <w:tcPr>
            <w:tcW w:w="1847" w:type="dxa"/>
            <w:vAlign w:val="center"/>
          </w:tcPr>
          <w:p w14:paraId="0A92CB60" w14:textId="654C4997" w:rsidR="008A4BD7" w:rsidRDefault="00194405" w:rsidP="00B43E3A">
            <w:pPr>
              <w:spacing w:line="240" w:lineRule="auto"/>
              <w:jc w:val="center"/>
            </w:pPr>
            <w:r>
              <w:t>2.7</w:t>
            </w:r>
            <w:r w:rsidR="00757008">
              <w:t>1 (1.08)</w:t>
            </w:r>
          </w:p>
        </w:tc>
        <w:tc>
          <w:tcPr>
            <w:tcW w:w="1382" w:type="dxa"/>
            <w:vAlign w:val="center"/>
          </w:tcPr>
          <w:p w14:paraId="3C90DC18" w14:textId="5568335E" w:rsidR="008A4BD7" w:rsidRDefault="00757008" w:rsidP="00B43E3A">
            <w:pPr>
              <w:spacing w:line="240" w:lineRule="auto"/>
              <w:jc w:val="center"/>
            </w:pPr>
            <w:r>
              <w:t>3.80 (.61)</w:t>
            </w:r>
          </w:p>
        </w:tc>
        <w:tc>
          <w:tcPr>
            <w:tcW w:w="1576" w:type="dxa"/>
            <w:vAlign w:val="center"/>
          </w:tcPr>
          <w:p w14:paraId="1C5863BB" w14:textId="314C2F5B" w:rsidR="008A4BD7" w:rsidRDefault="00757008" w:rsidP="00B43E3A">
            <w:pPr>
              <w:spacing w:line="240" w:lineRule="auto"/>
              <w:jc w:val="center"/>
            </w:pPr>
            <w:r>
              <w:t>2.72 (1.08)</w:t>
            </w:r>
          </w:p>
        </w:tc>
        <w:tc>
          <w:tcPr>
            <w:tcW w:w="1738" w:type="dxa"/>
            <w:vAlign w:val="center"/>
          </w:tcPr>
          <w:p w14:paraId="05F6BCB4" w14:textId="3AF2EC07" w:rsidR="008A4BD7" w:rsidRDefault="00757008" w:rsidP="00B43E3A">
            <w:pPr>
              <w:spacing w:line="240" w:lineRule="auto"/>
              <w:jc w:val="center"/>
            </w:pPr>
            <w:r>
              <w:t>2.64 (.95)</w:t>
            </w:r>
          </w:p>
        </w:tc>
        <w:tc>
          <w:tcPr>
            <w:tcW w:w="1485" w:type="dxa"/>
            <w:vAlign w:val="center"/>
          </w:tcPr>
          <w:p w14:paraId="65B1E89B" w14:textId="2F58666D" w:rsidR="008A4BD7" w:rsidRDefault="00496DB1" w:rsidP="00B43E3A">
            <w:pPr>
              <w:spacing w:line="240" w:lineRule="auto"/>
              <w:jc w:val="center"/>
            </w:pPr>
            <w:r>
              <w:t>3.41 (.87)</w:t>
            </w:r>
          </w:p>
        </w:tc>
        <w:tc>
          <w:tcPr>
            <w:tcW w:w="1674" w:type="dxa"/>
            <w:vAlign w:val="center"/>
          </w:tcPr>
          <w:p w14:paraId="75356A62" w14:textId="3AEF78B4" w:rsidR="008A4BD7" w:rsidRDefault="00496DB1" w:rsidP="00B43E3A">
            <w:pPr>
              <w:spacing w:line="240" w:lineRule="auto"/>
              <w:jc w:val="center"/>
            </w:pPr>
            <w:r>
              <w:t>2.24 (.79)</w:t>
            </w:r>
          </w:p>
        </w:tc>
      </w:tr>
      <w:tr w:rsidR="008A4BD7" w14:paraId="1C959EB1" w14:textId="77777777" w:rsidTr="00A64CE0">
        <w:tc>
          <w:tcPr>
            <w:tcW w:w="1413" w:type="dxa"/>
            <w:vMerge/>
            <w:shd w:val="clear" w:color="auto" w:fill="BFBFBF" w:themeFill="background1" w:themeFillShade="BF"/>
          </w:tcPr>
          <w:p w14:paraId="4556E463" w14:textId="77777777" w:rsidR="008A4BD7" w:rsidRDefault="008A4BD7" w:rsidP="00B43E3A">
            <w:pPr>
              <w:spacing w:line="240" w:lineRule="auto"/>
            </w:pPr>
          </w:p>
        </w:tc>
        <w:tc>
          <w:tcPr>
            <w:tcW w:w="1813" w:type="dxa"/>
            <w:vAlign w:val="center"/>
          </w:tcPr>
          <w:p w14:paraId="3184817B" w14:textId="6C44D384" w:rsidR="008A4BD7" w:rsidRDefault="008A4BD7" w:rsidP="00B43E3A">
            <w:pPr>
              <w:spacing w:line="240" w:lineRule="auto"/>
              <w:jc w:val="center"/>
            </w:pPr>
            <w:r>
              <w:t>Junior academic</w:t>
            </w:r>
          </w:p>
        </w:tc>
        <w:tc>
          <w:tcPr>
            <w:tcW w:w="1022" w:type="dxa"/>
          </w:tcPr>
          <w:p w14:paraId="4D4C7B55" w14:textId="50D14801" w:rsidR="008A4BD7" w:rsidRDefault="008A4BD7" w:rsidP="00B43E3A">
            <w:pPr>
              <w:spacing w:line="240" w:lineRule="auto"/>
              <w:jc w:val="center"/>
            </w:pPr>
            <w:r>
              <w:t>Mean (SD)</w:t>
            </w:r>
          </w:p>
        </w:tc>
        <w:tc>
          <w:tcPr>
            <w:tcW w:w="1847" w:type="dxa"/>
            <w:vAlign w:val="center"/>
          </w:tcPr>
          <w:p w14:paraId="43682B84" w14:textId="35D56901" w:rsidR="008A4BD7" w:rsidRDefault="00496DB1" w:rsidP="00B43E3A">
            <w:pPr>
              <w:spacing w:line="240" w:lineRule="auto"/>
              <w:jc w:val="center"/>
            </w:pPr>
            <w:r>
              <w:t>2.57 (1.06)</w:t>
            </w:r>
          </w:p>
        </w:tc>
        <w:tc>
          <w:tcPr>
            <w:tcW w:w="1382" w:type="dxa"/>
            <w:vAlign w:val="center"/>
          </w:tcPr>
          <w:p w14:paraId="0E5A4D02" w14:textId="2F42E201" w:rsidR="008A4BD7" w:rsidRDefault="002342F1" w:rsidP="00B43E3A">
            <w:pPr>
              <w:spacing w:line="240" w:lineRule="auto"/>
              <w:jc w:val="center"/>
            </w:pPr>
            <w:r>
              <w:t>3.90 (.65)</w:t>
            </w:r>
          </w:p>
        </w:tc>
        <w:tc>
          <w:tcPr>
            <w:tcW w:w="1576" w:type="dxa"/>
            <w:vAlign w:val="center"/>
          </w:tcPr>
          <w:p w14:paraId="39490857" w14:textId="436E58E1" w:rsidR="008A4BD7" w:rsidRDefault="002342F1" w:rsidP="00B43E3A">
            <w:pPr>
              <w:spacing w:line="240" w:lineRule="auto"/>
              <w:jc w:val="center"/>
            </w:pPr>
            <w:r>
              <w:t>2.23 (1.04)</w:t>
            </w:r>
          </w:p>
        </w:tc>
        <w:tc>
          <w:tcPr>
            <w:tcW w:w="1738" w:type="dxa"/>
            <w:vAlign w:val="center"/>
          </w:tcPr>
          <w:p w14:paraId="41D1B770" w14:textId="16702301" w:rsidR="008A4BD7" w:rsidRDefault="002342F1" w:rsidP="00B43E3A">
            <w:pPr>
              <w:spacing w:line="240" w:lineRule="auto"/>
              <w:jc w:val="center"/>
            </w:pPr>
            <w:r>
              <w:t>2.58 (.92)</w:t>
            </w:r>
          </w:p>
        </w:tc>
        <w:tc>
          <w:tcPr>
            <w:tcW w:w="1485" w:type="dxa"/>
            <w:vAlign w:val="center"/>
          </w:tcPr>
          <w:p w14:paraId="2577289E" w14:textId="1536E271" w:rsidR="008A4BD7" w:rsidRDefault="0099615E" w:rsidP="00B43E3A">
            <w:pPr>
              <w:spacing w:line="240" w:lineRule="auto"/>
              <w:jc w:val="center"/>
            </w:pPr>
            <w:r>
              <w:t>3.29 (.87)</w:t>
            </w:r>
          </w:p>
        </w:tc>
        <w:tc>
          <w:tcPr>
            <w:tcW w:w="1674" w:type="dxa"/>
            <w:vAlign w:val="center"/>
          </w:tcPr>
          <w:p w14:paraId="675E0293" w14:textId="45CD810A" w:rsidR="008A4BD7" w:rsidRDefault="0099615E" w:rsidP="00B43E3A">
            <w:pPr>
              <w:spacing w:line="240" w:lineRule="auto"/>
              <w:jc w:val="center"/>
            </w:pPr>
            <w:r>
              <w:t>2.24 (.78)</w:t>
            </w:r>
          </w:p>
        </w:tc>
      </w:tr>
      <w:tr w:rsidR="008A4BD7" w14:paraId="7821A42F" w14:textId="77777777" w:rsidTr="00A64CE0">
        <w:tc>
          <w:tcPr>
            <w:tcW w:w="1413" w:type="dxa"/>
            <w:vMerge/>
            <w:shd w:val="clear" w:color="auto" w:fill="BFBFBF" w:themeFill="background1" w:themeFillShade="BF"/>
          </w:tcPr>
          <w:p w14:paraId="3F4719B6" w14:textId="77777777" w:rsidR="008A4BD7" w:rsidRDefault="008A4BD7" w:rsidP="00B43E3A">
            <w:pPr>
              <w:spacing w:line="240" w:lineRule="auto"/>
            </w:pPr>
          </w:p>
        </w:tc>
        <w:tc>
          <w:tcPr>
            <w:tcW w:w="1813" w:type="dxa"/>
            <w:vAlign w:val="center"/>
          </w:tcPr>
          <w:p w14:paraId="25B21FD4" w14:textId="23F5EA22" w:rsidR="008A4BD7" w:rsidRDefault="008A4BD7" w:rsidP="00B43E3A">
            <w:pPr>
              <w:spacing w:line="240" w:lineRule="auto"/>
              <w:jc w:val="center"/>
            </w:pPr>
            <w:r>
              <w:t>Senior academic</w:t>
            </w:r>
          </w:p>
        </w:tc>
        <w:tc>
          <w:tcPr>
            <w:tcW w:w="1022" w:type="dxa"/>
          </w:tcPr>
          <w:p w14:paraId="17727978" w14:textId="07C42F2D" w:rsidR="008A4BD7" w:rsidRDefault="008A4BD7" w:rsidP="00B43E3A">
            <w:pPr>
              <w:spacing w:line="240" w:lineRule="auto"/>
              <w:jc w:val="center"/>
            </w:pPr>
            <w:r>
              <w:t>Mean (SD)</w:t>
            </w:r>
          </w:p>
        </w:tc>
        <w:tc>
          <w:tcPr>
            <w:tcW w:w="1847" w:type="dxa"/>
            <w:vAlign w:val="center"/>
          </w:tcPr>
          <w:p w14:paraId="3D7BD125" w14:textId="28C6FC7D" w:rsidR="008A4BD7" w:rsidRDefault="0099615E" w:rsidP="00B43E3A">
            <w:pPr>
              <w:spacing w:line="240" w:lineRule="auto"/>
              <w:jc w:val="center"/>
            </w:pPr>
            <w:r>
              <w:t>2.56 (1.02)</w:t>
            </w:r>
          </w:p>
        </w:tc>
        <w:tc>
          <w:tcPr>
            <w:tcW w:w="1382" w:type="dxa"/>
            <w:vAlign w:val="center"/>
          </w:tcPr>
          <w:p w14:paraId="52135D12" w14:textId="45062444" w:rsidR="008A4BD7" w:rsidRDefault="0099615E" w:rsidP="00B43E3A">
            <w:pPr>
              <w:spacing w:line="240" w:lineRule="auto"/>
              <w:jc w:val="center"/>
            </w:pPr>
            <w:r>
              <w:t>3.91 (</w:t>
            </w:r>
            <w:r w:rsidR="0042534F">
              <w:t>.63)</w:t>
            </w:r>
          </w:p>
        </w:tc>
        <w:tc>
          <w:tcPr>
            <w:tcW w:w="1576" w:type="dxa"/>
            <w:vAlign w:val="center"/>
          </w:tcPr>
          <w:p w14:paraId="4BE65334" w14:textId="007D2C82" w:rsidR="008A4BD7" w:rsidRDefault="0042534F" w:rsidP="00B43E3A">
            <w:pPr>
              <w:spacing w:line="240" w:lineRule="auto"/>
              <w:jc w:val="center"/>
            </w:pPr>
            <w:r>
              <w:t>1.71 (.75)</w:t>
            </w:r>
          </w:p>
        </w:tc>
        <w:tc>
          <w:tcPr>
            <w:tcW w:w="1738" w:type="dxa"/>
            <w:vAlign w:val="center"/>
          </w:tcPr>
          <w:p w14:paraId="5E12DFA9" w14:textId="41FD190F" w:rsidR="008A4BD7" w:rsidRDefault="0042534F" w:rsidP="00B43E3A">
            <w:pPr>
              <w:spacing w:line="240" w:lineRule="auto"/>
              <w:jc w:val="center"/>
            </w:pPr>
            <w:r>
              <w:t>2.48 (.87)</w:t>
            </w:r>
          </w:p>
        </w:tc>
        <w:tc>
          <w:tcPr>
            <w:tcW w:w="1485" w:type="dxa"/>
            <w:vAlign w:val="center"/>
          </w:tcPr>
          <w:p w14:paraId="151B3435" w14:textId="773D8BC1" w:rsidR="008A4BD7" w:rsidRDefault="0042534F" w:rsidP="00B43E3A">
            <w:pPr>
              <w:spacing w:line="240" w:lineRule="auto"/>
              <w:jc w:val="center"/>
            </w:pPr>
            <w:r>
              <w:t>3.29 (</w:t>
            </w:r>
            <w:r w:rsidR="00664956">
              <w:t>.81)</w:t>
            </w:r>
          </w:p>
        </w:tc>
        <w:tc>
          <w:tcPr>
            <w:tcW w:w="1674" w:type="dxa"/>
            <w:vAlign w:val="center"/>
          </w:tcPr>
          <w:p w14:paraId="4FAE989D" w14:textId="471094A7" w:rsidR="008A4BD7" w:rsidRDefault="00664956" w:rsidP="00B43E3A">
            <w:pPr>
              <w:spacing w:line="240" w:lineRule="auto"/>
              <w:jc w:val="center"/>
            </w:pPr>
            <w:r>
              <w:t>2.19 (.73)</w:t>
            </w:r>
          </w:p>
        </w:tc>
      </w:tr>
    </w:tbl>
    <w:p w14:paraId="4322B672" w14:textId="77777777" w:rsidR="00485A40" w:rsidRDefault="00485A40" w:rsidP="00485A40">
      <w:r>
        <w:t>n/s = not significant</w:t>
      </w:r>
    </w:p>
    <w:p w14:paraId="6511054B" w14:textId="7A38044A" w:rsidR="009A497C" w:rsidRDefault="009A497C" w:rsidP="00AE5E92"/>
    <w:p w14:paraId="76495E8E" w14:textId="77777777" w:rsidR="003614DB" w:rsidRDefault="003614DB" w:rsidP="00AE5E92">
      <w:pPr>
        <w:sectPr w:rsidR="003614DB" w:rsidSect="00485A40">
          <w:pgSz w:w="16840" w:h="11900" w:orient="landscape"/>
          <w:pgMar w:top="1440" w:right="1440" w:bottom="1440" w:left="1440" w:header="708" w:footer="708" w:gutter="0"/>
          <w:cols w:space="708"/>
          <w:docGrid w:linePitch="360"/>
        </w:sectPr>
      </w:pPr>
    </w:p>
    <w:p w14:paraId="5209858A" w14:textId="101AFC2F" w:rsidR="003614DB" w:rsidRDefault="003614DB" w:rsidP="00AE5E92"/>
    <w:p w14:paraId="13E4EC19" w14:textId="7B8A7BB7" w:rsidR="005A50B5" w:rsidRDefault="005A50B5" w:rsidP="005A50B5">
      <w:pPr>
        <w:pStyle w:val="Caption"/>
        <w:keepNext/>
      </w:pPr>
      <w:bookmarkStart w:id="2" w:name="_Ref73658724"/>
      <w:r>
        <w:t xml:space="preserve">Table </w:t>
      </w:r>
      <w:bookmarkEnd w:id="2"/>
      <w:r w:rsidR="00A54567">
        <w:rPr>
          <w:noProof/>
        </w:rPr>
        <w:t>3</w:t>
      </w:r>
      <w:r>
        <w:t xml:space="preserve">. </w:t>
      </w:r>
      <w:r w:rsidR="00383242">
        <w:t>Multivariate</w:t>
      </w:r>
      <w:r>
        <w:t xml:space="preserve"> </w:t>
      </w:r>
      <w:r w:rsidR="00383242">
        <w:t>logistic</w:t>
      </w:r>
      <w:r>
        <w:t xml:space="preserve"> regression </w:t>
      </w:r>
      <w:r w:rsidR="00916ED0">
        <w:t>analysis</w:t>
      </w:r>
      <w:r w:rsidR="00B944CE">
        <w:t xml:space="preserve"> </w:t>
      </w:r>
      <w:r>
        <w:t>of predictors of acceptance at first</w:t>
      </w:r>
      <w:r w:rsidR="00AA20DB">
        <w:t>-</w:t>
      </w:r>
      <w:r>
        <w:t>choice journal</w:t>
      </w:r>
    </w:p>
    <w:tbl>
      <w:tblPr>
        <w:tblStyle w:val="TableGrid"/>
        <w:tblW w:w="0" w:type="auto"/>
        <w:tblLook w:val="04A0" w:firstRow="1" w:lastRow="0" w:firstColumn="1" w:lastColumn="0" w:noHBand="0" w:noVBand="1"/>
      </w:tblPr>
      <w:tblGrid>
        <w:gridCol w:w="3053"/>
        <w:gridCol w:w="972"/>
        <w:gridCol w:w="3091"/>
      </w:tblGrid>
      <w:tr w:rsidR="00A64CE0" w14:paraId="712F9722" w14:textId="22A8C0D2" w:rsidTr="00A64CE0">
        <w:tc>
          <w:tcPr>
            <w:tcW w:w="3053" w:type="dxa"/>
            <w:vAlign w:val="center"/>
          </w:tcPr>
          <w:p w14:paraId="7374757B" w14:textId="77777777" w:rsidR="00A64CE0" w:rsidRDefault="00A64CE0" w:rsidP="00C45C86">
            <w:pPr>
              <w:spacing w:line="276" w:lineRule="auto"/>
              <w:jc w:val="center"/>
            </w:pPr>
          </w:p>
        </w:tc>
        <w:tc>
          <w:tcPr>
            <w:tcW w:w="4063" w:type="dxa"/>
            <w:gridSpan w:val="2"/>
            <w:vAlign w:val="center"/>
          </w:tcPr>
          <w:p w14:paraId="0CC15D93" w14:textId="0541C36E" w:rsidR="00A64CE0" w:rsidRPr="00C45C86" w:rsidRDefault="00A64CE0" w:rsidP="00C45C86">
            <w:pPr>
              <w:spacing w:line="276" w:lineRule="auto"/>
              <w:jc w:val="center"/>
              <w:rPr>
                <w:b/>
                <w:bCs/>
              </w:rPr>
            </w:pPr>
            <w:r w:rsidRPr="00C45C86">
              <w:rPr>
                <w:b/>
                <w:bCs/>
              </w:rPr>
              <w:t>Accepted at first journal</w:t>
            </w:r>
            <w:r w:rsidR="00B241AB">
              <w:rPr>
                <w:b/>
                <w:bCs/>
              </w:rPr>
              <w:br/>
              <w:t>(</w:t>
            </w:r>
            <w:r w:rsidRPr="00C45C86">
              <w:rPr>
                <w:b/>
                <w:bCs/>
              </w:rPr>
              <w:t>dependent variable)</w:t>
            </w:r>
          </w:p>
        </w:tc>
      </w:tr>
      <w:tr w:rsidR="00A64CE0" w14:paraId="408D201D" w14:textId="578D45E0" w:rsidTr="00A64CE0">
        <w:tc>
          <w:tcPr>
            <w:tcW w:w="3053" w:type="dxa"/>
            <w:vAlign w:val="center"/>
          </w:tcPr>
          <w:p w14:paraId="49C5DF2C" w14:textId="63350290" w:rsidR="00A64CE0" w:rsidRPr="00C45C86" w:rsidRDefault="00A64CE0" w:rsidP="00C45C86">
            <w:pPr>
              <w:spacing w:line="276" w:lineRule="auto"/>
              <w:jc w:val="center"/>
              <w:rPr>
                <w:b/>
                <w:bCs/>
              </w:rPr>
            </w:pPr>
            <w:r w:rsidRPr="00C45C86">
              <w:rPr>
                <w:b/>
                <w:bCs/>
              </w:rPr>
              <w:t>Independent variables</w:t>
            </w:r>
          </w:p>
        </w:tc>
        <w:tc>
          <w:tcPr>
            <w:tcW w:w="972" w:type="dxa"/>
            <w:shd w:val="clear" w:color="auto" w:fill="BFBFBF" w:themeFill="background1" w:themeFillShade="BF"/>
            <w:vAlign w:val="center"/>
          </w:tcPr>
          <w:p w14:paraId="470F8382" w14:textId="13934864" w:rsidR="00A64CE0" w:rsidRPr="00C45C86" w:rsidRDefault="00A64CE0" w:rsidP="00C45C86">
            <w:pPr>
              <w:spacing w:line="276" w:lineRule="auto"/>
              <w:jc w:val="center"/>
              <w:rPr>
                <w:b/>
                <w:bCs/>
              </w:rPr>
            </w:pPr>
            <w:r>
              <w:rPr>
                <w:b/>
                <w:bCs/>
              </w:rPr>
              <w:t>Exp(B)</w:t>
            </w:r>
          </w:p>
        </w:tc>
        <w:tc>
          <w:tcPr>
            <w:tcW w:w="3091" w:type="dxa"/>
            <w:shd w:val="clear" w:color="auto" w:fill="BFBFBF" w:themeFill="background1" w:themeFillShade="BF"/>
            <w:vAlign w:val="center"/>
          </w:tcPr>
          <w:p w14:paraId="3934FAFA" w14:textId="5BA62C17" w:rsidR="00A64CE0" w:rsidRPr="00C45C86" w:rsidRDefault="00A64CE0" w:rsidP="00C45C86">
            <w:pPr>
              <w:spacing w:line="276" w:lineRule="auto"/>
              <w:jc w:val="center"/>
              <w:rPr>
                <w:b/>
                <w:bCs/>
              </w:rPr>
            </w:pPr>
            <w:r w:rsidRPr="00C45C86">
              <w:rPr>
                <w:b/>
                <w:bCs/>
              </w:rPr>
              <w:t>95% CI</w:t>
            </w:r>
          </w:p>
        </w:tc>
      </w:tr>
      <w:tr w:rsidR="00A64CE0" w14:paraId="3CC30A97" w14:textId="0686107E" w:rsidTr="00A64CE0">
        <w:tc>
          <w:tcPr>
            <w:tcW w:w="3053" w:type="dxa"/>
            <w:vAlign w:val="center"/>
          </w:tcPr>
          <w:p w14:paraId="0115C378" w14:textId="241A2B9F" w:rsidR="00A64CE0" w:rsidRDefault="00A64CE0" w:rsidP="00C45C86">
            <w:pPr>
              <w:spacing w:line="276" w:lineRule="auto"/>
              <w:jc w:val="center"/>
            </w:pPr>
            <w:r>
              <w:t>Deciding on journal later</w:t>
            </w:r>
          </w:p>
        </w:tc>
        <w:tc>
          <w:tcPr>
            <w:tcW w:w="972" w:type="dxa"/>
            <w:vAlign w:val="center"/>
          </w:tcPr>
          <w:p w14:paraId="3AF87849" w14:textId="66A85216" w:rsidR="00A64CE0" w:rsidRDefault="00A64CE0" w:rsidP="00C45C86">
            <w:pPr>
              <w:spacing w:line="276" w:lineRule="auto"/>
              <w:jc w:val="center"/>
            </w:pPr>
            <w:r>
              <w:t>.77</w:t>
            </w:r>
          </w:p>
        </w:tc>
        <w:tc>
          <w:tcPr>
            <w:tcW w:w="3091" w:type="dxa"/>
            <w:vAlign w:val="center"/>
          </w:tcPr>
          <w:p w14:paraId="692B4A01" w14:textId="668D3E42" w:rsidR="00A64CE0" w:rsidRDefault="00A64CE0" w:rsidP="00C45C86">
            <w:pPr>
              <w:spacing w:line="276" w:lineRule="auto"/>
              <w:jc w:val="center"/>
            </w:pPr>
            <w:r>
              <w:t>.66 - .89</w:t>
            </w:r>
          </w:p>
        </w:tc>
      </w:tr>
      <w:tr w:rsidR="00A64CE0" w14:paraId="59975B0A" w14:textId="702C06EB" w:rsidTr="00A64CE0">
        <w:tc>
          <w:tcPr>
            <w:tcW w:w="3053" w:type="dxa"/>
            <w:vAlign w:val="center"/>
          </w:tcPr>
          <w:p w14:paraId="217A10DC" w14:textId="6B381665" w:rsidR="00A64CE0" w:rsidRDefault="00A64CE0" w:rsidP="00C45C86">
            <w:pPr>
              <w:spacing w:line="276" w:lineRule="auto"/>
              <w:jc w:val="center"/>
            </w:pPr>
            <w:r>
              <w:t>Prioritising editorial reputation</w:t>
            </w:r>
          </w:p>
        </w:tc>
        <w:tc>
          <w:tcPr>
            <w:tcW w:w="972" w:type="dxa"/>
            <w:vAlign w:val="center"/>
          </w:tcPr>
          <w:p w14:paraId="62E57EC5" w14:textId="54BBA36A" w:rsidR="00A64CE0" w:rsidRDefault="00A64CE0" w:rsidP="00C45C86">
            <w:pPr>
              <w:spacing w:line="276" w:lineRule="auto"/>
              <w:jc w:val="center"/>
            </w:pPr>
            <w:r>
              <w:t>n/s</w:t>
            </w:r>
          </w:p>
        </w:tc>
        <w:tc>
          <w:tcPr>
            <w:tcW w:w="3091" w:type="dxa"/>
            <w:vAlign w:val="center"/>
          </w:tcPr>
          <w:p w14:paraId="193D23E9" w14:textId="02450AA4" w:rsidR="00A64CE0" w:rsidRDefault="00A64CE0" w:rsidP="00C45C86">
            <w:pPr>
              <w:spacing w:line="276" w:lineRule="auto"/>
              <w:jc w:val="center"/>
            </w:pPr>
            <w:r>
              <w:t>-</w:t>
            </w:r>
          </w:p>
        </w:tc>
      </w:tr>
      <w:tr w:rsidR="00A64CE0" w14:paraId="4F22BC28" w14:textId="5D7E1CF0" w:rsidTr="00A64CE0">
        <w:tc>
          <w:tcPr>
            <w:tcW w:w="3053" w:type="dxa"/>
            <w:vAlign w:val="center"/>
          </w:tcPr>
          <w:p w14:paraId="1E8C6DB8" w14:textId="6277F8AA" w:rsidR="00A64CE0" w:rsidRDefault="00A64CE0" w:rsidP="00C45C86">
            <w:pPr>
              <w:spacing w:line="276" w:lineRule="auto"/>
              <w:jc w:val="center"/>
            </w:pPr>
            <w:r>
              <w:t>Prioritising speed of dissemination</w:t>
            </w:r>
          </w:p>
        </w:tc>
        <w:tc>
          <w:tcPr>
            <w:tcW w:w="972" w:type="dxa"/>
            <w:vAlign w:val="center"/>
          </w:tcPr>
          <w:p w14:paraId="0C59F294" w14:textId="539A5C04" w:rsidR="00A64CE0" w:rsidRDefault="00A64CE0" w:rsidP="00C45C86">
            <w:pPr>
              <w:spacing w:line="276" w:lineRule="auto"/>
              <w:jc w:val="center"/>
            </w:pPr>
            <w:r>
              <w:t>1.80</w:t>
            </w:r>
          </w:p>
        </w:tc>
        <w:tc>
          <w:tcPr>
            <w:tcW w:w="3091" w:type="dxa"/>
            <w:vAlign w:val="center"/>
          </w:tcPr>
          <w:p w14:paraId="71BBDD39" w14:textId="2ECBB3A8" w:rsidR="00A64CE0" w:rsidRDefault="00A64CE0" w:rsidP="00C45C86">
            <w:pPr>
              <w:spacing w:line="276" w:lineRule="auto"/>
              <w:jc w:val="center"/>
            </w:pPr>
            <w:r>
              <w:t>1.41 – 2.28</w:t>
            </w:r>
          </w:p>
        </w:tc>
      </w:tr>
      <w:tr w:rsidR="00A64CE0" w14:paraId="5A14165B" w14:textId="2C205489" w:rsidTr="00A64CE0">
        <w:tc>
          <w:tcPr>
            <w:tcW w:w="3053" w:type="dxa"/>
            <w:vAlign w:val="center"/>
          </w:tcPr>
          <w:p w14:paraId="02992C77" w14:textId="283518EA" w:rsidR="00A64CE0" w:rsidRDefault="00A64CE0" w:rsidP="00C45C86">
            <w:pPr>
              <w:spacing w:line="276" w:lineRule="auto"/>
              <w:jc w:val="center"/>
            </w:pPr>
            <w:r>
              <w:t>Prioritising fit</w:t>
            </w:r>
          </w:p>
        </w:tc>
        <w:tc>
          <w:tcPr>
            <w:tcW w:w="972" w:type="dxa"/>
            <w:vAlign w:val="center"/>
          </w:tcPr>
          <w:p w14:paraId="494B9437" w14:textId="57B8082D" w:rsidR="00A64CE0" w:rsidRDefault="00A64CE0" w:rsidP="00C45C86">
            <w:pPr>
              <w:spacing w:line="276" w:lineRule="auto"/>
              <w:jc w:val="center"/>
            </w:pPr>
            <w:r>
              <w:t>2.11</w:t>
            </w:r>
          </w:p>
        </w:tc>
        <w:tc>
          <w:tcPr>
            <w:tcW w:w="3091" w:type="dxa"/>
            <w:vAlign w:val="center"/>
          </w:tcPr>
          <w:p w14:paraId="7381EAA8" w14:textId="0F0EA447" w:rsidR="00A64CE0" w:rsidRDefault="00A64CE0" w:rsidP="00C45C86">
            <w:pPr>
              <w:spacing w:line="276" w:lineRule="auto"/>
              <w:jc w:val="center"/>
            </w:pPr>
            <w:r>
              <w:t>1.55 – 2.88</w:t>
            </w:r>
          </w:p>
        </w:tc>
      </w:tr>
      <w:tr w:rsidR="00A64CE0" w14:paraId="5A050461" w14:textId="6CD54AED" w:rsidTr="00A64CE0">
        <w:tc>
          <w:tcPr>
            <w:tcW w:w="3053" w:type="dxa"/>
            <w:vAlign w:val="center"/>
          </w:tcPr>
          <w:p w14:paraId="4FAA8D7B" w14:textId="28AFE040" w:rsidR="00A64CE0" w:rsidRDefault="00A64CE0" w:rsidP="00C45C86">
            <w:pPr>
              <w:spacing w:line="276" w:lineRule="auto"/>
              <w:jc w:val="center"/>
            </w:pPr>
            <w:r>
              <w:t>Prioritising impact</w:t>
            </w:r>
          </w:p>
        </w:tc>
        <w:tc>
          <w:tcPr>
            <w:tcW w:w="972" w:type="dxa"/>
            <w:vAlign w:val="center"/>
          </w:tcPr>
          <w:p w14:paraId="5D027B27" w14:textId="3FC0E98C" w:rsidR="00A64CE0" w:rsidRDefault="00A64CE0" w:rsidP="00C45C86">
            <w:pPr>
              <w:spacing w:line="276" w:lineRule="auto"/>
              <w:jc w:val="center"/>
            </w:pPr>
            <w:r>
              <w:t>.37</w:t>
            </w:r>
          </w:p>
        </w:tc>
        <w:tc>
          <w:tcPr>
            <w:tcW w:w="3091" w:type="dxa"/>
            <w:vAlign w:val="center"/>
          </w:tcPr>
          <w:p w14:paraId="433B6E58" w14:textId="4B26B390" w:rsidR="00A64CE0" w:rsidRDefault="00A64CE0" w:rsidP="00C45C86">
            <w:pPr>
              <w:spacing w:line="276" w:lineRule="auto"/>
              <w:jc w:val="center"/>
            </w:pPr>
            <w:r>
              <w:t>.28 - .49</w:t>
            </w:r>
          </w:p>
        </w:tc>
      </w:tr>
      <w:tr w:rsidR="00A64CE0" w14:paraId="1BCAEDD1" w14:textId="245B70BB" w:rsidTr="00A64CE0">
        <w:tc>
          <w:tcPr>
            <w:tcW w:w="3053" w:type="dxa"/>
            <w:vAlign w:val="center"/>
          </w:tcPr>
          <w:p w14:paraId="2AD4164E" w14:textId="57045F1F" w:rsidR="00A64CE0" w:rsidRDefault="00A64CE0" w:rsidP="00C45C86">
            <w:pPr>
              <w:spacing w:line="276" w:lineRule="auto"/>
              <w:jc w:val="center"/>
            </w:pPr>
            <w:r>
              <w:t>Prioritising guidance from others</w:t>
            </w:r>
          </w:p>
        </w:tc>
        <w:tc>
          <w:tcPr>
            <w:tcW w:w="972" w:type="dxa"/>
            <w:vAlign w:val="center"/>
          </w:tcPr>
          <w:p w14:paraId="2568699B" w14:textId="5C25422A" w:rsidR="00A64CE0" w:rsidRDefault="00A64CE0" w:rsidP="00C45C86">
            <w:pPr>
              <w:spacing w:line="276" w:lineRule="auto"/>
              <w:jc w:val="center"/>
            </w:pPr>
            <w:r>
              <w:t>n/s</w:t>
            </w:r>
          </w:p>
        </w:tc>
        <w:tc>
          <w:tcPr>
            <w:tcW w:w="3091" w:type="dxa"/>
            <w:vAlign w:val="center"/>
          </w:tcPr>
          <w:p w14:paraId="31A82CC9" w14:textId="25432A96" w:rsidR="00A64CE0" w:rsidRDefault="00A64CE0" w:rsidP="00C45C86">
            <w:pPr>
              <w:spacing w:line="276" w:lineRule="auto"/>
              <w:jc w:val="center"/>
            </w:pPr>
            <w:r>
              <w:t>-</w:t>
            </w:r>
          </w:p>
        </w:tc>
      </w:tr>
      <w:tr w:rsidR="00A64CE0" w14:paraId="6E661686" w14:textId="420D503D" w:rsidTr="00A64CE0">
        <w:tc>
          <w:tcPr>
            <w:tcW w:w="3053" w:type="dxa"/>
            <w:vAlign w:val="center"/>
          </w:tcPr>
          <w:p w14:paraId="1B471EF8" w14:textId="777F567E" w:rsidR="00A64CE0" w:rsidRDefault="00A64CE0" w:rsidP="00C45C86">
            <w:pPr>
              <w:spacing w:line="276" w:lineRule="auto"/>
              <w:jc w:val="center"/>
            </w:pPr>
            <w:r>
              <w:t>Prioritising breadth of dissemination</w:t>
            </w:r>
          </w:p>
        </w:tc>
        <w:tc>
          <w:tcPr>
            <w:tcW w:w="972" w:type="dxa"/>
            <w:vAlign w:val="center"/>
          </w:tcPr>
          <w:p w14:paraId="127BC90B" w14:textId="2EBE60E5" w:rsidR="00A64CE0" w:rsidRDefault="00A64CE0" w:rsidP="00C45C86">
            <w:pPr>
              <w:spacing w:line="276" w:lineRule="auto"/>
              <w:jc w:val="center"/>
            </w:pPr>
            <w:r>
              <w:t>n/s</w:t>
            </w:r>
          </w:p>
        </w:tc>
        <w:tc>
          <w:tcPr>
            <w:tcW w:w="3091" w:type="dxa"/>
            <w:vAlign w:val="center"/>
          </w:tcPr>
          <w:p w14:paraId="31DC6045" w14:textId="27F313FA" w:rsidR="00A64CE0" w:rsidRDefault="00A64CE0" w:rsidP="00C45C86">
            <w:pPr>
              <w:spacing w:line="276" w:lineRule="auto"/>
              <w:jc w:val="center"/>
            </w:pPr>
            <w:r>
              <w:t>-</w:t>
            </w:r>
          </w:p>
        </w:tc>
      </w:tr>
      <w:tr w:rsidR="00A64CE0" w14:paraId="13677AC1" w14:textId="4766CC12" w:rsidTr="00A64CE0">
        <w:tc>
          <w:tcPr>
            <w:tcW w:w="3053" w:type="dxa"/>
            <w:vAlign w:val="center"/>
          </w:tcPr>
          <w:p w14:paraId="7725BBF0" w14:textId="2EB73AA5" w:rsidR="00A64CE0" w:rsidRDefault="00A64CE0" w:rsidP="00C45C86">
            <w:pPr>
              <w:spacing w:line="276" w:lineRule="auto"/>
              <w:jc w:val="center"/>
            </w:pPr>
            <w:r>
              <w:t>Male gender</w:t>
            </w:r>
          </w:p>
        </w:tc>
        <w:tc>
          <w:tcPr>
            <w:tcW w:w="972" w:type="dxa"/>
            <w:vAlign w:val="center"/>
          </w:tcPr>
          <w:p w14:paraId="7DA7E137" w14:textId="510BE2A3" w:rsidR="00A64CE0" w:rsidRDefault="00A64CE0" w:rsidP="00C45C86">
            <w:pPr>
              <w:spacing w:line="276" w:lineRule="auto"/>
              <w:jc w:val="center"/>
            </w:pPr>
            <w:r>
              <w:t>n/s</w:t>
            </w:r>
          </w:p>
        </w:tc>
        <w:tc>
          <w:tcPr>
            <w:tcW w:w="3091" w:type="dxa"/>
            <w:vAlign w:val="center"/>
          </w:tcPr>
          <w:p w14:paraId="2C780513" w14:textId="4EDD3988" w:rsidR="00A64CE0" w:rsidRDefault="00A64CE0" w:rsidP="00C45C86">
            <w:pPr>
              <w:spacing w:line="276" w:lineRule="auto"/>
              <w:jc w:val="center"/>
            </w:pPr>
            <w:r>
              <w:t>-</w:t>
            </w:r>
          </w:p>
        </w:tc>
      </w:tr>
      <w:tr w:rsidR="00A64CE0" w14:paraId="1CCD937D" w14:textId="09D4FFB6" w:rsidTr="00A64CE0">
        <w:tc>
          <w:tcPr>
            <w:tcW w:w="3053" w:type="dxa"/>
            <w:vAlign w:val="center"/>
          </w:tcPr>
          <w:p w14:paraId="0EFF9D95" w14:textId="4009E35F" w:rsidR="00A64CE0" w:rsidRDefault="00A64CE0" w:rsidP="00C45C86">
            <w:pPr>
              <w:spacing w:line="276" w:lineRule="auto"/>
              <w:jc w:val="center"/>
            </w:pPr>
            <w:r>
              <w:t>Dominant country</w:t>
            </w:r>
          </w:p>
        </w:tc>
        <w:tc>
          <w:tcPr>
            <w:tcW w:w="972" w:type="dxa"/>
            <w:vAlign w:val="center"/>
          </w:tcPr>
          <w:p w14:paraId="7F4D1FBD" w14:textId="5475D3AB" w:rsidR="00A64CE0" w:rsidRDefault="00A64CE0" w:rsidP="00C45C86">
            <w:pPr>
              <w:spacing w:line="276" w:lineRule="auto"/>
              <w:jc w:val="center"/>
            </w:pPr>
            <w:r>
              <w:t>n/s</w:t>
            </w:r>
          </w:p>
        </w:tc>
        <w:tc>
          <w:tcPr>
            <w:tcW w:w="3091" w:type="dxa"/>
            <w:vAlign w:val="center"/>
          </w:tcPr>
          <w:p w14:paraId="4CC781DB" w14:textId="2D943153" w:rsidR="00A64CE0" w:rsidRDefault="00A64CE0" w:rsidP="00C45C86">
            <w:pPr>
              <w:spacing w:line="276" w:lineRule="auto"/>
              <w:jc w:val="center"/>
            </w:pPr>
            <w:r>
              <w:t>-</w:t>
            </w:r>
          </w:p>
        </w:tc>
      </w:tr>
      <w:tr w:rsidR="00A64CE0" w14:paraId="525D7301" w14:textId="37A4FD98" w:rsidTr="00A64CE0">
        <w:tc>
          <w:tcPr>
            <w:tcW w:w="3053" w:type="dxa"/>
            <w:vAlign w:val="center"/>
          </w:tcPr>
          <w:p w14:paraId="2E257D9C" w14:textId="46ECC6C7" w:rsidR="00A64CE0" w:rsidRDefault="00A64CE0" w:rsidP="00C45C86">
            <w:pPr>
              <w:spacing w:line="276" w:lineRule="auto"/>
              <w:jc w:val="center"/>
            </w:pPr>
            <w:r>
              <w:t>Career stage</w:t>
            </w:r>
          </w:p>
        </w:tc>
        <w:tc>
          <w:tcPr>
            <w:tcW w:w="972" w:type="dxa"/>
            <w:vAlign w:val="center"/>
          </w:tcPr>
          <w:p w14:paraId="6F50993F" w14:textId="3D94C713" w:rsidR="00A64CE0" w:rsidRDefault="00A64CE0" w:rsidP="00C45C86">
            <w:pPr>
              <w:spacing w:line="276" w:lineRule="auto"/>
              <w:jc w:val="center"/>
            </w:pPr>
            <w:r>
              <w:t>n/s</w:t>
            </w:r>
          </w:p>
        </w:tc>
        <w:tc>
          <w:tcPr>
            <w:tcW w:w="3091" w:type="dxa"/>
            <w:vAlign w:val="center"/>
          </w:tcPr>
          <w:p w14:paraId="0213F2FD" w14:textId="7130A8F0" w:rsidR="00A64CE0" w:rsidRDefault="00A64CE0" w:rsidP="00C45C86">
            <w:pPr>
              <w:spacing w:line="276" w:lineRule="auto"/>
              <w:jc w:val="center"/>
            </w:pPr>
            <w:r>
              <w:t>-</w:t>
            </w:r>
          </w:p>
        </w:tc>
      </w:tr>
    </w:tbl>
    <w:p w14:paraId="1E14431C" w14:textId="20E13163" w:rsidR="003614DB" w:rsidRDefault="00C45C86" w:rsidP="00AE5E92">
      <w:r>
        <w:t>n/s = not significant</w:t>
      </w:r>
    </w:p>
    <w:sectPr w:rsidR="003614DB" w:rsidSect="0052429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1B4E" w14:textId="77777777" w:rsidR="00024905" w:rsidRDefault="00024905" w:rsidP="006D6C24">
      <w:pPr>
        <w:spacing w:after="0" w:line="240" w:lineRule="auto"/>
      </w:pPr>
      <w:r>
        <w:separator/>
      </w:r>
    </w:p>
  </w:endnote>
  <w:endnote w:type="continuationSeparator" w:id="0">
    <w:p w14:paraId="20FE72FD" w14:textId="77777777" w:rsidR="00024905" w:rsidRDefault="00024905" w:rsidP="006D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Headings CS)">
    <w:altName w:val="Times New Roman"/>
    <w:panose1 w:val="020B06040202020202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5047074"/>
      <w:docPartObj>
        <w:docPartGallery w:val="Page Numbers (Bottom of Page)"/>
        <w:docPartUnique/>
      </w:docPartObj>
    </w:sdtPr>
    <w:sdtEndPr>
      <w:rPr>
        <w:rStyle w:val="PageNumber"/>
      </w:rPr>
    </w:sdtEndPr>
    <w:sdtContent>
      <w:p w14:paraId="66F6D4E5" w14:textId="3A5EB205" w:rsidR="00B84C9D" w:rsidRDefault="00B84C9D" w:rsidP="00B43E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DD684B" w14:textId="77777777" w:rsidR="00B84C9D" w:rsidRDefault="00B84C9D" w:rsidP="00B363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6101678"/>
      <w:docPartObj>
        <w:docPartGallery w:val="Page Numbers (Bottom of Page)"/>
        <w:docPartUnique/>
      </w:docPartObj>
    </w:sdtPr>
    <w:sdtEndPr>
      <w:rPr>
        <w:rStyle w:val="PageNumber"/>
      </w:rPr>
    </w:sdtEndPr>
    <w:sdtContent>
      <w:p w14:paraId="2BBA2669" w14:textId="21ED8F9B" w:rsidR="00B84C9D" w:rsidRDefault="00B84C9D" w:rsidP="00B43E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D5D96">
          <w:rPr>
            <w:rStyle w:val="PageNumber"/>
            <w:noProof/>
          </w:rPr>
          <w:t>1</w:t>
        </w:r>
        <w:r>
          <w:rPr>
            <w:rStyle w:val="PageNumber"/>
          </w:rPr>
          <w:fldChar w:fldCharType="end"/>
        </w:r>
      </w:p>
    </w:sdtContent>
  </w:sdt>
  <w:p w14:paraId="5A989C89" w14:textId="77777777" w:rsidR="00B84C9D" w:rsidRDefault="00B84C9D" w:rsidP="002656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EC5AE" w14:textId="77777777" w:rsidR="00024905" w:rsidRDefault="00024905" w:rsidP="006D6C24">
      <w:pPr>
        <w:spacing w:after="0" w:line="240" w:lineRule="auto"/>
      </w:pPr>
      <w:r>
        <w:separator/>
      </w:r>
    </w:p>
  </w:footnote>
  <w:footnote w:type="continuationSeparator" w:id="0">
    <w:p w14:paraId="00DE270A" w14:textId="77777777" w:rsidR="00024905" w:rsidRDefault="00024905" w:rsidP="006D6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11F6"/>
    <w:multiLevelType w:val="hybridMultilevel"/>
    <w:tmpl w:val="981C184A"/>
    <w:lvl w:ilvl="0" w:tplc="813ECADA">
      <w:start w:val="78"/>
      <w:numFmt w:val="bullet"/>
      <w:lvlText w:val=""/>
      <w:lvlJc w:val="left"/>
      <w:pPr>
        <w:ind w:left="420" w:hanging="360"/>
      </w:pPr>
      <w:rPr>
        <w:rFonts w:ascii="Symbol" w:eastAsiaTheme="minorHAnsi" w:hAnsi="Symbol"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0411455"/>
    <w:multiLevelType w:val="hybridMultilevel"/>
    <w:tmpl w:val="E1483988"/>
    <w:lvl w:ilvl="0" w:tplc="5B94D312">
      <w:start w:val="78"/>
      <w:numFmt w:val="bullet"/>
      <w:lvlText w:val="-"/>
      <w:lvlJc w:val="left"/>
      <w:pPr>
        <w:ind w:left="420" w:hanging="360"/>
      </w:pPr>
      <w:rPr>
        <w:rFonts w:ascii="Garamond" w:eastAsiaTheme="minorHAnsi" w:hAnsi="Garamond"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21737CF9"/>
    <w:multiLevelType w:val="hybridMultilevel"/>
    <w:tmpl w:val="7986B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A33912"/>
    <w:multiLevelType w:val="multilevel"/>
    <w:tmpl w:val="22403A44"/>
    <w:lvl w:ilvl="0">
      <w:start w:val="1"/>
      <w:numFmt w:val="decimal"/>
      <w:pStyle w:val="Heading1"/>
      <w:lvlText w:val="%1"/>
      <w:lvlJc w:val="left"/>
      <w:pPr>
        <w:ind w:left="432" w:hanging="432"/>
      </w:pPr>
    </w:lvl>
    <w:lvl w:ilvl="1">
      <w:start w:val="1"/>
      <w:numFmt w:val="decimal"/>
      <w:pStyle w:val="Heading2"/>
      <w:lvlText w:val="%1.%2"/>
      <w:lvlJc w:val="left"/>
      <w:pPr>
        <w:ind w:left="171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7001426"/>
    <w:multiLevelType w:val="hybridMultilevel"/>
    <w:tmpl w:val="AC1E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B877C4"/>
    <w:multiLevelType w:val="hybridMultilevel"/>
    <w:tmpl w:val="2CBA4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C0418F"/>
    <w:multiLevelType w:val="hybridMultilevel"/>
    <w:tmpl w:val="F6E681B8"/>
    <w:lvl w:ilvl="0" w:tplc="29CA9E22">
      <w:start w:val="7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2563832"/>
    <w:multiLevelType w:val="hybridMultilevel"/>
    <w:tmpl w:val="E118018E"/>
    <w:lvl w:ilvl="0" w:tplc="A80EA31C">
      <w:start w:val="78"/>
      <w:numFmt w:val="bullet"/>
      <w:lvlText w:val=""/>
      <w:lvlJc w:val="left"/>
      <w:pPr>
        <w:ind w:left="420" w:hanging="360"/>
      </w:pPr>
      <w:rPr>
        <w:rFonts w:ascii="Symbol" w:eastAsiaTheme="minorHAnsi" w:hAnsi="Symbol"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783F6B1B"/>
    <w:multiLevelType w:val="hybridMultilevel"/>
    <w:tmpl w:val="9656EAA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7F4084"/>
    <w:multiLevelType w:val="hybridMultilevel"/>
    <w:tmpl w:val="E4229EDA"/>
    <w:lvl w:ilvl="0" w:tplc="3680350E">
      <w:start w:val="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AA165B"/>
    <w:multiLevelType w:val="hybridMultilevel"/>
    <w:tmpl w:val="75AA75FC"/>
    <w:lvl w:ilvl="0" w:tplc="0680B1DA">
      <w:start w:val="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BE1E8D"/>
    <w:multiLevelType w:val="hybridMultilevel"/>
    <w:tmpl w:val="F5FED040"/>
    <w:lvl w:ilvl="0" w:tplc="D150A406">
      <w:start w:val="1"/>
      <w:numFmt w:val="decimal"/>
      <w:lvlText w:val="R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3"/>
  </w:num>
  <w:num w:numId="5">
    <w:abstractNumId w:val="1"/>
  </w:num>
  <w:num w:numId="6">
    <w:abstractNumId w:val="8"/>
  </w:num>
  <w:num w:numId="7">
    <w:abstractNumId w:val="2"/>
  </w:num>
  <w:num w:numId="8">
    <w:abstractNumId w:val="10"/>
  </w:num>
  <w:num w:numId="9">
    <w:abstractNumId w:val="9"/>
  </w:num>
  <w:num w:numId="10">
    <w:abstractNumId w:val="6"/>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C7C"/>
    <w:rsid w:val="00000632"/>
    <w:rsid w:val="000014FD"/>
    <w:rsid w:val="00002005"/>
    <w:rsid w:val="00003D3C"/>
    <w:rsid w:val="00005250"/>
    <w:rsid w:val="000052FB"/>
    <w:rsid w:val="000060AA"/>
    <w:rsid w:val="0000687F"/>
    <w:rsid w:val="0001228C"/>
    <w:rsid w:val="000147E8"/>
    <w:rsid w:val="00014C1B"/>
    <w:rsid w:val="00015709"/>
    <w:rsid w:val="00015DFC"/>
    <w:rsid w:val="00016A99"/>
    <w:rsid w:val="00020D28"/>
    <w:rsid w:val="00022933"/>
    <w:rsid w:val="000233FD"/>
    <w:rsid w:val="000243F3"/>
    <w:rsid w:val="00024905"/>
    <w:rsid w:val="00026B3F"/>
    <w:rsid w:val="000327BA"/>
    <w:rsid w:val="00032DFA"/>
    <w:rsid w:val="00034C26"/>
    <w:rsid w:val="00035DD6"/>
    <w:rsid w:val="00041CD5"/>
    <w:rsid w:val="00043099"/>
    <w:rsid w:val="0004418E"/>
    <w:rsid w:val="000441B3"/>
    <w:rsid w:val="000446E0"/>
    <w:rsid w:val="000449FD"/>
    <w:rsid w:val="0004575C"/>
    <w:rsid w:val="00047327"/>
    <w:rsid w:val="00050822"/>
    <w:rsid w:val="000522BF"/>
    <w:rsid w:val="00052672"/>
    <w:rsid w:val="00053C28"/>
    <w:rsid w:val="00055B29"/>
    <w:rsid w:val="0006112E"/>
    <w:rsid w:val="0006491C"/>
    <w:rsid w:val="00070280"/>
    <w:rsid w:val="00072164"/>
    <w:rsid w:val="00072AE5"/>
    <w:rsid w:val="00073B71"/>
    <w:rsid w:val="00077F00"/>
    <w:rsid w:val="0008308F"/>
    <w:rsid w:val="00083A35"/>
    <w:rsid w:val="0008563D"/>
    <w:rsid w:val="000856A7"/>
    <w:rsid w:val="00086DEC"/>
    <w:rsid w:val="000903CA"/>
    <w:rsid w:val="00092A3E"/>
    <w:rsid w:val="00095D7C"/>
    <w:rsid w:val="000962F8"/>
    <w:rsid w:val="000966BA"/>
    <w:rsid w:val="00096923"/>
    <w:rsid w:val="000971E2"/>
    <w:rsid w:val="00097E7B"/>
    <w:rsid w:val="000A15FE"/>
    <w:rsid w:val="000A17AF"/>
    <w:rsid w:val="000A3834"/>
    <w:rsid w:val="000A5E9B"/>
    <w:rsid w:val="000A7C9A"/>
    <w:rsid w:val="000B0044"/>
    <w:rsid w:val="000B0A86"/>
    <w:rsid w:val="000B1860"/>
    <w:rsid w:val="000B2493"/>
    <w:rsid w:val="000B2C04"/>
    <w:rsid w:val="000B4360"/>
    <w:rsid w:val="000B513A"/>
    <w:rsid w:val="000B74DD"/>
    <w:rsid w:val="000C2A6D"/>
    <w:rsid w:val="000C37ED"/>
    <w:rsid w:val="000C5835"/>
    <w:rsid w:val="000C6D76"/>
    <w:rsid w:val="000C7F2E"/>
    <w:rsid w:val="000D005B"/>
    <w:rsid w:val="000D01D2"/>
    <w:rsid w:val="000D0333"/>
    <w:rsid w:val="000D3835"/>
    <w:rsid w:val="000D4B47"/>
    <w:rsid w:val="000D5372"/>
    <w:rsid w:val="000D5AA8"/>
    <w:rsid w:val="000D7A53"/>
    <w:rsid w:val="000E0371"/>
    <w:rsid w:val="000E066A"/>
    <w:rsid w:val="000E7384"/>
    <w:rsid w:val="000E7F5F"/>
    <w:rsid w:val="000F1F90"/>
    <w:rsid w:val="000F308D"/>
    <w:rsid w:val="000F3A68"/>
    <w:rsid w:val="000F643F"/>
    <w:rsid w:val="00104BB7"/>
    <w:rsid w:val="0010618A"/>
    <w:rsid w:val="00106951"/>
    <w:rsid w:val="001079B0"/>
    <w:rsid w:val="00107A60"/>
    <w:rsid w:val="001108A3"/>
    <w:rsid w:val="00112609"/>
    <w:rsid w:val="00114C62"/>
    <w:rsid w:val="00115567"/>
    <w:rsid w:val="001157D1"/>
    <w:rsid w:val="00115DC9"/>
    <w:rsid w:val="00116F87"/>
    <w:rsid w:val="00117DF4"/>
    <w:rsid w:val="00120594"/>
    <w:rsid w:val="00120B75"/>
    <w:rsid w:val="00121234"/>
    <w:rsid w:val="0012189C"/>
    <w:rsid w:val="00123C40"/>
    <w:rsid w:val="00123E5B"/>
    <w:rsid w:val="00127751"/>
    <w:rsid w:val="001306E9"/>
    <w:rsid w:val="00130C96"/>
    <w:rsid w:val="00134C31"/>
    <w:rsid w:val="00135643"/>
    <w:rsid w:val="00136850"/>
    <w:rsid w:val="00136C65"/>
    <w:rsid w:val="001406D8"/>
    <w:rsid w:val="0014233D"/>
    <w:rsid w:val="00142FE3"/>
    <w:rsid w:val="0014329D"/>
    <w:rsid w:val="00143329"/>
    <w:rsid w:val="00144FAE"/>
    <w:rsid w:val="0014515B"/>
    <w:rsid w:val="00146025"/>
    <w:rsid w:val="001503C6"/>
    <w:rsid w:val="001508E8"/>
    <w:rsid w:val="00151523"/>
    <w:rsid w:val="00152161"/>
    <w:rsid w:val="00152596"/>
    <w:rsid w:val="00153848"/>
    <w:rsid w:val="00160E18"/>
    <w:rsid w:val="00162479"/>
    <w:rsid w:val="0016733C"/>
    <w:rsid w:val="00167870"/>
    <w:rsid w:val="00167919"/>
    <w:rsid w:val="00171515"/>
    <w:rsid w:val="001718A6"/>
    <w:rsid w:val="001718AF"/>
    <w:rsid w:val="00172283"/>
    <w:rsid w:val="001725E2"/>
    <w:rsid w:val="00173D69"/>
    <w:rsid w:val="00175D88"/>
    <w:rsid w:val="001760E8"/>
    <w:rsid w:val="00180BD1"/>
    <w:rsid w:val="0018101E"/>
    <w:rsid w:val="00182107"/>
    <w:rsid w:val="00182CD2"/>
    <w:rsid w:val="0018433A"/>
    <w:rsid w:val="00184A26"/>
    <w:rsid w:val="00187A92"/>
    <w:rsid w:val="00187F64"/>
    <w:rsid w:val="00194405"/>
    <w:rsid w:val="0019553A"/>
    <w:rsid w:val="0019593B"/>
    <w:rsid w:val="00196C7F"/>
    <w:rsid w:val="001A1855"/>
    <w:rsid w:val="001A2B1A"/>
    <w:rsid w:val="001A59FA"/>
    <w:rsid w:val="001A6270"/>
    <w:rsid w:val="001A7798"/>
    <w:rsid w:val="001A7C8B"/>
    <w:rsid w:val="001B0B4B"/>
    <w:rsid w:val="001B2A1F"/>
    <w:rsid w:val="001B35B3"/>
    <w:rsid w:val="001B43B0"/>
    <w:rsid w:val="001B6E4D"/>
    <w:rsid w:val="001C391F"/>
    <w:rsid w:val="001C5AB3"/>
    <w:rsid w:val="001C68EF"/>
    <w:rsid w:val="001C6F42"/>
    <w:rsid w:val="001C72CB"/>
    <w:rsid w:val="001D0F0F"/>
    <w:rsid w:val="001D0F46"/>
    <w:rsid w:val="001D19C0"/>
    <w:rsid w:val="001D1F2F"/>
    <w:rsid w:val="001D2CC0"/>
    <w:rsid w:val="001D4BA0"/>
    <w:rsid w:val="001D56DE"/>
    <w:rsid w:val="001D5DBE"/>
    <w:rsid w:val="001D5FAD"/>
    <w:rsid w:val="001E013C"/>
    <w:rsid w:val="001E11C2"/>
    <w:rsid w:val="001E1ABE"/>
    <w:rsid w:val="001E1EF3"/>
    <w:rsid w:val="001E2070"/>
    <w:rsid w:val="001E4F59"/>
    <w:rsid w:val="001F024F"/>
    <w:rsid w:val="001F3D61"/>
    <w:rsid w:val="001F5CEF"/>
    <w:rsid w:val="001F60DF"/>
    <w:rsid w:val="00201B6C"/>
    <w:rsid w:val="00204EA3"/>
    <w:rsid w:val="002074E9"/>
    <w:rsid w:val="002078C1"/>
    <w:rsid w:val="0021252D"/>
    <w:rsid w:val="00213804"/>
    <w:rsid w:val="0021382C"/>
    <w:rsid w:val="00213833"/>
    <w:rsid w:val="0021538A"/>
    <w:rsid w:val="00215689"/>
    <w:rsid w:val="00215759"/>
    <w:rsid w:val="00215DDA"/>
    <w:rsid w:val="00216221"/>
    <w:rsid w:val="002170A2"/>
    <w:rsid w:val="00217193"/>
    <w:rsid w:val="00217728"/>
    <w:rsid w:val="00220C24"/>
    <w:rsid w:val="00222003"/>
    <w:rsid w:val="0022259E"/>
    <w:rsid w:val="0023075F"/>
    <w:rsid w:val="00230EDC"/>
    <w:rsid w:val="0023299F"/>
    <w:rsid w:val="002333AF"/>
    <w:rsid w:val="002342F1"/>
    <w:rsid w:val="00236591"/>
    <w:rsid w:val="00240AC4"/>
    <w:rsid w:val="00240EBB"/>
    <w:rsid w:val="00247D7E"/>
    <w:rsid w:val="0025049A"/>
    <w:rsid w:val="00255397"/>
    <w:rsid w:val="00255735"/>
    <w:rsid w:val="002568DF"/>
    <w:rsid w:val="00261BDD"/>
    <w:rsid w:val="00263B90"/>
    <w:rsid w:val="00265653"/>
    <w:rsid w:val="00267B83"/>
    <w:rsid w:val="00270F03"/>
    <w:rsid w:val="00273C4B"/>
    <w:rsid w:val="00274917"/>
    <w:rsid w:val="00275E52"/>
    <w:rsid w:val="00280009"/>
    <w:rsid w:val="00280079"/>
    <w:rsid w:val="002823FC"/>
    <w:rsid w:val="00284F69"/>
    <w:rsid w:val="00285653"/>
    <w:rsid w:val="0028762E"/>
    <w:rsid w:val="0029030D"/>
    <w:rsid w:val="00290561"/>
    <w:rsid w:val="00292128"/>
    <w:rsid w:val="002939E0"/>
    <w:rsid w:val="002A464C"/>
    <w:rsid w:val="002A77D1"/>
    <w:rsid w:val="002B0537"/>
    <w:rsid w:val="002B0907"/>
    <w:rsid w:val="002B1F6B"/>
    <w:rsid w:val="002B3330"/>
    <w:rsid w:val="002B3510"/>
    <w:rsid w:val="002B39AD"/>
    <w:rsid w:val="002B50D5"/>
    <w:rsid w:val="002B7D71"/>
    <w:rsid w:val="002C07C1"/>
    <w:rsid w:val="002C2583"/>
    <w:rsid w:val="002C26E3"/>
    <w:rsid w:val="002C3888"/>
    <w:rsid w:val="002C3AC7"/>
    <w:rsid w:val="002C5105"/>
    <w:rsid w:val="002D1016"/>
    <w:rsid w:val="002D63AA"/>
    <w:rsid w:val="002D6BF5"/>
    <w:rsid w:val="002E08B3"/>
    <w:rsid w:val="002E3BD9"/>
    <w:rsid w:val="002E46D1"/>
    <w:rsid w:val="002E60D1"/>
    <w:rsid w:val="002E64D7"/>
    <w:rsid w:val="002F1791"/>
    <w:rsid w:val="002F258E"/>
    <w:rsid w:val="002F2C49"/>
    <w:rsid w:val="002F44F2"/>
    <w:rsid w:val="002F4F54"/>
    <w:rsid w:val="003016C3"/>
    <w:rsid w:val="00301FA0"/>
    <w:rsid w:val="00304614"/>
    <w:rsid w:val="0031255D"/>
    <w:rsid w:val="00313087"/>
    <w:rsid w:val="0031336C"/>
    <w:rsid w:val="0032014A"/>
    <w:rsid w:val="00321BD6"/>
    <w:rsid w:val="00321DFE"/>
    <w:rsid w:val="00323A9C"/>
    <w:rsid w:val="0032437D"/>
    <w:rsid w:val="00325539"/>
    <w:rsid w:val="00330785"/>
    <w:rsid w:val="00330841"/>
    <w:rsid w:val="003310BD"/>
    <w:rsid w:val="003317B2"/>
    <w:rsid w:val="00331A5E"/>
    <w:rsid w:val="00340041"/>
    <w:rsid w:val="00340520"/>
    <w:rsid w:val="00342063"/>
    <w:rsid w:val="00342CA2"/>
    <w:rsid w:val="00347489"/>
    <w:rsid w:val="0035040D"/>
    <w:rsid w:val="003506F0"/>
    <w:rsid w:val="00351890"/>
    <w:rsid w:val="00351FAE"/>
    <w:rsid w:val="00352226"/>
    <w:rsid w:val="0035468C"/>
    <w:rsid w:val="0035494D"/>
    <w:rsid w:val="003572F3"/>
    <w:rsid w:val="00357C23"/>
    <w:rsid w:val="003604C4"/>
    <w:rsid w:val="003614DB"/>
    <w:rsid w:val="00366103"/>
    <w:rsid w:val="00372633"/>
    <w:rsid w:val="0037293E"/>
    <w:rsid w:val="00372C1A"/>
    <w:rsid w:val="00375544"/>
    <w:rsid w:val="00377558"/>
    <w:rsid w:val="00380CC0"/>
    <w:rsid w:val="00382ADE"/>
    <w:rsid w:val="00383242"/>
    <w:rsid w:val="003836C9"/>
    <w:rsid w:val="00383AB0"/>
    <w:rsid w:val="00384386"/>
    <w:rsid w:val="003926AE"/>
    <w:rsid w:val="0039361C"/>
    <w:rsid w:val="0039487D"/>
    <w:rsid w:val="0039559A"/>
    <w:rsid w:val="003969AB"/>
    <w:rsid w:val="003973E6"/>
    <w:rsid w:val="0039747D"/>
    <w:rsid w:val="003A23E2"/>
    <w:rsid w:val="003A4ACB"/>
    <w:rsid w:val="003A6E67"/>
    <w:rsid w:val="003B0633"/>
    <w:rsid w:val="003B0701"/>
    <w:rsid w:val="003B1D00"/>
    <w:rsid w:val="003B2CB1"/>
    <w:rsid w:val="003B5A5F"/>
    <w:rsid w:val="003B5E46"/>
    <w:rsid w:val="003B6DBC"/>
    <w:rsid w:val="003B7DCB"/>
    <w:rsid w:val="003C3A98"/>
    <w:rsid w:val="003C6A0C"/>
    <w:rsid w:val="003D3EC4"/>
    <w:rsid w:val="003D47E7"/>
    <w:rsid w:val="003D4C0D"/>
    <w:rsid w:val="003D5B98"/>
    <w:rsid w:val="003D6B25"/>
    <w:rsid w:val="003D6F56"/>
    <w:rsid w:val="003E2038"/>
    <w:rsid w:val="003E244F"/>
    <w:rsid w:val="003E2871"/>
    <w:rsid w:val="003E28A3"/>
    <w:rsid w:val="003E3B16"/>
    <w:rsid w:val="003E4143"/>
    <w:rsid w:val="003E6143"/>
    <w:rsid w:val="003E7943"/>
    <w:rsid w:val="003F13FF"/>
    <w:rsid w:val="003F1908"/>
    <w:rsid w:val="003F2D4A"/>
    <w:rsid w:val="003F2D71"/>
    <w:rsid w:val="003F5416"/>
    <w:rsid w:val="003F5CEF"/>
    <w:rsid w:val="003F6197"/>
    <w:rsid w:val="003F6410"/>
    <w:rsid w:val="003F70F4"/>
    <w:rsid w:val="003F74D2"/>
    <w:rsid w:val="00401189"/>
    <w:rsid w:val="00401229"/>
    <w:rsid w:val="00401EF8"/>
    <w:rsid w:val="004028C2"/>
    <w:rsid w:val="00406EBE"/>
    <w:rsid w:val="00407349"/>
    <w:rsid w:val="004108DC"/>
    <w:rsid w:val="004126C6"/>
    <w:rsid w:val="00413B6E"/>
    <w:rsid w:val="00415A14"/>
    <w:rsid w:val="0041681C"/>
    <w:rsid w:val="00420120"/>
    <w:rsid w:val="00420BCA"/>
    <w:rsid w:val="00421B9A"/>
    <w:rsid w:val="00421D9D"/>
    <w:rsid w:val="00421FE3"/>
    <w:rsid w:val="0042534F"/>
    <w:rsid w:val="0042597F"/>
    <w:rsid w:val="00426E79"/>
    <w:rsid w:val="0043191E"/>
    <w:rsid w:val="0043778F"/>
    <w:rsid w:val="00437FC8"/>
    <w:rsid w:val="004431AD"/>
    <w:rsid w:val="00443EBD"/>
    <w:rsid w:val="0044441A"/>
    <w:rsid w:val="004448EA"/>
    <w:rsid w:val="0044491F"/>
    <w:rsid w:val="00444D72"/>
    <w:rsid w:val="004502BC"/>
    <w:rsid w:val="004530C7"/>
    <w:rsid w:val="00453139"/>
    <w:rsid w:val="0045347D"/>
    <w:rsid w:val="0045403D"/>
    <w:rsid w:val="004551BF"/>
    <w:rsid w:val="004620F5"/>
    <w:rsid w:val="004629A7"/>
    <w:rsid w:val="00464EC8"/>
    <w:rsid w:val="0046502C"/>
    <w:rsid w:val="004660B1"/>
    <w:rsid w:val="004671D1"/>
    <w:rsid w:val="0047185D"/>
    <w:rsid w:val="00472096"/>
    <w:rsid w:val="00472FF0"/>
    <w:rsid w:val="0047432B"/>
    <w:rsid w:val="00474913"/>
    <w:rsid w:val="0047745E"/>
    <w:rsid w:val="0047781F"/>
    <w:rsid w:val="00481962"/>
    <w:rsid w:val="00485987"/>
    <w:rsid w:val="00485A40"/>
    <w:rsid w:val="00486D9C"/>
    <w:rsid w:val="00487B26"/>
    <w:rsid w:val="00490126"/>
    <w:rsid w:val="00491070"/>
    <w:rsid w:val="00491310"/>
    <w:rsid w:val="00495C74"/>
    <w:rsid w:val="00495FB7"/>
    <w:rsid w:val="00496DB1"/>
    <w:rsid w:val="00497C91"/>
    <w:rsid w:val="004A103F"/>
    <w:rsid w:val="004A243A"/>
    <w:rsid w:val="004A489A"/>
    <w:rsid w:val="004B0697"/>
    <w:rsid w:val="004B0DAB"/>
    <w:rsid w:val="004B1055"/>
    <w:rsid w:val="004B1345"/>
    <w:rsid w:val="004B25E9"/>
    <w:rsid w:val="004B41F6"/>
    <w:rsid w:val="004B49D7"/>
    <w:rsid w:val="004B570D"/>
    <w:rsid w:val="004B7ED1"/>
    <w:rsid w:val="004C0D3A"/>
    <w:rsid w:val="004C0EDF"/>
    <w:rsid w:val="004C3BF9"/>
    <w:rsid w:val="004C3D1A"/>
    <w:rsid w:val="004C5653"/>
    <w:rsid w:val="004C6E7D"/>
    <w:rsid w:val="004C7BBC"/>
    <w:rsid w:val="004D034E"/>
    <w:rsid w:val="004D36D8"/>
    <w:rsid w:val="004D3D42"/>
    <w:rsid w:val="004D4557"/>
    <w:rsid w:val="004D5080"/>
    <w:rsid w:val="004D55D6"/>
    <w:rsid w:val="004E0E55"/>
    <w:rsid w:val="004E3409"/>
    <w:rsid w:val="004E399E"/>
    <w:rsid w:val="004E4F7A"/>
    <w:rsid w:val="004E7DA3"/>
    <w:rsid w:val="004E7FA7"/>
    <w:rsid w:val="004F0BA9"/>
    <w:rsid w:val="004F4CF5"/>
    <w:rsid w:val="00500197"/>
    <w:rsid w:val="005003D6"/>
    <w:rsid w:val="0050083E"/>
    <w:rsid w:val="00506AC3"/>
    <w:rsid w:val="00511616"/>
    <w:rsid w:val="00511B50"/>
    <w:rsid w:val="0051521D"/>
    <w:rsid w:val="00515434"/>
    <w:rsid w:val="005160DE"/>
    <w:rsid w:val="00524297"/>
    <w:rsid w:val="0052447A"/>
    <w:rsid w:val="005244DA"/>
    <w:rsid w:val="0052488A"/>
    <w:rsid w:val="00525AAD"/>
    <w:rsid w:val="005264F2"/>
    <w:rsid w:val="00526A92"/>
    <w:rsid w:val="00531C1C"/>
    <w:rsid w:val="00533140"/>
    <w:rsid w:val="00541C3A"/>
    <w:rsid w:val="00543024"/>
    <w:rsid w:val="00544B16"/>
    <w:rsid w:val="0054626F"/>
    <w:rsid w:val="005477F0"/>
    <w:rsid w:val="00547DD2"/>
    <w:rsid w:val="005524C0"/>
    <w:rsid w:val="00552BE6"/>
    <w:rsid w:val="00553BB4"/>
    <w:rsid w:val="00553FDC"/>
    <w:rsid w:val="00554AD2"/>
    <w:rsid w:val="00560DA9"/>
    <w:rsid w:val="00560E2D"/>
    <w:rsid w:val="00563BB1"/>
    <w:rsid w:val="00565491"/>
    <w:rsid w:val="005714CA"/>
    <w:rsid w:val="00571B1A"/>
    <w:rsid w:val="00571C1D"/>
    <w:rsid w:val="00571F7B"/>
    <w:rsid w:val="00573C33"/>
    <w:rsid w:val="00574997"/>
    <w:rsid w:val="00575BB8"/>
    <w:rsid w:val="0057629B"/>
    <w:rsid w:val="00576552"/>
    <w:rsid w:val="00581BF1"/>
    <w:rsid w:val="00581DE7"/>
    <w:rsid w:val="005825A7"/>
    <w:rsid w:val="00586D04"/>
    <w:rsid w:val="00586D9C"/>
    <w:rsid w:val="00591BDC"/>
    <w:rsid w:val="00591DE7"/>
    <w:rsid w:val="00591E79"/>
    <w:rsid w:val="00593D5B"/>
    <w:rsid w:val="005959AD"/>
    <w:rsid w:val="00596BBB"/>
    <w:rsid w:val="00596DC2"/>
    <w:rsid w:val="005974C2"/>
    <w:rsid w:val="00597FDA"/>
    <w:rsid w:val="005A3C9B"/>
    <w:rsid w:val="005A50B5"/>
    <w:rsid w:val="005A6F94"/>
    <w:rsid w:val="005B02D0"/>
    <w:rsid w:val="005B0DA1"/>
    <w:rsid w:val="005B1396"/>
    <w:rsid w:val="005B2A20"/>
    <w:rsid w:val="005B487A"/>
    <w:rsid w:val="005C1A7B"/>
    <w:rsid w:val="005C2888"/>
    <w:rsid w:val="005C2FA1"/>
    <w:rsid w:val="005D024D"/>
    <w:rsid w:val="005D1137"/>
    <w:rsid w:val="005D1C8E"/>
    <w:rsid w:val="005D3936"/>
    <w:rsid w:val="005D58A7"/>
    <w:rsid w:val="005D5C02"/>
    <w:rsid w:val="005D602C"/>
    <w:rsid w:val="005D6B05"/>
    <w:rsid w:val="005E1243"/>
    <w:rsid w:val="005E2618"/>
    <w:rsid w:val="005E2DD4"/>
    <w:rsid w:val="005E471B"/>
    <w:rsid w:val="005E4FF2"/>
    <w:rsid w:val="005F101E"/>
    <w:rsid w:val="005F112E"/>
    <w:rsid w:val="005F40CE"/>
    <w:rsid w:val="005F4DD3"/>
    <w:rsid w:val="005F5598"/>
    <w:rsid w:val="005F65A9"/>
    <w:rsid w:val="0060054E"/>
    <w:rsid w:val="00600DC0"/>
    <w:rsid w:val="00602517"/>
    <w:rsid w:val="00603D62"/>
    <w:rsid w:val="00606728"/>
    <w:rsid w:val="00607D53"/>
    <w:rsid w:val="00610642"/>
    <w:rsid w:val="00610DD9"/>
    <w:rsid w:val="006120A6"/>
    <w:rsid w:val="006122C6"/>
    <w:rsid w:val="0061403F"/>
    <w:rsid w:val="00614F55"/>
    <w:rsid w:val="006150BB"/>
    <w:rsid w:val="00616A88"/>
    <w:rsid w:val="00620D18"/>
    <w:rsid w:val="006214D3"/>
    <w:rsid w:val="00622EAF"/>
    <w:rsid w:val="00625210"/>
    <w:rsid w:val="00626869"/>
    <w:rsid w:val="00627ADC"/>
    <w:rsid w:val="00630ACB"/>
    <w:rsid w:val="00631D48"/>
    <w:rsid w:val="00632964"/>
    <w:rsid w:val="006333F3"/>
    <w:rsid w:val="006336FC"/>
    <w:rsid w:val="00635AE9"/>
    <w:rsid w:val="00636840"/>
    <w:rsid w:val="00637378"/>
    <w:rsid w:val="006374C5"/>
    <w:rsid w:val="006379E1"/>
    <w:rsid w:val="00637A59"/>
    <w:rsid w:val="00644DB2"/>
    <w:rsid w:val="00645E7B"/>
    <w:rsid w:val="006467A2"/>
    <w:rsid w:val="00650FA3"/>
    <w:rsid w:val="00651793"/>
    <w:rsid w:val="00651A01"/>
    <w:rsid w:val="006524F7"/>
    <w:rsid w:val="00652E2F"/>
    <w:rsid w:val="00653056"/>
    <w:rsid w:val="0065308E"/>
    <w:rsid w:val="00656CAA"/>
    <w:rsid w:val="00656E45"/>
    <w:rsid w:val="0065733E"/>
    <w:rsid w:val="00663885"/>
    <w:rsid w:val="00663C83"/>
    <w:rsid w:val="00664861"/>
    <w:rsid w:val="00664956"/>
    <w:rsid w:val="00665F67"/>
    <w:rsid w:val="00666E85"/>
    <w:rsid w:val="006719B1"/>
    <w:rsid w:val="00672060"/>
    <w:rsid w:val="00674A7B"/>
    <w:rsid w:val="00677256"/>
    <w:rsid w:val="006810F0"/>
    <w:rsid w:val="00685320"/>
    <w:rsid w:val="00687E40"/>
    <w:rsid w:val="00690341"/>
    <w:rsid w:val="00692CF3"/>
    <w:rsid w:val="00695735"/>
    <w:rsid w:val="00695E76"/>
    <w:rsid w:val="00696E81"/>
    <w:rsid w:val="006A02B8"/>
    <w:rsid w:val="006A26EB"/>
    <w:rsid w:val="006A5723"/>
    <w:rsid w:val="006A5CED"/>
    <w:rsid w:val="006A6139"/>
    <w:rsid w:val="006A7D95"/>
    <w:rsid w:val="006B011C"/>
    <w:rsid w:val="006B2983"/>
    <w:rsid w:val="006B2E90"/>
    <w:rsid w:val="006B37E5"/>
    <w:rsid w:val="006B3ECE"/>
    <w:rsid w:val="006B7F33"/>
    <w:rsid w:val="006C34BD"/>
    <w:rsid w:val="006C7C94"/>
    <w:rsid w:val="006D01D3"/>
    <w:rsid w:val="006D0324"/>
    <w:rsid w:val="006D03E9"/>
    <w:rsid w:val="006D1A8D"/>
    <w:rsid w:val="006D2424"/>
    <w:rsid w:val="006D2BE2"/>
    <w:rsid w:val="006D4B00"/>
    <w:rsid w:val="006D6564"/>
    <w:rsid w:val="006D6C24"/>
    <w:rsid w:val="006D7478"/>
    <w:rsid w:val="006E0542"/>
    <w:rsid w:val="006E0D87"/>
    <w:rsid w:val="006E1EDB"/>
    <w:rsid w:val="006E4112"/>
    <w:rsid w:val="006E5100"/>
    <w:rsid w:val="006F1582"/>
    <w:rsid w:val="006F1768"/>
    <w:rsid w:val="006F316F"/>
    <w:rsid w:val="006F57A9"/>
    <w:rsid w:val="00700A5D"/>
    <w:rsid w:val="007011E1"/>
    <w:rsid w:val="00703F70"/>
    <w:rsid w:val="00704262"/>
    <w:rsid w:val="007053AF"/>
    <w:rsid w:val="00705B7B"/>
    <w:rsid w:val="007068EE"/>
    <w:rsid w:val="007068FC"/>
    <w:rsid w:val="00706D26"/>
    <w:rsid w:val="007163EA"/>
    <w:rsid w:val="0072215C"/>
    <w:rsid w:val="007234FA"/>
    <w:rsid w:val="00724CF8"/>
    <w:rsid w:val="00726A0A"/>
    <w:rsid w:val="007277B6"/>
    <w:rsid w:val="00727B48"/>
    <w:rsid w:val="00732032"/>
    <w:rsid w:val="00733155"/>
    <w:rsid w:val="00733576"/>
    <w:rsid w:val="00734A77"/>
    <w:rsid w:val="007370B8"/>
    <w:rsid w:val="007402C5"/>
    <w:rsid w:val="00740FB8"/>
    <w:rsid w:val="007413BF"/>
    <w:rsid w:val="00742FDB"/>
    <w:rsid w:val="007434BD"/>
    <w:rsid w:val="00743A7D"/>
    <w:rsid w:val="00744EF5"/>
    <w:rsid w:val="00745141"/>
    <w:rsid w:val="0074671C"/>
    <w:rsid w:val="007512EA"/>
    <w:rsid w:val="00751438"/>
    <w:rsid w:val="00753D78"/>
    <w:rsid w:val="00753F25"/>
    <w:rsid w:val="007558B6"/>
    <w:rsid w:val="00757008"/>
    <w:rsid w:val="007606D2"/>
    <w:rsid w:val="00761FB9"/>
    <w:rsid w:val="00764BA3"/>
    <w:rsid w:val="00764E42"/>
    <w:rsid w:val="007664C2"/>
    <w:rsid w:val="007706F8"/>
    <w:rsid w:val="00772048"/>
    <w:rsid w:val="007729BB"/>
    <w:rsid w:val="00773AFC"/>
    <w:rsid w:val="00774EBE"/>
    <w:rsid w:val="00775279"/>
    <w:rsid w:val="0078027E"/>
    <w:rsid w:val="00781240"/>
    <w:rsid w:val="00781CE6"/>
    <w:rsid w:val="0078389F"/>
    <w:rsid w:val="00785049"/>
    <w:rsid w:val="00785A5B"/>
    <w:rsid w:val="00785D23"/>
    <w:rsid w:val="00791376"/>
    <w:rsid w:val="00792D48"/>
    <w:rsid w:val="007930B0"/>
    <w:rsid w:val="00795801"/>
    <w:rsid w:val="007A08C2"/>
    <w:rsid w:val="007A280E"/>
    <w:rsid w:val="007A4547"/>
    <w:rsid w:val="007A52DB"/>
    <w:rsid w:val="007A5D65"/>
    <w:rsid w:val="007A5D71"/>
    <w:rsid w:val="007B0226"/>
    <w:rsid w:val="007B10E0"/>
    <w:rsid w:val="007B348E"/>
    <w:rsid w:val="007B3F1D"/>
    <w:rsid w:val="007B4AEF"/>
    <w:rsid w:val="007B53B8"/>
    <w:rsid w:val="007B657A"/>
    <w:rsid w:val="007B6EF9"/>
    <w:rsid w:val="007C4BCE"/>
    <w:rsid w:val="007C5CEF"/>
    <w:rsid w:val="007C6C74"/>
    <w:rsid w:val="007C7D42"/>
    <w:rsid w:val="007D18A6"/>
    <w:rsid w:val="007D43EC"/>
    <w:rsid w:val="007D4B8D"/>
    <w:rsid w:val="007D6181"/>
    <w:rsid w:val="007D6A78"/>
    <w:rsid w:val="007D6ACD"/>
    <w:rsid w:val="007E281B"/>
    <w:rsid w:val="007E2CF1"/>
    <w:rsid w:val="007E3327"/>
    <w:rsid w:val="007E57BC"/>
    <w:rsid w:val="007E66AD"/>
    <w:rsid w:val="007E6B3B"/>
    <w:rsid w:val="007E6F3D"/>
    <w:rsid w:val="007F203B"/>
    <w:rsid w:val="007F3568"/>
    <w:rsid w:val="007F3A58"/>
    <w:rsid w:val="007F3CE9"/>
    <w:rsid w:val="007F3EA8"/>
    <w:rsid w:val="007F4B5B"/>
    <w:rsid w:val="00800672"/>
    <w:rsid w:val="00800B70"/>
    <w:rsid w:val="008014DA"/>
    <w:rsid w:val="00802216"/>
    <w:rsid w:val="008077AA"/>
    <w:rsid w:val="0081315C"/>
    <w:rsid w:val="0081661E"/>
    <w:rsid w:val="00816B36"/>
    <w:rsid w:val="008171A2"/>
    <w:rsid w:val="00820A2D"/>
    <w:rsid w:val="00821DA6"/>
    <w:rsid w:val="00822E6E"/>
    <w:rsid w:val="0082361B"/>
    <w:rsid w:val="00824031"/>
    <w:rsid w:val="00824BD1"/>
    <w:rsid w:val="008261C0"/>
    <w:rsid w:val="0082682A"/>
    <w:rsid w:val="0082712F"/>
    <w:rsid w:val="00831620"/>
    <w:rsid w:val="00833145"/>
    <w:rsid w:val="00833E81"/>
    <w:rsid w:val="00834FDE"/>
    <w:rsid w:val="008405AA"/>
    <w:rsid w:val="00845E06"/>
    <w:rsid w:val="00846F76"/>
    <w:rsid w:val="00847D41"/>
    <w:rsid w:val="00847D5E"/>
    <w:rsid w:val="008507CC"/>
    <w:rsid w:val="00852E66"/>
    <w:rsid w:val="008537F7"/>
    <w:rsid w:val="00854C02"/>
    <w:rsid w:val="00860D29"/>
    <w:rsid w:val="00862E33"/>
    <w:rsid w:val="0086504C"/>
    <w:rsid w:val="00865E5C"/>
    <w:rsid w:val="00870488"/>
    <w:rsid w:val="00870849"/>
    <w:rsid w:val="00873A8B"/>
    <w:rsid w:val="008741E8"/>
    <w:rsid w:val="00875BA8"/>
    <w:rsid w:val="0087633D"/>
    <w:rsid w:val="00876C0D"/>
    <w:rsid w:val="00880553"/>
    <w:rsid w:val="008809B2"/>
    <w:rsid w:val="00882964"/>
    <w:rsid w:val="00882A97"/>
    <w:rsid w:val="00884B33"/>
    <w:rsid w:val="00884D75"/>
    <w:rsid w:val="00885E59"/>
    <w:rsid w:val="0089283D"/>
    <w:rsid w:val="00892B43"/>
    <w:rsid w:val="00892DFA"/>
    <w:rsid w:val="0089369A"/>
    <w:rsid w:val="008938A6"/>
    <w:rsid w:val="00895A32"/>
    <w:rsid w:val="00897874"/>
    <w:rsid w:val="008A148C"/>
    <w:rsid w:val="008A27D1"/>
    <w:rsid w:val="008A2977"/>
    <w:rsid w:val="008A4654"/>
    <w:rsid w:val="008A4BD7"/>
    <w:rsid w:val="008B149C"/>
    <w:rsid w:val="008B318E"/>
    <w:rsid w:val="008B743F"/>
    <w:rsid w:val="008C37B7"/>
    <w:rsid w:val="008C5435"/>
    <w:rsid w:val="008C5F4D"/>
    <w:rsid w:val="008D427A"/>
    <w:rsid w:val="008D4E4F"/>
    <w:rsid w:val="008D5D7F"/>
    <w:rsid w:val="008E385A"/>
    <w:rsid w:val="008E539A"/>
    <w:rsid w:val="008E69E7"/>
    <w:rsid w:val="008E6D34"/>
    <w:rsid w:val="008E6E4A"/>
    <w:rsid w:val="008F4E7F"/>
    <w:rsid w:val="008F6014"/>
    <w:rsid w:val="008F6563"/>
    <w:rsid w:val="008F7D41"/>
    <w:rsid w:val="00901A24"/>
    <w:rsid w:val="00904516"/>
    <w:rsid w:val="00905DBE"/>
    <w:rsid w:val="00907EF5"/>
    <w:rsid w:val="009113BE"/>
    <w:rsid w:val="00911F51"/>
    <w:rsid w:val="00916361"/>
    <w:rsid w:val="00916ED0"/>
    <w:rsid w:val="009200F1"/>
    <w:rsid w:val="00921927"/>
    <w:rsid w:val="00922DDE"/>
    <w:rsid w:val="009232BA"/>
    <w:rsid w:val="009269BB"/>
    <w:rsid w:val="0092770C"/>
    <w:rsid w:val="00930549"/>
    <w:rsid w:val="009309A4"/>
    <w:rsid w:val="009335C9"/>
    <w:rsid w:val="00933A8D"/>
    <w:rsid w:val="0093609A"/>
    <w:rsid w:val="009360B0"/>
    <w:rsid w:val="00936793"/>
    <w:rsid w:val="009379A2"/>
    <w:rsid w:val="0094050B"/>
    <w:rsid w:val="00940823"/>
    <w:rsid w:val="009410A6"/>
    <w:rsid w:val="00941D51"/>
    <w:rsid w:val="009424C1"/>
    <w:rsid w:val="009426B9"/>
    <w:rsid w:val="00943468"/>
    <w:rsid w:val="00943486"/>
    <w:rsid w:val="009461C0"/>
    <w:rsid w:val="00946EE1"/>
    <w:rsid w:val="009507F7"/>
    <w:rsid w:val="0095174E"/>
    <w:rsid w:val="00951A88"/>
    <w:rsid w:val="0095417D"/>
    <w:rsid w:val="00956E04"/>
    <w:rsid w:val="00960F62"/>
    <w:rsid w:val="009612E7"/>
    <w:rsid w:val="0096198B"/>
    <w:rsid w:val="0096206E"/>
    <w:rsid w:val="00962783"/>
    <w:rsid w:val="00962E4E"/>
    <w:rsid w:val="00965FBA"/>
    <w:rsid w:val="00974998"/>
    <w:rsid w:val="00976F49"/>
    <w:rsid w:val="009820DD"/>
    <w:rsid w:val="00985E1E"/>
    <w:rsid w:val="009860D2"/>
    <w:rsid w:val="00986A0C"/>
    <w:rsid w:val="009902C5"/>
    <w:rsid w:val="009908F6"/>
    <w:rsid w:val="00991D3E"/>
    <w:rsid w:val="00994830"/>
    <w:rsid w:val="0099615E"/>
    <w:rsid w:val="009A0F92"/>
    <w:rsid w:val="009A17CF"/>
    <w:rsid w:val="009A497C"/>
    <w:rsid w:val="009A78FB"/>
    <w:rsid w:val="009B128D"/>
    <w:rsid w:val="009B240B"/>
    <w:rsid w:val="009B2FB1"/>
    <w:rsid w:val="009B535A"/>
    <w:rsid w:val="009B5E78"/>
    <w:rsid w:val="009B69D8"/>
    <w:rsid w:val="009B6FC0"/>
    <w:rsid w:val="009B711C"/>
    <w:rsid w:val="009C1266"/>
    <w:rsid w:val="009C153A"/>
    <w:rsid w:val="009C229B"/>
    <w:rsid w:val="009C5B30"/>
    <w:rsid w:val="009D02A2"/>
    <w:rsid w:val="009D1156"/>
    <w:rsid w:val="009D57F5"/>
    <w:rsid w:val="009D7D52"/>
    <w:rsid w:val="009D7E76"/>
    <w:rsid w:val="009E051C"/>
    <w:rsid w:val="009E13D7"/>
    <w:rsid w:val="009E2261"/>
    <w:rsid w:val="009E2778"/>
    <w:rsid w:val="009E2F41"/>
    <w:rsid w:val="009E3E2D"/>
    <w:rsid w:val="009E59DD"/>
    <w:rsid w:val="009E6C0F"/>
    <w:rsid w:val="009F1784"/>
    <w:rsid w:val="009F18AD"/>
    <w:rsid w:val="009F2244"/>
    <w:rsid w:val="009F2309"/>
    <w:rsid w:val="009F37D0"/>
    <w:rsid w:val="009F5850"/>
    <w:rsid w:val="009F5F32"/>
    <w:rsid w:val="009F7674"/>
    <w:rsid w:val="009F7FF0"/>
    <w:rsid w:val="00A013A0"/>
    <w:rsid w:val="00A02724"/>
    <w:rsid w:val="00A07FD3"/>
    <w:rsid w:val="00A10269"/>
    <w:rsid w:val="00A11237"/>
    <w:rsid w:val="00A1334C"/>
    <w:rsid w:val="00A13DF9"/>
    <w:rsid w:val="00A15789"/>
    <w:rsid w:val="00A16A0B"/>
    <w:rsid w:val="00A16B12"/>
    <w:rsid w:val="00A17E0D"/>
    <w:rsid w:val="00A20C4E"/>
    <w:rsid w:val="00A22867"/>
    <w:rsid w:val="00A22A1E"/>
    <w:rsid w:val="00A230E1"/>
    <w:rsid w:val="00A24C3D"/>
    <w:rsid w:val="00A25709"/>
    <w:rsid w:val="00A261DB"/>
    <w:rsid w:val="00A27A90"/>
    <w:rsid w:val="00A379EB"/>
    <w:rsid w:val="00A413BD"/>
    <w:rsid w:val="00A41CC8"/>
    <w:rsid w:val="00A4311B"/>
    <w:rsid w:val="00A43F55"/>
    <w:rsid w:val="00A502BA"/>
    <w:rsid w:val="00A52721"/>
    <w:rsid w:val="00A54567"/>
    <w:rsid w:val="00A561A4"/>
    <w:rsid w:val="00A56BDB"/>
    <w:rsid w:val="00A6135C"/>
    <w:rsid w:val="00A635A0"/>
    <w:rsid w:val="00A643F1"/>
    <w:rsid w:val="00A64CE0"/>
    <w:rsid w:val="00A652A1"/>
    <w:rsid w:val="00A65642"/>
    <w:rsid w:val="00A71837"/>
    <w:rsid w:val="00A71EC9"/>
    <w:rsid w:val="00A73004"/>
    <w:rsid w:val="00A756BC"/>
    <w:rsid w:val="00A75AE9"/>
    <w:rsid w:val="00A760B3"/>
    <w:rsid w:val="00A777F9"/>
    <w:rsid w:val="00A77BA6"/>
    <w:rsid w:val="00A77ED4"/>
    <w:rsid w:val="00A80A11"/>
    <w:rsid w:val="00A932B0"/>
    <w:rsid w:val="00A93DC6"/>
    <w:rsid w:val="00AA20DB"/>
    <w:rsid w:val="00AA79B7"/>
    <w:rsid w:val="00AB2DD6"/>
    <w:rsid w:val="00AB2EC1"/>
    <w:rsid w:val="00AB68B7"/>
    <w:rsid w:val="00AB6AF3"/>
    <w:rsid w:val="00AC2ABB"/>
    <w:rsid w:val="00AC5158"/>
    <w:rsid w:val="00AC5ACC"/>
    <w:rsid w:val="00AD0044"/>
    <w:rsid w:val="00AD293C"/>
    <w:rsid w:val="00AD542E"/>
    <w:rsid w:val="00AD5A0D"/>
    <w:rsid w:val="00AE0812"/>
    <w:rsid w:val="00AE12C1"/>
    <w:rsid w:val="00AE1F07"/>
    <w:rsid w:val="00AE42E7"/>
    <w:rsid w:val="00AE4A40"/>
    <w:rsid w:val="00AE4D2F"/>
    <w:rsid w:val="00AE5E92"/>
    <w:rsid w:val="00AE6DC4"/>
    <w:rsid w:val="00AE72C2"/>
    <w:rsid w:val="00AE7ABD"/>
    <w:rsid w:val="00AF02C9"/>
    <w:rsid w:val="00AF0352"/>
    <w:rsid w:val="00AF07C6"/>
    <w:rsid w:val="00AF1D50"/>
    <w:rsid w:val="00AF663B"/>
    <w:rsid w:val="00AF7A32"/>
    <w:rsid w:val="00AF7BB9"/>
    <w:rsid w:val="00B00116"/>
    <w:rsid w:val="00B00842"/>
    <w:rsid w:val="00B0091D"/>
    <w:rsid w:val="00B019E4"/>
    <w:rsid w:val="00B02FCB"/>
    <w:rsid w:val="00B03126"/>
    <w:rsid w:val="00B03D60"/>
    <w:rsid w:val="00B041FF"/>
    <w:rsid w:val="00B04384"/>
    <w:rsid w:val="00B05125"/>
    <w:rsid w:val="00B0545F"/>
    <w:rsid w:val="00B10310"/>
    <w:rsid w:val="00B138A2"/>
    <w:rsid w:val="00B208A9"/>
    <w:rsid w:val="00B22997"/>
    <w:rsid w:val="00B2320E"/>
    <w:rsid w:val="00B241AB"/>
    <w:rsid w:val="00B242B9"/>
    <w:rsid w:val="00B26C7C"/>
    <w:rsid w:val="00B31D02"/>
    <w:rsid w:val="00B33550"/>
    <w:rsid w:val="00B36318"/>
    <w:rsid w:val="00B36B84"/>
    <w:rsid w:val="00B40A47"/>
    <w:rsid w:val="00B42269"/>
    <w:rsid w:val="00B43679"/>
    <w:rsid w:val="00B43E3A"/>
    <w:rsid w:val="00B458A2"/>
    <w:rsid w:val="00B46728"/>
    <w:rsid w:val="00B4707F"/>
    <w:rsid w:val="00B473C7"/>
    <w:rsid w:val="00B5502D"/>
    <w:rsid w:val="00B5664F"/>
    <w:rsid w:val="00B56C31"/>
    <w:rsid w:val="00B60AE6"/>
    <w:rsid w:val="00B61492"/>
    <w:rsid w:val="00B6330F"/>
    <w:rsid w:val="00B65FFB"/>
    <w:rsid w:val="00B6732D"/>
    <w:rsid w:val="00B741C2"/>
    <w:rsid w:val="00B74388"/>
    <w:rsid w:val="00B81D13"/>
    <w:rsid w:val="00B821D1"/>
    <w:rsid w:val="00B828C0"/>
    <w:rsid w:val="00B828F9"/>
    <w:rsid w:val="00B84297"/>
    <w:rsid w:val="00B84C9D"/>
    <w:rsid w:val="00B85CB3"/>
    <w:rsid w:val="00B86520"/>
    <w:rsid w:val="00B865FE"/>
    <w:rsid w:val="00B871F9"/>
    <w:rsid w:val="00B87D59"/>
    <w:rsid w:val="00B87FAF"/>
    <w:rsid w:val="00B90188"/>
    <w:rsid w:val="00B9073D"/>
    <w:rsid w:val="00B9215B"/>
    <w:rsid w:val="00B944CE"/>
    <w:rsid w:val="00B94745"/>
    <w:rsid w:val="00BA2A2F"/>
    <w:rsid w:val="00BA3181"/>
    <w:rsid w:val="00BA64A2"/>
    <w:rsid w:val="00BB1123"/>
    <w:rsid w:val="00BB2188"/>
    <w:rsid w:val="00BB4C38"/>
    <w:rsid w:val="00BB7B57"/>
    <w:rsid w:val="00BC1620"/>
    <w:rsid w:val="00BC21D5"/>
    <w:rsid w:val="00BC52A8"/>
    <w:rsid w:val="00BC6881"/>
    <w:rsid w:val="00BC68B0"/>
    <w:rsid w:val="00BC7680"/>
    <w:rsid w:val="00BD1250"/>
    <w:rsid w:val="00BD1D79"/>
    <w:rsid w:val="00BD33FD"/>
    <w:rsid w:val="00BD3B1E"/>
    <w:rsid w:val="00BD4089"/>
    <w:rsid w:val="00BD5623"/>
    <w:rsid w:val="00BE407E"/>
    <w:rsid w:val="00BE6A58"/>
    <w:rsid w:val="00BF0360"/>
    <w:rsid w:val="00BF07BB"/>
    <w:rsid w:val="00BF2B05"/>
    <w:rsid w:val="00BF6FE9"/>
    <w:rsid w:val="00BF75D6"/>
    <w:rsid w:val="00BF7FDF"/>
    <w:rsid w:val="00C04731"/>
    <w:rsid w:val="00C04A2A"/>
    <w:rsid w:val="00C04B48"/>
    <w:rsid w:val="00C0627F"/>
    <w:rsid w:val="00C069F0"/>
    <w:rsid w:val="00C07BB4"/>
    <w:rsid w:val="00C10829"/>
    <w:rsid w:val="00C10E3A"/>
    <w:rsid w:val="00C12022"/>
    <w:rsid w:val="00C12C0C"/>
    <w:rsid w:val="00C1520F"/>
    <w:rsid w:val="00C16F07"/>
    <w:rsid w:val="00C20087"/>
    <w:rsid w:val="00C2549D"/>
    <w:rsid w:val="00C25502"/>
    <w:rsid w:val="00C257E4"/>
    <w:rsid w:val="00C30A71"/>
    <w:rsid w:val="00C331CB"/>
    <w:rsid w:val="00C338D6"/>
    <w:rsid w:val="00C3411D"/>
    <w:rsid w:val="00C36045"/>
    <w:rsid w:val="00C36CBD"/>
    <w:rsid w:val="00C4009C"/>
    <w:rsid w:val="00C45C86"/>
    <w:rsid w:val="00C50FF5"/>
    <w:rsid w:val="00C5138E"/>
    <w:rsid w:val="00C5272E"/>
    <w:rsid w:val="00C54851"/>
    <w:rsid w:val="00C54BB4"/>
    <w:rsid w:val="00C55550"/>
    <w:rsid w:val="00C55A44"/>
    <w:rsid w:val="00C57502"/>
    <w:rsid w:val="00C57C6F"/>
    <w:rsid w:val="00C57D6E"/>
    <w:rsid w:val="00C6075D"/>
    <w:rsid w:val="00C62E10"/>
    <w:rsid w:val="00C63ECF"/>
    <w:rsid w:val="00C65BDF"/>
    <w:rsid w:val="00C7047D"/>
    <w:rsid w:val="00C70FDB"/>
    <w:rsid w:val="00C73788"/>
    <w:rsid w:val="00C73B3F"/>
    <w:rsid w:val="00C7770E"/>
    <w:rsid w:val="00C7791C"/>
    <w:rsid w:val="00C8078F"/>
    <w:rsid w:val="00C82451"/>
    <w:rsid w:val="00C824C1"/>
    <w:rsid w:val="00C8344F"/>
    <w:rsid w:val="00C843BD"/>
    <w:rsid w:val="00C84AEC"/>
    <w:rsid w:val="00C84BFE"/>
    <w:rsid w:val="00C9058D"/>
    <w:rsid w:val="00C91438"/>
    <w:rsid w:val="00C918A5"/>
    <w:rsid w:val="00C9406D"/>
    <w:rsid w:val="00C94ADE"/>
    <w:rsid w:val="00C960AD"/>
    <w:rsid w:val="00CA0421"/>
    <w:rsid w:val="00CA11E7"/>
    <w:rsid w:val="00CA32C8"/>
    <w:rsid w:val="00CA3336"/>
    <w:rsid w:val="00CA4B0E"/>
    <w:rsid w:val="00CA588E"/>
    <w:rsid w:val="00CA5963"/>
    <w:rsid w:val="00CA6180"/>
    <w:rsid w:val="00CB6325"/>
    <w:rsid w:val="00CB651A"/>
    <w:rsid w:val="00CB7D85"/>
    <w:rsid w:val="00CC600E"/>
    <w:rsid w:val="00CC671E"/>
    <w:rsid w:val="00CC7AD9"/>
    <w:rsid w:val="00CD0E2D"/>
    <w:rsid w:val="00CD1770"/>
    <w:rsid w:val="00CD3681"/>
    <w:rsid w:val="00CE38E8"/>
    <w:rsid w:val="00CE429C"/>
    <w:rsid w:val="00CE56EB"/>
    <w:rsid w:val="00CE7A08"/>
    <w:rsid w:val="00CE7AA2"/>
    <w:rsid w:val="00CE7AE9"/>
    <w:rsid w:val="00CF16F7"/>
    <w:rsid w:val="00CF2871"/>
    <w:rsid w:val="00CF298F"/>
    <w:rsid w:val="00CF2E74"/>
    <w:rsid w:val="00CF39B9"/>
    <w:rsid w:val="00CF44B3"/>
    <w:rsid w:val="00CF4C81"/>
    <w:rsid w:val="00CF54A8"/>
    <w:rsid w:val="00D0426E"/>
    <w:rsid w:val="00D049BB"/>
    <w:rsid w:val="00D0704C"/>
    <w:rsid w:val="00D104ED"/>
    <w:rsid w:val="00D10E96"/>
    <w:rsid w:val="00D12079"/>
    <w:rsid w:val="00D1226E"/>
    <w:rsid w:val="00D1374B"/>
    <w:rsid w:val="00D13AA0"/>
    <w:rsid w:val="00D21E64"/>
    <w:rsid w:val="00D22396"/>
    <w:rsid w:val="00D234B8"/>
    <w:rsid w:val="00D25169"/>
    <w:rsid w:val="00D3090A"/>
    <w:rsid w:val="00D309C8"/>
    <w:rsid w:val="00D30CCD"/>
    <w:rsid w:val="00D34AA6"/>
    <w:rsid w:val="00D364D7"/>
    <w:rsid w:val="00D42978"/>
    <w:rsid w:val="00D433AA"/>
    <w:rsid w:val="00D4397F"/>
    <w:rsid w:val="00D43D20"/>
    <w:rsid w:val="00D4520C"/>
    <w:rsid w:val="00D45716"/>
    <w:rsid w:val="00D45AE4"/>
    <w:rsid w:val="00D46DBD"/>
    <w:rsid w:val="00D50B4E"/>
    <w:rsid w:val="00D50B94"/>
    <w:rsid w:val="00D526E6"/>
    <w:rsid w:val="00D527EA"/>
    <w:rsid w:val="00D642D1"/>
    <w:rsid w:val="00D66B0D"/>
    <w:rsid w:val="00D7187F"/>
    <w:rsid w:val="00D72B2E"/>
    <w:rsid w:val="00D7389C"/>
    <w:rsid w:val="00D73B4F"/>
    <w:rsid w:val="00D7614A"/>
    <w:rsid w:val="00D80AE1"/>
    <w:rsid w:val="00D818D3"/>
    <w:rsid w:val="00D82C6A"/>
    <w:rsid w:val="00D82F34"/>
    <w:rsid w:val="00D83146"/>
    <w:rsid w:val="00D833DF"/>
    <w:rsid w:val="00D83821"/>
    <w:rsid w:val="00D845A7"/>
    <w:rsid w:val="00D8606E"/>
    <w:rsid w:val="00D872F9"/>
    <w:rsid w:val="00DA0857"/>
    <w:rsid w:val="00DA0A40"/>
    <w:rsid w:val="00DA1198"/>
    <w:rsid w:val="00DA1D0F"/>
    <w:rsid w:val="00DA752E"/>
    <w:rsid w:val="00DA77E4"/>
    <w:rsid w:val="00DA7874"/>
    <w:rsid w:val="00DA7981"/>
    <w:rsid w:val="00DB1BA1"/>
    <w:rsid w:val="00DB23EF"/>
    <w:rsid w:val="00DB387E"/>
    <w:rsid w:val="00DB5704"/>
    <w:rsid w:val="00DC05D0"/>
    <w:rsid w:val="00DC06C5"/>
    <w:rsid w:val="00DC12AB"/>
    <w:rsid w:val="00DC2BC9"/>
    <w:rsid w:val="00DC55AB"/>
    <w:rsid w:val="00DC5601"/>
    <w:rsid w:val="00DC65A1"/>
    <w:rsid w:val="00DD0960"/>
    <w:rsid w:val="00DD208E"/>
    <w:rsid w:val="00DD5469"/>
    <w:rsid w:val="00DD6090"/>
    <w:rsid w:val="00DD7FD0"/>
    <w:rsid w:val="00DE243F"/>
    <w:rsid w:val="00DE298F"/>
    <w:rsid w:val="00DE3B03"/>
    <w:rsid w:val="00DE3D90"/>
    <w:rsid w:val="00DE5DA3"/>
    <w:rsid w:val="00DE679D"/>
    <w:rsid w:val="00DF1C93"/>
    <w:rsid w:val="00DF2826"/>
    <w:rsid w:val="00DF2F72"/>
    <w:rsid w:val="00DF48FE"/>
    <w:rsid w:val="00DF59C3"/>
    <w:rsid w:val="00DF7D23"/>
    <w:rsid w:val="00E00EA2"/>
    <w:rsid w:val="00E034A6"/>
    <w:rsid w:val="00E05D8A"/>
    <w:rsid w:val="00E07355"/>
    <w:rsid w:val="00E1092F"/>
    <w:rsid w:val="00E12424"/>
    <w:rsid w:val="00E12532"/>
    <w:rsid w:val="00E16780"/>
    <w:rsid w:val="00E20282"/>
    <w:rsid w:val="00E20AF4"/>
    <w:rsid w:val="00E20BBA"/>
    <w:rsid w:val="00E21534"/>
    <w:rsid w:val="00E21920"/>
    <w:rsid w:val="00E24B5E"/>
    <w:rsid w:val="00E27DBD"/>
    <w:rsid w:val="00E340BF"/>
    <w:rsid w:val="00E343BE"/>
    <w:rsid w:val="00E3467E"/>
    <w:rsid w:val="00E35E7D"/>
    <w:rsid w:val="00E36FA9"/>
    <w:rsid w:val="00E40F92"/>
    <w:rsid w:val="00E4116C"/>
    <w:rsid w:val="00E449D1"/>
    <w:rsid w:val="00E47D2B"/>
    <w:rsid w:val="00E47DAD"/>
    <w:rsid w:val="00E51DA1"/>
    <w:rsid w:val="00E53DB4"/>
    <w:rsid w:val="00E55247"/>
    <w:rsid w:val="00E55547"/>
    <w:rsid w:val="00E567C3"/>
    <w:rsid w:val="00E63677"/>
    <w:rsid w:val="00E64F77"/>
    <w:rsid w:val="00E674CD"/>
    <w:rsid w:val="00E72791"/>
    <w:rsid w:val="00E74AC4"/>
    <w:rsid w:val="00E75EF6"/>
    <w:rsid w:val="00E839FD"/>
    <w:rsid w:val="00E85478"/>
    <w:rsid w:val="00E85638"/>
    <w:rsid w:val="00E85C4C"/>
    <w:rsid w:val="00E90522"/>
    <w:rsid w:val="00E90F54"/>
    <w:rsid w:val="00E943FE"/>
    <w:rsid w:val="00E944D2"/>
    <w:rsid w:val="00E94C86"/>
    <w:rsid w:val="00E954B3"/>
    <w:rsid w:val="00E95DB4"/>
    <w:rsid w:val="00E96C9E"/>
    <w:rsid w:val="00E97945"/>
    <w:rsid w:val="00EA021D"/>
    <w:rsid w:val="00EA3BA2"/>
    <w:rsid w:val="00EA49C4"/>
    <w:rsid w:val="00EA4D4B"/>
    <w:rsid w:val="00EA6685"/>
    <w:rsid w:val="00EA761D"/>
    <w:rsid w:val="00EB177C"/>
    <w:rsid w:val="00EB2D2F"/>
    <w:rsid w:val="00EB5154"/>
    <w:rsid w:val="00EB7572"/>
    <w:rsid w:val="00EC1E02"/>
    <w:rsid w:val="00EC39C3"/>
    <w:rsid w:val="00EC3A9E"/>
    <w:rsid w:val="00EC5D0F"/>
    <w:rsid w:val="00EC6548"/>
    <w:rsid w:val="00EC6BD3"/>
    <w:rsid w:val="00ED1533"/>
    <w:rsid w:val="00ED20E4"/>
    <w:rsid w:val="00ED21C5"/>
    <w:rsid w:val="00ED24FE"/>
    <w:rsid w:val="00ED2C38"/>
    <w:rsid w:val="00ED4649"/>
    <w:rsid w:val="00ED46EF"/>
    <w:rsid w:val="00ED48AD"/>
    <w:rsid w:val="00ED5C66"/>
    <w:rsid w:val="00EE0DDF"/>
    <w:rsid w:val="00EE1287"/>
    <w:rsid w:val="00EE1659"/>
    <w:rsid w:val="00EE1D1E"/>
    <w:rsid w:val="00EE3B4E"/>
    <w:rsid w:val="00EE42F9"/>
    <w:rsid w:val="00EE693C"/>
    <w:rsid w:val="00EE7B38"/>
    <w:rsid w:val="00EF2DAB"/>
    <w:rsid w:val="00EF56BC"/>
    <w:rsid w:val="00EF6174"/>
    <w:rsid w:val="00EF6555"/>
    <w:rsid w:val="00F005E4"/>
    <w:rsid w:val="00F02E3B"/>
    <w:rsid w:val="00F040F1"/>
    <w:rsid w:val="00F04AD2"/>
    <w:rsid w:val="00F06325"/>
    <w:rsid w:val="00F07F27"/>
    <w:rsid w:val="00F116C2"/>
    <w:rsid w:val="00F11ADF"/>
    <w:rsid w:val="00F12A9C"/>
    <w:rsid w:val="00F12F05"/>
    <w:rsid w:val="00F13DF5"/>
    <w:rsid w:val="00F1459F"/>
    <w:rsid w:val="00F152EA"/>
    <w:rsid w:val="00F1550B"/>
    <w:rsid w:val="00F15F27"/>
    <w:rsid w:val="00F20F5F"/>
    <w:rsid w:val="00F231D2"/>
    <w:rsid w:val="00F2422B"/>
    <w:rsid w:val="00F24DD2"/>
    <w:rsid w:val="00F26847"/>
    <w:rsid w:val="00F2691E"/>
    <w:rsid w:val="00F310B2"/>
    <w:rsid w:val="00F32306"/>
    <w:rsid w:val="00F338C4"/>
    <w:rsid w:val="00F34498"/>
    <w:rsid w:val="00F3459A"/>
    <w:rsid w:val="00F35DC8"/>
    <w:rsid w:val="00F40695"/>
    <w:rsid w:val="00F4108F"/>
    <w:rsid w:val="00F41AAA"/>
    <w:rsid w:val="00F46560"/>
    <w:rsid w:val="00F46664"/>
    <w:rsid w:val="00F5064B"/>
    <w:rsid w:val="00F509AA"/>
    <w:rsid w:val="00F51460"/>
    <w:rsid w:val="00F53001"/>
    <w:rsid w:val="00F540F2"/>
    <w:rsid w:val="00F56936"/>
    <w:rsid w:val="00F601DB"/>
    <w:rsid w:val="00F60439"/>
    <w:rsid w:val="00F61F4F"/>
    <w:rsid w:val="00F63700"/>
    <w:rsid w:val="00F63C17"/>
    <w:rsid w:val="00F64EFC"/>
    <w:rsid w:val="00F660C5"/>
    <w:rsid w:val="00F661F4"/>
    <w:rsid w:val="00F721BE"/>
    <w:rsid w:val="00F779B5"/>
    <w:rsid w:val="00F81C38"/>
    <w:rsid w:val="00F81F63"/>
    <w:rsid w:val="00F82677"/>
    <w:rsid w:val="00F8361D"/>
    <w:rsid w:val="00F83F41"/>
    <w:rsid w:val="00F84D92"/>
    <w:rsid w:val="00F86089"/>
    <w:rsid w:val="00F90511"/>
    <w:rsid w:val="00F92FA1"/>
    <w:rsid w:val="00F946D6"/>
    <w:rsid w:val="00F94C37"/>
    <w:rsid w:val="00F957EF"/>
    <w:rsid w:val="00F96E03"/>
    <w:rsid w:val="00F97E0B"/>
    <w:rsid w:val="00FA0315"/>
    <w:rsid w:val="00FA6BE6"/>
    <w:rsid w:val="00FA7620"/>
    <w:rsid w:val="00FB0ACD"/>
    <w:rsid w:val="00FB0D93"/>
    <w:rsid w:val="00FB29B7"/>
    <w:rsid w:val="00FB2E93"/>
    <w:rsid w:val="00FB5D9A"/>
    <w:rsid w:val="00FB6BC5"/>
    <w:rsid w:val="00FB6C1B"/>
    <w:rsid w:val="00FB7093"/>
    <w:rsid w:val="00FB741E"/>
    <w:rsid w:val="00FB79AB"/>
    <w:rsid w:val="00FC008C"/>
    <w:rsid w:val="00FC1D93"/>
    <w:rsid w:val="00FC2C02"/>
    <w:rsid w:val="00FC402A"/>
    <w:rsid w:val="00FD1A70"/>
    <w:rsid w:val="00FD367D"/>
    <w:rsid w:val="00FD42CF"/>
    <w:rsid w:val="00FD4AAF"/>
    <w:rsid w:val="00FD5682"/>
    <w:rsid w:val="00FD5D96"/>
    <w:rsid w:val="00FD776E"/>
    <w:rsid w:val="00FE239B"/>
    <w:rsid w:val="00FE25FC"/>
    <w:rsid w:val="00FE3454"/>
    <w:rsid w:val="00FE3881"/>
    <w:rsid w:val="00FE492F"/>
    <w:rsid w:val="00FE7345"/>
    <w:rsid w:val="00FE7D9C"/>
    <w:rsid w:val="00FF2538"/>
    <w:rsid w:val="00FF3CD7"/>
    <w:rsid w:val="00FF6EA8"/>
    <w:rsid w:val="00FF7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405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C38"/>
    <w:pPr>
      <w:spacing w:after="120" w:line="360" w:lineRule="auto"/>
    </w:pPr>
    <w:rPr>
      <w:rFonts w:ascii="Garamond" w:hAnsi="Garamond"/>
    </w:rPr>
  </w:style>
  <w:style w:type="paragraph" w:styleId="Heading1">
    <w:name w:val="heading 1"/>
    <w:basedOn w:val="Normal"/>
    <w:next w:val="Normal"/>
    <w:link w:val="Heading1Char"/>
    <w:autoRedefine/>
    <w:uiPriority w:val="9"/>
    <w:qFormat/>
    <w:rsid w:val="00BE6A58"/>
    <w:pPr>
      <w:keepNext/>
      <w:keepLines/>
      <w:numPr>
        <w:numId w:val="4"/>
      </w:numPr>
      <w:spacing w:before="240" w:after="0"/>
      <w:outlineLvl w:val="0"/>
    </w:pPr>
    <w:rPr>
      <w:rFonts w:eastAsiaTheme="majorEastAsia" w:cstheme="majorBidi"/>
      <w:color w:val="000000" w:themeColor="text1"/>
      <w:sz w:val="32"/>
      <w:szCs w:val="32"/>
    </w:rPr>
  </w:style>
  <w:style w:type="paragraph" w:styleId="Heading2">
    <w:name w:val="heading 2"/>
    <w:basedOn w:val="Normal"/>
    <w:next w:val="Normal"/>
    <w:link w:val="Heading2Char"/>
    <w:autoRedefine/>
    <w:uiPriority w:val="9"/>
    <w:unhideWhenUsed/>
    <w:qFormat/>
    <w:rsid w:val="0028762E"/>
    <w:pPr>
      <w:keepNext/>
      <w:keepLines/>
      <w:numPr>
        <w:ilvl w:val="1"/>
        <w:numId w:val="4"/>
      </w:numPr>
      <w:spacing w:before="40" w:after="0"/>
      <w:ind w:left="576"/>
      <w:outlineLvl w:val="1"/>
    </w:pPr>
    <w:rPr>
      <w:rFonts w:eastAsiaTheme="majorEastAsia" w:cstheme="majorBidi"/>
      <w:color w:val="808080" w:themeColor="background1" w:themeShade="80"/>
      <w:sz w:val="26"/>
      <w:szCs w:val="26"/>
    </w:rPr>
  </w:style>
  <w:style w:type="paragraph" w:styleId="Heading3">
    <w:name w:val="heading 3"/>
    <w:basedOn w:val="Normal"/>
    <w:next w:val="Normal"/>
    <w:link w:val="Heading3Char"/>
    <w:uiPriority w:val="9"/>
    <w:unhideWhenUsed/>
    <w:qFormat/>
    <w:rsid w:val="003E3B16"/>
    <w:pPr>
      <w:keepNext/>
      <w:keepLines/>
      <w:numPr>
        <w:ilvl w:val="2"/>
        <w:numId w:val="4"/>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E3B16"/>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E3B16"/>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E3B16"/>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E3B1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E3B1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3B1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A58"/>
    <w:rPr>
      <w:rFonts w:ascii="Garamond" w:eastAsiaTheme="majorEastAsia" w:hAnsi="Garamond" w:cstheme="majorBidi"/>
      <w:color w:val="000000" w:themeColor="text1"/>
      <w:sz w:val="32"/>
      <w:szCs w:val="32"/>
    </w:rPr>
  </w:style>
  <w:style w:type="character" w:customStyle="1" w:styleId="Heading2Char">
    <w:name w:val="Heading 2 Char"/>
    <w:basedOn w:val="DefaultParagraphFont"/>
    <w:link w:val="Heading2"/>
    <w:uiPriority w:val="9"/>
    <w:rsid w:val="0028762E"/>
    <w:rPr>
      <w:rFonts w:ascii="Garamond" w:eastAsiaTheme="majorEastAsia" w:hAnsi="Garamond" w:cstheme="majorBidi"/>
      <w:color w:val="808080" w:themeColor="background1" w:themeShade="80"/>
      <w:sz w:val="26"/>
      <w:szCs w:val="26"/>
    </w:rPr>
  </w:style>
  <w:style w:type="paragraph" w:styleId="Title">
    <w:name w:val="Title"/>
    <w:basedOn w:val="Normal"/>
    <w:next w:val="Normal"/>
    <w:link w:val="TitleChar"/>
    <w:uiPriority w:val="10"/>
    <w:qFormat/>
    <w:rsid w:val="006D2BE2"/>
    <w:pPr>
      <w:spacing w:after="0" w:line="240" w:lineRule="auto"/>
      <w:contextualSpacing/>
    </w:pPr>
    <w:rPr>
      <w:rFonts w:ascii="Palatino Linotype" w:eastAsiaTheme="majorEastAsia" w:hAnsi="Palatino Linotype" w:cs="Times New Roman (Headings CS)"/>
      <w:smallCaps/>
      <w:spacing w:val="-10"/>
      <w:kern w:val="28"/>
      <w:sz w:val="56"/>
      <w:szCs w:val="56"/>
    </w:rPr>
  </w:style>
  <w:style w:type="character" w:customStyle="1" w:styleId="TitleChar">
    <w:name w:val="Title Char"/>
    <w:basedOn w:val="DefaultParagraphFont"/>
    <w:link w:val="Title"/>
    <w:uiPriority w:val="10"/>
    <w:rsid w:val="006D2BE2"/>
    <w:rPr>
      <w:rFonts w:ascii="Palatino Linotype" w:eastAsiaTheme="majorEastAsia" w:hAnsi="Palatino Linotype" w:cs="Times New Roman (Headings CS)"/>
      <w:smallCaps/>
      <w:spacing w:val="-10"/>
      <w:kern w:val="28"/>
      <w:sz w:val="56"/>
      <w:szCs w:val="56"/>
    </w:rPr>
  </w:style>
  <w:style w:type="character" w:styleId="CommentReference">
    <w:name w:val="annotation reference"/>
    <w:basedOn w:val="DefaultParagraphFont"/>
    <w:uiPriority w:val="99"/>
    <w:semiHidden/>
    <w:unhideWhenUsed/>
    <w:rsid w:val="00B26C7C"/>
    <w:rPr>
      <w:sz w:val="16"/>
      <w:szCs w:val="16"/>
    </w:rPr>
  </w:style>
  <w:style w:type="paragraph" w:styleId="CommentText">
    <w:name w:val="annotation text"/>
    <w:basedOn w:val="Normal"/>
    <w:link w:val="CommentTextChar"/>
    <w:uiPriority w:val="99"/>
    <w:semiHidden/>
    <w:unhideWhenUsed/>
    <w:rsid w:val="00B26C7C"/>
    <w:pPr>
      <w:spacing w:line="240" w:lineRule="auto"/>
    </w:pPr>
    <w:rPr>
      <w:sz w:val="20"/>
      <w:szCs w:val="20"/>
    </w:rPr>
  </w:style>
  <w:style w:type="character" w:customStyle="1" w:styleId="CommentTextChar">
    <w:name w:val="Comment Text Char"/>
    <w:basedOn w:val="DefaultParagraphFont"/>
    <w:link w:val="CommentText"/>
    <w:uiPriority w:val="99"/>
    <w:semiHidden/>
    <w:rsid w:val="00B26C7C"/>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B26C7C"/>
    <w:rPr>
      <w:b/>
      <w:bCs/>
    </w:rPr>
  </w:style>
  <w:style w:type="character" w:customStyle="1" w:styleId="CommentSubjectChar">
    <w:name w:val="Comment Subject Char"/>
    <w:basedOn w:val="CommentTextChar"/>
    <w:link w:val="CommentSubject"/>
    <w:uiPriority w:val="99"/>
    <w:semiHidden/>
    <w:rsid w:val="00B26C7C"/>
    <w:rPr>
      <w:rFonts w:ascii="Garamond" w:hAnsi="Garamond"/>
      <w:b/>
      <w:bCs/>
      <w:sz w:val="20"/>
      <w:szCs w:val="20"/>
    </w:rPr>
  </w:style>
  <w:style w:type="paragraph" w:styleId="ListParagraph">
    <w:name w:val="List Paragraph"/>
    <w:basedOn w:val="Normal"/>
    <w:uiPriority w:val="34"/>
    <w:qFormat/>
    <w:rsid w:val="00593D5B"/>
    <w:pPr>
      <w:ind w:left="720"/>
      <w:contextualSpacing/>
    </w:pPr>
  </w:style>
  <w:style w:type="table" w:styleId="TableGrid">
    <w:name w:val="Table Grid"/>
    <w:basedOn w:val="TableNormal"/>
    <w:uiPriority w:val="39"/>
    <w:rsid w:val="00737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C12AB"/>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07216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2164"/>
    <w:rPr>
      <w:rFonts w:ascii="Times New Roman" w:hAnsi="Times New Roman" w:cs="Times New Roman"/>
      <w:sz w:val="18"/>
      <w:szCs w:val="18"/>
    </w:rPr>
  </w:style>
  <w:style w:type="paragraph" w:styleId="Footer">
    <w:name w:val="footer"/>
    <w:basedOn w:val="Normal"/>
    <w:link w:val="FooterChar"/>
    <w:uiPriority w:val="99"/>
    <w:unhideWhenUsed/>
    <w:rsid w:val="006D6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C24"/>
    <w:rPr>
      <w:rFonts w:ascii="Garamond" w:hAnsi="Garamond"/>
    </w:rPr>
  </w:style>
  <w:style w:type="character" w:styleId="PageNumber">
    <w:name w:val="page number"/>
    <w:basedOn w:val="DefaultParagraphFont"/>
    <w:uiPriority w:val="99"/>
    <w:semiHidden/>
    <w:unhideWhenUsed/>
    <w:rsid w:val="006D6C24"/>
  </w:style>
  <w:style w:type="character" w:customStyle="1" w:styleId="Heading3Char">
    <w:name w:val="Heading 3 Char"/>
    <w:basedOn w:val="DefaultParagraphFont"/>
    <w:link w:val="Heading3"/>
    <w:uiPriority w:val="9"/>
    <w:rsid w:val="003E3B1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3E3B1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E3B1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E3B1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E3B1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E3B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E3B16"/>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0F308D"/>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0F308D"/>
    <w:rPr>
      <w:rFonts w:eastAsiaTheme="minorEastAsia"/>
      <w:color w:val="5A5A5A" w:themeColor="text1" w:themeTint="A5"/>
      <w:spacing w:val="15"/>
      <w:sz w:val="22"/>
      <w:szCs w:val="22"/>
    </w:rPr>
  </w:style>
  <w:style w:type="paragraph" w:styleId="Header">
    <w:name w:val="header"/>
    <w:basedOn w:val="Normal"/>
    <w:link w:val="HeaderChar"/>
    <w:uiPriority w:val="99"/>
    <w:unhideWhenUsed/>
    <w:rsid w:val="002656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653"/>
    <w:rPr>
      <w:rFonts w:ascii="Garamond" w:hAnsi="Garamond"/>
    </w:rPr>
  </w:style>
  <w:style w:type="paragraph" w:styleId="Revision">
    <w:name w:val="Revision"/>
    <w:hidden/>
    <w:uiPriority w:val="99"/>
    <w:semiHidden/>
    <w:rsid w:val="00472FF0"/>
    <w:rPr>
      <w:rFonts w:ascii="Garamond" w:hAnsi="Garamond"/>
    </w:rPr>
  </w:style>
  <w:style w:type="character" w:styleId="Hyperlink">
    <w:name w:val="Hyperlink"/>
    <w:basedOn w:val="DefaultParagraphFont"/>
    <w:uiPriority w:val="99"/>
    <w:unhideWhenUsed/>
    <w:rsid w:val="00EC5D0F"/>
    <w:rPr>
      <w:color w:val="0563C1" w:themeColor="hyperlink"/>
      <w:u w:val="single"/>
    </w:rPr>
  </w:style>
  <w:style w:type="character" w:customStyle="1" w:styleId="UnresolvedMention1">
    <w:name w:val="Unresolved Mention1"/>
    <w:basedOn w:val="DefaultParagraphFont"/>
    <w:uiPriority w:val="99"/>
    <w:semiHidden/>
    <w:unhideWhenUsed/>
    <w:rsid w:val="00EC5D0F"/>
    <w:rPr>
      <w:color w:val="605E5C"/>
      <w:shd w:val="clear" w:color="auto" w:fill="E1DFDD"/>
    </w:rPr>
  </w:style>
  <w:style w:type="character" w:customStyle="1" w:styleId="cit-auth">
    <w:name w:val="cit-auth"/>
    <w:basedOn w:val="DefaultParagraphFont"/>
    <w:rsid w:val="00B865FE"/>
  </w:style>
  <w:style w:type="character" w:customStyle="1" w:styleId="cit-name-surname">
    <w:name w:val="cit-name-surname"/>
    <w:basedOn w:val="DefaultParagraphFont"/>
    <w:rsid w:val="00B865FE"/>
  </w:style>
  <w:style w:type="character" w:customStyle="1" w:styleId="cit-name-given-names">
    <w:name w:val="cit-name-given-names"/>
    <w:basedOn w:val="DefaultParagraphFont"/>
    <w:rsid w:val="00B865FE"/>
  </w:style>
  <w:style w:type="character" w:customStyle="1" w:styleId="cit-article-title">
    <w:name w:val="cit-article-title"/>
    <w:basedOn w:val="DefaultParagraphFont"/>
    <w:rsid w:val="00B865FE"/>
  </w:style>
  <w:style w:type="character" w:customStyle="1" w:styleId="cit-pub-date">
    <w:name w:val="cit-pub-date"/>
    <w:basedOn w:val="DefaultParagraphFont"/>
    <w:rsid w:val="00B865FE"/>
  </w:style>
  <w:style w:type="character" w:customStyle="1" w:styleId="cit-vol">
    <w:name w:val="cit-vol"/>
    <w:basedOn w:val="DefaultParagraphFont"/>
    <w:rsid w:val="00B865FE"/>
  </w:style>
  <w:style w:type="character" w:customStyle="1" w:styleId="cit-issue">
    <w:name w:val="cit-issue"/>
    <w:basedOn w:val="DefaultParagraphFont"/>
    <w:rsid w:val="00B865FE"/>
  </w:style>
  <w:style w:type="character" w:customStyle="1" w:styleId="cit-fpage">
    <w:name w:val="cit-fpage"/>
    <w:basedOn w:val="DefaultParagraphFont"/>
    <w:rsid w:val="00B865FE"/>
  </w:style>
  <w:style w:type="character" w:styleId="FollowedHyperlink">
    <w:name w:val="FollowedHyperlink"/>
    <w:basedOn w:val="DefaultParagraphFont"/>
    <w:uiPriority w:val="99"/>
    <w:semiHidden/>
    <w:unhideWhenUsed/>
    <w:rsid w:val="002B1F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9553">
      <w:bodyDiv w:val="1"/>
      <w:marLeft w:val="0"/>
      <w:marRight w:val="0"/>
      <w:marTop w:val="0"/>
      <w:marBottom w:val="0"/>
      <w:divBdr>
        <w:top w:val="none" w:sz="0" w:space="0" w:color="auto"/>
        <w:left w:val="none" w:sz="0" w:space="0" w:color="auto"/>
        <w:bottom w:val="none" w:sz="0" w:space="0" w:color="auto"/>
        <w:right w:val="none" w:sz="0" w:space="0" w:color="auto"/>
      </w:divBdr>
    </w:div>
    <w:div w:id="322393048">
      <w:bodyDiv w:val="1"/>
      <w:marLeft w:val="0"/>
      <w:marRight w:val="0"/>
      <w:marTop w:val="0"/>
      <w:marBottom w:val="0"/>
      <w:divBdr>
        <w:top w:val="none" w:sz="0" w:space="0" w:color="auto"/>
        <w:left w:val="none" w:sz="0" w:space="0" w:color="auto"/>
        <w:bottom w:val="none" w:sz="0" w:space="0" w:color="auto"/>
        <w:right w:val="none" w:sz="0" w:space="0" w:color="auto"/>
      </w:divBdr>
    </w:div>
    <w:div w:id="425736481">
      <w:bodyDiv w:val="1"/>
      <w:marLeft w:val="0"/>
      <w:marRight w:val="0"/>
      <w:marTop w:val="0"/>
      <w:marBottom w:val="0"/>
      <w:divBdr>
        <w:top w:val="none" w:sz="0" w:space="0" w:color="auto"/>
        <w:left w:val="none" w:sz="0" w:space="0" w:color="auto"/>
        <w:bottom w:val="none" w:sz="0" w:space="0" w:color="auto"/>
        <w:right w:val="none" w:sz="0" w:space="0" w:color="auto"/>
      </w:divBdr>
    </w:div>
    <w:div w:id="439573377">
      <w:bodyDiv w:val="1"/>
      <w:marLeft w:val="0"/>
      <w:marRight w:val="0"/>
      <w:marTop w:val="0"/>
      <w:marBottom w:val="0"/>
      <w:divBdr>
        <w:top w:val="none" w:sz="0" w:space="0" w:color="auto"/>
        <w:left w:val="none" w:sz="0" w:space="0" w:color="auto"/>
        <w:bottom w:val="none" w:sz="0" w:space="0" w:color="auto"/>
        <w:right w:val="none" w:sz="0" w:space="0" w:color="auto"/>
      </w:divBdr>
    </w:div>
    <w:div w:id="778178443">
      <w:bodyDiv w:val="1"/>
      <w:marLeft w:val="0"/>
      <w:marRight w:val="0"/>
      <w:marTop w:val="0"/>
      <w:marBottom w:val="0"/>
      <w:divBdr>
        <w:top w:val="none" w:sz="0" w:space="0" w:color="auto"/>
        <w:left w:val="none" w:sz="0" w:space="0" w:color="auto"/>
        <w:bottom w:val="none" w:sz="0" w:space="0" w:color="auto"/>
        <w:right w:val="none" w:sz="0" w:space="0" w:color="auto"/>
      </w:divBdr>
    </w:div>
    <w:div w:id="1322470046">
      <w:bodyDiv w:val="1"/>
      <w:marLeft w:val="0"/>
      <w:marRight w:val="0"/>
      <w:marTop w:val="0"/>
      <w:marBottom w:val="0"/>
      <w:divBdr>
        <w:top w:val="none" w:sz="0" w:space="0" w:color="auto"/>
        <w:left w:val="none" w:sz="0" w:space="0" w:color="auto"/>
        <w:bottom w:val="none" w:sz="0" w:space="0" w:color="auto"/>
        <w:right w:val="none" w:sz="0" w:space="0" w:color="auto"/>
      </w:divBdr>
    </w:div>
    <w:div w:id="1391264932">
      <w:bodyDiv w:val="1"/>
      <w:marLeft w:val="0"/>
      <w:marRight w:val="0"/>
      <w:marTop w:val="0"/>
      <w:marBottom w:val="0"/>
      <w:divBdr>
        <w:top w:val="none" w:sz="0" w:space="0" w:color="auto"/>
        <w:left w:val="none" w:sz="0" w:space="0" w:color="auto"/>
        <w:bottom w:val="none" w:sz="0" w:space="0" w:color="auto"/>
        <w:right w:val="none" w:sz="0" w:space="0" w:color="auto"/>
      </w:divBdr>
    </w:div>
    <w:div w:id="1406878527">
      <w:bodyDiv w:val="1"/>
      <w:marLeft w:val="0"/>
      <w:marRight w:val="0"/>
      <w:marTop w:val="0"/>
      <w:marBottom w:val="0"/>
      <w:divBdr>
        <w:top w:val="none" w:sz="0" w:space="0" w:color="auto"/>
        <w:left w:val="none" w:sz="0" w:space="0" w:color="auto"/>
        <w:bottom w:val="none" w:sz="0" w:space="0" w:color="auto"/>
        <w:right w:val="none" w:sz="0" w:space="0" w:color="auto"/>
      </w:divBdr>
    </w:div>
    <w:div w:id="1547378735">
      <w:bodyDiv w:val="1"/>
      <w:marLeft w:val="0"/>
      <w:marRight w:val="0"/>
      <w:marTop w:val="0"/>
      <w:marBottom w:val="0"/>
      <w:divBdr>
        <w:top w:val="none" w:sz="0" w:space="0" w:color="auto"/>
        <w:left w:val="none" w:sz="0" w:space="0" w:color="auto"/>
        <w:bottom w:val="none" w:sz="0" w:space="0" w:color="auto"/>
        <w:right w:val="none" w:sz="0" w:space="0" w:color="auto"/>
      </w:divBdr>
    </w:div>
    <w:div w:id="1595282830">
      <w:bodyDiv w:val="1"/>
      <w:marLeft w:val="0"/>
      <w:marRight w:val="0"/>
      <w:marTop w:val="0"/>
      <w:marBottom w:val="0"/>
      <w:divBdr>
        <w:top w:val="none" w:sz="0" w:space="0" w:color="auto"/>
        <w:left w:val="none" w:sz="0" w:space="0" w:color="auto"/>
        <w:bottom w:val="none" w:sz="0" w:space="0" w:color="auto"/>
        <w:right w:val="none" w:sz="0" w:space="0" w:color="auto"/>
      </w:divBdr>
    </w:div>
    <w:div w:id="1781340769">
      <w:bodyDiv w:val="1"/>
      <w:marLeft w:val="0"/>
      <w:marRight w:val="0"/>
      <w:marTop w:val="0"/>
      <w:marBottom w:val="0"/>
      <w:divBdr>
        <w:top w:val="none" w:sz="0" w:space="0" w:color="auto"/>
        <w:left w:val="none" w:sz="0" w:space="0" w:color="auto"/>
        <w:bottom w:val="none" w:sz="0" w:space="0" w:color="auto"/>
        <w:right w:val="none" w:sz="0" w:space="0" w:color="auto"/>
      </w:divBdr>
    </w:div>
    <w:div w:id="194210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458-580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ees@keele.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8672-25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cid.org/0000-0003-3233-7428" TargetMode="External"/><Relationship Id="rId4" Type="http://schemas.openxmlformats.org/officeDocument/2006/relationships/settings" Target="settings.xml"/><Relationship Id="rId9" Type="http://schemas.openxmlformats.org/officeDocument/2006/relationships/hyperlink" Target="https://orcid.org/0000-0003-3569-069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1A326-41AA-DA49-875F-6B12B4E9C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14093</Words>
  <Characters>80336</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2021-06-29T20:41:00Z</cp:lastPrinted>
  <dcterms:created xsi:type="dcterms:W3CDTF">2021-10-19T22:20:00Z</dcterms:created>
  <dcterms:modified xsi:type="dcterms:W3CDTF">2021-10-19T22:21:00Z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ba13b9f8-2287-35a7-8956-b6e00a8e5bd2</vt:lpwstr>
  </property>
  <property fmtid="{D5CDD505-2E9C-101B-9397-08002B2CF9AE}" pid="4" name="Mendeley Citation Style_1">
    <vt:lpwstr>http://csl.mendeley.com/styles/469769301/vancouver-2PME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http://csl.mendeley.com/styles/469769301/vancouver-2PME</vt:lpwstr>
  </property>
  <property fmtid="{D5CDD505-2E9C-101B-9397-08002B2CF9AE}" pid="22" name="Mendeley Recent Style Name 8_1">
    <vt:lpwstr>PME - Eliot Rees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