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DAF1" w14:textId="1BA6639F" w:rsidR="00147063" w:rsidRPr="00147063" w:rsidRDefault="00147063" w:rsidP="00A70C8C">
      <w:pPr>
        <w:spacing w:line="360" w:lineRule="auto"/>
        <w:jc w:val="both"/>
        <w:rPr>
          <w:rFonts w:ascii="Times New Roman" w:hAnsi="Times New Roman" w:cs="Times New Roman"/>
          <w:b/>
          <w:sz w:val="24"/>
          <w:szCs w:val="24"/>
          <w:u w:val="single"/>
          <w:lang w:val="en-US"/>
        </w:rPr>
      </w:pPr>
      <w:r w:rsidRPr="00147063">
        <w:rPr>
          <w:rFonts w:ascii="Times New Roman" w:hAnsi="Times New Roman" w:cs="Times New Roman"/>
          <w:b/>
          <w:bCs/>
          <w:sz w:val="24"/>
          <w:szCs w:val="24"/>
          <w:u w:val="single"/>
          <w:lang w:val="en-US"/>
        </w:rPr>
        <w:t>Accuracy of placement of ultrasound-guided corticosteroid injection for subacromial pain (impingement) syndrome does not influence pain and function: secondary analysis of a randomised controlled trial</w:t>
      </w:r>
    </w:p>
    <w:p w14:paraId="094B8126" w14:textId="77777777" w:rsidR="00A70C8C" w:rsidRDefault="00A70C8C" w:rsidP="00A70C8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903A3B8" w14:textId="4703D833" w:rsidR="009D39BA" w:rsidRDefault="007A4386" w:rsidP="009D39BA">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w:t>
      </w:r>
      <w:r w:rsidR="009D39BA" w:rsidRPr="009D39BA">
        <w:rPr>
          <w:rFonts w:ascii="Times New Roman" w:hAnsi="Times New Roman" w:cs="Times New Roman"/>
          <w:b/>
          <w:sz w:val="24"/>
          <w:szCs w:val="24"/>
        </w:rPr>
        <w:t xml:space="preserve">: </w:t>
      </w:r>
    </w:p>
    <w:p w14:paraId="32478284" w14:textId="2D5D4D68" w:rsidR="009D39BA" w:rsidRPr="009D39BA" w:rsidRDefault="007A4386" w:rsidP="009D39BA">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9D39BA" w:rsidRPr="009D39BA">
        <w:rPr>
          <w:rFonts w:ascii="Times New Roman" w:hAnsi="Times New Roman" w:cs="Times New Roman"/>
          <w:sz w:val="24"/>
          <w:szCs w:val="24"/>
        </w:rPr>
        <w:t xml:space="preserve"> investigate whether the accuracy of placement</w:t>
      </w:r>
      <w:r w:rsidR="005A2F71">
        <w:rPr>
          <w:rFonts w:ascii="Times New Roman" w:hAnsi="Times New Roman" w:cs="Times New Roman"/>
          <w:sz w:val="24"/>
          <w:szCs w:val="24"/>
        </w:rPr>
        <w:t xml:space="preserve"> </w:t>
      </w:r>
      <w:r w:rsidR="00E17DDC">
        <w:rPr>
          <w:rFonts w:ascii="Times New Roman" w:hAnsi="Times New Roman" w:cs="Times New Roman"/>
          <w:sz w:val="24"/>
          <w:szCs w:val="24"/>
        </w:rPr>
        <w:t xml:space="preserve">of </w:t>
      </w:r>
      <w:r w:rsidR="00A614FC">
        <w:rPr>
          <w:rFonts w:ascii="Times New Roman" w:hAnsi="Times New Roman" w:cs="Times New Roman"/>
          <w:sz w:val="24"/>
          <w:szCs w:val="24"/>
        </w:rPr>
        <w:t xml:space="preserve">ultrasound-guided (US-guided) </w:t>
      </w:r>
      <w:r w:rsidR="00E17DDC">
        <w:rPr>
          <w:rFonts w:ascii="Times New Roman" w:hAnsi="Times New Roman" w:cs="Times New Roman"/>
          <w:sz w:val="24"/>
          <w:szCs w:val="24"/>
        </w:rPr>
        <w:t>corticosteroid injection</w:t>
      </w:r>
      <w:r w:rsidR="00A33AA9">
        <w:rPr>
          <w:rFonts w:ascii="Times New Roman" w:hAnsi="Times New Roman" w:cs="Times New Roman"/>
          <w:sz w:val="24"/>
          <w:szCs w:val="24"/>
        </w:rPr>
        <w:t>s</w:t>
      </w:r>
      <w:r w:rsidR="00E17DDC">
        <w:rPr>
          <w:rFonts w:ascii="Times New Roman" w:hAnsi="Times New Roman" w:cs="Times New Roman"/>
          <w:sz w:val="24"/>
          <w:szCs w:val="24"/>
        </w:rPr>
        <w:t xml:space="preserve"> </w:t>
      </w:r>
      <w:r w:rsidR="002C37FA">
        <w:rPr>
          <w:rFonts w:ascii="Times New Roman" w:hAnsi="Times New Roman" w:cs="Times New Roman"/>
          <w:sz w:val="24"/>
          <w:szCs w:val="24"/>
        </w:rPr>
        <w:t xml:space="preserve">for </w:t>
      </w:r>
      <w:r w:rsidR="009D39BA" w:rsidRPr="009D39BA">
        <w:rPr>
          <w:rFonts w:ascii="Times New Roman" w:hAnsi="Times New Roman" w:cs="Times New Roman"/>
          <w:sz w:val="24"/>
          <w:szCs w:val="24"/>
        </w:rPr>
        <w:t xml:space="preserve">subacromial </w:t>
      </w:r>
      <w:r w:rsidR="00E17DDC">
        <w:rPr>
          <w:rFonts w:ascii="Times New Roman" w:hAnsi="Times New Roman" w:cs="Times New Roman"/>
          <w:sz w:val="24"/>
          <w:szCs w:val="24"/>
        </w:rPr>
        <w:t>pain (impingement) syndrome (SAPS)</w:t>
      </w:r>
      <w:r w:rsidR="009D39BA" w:rsidRPr="009D39BA">
        <w:rPr>
          <w:rFonts w:ascii="Times New Roman" w:hAnsi="Times New Roman" w:cs="Times New Roman"/>
          <w:sz w:val="24"/>
          <w:szCs w:val="24"/>
        </w:rPr>
        <w:t xml:space="preserve"> </w:t>
      </w:r>
      <w:r w:rsidR="00D334A1">
        <w:rPr>
          <w:rFonts w:ascii="Times New Roman" w:hAnsi="Times New Roman" w:cs="Times New Roman"/>
          <w:sz w:val="24"/>
          <w:szCs w:val="24"/>
        </w:rPr>
        <w:t>influence</w:t>
      </w:r>
      <w:r w:rsidR="00191008">
        <w:rPr>
          <w:rFonts w:ascii="Times New Roman" w:hAnsi="Times New Roman" w:cs="Times New Roman"/>
          <w:sz w:val="24"/>
          <w:szCs w:val="24"/>
        </w:rPr>
        <w:t>s</w:t>
      </w:r>
      <w:r w:rsidR="00894B35">
        <w:rPr>
          <w:rFonts w:ascii="Times New Roman" w:hAnsi="Times New Roman" w:cs="Times New Roman"/>
          <w:sz w:val="24"/>
          <w:szCs w:val="24"/>
        </w:rPr>
        <w:t xml:space="preserve"> </w:t>
      </w:r>
      <w:r w:rsidR="009D39BA">
        <w:rPr>
          <w:rFonts w:ascii="Times New Roman" w:hAnsi="Times New Roman" w:cs="Times New Roman"/>
          <w:sz w:val="24"/>
          <w:szCs w:val="24"/>
        </w:rPr>
        <w:t xml:space="preserve">pain and function </w:t>
      </w:r>
      <w:r w:rsidR="00061FEA">
        <w:rPr>
          <w:rFonts w:ascii="Times New Roman" w:hAnsi="Times New Roman" w:cs="Times New Roman"/>
          <w:sz w:val="24"/>
          <w:szCs w:val="24"/>
        </w:rPr>
        <w:t>outcomes</w:t>
      </w:r>
      <w:r w:rsidR="00E17DDC">
        <w:rPr>
          <w:rFonts w:ascii="Times New Roman" w:hAnsi="Times New Roman" w:cs="Times New Roman"/>
          <w:sz w:val="24"/>
          <w:szCs w:val="24"/>
        </w:rPr>
        <w:t>.</w:t>
      </w:r>
    </w:p>
    <w:p w14:paraId="512ED774" w14:textId="54DE4FA7" w:rsidR="009D39BA" w:rsidRDefault="009D39BA" w:rsidP="009D39BA">
      <w:pPr>
        <w:spacing w:line="360" w:lineRule="auto"/>
        <w:jc w:val="both"/>
        <w:rPr>
          <w:rFonts w:ascii="Times New Roman" w:hAnsi="Times New Roman" w:cs="Times New Roman"/>
          <w:b/>
          <w:sz w:val="24"/>
          <w:szCs w:val="24"/>
        </w:rPr>
      </w:pPr>
      <w:r w:rsidRPr="009D39BA">
        <w:rPr>
          <w:rFonts w:ascii="Times New Roman" w:hAnsi="Times New Roman" w:cs="Times New Roman"/>
          <w:b/>
          <w:sz w:val="24"/>
          <w:szCs w:val="24"/>
        </w:rPr>
        <w:t>Method</w:t>
      </w:r>
      <w:r w:rsidR="00154539">
        <w:rPr>
          <w:rFonts w:ascii="Times New Roman" w:hAnsi="Times New Roman" w:cs="Times New Roman"/>
          <w:b/>
          <w:sz w:val="24"/>
          <w:szCs w:val="24"/>
        </w:rPr>
        <w:t>s</w:t>
      </w:r>
      <w:r w:rsidRPr="009D39BA">
        <w:rPr>
          <w:rFonts w:ascii="Times New Roman" w:hAnsi="Times New Roman" w:cs="Times New Roman"/>
          <w:b/>
          <w:sz w:val="24"/>
          <w:szCs w:val="24"/>
        </w:rPr>
        <w:t xml:space="preserve">: </w:t>
      </w:r>
    </w:p>
    <w:p w14:paraId="7C66D1E6" w14:textId="3A5F2E0C" w:rsidR="009D39BA" w:rsidRPr="009D39BA" w:rsidRDefault="00A33AA9" w:rsidP="009D39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191008">
        <w:rPr>
          <w:rFonts w:ascii="Times New Roman" w:hAnsi="Times New Roman" w:cs="Times New Roman"/>
          <w:sz w:val="24"/>
          <w:szCs w:val="24"/>
        </w:rPr>
        <w:t>wa</w:t>
      </w:r>
      <w:r>
        <w:rPr>
          <w:rFonts w:ascii="Times New Roman" w:hAnsi="Times New Roman" w:cs="Times New Roman"/>
          <w:sz w:val="24"/>
          <w:szCs w:val="24"/>
        </w:rPr>
        <w:t xml:space="preserve">s a secondary analysis of data collected in a previous randomised controlled trial (RCT). </w:t>
      </w:r>
      <w:r w:rsidR="009D39BA" w:rsidRPr="009D39BA">
        <w:rPr>
          <w:rFonts w:ascii="Times New Roman" w:hAnsi="Times New Roman" w:cs="Times New Roman"/>
          <w:sz w:val="24"/>
          <w:szCs w:val="24"/>
        </w:rPr>
        <w:t>Video images</w:t>
      </w:r>
      <w:r w:rsidR="00193C98">
        <w:rPr>
          <w:rFonts w:ascii="Times New Roman" w:hAnsi="Times New Roman" w:cs="Times New Roman"/>
          <w:sz w:val="24"/>
          <w:szCs w:val="24"/>
        </w:rPr>
        <w:t xml:space="preserve"> of US-guided subacromial corticosteroid injections delivered in </w:t>
      </w:r>
      <w:r>
        <w:rPr>
          <w:rFonts w:ascii="Times New Roman" w:hAnsi="Times New Roman" w:cs="Times New Roman"/>
          <w:sz w:val="24"/>
          <w:szCs w:val="24"/>
        </w:rPr>
        <w:t>the</w:t>
      </w:r>
      <w:r w:rsidR="00193C98">
        <w:rPr>
          <w:rFonts w:ascii="Times New Roman" w:hAnsi="Times New Roman" w:cs="Times New Roman"/>
          <w:sz w:val="24"/>
          <w:szCs w:val="24"/>
        </w:rPr>
        <w:t xml:space="preserve"> </w:t>
      </w:r>
      <w:r>
        <w:rPr>
          <w:rFonts w:ascii="Times New Roman" w:hAnsi="Times New Roman" w:cs="Times New Roman"/>
          <w:sz w:val="24"/>
          <w:szCs w:val="24"/>
        </w:rPr>
        <w:t>RCT</w:t>
      </w:r>
      <w:r w:rsidR="00193C98">
        <w:rPr>
          <w:rFonts w:ascii="Times New Roman" w:hAnsi="Times New Roman" w:cs="Times New Roman"/>
          <w:sz w:val="24"/>
          <w:szCs w:val="24"/>
        </w:rPr>
        <w:t xml:space="preserve"> </w:t>
      </w:r>
      <w:r w:rsidR="001A094B">
        <w:rPr>
          <w:rFonts w:ascii="Times New Roman" w:hAnsi="Times New Roman" w:cs="Times New Roman"/>
          <w:sz w:val="24"/>
          <w:szCs w:val="24"/>
        </w:rPr>
        <w:t>were reviewed to cate</w:t>
      </w:r>
      <w:r w:rsidR="009D39BA" w:rsidRPr="009D39BA">
        <w:rPr>
          <w:rFonts w:ascii="Times New Roman" w:hAnsi="Times New Roman" w:cs="Times New Roman"/>
          <w:sz w:val="24"/>
          <w:szCs w:val="24"/>
        </w:rPr>
        <w:t xml:space="preserve">gorise </w:t>
      </w:r>
      <w:r w:rsidR="00A614FC">
        <w:rPr>
          <w:rFonts w:ascii="Times New Roman" w:hAnsi="Times New Roman" w:cs="Times New Roman"/>
          <w:sz w:val="24"/>
          <w:szCs w:val="24"/>
        </w:rPr>
        <w:t>injection</w:t>
      </w:r>
      <w:r w:rsidR="00193C98">
        <w:rPr>
          <w:rFonts w:ascii="Times New Roman" w:hAnsi="Times New Roman" w:cs="Times New Roman"/>
          <w:sz w:val="24"/>
          <w:szCs w:val="24"/>
        </w:rPr>
        <w:t xml:space="preserve"> </w:t>
      </w:r>
      <w:r w:rsidR="009D39BA" w:rsidRPr="009D39BA">
        <w:rPr>
          <w:rFonts w:ascii="Times New Roman" w:hAnsi="Times New Roman" w:cs="Times New Roman"/>
          <w:sz w:val="24"/>
          <w:szCs w:val="24"/>
        </w:rPr>
        <w:t xml:space="preserve">accuracy into </w:t>
      </w:r>
      <w:r w:rsidR="00E96928">
        <w:rPr>
          <w:rFonts w:ascii="Times New Roman" w:hAnsi="Times New Roman" w:cs="Times New Roman"/>
          <w:sz w:val="24"/>
          <w:szCs w:val="24"/>
        </w:rPr>
        <w:t>three</w:t>
      </w:r>
      <w:r w:rsidR="009D39BA" w:rsidRPr="009D39BA">
        <w:rPr>
          <w:rFonts w:ascii="Times New Roman" w:hAnsi="Times New Roman" w:cs="Times New Roman"/>
          <w:sz w:val="24"/>
          <w:szCs w:val="24"/>
        </w:rPr>
        <w:t xml:space="preserve"> groups: </w:t>
      </w:r>
      <w:r w:rsidR="00A3557F">
        <w:rPr>
          <w:rFonts w:ascii="Times New Roman" w:hAnsi="Times New Roman" w:cs="Times New Roman"/>
          <w:sz w:val="24"/>
          <w:szCs w:val="24"/>
        </w:rPr>
        <w:t xml:space="preserve">definitely/probably </w:t>
      </w:r>
      <w:r w:rsidR="009D39BA" w:rsidRPr="009D39BA">
        <w:rPr>
          <w:rFonts w:ascii="Times New Roman" w:hAnsi="Times New Roman" w:cs="Times New Roman"/>
          <w:sz w:val="24"/>
          <w:szCs w:val="24"/>
        </w:rPr>
        <w:t>not in the subacromial bursa</w:t>
      </w:r>
      <w:r w:rsidR="007B6F60">
        <w:rPr>
          <w:rFonts w:ascii="Times New Roman" w:hAnsi="Times New Roman" w:cs="Times New Roman"/>
          <w:sz w:val="24"/>
          <w:szCs w:val="24"/>
        </w:rPr>
        <w:t xml:space="preserve"> (Group 1)</w:t>
      </w:r>
      <w:r w:rsidR="009D39BA" w:rsidRPr="009D39BA">
        <w:rPr>
          <w:rFonts w:ascii="Times New Roman" w:hAnsi="Times New Roman" w:cs="Times New Roman"/>
          <w:sz w:val="24"/>
          <w:szCs w:val="24"/>
        </w:rPr>
        <w:t>; probably in the subacromial bursa</w:t>
      </w:r>
      <w:r w:rsidR="007B6F60">
        <w:rPr>
          <w:rFonts w:ascii="Times New Roman" w:hAnsi="Times New Roman" w:cs="Times New Roman"/>
          <w:sz w:val="24"/>
          <w:szCs w:val="24"/>
        </w:rPr>
        <w:t xml:space="preserve"> (Group 2)</w:t>
      </w:r>
      <w:r w:rsidR="009D39BA" w:rsidRPr="009D39BA">
        <w:rPr>
          <w:rFonts w:ascii="Times New Roman" w:hAnsi="Times New Roman" w:cs="Times New Roman"/>
          <w:sz w:val="24"/>
          <w:szCs w:val="24"/>
        </w:rPr>
        <w:t>; and definitely in the subacromial bursa</w:t>
      </w:r>
      <w:r w:rsidR="007B6F60">
        <w:rPr>
          <w:rFonts w:ascii="Times New Roman" w:hAnsi="Times New Roman" w:cs="Times New Roman"/>
          <w:sz w:val="24"/>
          <w:szCs w:val="24"/>
        </w:rPr>
        <w:t xml:space="preserve"> (Group 3)</w:t>
      </w:r>
      <w:r w:rsidR="009D39BA" w:rsidRPr="009D39BA">
        <w:rPr>
          <w:rFonts w:ascii="Times New Roman" w:hAnsi="Times New Roman" w:cs="Times New Roman"/>
          <w:sz w:val="24"/>
          <w:szCs w:val="24"/>
        </w:rPr>
        <w:t>. The primary outcome was the Shoulder Pain and Disability Index (SPADI) total score</w:t>
      </w:r>
      <w:r w:rsidR="000F651F">
        <w:rPr>
          <w:rFonts w:ascii="Times New Roman" w:hAnsi="Times New Roman" w:cs="Times New Roman"/>
          <w:sz w:val="24"/>
          <w:szCs w:val="24"/>
        </w:rPr>
        <w:t>.</w:t>
      </w:r>
      <w:r w:rsidR="000E7814">
        <w:rPr>
          <w:rFonts w:ascii="Times New Roman" w:hAnsi="Times New Roman" w:cs="Times New Roman"/>
          <w:sz w:val="24"/>
          <w:szCs w:val="24"/>
        </w:rPr>
        <w:t xml:space="preserve"> </w:t>
      </w:r>
      <w:r w:rsidR="009D39BA" w:rsidRPr="009D39BA">
        <w:rPr>
          <w:rFonts w:ascii="Times New Roman" w:hAnsi="Times New Roman" w:cs="Times New Roman"/>
          <w:sz w:val="24"/>
          <w:szCs w:val="24"/>
        </w:rPr>
        <w:t xml:space="preserve">Secondary outcomes included </w:t>
      </w:r>
      <w:r w:rsidR="009D39BA" w:rsidRPr="009D39BA">
        <w:rPr>
          <w:rFonts w:ascii="Times New Roman" w:hAnsi="Times New Roman" w:cs="Times New Roman"/>
          <w:sz w:val="24"/>
          <w:szCs w:val="24"/>
          <w:lang w:val="en-US"/>
        </w:rPr>
        <w:t>SPADI pain and function subscales and participant</w:t>
      </w:r>
      <w:r w:rsidR="00194D01">
        <w:rPr>
          <w:rFonts w:ascii="Times New Roman" w:hAnsi="Times New Roman" w:cs="Times New Roman"/>
          <w:sz w:val="24"/>
          <w:szCs w:val="24"/>
          <w:lang w:val="en-US"/>
        </w:rPr>
        <w:t xml:space="preserve">s’ </w:t>
      </w:r>
      <w:r w:rsidR="00E9626F">
        <w:rPr>
          <w:rFonts w:ascii="Times New Roman" w:hAnsi="Times New Roman" w:cs="Times New Roman"/>
          <w:sz w:val="24"/>
          <w:szCs w:val="24"/>
          <w:lang w:val="en-US"/>
        </w:rPr>
        <w:t xml:space="preserve">self-reported </w:t>
      </w:r>
      <w:r w:rsidR="009D39BA" w:rsidRPr="009D39BA">
        <w:rPr>
          <w:rFonts w:ascii="Times New Roman" w:hAnsi="Times New Roman" w:cs="Times New Roman"/>
          <w:sz w:val="24"/>
          <w:szCs w:val="24"/>
          <w:lang w:val="en-US"/>
        </w:rPr>
        <w:t xml:space="preserve">global </w:t>
      </w:r>
      <w:r w:rsidR="00E9626F">
        <w:rPr>
          <w:rFonts w:ascii="Times New Roman" w:hAnsi="Times New Roman" w:cs="Times New Roman"/>
          <w:sz w:val="24"/>
          <w:szCs w:val="24"/>
          <w:lang w:val="en-US"/>
        </w:rPr>
        <w:t>impression of change</w:t>
      </w:r>
      <w:r w:rsidR="009D39BA" w:rsidRPr="009D39BA">
        <w:rPr>
          <w:rFonts w:ascii="Times New Roman" w:hAnsi="Times New Roman" w:cs="Times New Roman"/>
          <w:sz w:val="24"/>
          <w:szCs w:val="24"/>
          <w:lang w:val="en-US"/>
        </w:rPr>
        <w:t>.</w:t>
      </w:r>
      <w:r w:rsidR="009D39BA" w:rsidRPr="009D39BA">
        <w:rPr>
          <w:rFonts w:ascii="Times New Roman" w:hAnsi="Times New Roman" w:cs="Times New Roman"/>
          <w:sz w:val="24"/>
          <w:szCs w:val="24"/>
        </w:rPr>
        <w:t xml:space="preserve"> </w:t>
      </w:r>
      <w:r w:rsidR="00F9546C">
        <w:rPr>
          <w:rFonts w:ascii="Times New Roman" w:hAnsi="Times New Roman" w:cs="Times New Roman"/>
          <w:sz w:val="24"/>
          <w:szCs w:val="24"/>
        </w:rPr>
        <w:t xml:space="preserve">Outcomes </w:t>
      </w:r>
      <w:r w:rsidR="00C721A4">
        <w:rPr>
          <w:rFonts w:ascii="Times New Roman" w:hAnsi="Times New Roman" w:cs="Times New Roman"/>
          <w:sz w:val="24"/>
          <w:szCs w:val="24"/>
        </w:rPr>
        <w:t xml:space="preserve">were </w:t>
      </w:r>
      <w:r w:rsidR="00DB52AB">
        <w:rPr>
          <w:rFonts w:ascii="Times New Roman" w:hAnsi="Times New Roman" w:cs="Times New Roman"/>
          <w:sz w:val="24"/>
          <w:szCs w:val="24"/>
        </w:rPr>
        <w:t xml:space="preserve">compared </w:t>
      </w:r>
      <w:r w:rsidR="00BF070E">
        <w:rPr>
          <w:rFonts w:ascii="Times New Roman" w:hAnsi="Times New Roman" w:cs="Times New Roman"/>
          <w:sz w:val="24"/>
          <w:szCs w:val="24"/>
        </w:rPr>
        <w:t xml:space="preserve">between </w:t>
      </w:r>
      <w:r w:rsidR="00854F0A">
        <w:rPr>
          <w:rFonts w:ascii="Times New Roman" w:hAnsi="Times New Roman" w:cs="Times New Roman"/>
          <w:sz w:val="24"/>
          <w:szCs w:val="24"/>
        </w:rPr>
        <w:t xml:space="preserve">the </w:t>
      </w:r>
      <w:r w:rsidR="009D39BA" w:rsidRPr="009D39BA">
        <w:rPr>
          <w:rFonts w:ascii="Times New Roman" w:hAnsi="Times New Roman" w:cs="Times New Roman"/>
          <w:sz w:val="24"/>
          <w:szCs w:val="24"/>
        </w:rPr>
        <w:t xml:space="preserve">accuracy groups </w:t>
      </w:r>
      <w:r w:rsidR="00F9546C">
        <w:rPr>
          <w:rFonts w:ascii="Times New Roman" w:hAnsi="Times New Roman" w:cs="Times New Roman"/>
          <w:sz w:val="24"/>
          <w:szCs w:val="24"/>
        </w:rPr>
        <w:t xml:space="preserve">after </w:t>
      </w:r>
      <w:r w:rsidR="009D39BA" w:rsidRPr="009D39BA">
        <w:rPr>
          <w:rFonts w:ascii="Times New Roman" w:hAnsi="Times New Roman" w:cs="Times New Roman"/>
          <w:sz w:val="24"/>
          <w:szCs w:val="24"/>
        </w:rPr>
        <w:t>adjust</w:t>
      </w:r>
      <w:r w:rsidR="00D634B2">
        <w:rPr>
          <w:rFonts w:ascii="Times New Roman" w:hAnsi="Times New Roman" w:cs="Times New Roman"/>
          <w:sz w:val="24"/>
          <w:szCs w:val="24"/>
        </w:rPr>
        <w:t>ing</w:t>
      </w:r>
      <w:r w:rsidR="009D39BA" w:rsidRPr="009D39BA">
        <w:rPr>
          <w:rFonts w:ascii="Times New Roman" w:hAnsi="Times New Roman" w:cs="Times New Roman"/>
          <w:sz w:val="24"/>
          <w:szCs w:val="24"/>
        </w:rPr>
        <w:t xml:space="preserve"> for</w:t>
      </w:r>
      <w:r w:rsidR="00DB52AB">
        <w:rPr>
          <w:rFonts w:ascii="Times New Roman" w:hAnsi="Times New Roman" w:cs="Times New Roman"/>
          <w:sz w:val="24"/>
          <w:szCs w:val="24"/>
        </w:rPr>
        <w:t xml:space="preserve"> pre-selected</w:t>
      </w:r>
      <w:r w:rsidR="009D39BA" w:rsidRPr="009D39BA">
        <w:rPr>
          <w:rFonts w:ascii="Times New Roman" w:hAnsi="Times New Roman" w:cs="Times New Roman"/>
          <w:sz w:val="24"/>
          <w:szCs w:val="24"/>
        </w:rPr>
        <w:t xml:space="preserve"> baseline </w:t>
      </w:r>
      <w:r w:rsidR="00DB52AB">
        <w:rPr>
          <w:rFonts w:ascii="Times New Roman" w:hAnsi="Times New Roman" w:cs="Times New Roman"/>
          <w:sz w:val="24"/>
          <w:szCs w:val="24"/>
        </w:rPr>
        <w:t>characteristics</w:t>
      </w:r>
      <w:r w:rsidR="009D39BA" w:rsidRPr="009D39BA">
        <w:rPr>
          <w:rFonts w:ascii="Times New Roman" w:hAnsi="Times New Roman" w:cs="Times New Roman"/>
          <w:sz w:val="24"/>
          <w:szCs w:val="24"/>
        </w:rPr>
        <w:t>.</w:t>
      </w:r>
    </w:p>
    <w:p w14:paraId="14EED69C" w14:textId="77777777" w:rsidR="009D39BA" w:rsidRDefault="009D39BA" w:rsidP="009D39BA">
      <w:pPr>
        <w:spacing w:line="360" w:lineRule="auto"/>
        <w:jc w:val="both"/>
        <w:rPr>
          <w:rFonts w:ascii="Times New Roman" w:hAnsi="Times New Roman" w:cs="Times New Roman"/>
          <w:b/>
          <w:sz w:val="24"/>
          <w:szCs w:val="24"/>
        </w:rPr>
      </w:pPr>
      <w:r w:rsidRPr="009D39BA">
        <w:rPr>
          <w:rFonts w:ascii="Times New Roman" w:hAnsi="Times New Roman" w:cs="Times New Roman"/>
          <w:b/>
          <w:sz w:val="24"/>
          <w:szCs w:val="24"/>
        </w:rPr>
        <w:t xml:space="preserve">Results:  </w:t>
      </w:r>
    </w:p>
    <w:p w14:paraId="0F8F5D7E" w14:textId="5DE53C7F" w:rsidR="009D39BA" w:rsidRPr="009D39BA" w:rsidRDefault="009D39BA" w:rsidP="009D39BA">
      <w:pPr>
        <w:spacing w:line="360" w:lineRule="auto"/>
        <w:jc w:val="both"/>
        <w:rPr>
          <w:rFonts w:ascii="Times New Roman" w:hAnsi="Times New Roman" w:cs="Times New Roman"/>
          <w:sz w:val="24"/>
          <w:szCs w:val="24"/>
        </w:rPr>
      </w:pPr>
      <w:r w:rsidRPr="009D39BA">
        <w:rPr>
          <w:rFonts w:ascii="Times New Roman" w:hAnsi="Times New Roman" w:cs="Times New Roman"/>
          <w:sz w:val="24"/>
          <w:szCs w:val="24"/>
        </w:rPr>
        <w:t>US-guided injection accuracy data were available for 114 participants</w:t>
      </w:r>
      <w:r w:rsidR="00E96928">
        <w:rPr>
          <w:rFonts w:ascii="Times New Roman" w:hAnsi="Times New Roman" w:cs="Times New Roman"/>
          <w:sz w:val="24"/>
          <w:szCs w:val="24"/>
        </w:rPr>
        <w:t>:</w:t>
      </w:r>
      <w:r w:rsidR="007B6F60">
        <w:rPr>
          <w:rFonts w:ascii="Times New Roman" w:hAnsi="Times New Roman" w:cs="Times New Roman"/>
          <w:sz w:val="24"/>
          <w:szCs w:val="24"/>
        </w:rPr>
        <w:t xml:space="preserve"> 22 </w:t>
      </w:r>
      <w:r w:rsidR="00191008">
        <w:rPr>
          <w:rFonts w:ascii="Times New Roman" w:hAnsi="Times New Roman" w:cs="Times New Roman"/>
          <w:sz w:val="24"/>
          <w:szCs w:val="24"/>
        </w:rPr>
        <w:t xml:space="preserve">categorised </w:t>
      </w:r>
      <w:r w:rsidR="007B6F60">
        <w:rPr>
          <w:rFonts w:ascii="Times New Roman" w:hAnsi="Times New Roman" w:cs="Times New Roman"/>
          <w:sz w:val="24"/>
          <w:szCs w:val="24"/>
        </w:rPr>
        <w:t>in</w:t>
      </w:r>
      <w:r w:rsidR="00191008">
        <w:rPr>
          <w:rFonts w:ascii="Times New Roman" w:hAnsi="Times New Roman" w:cs="Times New Roman"/>
          <w:sz w:val="24"/>
          <w:szCs w:val="24"/>
        </w:rPr>
        <w:t>to</w:t>
      </w:r>
      <w:r w:rsidR="007B6F60">
        <w:rPr>
          <w:rFonts w:ascii="Times New Roman" w:hAnsi="Times New Roman" w:cs="Times New Roman"/>
          <w:sz w:val="24"/>
          <w:szCs w:val="24"/>
        </w:rPr>
        <w:t xml:space="preserve"> G</w:t>
      </w:r>
      <w:r w:rsidRPr="009D39BA">
        <w:rPr>
          <w:rFonts w:ascii="Times New Roman" w:hAnsi="Times New Roman" w:cs="Times New Roman"/>
          <w:sz w:val="24"/>
          <w:szCs w:val="24"/>
        </w:rPr>
        <w:t xml:space="preserve">roup </w:t>
      </w:r>
      <w:r w:rsidR="007B6F60">
        <w:rPr>
          <w:rFonts w:ascii="Times New Roman" w:hAnsi="Times New Roman" w:cs="Times New Roman"/>
          <w:sz w:val="24"/>
          <w:szCs w:val="24"/>
        </w:rPr>
        <w:t>1</w:t>
      </w:r>
      <w:r w:rsidR="00F24297">
        <w:rPr>
          <w:rFonts w:ascii="Times New Roman" w:hAnsi="Times New Roman" w:cs="Times New Roman"/>
          <w:sz w:val="24"/>
          <w:szCs w:val="24"/>
        </w:rPr>
        <w:t>,</w:t>
      </w:r>
      <w:r w:rsidR="007B6F60">
        <w:rPr>
          <w:rFonts w:ascii="Times New Roman" w:hAnsi="Times New Roman" w:cs="Times New Roman"/>
          <w:sz w:val="24"/>
          <w:szCs w:val="24"/>
        </w:rPr>
        <w:t xml:space="preserve"> 21 in</w:t>
      </w:r>
      <w:r w:rsidR="00191008">
        <w:rPr>
          <w:rFonts w:ascii="Times New Roman" w:hAnsi="Times New Roman" w:cs="Times New Roman"/>
          <w:sz w:val="24"/>
          <w:szCs w:val="24"/>
        </w:rPr>
        <w:t>to</w:t>
      </w:r>
      <w:r w:rsidR="007B6F60">
        <w:rPr>
          <w:rFonts w:ascii="Times New Roman" w:hAnsi="Times New Roman" w:cs="Times New Roman"/>
          <w:sz w:val="24"/>
          <w:szCs w:val="24"/>
        </w:rPr>
        <w:t xml:space="preserve"> G</w:t>
      </w:r>
      <w:r w:rsidRPr="009D39BA">
        <w:rPr>
          <w:rFonts w:ascii="Times New Roman" w:hAnsi="Times New Roman" w:cs="Times New Roman"/>
          <w:sz w:val="24"/>
          <w:szCs w:val="24"/>
        </w:rPr>
        <w:t xml:space="preserve">roup </w:t>
      </w:r>
      <w:r w:rsidR="007B6F60">
        <w:rPr>
          <w:rFonts w:ascii="Times New Roman" w:hAnsi="Times New Roman" w:cs="Times New Roman"/>
          <w:sz w:val="24"/>
          <w:szCs w:val="24"/>
        </w:rPr>
        <w:t>2 and 71 in</w:t>
      </w:r>
      <w:r w:rsidR="00191008">
        <w:rPr>
          <w:rFonts w:ascii="Times New Roman" w:hAnsi="Times New Roman" w:cs="Times New Roman"/>
          <w:sz w:val="24"/>
          <w:szCs w:val="24"/>
        </w:rPr>
        <w:t>to</w:t>
      </w:r>
      <w:r w:rsidR="007B6F60">
        <w:rPr>
          <w:rFonts w:ascii="Times New Roman" w:hAnsi="Times New Roman" w:cs="Times New Roman"/>
          <w:sz w:val="24"/>
          <w:szCs w:val="24"/>
        </w:rPr>
        <w:t xml:space="preserve"> G</w:t>
      </w:r>
      <w:r w:rsidRPr="009D39BA">
        <w:rPr>
          <w:rFonts w:ascii="Times New Roman" w:hAnsi="Times New Roman" w:cs="Times New Roman"/>
          <w:sz w:val="24"/>
          <w:szCs w:val="24"/>
        </w:rPr>
        <w:t xml:space="preserve">roup </w:t>
      </w:r>
      <w:r w:rsidR="007B6F60">
        <w:rPr>
          <w:rFonts w:ascii="Times New Roman" w:hAnsi="Times New Roman" w:cs="Times New Roman"/>
          <w:sz w:val="24"/>
          <w:szCs w:val="24"/>
        </w:rPr>
        <w:t>3</w:t>
      </w:r>
      <w:r w:rsidRPr="009D39BA">
        <w:rPr>
          <w:rFonts w:ascii="Times New Roman" w:hAnsi="Times New Roman" w:cs="Times New Roman"/>
          <w:sz w:val="24"/>
          <w:szCs w:val="24"/>
        </w:rPr>
        <w:t xml:space="preserve">. There were no significant differences in mean </w:t>
      </w:r>
      <w:r w:rsidR="00E96928">
        <w:rPr>
          <w:rFonts w:ascii="Times New Roman" w:hAnsi="Times New Roman" w:cs="Times New Roman"/>
          <w:sz w:val="24"/>
          <w:szCs w:val="24"/>
        </w:rPr>
        <w:t xml:space="preserve">total </w:t>
      </w:r>
      <w:r w:rsidRPr="009D39BA">
        <w:rPr>
          <w:rFonts w:ascii="Times New Roman" w:hAnsi="Times New Roman" w:cs="Times New Roman"/>
          <w:sz w:val="24"/>
          <w:szCs w:val="24"/>
        </w:rPr>
        <w:t xml:space="preserve">SPADI scores </w:t>
      </w:r>
      <w:r w:rsidR="00E96928">
        <w:rPr>
          <w:rFonts w:ascii="Times New Roman" w:hAnsi="Times New Roman" w:cs="Times New Roman"/>
          <w:sz w:val="24"/>
          <w:szCs w:val="24"/>
        </w:rPr>
        <w:t>between</w:t>
      </w:r>
      <w:r w:rsidRPr="009D39BA">
        <w:rPr>
          <w:rFonts w:ascii="Times New Roman" w:hAnsi="Times New Roman" w:cs="Times New Roman"/>
          <w:sz w:val="24"/>
          <w:szCs w:val="24"/>
        </w:rPr>
        <w:t xml:space="preserve"> the three injection accuracy groups at 6 weeks (</w:t>
      </w:r>
      <w:r w:rsidR="007B6F60">
        <w:rPr>
          <w:rFonts w:ascii="Times New Roman" w:hAnsi="Times New Roman" w:cs="Times New Roman"/>
          <w:sz w:val="24"/>
          <w:szCs w:val="24"/>
        </w:rPr>
        <w:t>G</w:t>
      </w:r>
      <w:r w:rsidRPr="009D39BA">
        <w:rPr>
          <w:rFonts w:ascii="Times New Roman" w:hAnsi="Times New Roman" w:cs="Times New Roman"/>
          <w:sz w:val="24"/>
          <w:szCs w:val="24"/>
        </w:rPr>
        <w:t>roup 2 v</w:t>
      </w:r>
      <w:r w:rsidR="00BF070E">
        <w:rPr>
          <w:rFonts w:ascii="Times New Roman" w:hAnsi="Times New Roman" w:cs="Times New Roman"/>
          <w:sz w:val="24"/>
          <w:szCs w:val="24"/>
        </w:rPr>
        <w:t xml:space="preserve">ersus </w:t>
      </w:r>
      <w:r w:rsidRPr="009D39BA">
        <w:rPr>
          <w:rFonts w:ascii="Times New Roman" w:hAnsi="Times New Roman" w:cs="Times New Roman"/>
          <w:sz w:val="24"/>
          <w:szCs w:val="24"/>
        </w:rPr>
        <w:t xml:space="preserve">1: 8.22 (95% CI -4.01, 20.50); </w:t>
      </w:r>
      <w:r w:rsidR="007B6F60">
        <w:rPr>
          <w:rFonts w:ascii="Times New Roman" w:hAnsi="Times New Roman" w:cs="Times New Roman"/>
          <w:sz w:val="24"/>
          <w:szCs w:val="24"/>
        </w:rPr>
        <w:t>G</w:t>
      </w:r>
      <w:r w:rsidRPr="009D39BA">
        <w:rPr>
          <w:rFonts w:ascii="Times New Roman" w:hAnsi="Times New Roman" w:cs="Times New Roman"/>
          <w:sz w:val="24"/>
          <w:szCs w:val="24"/>
        </w:rPr>
        <w:t>roup 3 v</w:t>
      </w:r>
      <w:r w:rsidR="00BF070E">
        <w:rPr>
          <w:rFonts w:ascii="Times New Roman" w:hAnsi="Times New Roman" w:cs="Times New Roman"/>
          <w:sz w:val="24"/>
          <w:szCs w:val="24"/>
        </w:rPr>
        <w:t xml:space="preserve">ersus </w:t>
      </w:r>
      <w:r w:rsidRPr="009D39BA">
        <w:rPr>
          <w:rFonts w:ascii="Times New Roman" w:hAnsi="Times New Roman" w:cs="Times New Roman"/>
          <w:sz w:val="24"/>
          <w:szCs w:val="24"/>
        </w:rPr>
        <w:t>1:</w:t>
      </w:r>
      <w:r w:rsidR="00BF070E">
        <w:rPr>
          <w:rFonts w:ascii="Times New Roman" w:hAnsi="Times New Roman" w:cs="Times New Roman"/>
          <w:sz w:val="24"/>
          <w:szCs w:val="24"/>
        </w:rPr>
        <w:t xml:space="preserve"> </w:t>
      </w:r>
      <w:r w:rsidRPr="009D39BA">
        <w:rPr>
          <w:rFonts w:ascii="Times New Roman" w:hAnsi="Times New Roman" w:cs="Times New Roman"/>
          <w:sz w:val="24"/>
          <w:szCs w:val="24"/>
        </w:rPr>
        <w:t>-0.57 (</w:t>
      </w:r>
      <w:r w:rsidR="00C12350">
        <w:rPr>
          <w:rFonts w:ascii="Times New Roman" w:hAnsi="Times New Roman" w:cs="Times New Roman"/>
          <w:sz w:val="24"/>
          <w:szCs w:val="24"/>
        </w:rPr>
        <w:t xml:space="preserve">95% CI </w:t>
      </w:r>
      <w:r w:rsidRPr="009D39BA">
        <w:rPr>
          <w:rFonts w:ascii="Times New Roman" w:hAnsi="Times New Roman" w:cs="Times New Roman"/>
          <w:sz w:val="24"/>
          <w:szCs w:val="24"/>
        </w:rPr>
        <w:t xml:space="preserve">-10.27, 9.13) </w:t>
      </w:r>
      <w:r w:rsidR="006A3738">
        <w:rPr>
          <w:rFonts w:ascii="Times New Roman" w:hAnsi="Times New Roman" w:cs="Times New Roman"/>
          <w:sz w:val="24"/>
          <w:szCs w:val="24"/>
        </w:rPr>
        <w:t>or</w:t>
      </w:r>
      <w:r w:rsidRPr="009D39BA">
        <w:rPr>
          <w:rFonts w:ascii="Times New Roman" w:hAnsi="Times New Roman" w:cs="Times New Roman"/>
          <w:sz w:val="24"/>
          <w:szCs w:val="24"/>
        </w:rPr>
        <w:t xml:space="preserve"> 6 months (</w:t>
      </w:r>
      <w:r w:rsidR="007B6F60">
        <w:rPr>
          <w:rFonts w:ascii="Times New Roman" w:hAnsi="Times New Roman" w:cs="Times New Roman"/>
          <w:sz w:val="24"/>
          <w:szCs w:val="24"/>
        </w:rPr>
        <w:t>G</w:t>
      </w:r>
      <w:r w:rsidRPr="009D39BA">
        <w:rPr>
          <w:rFonts w:ascii="Times New Roman" w:hAnsi="Times New Roman" w:cs="Times New Roman"/>
          <w:sz w:val="24"/>
          <w:szCs w:val="24"/>
        </w:rPr>
        <w:t>roup 2 v</w:t>
      </w:r>
      <w:r w:rsidR="00BF070E">
        <w:rPr>
          <w:rFonts w:ascii="Times New Roman" w:hAnsi="Times New Roman" w:cs="Times New Roman"/>
          <w:sz w:val="24"/>
          <w:szCs w:val="24"/>
        </w:rPr>
        <w:t>ersus</w:t>
      </w:r>
      <w:r w:rsidRPr="009D39BA">
        <w:rPr>
          <w:rFonts w:ascii="Times New Roman" w:hAnsi="Times New Roman" w:cs="Times New Roman"/>
          <w:sz w:val="24"/>
          <w:szCs w:val="24"/>
        </w:rPr>
        <w:t xml:space="preserve"> 1:</w:t>
      </w:r>
      <w:r w:rsidR="00BF070E">
        <w:rPr>
          <w:rFonts w:ascii="Times New Roman" w:hAnsi="Times New Roman" w:cs="Times New Roman"/>
          <w:sz w:val="24"/>
          <w:szCs w:val="24"/>
        </w:rPr>
        <w:t xml:space="preserve"> </w:t>
      </w:r>
      <w:r w:rsidRPr="009D39BA">
        <w:rPr>
          <w:rFonts w:ascii="Times New Roman" w:hAnsi="Times New Roman" w:cs="Times New Roman"/>
          <w:sz w:val="24"/>
          <w:szCs w:val="24"/>
        </w:rPr>
        <w:t>12.38 (</w:t>
      </w:r>
      <w:r w:rsidR="00BF070E">
        <w:rPr>
          <w:rFonts w:ascii="Times New Roman" w:hAnsi="Times New Roman" w:cs="Times New Roman"/>
          <w:sz w:val="24"/>
          <w:szCs w:val="24"/>
        </w:rPr>
        <w:t xml:space="preserve">95% CI </w:t>
      </w:r>
      <w:r w:rsidRPr="009D39BA">
        <w:rPr>
          <w:rFonts w:ascii="Times New Roman" w:hAnsi="Times New Roman" w:cs="Times New Roman"/>
          <w:sz w:val="24"/>
          <w:szCs w:val="24"/>
        </w:rPr>
        <w:t xml:space="preserve">-5.34, 30.10); </w:t>
      </w:r>
      <w:r w:rsidR="007B6F60">
        <w:rPr>
          <w:rFonts w:ascii="Times New Roman" w:hAnsi="Times New Roman" w:cs="Times New Roman"/>
          <w:sz w:val="24"/>
          <w:szCs w:val="24"/>
        </w:rPr>
        <w:t>G</w:t>
      </w:r>
      <w:r w:rsidRPr="009D39BA">
        <w:rPr>
          <w:rFonts w:ascii="Times New Roman" w:hAnsi="Times New Roman" w:cs="Times New Roman"/>
          <w:sz w:val="24"/>
          <w:szCs w:val="24"/>
        </w:rPr>
        <w:t>roup 3 v</w:t>
      </w:r>
      <w:r w:rsidR="00BF070E">
        <w:rPr>
          <w:rFonts w:ascii="Times New Roman" w:hAnsi="Times New Roman" w:cs="Times New Roman"/>
          <w:sz w:val="24"/>
          <w:szCs w:val="24"/>
        </w:rPr>
        <w:t xml:space="preserve">ersus </w:t>
      </w:r>
      <w:r w:rsidRPr="009D39BA">
        <w:rPr>
          <w:rFonts w:ascii="Times New Roman" w:hAnsi="Times New Roman" w:cs="Times New Roman"/>
          <w:sz w:val="24"/>
          <w:szCs w:val="24"/>
        </w:rPr>
        <w:t>1:</w:t>
      </w:r>
      <w:r w:rsidR="00A3557F">
        <w:rPr>
          <w:rFonts w:ascii="Times New Roman" w:hAnsi="Times New Roman" w:cs="Times New Roman"/>
          <w:sz w:val="24"/>
          <w:szCs w:val="24"/>
        </w:rPr>
        <w:t xml:space="preserve"> </w:t>
      </w:r>
      <w:r w:rsidRPr="009D39BA">
        <w:rPr>
          <w:rFonts w:ascii="Times New Roman" w:hAnsi="Times New Roman" w:cs="Times New Roman"/>
          <w:sz w:val="24"/>
          <w:szCs w:val="24"/>
        </w:rPr>
        <w:t>3.10 (</w:t>
      </w:r>
      <w:r w:rsidR="00BF070E" w:rsidRPr="00BF070E">
        <w:rPr>
          <w:rFonts w:ascii="Times New Roman" w:hAnsi="Times New Roman" w:cs="Times New Roman"/>
          <w:sz w:val="24"/>
          <w:szCs w:val="24"/>
        </w:rPr>
        <w:t xml:space="preserve">95% CI </w:t>
      </w:r>
      <w:r w:rsidRPr="009D39BA">
        <w:rPr>
          <w:rFonts w:ascii="Times New Roman" w:hAnsi="Times New Roman" w:cs="Times New Roman"/>
          <w:sz w:val="24"/>
          <w:szCs w:val="24"/>
        </w:rPr>
        <w:t xml:space="preserve">-11.04, 17.23). </w:t>
      </w:r>
      <w:r w:rsidR="00D634B2">
        <w:rPr>
          <w:rFonts w:ascii="Times New Roman" w:hAnsi="Times New Roman" w:cs="Times New Roman"/>
          <w:sz w:val="24"/>
          <w:szCs w:val="24"/>
        </w:rPr>
        <w:t xml:space="preserve"> </w:t>
      </w:r>
    </w:p>
    <w:p w14:paraId="2AF275CC" w14:textId="7B023068" w:rsidR="009D39BA" w:rsidRDefault="009D39BA" w:rsidP="009D39BA">
      <w:pPr>
        <w:spacing w:line="360" w:lineRule="auto"/>
        <w:jc w:val="both"/>
        <w:rPr>
          <w:rFonts w:ascii="Times New Roman" w:hAnsi="Times New Roman" w:cs="Times New Roman"/>
          <w:b/>
          <w:sz w:val="24"/>
          <w:szCs w:val="24"/>
        </w:rPr>
      </w:pPr>
      <w:r w:rsidRPr="009D39BA">
        <w:rPr>
          <w:rFonts w:ascii="Times New Roman" w:hAnsi="Times New Roman" w:cs="Times New Roman"/>
          <w:b/>
          <w:sz w:val="24"/>
          <w:szCs w:val="24"/>
        </w:rPr>
        <w:t>Conclusion</w:t>
      </w:r>
      <w:r w:rsidR="00154539">
        <w:rPr>
          <w:rFonts w:ascii="Times New Roman" w:hAnsi="Times New Roman" w:cs="Times New Roman"/>
          <w:b/>
          <w:sz w:val="24"/>
          <w:szCs w:val="24"/>
        </w:rPr>
        <w:t>s</w:t>
      </w:r>
      <w:r w:rsidRPr="009D39BA">
        <w:rPr>
          <w:rFonts w:ascii="Times New Roman" w:hAnsi="Times New Roman" w:cs="Times New Roman"/>
          <w:b/>
          <w:sz w:val="24"/>
          <w:szCs w:val="24"/>
        </w:rPr>
        <w:t>:</w:t>
      </w:r>
    </w:p>
    <w:p w14:paraId="23015FFE" w14:textId="77777777" w:rsidR="00191008" w:rsidRPr="00191008" w:rsidRDefault="00191008" w:rsidP="00191008">
      <w:pPr>
        <w:spacing w:line="360" w:lineRule="auto"/>
        <w:jc w:val="both"/>
        <w:rPr>
          <w:rFonts w:ascii="Times New Roman" w:hAnsi="Times New Roman" w:cs="Times New Roman"/>
          <w:sz w:val="24"/>
          <w:szCs w:val="24"/>
          <w:lang w:val="en-US"/>
        </w:rPr>
      </w:pPr>
      <w:r w:rsidRPr="00191008">
        <w:rPr>
          <w:rFonts w:ascii="Times New Roman" w:hAnsi="Times New Roman" w:cs="Times New Roman"/>
          <w:sz w:val="24"/>
          <w:szCs w:val="24"/>
          <w:lang w:val="en-US"/>
        </w:rPr>
        <w:t xml:space="preserve">The accuracy of injection placement in SAPS did not influence pain and function, suggesting that improvements in patients’ outcomes using subacromial corticosteroid injections can be achieved without US guidance. </w:t>
      </w:r>
    </w:p>
    <w:p w14:paraId="4B7AAD38" w14:textId="77777777" w:rsidR="00203A6A" w:rsidRDefault="00154539" w:rsidP="009D39B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Keywords:</w:t>
      </w:r>
    </w:p>
    <w:p w14:paraId="73CADAAB" w14:textId="3C541217" w:rsidR="00154539" w:rsidRDefault="00154539" w:rsidP="009D39B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“subacromial pain syndrome”; “corticosteroid injection”; “shoulder pain”; “ultrasound”</w:t>
      </w:r>
    </w:p>
    <w:p w14:paraId="47E7FC53" w14:textId="02243D0D" w:rsidR="00154539" w:rsidRPr="005D5996" w:rsidRDefault="005D5996" w:rsidP="00CE5C14">
      <w:pPr>
        <w:spacing w:line="360" w:lineRule="auto"/>
        <w:jc w:val="both"/>
        <w:rPr>
          <w:rFonts w:ascii="Times New Roman" w:hAnsi="Times New Roman" w:cs="Times New Roman"/>
          <w:b/>
          <w:sz w:val="24"/>
          <w:szCs w:val="24"/>
          <w:lang w:val="en-US"/>
        </w:rPr>
      </w:pPr>
      <w:r w:rsidRPr="00C67529">
        <w:rPr>
          <w:rFonts w:ascii="Times New Roman" w:hAnsi="Times New Roman" w:cs="Times New Roman"/>
          <w:b/>
          <w:sz w:val="24"/>
          <w:szCs w:val="24"/>
          <w:lang w:val="en-US"/>
        </w:rPr>
        <w:lastRenderedPageBreak/>
        <w:t>Introduction</w:t>
      </w:r>
    </w:p>
    <w:p w14:paraId="5F09B41A" w14:textId="7F3D8199" w:rsidR="007D58FD" w:rsidRDefault="00CE5C14" w:rsidP="00CE5C14">
      <w:pPr>
        <w:spacing w:line="360" w:lineRule="auto"/>
        <w:jc w:val="both"/>
        <w:rPr>
          <w:rFonts w:ascii="Times New Roman" w:hAnsi="Times New Roman" w:cs="Times New Roman"/>
          <w:sz w:val="24"/>
          <w:szCs w:val="24"/>
          <w:lang w:val="en-US"/>
        </w:rPr>
      </w:pPr>
      <w:r w:rsidRPr="00CE5C14">
        <w:rPr>
          <w:rFonts w:ascii="Times New Roman" w:hAnsi="Times New Roman" w:cs="Times New Roman"/>
          <w:sz w:val="24"/>
          <w:szCs w:val="24"/>
          <w:lang w:val="en-US"/>
        </w:rPr>
        <w:t>Painful shoulder problems are a common cause of impaired function</w:t>
      </w:r>
      <w:r w:rsidR="00272362">
        <w:rPr>
          <w:rFonts w:ascii="Times New Roman" w:hAnsi="Times New Roman" w:cs="Times New Roman"/>
          <w:sz w:val="24"/>
          <w:szCs w:val="24"/>
          <w:lang w:val="en-US"/>
        </w:rPr>
        <w:t>,</w:t>
      </w:r>
      <w:r w:rsidRPr="00CE5C14">
        <w:rPr>
          <w:rFonts w:ascii="Times New Roman" w:hAnsi="Times New Roman" w:cs="Times New Roman"/>
          <w:sz w:val="24"/>
          <w:szCs w:val="24"/>
          <w:lang w:val="en-US"/>
        </w:rPr>
        <w:t xml:space="preserve"> affect</w:t>
      </w:r>
      <w:r w:rsidR="00272362">
        <w:rPr>
          <w:rFonts w:ascii="Times New Roman" w:hAnsi="Times New Roman" w:cs="Times New Roman"/>
          <w:sz w:val="24"/>
          <w:szCs w:val="24"/>
          <w:lang w:val="en-US"/>
        </w:rPr>
        <w:t>ing</w:t>
      </w:r>
      <w:r w:rsidRPr="00CE5C14">
        <w:rPr>
          <w:rFonts w:ascii="Times New Roman" w:hAnsi="Times New Roman" w:cs="Times New Roman"/>
          <w:sz w:val="24"/>
          <w:szCs w:val="24"/>
          <w:lang w:val="en-US"/>
        </w:rPr>
        <w:t xml:space="preserve"> 1 in 3 adults</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RW.CITE{{doc:61a250058f08d1fdde4b101a Chard,MD 1991; doc:61a250258f08a5dab26f5a30 Picavet,HS 2003}}</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(Chard, Hazleman, Hazleman, King, &amp; Reiss, 1991; Picavet &amp; Schouten, 2003)</w:t>
      </w:r>
      <w:r w:rsidR="001A094B">
        <w:rPr>
          <w:rFonts w:ascii="Times New Roman" w:hAnsi="Times New Roman" w:cs="Times New Roman"/>
          <w:sz w:val="24"/>
          <w:szCs w:val="24"/>
          <w:lang w:val="en-US"/>
        </w:rPr>
        <w:fldChar w:fldCharType="end"/>
      </w:r>
      <w:r w:rsidR="00805DB4">
        <w:rPr>
          <w:rFonts w:ascii="Times New Roman" w:hAnsi="Times New Roman" w:cs="Times New Roman"/>
          <w:sz w:val="24"/>
          <w:szCs w:val="24"/>
          <w:lang w:val="en-US"/>
        </w:rPr>
        <w:t>.</w:t>
      </w:r>
      <w:r w:rsidRPr="00CE5C14">
        <w:rPr>
          <w:rFonts w:ascii="Times New Roman" w:hAnsi="Times New Roman" w:cs="Times New Roman"/>
          <w:sz w:val="24"/>
          <w:szCs w:val="24"/>
          <w:lang w:val="en-US"/>
        </w:rPr>
        <w:t xml:space="preserve"> Subacromial </w:t>
      </w:r>
      <w:r w:rsidR="00A46056">
        <w:rPr>
          <w:rFonts w:ascii="Times New Roman" w:hAnsi="Times New Roman" w:cs="Times New Roman"/>
          <w:sz w:val="24"/>
          <w:szCs w:val="24"/>
          <w:lang w:val="en-US"/>
        </w:rPr>
        <w:t>pain (</w:t>
      </w:r>
      <w:r w:rsidRPr="00CE5C14">
        <w:rPr>
          <w:rFonts w:ascii="Times New Roman" w:hAnsi="Times New Roman" w:cs="Times New Roman"/>
          <w:sz w:val="24"/>
          <w:szCs w:val="24"/>
          <w:lang w:val="en-US"/>
        </w:rPr>
        <w:t>impingement</w:t>
      </w:r>
      <w:r w:rsidR="00A46056">
        <w:rPr>
          <w:rFonts w:ascii="Times New Roman" w:hAnsi="Times New Roman" w:cs="Times New Roman"/>
          <w:sz w:val="24"/>
          <w:szCs w:val="24"/>
          <w:lang w:val="en-US"/>
        </w:rPr>
        <w:t>) syndrome (SAPS</w:t>
      </w:r>
      <w:r w:rsidRPr="00CE5C14">
        <w:rPr>
          <w:rFonts w:ascii="Times New Roman" w:hAnsi="Times New Roman" w:cs="Times New Roman"/>
          <w:sz w:val="24"/>
          <w:szCs w:val="24"/>
          <w:lang w:val="en-US"/>
        </w:rPr>
        <w:t>) is the most common cause of shoulder pain</w:t>
      </w:r>
      <w:r w:rsidR="002B6AC1">
        <w:rPr>
          <w:rFonts w:ascii="Times New Roman" w:hAnsi="Times New Roman" w:cs="Times New Roman"/>
          <w:sz w:val="24"/>
          <w:szCs w:val="24"/>
          <w:lang w:val="en-US"/>
        </w:rPr>
        <w:t xml:space="preserve">, comprising </w:t>
      </w:r>
      <w:r w:rsidR="00191008">
        <w:rPr>
          <w:rFonts w:ascii="Times New Roman" w:hAnsi="Times New Roman" w:cs="Times New Roman"/>
          <w:sz w:val="24"/>
          <w:szCs w:val="24"/>
          <w:lang w:val="en-US"/>
        </w:rPr>
        <w:t xml:space="preserve">of </w:t>
      </w:r>
      <w:r w:rsidRPr="00CE5C14">
        <w:rPr>
          <w:rFonts w:ascii="Times New Roman" w:hAnsi="Times New Roman" w:cs="Times New Roman"/>
          <w:sz w:val="24"/>
          <w:szCs w:val="24"/>
          <w:lang w:val="en-US"/>
        </w:rPr>
        <w:t xml:space="preserve">approximately </w:t>
      </w:r>
      <w:r w:rsidR="000E7814">
        <w:rPr>
          <w:rFonts w:ascii="Times New Roman" w:hAnsi="Times New Roman" w:cs="Times New Roman"/>
          <w:sz w:val="24"/>
          <w:szCs w:val="24"/>
          <w:lang w:val="en-US"/>
        </w:rPr>
        <w:t xml:space="preserve">half </w:t>
      </w:r>
      <w:r w:rsidRPr="00CE5C14">
        <w:rPr>
          <w:rFonts w:ascii="Times New Roman" w:hAnsi="Times New Roman" w:cs="Times New Roman"/>
          <w:sz w:val="24"/>
          <w:szCs w:val="24"/>
          <w:lang w:val="en-US"/>
        </w:rPr>
        <w:t>of all shoulder pain sufferers</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RW.CITE{{doc:61a250508f08ea8d30b18abe vanderWindt,DA 1995}}</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(van der Windt, D A, Koes, de Jong, &amp; Bouter, 1995)</w:t>
      </w:r>
      <w:r w:rsidR="001A094B">
        <w:rPr>
          <w:rFonts w:ascii="Times New Roman" w:hAnsi="Times New Roman" w:cs="Times New Roman"/>
          <w:sz w:val="24"/>
          <w:szCs w:val="24"/>
          <w:lang w:val="en-US"/>
        </w:rPr>
        <w:fldChar w:fldCharType="end"/>
      </w:r>
      <w:r w:rsidRPr="00CE5C14">
        <w:rPr>
          <w:rFonts w:ascii="Times New Roman" w:hAnsi="Times New Roman" w:cs="Times New Roman"/>
          <w:sz w:val="24"/>
          <w:szCs w:val="24"/>
          <w:lang w:val="en-US"/>
        </w:rPr>
        <w:t>. S</w:t>
      </w:r>
      <w:r w:rsidR="00D634B2">
        <w:rPr>
          <w:rFonts w:ascii="Times New Roman" w:hAnsi="Times New Roman" w:cs="Times New Roman"/>
          <w:sz w:val="24"/>
          <w:szCs w:val="24"/>
          <w:lang w:val="en-US"/>
        </w:rPr>
        <w:t>AP</w:t>
      </w:r>
      <w:r w:rsidRPr="00CE5C14">
        <w:rPr>
          <w:rFonts w:ascii="Times New Roman" w:hAnsi="Times New Roman" w:cs="Times New Roman"/>
          <w:sz w:val="24"/>
          <w:szCs w:val="24"/>
          <w:lang w:val="en-US"/>
        </w:rPr>
        <w:t xml:space="preserve">S typically presents with pain during </w:t>
      </w:r>
      <w:r w:rsidR="00DA66BE">
        <w:rPr>
          <w:rFonts w:ascii="Times New Roman" w:hAnsi="Times New Roman" w:cs="Times New Roman"/>
          <w:sz w:val="24"/>
          <w:szCs w:val="24"/>
          <w:lang w:val="en-US"/>
        </w:rPr>
        <w:t xml:space="preserve">arm </w:t>
      </w:r>
      <w:r w:rsidRPr="00CE5C14">
        <w:rPr>
          <w:rFonts w:ascii="Times New Roman" w:hAnsi="Times New Roman" w:cs="Times New Roman"/>
          <w:sz w:val="24"/>
          <w:szCs w:val="24"/>
          <w:lang w:val="en-US"/>
        </w:rPr>
        <w:t xml:space="preserve">elevation </w:t>
      </w:r>
      <w:r w:rsidR="002B6AC1">
        <w:rPr>
          <w:rFonts w:ascii="Times New Roman" w:hAnsi="Times New Roman" w:cs="Times New Roman"/>
          <w:sz w:val="24"/>
          <w:szCs w:val="24"/>
          <w:lang w:val="en-US"/>
        </w:rPr>
        <w:t xml:space="preserve">and </w:t>
      </w:r>
      <w:r w:rsidRPr="00CE5C14">
        <w:rPr>
          <w:rFonts w:ascii="Times New Roman" w:hAnsi="Times New Roman" w:cs="Times New Roman"/>
          <w:sz w:val="24"/>
          <w:szCs w:val="24"/>
          <w:lang w:val="en-US"/>
        </w:rPr>
        <w:t>is thought to arise as a result of bony abnormalities, rotator cuff weakness, impaired scapulohumeral rhythm, scapular instability and poor posture</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RW.CITE{{doc:61a2510c8f087c4b4959db08 Hanchard,N.C. 2012; doc:61a2516d8f08fe4766e73c05 Roddy,E 2014; doc:61a251508f0858d53d74e0b2 Bigliani,LU 1997}}</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(Bigliani &amp; Levine, 1997; Hanchard et al., 2012; Roddy et al., 2014)</w:t>
      </w:r>
      <w:r w:rsidR="001A094B">
        <w:rPr>
          <w:rFonts w:ascii="Times New Roman" w:hAnsi="Times New Roman" w:cs="Times New Roman"/>
          <w:sz w:val="24"/>
          <w:szCs w:val="24"/>
          <w:lang w:val="en-US"/>
        </w:rPr>
        <w:fldChar w:fldCharType="end"/>
      </w:r>
      <w:r w:rsidRPr="00CE5C14">
        <w:rPr>
          <w:rFonts w:ascii="Times New Roman" w:hAnsi="Times New Roman" w:cs="Times New Roman"/>
          <w:sz w:val="24"/>
          <w:szCs w:val="24"/>
          <w:lang w:val="en-US"/>
        </w:rPr>
        <w:t>.</w:t>
      </w:r>
    </w:p>
    <w:p w14:paraId="70BFA5DC" w14:textId="077D7BA6" w:rsidR="00D4004E" w:rsidRDefault="00CE5C14" w:rsidP="00CE5C14">
      <w:pPr>
        <w:spacing w:line="360" w:lineRule="auto"/>
        <w:jc w:val="both"/>
        <w:rPr>
          <w:rFonts w:ascii="Times New Roman" w:hAnsi="Times New Roman" w:cs="Times New Roman"/>
          <w:sz w:val="24"/>
          <w:szCs w:val="24"/>
          <w:lang w:val="en-US"/>
        </w:rPr>
      </w:pPr>
      <w:r w:rsidRPr="00CE5C14">
        <w:rPr>
          <w:rFonts w:ascii="Times New Roman" w:hAnsi="Times New Roman" w:cs="Times New Roman"/>
          <w:sz w:val="24"/>
          <w:szCs w:val="24"/>
          <w:lang w:val="en-US"/>
        </w:rPr>
        <w:t>Corticosteroid injections are commonly used to reduce pain and i</w:t>
      </w:r>
      <w:r w:rsidR="00154539">
        <w:rPr>
          <w:rFonts w:ascii="Times New Roman" w:hAnsi="Times New Roman" w:cs="Times New Roman"/>
          <w:sz w:val="24"/>
          <w:szCs w:val="24"/>
          <w:lang w:val="en-US"/>
        </w:rPr>
        <w:t>nflammation associated with SAPS</w:t>
      </w:r>
      <w:r w:rsidRPr="00CE5C14">
        <w:rPr>
          <w:rFonts w:ascii="Times New Roman" w:hAnsi="Times New Roman" w:cs="Times New Roman"/>
          <w:sz w:val="24"/>
          <w:szCs w:val="24"/>
          <w:lang w:val="en-US"/>
        </w:rPr>
        <w:t xml:space="preserve"> although there is debate about their efficacy</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C16E47">
        <w:rPr>
          <w:rFonts w:ascii="Times New Roman" w:hAnsi="Times New Roman" w:cs="Times New Roman"/>
          <w:sz w:val="24"/>
          <w:szCs w:val="24"/>
          <w:lang w:val="en-US"/>
        </w:rPr>
        <w:instrText>ADDIN RW.CITE{{doc:61b5edbc8f08561b67dfe6df Akbari,N 2020}}</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(Akbari, Ozen, Senlikci, Haberal, &amp; Cetin, 2020)</w:t>
      </w:r>
      <w:r w:rsidR="001A094B">
        <w:rPr>
          <w:rFonts w:ascii="Times New Roman" w:hAnsi="Times New Roman" w:cs="Times New Roman"/>
          <w:sz w:val="24"/>
          <w:szCs w:val="24"/>
          <w:lang w:val="en-US"/>
        </w:rPr>
        <w:fldChar w:fldCharType="end"/>
      </w:r>
      <w:r w:rsidRPr="00CE5C14">
        <w:rPr>
          <w:rFonts w:ascii="Times New Roman" w:hAnsi="Times New Roman" w:cs="Times New Roman"/>
          <w:sz w:val="24"/>
          <w:szCs w:val="24"/>
          <w:lang w:val="en-US"/>
        </w:rPr>
        <w:t xml:space="preserve">. </w:t>
      </w:r>
      <w:r w:rsidR="00B76146">
        <w:rPr>
          <w:rFonts w:ascii="Times New Roman" w:hAnsi="Times New Roman" w:cs="Times New Roman"/>
          <w:sz w:val="24"/>
          <w:szCs w:val="24"/>
          <w:lang w:val="en-US"/>
        </w:rPr>
        <w:t>T</w:t>
      </w:r>
      <w:r w:rsidRPr="00CE5C14">
        <w:rPr>
          <w:rFonts w:ascii="Times New Roman" w:hAnsi="Times New Roman" w:cs="Times New Roman"/>
          <w:sz w:val="24"/>
          <w:szCs w:val="24"/>
          <w:lang w:val="en-US"/>
        </w:rPr>
        <w:t>raditionally</w:t>
      </w:r>
      <w:r w:rsidR="00B76146">
        <w:rPr>
          <w:rFonts w:ascii="Times New Roman" w:hAnsi="Times New Roman" w:cs="Times New Roman"/>
          <w:sz w:val="24"/>
          <w:szCs w:val="24"/>
          <w:lang w:val="en-US"/>
        </w:rPr>
        <w:t xml:space="preserve">, </w:t>
      </w:r>
      <w:r w:rsidRPr="00CE5C14">
        <w:rPr>
          <w:rFonts w:ascii="Times New Roman" w:hAnsi="Times New Roman" w:cs="Times New Roman"/>
          <w:sz w:val="24"/>
          <w:szCs w:val="24"/>
          <w:lang w:val="en-US"/>
        </w:rPr>
        <w:t>needle placement</w:t>
      </w:r>
      <w:r w:rsidR="00B76146">
        <w:rPr>
          <w:rFonts w:ascii="Times New Roman" w:hAnsi="Times New Roman" w:cs="Times New Roman"/>
          <w:sz w:val="24"/>
          <w:szCs w:val="24"/>
          <w:lang w:val="en-US"/>
        </w:rPr>
        <w:t xml:space="preserve"> is guided by palpation of anatomical landmarks</w:t>
      </w:r>
      <w:r w:rsidRPr="00CE5C14">
        <w:rPr>
          <w:rFonts w:ascii="Times New Roman" w:hAnsi="Times New Roman" w:cs="Times New Roman"/>
          <w:sz w:val="24"/>
          <w:szCs w:val="24"/>
          <w:lang w:val="en-US"/>
        </w:rPr>
        <w:t xml:space="preserve">. </w:t>
      </w:r>
      <w:r w:rsidR="005F3088">
        <w:rPr>
          <w:rFonts w:ascii="Times New Roman" w:hAnsi="Times New Roman" w:cs="Times New Roman"/>
          <w:sz w:val="24"/>
          <w:szCs w:val="24"/>
          <w:lang w:val="en-US"/>
        </w:rPr>
        <w:t>Inefficacy of corticosteroid injections has been attributed to inaccurate placement</w:t>
      </w:r>
      <w:r w:rsidR="00272362">
        <w:rPr>
          <w:rFonts w:ascii="Times New Roman" w:hAnsi="Times New Roman" w:cs="Times New Roman"/>
          <w:sz w:val="24"/>
          <w:szCs w:val="24"/>
          <w:lang w:val="en-US"/>
        </w:rPr>
        <w:t>.</w:t>
      </w:r>
      <w:r w:rsidR="005F3088">
        <w:rPr>
          <w:rFonts w:ascii="Times New Roman" w:hAnsi="Times New Roman" w:cs="Times New Roman"/>
          <w:sz w:val="24"/>
          <w:szCs w:val="24"/>
          <w:lang w:val="en-US"/>
        </w:rPr>
        <w:t xml:space="preserve"> </w:t>
      </w:r>
      <w:r w:rsidR="00272362">
        <w:rPr>
          <w:rFonts w:ascii="Times New Roman" w:hAnsi="Times New Roman" w:cs="Times New Roman"/>
          <w:sz w:val="24"/>
          <w:szCs w:val="24"/>
          <w:lang w:val="en-US"/>
        </w:rPr>
        <w:t>S</w:t>
      </w:r>
      <w:r w:rsidR="005F3088">
        <w:rPr>
          <w:rFonts w:ascii="Times New Roman" w:hAnsi="Times New Roman" w:cs="Times New Roman"/>
          <w:sz w:val="24"/>
          <w:szCs w:val="24"/>
          <w:lang w:val="en-US"/>
        </w:rPr>
        <w:t xml:space="preserve">tudies </w:t>
      </w:r>
      <w:r w:rsidR="00272362">
        <w:rPr>
          <w:rFonts w:ascii="Times New Roman" w:hAnsi="Times New Roman" w:cs="Times New Roman"/>
          <w:sz w:val="24"/>
          <w:szCs w:val="24"/>
          <w:lang w:val="en-US"/>
        </w:rPr>
        <w:t>of</w:t>
      </w:r>
      <w:r w:rsidR="005F3088">
        <w:rPr>
          <w:rFonts w:ascii="Times New Roman" w:hAnsi="Times New Roman" w:cs="Times New Roman"/>
          <w:sz w:val="24"/>
          <w:szCs w:val="24"/>
          <w:lang w:val="en-US"/>
        </w:rPr>
        <w:t xml:space="preserve"> large joints such as the shoulder and knee demonstrat</w:t>
      </w:r>
      <w:r w:rsidR="00272362">
        <w:rPr>
          <w:rFonts w:ascii="Times New Roman" w:hAnsi="Times New Roman" w:cs="Times New Roman"/>
          <w:sz w:val="24"/>
          <w:szCs w:val="24"/>
          <w:lang w:val="en-US"/>
        </w:rPr>
        <w:t>e</w:t>
      </w:r>
      <w:r w:rsidR="005F3088">
        <w:rPr>
          <w:rFonts w:ascii="Times New Roman" w:hAnsi="Times New Roman" w:cs="Times New Roman"/>
          <w:sz w:val="24"/>
          <w:szCs w:val="24"/>
          <w:lang w:val="en-US"/>
        </w:rPr>
        <w:t xml:space="preserve"> </w:t>
      </w:r>
      <w:r w:rsidR="00B46ECA">
        <w:rPr>
          <w:rFonts w:ascii="Times New Roman" w:hAnsi="Times New Roman" w:cs="Times New Roman"/>
          <w:sz w:val="24"/>
          <w:szCs w:val="24"/>
          <w:lang w:val="en-US"/>
        </w:rPr>
        <w:t xml:space="preserve">that the </w:t>
      </w:r>
      <w:r w:rsidRPr="00CE5C14">
        <w:rPr>
          <w:rFonts w:ascii="Times New Roman" w:hAnsi="Times New Roman" w:cs="Times New Roman"/>
          <w:sz w:val="24"/>
          <w:szCs w:val="24"/>
          <w:lang w:val="en-US"/>
        </w:rPr>
        <w:t xml:space="preserve">accuracy </w:t>
      </w:r>
      <w:r w:rsidR="00272362">
        <w:rPr>
          <w:rFonts w:ascii="Times New Roman" w:hAnsi="Times New Roman" w:cs="Times New Roman"/>
          <w:sz w:val="24"/>
          <w:szCs w:val="24"/>
          <w:lang w:val="en-US"/>
        </w:rPr>
        <w:t>of injection</w:t>
      </w:r>
      <w:r w:rsidR="00B46ECA">
        <w:rPr>
          <w:rFonts w:ascii="Times New Roman" w:hAnsi="Times New Roman" w:cs="Times New Roman"/>
          <w:sz w:val="24"/>
          <w:szCs w:val="24"/>
          <w:lang w:val="en-US"/>
        </w:rPr>
        <w:t xml:space="preserve"> placement</w:t>
      </w:r>
      <w:r w:rsidR="00272362">
        <w:rPr>
          <w:rFonts w:ascii="Times New Roman" w:hAnsi="Times New Roman" w:cs="Times New Roman"/>
          <w:sz w:val="24"/>
          <w:szCs w:val="24"/>
          <w:lang w:val="en-US"/>
        </w:rPr>
        <w:t xml:space="preserve"> </w:t>
      </w:r>
      <w:r w:rsidR="00B46ECA">
        <w:rPr>
          <w:rFonts w:ascii="Times New Roman" w:hAnsi="Times New Roman" w:cs="Times New Roman"/>
          <w:sz w:val="24"/>
          <w:szCs w:val="24"/>
          <w:lang w:val="en-US"/>
        </w:rPr>
        <w:t>varies</w:t>
      </w:r>
      <w:r w:rsidRPr="00CE5C14">
        <w:rPr>
          <w:rFonts w:ascii="Times New Roman" w:hAnsi="Times New Roman" w:cs="Times New Roman"/>
          <w:sz w:val="24"/>
          <w:szCs w:val="24"/>
          <w:lang w:val="en-US"/>
        </w:rPr>
        <w:t xml:space="preserve"> from 26% to 93%</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RW.CITE{{doc:61a251d28f08d26202108e6a Jones,A 1993; doc:61a251fd8f0842c23cdf4980 Jackson,DW 2002; doc:61a2522a8f0858d53d74e0c9 Sethi,PM 2005; doc:61a2522a8f0858d53d74e0c8 Sethi,PM 2006}}</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(Jackson, Evans, &amp; Thomas, 2002; Jones et al., 1993; Sethi, Kingston, &amp; Elattrache, 2005; Sethi &amp; El Attrache, 2006)</w:t>
      </w:r>
      <w:r w:rsidR="001A094B">
        <w:rPr>
          <w:rFonts w:ascii="Times New Roman" w:hAnsi="Times New Roman" w:cs="Times New Roman"/>
          <w:sz w:val="24"/>
          <w:szCs w:val="24"/>
          <w:lang w:val="en-US"/>
        </w:rPr>
        <w:fldChar w:fldCharType="end"/>
      </w:r>
      <w:r w:rsidRPr="00CE5C14">
        <w:rPr>
          <w:rFonts w:ascii="Times New Roman" w:hAnsi="Times New Roman" w:cs="Times New Roman"/>
          <w:sz w:val="24"/>
          <w:szCs w:val="24"/>
          <w:lang w:val="en-US"/>
        </w:rPr>
        <w:t>.</w:t>
      </w:r>
      <w:r w:rsidR="00154539">
        <w:rPr>
          <w:rFonts w:ascii="Times New Roman" w:hAnsi="Times New Roman" w:cs="Times New Roman"/>
          <w:sz w:val="24"/>
          <w:szCs w:val="24"/>
          <w:lang w:val="en-US"/>
        </w:rPr>
        <w:t xml:space="preserve"> </w:t>
      </w:r>
      <w:r w:rsidRPr="00CE5C14">
        <w:rPr>
          <w:rFonts w:ascii="Times New Roman" w:hAnsi="Times New Roman" w:cs="Times New Roman"/>
          <w:sz w:val="24"/>
          <w:szCs w:val="24"/>
          <w:lang w:val="en-US"/>
        </w:rPr>
        <w:t xml:space="preserve">Consequently, guidance </w:t>
      </w:r>
      <w:r w:rsidR="00272362">
        <w:rPr>
          <w:rFonts w:ascii="Times New Roman" w:hAnsi="Times New Roman" w:cs="Times New Roman"/>
          <w:sz w:val="24"/>
          <w:szCs w:val="24"/>
          <w:lang w:val="en-US"/>
        </w:rPr>
        <w:t>of injections with</w:t>
      </w:r>
      <w:r w:rsidR="00585D6E">
        <w:rPr>
          <w:rFonts w:ascii="Times New Roman" w:hAnsi="Times New Roman" w:cs="Times New Roman"/>
          <w:sz w:val="24"/>
          <w:szCs w:val="24"/>
          <w:lang w:val="en-US"/>
        </w:rPr>
        <w:t xml:space="preserve"> ultrasound (US) </w:t>
      </w:r>
      <w:r w:rsidRPr="00CE5C14">
        <w:rPr>
          <w:rFonts w:ascii="Times New Roman" w:hAnsi="Times New Roman" w:cs="Times New Roman"/>
          <w:sz w:val="24"/>
          <w:szCs w:val="24"/>
          <w:lang w:val="en-US"/>
        </w:rPr>
        <w:t xml:space="preserve">has been recommended to </w:t>
      </w:r>
      <w:r w:rsidR="00B46ECA">
        <w:rPr>
          <w:rFonts w:ascii="Times New Roman" w:hAnsi="Times New Roman" w:cs="Times New Roman"/>
          <w:sz w:val="24"/>
          <w:szCs w:val="24"/>
          <w:lang w:val="en-US"/>
        </w:rPr>
        <w:t>increase</w:t>
      </w:r>
      <w:r w:rsidR="00B46ECA" w:rsidRPr="00CE5C14">
        <w:rPr>
          <w:rFonts w:ascii="Times New Roman" w:hAnsi="Times New Roman" w:cs="Times New Roman"/>
          <w:sz w:val="24"/>
          <w:szCs w:val="24"/>
          <w:lang w:val="en-US"/>
        </w:rPr>
        <w:t xml:space="preserve"> </w:t>
      </w:r>
      <w:r w:rsidRPr="00CE5C14">
        <w:rPr>
          <w:rFonts w:ascii="Times New Roman" w:hAnsi="Times New Roman" w:cs="Times New Roman"/>
          <w:sz w:val="24"/>
          <w:szCs w:val="24"/>
          <w:lang w:val="en-US"/>
        </w:rPr>
        <w:t>accurate needle placement for diagnostic and therapeutic purposes as well as safety</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RW.CITE{{doc:61a2527e8f08921f44e94b65 Caglar-Yagci,H 2005; doc:61a2525e8f08a97cd18b0ff2 Carson,BW 1999; doc:61a2524c8f08bc6b5b428e51 Qvistgaard,E 2001}}</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(Caglar-Yagci, Unsal, Yagci, Dulgeroglu, &amp; Ozel, 2005; Carson &amp; Wong, 1999; Qvistgaard et al., 2001)</w:t>
      </w:r>
      <w:r w:rsidR="001A094B">
        <w:rPr>
          <w:rFonts w:ascii="Times New Roman" w:hAnsi="Times New Roman" w:cs="Times New Roman"/>
          <w:sz w:val="24"/>
          <w:szCs w:val="24"/>
          <w:lang w:val="en-US"/>
        </w:rPr>
        <w:fldChar w:fldCharType="end"/>
      </w:r>
      <w:r w:rsidR="00805DB4">
        <w:rPr>
          <w:rFonts w:ascii="Times New Roman" w:hAnsi="Times New Roman" w:cs="Times New Roman"/>
          <w:sz w:val="24"/>
          <w:szCs w:val="24"/>
          <w:lang w:val="en-US"/>
        </w:rPr>
        <w:t>.</w:t>
      </w:r>
    </w:p>
    <w:p w14:paraId="65FD6F02" w14:textId="3B81E9C1" w:rsidR="00D4004E" w:rsidRDefault="005F3088"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it is still uncertain whether accuracy of corticosteroid injection</w:t>
      </w:r>
      <w:r w:rsidR="00191008">
        <w:rPr>
          <w:rFonts w:ascii="Times New Roman" w:hAnsi="Times New Roman" w:cs="Times New Roman"/>
          <w:sz w:val="24"/>
          <w:szCs w:val="24"/>
          <w:lang w:val="en-US"/>
        </w:rPr>
        <w:t xml:space="preserve"> for SAPS</w:t>
      </w:r>
      <w:r>
        <w:rPr>
          <w:rFonts w:ascii="Times New Roman" w:hAnsi="Times New Roman" w:cs="Times New Roman"/>
          <w:sz w:val="24"/>
          <w:szCs w:val="24"/>
          <w:lang w:val="en-US"/>
        </w:rPr>
        <w:t xml:space="preserve"> </w:t>
      </w:r>
      <w:r w:rsidR="00D334A1">
        <w:rPr>
          <w:rFonts w:ascii="Times New Roman" w:hAnsi="Times New Roman" w:cs="Times New Roman"/>
          <w:sz w:val="24"/>
          <w:szCs w:val="24"/>
          <w:lang w:val="en-US"/>
        </w:rPr>
        <w:t>influences pain and function</w:t>
      </w:r>
      <w:r>
        <w:rPr>
          <w:rFonts w:ascii="Times New Roman" w:hAnsi="Times New Roman" w:cs="Times New Roman"/>
          <w:sz w:val="24"/>
          <w:szCs w:val="24"/>
          <w:lang w:val="en-US"/>
        </w:rPr>
        <w:t xml:space="preserve"> outcomes</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RW.CITE{{doc:61a252a68f08d1fdde4b1049 Sage,W 2013; doc:61a252b68f08ea8d30b18c83 Aly,AR 2015}}</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(Aly, Rajasekaran, &amp; Ashworth, 2015; Sage, Pickup, Smith, Denton, &amp; Toms, 2013)</w:t>
      </w:r>
      <w:r w:rsidR="001A094B">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071FF1">
        <w:rPr>
          <w:rFonts w:ascii="Times New Roman" w:hAnsi="Times New Roman" w:cs="Times New Roman"/>
          <w:sz w:val="24"/>
          <w:szCs w:val="24"/>
          <w:lang w:val="en-US"/>
        </w:rPr>
        <w:t xml:space="preserve"> </w:t>
      </w:r>
      <w:r w:rsidR="00F40EF0">
        <w:rPr>
          <w:rFonts w:ascii="Times New Roman" w:hAnsi="Times New Roman" w:cs="Times New Roman"/>
          <w:sz w:val="24"/>
          <w:szCs w:val="24"/>
          <w:lang w:val="en-US"/>
        </w:rPr>
        <w:t xml:space="preserve">A systematic review reported </w:t>
      </w:r>
      <w:r w:rsidR="008B6762" w:rsidRPr="00CE5C14">
        <w:rPr>
          <w:rFonts w:ascii="Times New Roman" w:hAnsi="Times New Roman" w:cs="Times New Roman"/>
          <w:sz w:val="24"/>
          <w:szCs w:val="24"/>
          <w:lang w:val="en-US"/>
        </w:rPr>
        <w:t xml:space="preserve">greater improvements in pain, function and range of movement </w:t>
      </w:r>
      <w:r w:rsidR="002C35E9">
        <w:rPr>
          <w:rFonts w:ascii="Times New Roman" w:hAnsi="Times New Roman" w:cs="Times New Roman"/>
          <w:sz w:val="24"/>
          <w:szCs w:val="24"/>
          <w:lang w:val="en-US"/>
        </w:rPr>
        <w:t>from</w:t>
      </w:r>
      <w:r w:rsidR="00585D6E">
        <w:rPr>
          <w:rFonts w:ascii="Times New Roman" w:hAnsi="Times New Roman" w:cs="Times New Roman"/>
          <w:sz w:val="24"/>
          <w:szCs w:val="24"/>
          <w:lang w:val="en-US"/>
        </w:rPr>
        <w:t xml:space="preserve"> US</w:t>
      </w:r>
      <w:r w:rsidR="00CE5C14" w:rsidRPr="00CE5C14">
        <w:rPr>
          <w:rFonts w:ascii="Times New Roman" w:hAnsi="Times New Roman" w:cs="Times New Roman"/>
          <w:sz w:val="24"/>
          <w:szCs w:val="24"/>
          <w:lang w:val="en-US"/>
        </w:rPr>
        <w:t xml:space="preserve">-guided corticosteroid shoulder injections </w:t>
      </w:r>
      <w:r w:rsidR="002C35E9">
        <w:rPr>
          <w:rFonts w:ascii="Times New Roman" w:hAnsi="Times New Roman" w:cs="Times New Roman"/>
          <w:sz w:val="24"/>
          <w:szCs w:val="24"/>
          <w:lang w:val="en-US"/>
        </w:rPr>
        <w:t>than</w:t>
      </w:r>
      <w:r w:rsidR="008B6762">
        <w:rPr>
          <w:rFonts w:ascii="Times New Roman" w:hAnsi="Times New Roman" w:cs="Times New Roman"/>
          <w:sz w:val="24"/>
          <w:szCs w:val="24"/>
          <w:lang w:val="en-US"/>
        </w:rPr>
        <w:t xml:space="preserve"> </w:t>
      </w:r>
      <w:r w:rsidR="00813F12">
        <w:rPr>
          <w:rFonts w:ascii="Times New Roman" w:hAnsi="Times New Roman" w:cs="Times New Roman"/>
          <w:sz w:val="24"/>
          <w:szCs w:val="24"/>
          <w:lang w:val="en-US"/>
        </w:rPr>
        <w:t>unguided</w:t>
      </w:r>
      <w:r w:rsidR="00813F12" w:rsidRPr="00CE5C14">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i</w:t>
      </w:r>
      <w:r w:rsidR="00154539">
        <w:rPr>
          <w:rFonts w:ascii="Times New Roman" w:hAnsi="Times New Roman" w:cs="Times New Roman"/>
          <w:sz w:val="24"/>
          <w:szCs w:val="24"/>
          <w:lang w:val="en-US"/>
        </w:rPr>
        <w:t>njection</w:t>
      </w:r>
      <w:r w:rsidR="0010459D">
        <w:rPr>
          <w:rFonts w:ascii="Times New Roman" w:hAnsi="Times New Roman" w:cs="Times New Roman"/>
          <w:sz w:val="24"/>
          <w:szCs w:val="24"/>
          <w:lang w:val="en-US"/>
        </w:rPr>
        <w:t>s</w:t>
      </w:r>
      <w:r w:rsidR="00191008">
        <w:rPr>
          <w:rFonts w:ascii="Times New Roman" w:hAnsi="Times New Roman" w:cs="Times New Roman"/>
          <w:sz w:val="24"/>
          <w:szCs w:val="24"/>
          <w:lang w:val="en-US"/>
        </w:rPr>
        <w:t xml:space="preserve">, although </w:t>
      </w:r>
      <w:r w:rsidR="002C35E9">
        <w:rPr>
          <w:rFonts w:ascii="Times New Roman" w:hAnsi="Times New Roman" w:cs="Times New Roman"/>
          <w:sz w:val="24"/>
          <w:szCs w:val="24"/>
          <w:lang w:val="en-US"/>
        </w:rPr>
        <w:t>in the included trials, eligibility criteria were heterogeneous, sample sizes were small, follow-up duration was short, and between-group differences were modes</w:t>
      </w:r>
      <w:r w:rsidR="00805DB4">
        <w:rPr>
          <w:rFonts w:ascii="Times New Roman" w:hAnsi="Times New Roman" w:cs="Times New Roman"/>
          <w:sz w:val="24"/>
          <w:szCs w:val="24"/>
          <w:lang w:val="en-US"/>
        </w:rPr>
        <w:t>t</w:t>
      </w:r>
      <w:bookmarkStart w:id="0" w:name="_Ref88906323"/>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RW.CITE{{doc:61a252a68f08d1fdde4b1049 Sage,W 2013}}</w:instrText>
      </w:r>
      <w:r w:rsidR="001A094B">
        <w:rPr>
          <w:rFonts w:ascii="Times New Roman" w:hAnsi="Times New Roman" w:cs="Times New Roman"/>
          <w:sz w:val="24"/>
          <w:szCs w:val="24"/>
          <w:lang w:val="en-US"/>
        </w:rPr>
        <w:fldChar w:fldCharType="separate"/>
      </w:r>
      <w:r w:rsidR="001A094B" w:rsidRPr="001A094B">
        <w:rPr>
          <w:rFonts w:ascii="Times New Roman" w:hAnsi="Times New Roman" w:cs="Times New Roman"/>
          <w:bCs/>
          <w:sz w:val="24"/>
          <w:szCs w:val="24"/>
          <w:lang w:val="en-US"/>
        </w:rPr>
        <w:t>(Sage et al., 2013)</w:t>
      </w:r>
      <w:r w:rsidR="001A094B">
        <w:rPr>
          <w:rFonts w:ascii="Times New Roman" w:hAnsi="Times New Roman" w:cs="Times New Roman"/>
          <w:sz w:val="24"/>
          <w:szCs w:val="24"/>
          <w:lang w:val="en-US"/>
        </w:rPr>
        <w:fldChar w:fldCharType="end"/>
      </w:r>
      <w:bookmarkEnd w:id="0"/>
      <w:r w:rsidR="0010459D">
        <w:rPr>
          <w:rFonts w:ascii="Times New Roman" w:hAnsi="Times New Roman" w:cs="Times New Roman"/>
          <w:sz w:val="24"/>
          <w:szCs w:val="24"/>
          <w:lang w:val="en-US"/>
        </w:rPr>
        <w:t>.</w:t>
      </w:r>
      <w:r w:rsidR="00F87511">
        <w:rPr>
          <w:rFonts w:ascii="Times New Roman" w:hAnsi="Times New Roman" w:cs="Times New Roman"/>
          <w:sz w:val="24"/>
          <w:szCs w:val="24"/>
          <w:lang w:val="en-US"/>
        </w:rPr>
        <w:t xml:space="preserve"> </w:t>
      </w:r>
      <w:r w:rsidR="00805DB4">
        <w:rPr>
          <w:rFonts w:ascii="Times New Roman" w:hAnsi="Times New Roman" w:cs="Times New Roman"/>
          <w:sz w:val="24"/>
          <w:szCs w:val="24"/>
          <w:lang w:val="en-US"/>
        </w:rPr>
        <w:t>A</w:t>
      </w:r>
      <w:r w:rsidR="002C35E9">
        <w:rPr>
          <w:rFonts w:ascii="Times New Roman" w:hAnsi="Times New Roman" w:cs="Times New Roman"/>
          <w:sz w:val="24"/>
          <w:szCs w:val="24"/>
          <w:lang w:val="en-US"/>
        </w:rPr>
        <w:t>nother</w:t>
      </w:r>
      <w:r w:rsidR="00F87511">
        <w:rPr>
          <w:rFonts w:ascii="Times New Roman" w:hAnsi="Times New Roman" w:cs="Times New Roman"/>
          <w:sz w:val="24"/>
          <w:szCs w:val="24"/>
          <w:lang w:val="en-US"/>
        </w:rPr>
        <w:t xml:space="preserve"> </w:t>
      </w:r>
      <w:r w:rsidR="00154539">
        <w:rPr>
          <w:rFonts w:ascii="Times New Roman" w:hAnsi="Times New Roman" w:cs="Times New Roman"/>
          <w:sz w:val="24"/>
          <w:szCs w:val="24"/>
          <w:lang w:val="en-US"/>
        </w:rPr>
        <w:t>systematic review</w:t>
      </w:r>
      <w:r w:rsidR="00CE5C14" w:rsidRPr="00CE5C14">
        <w:rPr>
          <w:rFonts w:ascii="Times New Roman" w:hAnsi="Times New Roman" w:cs="Times New Roman"/>
          <w:sz w:val="24"/>
          <w:szCs w:val="24"/>
          <w:lang w:val="en-US"/>
        </w:rPr>
        <w:t xml:space="preserve"> </w:t>
      </w:r>
      <w:r w:rsidR="002C35E9">
        <w:rPr>
          <w:rFonts w:ascii="Times New Roman" w:hAnsi="Times New Roman" w:cs="Times New Roman"/>
          <w:sz w:val="24"/>
          <w:szCs w:val="24"/>
          <w:lang w:val="en-US"/>
        </w:rPr>
        <w:t>also found</w:t>
      </w:r>
      <w:r w:rsidR="00CE5C14" w:rsidRPr="00CE5C14">
        <w:rPr>
          <w:rFonts w:ascii="Times New Roman" w:hAnsi="Times New Roman" w:cs="Times New Roman"/>
          <w:sz w:val="24"/>
          <w:szCs w:val="24"/>
          <w:lang w:val="en-US"/>
        </w:rPr>
        <w:t xml:space="preserve"> that US-guided </w:t>
      </w:r>
      <w:r w:rsidR="002C35E9">
        <w:rPr>
          <w:rFonts w:ascii="Times New Roman" w:hAnsi="Times New Roman" w:cs="Times New Roman"/>
          <w:sz w:val="24"/>
          <w:szCs w:val="24"/>
          <w:lang w:val="en-US"/>
        </w:rPr>
        <w:t xml:space="preserve">subacromial </w:t>
      </w:r>
      <w:r w:rsidR="00CE5C14" w:rsidRPr="00CE5C14">
        <w:rPr>
          <w:rFonts w:ascii="Times New Roman" w:hAnsi="Times New Roman" w:cs="Times New Roman"/>
          <w:sz w:val="24"/>
          <w:szCs w:val="24"/>
          <w:lang w:val="en-US"/>
        </w:rPr>
        <w:t>injection</w:t>
      </w:r>
      <w:r w:rsidR="00191008">
        <w:rPr>
          <w:rFonts w:ascii="Times New Roman" w:hAnsi="Times New Roman" w:cs="Times New Roman"/>
          <w:sz w:val="24"/>
          <w:szCs w:val="24"/>
          <w:lang w:val="en-US"/>
        </w:rPr>
        <w:t>s</w:t>
      </w:r>
      <w:r w:rsidR="00CE5C14" w:rsidRPr="00CE5C14">
        <w:rPr>
          <w:rFonts w:ascii="Times New Roman" w:hAnsi="Times New Roman" w:cs="Times New Roman"/>
          <w:sz w:val="24"/>
          <w:szCs w:val="24"/>
          <w:lang w:val="en-US"/>
        </w:rPr>
        <w:t xml:space="preserve"> </w:t>
      </w:r>
      <w:r w:rsidR="0096638D">
        <w:rPr>
          <w:rFonts w:ascii="Times New Roman" w:hAnsi="Times New Roman" w:cs="Times New Roman"/>
          <w:sz w:val="24"/>
          <w:szCs w:val="24"/>
          <w:lang w:val="en-US"/>
        </w:rPr>
        <w:t>led to</w:t>
      </w:r>
      <w:r w:rsidR="0096638D" w:rsidRPr="00CE5C14">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greater improvement in pain and function</w:t>
      </w:r>
      <w:r w:rsidR="002C35E9">
        <w:rPr>
          <w:rFonts w:ascii="Times New Roman" w:hAnsi="Times New Roman" w:cs="Times New Roman"/>
          <w:sz w:val="24"/>
          <w:szCs w:val="24"/>
          <w:lang w:val="en-US"/>
        </w:rPr>
        <w:t xml:space="preserve"> than landmark-guided injection</w:t>
      </w:r>
      <w:r w:rsidR="00191008">
        <w:rPr>
          <w:rFonts w:ascii="Times New Roman" w:hAnsi="Times New Roman" w:cs="Times New Roman"/>
          <w:sz w:val="24"/>
          <w:szCs w:val="24"/>
          <w:lang w:val="en-US"/>
        </w:rPr>
        <w:t>s</w:t>
      </w:r>
      <w:r w:rsidR="00CE5C14" w:rsidRPr="00CE5C14">
        <w:rPr>
          <w:rFonts w:ascii="Times New Roman" w:hAnsi="Times New Roman" w:cs="Times New Roman"/>
          <w:sz w:val="24"/>
          <w:szCs w:val="24"/>
          <w:lang w:val="en-US"/>
        </w:rPr>
        <w:t>, h</w:t>
      </w:r>
      <w:r w:rsidR="00585D6E">
        <w:rPr>
          <w:rFonts w:ascii="Times New Roman" w:hAnsi="Times New Roman" w:cs="Times New Roman"/>
          <w:sz w:val="24"/>
          <w:szCs w:val="24"/>
          <w:lang w:val="en-US"/>
        </w:rPr>
        <w:t xml:space="preserve">owever </w:t>
      </w:r>
      <w:bookmarkStart w:id="1" w:name="_Ref88906365"/>
      <w:r w:rsidR="00191008" w:rsidRPr="00191008">
        <w:rPr>
          <w:rFonts w:ascii="Times New Roman" w:hAnsi="Times New Roman" w:cs="Times New Roman"/>
          <w:sz w:val="24"/>
          <w:szCs w:val="24"/>
          <w:lang w:val="en-US"/>
        </w:rPr>
        <w:t xml:space="preserve">it identified only three studies comparing pain and function outcomes between US-guided and landmark-guided subacromial injections and there was no difference in placement accuracy between the two approaches, based on a single study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RW.CITE{{doc:61a252b68f08ea8d30b18c83 Aly,AR 2015}}</w:instrText>
      </w:r>
      <w:r w:rsidR="001A094B">
        <w:rPr>
          <w:rFonts w:ascii="Times New Roman" w:hAnsi="Times New Roman" w:cs="Times New Roman"/>
          <w:sz w:val="24"/>
          <w:szCs w:val="24"/>
          <w:lang w:val="en-US"/>
        </w:rPr>
        <w:fldChar w:fldCharType="separate"/>
      </w:r>
      <w:r w:rsidR="001A094B" w:rsidRPr="001A094B">
        <w:rPr>
          <w:rFonts w:ascii="Times New Roman" w:hAnsi="Times New Roman" w:cs="Times New Roman"/>
          <w:bCs/>
          <w:sz w:val="24"/>
          <w:szCs w:val="24"/>
          <w:lang w:val="en-US"/>
        </w:rPr>
        <w:t>(Aly et al., 2015)</w:t>
      </w:r>
      <w:r w:rsidR="001A094B">
        <w:rPr>
          <w:rFonts w:ascii="Times New Roman" w:hAnsi="Times New Roman" w:cs="Times New Roman"/>
          <w:sz w:val="24"/>
          <w:szCs w:val="24"/>
          <w:lang w:val="en-US"/>
        </w:rPr>
        <w:fldChar w:fldCharType="end"/>
      </w:r>
      <w:bookmarkEnd w:id="1"/>
      <w:r w:rsidR="00CE5C14" w:rsidRPr="00CE5C14">
        <w:rPr>
          <w:rFonts w:ascii="Times New Roman" w:hAnsi="Times New Roman" w:cs="Times New Roman"/>
          <w:sz w:val="24"/>
          <w:szCs w:val="24"/>
          <w:lang w:val="en-US"/>
        </w:rPr>
        <w:t>.</w:t>
      </w:r>
      <w:r w:rsidR="008B6762">
        <w:rPr>
          <w:rFonts w:ascii="Times New Roman" w:hAnsi="Times New Roman" w:cs="Times New Roman"/>
          <w:sz w:val="24"/>
          <w:szCs w:val="24"/>
          <w:lang w:val="en-US"/>
        </w:rPr>
        <w:t xml:space="preserve"> More recently, the SUPPORT </w:t>
      </w:r>
      <w:r w:rsidR="006A3738">
        <w:rPr>
          <w:rFonts w:ascii="Times New Roman" w:hAnsi="Times New Roman" w:cs="Times New Roman"/>
          <w:sz w:val="24"/>
          <w:szCs w:val="24"/>
          <w:lang w:val="en-US"/>
        </w:rPr>
        <w:t xml:space="preserve">randomised </w:t>
      </w:r>
      <w:r w:rsidR="008B6762">
        <w:rPr>
          <w:rFonts w:ascii="Times New Roman" w:hAnsi="Times New Roman" w:cs="Times New Roman"/>
          <w:sz w:val="24"/>
          <w:szCs w:val="24"/>
          <w:lang w:val="en-US"/>
        </w:rPr>
        <w:t>trial show</w:t>
      </w:r>
      <w:r w:rsidR="002C35E9">
        <w:rPr>
          <w:rFonts w:ascii="Times New Roman" w:hAnsi="Times New Roman" w:cs="Times New Roman"/>
          <w:sz w:val="24"/>
          <w:szCs w:val="24"/>
          <w:lang w:val="en-US"/>
        </w:rPr>
        <w:t>ed</w:t>
      </w:r>
      <w:r w:rsidR="008B6762">
        <w:rPr>
          <w:rFonts w:ascii="Times New Roman" w:hAnsi="Times New Roman" w:cs="Times New Roman"/>
          <w:sz w:val="24"/>
          <w:szCs w:val="24"/>
          <w:lang w:val="en-US"/>
        </w:rPr>
        <w:t xml:space="preserve"> that US-guided c</w:t>
      </w:r>
      <w:r w:rsidR="00F96000">
        <w:rPr>
          <w:rFonts w:ascii="Times New Roman" w:hAnsi="Times New Roman" w:cs="Times New Roman"/>
          <w:sz w:val="24"/>
          <w:szCs w:val="24"/>
          <w:lang w:val="en-US"/>
        </w:rPr>
        <w:t>orticosteroid injections confer</w:t>
      </w:r>
      <w:r w:rsidR="00585D6E">
        <w:rPr>
          <w:rFonts w:ascii="Times New Roman" w:hAnsi="Times New Roman" w:cs="Times New Roman"/>
          <w:sz w:val="24"/>
          <w:szCs w:val="24"/>
          <w:lang w:val="en-US"/>
        </w:rPr>
        <w:t>red</w:t>
      </w:r>
      <w:r w:rsidR="008B6762">
        <w:rPr>
          <w:rFonts w:ascii="Times New Roman" w:hAnsi="Times New Roman" w:cs="Times New Roman"/>
          <w:sz w:val="24"/>
          <w:szCs w:val="24"/>
          <w:lang w:val="en-US"/>
        </w:rPr>
        <w:t xml:space="preserve"> no additional benefit over unguided corticosteroid injections</w:t>
      </w:r>
      <w:r w:rsidR="0059443D">
        <w:rPr>
          <w:rFonts w:ascii="Times New Roman" w:hAnsi="Times New Roman" w:cs="Times New Roman"/>
          <w:sz w:val="24"/>
          <w:szCs w:val="24"/>
          <w:lang w:val="en-US"/>
        </w:rPr>
        <w:t xml:space="preserve"> for SAPS</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RW.CITE{{doc:61a252c88f0858d53d74e0d7 Roddy,E 2021}}</w:instrText>
      </w:r>
      <w:r w:rsidR="001A094B">
        <w:rPr>
          <w:rFonts w:ascii="Times New Roman" w:hAnsi="Times New Roman" w:cs="Times New Roman"/>
          <w:sz w:val="24"/>
          <w:szCs w:val="24"/>
          <w:lang w:val="en-US"/>
        </w:rPr>
        <w:fldChar w:fldCharType="separate"/>
      </w:r>
      <w:r w:rsidR="001A094B" w:rsidRPr="001A094B">
        <w:rPr>
          <w:rFonts w:ascii="Times New Roman" w:hAnsi="Times New Roman" w:cs="Times New Roman"/>
          <w:bCs/>
          <w:sz w:val="24"/>
          <w:szCs w:val="24"/>
          <w:lang w:val="en-US"/>
        </w:rPr>
        <w:t>(Roddy et al., 2021)</w:t>
      </w:r>
      <w:r w:rsidR="001A094B">
        <w:rPr>
          <w:rFonts w:ascii="Times New Roman" w:hAnsi="Times New Roman" w:cs="Times New Roman"/>
          <w:sz w:val="24"/>
          <w:szCs w:val="24"/>
          <w:lang w:val="en-US"/>
        </w:rPr>
        <w:fldChar w:fldCharType="end"/>
      </w:r>
      <w:r w:rsidR="008B6762">
        <w:rPr>
          <w:rFonts w:ascii="Times New Roman" w:hAnsi="Times New Roman" w:cs="Times New Roman"/>
          <w:sz w:val="24"/>
          <w:szCs w:val="24"/>
          <w:lang w:val="en-US"/>
        </w:rPr>
        <w:t>.</w:t>
      </w:r>
    </w:p>
    <w:p w14:paraId="433B4CC7" w14:textId="3578464D" w:rsidR="00CE5C14" w:rsidRPr="00CE5C14" w:rsidRDefault="008F0BBD"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Despite th</w:t>
      </w:r>
      <w:r w:rsidR="006A3738">
        <w:rPr>
          <w:rFonts w:ascii="Times New Roman" w:hAnsi="Times New Roman" w:cs="Times New Roman"/>
          <w:sz w:val="24"/>
          <w:szCs w:val="24"/>
          <w:lang w:val="en-US"/>
        </w:rPr>
        <w:t>i</w:t>
      </w:r>
      <w:r w:rsidR="0010459D">
        <w:rPr>
          <w:rFonts w:ascii="Times New Roman" w:hAnsi="Times New Roman" w:cs="Times New Roman"/>
          <w:sz w:val="24"/>
          <w:szCs w:val="24"/>
          <w:lang w:val="en-US"/>
        </w:rPr>
        <w:t>s</w:t>
      </w:r>
      <w:r>
        <w:rPr>
          <w:rFonts w:ascii="Times New Roman" w:hAnsi="Times New Roman" w:cs="Times New Roman"/>
          <w:sz w:val="24"/>
          <w:szCs w:val="24"/>
          <w:lang w:val="en-US"/>
        </w:rPr>
        <w:t xml:space="preserve"> conflicting evidence,</w:t>
      </w:r>
      <w:r w:rsidR="00263CC7">
        <w:rPr>
          <w:rFonts w:ascii="Times New Roman" w:hAnsi="Times New Roman" w:cs="Times New Roman"/>
          <w:sz w:val="24"/>
          <w:szCs w:val="24"/>
          <w:lang w:val="en-US"/>
        </w:rPr>
        <w:t xml:space="preserve"> US is </w:t>
      </w:r>
      <w:r w:rsidR="00CE5C14" w:rsidRPr="00CE5C14">
        <w:rPr>
          <w:rFonts w:ascii="Times New Roman" w:hAnsi="Times New Roman" w:cs="Times New Roman"/>
          <w:sz w:val="24"/>
          <w:szCs w:val="24"/>
          <w:lang w:val="en-US"/>
        </w:rPr>
        <w:t xml:space="preserve">increasingly </w:t>
      </w:r>
      <w:r w:rsidR="0059443D">
        <w:rPr>
          <w:rFonts w:ascii="Times New Roman" w:hAnsi="Times New Roman" w:cs="Times New Roman"/>
          <w:sz w:val="24"/>
          <w:szCs w:val="24"/>
          <w:lang w:val="en-US"/>
        </w:rPr>
        <w:t>used</w:t>
      </w:r>
      <w:r w:rsidR="00CE5C14" w:rsidRPr="00CE5C14">
        <w:rPr>
          <w:rFonts w:ascii="Times New Roman" w:hAnsi="Times New Roman" w:cs="Times New Roman"/>
          <w:sz w:val="24"/>
          <w:szCs w:val="24"/>
          <w:lang w:val="en-US"/>
        </w:rPr>
        <w:t xml:space="preserve"> </w:t>
      </w:r>
      <w:r w:rsidR="0059443D">
        <w:rPr>
          <w:rFonts w:ascii="Times New Roman" w:hAnsi="Times New Roman" w:cs="Times New Roman"/>
          <w:sz w:val="24"/>
          <w:szCs w:val="24"/>
          <w:lang w:val="en-US"/>
        </w:rPr>
        <w:t>to</w:t>
      </w:r>
      <w:r w:rsidR="00CE5C14" w:rsidRPr="00CE5C14">
        <w:rPr>
          <w:rFonts w:ascii="Times New Roman" w:hAnsi="Times New Roman" w:cs="Times New Roman"/>
          <w:sz w:val="24"/>
          <w:szCs w:val="24"/>
          <w:lang w:val="en-US"/>
        </w:rPr>
        <w:t xml:space="preserve"> guid</w:t>
      </w:r>
      <w:r w:rsidR="0059443D">
        <w:rPr>
          <w:rFonts w:ascii="Times New Roman" w:hAnsi="Times New Roman" w:cs="Times New Roman"/>
          <w:sz w:val="24"/>
          <w:szCs w:val="24"/>
          <w:lang w:val="en-US"/>
        </w:rPr>
        <w:t>e</w:t>
      </w:r>
      <w:r w:rsidR="00CE5C14" w:rsidRPr="00CE5C14">
        <w:rPr>
          <w:rFonts w:ascii="Times New Roman" w:hAnsi="Times New Roman" w:cs="Times New Roman"/>
          <w:sz w:val="24"/>
          <w:szCs w:val="24"/>
          <w:lang w:val="en-US"/>
        </w:rPr>
        <w:t xml:space="preserve"> therapeutic </w:t>
      </w:r>
      <w:r w:rsidR="00263CC7">
        <w:rPr>
          <w:rFonts w:ascii="Times New Roman" w:hAnsi="Times New Roman" w:cs="Times New Roman"/>
          <w:sz w:val="24"/>
          <w:szCs w:val="24"/>
          <w:lang w:val="en-US"/>
        </w:rPr>
        <w:t xml:space="preserve">joint injections as it </w:t>
      </w:r>
      <w:r w:rsidR="00CE5C14" w:rsidRPr="00CE5C14">
        <w:rPr>
          <w:rFonts w:ascii="Times New Roman" w:hAnsi="Times New Roman" w:cs="Times New Roman"/>
          <w:sz w:val="24"/>
          <w:szCs w:val="24"/>
          <w:lang w:val="en-US"/>
        </w:rPr>
        <w:t xml:space="preserve">is </w:t>
      </w:r>
      <w:r w:rsidR="00946F24">
        <w:rPr>
          <w:rFonts w:ascii="Times New Roman" w:hAnsi="Times New Roman" w:cs="Times New Roman"/>
          <w:sz w:val="24"/>
          <w:szCs w:val="24"/>
          <w:lang w:val="en-US"/>
        </w:rPr>
        <w:t xml:space="preserve">relatively </w:t>
      </w:r>
      <w:r w:rsidR="00CE5C14" w:rsidRPr="00CE5C14">
        <w:rPr>
          <w:rFonts w:ascii="Times New Roman" w:hAnsi="Times New Roman" w:cs="Times New Roman"/>
          <w:sz w:val="24"/>
          <w:szCs w:val="24"/>
          <w:lang w:val="en-US"/>
        </w:rPr>
        <w:t>low cost</w:t>
      </w:r>
      <w:r w:rsidR="00DB35D1">
        <w:rPr>
          <w:rFonts w:ascii="Times New Roman" w:hAnsi="Times New Roman" w:cs="Times New Roman"/>
          <w:sz w:val="24"/>
          <w:szCs w:val="24"/>
          <w:lang w:val="en-US"/>
        </w:rPr>
        <w:t xml:space="preserve"> and</w:t>
      </w:r>
      <w:r w:rsidR="00DB35D1" w:rsidRPr="00CE5C14">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 xml:space="preserve">can be carried out quickly </w:t>
      </w:r>
      <w:r>
        <w:rPr>
          <w:rFonts w:ascii="Times New Roman" w:hAnsi="Times New Roman" w:cs="Times New Roman"/>
          <w:sz w:val="24"/>
          <w:szCs w:val="24"/>
          <w:lang w:val="en-US"/>
        </w:rPr>
        <w:t xml:space="preserve">and safely </w:t>
      </w:r>
      <w:r w:rsidR="00154539">
        <w:rPr>
          <w:rFonts w:ascii="Times New Roman" w:hAnsi="Times New Roman" w:cs="Times New Roman"/>
          <w:sz w:val="24"/>
          <w:szCs w:val="24"/>
          <w:lang w:val="en-US"/>
        </w:rPr>
        <w:t>at</w:t>
      </w:r>
      <w:r w:rsidR="00CE5C14" w:rsidRPr="00CE5C14">
        <w:rPr>
          <w:rFonts w:ascii="Times New Roman" w:hAnsi="Times New Roman" w:cs="Times New Roman"/>
          <w:sz w:val="24"/>
          <w:szCs w:val="24"/>
          <w:lang w:val="en-US"/>
        </w:rPr>
        <w:t xml:space="preserve"> </w:t>
      </w:r>
      <w:r w:rsidR="006A3738">
        <w:rPr>
          <w:rFonts w:ascii="Times New Roman" w:hAnsi="Times New Roman" w:cs="Times New Roman"/>
          <w:sz w:val="24"/>
          <w:szCs w:val="24"/>
          <w:lang w:val="en-US"/>
        </w:rPr>
        <w:t xml:space="preserve">the </w:t>
      </w:r>
      <w:r w:rsidR="00CE5C14" w:rsidRPr="00CE5C14">
        <w:rPr>
          <w:rFonts w:ascii="Times New Roman" w:hAnsi="Times New Roman" w:cs="Times New Roman"/>
          <w:sz w:val="24"/>
          <w:szCs w:val="24"/>
          <w:lang w:val="en-US"/>
        </w:rPr>
        <w:t>bedside</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RW.CITE{{doc:61a253358f0858d53d74e0df Grassi,W. 2004; doc:61a253df8f0842c23cdf4b18 Nazarian,L.N. 2008}}</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(Grassi, Filippucci, &amp; Busilacchi, 2004; Nazarian, 2008)</w:t>
      </w:r>
      <w:r w:rsidR="001A094B">
        <w:rPr>
          <w:rFonts w:ascii="Times New Roman" w:hAnsi="Times New Roman" w:cs="Times New Roman"/>
          <w:sz w:val="24"/>
          <w:szCs w:val="24"/>
          <w:lang w:val="en-US"/>
        </w:rPr>
        <w:fldChar w:fldCharType="end"/>
      </w:r>
      <w:r w:rsidR="00263CC7">
        <w:rPr>
          <w:rFonts w:ascii="Times New Roman" w:hAnsi="Times New Roman" w:cs="Times New Roman"/>
          <w:sz w:val="24"/>
          <w:szCs w:val="24"/>
          <w:lang w:val="en-US"/>
        </w:rPr>
        <w:t xml:space="preserve">. </w:t>
      </w:r>
      <w:r w:rsidR="009635E2">
        <w:rPr>
          <w:rFonts w:ascii="Times New Roman" w:hAnsi="Times New Roman" w:cs="Times New Roman"/>
          <w:sz w:val="24"/>
          <w:szCs w:val="24"/>
          <w:lang w:val="en-US"/>
        </w:rPr>
        <w:t xml:space="preserve">The primary aim of this </w:t>
      </w:r>
      <w:r w:rsidR="00FB10EB">
        <w:rPr>
          <w:rFonts w:ascii="Times New Roman" w:hAnsi="Times New Roman" w:cs="Times New Roman"/>
          <w:sz w:val="24"/>
          <w:szCs w:val="24"/>
          <w:lang w:val="en-US"/>
        </w:rPr>
        <w:t>secondary data analysis</w:t>
      </w:r>
      <w:r w:rsidR="009635E2">
        <w:rPr>
          <w:rFonts w:ascii="Times New Roman" w:hAnsi="Times New Roman" w:cs="Times New Roman"/>
          <w:sz w:val="24"/>
          <w:szCs w:val="24"/>
          <w:lang w:val="en-US"/>
        </w:rPr>
        <w:t xml:space="preserve"> </w:t>
      </w:r>
      <w:r w:rsidR="006A3738">
        <w:rPr>
          <w:rFonts w:ascii="Times New Roman" w:hAnsi="Times New Roman" w:cs="Times New Roman"/>
          <w:sz w:val="24"/>
          <w:szCs w:val="24"/>
          <w:lang w:val="en-US"/>
        </w:rPr>
        <w:t>was</w:t>
      </w:r>
      <w:r>
        <w:rPr>
          <w:rFonts w:ascii="Times New Roman" w:hAnsi="Times New Roman" w:cs="Times New Roman"/>
          <w:sz w:val="24"/>
          <w:szCs w:val="24"/>
          <w:lang w:val="en-US"/>
        </w:rPr>
        <w:t xml:space="preserve"> to investigate whether </w:t>
      </w:r>
      <w:r w:rsidR="00946F2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accuracy of </w:t>
      </w:r>
      <w:r w:rsidR="0059443D">
        <w:rPr>
          <w:rFonts w:ascii="Times New Roman" w:hAnsi="Times New Roman" w:cs="Times New Roman"/>
          <w:sz w:val="24"/>
          <w:szCs w:val="24"/>
          <w:lang w:val="en-US"/>
        </w:rPr>
        <w:t xml:space="preserve">subacromial </w:t>
      </w:r>
      <w:r>
        <w:rPr>
          <w:rFonts w:ascii="Times New Roman" w:hAnsi="Times New Roman" w:cs="Times New Roman"/>
          <w:sz w:val="24"/>
          <w:szCs w:val="24"/>
          <w:lang w:val="en-US"/>
        </w:rPr>
        <w:t xml:space="preserve">corticosteroid injection </w:t>
      </w:r>
      <w:r w:rsidR="00D334A1">
        <w:rPr>
          <w:rFonts w:ascii="Times New Roman" w:hAnsi="Times New Roman" w:cs="Times New Roman"/>
          <w:sz w:val="24"/>
          <w:szCs w:val="24"/>
          <w:lang w:val="en-US"/>
        </w:rPr>
        <w:t>influences</w:t>
      </w:r>
      <w:r w:rsidR="00946F24">
        <w:rPr>
          <w:rFonts w:ascii="Times New Roman" w:hAnsi="Times New Roman" w:cs="Times New Roman"/>
          <w:sz w:val="24"/>
          <w:szCs w:val="24"/>
          <w:lang w:val="en-US"/>
        </w:rPr>
        <w:t xml:space="preserve"> pain and functional outcomes</w:t>
      </w:r>
      <w:r>
        <w:rPr>
          <w:rFonts w:ascii="Times New Roman" w:hAnsi="Times New Roman" w:cs="Times New Roman"/>
          <w:sz w:val="24"/>
          <w:szCs w:val="24"/>
          <w:lang w:val="en-US"/>
        </w:rPr>
        <w:t xml:space="preserve"> in patients with SAPS.</w:t>
      </w:r>
    </w:p>
    <w:p w14:paraId="54FD39F8" w14:textId="77777777" w:rsidR="00CE5C14" w:rsidRPr="00CE5C14" w:rsidRDefault="00CE5C14" w:rsidP="00CE5C14">
      <w:pPr>
        <w:spacing w:line="360" w:lineRule="auto"/>
        <w:jc w:val="both"/>
        <w:rPr>
          <w:rFonts w:ascii="Times New Roman" w:hAnsi="Times New Roman" w:cs="Times New Roman"/>
          <w:b/>
          <w:sz w:val="24"/>
          <w:szCs w:val="24"/>
          <w:lang w:val="en-US"/>
        </w:rPr>
      </w:pPr>
    </w:p>
    <w:p w14:paraId="11A5CA78" w14:textId="213EB3CE" w:rsidR="00CE5C14" w:rsidRPr="00CE5C14" w:rsidRDefault="005D5996" w:rsidP="00CE5C1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w:t>
      </w:r>
      <w:r w:rsidR="00CE5C14" w:rsidRPr="00CE5C14">
        <w:rPr>
          <w:rFonts w:ascii="Times New Roman" w:hAnsi="Times New Roman" w:cs="Times New Roman"/>
          <w:b/>
          <w:sz w:val="24"/>
          <w:szCs w:val="24"/>
          <w:lang w:val="en-US"/>
        </w:rPr>
        <w:t>Method</w:t>
      </w:r>
      <w:r w:rsidR="00154539">
        <w:rPr>
          <w:rFonts w:ascii="Times New Roman" w:hAnsi="Times New Roman" w:cs="Times New Roman"/>
          <w:b/>
          <w:sz w:val="24"/>
          <w:szCs w:val="24"/>
          <w:lang w:val="en-US"/>
        </w:rPr>
        <w:t>s</w:t>
      </w:r>
    </w:p>
    <w:p w14:paraId="71E62770" w14:textId="7DBB9120" w:rsidR="0020702C" w:rsidRDefault="0020702C" w:rsidP="00CE5C14">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Study design </w:t>
      </w:r>
    </w:p>
    <w:p w14:paraId="151E9C4C" w14:textId="09080BA0" w:rsidR="0020702C" w:rsidRDefault="00930DBA"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1B0041">
        <w:rPr>
          <w:rFonts w:ascii="Times New Roman" w:hAnsi="Times New Roman" w:cs="Times New Roman"/>
          <w:sz w:val="24"/>
          <w:szCs w:val="24"/>
          <w:lang w:val="en-US"/>
        </w:rPr>
        <w:t xml:space="preserve"> secondary</w:t>
      </w:r>
      <w:r>
        <w:rPr>
          <w:rFonts w:ascii="Times New Roman" w:hAnsi="Times New Roman" w:cs="Times New Roman"/>
          <w:sz w:val="24"/>
          <w:szCs w:val="24"/>
          <w:lang w:val="en-US"/>
        </w:rPr>
        <w:t xml:space="preserve"> </w:t>
      </w:r>
      <w:r w:rsidR="00A8163A">
        <w:rPr>
          <w:rFonts w:ascii="Times New Roman" w:hAnsi="Times New Roman" w:cs="Times New Roman"/>
          <w:sz w:val="24"/>
          <w:szCs w:val="24"/>
          <w:lang w:val="en-US"/>
        </w:rPr>
        <w:t>analysis</w:t>
      </w:r>
      <w:r>
        <w:rPr>
          <w:rFonts w:ascii="Times New Roman" w:hAnsi="Times New Roman" w:cs="Times New Roman"/>
          <w:sz w:val="24"/>
          <w:szCs w:val="24"/>
          <w:lang w:val="en-US"/>
        </w:rPr>
        <w:t xml:space="preserve"> use</w:t>
      </w:r>
      <w:r w:rsidR="00B05374">
        <w:rPr>
          <w:rFonts w:ascii="Times New Roman" w:hAnsi="Times New Roman" w:cs="Times New Roman"/>
          <w:sz w:val="24"/>
          <w:szCs w:val="24"/>
          <w:lang w:val="en-US"/>
        </w:rPr>
        <w:t>d</w:t>
      </w:r>
      <w:r>
        <w:rPr>
          <w:rFonts w:ascii="Times New Roman" w:hAnsi="Times New Roman" w:cs="Times New Roman"/>
          <w:sz w:val="24"/>
          <w:szCs w:val="24"/>
          <w:lang w:val="en-US"/>
        </w:rPr>
        <w:t xml:space="preserve"> data</w:t>
      </w:r>
      <w:r w:rsidR="0082122C">
        <w:rPr>
          <w:rFonts w:ascii="Times New Roman" w:hAnsi="Times New Roman" w:cs="Times New Roman"/>
          <w:sz w:val="24"/>
          <w:szCs w:val="24"/>
          <w:lang w:val="en-US"/>
        </w:rPr>
        <w:t xml:space="preserve"> from </w:t>
      </w:r>
      <w:r w:rsidR="00263CC7">
        <w:rPr>
          <w:rFonts w:ascii="Times New Roman" w:hAnsi="Times New Roman" w:cs="Times New Roman"/>
          <w:sz w:val="24"/>
          <w:szCs w:val="24"/>
          <w:lang w:val="en-US"/>
        </w:rPr>
        <w:t>t</w:t>
      </w:r>
      <w:r w:rsidR="0082122C">
        <w:rPr>
          <w:rFonts w:ascii="Times New Roman" w:hAnsi="Times New Roman" w:cs="Times New Roman"/>
          <w:sz w:val="24"/>
          <w:szCs w:val="24"/>
          <w:lang w:val="en-US"/>
        </w:rPr>
        <w:t>he SUPPORT trial</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RW.CITE{{doc:61a252c88f0858d53d74e0d7 Roddy,E 2021}}</w:instrText>
      </w:r>
      <w:r w:rsidR="001A094B">
        <w:rPr>
          <w:rFonts w:ascii="Times New Roman" w:hAnsi="Times New Roman" w:cs="Times New Roman"/>
          <w:sz w:val="24"/>
          <w:szCs w:val="24"/>
          <w:lang w:val="en-US"/>
        </w:rPr>
        <w:fldChar w:fldCharType="separate"/>
      </w:r>
      <w:r w:rsidR="001A094B" w:rsidRPr="001A094B">
        <w:rPr>
          <w:rFonts w:ascii="Times New Roman" w:hAnsi="Times New Roman" w:cs="Times New Roman"/>
          <w:bCs/>
          <w:sz w:val="24"/>
          <w:szCs w:val="24"/>
          <w:lang w:val="en-US"/>
        </w:rPr>
        <w:t>(Roddy et al., 2021)</w:t>
      </w:r>
      <w:r w:rsidR="001A094B">
        <w:rPr>
          <w:rFonts w:ascii="Times New Roman" w:hAnsi="Times New Roman" w:cs="Times New Roman"/>
          <w:sz w:val="24"/>
          <w:szCs w:val="24"/>
          <w:lang w:val="en-US"/>
        </w:rPr>
        <w:fldChar w:fldCharType="end"/>
      </w:r>
      <w:r w:rsidR="0082122C">
        <w:rPr>
          <w:rFonts w:ascii="Times New Roman" w:hAnsi="Times New Roman" w:cs="Times New Roman"/>
          <w:sz w:val="24"/>
          <w:szCs w:val="24"/>
          <w:lang w:val="en-US"/>
        </w:rPr>
        <w:t xml:space="preserve">, a </w:t>
      </w:r>
      <w:r w:rsidR="00CE5C14" w:rsidRPr="00CE5C14">
        <w:rPr>
          <w:rFonts w:ascii="Times New Roman" w:hAnsi="Times New Roman" w:cs="Times New Roman"/>
          <w:sz w:val="24"/>
          <w:szCs w:val="24"/>
          <w:lang w:val="en-US"/>
        </w:rPr>
        <w:t xml:space="preserve">2x2 factorial randomised controlled </w:t>
      </w:r>
      <w:r w:rsidR="00001E78" w:rsidRPr="00CE5C14">
        <w:rPr>
          <w:rFonts w:ascii="Times New Roman" w:hAnsi="Times New Roman" w:cs="Times New Roman"/>
          <w:sz w:val="24"/>
          <w:szCs w:val="24"/>
          <w:lang w:val="en-US"/>
        </w:rPr>
        <w:t>trial</w:t>
      </w:r>
      <w:r w:rsidR="00B76146">
        <w:rPr>
          <w:rFonts w:ascii="Times New Roman" w:hAnsi="Times New Roman" w:cs="Times New Roman"/>
          <w:sz w:val="24"/>
          <w:szCs w:val="24"/>
          <w:lang w:val="en-US"/>
        </w:rPr>
        <w:t>, which</w:t>
      </w:r>
      <w:r w:rsidR="00001E78">
        <w:rPr>
          <w:rFonts w:ascii="Times New Roman" w:hAnsi="Times New Roman" w:cs="Times New Roman"/>
          <w:sz w:val="24"/>
          <w:szCs w:val="24"/>
          <w:lang w:val="en-US"/>
        </w:rPr>
        <w:t xml:space="preserve"> </w:t>
      </w:r>
      <w:r w:rsidR="00001E78" w:rsidRPr="00CE5C14">
        <w:rPr>
          <w:rFonts w:ascii="Times New Roman" w:hAnsi="Times New Roman" w:cs="Times New Roman"/>
          <w:sz w:val="24"/>
          <w:szCs w:val="24"/>
          <w:lang w:val="en-US"/>
        </w:rPr>
        <w:t>compar</w:t>
      </w:r>
      <w:r w:rsidR="00B76146">
        <w:rPr>
          <w:rFonts w:ascii="Times New Roman" w:hAnsi="Times New Roman" w:cs="Times New Roman"/>
          <w:sz w:val="24"/>
          <w:szCs w:val="24"/>
          <w:lang w:val="en-US"/>
        </w:rPr>
        <w:t>ed</w:t>
      </w:r>
      <w:r w:rsidR="00001E78">
        <w:rPr>
          <w:rFonts w:ascii="Times New Roman" w:hAnsi="Times New Roman" w:cs="Times New Roman"/>
          <w:sz w:val="24"/>
          <w:szCs w:val="24"/>
          <w:lang w:val="en-US"/>
        </w:rPr>
        <w:t xml:space="preserve"> </w:t>
      </w:r>
      <w:r w:rsidR="0010459D">
        <w:rPr>
          <w:rFonts w:ascii="Times New Roman" w:hAnsi="Times New Roman" w:cs="Times New Roman"/>
          <w:sz w:val="24"/>
          <w:szCs w:val="24"/>
          <w:lang w:val="en-US"/>
        </w:rPr>
        <w:t>the clinical and cost-</w:t>
      </w:r>
      <w:r w:rsidR="00001E78" w:rsidRPr="00CE5C14">
        <w:rPr>
          <w:rFonts w:ascii="Times New Roman" w:hAnsi="Times New Roman" w:cs="Times New Roman"/>
          <w:sz w:val="24"/>
          <w:szCs w:val="24"/>
          <w:lang w:val="en-US"/>
        </w:rPr>
        <w:t xml:space="preserve">effectiveness of (1) US-guided corticosteroid injection </w:t>
      </w:r>
      <w:r w:rsidR="006A3738">
        <w:rPr>
          <w:rFonts w:ascii="Times New Roman" w:hAnsi="Times New Roman" w:cs="Times New Roman"/>
          <w:sz w:val="24"/>
          <w:szCs w:val="24"/>
          <w:lang w:val="en-US"/>
        </w:rPr>
        <w:t>with</w:t>
      </w:r>
      <w:r w:rsidR="00001E78" w:rsidRPr="00CE5C14">
        <w:rPr>
          <w:rFonts w:ascii="Times New Roman" w:hAnsi="Times New Roman" w:cs="Times New Roman"/>
          <w:sz w:val="24"/>
          <w:szCs w:val="24"/>
          <w:lang w:val="en-US"/>
        </w:rPr>
        <w:t xml:space="preserve"> unguided corticosteroid injection</w:t>
      </w:r>
      <w:r w:rsidR="006A3738">
        <w:rPr>
          <w:rFonts w:ascii="Times New Roman" w:hAnsi="Times New Roman" w:cs="Times New Roman"/>
          <w:sz w:val="24"/>
          <w:szCs w:val="24"/>
          <w:lang w:val="en-US"/>
        </w:rPr>
        <w:t>,</w:t>
      </w:r>
      <w:r w:rsidR="00001E78" w:rsidRPr="00CE5C14">
        <w:rPr>
          <w:rFonts w:ascii="Times New Roman" w:hAnsi="Times New Roman" w:cs="Times New Roman"/>
          <w:sz w:val="24"/>
          <w:szCs w:val="24"/>
          <w:lang w:val="en-US"/>
        </w:rPr>
        <w:t xml:space="preserve"> and (2) a physiotherapist-delivered individualised, supervised and progressed exercise programme </w:t>
      </w:r>
      <w:r w:rsidR="006A3738">
        <w:rPr>
          <w:rFonts w:ascii="Times New Roman" w:hAnsi="Times New Roman" w:cs="Times New Roman"/>
          <w:sz w:val="24"/>
          <w:szCs w:val="24"/>
          <w:lang w:val="en-US"/>
        </w:rPr>
        <w:t>with</w:t>
      </w:r>
      <w:r w:rsidR="00001E78" w:rsidRPr="00CE5C14">
        <w:rPr>
          <w:rFonts w:ascii="Times New Roman" w:hAnsi="Times New Roman" w:cs="Times New Roman"/>
          <w:sz w:val="24"/>
          <w:szCs w:val="24"/>
          <w:lang w:val="en-US"/>
        </w:rPr>
        <w:t xml:space="preserve"> provision of a standardi</w:t>
      </w:r>
      <w:r w:rsidR="00AD093D">
        <w:rPr>
          <w:rFonts w:ascii="Times New Roman" w:hAnsi="Times New Roman" w:cs="Times New Roman"/>
          <w:sz w:val="24"/>
          <w:szCs w:val="24"/>
          <w:lang w:val="en-US"/>
        </w:rPr>
        <w:t>s</w:t>
      </w:r>
      <w:r w:rsidR="00001E78" w:rsidRPr="00CE5C14">
        <w:rPr>
          <w:rFonts w:ascii="Times New Roman" w:hAnsi="Times New Roman" w:cs="Times New Roman"/>
          <w:sz w:val="24"/>
          <w:szCs w:val="24"/>
          <w:lang w:val="en-US"/>
        </w:rPr>
        <w:t>ed advice and exercise leaflet, fo</w:t>
      </w:r>
      <w:r w:rsidR="00001E78">
        <w:rPr>
          <w:rFonts w:ascii="Times New Roman" w:hAnsi="Times New Roman" w:cs="Times New Roman"/>
          <w:sz w:val="24"/>
          <w:szCs w:val="24"/>
          <w:lang w:val="en-US"/>
        </w:rPr>
        <w:t xml:space="preserve">r treatment of </w:t>
      </w:r>
      <w:r w:rsidR="00057E09">
        <w:rPr>
          <w:rFonts w:ascii="Times New Roman" w:hAnsi="Times New Roman" w:cs="Times New Roman"/>
          <w:sz w:val="24"/>
          <w:szCs w:val="24"/>
          <w:lang w:val="en-US"/>
        </w:rPr>
        <w:t>adult</w:t>
      </w:r>
      <w:r w:rsidR="00B76146">
        <w:rPr>
          <w:rFonts w:ascii="Times New Roman" w:hAnsi="Times New Roman" w:cs="Times New Roman"/>
          <w:sz w:val="24"/>
          <w:szCs w:val="24"/>
          <w:lang w:val="en-US"/>
        </w:rPr>
        <w:t>s</w:t>
      </w:r>
      <w:r w:rsidR="00001E78">
        <w:rPr>
          <w:rFonts w:ascii="Times New Roman" w:hAnsi="Times New Roman" w:cs="Times New Roman"/>
          <w:sz w:val="24"/>
          <w:szCs w:val="24"/>
          <w:lang w:val="en-US"/>
        </w:rPr>
        <w:t xml:space="preserve"> with SAPS</w:t>
      </w:r>
      <w:r w:rsidR="00CE5C14" w:rsidRPr="00CE5C14">
        <w:rPr>
          <w:rFonts w:ascii="Times New Roman" w:hAnsi="Times New Roman" w:cs="Times New Roman"/>
          <w:sz w:val="24"/>
          <w:szCs w:val="24"/>
          <w:lang w:val="en-US"/>
        </w:rPr>
        <w:t xml:space="preserve">. </w:t>
      </w:r>
      <w:r w:rsidR="0082122C">
        <w:rPr>
          <w:rFonts w:ascii="Times New Roman" w:hAnsi="Times New Roman" w:cs="Times New Roman"/>
          <w:sz w:val="24"/>
          <w:szCs w:val="24"/>
          <w:lang w:val="en-US"/>
        </w:rPr>
        <w:t xml:space="preserve">The trial protocol </w:t>
      </w:r>
      <w:r w:rsidR="00D66066">
        <w:rPr>
          <w:rFonts w:ascii="Times New Roman" w:hAnsi="Times New Roman" w:cs="Times New Roman"/>
          <w:sz w:val="24"/>
          <w:szCs w:val="24"/>
          <w:lang w:val="en-US"/>
        </w:rPr>
        <w:t xml:space="preserve">and results have </w:t>
      </w:r>
      <w:r w:rsidR="0082122C">
        <w:rPr>
          <w:rFonts w:ascii="Times New Roman" w:hAnsi="Times New Roman" w:cs="Times New Roman"/>
          <w:sz w:val="24"/>
          <w:szCs w:val="24"/>
          <w:lang w:val="en-US"/>
        </w:rPr>
        <w:t>been published previously</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RW.CITE{{doc:61a2516d8f08fe4766e73c05 Roddy,E 2014; doc:61a252c88f0858d53d74e0d7 Roddy,E 2021; doc:61a2542a8f08a5dab26f5d7a Oppong,R 2021}}</w:instrText>
      </w:r>
      <w:r w:rsidR="001A094B">
        <w:rPr>
          <w:rFonts w:ascii="Times New Roman" w:hAnsi="Times New Roman" w:cs="Times New Roman"/>
          <w:sz w:val="24"/>
          <w:szCs w:val="24"/>
          <w:lang w:val="en-US"/>
        </w:rPr>
        <w:fldChar w:fldCharType="separate"/>
      </w:r>
      <w:r w:rsidR="001A094B" w:rsidRPr="001A094B">
        <w:rPr>
          <w:rFonts w:ascii="Times New Roman" w:hAnsi="Times New Roman" w:cs="Times New Roman"/>
          <w:bCs/>
          <w:sz w:val="24"/>
          <w:szCs w:val="24"/>
          <w:lang w:val="en-US"/>
        </w:rPr>
        <w:t>(Oppong et al., 2021; Roddy et al., 2014; Roddy et al., 2021)</w:t>
      </w:r>
      <w:r w:rsidR="001A094B">
        <w:rPr>
          <w:rFonts w:ascii="Times New Roman" w:hAnsi="Times New Roman" w:cs="Times New Roman"/>
          <w:sz w:val="24"/>
          <w:szCs w:val="24"/>
          <w:lang w:val="en-US"/>
        </w:rPr>
        <w:fldChar w:fldCharType="end"/>
      </w:r>
      <w:r w:rsidR="0082122C">
        <w:rPr>
          <w:rFonts w:ascii="Times New Roman" w:hAnsi="Times New Roman" w:cs="Times New Roman"/>
          <w:sz w:val="24"/>
          <w:szCs w:val="24"/>
          <w:lang w:val="en-US"/>
        </w:rPr>
        <w:t>.</w:t>
      </w:r>
      <w:r w:rsidR="0082122C" w:rsidRPr="0082122C">
        <w:rPr>
          <w:rFonts w:ascii="Times New Roman" w:hAnsi="Times New Roman" w:cs="Times New Roman"/>
          <w:sz w:val="24"/>
          <w:szCs w:val="24"/>
          <w:lang w:val="en-US"/>
        </w:rPr>
        <w:t xml:space="preserve"> </w:t>
      </w:r>
      <w:r w:rsidR="0082122C">
        <w:rPr>
          <w:rFonts w:ascii="Times New Roman" w:hAnsi="Times New Roman" w:cs="Times New Roman"/>
          <w:sz w:val="24"/>
          <w:szCs w:val="24"/>
          <w:lang w:val="en-US"/>
        </w:rPr>
        <w:t xml:space="preserve">Ethical approval </w:t>
      </w:r>
      <w:r w:rsidR="00057E09">
        <w:rPr>
          <w:rFonts w:ascii="Times New Roman" w:hAnsi="Times New Roman" w:cs="Times New Roman"/>
          <w:sz w:val="24"/>
          <w:szCs w:val="24"/>
          <w:lang w:val="en-US"/>
        </w:rPr>
        <w:t>was</w:t>
      </w:r>
      <w:r w:rsidR="0082122C">
        <w:rPr>
          <w:rFonts w:ascii="Times New Roman" w:hAnsi="Times New Roman" w:cs="Times New Roman"/>
          <w:sz w:val="24"/>
          <w:szCs w:val="24"/>
          <w:lang w:val="en-US"/>
        </w:rPr>
        <w:t xml:space="preserve"> obtained from </w:t>
      </w:r>
      <w:r w:rsidR="004D7ED7">
        <w:rPr>
          <w:rFonts w:ascii="Times New Roman" w:hAnsi="Times New Roman" w:cs="Times New Roman"/>
          <w:sz w:val="24"/>
          <w:szCs w:val="24"/>
          <w:lang w:val="en-US"/>
        </w:rPr>
        <w:t>XXXX</w:t>
      </w:r>
      <w:bookmarkStart w:id="2" w:name="_GoBack"/>
      <w:bookmarkEnd w:id="2"/>
      <w:r w:rsidR="00C2028D">
        <w:rPr>
          <w:rFonts w:ascii="Times New Roman" w:hAnsi="Times New Roman" w:cs="Times New Roman"/>
          <w:sz w:val="24"/>
          <w:szCs w:val="24"/>
          <w:lang w:val="en-US"/>
        </w:rPr>
        <w:t xml:space="preserve"> and all patients provided written informed consent. </w:t>
      </w:r>
    </w:p>
    <w:p w14:paraId="6B649795" w14:textId="6BF3B2AA" w:rsidR="0078350B" w:rsidRDefault="006A3738" w:rsidP="00CE5C14">
      <w:p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P</w:t>
      </w:r>
      <w:r w:rsidR="00B76146">
        <w:rPr>
          <w:rFonts w:ascii="Times New Roman" w:hAnsi="Times New Roman" w:cs="Times New Roman"/>
          <w:sz w:val="24"/>
          <w:szCs w:val="24"/>
          <w:lang w:val="en-US"/>
        </w:rPr>
        <w:t xml:space="preserve">articipants were recruited from two </w:t>
      </w:r>
      <w:r w:rsidR="00B76146">
        <w:rPr>
          <w:rFonts w:ascii="Times New Roman" w:hAnsi="Times New Roman" w:cs="Times New Roman"/>
          <w:color w:val="000000" w:themeColor="text1"/>
          <w:sz w:val="24"/>
          <w:szCs w:val="24"/>
        </w:rPr>
        <w:t xml:space="preserve">NHS community </w:t>
      </w:r>
      <w:r w:rsidR="00B76146" w:rsidRPr="00064DB6">
        <w:rPr>
          <w:rFonts w:ascii="Times New Roman" w:hAnsi="Times New Roman" w:cs="Times New Roman"/>
          <w:color w:val="000000" w:themeColor="text1"/>
          <w:sz w:val="24"/>
          <w:szCs w:val="24"/>
        </w:rPr>
        <w:t>musculoskeletal services in Staffordshire, England</w:t>
      </w:r>
      <w:r w:rsidR="00B76146">
        <w:rPr>
          <w:rFonts w:ascii="Times New Roman" w:hAnsi="Times New Roman" w:cs="Times New Roman"/>
          <w:color w:val="000000" w:themeColor="text1"/>
          <w:sz w:val="24"/>
          <w:szCs w:val="24"/>
        </w:rPr>
        <w:t>.</w:t>
      </w:r>
      <w:r w:rsidR="00B76146">
        <w:rPr>
          <w:rFonts w:ascii="Times New Roman" w:hAnsi="Times New Roman" w:cs="Times New Roman"/>
          <w:sz w:val="24"/>
          <w:szCs w:val="24"/>
          <w:lang w:val="en-US"/>
        </w:rPr>
        <w:t xml:space="preserve"> A diagnosis of SAPS required pain in the deltoid insertion area, positive Neer or Hawkins-Kenned</w:t>
      </w:r>
      <w:r w:rsidR="00504376">
        <w:rPr>
          <w:rFonts w:ascii="Times New Roman" w:hAnsi="Times New Roman" w:cs="Times New Roman"/>
          <w:sz w:val="24"/>
          <w:szCs w:val="24"/>
          <w:lang w:val="en-US"/>
        </w:rPr>
        <w:t>y</w:t>
      </w:r>
      <w:r w:rsidR="00B76146">
        <w:rPr>
          <w:rFonts w:ascii="Times New Roman" w:hAnsi="Times New Roman" w:cs="Times New Roman"/>
          <w:sz w:val="24"/>
          <w:szCs w:val="24"/>
          <w:lang w:val="en-US"/>
        </w:rPr>
        <w:t xml:space="preserve"> tests, and pain on shoulder abduction. P</w:t>
      </w:r>
      <w:r w:rsidR="00CE5C14" w:rsidRPr="00CE5C14">
        <w:rPr>
          <w:rFonts w:ascii="Times New Roman" w:hAnsi="Times New Roman" w:cs="Times New Roman"/>
          <w:sz w:val="24"/>
          <w:szCs w:val="24"/>
          <w:lang w:val="en-US"/>
        </w:rPr>
        <w:t xml:space="preserve">articipants were </w:t>
      </w:r>
      <w:r w:rsidR="000E0309">
        <w:rPr>
          <w:rFonts w:ascii="Times New Roman" w:hAnsi="Times New Roman" w:cs="Times New Roman"/>
          <w:sz w:val="24"/>
          <w:szCs w:val="24"/>
          <w:lang w:val="en-US"/>
        </w:rPr>
        <w:t xml:space="preserve">randomised </w:t>
      </w:r>
      <w:r w:rsidR="00CE5C14" w:rsidRPr="00CE5C14">
        <w:rPr>
          <w:rFonts w:ascii="Times New Roman" w:hAnsi="Times New Roman" w:cs="Times New Roman"/>
          <w:sz w:val="24"/>
          <w:szCs w:val="24"/>
          <w:lang w:val="en-US"/>
        </w:rPr>
        <w:t xml:space="preserve">on a 1:1:1:1 basis to one of four treatment </w:t>
      </w:r>
      <w:r w:rsidR="00C67D7F">
        <w:rPr>
          <w:rFonts w:ascii="Times New Roman" w:hAnsi="Times New Roman" w:cs="Times New Roman"/>
          <w:sz w:val="24"/>
          <w:szCs w:val="24"/>
          <w:lang w:val="en-US"/>
        </w:rPr>
        <w:t>arms</w:t>
      </w:r>
      <w:r w:rsidR="00CE5C14" w:rsidRPr="00CE5C14">
        <w:rPr>
          <w:rFonts w:ascii="Times New Roman" w:hAnsi="Times New Roman" w:cs="Times New Roman"/>
          <w:sz w:val="24"/>
          <w:szCs w:val="24"/>
          <w:lang w:val="en-US"/>
        </w:rPr>
        <w:t xml:space="preserve">: (1) </w:t>
      </w:r>
      <w:r w:rsidR="0078350B">
        <w:rPr>
          <w:rFonts w:ascii="Times New Roman" w:hAnsi="Times New Roman" w:cs="Times New Roman"/>
          <w:sz w:val="24"/>
          <w:szCs w:val="24"/>
          <w:lang w:val="en-US"/>
        </w:rPr>
        <w:t>US</w:t>
      </w:r>
      <w:r w:rsidR="00CE5C14" w:rsidRPr="00CE5C14">
        <w:rPr>
          <w:rFonts w:ascii="Times New Roman" w:hAnsi="Times New Roman" w:cs="Times New Roman"/>
          <w:sz w:val="24"/>
          <w:szCs w:val="24"/>
          <w:lang w:val="en-US"/>
        </w:rPr>
        <w:t xml:space="preserve">-guided subacromial corticosteroid injection and physiotherapist-led </w:t>
      </w:r>
      <w:r w:rsidR="000E0309">
        <w:rPr>
          <w:rFonts w:ascii="Times New Roman" w:hAnsi="Times New Roman" w:cs="Times New Roman"/>
          <w:sz w:val="24"/>
          <w:szCs w:val="24"/>
          <w:lang w:val="en-US"/>
        </w:rPr>
        <w:t xml:space="preserve">individualised, supervised and progressed </w:t>
      </w:r>
      <w:r w:rsidR="00CE5C14" w:rsidRPr="00CE5C14">
        <w:rPr>
          <w:rFonts w:ascii="Times New Roman" w:hAnsi="Times New Roman" w:cs="Times New Roman"/>
          <w:sz w:val="24"/>
          <w:szCs w:val="24"/>
          <w:lang w:val="en-US"/>
        </w:rPr>
        <w:t xml:space="preserve">exercise, (2) </w:t>
      </w:r>
      <w:r w:rsidR="0078350B">
        <w:rPr>
          <w:rFonts w:ascii="Times New Roman" w:hAnsi="Times New Roman" w:cs="Times New Roman"/>
          <w:sz w:val="24"/>
          <w:szCs w:val="24"/>
          <w:lang w:val="en-US"/>
        </w:rPr>
        <w:t>US</w:t>
      </w:r>
      <w:r w:rsidR="00CE5C14" w:rsidRPr="00CE5C14">
        <w:rPr>
          <w:rFonts w:ascii="Times New Roman" w:hAnsi="Times New Roman" w:cs="Times New Roman"/>
          <w:sz w:val="24"/>
          <w:szCs w:val="24"/>
          <w:lang w:val="en-US"/>
        </w:rPr>
        <w:t>-guided subacromial corticosteroid injection and an advice and exercise lea</w:t>
      </w:r>
      <w:r w:rsidR="000E0309">
        <w:rPr>
          <w:rFonts w:ascii="Times New Roman" w:hAnsi="Times New Roman" w:cs="Times New Roman"/>
          <w:sz w:val="24"/>
          <w:szCs w:val="24"/>
          <w:lang w:val="en-US"/>
        </w:rPr>
        <w:t xml:space="preserve">flet, (3) unguided </w:t>
      </w:r>
      <w:r w:rsidR="00CE5C14" w:rsidRPr="00CE5C14">
        <w:rPr>
          <w:rFonts w:ascii="Times New Roman" w:hAnsi="Times New Roman" w:cs="Times New Roman"/>
          <w:sz w:val="24"/>
          <w:szCs w:val="24"/>
          <w:lang w:val="en-US"/>
        </w:rPr>
        <w:t xml:space="preserve">subacromial corticosteroid injection and physiotherapist-led </w:t>
      </w:r>
      <w:r w:rsidR="000E0309">
        <w:rPr>
          <w:rFonts w:ascii="Times New Roman" w:hAnsi="Times New Roman" w:cs="Times New Roman"/>
          <w:sz w:val="24"/>
          <w:szCs w:val="24"/>
          <w:lang w:val="en-US"/>
        </w:rPr>
        <w:t xml:space="preserve">individualised, supervised and progressed </w:t>
      </w:r>
      <w:r w:rsidR="00CE5C14" w:rsidRPr="00CE5C14">
        <w:rPr>
          <w:rFonts w:ascii="Times New Roman" w:hAnsi="Times New Roman" w:cs="Times New Roman"/>
          <w:sz w:val="24"/>
          <w:szCs w:val="24"/>
          <w:lang w:val="en-US"/>
        </w:rPr>
        <w:t xml:space="preserve">exercise, or (4) </w:t>
      </w:r>
      <w:r w:rsidR="000E0309">
        <w:rPr>
          <w:rFonts w:ascii="Times New Roman" w:hAnsi="Times New Roman" w:cs="Times New Roman"/>
          <w:sz w:val="24"/>
          <w:szCs w:val="24"/>
          <w:lang w:val="en-US"/>
        </w:rPr>
        <w:t>unguided</w:t>
      </w:r>
      <w:r w:rsidR="00CE5C14" w:rsidRPr="00CE5C14">
        <w:rPr>
          <w:rFonts w:ascii="Times New Roman" w:hAnsi="Times New Roman" w:cs="Times New Roman"/>
          <w:sz w:val="24"/>
          <w:szCs w:val="24"/>
          <w:lang w:val="en-US"/>
        </w:rPr>
        <w:t xml:space="preserve"> subacromial corticosteroid injection and an advice and exercise leaflet. </w:t>
      </w:r>
      <w:r w:rsidR="0078350B">
        <w:rPr>
          <w:rFonts w:ascii="Times New Roman" w:hAnsi="Times New Roman" w:cs="Times New Roman"/>
          <w:sz w:val="24"/>
          <w:szCs w:val="24"/>
          <w:lang w:val="en-US"/>
        </w:rPr>
        <w:t>This</w:t>
      </w:r>
      <w:r w:rsidR="00966CAF">
        <w:rPr>
          <w:rFonts w:ascii="Times New Roman" w:hAnsi="Times New Roman" w:cs="Times New Roman"/>
          <w:sz w:val="24"/>
          <w:szCs w:val="24"/>
          <w:lang w:val="en-US"/>
        </w:rPr>
        <w:t xml:space="preserve"> </w:t>
      </w:r>
      <w:r w:rsidR="00A8163A">
        <w:rPr>
          <w:rFonts w:ascii="Times New Roman" w:hAnsi="Times New Roman" w:cs="Times New Roman"/>
          <w:sz w:val="24"/>
          <w:szCs w:val="24"/>
          <w:lang w:val="en-US"/>
        </w:rPr>
        <w:t>analysis</w:t>
      </w:r>
      <w:r w:rsidR="00C2028D">
        <w:rPr>
          <w:rFonts w:ascii="Times New Roman" w:hAnsi="Times New Roman" w:cs="Times New Roman"/>
          <w:sz w:val="24"/>
          <w:szCs w:val="24"/>
          <w:lang w:val="en-US"/>
        </w:rPr>
        <w:t xml:space="preserve"> </w:t>
      </w:r>
      <w:r w:rsidR="00966CAF">
        <w:rPr>
          <w:rFonts w:ascii="Times New Roman" w:hAnsi="Times New Roman" w:cs="Times New Roman"/>
          <w:sz w:val="24"/>
          <w:szCs w:val="24"/>
          <w:lang w:val="en-US"/>
        </w:rPr>
        <w:t>used</w:t>
      </w:r>
      <w:r w:rsidR="00C2028D">
        <w:rPr>
          <w:rFonts w:ascii="Times New Roman" w:hAnsi="Times New Roman" w:cs="Times New Roman"/>
          <w:sz w:val="24"/>
          <w:szCs w:val="24"/>
          <w:lang w:val="en-US"/>
        </w:rPr>
        <w:t xml:space="preserve"> data </w:t>
      </w:r>
      <w:r w:rsidR="00B76146">
        <w:rPr>
          <w:rFonts w:ascii="Times New Roman" w:hAnsi="Times New Roman" w:cs="Times New Roman"/>
          <w:sz w:val="24"/>
          <w:szCs w:val="24"/>
          <w:lang w:val="en-US"/>
        </w:rPr>
        <w:t>from</w:t>
      </w:r>
      <w:r w:rsidR="00C2028D">
        <w:rPr>
          <w:rFonts w:ascii="Times New Roman" w:hAnsi="Times New Roman" w:cs="Times New Roman"/>
          <w:sz w:val="24"/>
          <w:szCs w:val="24"/>
          <w:lang w:val="en-US"/>
        </w:rPr>
        <w:t xml:space="preserve"> participants who </w:t>
      </w:r>
      <w:r w:rsidR="00AD093D">
        <w:rPr>
          <w:rFonts w:ascii="Times New Roman" w:hAnsi="Times New Roman" w:cs="Times New Roman"/>
          <w:sz w:val="24"/>
          <w:szCs w:val="24"/>
          <w:lang w:val="en-US"/>
        </w:rPr>
        <w:t xml:space="preserve">received </w:t>
      </w:r>
      <w:r w:rsidR="00A8163A">
        <w:rPr>
          <w:rFonts w:ascii="Times New Roman" w:hAnsi="Times New Roman" w:cs="Times New Roman"/>
          <w:sz w:val="24"/>
          <w:szCs w:val="24"/>
          <w:lang w:val="en-US"/>
        </w:rPr>
        <w:t xml:space="preserve">an </w:t>
      </w:r>
      <w:r w:rsidR="0078350B">
        <w:rPr>
          <w:rFonts w:ascii="Times New Roman" w:hAnsi="Times New Roman" w:cs="Times New Roman"/>
          <w:sz w:val="24"/>
          <w:szCs w:val="24"/>
          <w:lang w:val="en-US"/>
        </w:rPr>
        <w:t>US</w:t>
      </w:r>
      <w:r w:rsidR="00C2028D">
        <w:rPr>
          <w:rFonts w:ascii="Times New Roman" w:hAnsi="Times New Roman" w:cs="Times New Roman"/>
          <w:sz w:val="24"/>
          <w:szCs w:val="24"/>
          <w:lang w:val="en-US"/>
        </w:rPr>
        <w:t>-guided subacromial corticosteroid injection</w:t>
      </w:r>
      <w:r>
        <w:rPr>
          <w:rFonts w:ascii="Times New Roman" w:hAnsi="Times New Roman" w:cs="Times New Roman"/>
          <w:sz w:val="24"/>
          <w:szCs w:val="24"/>
          <w:lang w:val="en-US"/>
        </w:rPr>
        <w:t xml:space="preserve">, i.e </w:t>
      </w:r>
      <w:r w:rsidR="00C67D7F">
        <w:rPr>
          <w:rFonts w:ascii="Times New Roman" w:hAnsi="Times New Roman" w:cs="Times New Roman"/>
          <w:sz w:val="24"/>
          <w:szCs w:val="24"/>
          <w:lang w:val="en-US"/>
        </w:rPr>
        <w:t>arms</w:t>
      </w:r>
      <w:r>
        <w:rPr>
          <w:rFonts w:ascii="Times New Roman" w:hAnsi="Times New Roman" w:cs="Times New Roman"/>
          <w:sz w:val="24"/>
          <w:szCs w:val="24"/>
          <w:lang w:val="en-US"/>
        </w:rPr>
        <w:t xml:space="preserve"> 1 and 2</w:t>
      </w:r>
      <w:r w:rsidR="00C2028D">
        <w:rPr>
          <w:rFonts w:ascii="Times New Roman" w:hAnsi="Times New Roman" w:cs="Times New Roman"/>
          <w:sz w:val="24"/>
          <w:szCs w:val="24"/>
          <w:lang w:val="en-US"/>
        </w:rPr>
        <w:t>.</w:t>
      </w:r>
    </w:p>
    <w:p w14:paraId="6B17AA88" w14:textId="77777777" w:rsidR="00AD093D" w:rsidRDefault="00AD093D" w:rsidP="00CE5C14">
      <w:pPr>
        <w:spacing w:line="360" w:lineRule="auto"/>
        <w:jc w:val="both"/>
        <w:rPr>
          <w:rFonts w:ascii="Times New Roman" w:hAnsi="Times New Roman" w:cs="Times New Roman"/>
          <w:i/>
          <w:sz w:val="24"/>
          <w:szCs w:val="24"/>
          <w:lang w:val="en-US"/>
        </w:rPr>
      </w:pPr>
    </w:p>
    <w:p w14:paraId="3795D1A3" w14:textId="4896EADC" w:rsidR="0020702C" w:rsidRDefault="0078350B" w:rsidP="00CE5C14">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US</w:t>
      </w:r>
      <w:r w:rsidR="00966CAF">
        <w:rPr>
          <w:rFonts w:ascii="Times New Roman" w:hAnsi="Times New Roman" w:cs="Times New Roman"/>
          <w:i/>
          <w:sz w:val="24"/>
          <w:szCs w:val="24"/>
          <w:lang w:val="en-US"/>
        </w:rPr>
        <w:t xml:space="preserve">-guided </w:t>
      </w:r>
      <w:r>
        <w:rPr>
          <w:rFonts w:ascii="Times New Roman" w:hAnsi="Times New Roman" w:cs="Times New Roman"/>
          <w:i/>
          <w:sz w:val="24"/>
          <w:szCs w:val="24"/>
          <w:lang w:val="en-US"/>
        </w:rPr>
        <w:t xml:space="preserve">subacromial </w:t>
      </w:r>
      <w:r w:rsidR="00966CAF">
        <w:rPr>
          <w:rFonts w:ascii="Times New Roman" w:hAnsi="Times New Roman" w:cs="Times New Roman"/>
          <w:i/>
          <w:sz w:val="24"/>
          <w:szCs w:val="24"/>
          <w:lang w:val="en-US"/>
        </w:rPr>
        <w:t>corticosteroid injection</w:t>
      </w:r>
    </w:p>
    <w:p w14:paraId="1C034F5C" w14:textId="1CF145C8" w:rsidR="00C2028D" w:rsidRDefault="002C60F6" w:rsidP="00966CA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US</w:t>
      </w:r>
      <w:r w:rsidR="00937233">
        <w:rPr>
          <w:rFonts w:ascii="Times New Roman" w:hAnsi="Times New Roman" w:cs="Times New Roman"/>
          <w:sz w:val="24"/>
          <w:szCs w:val="24"/>
          <w:lang w:val="en-US"/>
        </w:rPr>
        <w:t xml:space="preserve">-guided </w:t>
      </w:r>
      <w:r w:rsidR="001B57C3">
        <w:rPr>
          <w:rFonts w:ascii="Times New Roman" w:hAnsi="Times New Roman" w:cs="Times New Roman"/>
          <w:sz w:val="24"/>
          <w:szCs w:val="24"/>
          <w:lang w:val="en-US"/>
        </w:rPr>
        <w:t xml:space="preserve">subacromial </w:t>
      </w:r>
      <w:r w:rsidR="00937233">
        <w:rPr>
          <w:rFonts w:ascii="Times New Roman" w:hAnsi="Times New Roman" w:cs="Times New Roman"/>
          <w:sz w:val="24"/>
          <w:szCs w:val="24"/>
          <w:lang w:val="en-US"/>
        </w:rPr>
        <w:t xml:space="preserve">corticosteroid injection </w:t>
      </w:r>
      <w:r w:rsidR="00B76146">
        <w:rPr>
          <w:rFonts w:ascii="Times New Roman" w:hAnsi="Times New Roman" w:cs="Times New Roman"/>
          <w:sz w:val="24"/>
          <w:szCs w:val="24"/>
          <w:lang w:val="en-US"/>
        </w:rPr>
        <w:t>was</w:t>
      </w:r>
      <w:r w:rsidR="00937233">
        <w:rPr>
          <w:rFonts w:ascii="Times New Roman" w:hAnsi="Times New Roman" w:cs="Times New Roman"/>
          <w:sz w:val="24"/>
          <w:szCs w:val="24"/>
          <w:lang w:val="en-US"/>
        </w:rPr>
        <w:t xml:space="preserve"> performed by a </w:t>
      </w:r>
      <w:r w:rsidR="00B76146">
        <w:rPr>
          <w:rFonts w:ascii="Times New Roman" w:hAnsi="Times New Roman" w:cs="Times New Roman"/>
          <w:sz w:val="24"/>
          <w:szCs w:val="24"/>
        </w:rPr>
        <w:t>rheumatologist</w:t>
      </w:r>
      <w:r w:rsidR="00B76146" w:rsidRPr="00527C44">
        <w:rPr>
          <w:rFonts w:ascii="Times New Roman" w:hAnsi="Times New Roman" w:cs="Times New Roman"/>
          <w:sz w:val="24"/>
          <w:szCs w:val="24"/>
        </w:rPr>
        <w:t>, reh</w:t>
      </w:r>
      <w:r w:rsidR="00B76146">
        <w:rPr>
          <w:rFonts w:ascii="Times New Roman" w:hAnsi="Times New Roman" w:cs="Times New Roman"/>
          <w:sz w:val="24"/>
          <w:szCs w:val="24"/>
        </w:rPr>
        <w:t>abilitation medicine specialist</w:t>
      </w:r>
      <w:r w:rsidR="00B76146" w:rsidRPr="00527C44">
        <w:rPr>
          <w:rFonts w:ascii="Times New Roman" w:hAnsi="Times New Roman" w:cs="Times New Roman"/>
          <w:sz w:val="24"/>
          <w:szCs w:val="24"/>
        </w:rPr>
        <w:t>, extended scope physiotherapist</w:t>
      </w:r>
      <w:r w:rsidR="0029562C">
        <w:rPr>
          <w:rFonts w:ascii="Times New Roman" w:hAnsi="Times New Roman" w:cs="Times New Roman"/>
          <w:sz w:val="24"/>
          <w:szCs w:val="24"/>
        </w:rPr>
        <w:t>,</w:t>
      </w:r>
      <w:r w:rsidR="00B76146" w:rsidRPr="00527C44">
        <w:rPr>
          <w:rFonts w:ascii="Times New Roman" w:hAnsi="Times New Roman" w:cs="Times New Roman"/>
          <w:sz w:val="24"/>
          <w:szCs w:val="24"/>
        </w:rPr>
        <w:t xml:space="preserve"> </w:t>
      </w:r>
      <w:r w:rsidR="00176D11">
        <w:rPr>
          <w:rFonts w:ascii="Times New Roman" w:hAnsi="Times New Roman" w:cs="Times New Roman"/>
          <w:sz w:val="24"/>
          <w:szCs w:val="24"/>
        </w:rPr>
        <w:t>m</w:t>
      </w:r>
      <w:r w:rsidR="00F82A08">
        <w:rPr>
          <w:rFonts w:ascii="Times New Roman" w:hAnsi="Times New Roman" w:cs="Times New Roman"/>
          <w:sz w:val="24"/>
          <w:szCs w:val="24"/>
        </w:rPr>
        <w:t>usculo</w:t>
      </w:r>
      <w:r w:rsidR="00176D11">
        <w:rPr>
          <w:rFonts w:ascii="Times New Roman" w:hAnsi="Times New Roman" w:cs="Times New Roman"/>
          <w:sz w:val="24"/>
          <w:szCs w:val="24"/>
        </w:rPr>
        <w:t>skeletal s</w:t>
      </w:r>
      <w:r w:rsidR="00F82A08">
        <w:rPr>
          <w:rFonts w:ascii="Times New Roman" w:hAnsi="Times New Roman" w:cs="Times New Roman"/>
          <w:sz w:val="24"/>
          <w:szCs w:val="24"/>
        </w:rPr>
        <w:t xml:space="preserve">onographer </w:t>
      </w:r>
      <w:r w:rsidR="00B76146" w:rsidRPr="00527C44">
        <w:rPr>
          <w:rFonts w:ascii="Times New Roman" w:hAnsi="Times New Roman" w:cs="Times New Roman"/>
          <w:sz w:val="24"/>
          <w:szCs w:val="24"/>
        </w:rPr>
        <w:t xml:space="preserve">or </w:t>
      </w:r>
      <w:r w:rsidR="00B76146">
        <w:rPr>
          <w:rFonts w:ascii="Times New Roman" w:hAnsi="Times New Roman" w:cs="Times New Roman"/>
          <w:sz w:val="24"/>
          <w:szCs w:val="24"/>
        </w:rPr>
        <w:t>GP with a special musculoskeletal interest</w:t>
      </w:r>
      <w:r w:rsidR="00937233">
        <w:rPr>
          <w:rFonts w:ascii="Times New Roman" w:hAnsi="Times New Roman" w:cs="Times New Roman"/>
          <w:sz w:val="24"/>
          <w:szCs w:val="24"/>
          <w:lang w:val="en-US"/>
        </w:rPr>
        <w:t xml:space="preserve"> who had </w:t>
      </w:r>
      <w:r w:rsidR="00A8163A">
        <w:rPr>
          <w:rFonts w:ascii="Times New Roman" w:hAnsi="Times New Roman" w:cs="Times New Roman"/>
          <w:sz w:val="24"/>
          <w:szCs w:val="24"/>
          <w:lang w:val="en-US"/>
        </w:rPr>
        <w:t xml:space="preserve">either </w:t>
      </w:r>
      <w:r w:rsidR="00937233">
        <w:rPr>
          <w:rFonts w:ascii="Times New Roman" w:hAnsi="Times New Roman" w:cs="Times New Roman"/>
          <w:sz w:val="24"/>
          <w:szCs w:val="24"/>
          <w:lang w:val="en-US"/>
        </w:rPr>
        <w:t xml:space="preserve">extensive clinical experience </w:t>
      </w:r>
      <w:r w:rsidR="00B76146">
        <w:rPr>
          <w:rFonts w:ascii="Times New Roman" w:hAnsi="Times New Roman" w:cs="Times New Roman"/>
          <w:sz w:val="24"/>
          <w:szCs w:val="24"/>
          <w:lang w:val="en-US"/>
        </w:rPr>
        <w:t xml:space="preserve">in performing </w:t>
      </w:r>
      <w:r w:rsidR="00AD093D">
        <w:rPr>
          <w:rFonts w:ascii="Times New Roman" w:hAnsi="Times New Roman" w:cs="Times New Roman"/>
          <w:sz w:val="24"/>
          <w:szCs w:val="24"/>
          <w:lang w:val="en-US"/>
        </w:rPr>
        <w:t>US</w:t>
      </w:r>
      <w:r w:rsidR="00B76146">
        <w:rPr>
          <w:rFonts w:ascii="Times New Roman" w:hAnsi="Times New Roman" w:cs="Times New Roman"/>
          <w:sz w:val="24"/>
          <w:szCs w:val="24"/>
          <w:lang w:val="en-US"/>
        </w:rPr>
        <w:t>-guided injections</w:t>
      </w:r>
      <w:r w:rsidR="00AD093D">
        <w:rPr>
          <w:rFonts w:ascii="Times New Roman" w:hAnsi="Times New Roman" w:cs="Times New Roman"/>
          <w:sz w:val="24"/>
          <w:szCs w:val="24"/>
          <w:lang w:val="en-US"/>
        </w:rPr>
        <w:t xml:space="preserve"> </w:t>
      </w:r>
      <w:r w:rsidR="00937233">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who had </w:t>
      </w:r>
      <w:r w:rsidR="00937233">
        <w:rPr>
          <w:rFonts w:ascii="Times New Roman" w:hAnsi="Times New Roman" w:cs="Times New Roman"/>
          <w:sz w:val="24"/>
          <w:szCs w:val="24"/>
          <w:lang w:val="en-US"/>
        </w:rPr>
        <w:t>completed an accredited course o</w:t>
      </w:r>
      <w:r w:rsidR="00966CAF">
        <w:rPr>
          <w:rFonts w:ascii="Times New Roman" w:hAnsi="Times New Roman" w:cs="Times New Roman"/>
          <w:sz w:val="24"/>
          <w:szCs w:val="24"/>
          <w:lang w:val="en-US"/>
        </w:rPr>
        <w:t xml:space="preserve">n </w:t>
      </w:r>
      <w:r>
        <w:rPr>
          <w:rFonts w:ascii="Times New Roman" w:hAnsi="Times New Roman" w:cs="Times New Roman"/>
          <w:sz w:val="24"/>
          <w:szCs w:val="24"/>
          <w:lang w:val="en-US"/>
        </w:rPr>
        <w:t>this procedure</w:t>
      </w:r>
      <w:r w:rsidR="00B76146">
        <w:rPr>
          <w:rFonts w:ascii="Times New Roman" w:hAnsi="Times New Roman" w:cs="Times New Roman"/>
          <w:sz w:val="24"/>
          <w:szCs w:val="24"/>
          <w:lang w:val="en-US"/>
        </w:rPr>
        <w:t>.</w:t>
      </w:r>
      <w:r w:rsidR="00966CAF">
        <w:rPr>
          <w:rFonts w:ascii="Times New Roman" w:hAnsi="Times New Roman" w:cs="Times New Roman"/>
          <w:sz w:val="24"/>
          <w:szCs w:val="24"/>
          <w:lang w:val="en-US"/>
        </w:rPr>
        <w:t xml:space="preserve"> </w:t>
      </w:r>
      <w:r w:rsidR="00B76146">
        <w:rPr>
          <w:rFonts w:ascii="Times New Roman" w:hAnsi="Times New Roman" w:cs="Times New Roman"/>
          <w:sz w:val="24"/>
          <w:szCs w:val="24"/>
          <w:lang w:val="en-US"/>
        </w:rPr>
        <w:t>A</w:t>
      </w:r>
      <w:r w:rsidR="00966CAF">
        <w:rPr>
          <w:rFonts w:ascii="Times New Roman" w:hAnsi="Times New Roman" w:cs="Times New Roman"/>
          <w:sz w:val="24"/>
          <w:szCs w:val="24"/>
          <w:lang w:val="en-US"/>
        </w:rPr>
        <w:t xml:space="preserve">ll attended a half-day injection protocol workshop and passed a clinical competency test by a consultant musculoskeletal sonographer (AH). The participant sat with the shoulder internally rotated and the ipsilateral hand on the buttock to maximise visibility of and access to the subacromial bursa. </w:t>
      </w:r>
      <w:r w:rsidR="00966CAF" w:rsidRPr="00966CAF">
        <w:rPr>
          <w:rFonts w:ascii="Times New Roman" w:hAnsi="Times New Roman" w:cs="Times New Roman"/>
          <w:sz w:val="24"/>
          <w:szCs w:val="24"/>
        </w:rPr>
        <w:t>The transdu</w:t>
      </w:r>
      <w:r w:rsidR="00966CAF">
        <w:rPr>
          <w:rFonts w:ascii="Times New Roman" w:hAnsi="Times New Roman" w:cs="Times New Roman"/>
          <w:sz w:val="24"/>
          <w:szCs w:val="24"/>
        </w:rPr>
        <w:t xml:space="preserve">cer was placed anterolaterally, </w:t>
      </w:r>
      <w:r w:rsidR="00966CAF" w:rsidRPr="00966CAF">
        <w:rPr>
          <w:rFonts w:ascii="Times New Roman" w:hAnsi="Times New Roman" w:cs="Times New Roman"/>
          <w:sz w:val="24"/>
          <w:szCs w:val="24"/>
        </w:rPr>
        <w:t>the hypoechoic subacromial bursa visualised, and a 21G</w:t>
      </w:r>
      <w:r w:rsidR="00966CAF">
        <w:rPr>
          <w:rFonts w:ascii="Times New Roman" w:hAnsi="Times New Roman" w:cs="Times New Roman"/>
          <w:sz w:val="24"/>
          <w:szCs w:val="24"/>
        </w:rPr>
        <w:t xml:space="preserve"> </w:t>
      </w:r>
      <w:r w:rsidR="00966CAF" w:rsidRPr="00966CAF">
        <w:rPr>
          <w:rFonts w:ascii="Times New Roman" w:hAnsi="Times New Roman" w:cs="Times New Roman"/>
          <w:sz w:val="24"/>
          <w:szCs w:val="24"/>
        </w:rPr>
        <w:t>needle inserted under real-time</w:t>
      </w:r>
      <w:r w:rsidR="00966CAF">
        <w:rPr>
          <w:rFonts w:ascii="Times New Roman" w:hAnsi="Times New Roman" w:cs="Times New Roman"/>
          <w:sz w:val="24"/>
          <w:szCs w:val="24"/>
        </w:rPr>
        <w:t xml:space="preserve"> </w:t>
      </w:r>
      <w:r w:rsidR="00F17A40">
        <w:rPr>
          <w:rFonts w:ascii="Times New Roman" w:hAnsi="Times New Roman" w:cs="Times New Roman"/>
          <w:sz w:val="24"/>
          <w:szCs w:val="24"/>
        </w:rPr>
        <w:t xml:space="preserve">US </w:t>
      </w:r>
      <w:r w:rsidR="00966CAF" w:rsidRPr="00966CAF">
        <w:rPr>
          <w:rFonts w:ascii="Times New Roman" w:hAnsi="Times New Roman" w:cs="Times New Roman"/>
          <w:sz w:val="24"/>
          <w:szCs w:val="24"/>
        </w:rPr>
        <w:t>guidance until the</w:t>
      </w:r>
      <w:r w:rsidR="00966CAF">
        <w:rPr>
          <w:rFonts w:ascii="Times New Roman" w:hAnsi="Times New Roman" w:cs="Times New Roman"/>
          <w:sz w:val="24"/>
          <w:szCs w:val="24"/>
        </w:rPr>
        <w:t xml:space="preserve"> </w:t>
      </w:r>
      <w:r w:rsidR="00966CAF" w:rsidRPr="00966CAF">
        <w:rPr>
          <w:rFonts w:ascii="Times New Roman" w:hAnsi="Times New Roman" w:cs="Times New Roman"/>
          <w:sz w:val="24"/>
          <w:szCs w:val="24"/>
        </w:rPr>
        <w:t>needle-tip</w:t>
      </w:r>
      <w:r w:rsidR="00966CAF">
        <w:rPr>
          <w:rFonts w:ascii="Times New Roman" w:hAnsi="Times New Roman" w:cs="Times New Roman"/>
          <w:sz w:val="24"/>
          <w:szCs w:val="24"/>
        </w:rPr>
        <w:t xml:space="preserve"> </w:t>
      </w:r>
      <w:r w:rsidR="00966CAF" w:rsidRPr="00966CAF">
        <w:rPr>
          <w:rFonts w:ascii="Times New Roman" w:hAnsi="Times New Roman" w:cs="Times New Roman"/>
          <w:sz w:val="24"/>
          <w:szCs w:val="24"/>
        </w:rPr>
        <w:t>entered the bursa. A commercially available pre</w:t>
      </w:r>
      <w:r w:rsidR="001B57C3">
        <w:rPr>
          <w:rFonts w:ascii="Times New Roman" w:hAnsi="Times New Roman" w:cs="Times New Roman"/>
          <w:sz w:val="24"/>
          <w:szCs w:val="24"/>
        </w:rPr>
        <w:t>-</w:t>
      </w:r>
      <w:r w:rsidR="00966CAF" w:rsidRPr="00966CAF">
        <w:rPr>
          <w:rFonts w:ascii="Times New Roman" w:hAnsi="Times New Roman" w:cs="Times New Roman"/>
          <w:sz w:val="24"/>
          <w:szCs w:val="24"/>
        </w:rPr>
        <w:t>mixed</w:t>
      </w:r>
      <w:r w:rsidR="00966CAF">
        <w:rPr>
          <w:rFonts w:ascii="Times New Roman" w:hAnsi="Times New Roman" w:cs="Times New Roman"/>
          <w:sz w:val="24"/>
          <w:szCs w:val="24"/>
        </w:rPr>
        <w:t xml:space="preserve"> </w:t>
      </w:r>
      <w:r w:rsidR="00966CAF" w:rsidRPr="00966CAF">
        <w:rPr>
          <w:rFonts w:ascii="Times New Roman" w:hAnsi="Times New Roman" w:cs="Times New Roman"/>
          <w:sz w:val="24"/>
          <w:szCs w:val="24"/>
        </w:rPr>
        <w:t xml:space="preserve">solution of methylprednisolone 40 mg and 1 mL 1% </w:t>
      </w:r>
      <w:r w:rsidR="00E765A5">
        <w:rPr>
          <w:rFonts w:ascii="Times New Roman" w:hAnsi="Times New Roman" w:cs="Times New Roman"/>
          <w:sz w:val="24"/>
          <w:szCs w:val="24"/>
        </w:rPr>
        <w:t>l</w:t>
      </w:r>
      <w:r w:rsidR="00966CAF" w:rsidRPr="00966CAF">
        <w:rPr>
          <w:rFonts w:ascii="Times New Roman" w:hAnsi="Times New Roman" w:cs="Times New Roman"/>
          <w:sz w:val="24"/>
          <w:szCs w:val="24"/>
        </w:rPr>
        <w:t>idocaine</w:t>
      </w:r>
      <w:r w:rsidR="00966CAF">
        <w:rPr>
          <w:rFonts w:ascii="Times New Roman" w:hAnsi="Times New Roman" w:cs="Times New Roman"/>
          <w:sz w:val="24"/>
          <w:szCs w:val="24"/>
        </w:rPr>
        <w:t xml:space="preserve"> </w:t>
      </w:r>
      <w:r w:rsidR="00966CAF" w:rsidRPr="00966CAF">
        <w:rPr>
          <w:rFonts w:ascii="Times New Roman" w:hAnsi="Times New Roman" w:cs="Times New Roman"/>
          <w:sz w:val="24"/>
          <w:szCs w:val="24"/>
        </w:rPr>
        <w:t>was injected into the bursa.</w:t>
      </w:r>
    </w:p>
    <w:p w14:paraId="37EE33C6" w14:textId="77777777" w:rsidR="00E765A5" w:rsidRDefault="00E765A5" w:rsidP="00966CAF">
      <w:pPr>
        <w:spacing w:line="360" w:lineRule="auto"/>
        <w:jc w:val="both"/>
        <w:rPr>
          <w:rFonts w:ascii="Times New Roman" w:hAnsi="Times New Roman" w:cs="Times New Roman"/>
          <w:sz w:val="24"/>
          <w:szCs w:val="24"/>
        </w:rPr>
      </w:pPr>
    </w:p>
    <w:p w14:paraId="464BBA38" w14:textId="01B28EF1" w:rsidR="000A0C99" w:rsidRPr="00BF24F3" w:rsidRDefault="000A0C99" w:rsidP="00966CAF">
      <w:pPr>
        <w:spacing w:line="360" w:lineRule="auto"/>
        <w:jc w:val="both"/>
        <w:rPr>
          <w:rFonts w:ascii="Times New Roman" w:hAnsi="Times New Roman" w:cs="Times New Roman"/>
          <w:i/>
          <w:sz w:val="24"/>
          <w:szCs w:val="24"/>
        </w:rPr>
      </w:pPr>
      <w:r w:rsidRPr="00BF24F3">
        <w:rPr>
          <w:rFonts w:ascii="Times New Roman" w:hAnsi="Times New Roman" w:cs="Times New Roman"/>
          <w:i/>
          <w:sz w:val="24"/>
          <w:szCs w:val="24"/>
        </w:rPr>
        <w:t>Accuracy stratifica</w:t>
      </w:r>
      <w:r w:rsidR="00E765A5">
        <w:rPr>
          <w:rFonts w:ascii="Times New Roman" w:hAnsi="Times New Roman" w:cs="Times New Roman"/>
          <w:i/>
          <w:sz w:val="24"/>
          <w:szCs w:val="24"/>
        </w:rPr>
        <w:t>ti</w:t>
      </w:r>
      <w:r w:rsidRPr="00BF24F3">
        <w:rPr>
          <w:rFonts w:ascii="Times New Roman" w:hAnsi="Times New Roman" w:cs="Times New Roman"/>
          <w:i/>
          <w:sz w:val="24"/>
          <w:szCs w:val="24"/>
        </w:rPr>
        <w:t>on</w:t>
      </w:r>
    </w:p>
    <w:p w14:paraId="25D61ACB" w14:textId="75CE7194" w:rsidR="00DD4FC0" w:rsidRDefault="007D120D" w:rsidP="00966CAF">
      <w:pPr>
        <w:spacing w:line="360" w:lineRule="auto"/>
        <w:jc w:val="both"/>
        <w:rPr>
          <w:rFonts w:ascii="Times New Roman" w:hAnsi="Times New Roman" w:cs="Times New Roman"/>
          <w:sz w:val="24"/>
          <w:szCs w:val="24"/>
        </w:rPr>
      </w:pPr>
      <w:r w:rsidRPr="007D120D">
        <w:rPr>
          <w:rFonts w:ascii="Times New Roman" w:hAnsi="Times New Roman" w:cs="Times New Roman"/>
          <w:sz w:val="24"/>
          <w:szCs w:val="24"/>
          <w:lang w:val="en-US"/>
        </w:rPr>
        <w:t>Dynamic ultrasound video images of all US-guided subacromial injections performed were reviewed by a consultant sonographer (AH) who categorised the accuracy of injection placement into one of the following categories: 1) definitely not in the subacromial bursa, 2) probably not in the subacromial bursa, 3) probably in the subacromial bursa, and 4) definitely in the subacromial bursa. Accuracy of injection placement was determined by seeing the needle-tip within the bursa and subsequent distension of the bursa with injectate.</w:t>
      </w:r>
      <w:r w:rsidRPr="007D120D">
        <w:rPr>
          <w:rFonts w:ascii="Times New Roman" w:hAnsi="Times New Roman" w:cs="Times New Roman"/>
          <w:b/>
          <w:bCs/>
          <w:i/>
          <w:iCs/>
          <w:sz w:val="24"/>
          <w:szCs w:val="24"/>
          <w:lang w:val="en-US"/>
        </w:rPr>
        <w:t xml:space="preserve"> </w:t>
      </w:r>
      <w:r w:rsidRPr="007D120D">
        <w:rPr>
          <w:rFonts w:ascii="Times New Roman" w:hAnsi="Times New Roman" w:cs="Times New Roman"/>
          <w:bCs/>
          <w:iCs/>
          <w:sz w:val="24"/>
          <w:szCs w:val="24"/>
        </w:rPr>
        <w:t>When visualisation of the needle tip was not possible due to attenuation of the beam by surrounding soft tissues but distension of the bursa was evident, these were labelled as 'probably in the subacromial bursa’.</w:t>
      </w:r>
      <w:r w:rsidRPr="007D120D">
        <w:rPr>
          <w:rFonts w:ascii="Times New Roman" w:hAnsi="Times New Roman" w:cs="Times New Roman"/>
          <w:sz w:val="24"/>
          <w:szCs w:val="24"/>
        </w:rPr>
        <w:t xml:space="preserve"> </w:t>
      </w:r>
      <w:r w:rsidRPr="007D120D">
        <w:rPr>
          <w:rFonts w:ascii="Times New Roman" w:hAnsi="Times New Roman" w:cs="Times New Roman"/>
          <w:bCs/>
          <w:iCs/>
          <w:sz w:val="24"/>
          <w:szCs w:val="24"/>
        </w:rPr>
        <w:t>In videos where it was not possible to see the needle tip or distension of the bursa, a label of 'probably not in the subacromial bursa' was given.</w:t>
      </w:r>
      <w:r w:rsidRPr="007D120D">
        <w:rPr>
          <w:rFonts w:ascii="Times New Roman" w:hAnsi="Times New Roman" w:cs="Times New Roman"/>
          <w:sz w:val="24"/>
          <w:szCs w:val="24"/>
        </w:rPr>
        <w:t xml:space="preserve"> </w:t>
      </w:r>
      <w:r w:rsidRPr="007D120D">
        <w:rPr>
          <w:rFonts w:ascii="Times New Roman" w:hAnsi="Times New Roman" w:cs="Times New Roman"/>
          <w:bCs/>
          <w:iCs/>
          <w:sz w:val="24"/>
          <w:szCs w:val="24"/>
        </w:rPr>
        <w:t>Videos were labelled as 'definitely not in the subacromial bursa' when the needle tip and injectate were seen outside the bursa.</w:t>
      </w:r>
    </w:p>
    <w:p w14:paraId="5DA7850A" w14:textId="77777777" w:rsidR="007D120D" w:rsidRPr="007D120D" w:rsidRDefault="007D120D" w:rsidP="00966CAF">
      <w:pPr>
        <w:spacing w:line="360" w:lineRule="auto"/>
        <w:jc w:val="both"/>
        <w:rPr>
          <w:rFonts w:ascii="Times New Roman" w:hAnsi="Times New Roman" w:cs="Times New Roman"/>
          <w:sz w:val="24"/>
          <w:szCs w:val="24"/>
        </w:rPr>
      </w:pPr>
    </w:p>
    <w:p w14:paraId="19281237" w14:textId="508D5EDE" w:rsidR="000E0309" w:rsidRPr="000E0309" w:rsidRDefault="000E0309" w:rsidP="00966CAF">
      <w:pPr>
        <w:spacing w:line="360" w:lineRule="auto"/>
        <w:jc w:val="both"/>
        <w:rPr>
          <w:rFonts w:ascii="Times New Roman" w:hAnsi="Times New Roman" w:cs="Times New Roman"/>
          <w:i/>
          <w:sz w:val="24"/>
          <w:szCs w:val="24"/>
          <w:lang w:val="en-US"/>
        </w:rPr>
      </w:pPr>
      <w:r w:rsidRPr="000E0309">
        <w:rPr>
          <w:rFonts w:ascii="Times New Roman" w:hAnsi="Times New Roman" w:cs="Times New Roman"/>
          <w:i/>
          <w:sz w:val="24"/>
          <w:szCs w:val="24"/>
          <w:lang w:val="en-US"/>
        </w:rPr>
        <w:t>Data collection</w:t>
      </w:r>
    </w:p>
    <w:p w14:paraId="44955402" w14:textId="033BE252" w:rsidR="00164662" w:rsidRDefault="00AD3C4F"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Baseline</w:t>
      </w:r>
      <w:r w:rsidR="006B13A9">
        <w:rPr>
          <w:rFonts w:ascii="Times New Roman" w:hAnsi="Times New Roman" w:cs="Times New Roman"/>
          <w:sz w:val="24"/>
          <w:szCs w:val="24"/>
          <w:lang w:val="en-US"/>
        </w:rPr>
        <w:t xml:space="preserve"> data</w:t>
      </w:r>
      <w:r>
        <w:rPr>
          <w:rFonts w:ascii="Times New Roman" w:hAnsi="Times New Roman" w:cs="Times New Roman"/>
          <w:sz w:val="24"/>
          <w:szCs w:val="24"/>
          <w:lang w:val="en-US"/>
        </w:rPr>
        <w:t xml:space="preserve"> </w:t>
      </w:r>
      <w:r w:rsidR="0029562C">
        <w:rPr>
          <w:rFonts w:ascii="Times New Roman" w:hAnsi="Times New Roman" w:cs="Times New Roman"/>
          <w:sz w:val="24"/>
          <w:szCs w:val="24"/>
          <w:lang w:val="en-US"/>
        </w:rPr>
        <w:t>were</w:t>
      </w:r>
      <w:r w:rsidR="007F7050">
        <w:rPr>
          <w:rFonts w:ascii="Times New Roman" w:hAnsi="Times New Roman" w:cs="Times New Roman"/>
          <w:sz w:val="24"/>
          <w:szCs w:val="24"/>
          <w:lang w:val="en-US"/>
        </w:rPr>
        <w:t xml:space="preserve"> </w:t>
      </w:r>
      <w:r>
        <w:rPr>
          <w:rFonts w:ascii="Times New Roman" w:hAnsi="Times New Roman" w:cs="Times New Roman"/>
          <w:sz w:val="24"/>
          <w:szCs w:val="24"/>
          <w:lang w:val="en-US"/>
        </w:rPr>
        <w:t>collected on</w:t>
      </w:r>
      <w:r w:rsidR="006B13A9">
        <w:rPr>
          <w:rFonts w:ascii="Times New Roman" w:hAnsi="Times New Roman" w:cs="Times New Roman"/>
          <w:sz w:val="24"/>
          <w:szCs w:val="24"/>
          <w:lang w:val="en-US"/>
        </w:rPr>
        <w:t xml:space="preserve"> </w:t>
      </w:r>
      <w:r w:rsidR="00D03F21">
        <w:rPr>
          <w:rFonts w:ascii="Times New Roman" w:hAnsi="Times New Roman" w:cs="Times New Roman"/>
          <w:sz w:val="24"/>
          <w:szCs w:val="24"/>
          <w:lang w:val="en-US"/>
        </w:rPr>
        <w:t xml:space="preserve">socio-demographic characteristics </w:t>
      </w:r>
      <w:r w:rsidR="00E71C51">
        <w:rPr>
          <w:rFonts w:ascii="Times New Roman" w:hAnsi="Times New Roman" w:cs="Times New Roman"/>
          <w:sz w:val="24"/>
          <w:szCs w:val="24"/>
          <w:lang w:val="en-US"/>
        </w:rPr>
        <w:t xml:space="preserve">including </w:t>
      </w:r>
      <w:r w:rsidR="00D03F21">
        <w:rPr>
          <w:rFonts w:ascii="Times New Roman" w:hAnsi="Times New Roman" w:cs="Times New Roman"/>
          <w:sz w:val="24"/>
          <w:szCs w:val="24"/>
          <w:lang w:val="en-US"/>
        </w:rPr>
        <w:t xml:space="preserve">age, gender, body mass index (BMI) calculated from self-reported height and weight, smoking status (previously smoked or currently smoking) and living arrangements. </w:t>
      </w:r>
      <w:r w:rsidR="00E71C51">
        <w:rPr>
          <w:rFonts w:ascii="Times New Roman" w:hAnsi="Times New Roman" w:cs="Times New Roman"/>
          <w:sz w:val="24"/>
          <w:szCs w:val="24"/>
          <w:lang w:val="en-US"/>
        </w:rPr>
        <w:t>The</w:t>
      </w:r>
      <w:r w:rsidR="00164662">
        <w:rPr>
          <w:rFonts w:ascii="Times New Roman" w:hAnsi="Times New Roman" w:cs="Times New Roman"/>
          <w:sz w:val="24"/>
          <w:szCs w:val="24"/>
          <w:lang w:val="en-US"/>
        </w:rPr>
        <w:t xml:space="preserve"> following </w:t>
      </w:r>
      <w:r w:rsidR="00577BF3">
        <w:rPr>
          <w:rFonts w:ascii="Times New Roman" w:hAnsi="Times New Roman" w:cs="Times New Roman"/>
          <w:sz w:val="24"/>
          <w:szCs w:val="24"/>
          <w:lang w:val="en-US"/>
        </w:rPr>
        <w:t xml:space="preserve">clinical </w:t>
      </w:r>
      <w:r w:rsidR="00180D92">
        <w:rPr>
          <w:rFonts w:ascii="Times New Roman" w:hAnsi="Times New Roman" w:cs="Times New Roman"/>
          <w:sz w:val="24"/>
          <w:szCs w:val="24"/>
          <w:lang w:val="en-US"/>
        </w:rPr>
        <w:t>characteristics</w:t>
      </w:r>
      <w:r w:rsidR="00577BF3">
        <w:rPr>
          <w:rFonts w:ascii="Times New Roman" w:hAnsi="Times New Roman" w:cs="Times New Roman"/>
          <w:sz w:val="24"/>
          <w:szCs w:val="24"/>
          <w:lang w:val="en-US"/>
        </w:rPr>
        <w:t xml:space="preserve"> were</w:t>
      </w:r>
      <w:r w:rsidR="00164662">
        <w:rPr>
          <w:rFonts w:ascii="Times New Roman" w:hAnsi="Times New Roman" w:cs="Times New Roman"/>
          <w:sz w:val="24"/>
          <w:szCs w:val="24"/>
          <w:lang w:val="en-US"/>
        </w:rPr>
        <w:t xml:space="preserve"> also collected at baseline: </w:t>
      </w:r>
      <w:r w:rsidR="0029562C">
        <w:rPr>
          <w:rFonts w:ascii="Times New Roman" w:hAnsi="Times New Roman" w:cs="Times New Roman"/>
          <w:sz w:val="24"/>
          <w:szCs w:val="24"/>
          <w:lang w:val="en-US"/>
        </w:rPr>
        <w:t xml:space="preserve">body </w:t>
      </w:r>
      <w:r w:rsidR="00164662">
        <w:rPr>
          <w:rFonts w:ascii="Times New Roman" w:hAnsi="Times New Roman" w:cs="Times New Roman"/>
          <w:sz w:val="24"/>
          <w:szCs w:val="24"/>
          <w:lang w:val="en-US"/>
        </w:rPr>
        <w:t xml:space="preserve">pain </w:t>
      </w:r>
      <w:r w:rsidR="0029562C">
        <w:rPr>
          <w:rFonts w:ascii="Times New Roman" w:hAnsi="Times New Roman" w:cs="Times New Roman"/>
          <w:sz w:val="24"/>
          <w:szCs w:val="24"/>
          <w:lang w:val="en-US"/>
        </w:rPr>
        <w:t>location</w:t>
      </w:r>
      <w:r w:rsidR="00E765A5">
        <w:rPr>
          <w:rFonts w:ascii="Times New Roman" w:hAnsi="Times New Roman" w:cs="Times New Roman"/>
          <w:sz w:val="24"/>
          <w:szCs w:val="24"/>
          <w:lang w:val="en-US"/>
        </w:rPr>
        <w:t xml:space="preserve"> </w:t>
      </w:r>
      <w:r w:rsidR="00A04170">
        <w:rPr>
          <w:rFonts w:ascii="Times New Roman" w:hAnsi="Times New Roman" w:cs="Times New Roman"/>
          <w:sz w:val="24"/>
          <w:szCs w:val="24"/>
          <w:lang w:val="en-US"/>
        </w:rPr>
        <w:t xml:space="preserve">derived from </w:t>
      </w:r>
      <w:r w:rsidR="0029562C">
        <w:rPr>
          <w:rFonts w:ascii="Times New Roman" w:hAnsi="Times New Roman" w:cs="Times New Roman"/>
          <w:sz w:val="24"/>
          <w:szCs w:val="24"/>
          <w:lang w:val="en-US"/>
        </w:rPr>
        <w:t xml:space="preserve">a </w:t>
      </w:r>
      <w:r w:rsidR="00164662">
        <w:rPr>
          <w:rFonts w:ascii="Times New Roman" w:hAnsi="Times New Roman" w:cs="Times New Roman"/>
          <w:sz w:val="24"/>
          <w:szCs w:val="24"/>
          <w:lang w:val="en-US"/>
        </w:rPr>
        <w:t>pain manikin</w:t>
      </w:r>
      <w:r w:rsidR="001A094B">
        <w:rPr>
          <w:rFonts w:ascii="Times New Roman" w:hAnsi="Times New Roman" w:cs="Times New Roman"/>
          <w:sz w:val="24"/>
          <w:szCs w:val="24"/>
          <w:lang w:val="en-US"/>
        </w:rPr>
        <w:t xml:space="preserve"> </w:t>
      </w:r>
      <w:r w:rsidR="001A094B">
        <w:rPr>
          <w:rFonts w:ascii="Times New Roman" w:hAnsi="Times New Roman" w:cs="Times New Roman"/>
          <w:sz w:val="24"/>
          <w:szCs w:val="24"/>
          <w:lang w:val="en-US"/>
        </w:rPr>
        <w:fldChar w:fldCharType="begin"/>
      </w:r>
      <w:r w:rsidR="001A094B">
        <w:rPr>
          <w:rFonts w:ascii="Times New Roman" w:hAnsi="Times New Roman" w:cs="Times New Roman"/>
          <w:sz w:val="24"/>
          <w:szCs w:val="24"/>
          <w:lang w:val="en-US"/>
        </w:rPr>
        <w:instrText>ADDIN RW.CITE{{doc:61a2548c8f08d26202108ead Lacey,R.J. 2005}}</w:instrText>
      </w:r>
      <w:r w:rsidR="001A094B">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(Lacey, Lewis, Jordan, Jinks, &amp; Sim, 2005)</w:t>
      </w:r>
      <w:r w:rsidR="001A094B">
        <w:rPr>
          <w:rFonts w:ascii="Times New Roman" w:hAnsi="Times New Roman" w:cs="Times New Roman"/>
          <w:sz w:val="24"/>
          <w:szCs w:val="24"/>
          <w:lang w:val="en-US"/>
        </w:rPr>
        <w:fldChar w:fldCharType="end"/>
      </w:r>
      <w:r w:rsidR="0029562C">
        <w:rPr>
          <w:rFonts w:ascii="Times New Roman" w:hAnsi="Times New Roman" w:cs="Times New Roman"/>
          <w:sz w:val="24"/>
          <w:szCs w:val="24"/>
          <w:lang w:val="en-US"/>
        </w:rPr>
        <w:t>,</w:t>
      </w:r>
      <w:r w:rsidR="00164662">
        <w:rPr>
          <w:rFonts w:ascii="Times New Roman" w:hAnsi="Times New Roman" w:cs="Times New Roman"/>
          <w:sz w:val="24"/>
          <w:szCs w:val="24"/>
          <w:lang w:val="en-US"/>
        </w:rPr>
        <w:t xml:space="preserve"> diabetes</w:t>
      </w:r>
      <w:r w:rsidR="00E765A5">
        <w:rPr>
          <w:rFonts w:ascii="Times New Roman" w:hAnsi="Times New Roman" w:cs="Times New Roman"/>
          <w:sz w:val="24"/>
          <w:szCs w:val="24"/>
          <w:lang w:val="en-US"/>
        </w:rPr>
        <w:t xml:space="preserve">, </w:t>
      </w:r>
      <w:r w:rsidR="0029562C">
        <w:rPr>
          <w:rFonts w:ascii="Times New Roman" w:hAnsi="Times New Roman" w:cs="Times New Roman"/>
          <w:sz w:val="24"/>
          <w:szCs w:val="24"/>
          <w:lang w:val="en-US"/>
        </w:rPr>
        <w:t>general health status</w:t>
      </w:r>
      <w:r w:rsidR="00164662">
        <w:rPr>
          <w:rFonts w:ascii="Times New Roman" w:hAnsi="Times New Roman" w:cs="Times New Roman"/>
          <w:sz w:val="24"/>
          <w:szCs w:val="24"/>
          <w:lang w:val="en-US"/>
        </w:rPr>
        <w:t xml:space="preserve"> (Short Form-12 (SF-12) physical</w:t>
      </w:r>
      <w:r w:rsidR="0013748F">
        <w:rPr>
          <w:rFonts w:ascii="Times New Roman" w:hAnsi="Times New Roman" w:cs="Times New Roman"/>
          <w:sz w:val="24"/>
          <w:szCs w:val="24"/>
          <w:lang w:val="en-US"/>
        </w:rPr>
        <w:t xml:space="preserve"> (PCS)</w:t>
      </w:r>
      <w:r w:rsidR="00164662">
        <w:rPr>
          <w:rFonts w:ascii="Times New Roman" w:hAnsi="Times New Roman" w:cs="Times New Roman"/>
          <w:sz w:val="24"/>
          <w:szCs w:val="24"/>
          <w:lang w:val="en-US"/>
        </w:rPr>
        <w:t xml:space="preserve"> and mental component scores</w:t>
      </w:r>
      <w:r w:rsidR="0013748F">
        <w:rPr>
          <w:rFonts w:ascii="Times New Roman" w:hAnsi="Times New Roman" w:cs="Times New Roman"/>
          <w:sz w:val="24"/>
          <w:szCs w:val="24"/>
          <w:lang w:val="en-US"/>
        </w:rPr>
        <w:t xml:space="preserve"> (MCS)</w:t>
      </w:r>
      <w:r w:rsidR="00164662">
        <w:rPr>
          <w:rFonts w:ascii="Times New Roman" w:hAnsi="Times New Roman" w:cs="Times New Roman"/>
          <w:sz w:val="24"/>
          <w:szCs w:val="24"/>
          <w:lang w:val="en-US"/>
        </w:rPr>
        <w:t>)</w:t>
      </w:r>
      <w:r w:rsidR="00FD41B8">
        <w:rPr>
          <w:rFonts w:ascii="Times New Roman" w:hAnsi="Times New Roman" w:cs="Times New Roman"/>
          <w:sz w:val="24"/>
          <w:szCs w:val="24"/>
          <w:lang w:val="en-US"/>
        </w:rPr>
        <w:t xml:space="preserve"> </w:t>
      </w:r>
      <w:r w:rsidR="00FD41B8">
        <w:rPr>
          <w:rFonts w:ascii="Times New Roman" w:hAnsi="Times New Roman" w:cs="Times New Roman"/>
          <w:sz w:val="24"/>
          <w:szCs w:val="24"/>
          <w:lang w:val="en-US"/>
        </w:rPr>
        <w:fldChar w:fldCharType="begin"/>
      </w:r>
      <w:r w:rsidR="00FD41B8">
        <w:rPr>
          <w:rFonts w:ascii="Times New Roman" w:hAnsi="Times New Roman" w:cs="Times New Roman"/>
          <w:sz w:val="24"/>
          <w:szCs w:val="24"/>
          <w:lang w:val="en-US"/>
        </w:rPr>
        <w:instrText>ADDIN RW.CITE{{doc:61a255628f0858d53d74e111 Brazier,JE 2004; doc:61a255028f08791a167ed5f5 Ware,J.,Jr 1996}}</w:instrText>
      </w:r>
      <w:r w:rsidR="00FD41B8">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(Brazier &amp; Roberts, 2004; Ware, Kosinski, &amp; Keller, 1996)</w:t>
      </w:r>
      <w:r w:rsidR="00FD41B8">
        <w:rPr>
          <w:rFonts w:ascii="Times New Roman" w:hAnsi="Times New Roman" w:cs="Times New Roman"/>
          <w:sz w:val="24"/>
          <w:szCs w:val="24"/>
          <w:lang w:val="en-US"/>
        </w:rPr>
        <w:fldChar w:fldCharType="end"/>
      </w:r>
      <w:r w:rsidR="00164662">
        <w:rPr>
          <w:rFonts w:ascii="Times New Roman" w:hAnsi="Times New Roman" w:cs="Times New Roman"/>
          <w:sz w:val="24"/>
          <w:szCs w:val="24"/>
          <w:lang w:val="en-US"/>
        </w:rPr>
        <w:t>; and participants’ treatment experiences, preferences and expectations (</w:t>
      </w:r>
      <w:r w:rsidR="0029562C">
        <w:rPr>
          <w:rFonts w:ascii="Times New Roman" w:hAnsi="Times New Roman" w:cs="Times New Roman"/>
          <w:sz w:val="24"/>
          <w:szCs w:val="24"/>
          <w:lang w:val="en-US"/>
        </w:rPr>
        <w:t xml:space="preserve">having had a </w:t>
      </w:r>
      <w:r w:rsidR="00164662">
        <w:rPr>
          <w:rFonts w:ascii="Times New Roman" w:hAnsi="Times New Roman" w:cs="Times New Roman"/>
          <w:sz w:val="24"/>
          <w:szCs w:val="24"/>
          <w:lang w:val="en-US"/>
        </w:rPr>
        <w:t xml:space="preserve">previous steroid injection, preference </w:t>
      </w:r>
      <w:r w:rsidR="0029562C">
        <w:rPr>
          <w:rFonts w:ascii="Times New Roman" w:hAnsi="Times New Roman" w:cs="Times New Roman"/>
          <w:sz w:val="24"/>
          <w:szCs w:val="24"/>
          <w:lang w:val="en-US"/>
        </w:rPr>
        <w:t>for</w:t>
      </w:r>
      <w:r w:rsidR="00164662">
        <w:rPr>
          <w:rFonts w:ascii="Times New Roman" w:hAnsi="Times New Roman" w:cs="Times New Roman"/>
          <w:sz w:val="24"/>
          <w:szCs w:val="24"/>
          <w:lang w:val="en-US"/>
        </w:rPr>
        <w:t xml:space="preserve"> corticosteroid injection with or without </w:t>
      </w:r>
      <w:r w:rsidR="00F17A40">
        <w:rPr>
          <w:rFonts w:ascii="Times New Roman" w:hAnsi="Times New Roman" w:cs="Times New Roman"/>
          <w:sz w:val="24"/>
          <w:szCs w:val="24"/>
          <w:lang w:val="en-US"/>
        </w:rPr>
        <w:t>US</w:t>
      </w:r>
      <w:r w:rsidR="0029562C">
        <w:rPr>
          <w:rFonts w:ascii="Times New Roman" w:hAnsi="Times New Roman" w:cs="Times New Roman"/>
          <w:sz w:val="24"/>
          <w:szCs w:val="24"/>
          <w:lang w:val="en-US"/>
        </w:rPr>
        <w:t>,</w:t>
      </w:r>
      <w:r w:rsidR="00164662">
        <w:rPr>
          <w:rFonts w:ascii="Times New Roman" w:hAnsi="Times New Roman" w:cs="Times New Roman"/>
          <w:sz w:val="24"/>
          <w:szCs w:val="24"/>
          <w:lang w:val="en-US"/>
        </w:rPr>
        <w:t xml:space="preserve"> and expectation of </w:t>
      </w:r>
      <w:r w:rsidR="00AD4A45">
        <w:rPr>
          <w:rFonts w:ascii="Times New Roman" w:hAnsi="Times New Roman" w:cs="Times New Roman"/>
          <w:sz w:val="24"/>
          <w:szCs w:val="24"/>
          <w:lang w:val="en-US"/>
        </w:rPr>
        <w:t xml:space="preserve">improvement of </w:t>
      </w:r>
      <w:r w:rsidR="00C67D7F">
        <w:rPr>
          <w:rFonts w:ascii="Times New Roman" w:hAnsi="Times New Roman" w:cs="Times New Roman"/>
          <w:sz w:val="24"/>
          <w:szCs w:val="24"/>
          <w:lang w:val="en-US"/>
        </w:rPr>
        <w:t xml:space="preserve">their </w:t>
      </w:r>
      <w:r w:rsidR="00AD4A45">
        <w:rPr>
          <w:rFonts w:ascii="Times New Roman" w:hAnsi="Times New Roman" w:cs="Times New Roman"/>
          <w:sz w:val="24"/>
          <w:szCs w:val="24"/>
          <w:lang w:val="en-US"/>
        </w:rPr>
        <w:t>shoulder problem</w:t>
      </w:r>
      <w:r w:rsidR="002B1667">
        <w:rPr>
          <w:rFonts w:ascii="Times New Roman" w:hAnsi="Times New Roman" w:cs="Times New Roman"/>
          <w:sz w:val="24"/>
          <w:szCs w:val="24"/>
          <w:lang w:val="en-US"/>
        </w:rPr>
        <w:t xml:space="preserve"> with </w:t>
      </w:r>
      <w:r w:rsidR="00902555">
        <w:rPr>
          <w:rFonts w:ascii="Times New Roman" w:hAnsi="Times New Roman" w:cs="Times New Roman"/>
          <w:sz w:val="24"/>
          <w:szCs w:val="24"/>
          <w:lang w:val="en-US"/>
        </w:rPr>
        <w:t>US</w:t>
      </w:r>
      <w:r w:rsidR="002B1667">
        <w:rPr>
          <w:rFonts w:ascii="Times New Roman" w:hAnsi="Times New Roman" w:cs="Times New Roman"/>
          <w:sz w:val="24"/>
          <w:szCs w:val="24"/>
          <w:lang w:val="en-US"/>
        </w:rPr>
        <w:t>-guided or unguided s</w:t>
      </w:r>
      <w:r w:rsidR="00DD4FC0">
        <w:rPr>
          <w:rFonts w:ascii="Times New Roman" w:hAnsi="Times New Roman" w:cs="Times New Roman"/>
          <w:sz w:val="24"/>
          <w:szCs w:val="24"/>
          <w:lang w:val="en-US"/>
        </w:rPr>
        <w:t xml:space="preserve">ubacromial </w:t>
      </w:r>
      <w:r w:rsidR="002B1667">
        <w:rPr>
          <w:rFonts w:ascii="Times New Roman" w:hAnsi="Times New Roman" w:cs="Times New Roman"/>
          <w:sz w:val="24"/>
          <w:szCs w:val="24"/>
          <w:lang w:val="en-US"/>
        </w:rPr>
        <w:t>corticosteroid injection</w:t>
      </w:r>
      <w:r w:rsidR="00164662">
        <w:rPr>
          <w:rFonts w:ascii="Times New Roman" w:hAnsi="Times New Roman" w:cs="Times New Roman"/>
          <w:sz w:val="24"/>
          <w:szCs w:val="24"/>
          <w:lang w:val="en-US"/>
        </w:rPr>
        <w:t>).</w:t>
      </w:r>
    </w:p>
    <w:p w14:paraId="47AA806A" w14:textId="10F21BD8" w:rsidR="00C2028D" w:rsidRDefault="0029562C" w:rsidP="00C2028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B3655D">
        <w:rPr>
          <w:rFonts w:ascii="Times New Roman" w:hAnsi="Times New Roman" w:cs="Times New Roman"/>
          <w:sz w:val="24"/>
          <w:szCs w:val="24"/>
          <w:lang w:val="en-US"/>
        </w:rPr>
        <w:t xml:space="preserve">utcome measures were collected </w:t>
      </w:r>
      <w:r>
        <w:rPr>
          <w:rFonts w:ascii="Times New Roman" w:hAnsi="Times New Roman" w:cs="Times New Roman"/>
          <w:sz w:val="24"/>
          <w:szCs w:val="24"/>
          <w:lang w:val="en-US"/>
        </w:rPr>
        <w:t xml:space="preserve">by questionnaires </w:t>
      </w:r>
      <w:r w:rsidR="00B3655D">
        <w:rPr>
          <w:rFonts w:ascii="Times New Roman" w:hAnsi="Times New Roman" w:cs="Times New Roman"/>
          <w:sz w:val="24"/>
          <w:szCs w:val="24"/>
          <w:lang w:val="en-US"/>
        </w:rPr>
        <w:t xml:space="preserve">at </w:t>
      </w:r>
      <w:r>
        <w:rPr>
          <w:rFonts w:ascii="Times New Roman" w:hAnsi="Times New Roman" w:cs="Times New Roman"/>
          <w:sz w:val="24"/>
          <w:szCs w:val="24"/>
          <w:lang w:val="en-US"/>
        </w:rPr>
        <w:t xml:space="preserve">the </w:t>
      </w:r>
      <w:r w:rsidR="00B3655D">
        <w:rPr>
          <w:rFonts w:ascii="Times New Roman" w:hAnsi="Times New Roman" w:cs="Times New Roman"/>
          <w:sz w:val="24"/>
          <w:szCs w:val="24"/>
          <w:lang w:val="en-US"/>
        </w:rPr>
        <w:t>baseline</w:t>
      </w:r>
      <w:r>
        <w:rPr>
          <w:rFonts w:ascii="Times New Roman" w:hAnsi="Times New Roman" w:cs="Times New Roman"/>
          <w:sz w:val="24"/>
          <w:szCs w:val="24"/>
          <w:lang w:val="en-US"/>
        </w:rPr>
        <w:t xml:space="preserve"> visit and then postally</w:t>
      </w:r>
      <w:r w:rsidR="00B3655D">
        <w:rPr>
          <w:rFonts w:ascii="Times New Roman" w:hAnsi="Times New Roman" w:cs="Times New Roman"/>
          <w:sz w:val="24"/>
          <w:szCs w:val="24"/>
          <w:lang w:val="en-US"/>
        </w:rPr>
        <w:t xml:space="preserve"> </w:t>
      </w:r>
      <w:r w:rsidR="00E765A5">
        <w:rPr>
          <w:rFonts w:ascii="Times New Roman" w:hAnsi="Times New Roman" w:cs="Times New Roman"/>
          <w:sz w:val="24"/>
          <w:szCs w:val="24"/>
          <w:lang w:val="en-US"/>
        </w:rPr>
        <w:t>a</w:t>
      </w:r>
      <w:r>
        <w:rPr>
          <w:rFonts w:ascii="Times New Roman" w:hAnsi="Times New Roman" w:cs="Times New Roman"/>
          <w:sz w:val="24"/>
          <w:szCs w:val="24"/>
          <w:lang w:val="en-US"/>
        </w:rPr>
        <w:t xml:space="preserve">t </w:t>
      </w:r>
      <w:r w:rsidR="00B3655D">
        <w:rPr>
          <w:rFonts w:ascii="Times New Roman" w:hAnsi="Times New Roman" w:cs="Times New Roman"/>
          <w:sz w:val="24"/>
          <w:szCs w:val="24"/>
          <w:lang w:val="en-US"/>
        </w:rPr>
        <w:t>6 weeks</w:t>
      </w:r>
      <w:r w:rsidR="00B36C65">
        <w:rPr>
          <w:rFonts w:ascii="Times New Roman" w:hAnsi="Times New Roman" w:cs="Times New Roman"/>
          <w:sz w:val="24"/>
          <w:szCs w:val="24"/>
          <w:lang w:val="en-US"/>
        </w:rPr>
        <w:t xml:space="preserve"> and</w:t>
      </w:r>
      <w:r w:rsidR="00B3655D">
        <w:rPr>
          <w:rFonts w:ascii="Times New Roman" w:hAnsi="Times New Roman" w:cs="Times New Roman"/>
          <w:sz w:val="24"/>
          <w:szCs w:val="24"/>
          <w:lang w:val="en-US"/>
        </w:rPr>
        <w:t xml:space="preserve"> 6 months. </w:t>
      </w:r>
      <w:r w:rsidR="00C2028D" w:rsidRPr="00CE5C14">
        <w:rPr>
          <w:rFonts w:ascii="Times New Roman" w:hAnsi="Times New Roman" w:cs="Times New Roman"/>
          <w:sz w:val="24"/>
          <w:szCs w:val="24"/>
          <w:lang w:val="en-US"/>
        </w:rPr>
        <w:t xml:space="preserve">The primary outcome </w:t>
      </w:r>
      <w:r w:rsidR="00B3655D">
        <w:rPr>
          <w:rFonts w:ascii="Times New Roman" w:hAnsi="Times New Roman" w:cs="Times New Roman"/>
          <w:sz w:val="24"/>
          <w:szCs w:val="24"/>
          <w:lang w:val="en-US"/>
        </w:rPr>
        <w:t xml:space="preserve">was the Shoulder Pain </w:t>
      </w:r>
      <w:r w:rsidR="000958C3">
        <w:rPr>
          <w:rFonts w:ascii="Times New Roman" w:hAnsi="Times New Roman" w:cs="Times New Roman"/>
          <w:sz w:val="24"/>
          <w:szCs w:val="24"/>
          <w:lang w:val="en-US"/>
        </w:rPr>
        <w:t>A</w:t>
      </w:r>
      <w:r w:rsidR="00B3655D">
        <w:rPr>
          <w:rFonts w:ascii="Times New Roman" w:hAnsi="Times New Roman" w:cs="Times New Roman"/>
          <w:sz w:val="24"/>
          <w:szCs w:val="24"/>
          <w:lang w:val="en-US"/>
        </w:rPr>
        <w:t>nd Disability Index</w:t>
      </w:r>
      <w:r w:rsidR="00C2028D" w:rsidRPr="00CE5C14">
        <w:rPr>
          <w:rFonts w:ascii="Times New Roman" w:hAnsi="Times New Roman" w:cs="Times New Roman"/>
          <w:sz w:val="24"/>
          <w:szCs w:val="24"/>
          <w:lang w:val="en-US"/>
        </w:rPr>
        <w:t xml:space="preserve"> </w:t>
      </w:r>
      <w:r w:rsidR="00B3655D">
        <w:rPr>
          <w:rFonts w:ascii="Times New Roman" w:hAnsi="Times New Roman" w:cs="Times New Roman"/>
          <w:sz w:val="24"/>
          <w:szCs w:val="24"/>
          <w:lang w:val="en-US"/>
        </w:rPr>
        <w:t>(</w:t>
      </w:r>
      <w:r w:rsidR="00C2028D" w:rsidRPr="00CE5C14">
        <w:rPr>
          <w:rFonts w:ascii="Times New Roman" w:hAnsi="Times New Roman" w:cs="Times New Roman"/>
          <w:sz w:val="24"/>
          <w:szCs w:val="24"/>
          <w:lang w:val="en-US"/>
        </w:rPr>
        <w:t>SPADI</w:t>
      </w:r>
      <w:r w:rsidR="00B3655D">
        <w:rPr>
          <w:rFonts w:ascii="Times New Roman" w:hAnsi="Times New Roman" w:cs="Times New Roman"/>
          <w:sz w:val="24"/>
          <w:szCs w:val="24"/>
          <w:lang w:val="en-US"/>
        </w:rPr>
        <w:t>)</w:t>
      </w:r>
      <w:r w:rsidR="00C2028D" w:rsidRPr="00CE5C14">
        <w:rPr>
          <w:rFonts w:ascii="Times New Roman" w:hAnsi="Times New Roman" w:cs="Times New Roman"/>
          <w:sz w:val="24"/>
          <w:szCs w:val="24"/>
          <w:lang w:val="en-US"/>
        </w:rPr>
        <w:t xml:space="preserve"> total score</w:t>
      </w:r>
      <w:r w:rsidR="00FD41B8">
        <w:rPr>
          <w:rFonts w:ascii="Times New Roman" w:hAnsi="Times New Roman" w:cs="Times New Roman"/>
          <w:sz w:val="24"/>
          <w:szCs w:val="24"/>
          <w:lang w:val="en-US"/>
        </w:rPr>
        <w:t xml:space="preserve"> </w:t>
      </w:r>
      <w:r w:rsidR="00FD41B8">
        <w:rPr>
          <w:rFonts w:ascii="Times New Roman" w:hAnsi="Times New Roman" w:cs="Times New Roman"/>
          <w:sz w:val="24"/>
          <w:szCs w:val="24"/>
          <w:lang w:val="en-US"/>
        </w:rPr>
        <w:fldChar w:fldCharType="begin"/>
      </w:r>
      <w:r w:rsidR="00FD41B8">
        <w:rPr>
          <w:rFonts w:ascii="Times New Roman" w:hAnsi="Times New Roman" w:cs="Times New Roman"/>
          <w:sz w:val="24"/>
          <w:szCs w:val="24"/>
          <w:lang w:val="en-US"/>
        </w:rPr>
        <w:instrText>ADDIN RW.CITE{{doc:61a255878f08cb099ef9190c Roach,KE 1991}}</w:instrText>
      </w:r>
      <w:r w:rsidR="00FD41B8">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(Roach, Budiman-Mak, Songsiridej, &amp; Lertratanakul, 1991)</w:t>
      </w:r>
      <w:r w:rsidR="00FD41B8">
        <w:rPr>
          <w:rFonts w:ascii="Times New Roman" w:hAnsi="Times New Roman" w:cs="Times New Roman"/>
          <w:sz w:val="24"/>
          <w:szCs w:val="24"/>
          <w:lang w:val="en-US"/>
        </w:rPr>
        <w:fldChar w:fldCharType="end"/>
      </w:r>
      <w:r w:rsidR="00C2028D" w:rsidRPr="00CE5C14">
        <w:rPr>
          <w:rFonts w:ascii="Times New Roman" w:hAnsi="Times New Roman" w:cs="Times New Roman"/>
          <w:sz w:val="24"/>
          <w:szCs w:val="24"/>
          <w:lang w:val="en-US"/>
        </w:rPr>
        <w:t xml:space="preserve">. Secondary outcomes </w:t>
      </w:r>
      <w:r w:rsidR="000958C3">
        <w:rPr>
          <w:rFonts w:ascii="Times New Roman" w:hAnsi="Times New Roman" w:cs="Times New Roman"/>
          <w:sz w:val="24"/>
          <w:szCs w:val="24"/>
          <w:lang w:val="en-US"/>
        </w:rPr>
        <w:t>included in this analysis</w:t>
      </w:r>
      <w:r w:rsidR="00B36C65">
        <w:rPr>
          <w:rFonts w:ascii="Times New Roman" w:hAnsi="Times New Roman" w:cs="Times New Roman"/>
          <w:sz w:val="24"/>
          <w:szCs w:val="24"/>
          <w:lang w:val="en-US"/>
        </w:rPr>
        <w:t xml:space="preserve"> </w:t>
      </w:r>
      <w:r w:rsidR="00B3655D">
        <w:rPr>
          <w:rFonts w:ascii="Times New Roman" w:hAnsi="Times New Roman" w:cs="Times New Roman"/>
          <w:sz w:val="24"/>
          <w:szCs w:val="24"/>
          <w:lang w:val="en-US"/>
        </w:rPr>
        <w:t>were t</w:t>
      </w:r>
      <w:r w:rsidR="00C2028D" w:rsidRPr="00CE5C14">
        <w:rPr>
          <w:rFonts w:ascii="Times New Roman" w:hAnsi="Times New Roman" w:cs="Times New Roman"/>
          <w:sz w:val="24"/>
          <w:szCs w:val="24"/>
          <w:lang w:val="en-US"/>
        </w:rPr>
        <w:t xml:space="preserve">he SPADI pain and </w:t>
      </w:r>
      <w:r w:rsidR="00B3655D">
        <w:rPr>
          <w:rFonts w:ascii="Times New Roman" w:hAnsi="Times New Roman" w:cs="Times New Roman"/>
          <w:sz w:val="24"/>
          <w:szCs w:val="24"/>
          <w:lang w:val="en-US"/>
        </w:rPr>
        <w:t>disability subscores</w:t>
      </w:r>
      <w:r w:rsidR="00F63055">
        <w:rPr>
          <w:rFonts w:ascii="Times New Roman" w:hAnsi="Times New Roman" w:cs="Times New Roman"/>
          <w:sz w:val="24"/>
          <w:szCs w:val="24"/>
          <w:lang w:val="en-US"/>
        </w:rPr>
        <w:t xml:space="preserve"> and </w:t>
      </w:r>
      <w:r w:rsidR="00140365">
        <w:rPr>
          <w:rFonts w:ascii="Times New Roman" w:hAnsi="Times New Roman" w:cs="Times New Roman"/>
          <w:sz w:val="24"/>
          <w:szCs w:val="24"/>
          <w:lang w:val="en-US"/>
        </w:rPr>
        <w:t>participants</w:t>
      </w:r>
      <w:r w:rsidR="00E9626F">
        <w:rPr>
          <w:rFonts w:ascii="Times New Roman" w:hAnsi="Times New Roman" w:cs="Times New Roman"/>
          <w:sz w:val="24"/>
          <w:szCs w:val="24"/>
          <w:lang w:val="en-US"/>
        </w:rPr>
        <w:t>’</w:t>
      </w:r>
      <w:r w:rsidR="00140365">
        <w:rPr>
          <w:rFonts w:ascii="Times New Roman" w:hAnsi="Times New Roman" w:cs="Times New Roman"/>
          <w:sz w:val="24"/>
          <w:szCs w:val="24"/>
          <w:lang w:val="en-US"/>
        </w:rPr>
        <w:t xml:space="preserve"> self-reported global impression of change</w:t>
      </w:r>
      <w:r w:rsidR="00FD41B8">
        <w:rPr>
          <w:rFonts w:ascii="Times New Roman" w:hAnsi="Times New Roman" w:cs="Times New Roman"/>
          <w:sz w:val="24"/>
          <w:szCs w:val="24"/>
          <w:lang w:val="en-US"/>
        </w:rPr>
        <w:t xml:space="preserve"> </w:t>
      </w:r>
      <w:r w:rsidR="00FD41B8">
        <w:rPr>
          <w:rFonts w:ascii="Times New Roman" w:hAnsi="Times New Roman" w:cs="Times New Roman"/>
          <w:sz w:val="24"/>
          <w:szCs w:val="24"/>
          <w:lang w:val="en-US"/>
        </w:rPr>
        <w:fldChar w:fldCharType="begin"/>
      </w:r>
      <w:r w:rsidR="00FD41B8">
        <w:rPr>
          <w:rFonts w:ascii="Times New Roman" w:hAnsi="Times New Roman" w:cs="Times New Roman"/>
          <w:sz w:val="24"/>
          <w:szCs w:val="24"/>
          <w:lang w:val="en-US"/>
        </w:rPr>
        <w:instrText>ADDIN RW.CITE{{doc:61a255b58f08cb099ef9190f vanderWindt,DA 1998}}</w:instrText>
      </w:r>
      <w:r w:rsidR="00FD41B8">
        <w:rPr>
          <w:rFonts w:ascii="Times New Roman" w:hAnsi="Times New Roman" w:cs="Times New Roman"/>
          <w:sz w:val="24"/>
          <w:szCs w:val="24"/>
          <w:lang w:val="en-US"/>
        </w:rPr>
        <w:fldChar w:fldCharType="separate"/>
      </w:r>
      <w:r w:rsidR="00FD41B8" w:rsidRPr="00FD41B8">
        <w:rPr>
          <w:rFonts w:ascii="Times New Roman" w:hAnsi="Times New Roman" w:cs="Times New Roman"/>
          <w:bCs/>
          <w:sz w:val="24"/>
          <w:szCs w:val="24"/>
          <w:lang w:val="en-US"/>
        </w:rPr>
        <w:t>(van der Windt, D A et al., 1998)</w:t>
      </w:r>
      <w:r w:rsidR="00FD41B8">
        <w:rPr>
          <w:rFonts w:ascii="Times New Roman" w:hAnsi="Times New Roman" w:cs="Times New Roman"/>
          <w:sz w:val="24"/>
          <w:szCs w:val="24"/>
          <w:lang w:val="en-US"/>
        </w:rPr>
        <w:fldChar w:fldCharType="end"/>
      </w:r>
      <w:r w:rsidR="008F1D40">
        <w:rPr>
          <w:rFonts w:ascii="Times New Roman" w:hAnsi="Times New Roman" w:cs="Times New Roman"/>
          <w:sz w:val="24"/>
          <w:szCs w:val="24"/>
          <w:lang w:val="en-US"/>
        </w:rPr>
        <w:t>.</w:t>
      </w:r>
    </w:p>
    <w:p w14:paraId="20B6812B" w14:textId="77777777" w:rsidR="00DD4FC0" w:rsidRDefault="00DD4FC0" w:rsidP="00CE5C14">
      <w:pPr>
        <w:spacing w:line="360" w:lineRule="auto"/>
        <w:jc w:val="both"/>
        <w:rPr>
          <w:rFonts w:ascii="Times New Roman" w:hAnsi="Times New Roman" w:cs="Times New Roman"/>
          <w:i/>
          <w:sz w:val="24"/>
          <w:szCs w:val="24"/>
          <w:lang w:val="en-US"/>
        </w:rPr>
      </w:pPr>
    </w:p>
    <w:p w14:paraId="2B924200" w14:textId="031A3CE3" w:rsidR="0020702C" w:rsidRPr="0020702C" w:rsidRDefault="0020702C" w:rsidP="00CE5C14">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Statistical analysis</w:t>
      </w:r>
    </w:p>
    <w:p w14:paraId="1B77F44B" w14:textId="0E1F95BA" w:rsidR="00E9626F" w:rsidRPr="00E9626F" w:rsidRDefault="0029562C" w:rsidP="00E962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Owing to small numbers, t</w:t>
      </w:r>
      <w:r w:rsidR="00E9626F">
        <w:rPr>
          <w:rFonts w:ascii="Times New Roman" w:hAnsi="Times New Roman" w:cs="Times New Roman"/>
          <w:sz w:val="24"/>
          <w:szCs w:val="24"/>
          <w:lang w:val="en-US"/>
        </w:rPr>
        <w:t xml:space="preserve">he ‘definitely not in the </w:t>
      </w:r>
      <w:r w:rsidR="00E82EBF">
        <w:rPr>
          <w:rFonts w:ascii="Times New Roman" w:hAnsi="Times New Roman" w:cs="Times New Roman"/>
          <w:sz w:val="24"/>
          <w:szCs w:val="24"/>
          <w:lang w:val="en-US"/>
        </w:rPr>
        <w:t>subacromial bursa</w:t>
      </w:r>
      <w:r w:rsidR="00E9626F">
        <w:rPr>
          <w:rFonts w:ascii="Times New Roman" w:hAnsi="Times New Roman" w:cs="Times New Roman"/>
          <w:sz w:val="24"/>
          <w:szCs w:val="24"/>
          <w:lang w:val="en-US"/>
        </w:rPr>
        <w:t xml:space="preserve">’ and ‘probably not in the </w:t>
      </w:r>
      <w:r w:rsidR="00E82EBF">
        <w:rPr>
          <w:rFonts w:ascii="Times New Roman" w:hAnsi="Times New Roman" w:cs="Times New Roman"/>
          <w:sz w:val="24"/>
          <w:szCs w:val="24"/>
          <w:lang w:val="en-US"/>
        </w:rPr>
        <w:t>subacromial bursa</w:t>
      </w:r>
      <w:r w:rsidR="00E9626F">
        <w:rPr>
          <w:rFonts w:ascii="Times New Roman" w:hAnsi="Times New Roman" w:cs="Times New Roman"/>
          <w:sz w:val="24"/>
          <w:szCs w:val="24"/>
          <w:lang w:val="en-US"/>
        </w:rPr>
        <w:t>’</w:t>
      </w:r>
      <w:r w:rsidR="00E82EBF">
        <w:rPr>
          <w:rFonts w:ascii="Times New Roman" w:hAnsi="Times New Roman" w:cs="Times New Roman"/>
          <w:sz w:val="24"/>
          <w:szCs w:val="24"/>
          <w:lang w:val="en-US"/>
        </w:rPr>
        <w:t xml:space="preserve"> </w:t>
      </w:r>
      <w:r w:rsidR="00E9626F">
        <w:rPr>
          <w:rFonts w:ascii="Times New Roman" w:hAnsi="Times New Roman" w:cs="Times New Roman"/>
          <w:sz w:val="24"/>
          <w:szCs w:val="24"/>
          <w:lang w:val="en-US"/>
        </w:rPr>
        <w:t>group</w:t>
      </w:r>
      <w:r>
        <w:rPr>
          <w:rFonts w:ascii="Times New Roman" w:hAnsi="Times New Roman" w:cs="Times New Roman"/>
          <w:sz w:val="24"/>
          <w:szCs w:val="24"/>
          <w:lang w:val="en-US"/>
        </w:rPr>
        <w:t>s</w:t>
      </w:r>
      <w:r w:rsidR="00E9626F">
        <w:rPr>
          <w:rFonts w:ascii="Times New Roman" w:hAnsi="Times New Roman" w:cs="Times New Roman"/>
          <w:sz w:val="24"/>
          <w:szCs w:val="24"/>
          <w:lang w:val="en-US"/>
        </w:rPr>
        <w:t xml:space="preserve"> </w:t>
      </w:r>
      <w:r w:rsidR="00E9626F" w:rsidRPr="00E9626F">
        <w:rPr>
          <w:rFonts w:ascii="Times New Roman" w:hAnsi="Times New Roman" w:cs="Times New Roman"/>
          <w:sz w:val="24"/>
          <w:szCs w:val="24"/>
          <w:lang w:val="en-US"/>
        </w:rPr>
        <w:t>were</w:t>
      </w:r>
      <w:r w:rsidR="00E9626F">
        <w:rPr>
          <w:rFonts w:ascii="Times New Roman" w:hAnsi="Times New Roman" w:cs="Times New Roman"/>
          <w:sz w:val="24"/>
          <w:szCs w:val="24"/>
          <w:lang w:val="en-US"/>
        </w:rPr>
        <w:t xml:space="preserve"> </w:t>
      </w:r>
      <w:r w:rsidR="00D040DD">
        <w:rPr>
          <w:rFonts w:ascii="Times New Roman" w:hAnsi="Times New Roman" w:cs="Times New Roman"/>
          <w:sz w:val="24"/>
          <w:szCs w:val="24"/>
          <w:lang w:val="en-US"/>
        </w:rPr>
        <w:t xml:space="preserve">combined </w:t>
      </w:r>
      <w:r w:rsidR="00E9626F" w:rsidRPr="00E9626F">
        <w:rPr>
          <w:rFonts w:ascii="Times New Roman" w:hAnsi="Times New Roman" w:cs="Times New Roman"/>
          <w:sz w:val="24"/>
          <w:szCs w:val="24"/>
          <w:lang w:val="en-US"/>
        </w:rPr>
        <w:t>into one category</w:t>
      </w:r>
      <w:r w:rsidR="00E9626F">
        <w:rPr>
          <w:rFonts w:ascii="Times New Roman" w:hAnsi="Times New Roman" w:cs="Times New Roman"/>
          <w:sz w:val="24"/>
          <w:szCs w:val="24"/>
          <w:lang w:val="en-US"/>
        </w:rPr>
        <w:t xml:space="preserve">, resulting in three accuracy groups: </w:t>
      </w:r>
      <w:r w:rsidR="00E9626F">
        <w:rPr>
          <w:rFonts w:ascii="Times New Roman" w:hAnsi="Times New Roman" w:cs="Times New Roman"/>
          <w:sz w:val="24"/>
          <w:szCs w:val="24"/>
        </w:rPr>
        <w:t xml:space="preserve">definitely/probably </w:t>
      </w:r>
      <w:r w:rsidR="00E9626F" w:rsidRPr="009D39BA">
        <w:rPr>
          <w:rFonts w:ascii="Times New Roman" w:hAnsi="Times New Roman" w:cs="Times New Roman"/>
          <w:sz w:val="24"/>
          <w:szCs w:val="24"/>
        </w:rPr>
        <w:t>not in the subacromial bursa</w:t>
      </w:r>
      <w:r w:rsidR="00E9626F">
        <w:rPr>
          <w:rFonts w:ascii="Times New Roman" w:hAnsi="Times New Roman" w:cs="Times New Roman"/>
          <w:sz w:val="24"/>
          <w:szCs w:val="24"/>
        </w:rPr>
        <w:t xml:space="preserve"> (Group 1)</w:t>
      </w:r>
      <w:r w:rsidR="00E9626F" w:rsidRPr="009D39BA">
        <w:rPr>
          <w:rFonts w:ascii="Times New Roman" w:hAnsi="Times New Roman" w:cs="Times New Roman"/>
          <w:sz w:val="24"/>
          <w:szCs w:val="24"/>
        </w:rPr>
        <w:t>; probably in the subacromial bursa</w:t>
      </w:r>
      <w:r w:rsidR="00E9626F">
        <w:rPr>
          <w:rFonts w:ascii="Times New Roman" w:hAnsi="Times New Roman" w:cs="Times New Roman"/>
          <w:sz w:val="24"/>
          <w:szCs w:val="24"/>
        </w:rPr>
        <w:t xml:space="preserve"> (Group 2)</w:t>
      </w:r>
      <w:r w:rsidR="00E9626F" w:rsidRPr="009D39BA">
        <w:rPr>
          <w:rFonts w:ascii="Times New Roman" w:hAnsi="Times New Roman" w:cs="Times New Roman"/>
          <w:sz w:val="24"/>
          <w:szCs w:val="24"/>
        </w:rPr>
        <w:t>; and definitely in the subacromial bursa</w:t>
      </w:r>
      <w:r w:rsidR="00E9626F">
        <w:rPr>
          <w:rFonts w:ascii="Times New Roman" w:hAnsi="Times New Roman" w:cs="Times New Roman"/>
          <w:sz w:val="24"/>
          <w:szCs w:val="24"/>
        </w:rPr>
        <w:t xml:space="preserve"> (Group 3).</w:t>
      </w:r>
    </w:p>
    <w:p w14:paraId="6993561B" w14:textId="6CB7B8F5" w:rsidR="00CE5C14" w:rsidRPr="00F20697" w:rsidRDefault="009104CA" w:rsidP="00CE5C14">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Baseline socio</w:t>
      </w:r>
      <w:r w:rsidR="00DD4FC0">
        <w:rPr>
          <w:rFonts w:ascii="Times New Roman" w:hAnsi="Times New Roman" w:cs="Times New Roman"/>
          <w:sz w:val="24"/>
          <w:szCs w:val="24"/>
          <w:lang w:val="en-US"/>
        </w:rPr>
        <w:t>-</w:t>
      </w:r>
      <w:r>
        <w:rPr>
          <w:rFonts w:ascii="Times New Roman" w:hAnsi="Times New Roman" w:cs="Times New Roman"/>
          <w:sz w:val="24"/>
          <w:szCs w:val="24"/>
          <w:lang w:val="en-US"/>
        </w:rPr>
        <w:t xml:space="preserve">demographic characteristics, </w:t>
      </w:r>
      <w:r w:rsidR="00DD4FC0">
        <w:rPr>
          <w:rFonts w:ascii="Times New Roman" w:hAnsi="Times New Roman" w:cs="Times New Roman"/>
          <w:sz w:val="24"/>
          <w:szCs w:val="24"/>
          <w:lang w:val="en-US"/>
        </w:rPr>
        <w:t>clinical characteristics</w:t>
      </w:r>
      <w:r>
        <w:rPr>
          <w:rFonts w:ascii="Times New Roman" w:hAnsi="Times New Roman" w:cs="Times New Roman"/>
          <w:sz w:val="24"/>
          <w:szCs w:val="24"/>
          <w:lang w:val="en-US"/>
        </w:rPr>
        <w:t xml:space="preserve"> and outcome measures were summari</w:t>
      </w:r>
      <w:r w:rsidR="003A2F0D">
        <w:rPr>
          <w:rFonts w:ascii="Times New Roman" w:hAnsi="Times New Roman" w:cs="Times New Roman"/>
          <w:sz w:val="24"/>
          <w:szCs w:val="24"/>
          <w:lang w:val="en-US"/>
        </w:rPr>
        <w:t>s</w:t>
      </w:r>
      <w:r>
        <w:rPr>
          <w:rFonts w:ascii="Times New Roman" w:hAnsi="Times New Roman" w:cs="Times New Roman"/>
          <w:sz w:val="24"/>
          <w:szCs w:val="24"/>
          <w:lang w:val="en-US"/>
        </w:rPr>
        <w:t xml:space="preserve">ed using descriptive </w:t>
      </w:r>
      <w:r w:rsidR="003A2F0D">
        <w:rPr>
          <w:rFonts w:ascii="Times New Roman" w:hAnsi="Times New Roman" w:cs="Times New Roman"/>
          <w:sz w:val="24"/>
          <w:szCs w:val="24"/>
          <w:lang w:val="en-US"/>
        </w:rPr>
        <w:t>statistics</w:t>
      </w:r>
      <w:r w:rsidR="00C36C61">
        <w:rPr>
          <w:rFonts w:ascii="Times New Roman" w:hAnsi="Times New Roman" w:cs="Times New Roman"/>
          <w:sz w:val="24"/>
          <w:szCs w:val="24"/>
          <w:lang w:val="en-US"/>
        </w:rPr>
        <w:t xml:space="preserve"> (mean and standard deviation</w:t>
      </w:r>
      <w:r w:rsidR="009D7B0F">
        <w:rPr>
          <w:rFonts w:ascii="Times New Roman" w:hAnsi="Times New Roman" w:cs="Times New Roman"/>
          <w:sz w:val="24"/>
          <w:szCs w:val="24"/>
          <w:lang w:val="en-US"/>
        </w:rPr>
        <w:t xml:space="preserve"> (SD)</w:t>
      </w:r>
      <w:r w:rsidR="00C36C61">
        <w:rPr>
          <w:rFonts w:ascii="Times New Roman" w:hAnsi="Times New Roman" w:cs="Times New Roman"/>
          <w:sz w:val="24"/>
          <w:szCs w:val="24"/>
          <w:lang w:val="en-US"/>
        </w:rPr>
        <w:t xml:space="preserve"> for continuous variables and frequency and percentage for categorical variables)</w:t>
      </w:r>
      <w:r>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Mixed</w:t>
      </w:r>
      <w:r w:rsidR="00687B58">
        <w:rPr>
          <w:rFonts w:ascii="Times New Roman" w:hAnsi="Times New Roman" w:cs="Times New Roman"/>
          <w:sz w:val="24"/>
          <w:szCs w:val="24"/>
          <w:lang w:val="en-US"/>
        </w:rPr>
        <w:t>-effect models</w:t>
      </w:r>
      <w:r w:rsidR="00CE5C14" w:rsidRPr="00CE5C14">
        <w:rPr>
          <w:rFonts w:ascii="Times New Roman" w:hAnsi="Times New Roman" w:cs="Times New Roman"/>
          <w:sz w:val="24"/>
          <w:szCs w:val="24"/>
          <w:lang w:val="en-US"/>
        </w:rPr>
        <w:t xml:space="preserve"> (linear for SPADI </w:t>
      </w:r>
      <w:r w:rsidR="006E3017">
        <w:rPr>
          <w:rFonts w:ascii="Times New Roman" w:hAnsi="Times New Roman" w:cs="Times New Roman"/>
          <w:sz w:val="24"/>
          <w:szCs w:val="24"/>
          <w:lang w:val="en-US"/>
        </w:rPr>
        <w:t>total and subscale scores</w:t>
      </w:r>
      <w:r w:rsidR="00CE5C14" w:rsidRPr="00CE5C14">
        <w:rPr>
          <w:rFonts w:ascii="Times New Roman" w:hAnsi="Times New Roman" w:cs="Times New Roman"/>
          <w:sz w:val="24"/>
          <w:szCs w:val="24"/>
          <w:lang w:val="en-US"/>
        </w:rPr>
        <w:t xml:space="preserve"> and logistic for dichoto</w:t>
      </w:r>
      <w:r w:rsidR="007A7793">
        <w:rPr>
          <w:rFonts w:ascii="Times New Roman" w:hAnsi="Times New Roman" w:cs="Times New Roman"/>
          <w:sz w:val="24"/>
          <w:szCs w:val="24"/>
          <w:lang w:val="en-US"/>
        </w:rPr>
        <w:t xml:space="preserve">mised global </w:t>
      </w:r>
      <w:r w:rsidR="006E3017">
        <w:rPr>
          <w:rFonts w:ascii="Times New Roman" w:hAnsi="Times New Roman" w:cs="Times New Roman"/>
          <w:sz w:val="24"/>
          <w:szCs w:val="24"/>
          <w:lang w:val="en-US"/>
        </w:rPr>
        <w:t xml:space="preserve">assessment of overall </w:t>
      </w:r>
      <w:r w:rsidR="007A7793">
        <w:rPr>
          <w:rFonts w:ascii="Times New Roman" w:hAnsi="Times New Roman" w:cs="Times New Roman"/>
          <w:sz w:val="24"/>
          <w:szCs w:val="24"/>
          <w:lang w:val="en-US"/>
        </w:rPr>
        <w:t>change)</w:t>
      </w:r>
      <w:r w:rsidR="00CE5C14" w:rsidRPr="00CE5C14">
        <w:rPr>
          <w:rFonts w:ascii="Times New Roman" w:hAnsi="Times New Roman" w:cs="Times New Roman"/>
          <w:sz w:val="24"/>
          <w:szCs w:val="24"/>
          <w:lang w:val="en-US"/>
        </w:rPr>
        <w:t xml:space="preserve"> </w:t>
      </w:r>
      <w:r w:rsidR="00687B58">
        <w:rPr>
          <w:rFonts w:ascii="Times New Roman" w:hAnsi="Times New Roman" w:cs="Times New Roman"/>
          <w:sz w:val="24"/>
          <w:szCs w:val="24"/>
          <w:lang w:val="en-US"/>
        </w:rPr>
        <w:t>were</w:t>
      </w:r>
      <w:r w:rsidR="00687B58" w:rsidRPr="00CE5C14">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 xml:space="preserve">used to generate the effect of accuracy of US-guided </w:t>
      </w:r>
      <w:r w:rsidR="0013748F">
        <w:rPr>
          <w:rFonts w:ascii="Times New Roman" w:hAnsi="Times New Roman" w:cs="Times New Roman"/>
          <w:sz w:val="24"/>
          <w:szCs w:val="24"/>
          <w:lang w:val="en-US"/>
        </w:rPr>
        <w:t xml:space="preserve">subacromial corticosteroid </w:t>
      </w:r>
      <w:r w:rsidR="00CE5C14" w:rsidRPr="00CE5C14">
        <w:rPr>
          <w:rFonts w:ascii="Times New Roman" w:hAnsi="Times New Roman" w:cs="Times New Roman"/>
          <w:sz w:val="24"/>
          <w:szCs w:val="24"/>
          <w:lang w:val="en-US"/>
        </w:rPr>
        <w:t>injection on the outcomes at 6 weeks and 6 months, adjusted for</w:t>
      </w:r>
      <w:r w:rsidR="00AF79DA">
        <w:rPr>
          <w:rFonts w:ascii="Times New Roman" w:hAnsi="Times New Roman" w:cs="Times New Roman"/>
          <w:sz w:val="24"/>
          <w:szCs w:val="24"/>
          <w:lang w:val="en-US"/>
        </w:rPr>
        <w:t xml:space="preserve"> </w:t>
      </w:r>
      <w:r w:rsidR="00D816B2" w:rsidRPr="00A13846">
        <w:rPr>
          <w:rFonts w:ascii="Times New Roman" w:hAnsi="Times New Roman" w:cs="Times New Roman"/>
          <w:i/>
          <w:sz w:val="24"/>
          <w:szCs w:val="24"/>
          <w:lang w:val="en-US"/>
        </w:rPr>
        <w:t>a priori</w:t>
      </w:r>
      <w:r w:rsidR="00CE5C14" w:rsidRPr="00CE5C14">
        <w:rPr>
          <w:rFonts w:ascii="Times New Roman" w:hAnsi="Times New Roman" w:cs="Times New Roman"/>
          <w:sz w:val="24"/>
          <w:szCs w:val="24"/>
          <w:lang w:val="en-US"/>
        </w:rPr>
        <w:t xml:space="preserve"> select</w:t>
      </w:r>
      <w:r w:rsidR="00F20697">
        <w:rPr>
          <w:rFonts w:ascii="Times New Roman" w:hAnsi="Times New Roman" w:cs="Times New Roman"/>
          <w:sz w:val="24"/>
          <w:szCs w:val="24"/>
          <w:lang w:val="en-US"/>
        </w:rPr>
        <w:t>ed</w:t>
      </w:r>
      <w:r w:rsidR="00CE5C14" w:rsidRPr="00CE5C14">
        <w:rPr>
          <w:rFonts w:ascii="Times New Roman" w:hAnsi="Times New Roman" w:cs="Times New Roman"/>
          <w:sz w:val="24"/>
          <w:szCs w:val="24"/>
          <w:lang w:val="en-US"/>
        </w:rPr>
        <w:t xml:space="preserve"> baseline </w:t>
      </w:r>
      <w:r w:rsidR="004B4FBA">
        <w:rPr>
          <w:rFonts w:ascii="Times New Roman" w:hAnsi="Times New Roman" w:cs="Times New Roman"/>
          <w:sz w:val="24"/>
          <w:szCs w:val="24"/>
          <w:lang w:val="en-US"/>
        </w:rPr>
        <w:t xml:space="preserve">socio-demographic and clinical </w:t>
      </w:r>
      <w:r w:rsidR="00CE5C14" w:rsidRPr="00CE5C14">
        <w:rPr>
          <w:rFonts w:ascii="Times New Roman" w:hAnsi="Times New Roman" w:cs="Times New Roman"/>
          <w:sz w:val="24"/>
          <w:szCs w:val="24"/>
          <w:lang w:val="en-US"/>
        </w:rPr>
        <w:t>characteristics (age, gender,</w:t>
      </w:r>
      <w:r w:rsidR="00101ABF">
        <w:rPr>
          <w:rFonts w:ascii="Times New Roman" w:hAnsi="Times New Roman" w:cs="Times New Roman"/>
          <w:sz w:val="24"/>
          <w:szCs w:val="24"/>
          <w:lang w:val="en-US"/>
        </w:rPr>
        <w:t xml:space="preserve"> BMI,</w:t>
      </w:r>
      <w:r w:rsidR="00CE5C14" w:rsidRPr="00CE5C14">
        <w:rPr>
          <w:rFonts w:ascii="Times New Roman" w:hAnsi="Times New Roman" w:cs="Times New Roman"/>
          <w:sz w:val="24"/>
          <w:szCs w:val="24"/>
          <w:lang w:val="en-US"/>
        </w:rPr>
        <w:t xml:space="preserve"> </w:t>
      </w:r>
      <w:r w:rsidR="000570E2">
        <w:rPr>
          <w:rFonts w:ascii="Times New Roman" w:hAnsi="Times New Roman" w:cs="Times New Roman"/>
          <w:sz w:val="24"/>
          <w:szCs w:val="24"/>
          <w:lang w:val="en-US"/>
        </w:rPr>
        <w:t xml:space="preserve">previous steroid injection, </w:t>
      </w:r>
      <w:r w:rsidR="000570E2" w:rsidRPr="00101ABF">
        <w:rPr>
          <w:rFonts w:ascii="Times New Roman" w:hAnsi="Times New Roman" w:cs="Times New Roman"/>
          <w:sz w:val="24"/>
          <w:szCs w:val="24"/>
        </w:rPr>
        <w:t xml:space="preserve">expectation of </w:t>
      </w:r>
      <w:r w:rsidR="00813F12">
        <w:rPr>
          <w:rFonts w:ascii="Times New Roman" w:hAnsi="Times New Roman" w:cs="Times New Roman"/>
          <w:sz w:val="24"/>
          <w:szCs w:val="24"/>
        </w:rPr>
        <w:t>unguided</w:t>
      </w:r>
      <w:r w:rsidR="000570E2" w:rsidRPr="00101ABF">
        <w:rPr>
          <w:rFonts w:ascii="Times New Roman" w:hAnsi="Times New Roman" w:cs="Times New Roman"/>
          <w:sz w:val="24"/>
          <w:szCs w:val="24"/>
        </w:rPr>
        <w:t xml:space="preserve"> steroid injection</w:t>
      </w:r>
      <w:r w:rsidR="000570E2" w:rsidRPr="00101ABF">
        <w:rPr>
          <w:rFonts w:ascii="Times New Roman" w:hAnsi="Times New Roman" w:cs="Times New Roman"/>
          <w:sz w:val="24"/>
          <w:szCs w:val="24"/>
          <w:lang w:val="en-US"/>
        </w:rPr>
        <w:t xml:space="preserve"> on shoulder pain improvement</w:t>
      </w:r>
      <w:r w:rsidR="000570E2" w:rsidRPr="00CE5C14">
        <w:rPr>
          <w:rFonts w:ascii="Times New Roman" w:hAnsi="Times New Roman" w:cs="Times New Roman"/>
          <w:sz w:val="24"/>
          <w:szCs w:val="24"/>
          <w:lang w:val="en-US"/>
        </w:rPr>
        <w:t xml:space="preserve">, SF-12 physical </w:t>
      </w:r>
      <w:r w:rsidR="000570E2">
        <w:rPr>
          <w:rFonts w:ascii="Times New Roman" w:hAnsi="Times New Roman" w:cs="Times New Roman"/>
          <w:sz w:val="24"/>
          <w:szCs w:val="24"/>
          <w:lang w:val="en-US"/>
        </w:rPr>
        <w:t xml:space="preserve">component </w:t>
      </w:r>
      <w:r w:rsidR="000570E2" w:rsidRPr="00CE5C14">
        <w:rPr>
          <w:rFonts w:ascii="Times New Roman" w:hAnsi="Times New Roman" w:cs="Times New Roman"/>
          <w:sz w:val="24"/>
          <w:szCs w:val="24"/>
          <w:lang w:val="en-US"/>
        </w:rPr>
        <w:t>summary score</w:t>
      </w:r>
      <w:r w:rsidR="000570E2">
        <w:rPr>
          <w:rFonts w:ascii="Times New Roman" w:hAnsi="Times New Roman" w:cs="Times New Roman"/>
          <w:sz w:val="24"/>
          <w:szCs w:val="24"/>
          <w:lang w:val="en-US"/>
        </w:rPr>
        <w:t>s, presence of widespread pain</w:t>
      </w:r>
      <w:r w:rsidR="00E75499">
        <w:rPr>
          <w:rFonts w:ascii="Times New Roman" w:hAnsi="Times New Roman" w:cs="Times New Roman"/>
          <w:sz w:val="24"/>
          <w:szCs w:val="24"/>
          <w:lang w:val="en-US"/>
        </w:rPr>
        <w:t xml:space="preserve"> </w:t>
      </w:r>
      <w:r w:rsidR="00E75499" w:rsidRPr="00E75499">
        <w:rPr>
          <w:rFonts w:ascii="Times New Roman" w:hAnsi="Times New Roman" w:cs="Times New Roman"/>
          <w:sz w:val="24"/>
          <w:szCs w:val="24"/>
        </w:rPr>
        <w:t>measured by the Manchester Widespread Pain criteria</w:t>
      </w:r>
      <w:r w:rsidR="00FD41B8">
        <w:rPr>
          <w:rFonts w:ascii="Times New Roman" w:hAnsi="Times New Roman" w:cs="Times New Roman"/>
          <w:sz w:val="24"/>
          <w:szCs w:val="24"/>
        </w:rPr>
        <w:t xml:space="preserve"> </w:t>
      </w:r>
      <w:r w:rsidR="00FD41B8">
        <w:rPr>
          <w:rFonts w:ascii="Times New Roman" w:hAnsi="Times New Roman" w:cs="Times New Roman"/>
          <w:sz w:val="24"/>
          <w:szCs w:val="24"/>
        </w:rPr>
        <w:fldChar w:fldCharType="begin"/>
      </w:r>
      <w:r w:rsidR="00FD41B8">
        <w:rPr>
          <w:rFonts w:ascii="Times New Roman" w:hAnsi="Times New Roman" w:cs="Times New Roman"/>
          <w:sz w:val="24"/>
          <w:szCs w:val="24"/>
        </w:rPr>
        <w:instrText>ADDIN RW.CITE{{doc:61a255ce8f0890a56ca7a853 MacFarlane,GJ 1996}}</w:instrText>
      </w:r>
      <w:r w:rsidR="00FD41B8">
        <w:rPr>
          <w:rFonts w:ascii="Times New Roman" w:hAnsi="Times New Roman" w:cs="Times New Roman"/>
          <w:sz w:val="24"/>
          <w:szCs w:val="24"/>
        </w:rPr>
        <w:fldChar w:fldCharType="separate"/>
      </w:r>
      <w:r w:rsidR="00C16E47" w:rsidRPr="00C16E47">
        <w:rPr>
          <w:rFonts w:ascii="Times New Roman" w:hAnsi="Times New Roman" w:cs="Times New Roman"/>
          <w:bCs/>
          <w:sz w:val="24"/>
          <w:szCs w:val="24"/>
          <w:lang w:val="en-US"/>
        </w:rPr>
        <w:t>(MacFarlane, Croft, Schollum, &amp; Silman, 1996)</w:t>
      </w:r>
      <w:r w:rsidR="00FD41B8">
        <w:rPr>
          <w:rFonts w:ascii="Times New Roman" w:hAnsi="Times New Roman" w:cs="Times New Roman"/>
          <w:sz w:val="24"/>
          <w:szCs w:val="24"/>
        </w:rPr>
        <w:fldChar w:fldCharType="end"/>
      </w:r>
      <w:r w:rsidR="00A36DEC">
        <w:rPr>
          <w:rFonts w:ascii="Times New Roman" w:hAnsi="Times New Roman" w:cs="Times New Roman"/>
          <w:sz w:val="24"/>
          <w:szCs w:val="24"/>
        </w:rPr>
        <w:t xml:space="preserve"> </w:t>
      </w:r>
      <w:r w:rsidR="000570E2">
        <w:rPr>
          <w:rFonts w:ascii="Times New Roman" w:hAnsi="Times New Roman" w:cs="Times New Roman"/>
          <w:sz w:val="24"/>
          <w:szCs w:val="24"/>
          <w:lang w:val="en-US"/>
        </w:rPr>
        <w:t>and exercise treatment allocation</w:t>
      </w:r>
      <w:r w:rsidR="007A7793">
        <w:rPr>
          <w:rFonts w:ascii="Times New Roman" w:hAnsi="Times New Roman" w:cs="Times New Roman"/>
          <w:sz w:val="24"/>
          <w:szCs w:val="24"/>
          <w:lang w:val="en-US"/>
        </w:rPr>
        <w:t>)</w:t>
      </w:r>
      <w:r w:rsidR="00CE5C14" w:rsidRPr="00CE5C14">
        <w:rPr>
          <w:rFonts w:ascii="Times New Roman" w:hAnsi="Times New Roman" w:cs="Times New Roman"/>
          <w:sz w:val="24"/>
          <w:szCs w:val="24"/>
          <w:lang w:val="en-US"/>
        </w:rPr>
        <w:t>.</w:t>
      </w:r>
      <w:r w:rsidR="00F20697">
        <w:rPr>
          <w:rFonts w:ascii="Times New Roman" w:hAnsi="Times New Roman" w:cs="Times New Roman"/>
          <w:sz w:val="24"/>
          <w:szCs w:val="24"/>
        </w:rPr>
        <w:t xml:space="preserve"> </w:t>
      </w:r>
      <w:r w:rsidR="00CF07FB">
        <w:rPr>
          <w:rFonts w:ascii="Times New Roman" w:hAnsi="Times New Roman" w:cs="Times New Roman"/>
          <w:sz w:val="24"/>
          <w:szCs w:val="24"/>
        </w:rPr>
        <w:t>The</w:t>
      </w:r>
      <w:r w:rsidR="00BF4DD7">
        <w:rPr>
          <w:rFonts w:ascii="Times New Roman" w:hAnsi="Times New Roman" w:cs="Times New Roman"/>
          <w:sz w:val="24"/>
          <w:szCs w:val="24"/>
        </w:rPr>
        <w:t xml:space="preserve"> mixed</w:t>
      </w:r>
      <w:r w:rsidR="00CF07FB">
        <w:rPr>
          <w:rFonts w:ascii="Times New Roman" w:hAnsi="Times New Roman" w:cs="Times New Roman"/>
          <w:sz w:val="24"/>
          <w:szCs w:val="24"/>
        </w:rPr>
        <w:t xml:space="preserve"> models</w:t>
      </w:r>
      <w:r w:rsidR="00BF4DD7">
        <w:rPr>
          <w:rFonts w:ascii="Times New Roman" w:hAnsi="Times New Roman" w:cs="Times New Roman"/>
          <w:sz w:val="24"/>
          <w:szCs w:val="24"/>
        </w:rPr>
        <w:t xml:space="preserve"> utilised </w:t>
      </w:r>
      <w:r w:rsidR="00CF07FB">
        <w:rPr>
          <w:rFonts w:ascii="Times New Roman" w:hAnsi="Times New Roman" w:cs="Times New Roman"/>
          <w:sz w:val="24"/>
          <w:szCs w:val="24"/>
        </w:rPr>
        <w:t>all available follow-up data</w:t>
      </w:r>
      <w:r w:rsidR="00D14702">
        <w:rPr>
          <w:rFonts w:ascii="Times New Roman" w:hAnsi="Times New Roman" w:cs="Times New Roman"/>
          <w:sz w:val="24"/>
          <w:szCs w:val="24"/>
        </w:rPr>
        <w:t xml:space="preserve"> and included</w:t>
      </w:r>
      <w:r w:rsidR="00CF07FB">
        <w:rPr>
          <w:rFonts w:ascii="Times New Roman" w:hAnsi="Times New Roman" w:cs="Times New Roman"/>
          <w:sz w:val="24"/>
          <w:szCs w:val="24"/>
        </w:rPr>
        <w:t xml:space="preserve"> an interaction between </w:t>
      </w:r>
      <w:r w:rsidR="0026008F">
        <w:rPr>
          <w:rFonts w:ascii="Times New Roman" w:hAnsi="Times New Roman" w:cs="Times New Roman"/>
          <w:sz w:val="24"/>
          <w:szCs w:val="24"/>
        </w:rPr>
        <w:t xml:space="preserve">the </w:t>
      </w:r>
      <w:r w:rsidR="00CF07FB" w:rsidRPr="004159CF">
        <w:rPr>
          <w:rFonts w:ascii="Times New Roman" w:hAnsi="Times New Roman" w:cs="Times New Roman"/>
          <w:sz w:val="24"/>
          <w:szCs w:val="24"/>
        </w:rPr>
        <w:t>accuracy of injection</w:t>
      </w:r>
      <w:r w:rsidR="005E3BBC" w:rsidRPr="004159CF">
        <w:rPr>
          <w:rFonts w:ascii="Times New Roman" w:hAnsi="Times New Roman" w:cs="Times New Roman"/>
          <w:sz w:val="24"/>
          <w:szCs w:val="24"/>
        </w:rPr>
        <w:t xml:space="preserve"> placement</w:t>
      </w:r>
      <w:r w:rsidR="00CF07FB" w:rsidRPr="004159CF">
        <w:rPr>
          <w:rFonts w:ascii="Times New Roman" w:hAnsi="Times New Roman" w:cs="Times New Roman"/>
          <w:sz w:val="24"/>
          <w:szCs w:val="24"/>
        </w:rPr>
        <w:t xml:space="preserve"> categories and </w:t>
      </w:r>
      <w:r w:rsidR="00B45C22" w:rsidRPr="004159CF">
        <w:rPr>
          <w:rFonts w:ascii="Times New Roman" w:hAnsi="Times New Roman" w:cs="Times New Roman"/>
          <w:sz w:val="24"/>
          <w:szCs w:val="24"/>
        </w:rPr>
        <w:t>the time-point at which the</w:t>
      </w:r>
      <w:r w:rsidR="00CF07FB" w:rsidRPr="004159CF">
        <w:rPr>
          <w:rFonts w:ascii="Times New Roman" w:hAnsi="Times New Roman" w:cs="Times New Roman"/>
          <w:sz w:val="24"/>
          <w:szCs w:val="24"/>
        </w:rPr>
        <w:t xml:space="preserve"> effect of accuracy </w:t>
      </w:r>
      <w:r w:rsidR="00B45C22" w:rsidRPr="004159CF">
        <w:rPr>
          <w:rFonts w:ascii="Times New Roman" w:hAnsi="Times New Roman" w:cs="Times New Roman"/>
          <w:sz w:val="24"/>
          <w:szCs w:val="24"/>
        </w:rPr>
        <w:t>was measured</w:t>
      </w:r>
      <w:r w:rsidR="00A63FF9">
        <w:rPr>
          <w:rFonts w:ascii="Times New Roman" w:hAnsi="Times New Roman" w:cs="Times New Roman"/>
          <w:sz w:val="24"/>
          <w:szCs w:val="24"/>
        </w:rPr>
        <w:t xml:space="preserve"> to estimate effects at each time-point</w:t>
      </w:r>
      <w:r w:rsidR="00CF07FB">
        <w:rPr>
          <w:rFonts w:ascii="Times New Roman" w:hAnsi="Times New Roman" w:cs="Times New Roman"/>
          <w:sz w:val="24"/>
          <w:szCs w:val="24"/>
        </w:rPr>
        <w:t>.</w:t>
      </w:r>
      <w:r w:rsidR="00D816B2" w:rsidRPr="00D816B2">
        <w:rPr>
          <w:rFonts w:ascii="Times New Roman" w:hAnsi="Times New Roman" w:cs="Times New Roman"/>
          <w:sz w:val="24"/>
          <w:szCs w:val="24"/>
          <w:lang w:val="en-US"/>
        </w:rPr>
        <w:t xml:space="preserve"> </w:t>
      </w:r>
      <w:r w:rsidR="00C67D7F">
        <w:rPr>
          <w:rFonts w:ascii="Times New Roman" w:hAnsi="Times New Roman" w:cs="Times New Roman"/>
          <w:sz w:val="24"/>
          <w:szCs w:val="24"/>
          <w:lang w:val="en-US"/>
        </w:rPr>
        <w:t>Group 1</w:t>
      </w:r>
      <w:r w:rsidR="00D816B2">
        <w:rPr>
          <w:rFonts w:ascii="Times New Roman" w:hAnsi="Times New Roman" w:cs="Times New Roman"/>
          <w:sz w:val="24"/>
          <w:szCs w:val="24"/>
          <w:lang w:val="en-US"/>
        </w:rPr>
        <w:t xml:space="preserve"> </w:t>
      </w:r>
      <w:r w:rsidR="00C67D7F">
        <w:rPr>
          <w:rFonts w:ascii="Times New Roman" w:hAnsi="Times New Roman" w:cs="Times New Roman"/>
          <w:sz w:val="24"/>
          <w:szCs w:val="24"/>
          <w:lang w:val="en-US"/>
        </w:rPr>
        <w:t>(</w:t>
      </w:r>
      <w:r w:rsidR="00D816B2">
        <w:rPr>
          <w:rFonts w:ascii="Times New Roman" w:hAnsi="Times New Roman" w:cs="Times New Roman"/>
          <w:sz w:val="24"/>
          <w:szCs w:val="24"/>
          <w:lang w:val="en-US"/>
        </w:rPr>
        <w:t>“</w:t>
      </w:r>
      <w:r w:rsidR="00E44882">
        <w:rPr>
          <w:rFonts w:ascii="Times New Roman" w:hAnsi="Times New Roman" w:cs="Times New Roman"/>
          <w:sz w:val="24"/>
          <w:szCs w:val="24"/>
        </w:rPr>
        <w:t xml:space="preserve">definitely/probably </w:t>
      </w:r>
      <w:r w:rsidR="00D816B2" w:rsidRPr="00D816B2">
        <w:rPr>
          <w:rFonts w:ascii="Times New Roman" w:hAnsi="Times New Roman" w:cs="Times New Roman"/>
          <w:sz w:val="24"/>
          <w:szCs w:val="24"/>
          <w:lang w:val="en-US"/>
        </w:rPr>
        <w:t xml:space="preserve">not in the </w:t>
      </w:r>
      <w:r w:rsidR="00BC10F0">
        <w:rPr>
          <w:rFonts w:ascii="Times New Roman" w:hAnsi="Times New Roman" w:cs="Times New Roman"/>
          <w:sz w:val="24"/>
          <w:szCs w:val="24"/>
          <w:lang w:val="en-US"/>
        </w:rPr>
        <w:t>subacromial bursa</w:t>
      </w:r>
      <w:r w:rsidR="00D816B2">
        <w:rPr>
          <w:rFonts w:ascii="Times New Roman" w:hAnsi="Times New Roman" w:cs="Times New Roman"/>
          <w:sz w:val="24"/>
          <w:szCs w:val="24"/>
          <w:lang w:val="en-US"/>
        </w:rPr>
        <w:t>”</w:t>
      </w:r>
      <w:r w:rsidR="00C67D7F">
        <w:rPr>
          <w:rFonts w:ascii="Times New Roman" w:hAnsi="Times New Roman" w:cs="Times New Roman"/>
          <w:sz w:val="24"/>
          <w:szCs w:val="24"/>
          <w:lang w:val="en-US"/>
        </w:rPr>
        <w:t>)</w:t>
      </w:r>
      <w:r w:rsidR="00D816B2">
        <w:rPr>
          <w:rFonts w:ascii="Times New Roman" w:hAnsi="Times New Roman" w:cs="Times New Roman"/>
          <w:sz w:val="24"/>
          <w:szCs w:val="24"/>
          <w:lang w:val="en-US"/>
        </w:rPr>
        <w:t xml:space="preserve"> was used as the reference category for the accuracy groups.</w:t>
      </w:r>
      <w:r w:rsidR="00CF07FB">
        <w:rPr>
          <w:rFonts w:ascii="Times New Roman" w:hAnsi="Times New Roman" w:cs="Times New Roman"/>
          <w:sz w:val="24"/>
          <w:szCs w:val="24"/>
        </w:rPr>
        <w:t xml:space="preserve"> Results </w:t>
      </w:r>
      <w:r w:rsidR="00B36C65">
        <w:rPr>
          <w:rFonts w:ascii="Times New Roman" w:hAnsi="Times New Roman" w:cs="Times New Roman"/>
          <w:sz w:val="24"/>
          <w:szCs w:val="24"/>
        </w:rPr>
        <w:t>we</w:t>
      </w:r>
      <w:r w:rsidR="00CF07FB">
        <w:rPr>
          <w:rFonts w:ascii="Times New Roman" w:hAnsi="Times New Roman" w:cs="Times New Roman"/>
          <w:sz w:val="24"/>
          <w:szCs w:val="24"/>
        </w:rPr>
        <w:t>re presented as treatment effects (</w:t>
      </w:r>
      <w:r w:rsidR="00AF79DA">
        <w:rPr>
          <w:rFonts w:ascii="Times New Roman" w:hAnsi="Times New Roman" w:cs="Times New Roman"/>
          <w:sz w:val="24"/>
          <w:szCs w:val="24"/>
        </w:rPr>
        <w:t>difference in mean</w:t>
      </w:r>
      <w:r w:rsidR="00D816B2">
        <w:rPr>
          <w:rFonts w:ascii="Times New Roman" w:hAnsi="Times New Roman" w:cs="Times New Roman"/>
          <w:sz w:val="24"/>
          <w:szCs w:val="24"/>
        </w:rPr>
        <w:t xml:space="preserve"> </w:t>
      </w:r>
      <w:r w:rsidR="008F0E37">
        <w:rPr>
          <w:rFonts w:ascii="Times New Roman" w:hAnsi="Times New Roman" w:cs="Times New Roman"/>
          <w:sz w:val="24"/>
          <w:szCs w:val="24"/>
        </w:rPr>
        <w:t>SPADI score</w:t>
      </w:r>
      <w:r w:rsidR="0026008F">
        <w:rPr>
          <w:rFonts w:ascii="Times New Roman" w:hAnsi="Times New Roman" w:cs="Times New Roman"/>
          <w:sz w:val="24"/>
          <w:szCs w:val="24"/>
        </w:rPr>
        <w:t>s</w:t>
      </w:r>
      <w:r w:rsidR="008F0E37">
        <w:rPr>
          <w:rFonts w:ascii="Times New Roman" w:hAnsi="Times New Roman" w:cs="Times New Roman"/>
          <w:sz w:val="24"/>
          <w:szCs w:val="24"/>
        </w:rPr>
        <w:t xml:space="preserve"> between </w:t>
      </w:r>
      <w:r w:rsidR="00C67D7F">
        <w:rPr>
          <w:rFonts w:ascii="Times New Roman" w:hAnsi="Times New Roman" w:cs="Times New Roman"/>
          <w:sz w:val="24"/>
          <w:szCs w:val="24"/>
        </w:rPr>
        <w:t>Groups 2 and 3</w:t>
      </w:r>
      <w:r w:rsidR="008F0E37">
        <w:rPr>
          <w:rFonts w:ascii="Times New Roman" w:hAnsi="Times New Roman" w:cs="Times New Roman"/>
          <w:sz w:val="24"/>
          <w:szCs w:val="24"/>
        </w:rPr>
        <w:t xml:space="preserve"> and the reference category </w:t>
      </w:r>
      <w:r w:rsidR="00C67D7F">
        <w:rPr>
          <w:rFonts w:ascii="Times New Roman" w:hAnsi="Times New Roman" w:cs="Times New Roman"/>
          <w:sz w:val="24"/>
          <w:szCs w:val="24"/>
        </w:rPr>
        <w:t>(Group 1)</w:t>
      </w:r>
      <w:r w:rsidR="004B79FE">
        <w:rPr>
          <w:rFonts w:ascii="Times New Roman" w:hAnsi="Times New Roman" w:cs="Times New Roman"/>
          <w:sz w:val="24"/>
          <w:szCs w:val="24"/>
        </w:rPr>
        <w:t>, 95% confidence interval (CI)</w:t>
      </w:r>
      <w:r w:rsidR="00A11312">
        <w:rPr>
          <w:rFonts w:ascii="Times New Roman" w:hAnsi="Times New Roman" w:cs="Times New Roman"/>
          <w:sz w:val="24"/>
          <w:szCs w:val="24"/>
        </w:rPr>
        <w:t>).</w:t>
      </w:r>
      <w:r w:rsidR="008F0E37">
        <w:rPr>
          <w:rFonts w:ascii="Times New Roman" w:hAnsi="Times New Roman" w:cs="Times New Roman"/>
          <w:sz w:val="24"/>
          <w:szCs w:val="24"/>
        </w:rPr>
        <w:t xml:space="preserve"> </w:t>
      </w:r>
      <w:r w:rsidR="00A11312">
        <w:rPr>
          <w:rFonts w:ascii="Times New Roman" w:hAnsi="Times New Roman" w:cs="Times New Roman"/>
          <w:sz w:val="24"/>
          <w:szCs w:val="24"/>
        </w:rPr>
        <w:t xml:space="preserve">For </w:t>
      </w:r>
      <w:r w:rsidR="008F0E37">
        <w:rPr>
          <w:rFonts w:ascii="Times New Roman" w:hAnsi="Times New Roman" w:cs="Times New Roman"/>
          <w:sz w:val="24"/>
          <w:szCs w:val="24"/>
          <w:lang w:val="en-US"/>
        </w:rPr>
        <w:t>global impression of change</w:t>
      </w:r>
      <w:r w:rsidR="00A11312">
        <w:rPr>
          <w:rFonts w:ascii="Times New Roman" w:hAnsi="Times New Roman" w:cs="Times New Roman"/>
          <w:sz w:val="24"/>
          <w:szCs w:val="24"/>
          <w:lang w:val="en-US"/>
        </w:rPr>
        <w:t xml:space="preserve">, the odds </w:t>
      </w:r>
      <w:r w:rsidR="004B79FE">
        <w:rPr>
          <w:rFonts w:ascii="Times New Roman" w:hAnsi="Times New Roman" w:cs="Times New Roman"/>
          <w:sz w:val="24"/>
          <w:szCs w:val="24"/>
          <w:lang w:val="en-US"/>
        </w:rPr>
        <w:t>(odds ratio, 95%</w:t>
      </w:r>
      <w:r w:rsidR="0026008F">
        <w:rPr>
          <w:rFonts w:ascii="Times New Roman" w:hAnsi="Times New Roman" w:cs="Times New Roman"/>
          <w:sz w:val="24"/>
          <w:szCs w:val="24"/>
          <w:lang w:val="en-US"/>
        </w:rPr>
        <w:t xml:space="preserve"> </w:t>
      </w:r>
      <w:r w:rsidR="004B79FE">
        <w:rPr>
          <w:rFonts w:ascii="Times New Roman" w:hAnsi="Times New Roman" w:cs="Times New Roman"/>
          <w:sz w:val="24"/>
          <w:szCs w:val="24"/>
          <w:lang w:val="en-US"/>
        </w:rPr>
        <w:t xml:space="preserve">CI) </w:t>
      </w:r>
      <w:r w:rsidR="00A11312">
        <w:rPr>
          <w:rFonts w:ascii="Times New Roman" w:hAnsi="Times New Roman" w:cs="Times New Roman"/>
          <w:sz w:val="24"/>
          <w:szCs w:val="24"/>
          <w:lang w:val="en-US"/>
        </w:rPr>
        <w:t xml:space="preserve">of </w:t>
      </w:r>
      <w:r w:rsidR="005E3BBC">
        <w:rPr>
          <w:rFonts w:ascii="Times New Roman" w:hAnsi="Times New Roman" w:cs="Times New Roman"/>
          <w:sz w:val="24"/>
          <w:szCs w:val="24"/>
          <w:lang w:val="en-US"/>
        </w:rPr>
        <w:t xml:space="preserve">participants reporting </w:t>
      </w:r>
      <w:r w:rsidR="00A11312">
        <w:rPr>
          <w:rFonts w:ascii="Times New Roman" w:hAnsi="Times New Roman" w:cs="Times New Roman"/>
          <w:sz w:val="24"/>
          <w:szCs w:val="24"/>
          <w:lang w:val="en-US"/>
        </w:rPr>
        <w:t>being completely recovered or much better was compared with being somewhat better, about the same, somewhat worse or much worse</w:t>
      </w:r>
      <w:r w:rsidR="00FD41B8">
        <w:rPr>
          <w:rFonts w:ascii="Times New Roman" w:hAnsi="Times New Roman" w:cs="Times New Roman"/>
          <w:sz w:val="24"/>
          <w:szCs w:val="24"/>
          <w:lang w:val="en-US"/>
        </w:rPr>
        <w:t xml:space="preserve"> </w:t>
      </w:r>
      <w:r w:rsidR="00FD41B8">
        <w:rPr>
          <w:rFonts w:ascii="Times New Roman" w:hAnsi="Times New Roman" w:cs="Times New Roman"/>
          <w:sz w:val="24"/>
          <w:szCs w:val="24"/>
          <w:lang w:val="en-US"/>
        </w:rPr>
        <w:fldChar w:fldCharType="begin"/>
      </w:r>
      <w:r w:rsidR="00FD41B8">
        <w:rPr>
          <w:rFonts w:ascii="Times New Roman" w:hAnsi="Times New Roman" w:cs="Times New Roman"/>
          <w:sz w:val="24"/>
          <w:szCs w:val="24"/>
          <w:lang w:val="en-US"/>
        </w:rPr>
        <w:instrText>ADDIN RW.CITE{{doc:61a255b58f08cb099ef9190f vanderWindt,DA 1998}}</w:instrText>
      </w:r>
      <w:r w:rsidR="00FD41B8">
        <w:rPr>
          <w:rFonts w:ascii="Times New Roman" w:hAnsi="Times New Roman" w:cs="Times New Roman"/>
          <w:sz w:val="24"/>
          <w:szCs w:val="24"/>
          <w:lang w:val="en-US"/>
        </w:rPr>
        <w:fldChar w:fldCharType="separate"/>
      </w:r>
      <w:r w:rsidR="00FD41B8" w:rsidRPr="00FD41B8">
        <w:rPr>
          <w:rFonts w:ascii="Times New Roman" w:hAnsi="Times New Roman" w:cs="Times New Roman"/>
          <w:bCs/>
          <w:sz w:val="24"/>
          <w:szCs w:val="24"/>
          <w:lang w:val="en-US"/>
        </w:rPr>
        <w:t>(van der Windt, D A et al., 1998)</w:t>
      </w:r>
      <w:r w:rsidR="00FD41B8">
        <w:rPr>
          <w:rFonts w:ascii="Times New Roman" w:hAnsi="Times New Roman" w:cs="Times New Roman"/>
          <w:sz w:val="24"/>
          <w:szCs w:val="24"/>
          <w:lang w:val="en-US"/>
        </w:rPr>
        <w:fldChar w:fldCharType="end"/>
      </w:r>
      <w:r w:rsidR="0055713F">
        <w:rPr>
          <w:rFonts w:ascii="Times New Roman" w:hAnsi="Times New Roman" w:cs="Times New Roman"/>
          <w:sz w:val="24"/>
          <w:szCs w:val="24"/>
        </w:rPr>
        <w:t>.</w:t>
      </w:r>
      <w:r w:rsidR="00A87DA4">
        <w:rPr>
          <w:rFonts w:ascii="Times New Roman" w:hAnsi="Times New Roman" w:cs="Times New Roman"/>
          <w:sz w:val="24"/>
          <w:szCs w:val="24"/>
        </w:rPr>
        <w:t xml:space="preserve"> </w:t>
      </w:r>
      <w:r w:rsidR="0055713F">
        <w:rPr>
          <w:rFonts w:ascii="Times New Roman" w:hAnsi="Times New Roman" w:cs="Times New Roman"/>
          <w:sz w:val="24"/>
          <w:szCs w:val="24"/>
        </w:rPr>
        <w:t xml:space="preserve">All tests were performed at 5% significance level. </w:t>
      </w:r>
      <w:r w:rsidR="008835A2">
        <w:rPr>
          <w:rFonts w:ascii="Times New Roman" w:hAnsi="Times New Roman" w:cs="Times New Roman"/>
          <w:sz w:val="24"/>
          <w:szCs w:val="24"/>
        </w:rPr>
        <w:t>A</w:t>
      </w:r>
      <w:r w:rsidR="0048130D">
        <w:rPr>
          <w:rFonts w:ascii="Times New Roman" w:hAnsi="Times New Roman" w:cs="Times New Roman"/>
          <w:sz w:val="24"/>
          <w:szCs w:val="24"/>
        </w:rPr>
        <w:t xml:space="preserve">nalyses were </w:t>
      </w:r>
      <w:r w:rsidR="008835A2">
        <w:rPr>
          <w:rFonts w:ascii="Times New Roman" w:hAnsi="Times New Roman" w:cs="Times New Roman"/>
          <w:sz w:val="24"/>
          <w:szCs w:val="24"/>
        </w:rPr>
        <w:t xml:space="preserve">performed </w:t>
      </w:r>
      <w:r w:rsidR="0048130D">
        <w:rPr>
          <w:rFonts w:ascii="Times New Roman" w:hAnsi="Times New Roman" w:cs="Times New Roman"/>
          <w:sz w:val="24"/>
          <w:szCs w:val="24"/>
        </w:rPr>
        <w:t>using</w:t>
      </w:r>
      <w:r w:rsidR="0055713F">
        <w:rPr>
          <w:rFonts w:ascii="Times New Roman" w:hAnsi="Times New Roman" w:cs="Times New Roman"/>
          <w:sz w:val="24"/>
          <w:szCs w:val="24"/>
        </w:rPr>
        <w:t xml:space="preserve"> Stata</w:t>
      </w:r>
      <w:r w:rsidR="008835A2">
        <w:rPr>
          <w:rFonts w:ascii="Times New Roman" w:hAnsi="Times New Roman" w:cs="Times New Roman"/>
          <w:sz w:val="24"/>
          <w:szCs w:val="24"/>
        </w:rPr>
        <w:t xml:space="preserve"> V.14</w:t>
      </w:r>
      <w:r w:rsidR="0055713F">
        <w:rPr>
          <w:rFonts w:ascii="Times New Roman" w:hAnsi="Times New Roman" w:cs="Times New Roman"/>
          <w:sz w:val="24"/>
          <w:szCs w:val="24"/>
        </w:rPr>
        <w:t xml:space="preserve"> </w:t>
      </w:r>
      <w:r w:rsidR="008835A2">
        <w:rPr>
          <w:rFonts w:ascii="Times New Roman" w:hAnsi="Times New Roman" w:cs="Times New Roman"/>
          <w:sz w:val="24"/>
          <w:szCs w:val="24"/>
        </w:rPr>
        <w:t>(</w:t>
      </w:r>
      <w:r w:rsidR="008835A2" w:rsidRPr="008835A2">
        <w:rPr>
          <w:rFonts w:ascii="Times New Roman" w:hAnsi="Times New Roman" w:cs="Times New Roman"/>
          <w:sz w:val="24"/>
          <w:szCs w:val="24"/>
        </w:rPr>
        <w:t>StataCorp)</w:t>
      </w:r>
      <w:r w:rsidR="008835A2">
        <w:rPr>
          <w:rFonts w:ascii="Times New Roman" w:hAnsi="Times New Roman" w:cs="Times New Roman"/>
          <w:sz w:val="24"/>
          <w:szCs w:val="24"/>
        </w:rPr>
        <w:t>.</w:t>
      </w:r>
    </w:p>
    <w:p w14:paraId="5C2DDB75" w14:textId="77777777" w:rsidR="00CE5C14" w:rsidRPr="00D4004E" w:rsidRDefault="00CE5C14" w:rsidP="00CE5C14">
      <w:pPr>
        <w:spacing w:line="360" w:lineRule="auto"/>
        <w:jc w:val="both"/>
        <w:rPr>
          <w:rFonts w:ascii="Times New Roman" w:hAnsi="Times New Roman" w:cs="Times New Roman"/>
          <w:b/>
          <w:bCs/>
          <w:sz w:val="24"/>
          <w:szCs w:val="24"/>
          <w:lang w:val="en-US"/>
        </w:rPr>
      </w:pPr>
    </w:p>
    <w:p w14:paraId="6648FE74" w14:textId="77777777" w:rsidR="00CE5C14" w:rsidRPr="00D4004E" w:rsidRDefault="00CE5C14" w:rsidP="00CE5C14">
      <w:pPr>
        <w:spacing w:line="360" w:lineRule="auto"/>
        <w:jc w:val="both"/>
        <w:rPr>
          <w:rFonts w:ascii="Times New Roman" w:hAnsi="Times New Roman" w:cs="Times New Roman"/>
          <w:b/>
          <w:bCs/>
          <w:sz w:val="24"/>
          <w:szCs w:val="24"/>
          <w:lang w:val="en-US"/>
        </w:rPr>
      </w:pPr>
      <w:r w:rsidRPr="00D4004E">
        <w:rPr>
          <w:rFonts w:ascii="Times New Roman" w:hAnsi="Times New Roman" w:cs="Times New Roman"/>
          <w:b/>
          <w:bCs/>
          <w:sz w:val="24"/>
          <w:szCs w:val="24"/>
          <w:lang w:val="en-US"/>
        </w:rPr>
        <w:t>Results</w:t>
      </w:r>
    </w:p>
    <w:p w14:paraId="5A9B5412" w14:textId="13C97ADC" w:rsidR="00BC10F0" w:rsidRDefault="000128D9" w:rsidP="00A65F2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SUPPORT trial</w:t>
      </w:r>
      <w:r w:rsidR="00FD41B8">
        <w:rPr>
          <w:rFonts w:ascii="Times New Roman" w:hAnsi="Times New Roman" w:cs="Times New Roman"/>
          <w:sz w:val="24"/>
          <w:szCs w:val="24"/>
          <w:lang w:val="en-US"/>
        </w:rPr>
        <w:t xml:space="preserve"> </w:t>
      </w:r>
      <w:r w:rsidR="00FD41B8">
        <w:rPr>
          <w:rFonts w:ascii="Times New Roman" w:hAnsi="Times New Roman" w:cs="Times New Roman"/>
          <w:sz w:val="24"/>
          <w:szCs w:val="24"/>
          <w:lang w:val="en-US"/>
        </w:rPr>
        <w:fldChar w:fldCharType="begin"/>
      </w:r>
      <w:r w:rsidR="00FD41B8">
        <w:rPr>
          <w:rFonts w:ascii="Times New Roman" w:hAnsi="Times New Roman" w:cs="Times New Roman"/>
          <w:sz w:val="24"/>
          <w:szCs w:val="24"/>
          <w:lang w:val="en-US"/>
        </w:rPr>
        <w:instrText>ADDIN RW.CITE{{doc:61a252c88f0858d53d74e0d7 Roddy,E 2021}}</w:instrText>
      </w:r>
      <w:r w:rsidR="00FD41B8">
        <w:rPr>
          <w:rFonts w:ascii="Times New Roman" w:hAnsi="Times New Roman" w:cs="Times New Roman"/>
          <w:sz w:val="24"/>
          <w:szCs w:val="24"/>
          <w:lang w:val="en-US"/>
        </w:rPr>
        <w:fldChar w:fldCharType="separate"/>
      </w:r>
      <w:r w:rsidR="00FD41B8" w:rsidRPr="00FD41B8">
        <w:rPr>
          <w:rFonts w:ascii="Times New Roman" w:hAnsi="Times New Roman" w:cs="Times New Roman"/>
          <w:bCs/>
          <w:sz w:val="24"/>
          <w:szCs w:val="24"/>
          <w:lang w:val="en-US"/>
        </w:rPr>
        <w:t>(Roddy et al., 2021)</w:t>
      </w:r>
      <w:r w:rsidR="00FD41B8">
        <w:rPr>
          <w:rFonts w:ascii="Times New Roman" w:hAnsi="Times New Roman" w:cs="Times New Roman"/>
          <w:sz w:val="24"/>
          <w:szCs w:val="24"/>
          <w:lang w:val="en-US"/>
        </w:rPr>
        <w:fldChar w:fldCharType="end"/>
      </w:r>
      <w:r w:rsidR="003327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03EA4">
        <w:rPr>
          <w:rFonts w:ascii="Times New Roman" w:hAnsi="Times New Roman" w:cs="Times New Roman"/>
          <w:sz w:val="24"/>
          <w:szCs w:val="24"/>
          <w:lang w:val="en-US"/>
        </w:rPr>
        <w:t xml:space="preserve">256 participants were randomised: 64 to each </w:t>
      </w:r>
      <w:r w:rsidR="00C67D7F">
        <w:rPr>
          <w:rFonts w:ascii="Times New Roman" w:hAnsi="Times New Roman" w:cs="Times New Roman"/>
          <w:sz w:val="24"/>
          <w:szCs w:val="24"/>
          <w:lang w:val="en-US"/>
        </w:rPr>
        <w:t>arm</w:t>
      </w:r>
      <w:r w:rsidR="00003EA4">
        <w:rPr>
          <w:rFonts w:ascii="Times New Roman" w:hAnsi="Times New Roman" w:cs="Times New Roman"/>
          <w:sz w:val="24"/>
          <w:szCs w:val="24"/>
          <w:lang w:val="en-US"/>
        </w:rPr>
        <w:t xml:space="preserve">. </w:t>
      </w:r>
      <w:r w:rsidR="00CE5C14" w:rsidRPr="00CE5C14">
        <w:rPr>
          <w:rFonts w:ascii="Times New Roman" w:hAnsi="Times New Roman" w:cs="Times New Roman"/>
          <w:sz w:val="24"/>
          <w:szCs w:val="24"/>
          <w:lang w:val="en-US"/>
        </w:rPr>
        <w:t xml:space="preserve">Of the 128 participants randomised to </w:t>
      </w:r>
      <w:r w:rsidR="00C67D7F">
        <w:rPr>
          <w:rFonts w:ascii="Times New Roman" w:hAnsi="Times New Roman" w:cs="Times New Roman"/>
          <w:sz w:val="24"/>
          <w:szCs w:val="24"/>
          <w:lang w:val="en-US"/>
        </w:rPr>
        <w:t xml:space="preserve">the two </w:t>
      </w:r>
      <w:r w:rsidR="00CE5C14" w:rsidRPr="00CE5C14">
        <w:rPr>
          <w:rFonts w:ascii="Times New Roman" w:hAnsi="Times New Roman" w:cs="Times New Roman"/>
          <w:sz w:val="24"/>
          <w:szCs w:val="24"/>
          <w:lang w:val="en-US"/>
        </w:rPr>
        <w:t>US-guided injection arm</w:t>
      </w:r>
      <w:r w:rsidR="00C67D7F">
        <w:rPr>
          <w:rFonts w:ascii="Times New Roman" w:hAnsi="Times New Roman" w:cs="Times New Roman"/>
          <w:sz w:val="24"/>
          <w:szCs w:val="24"/>
          <w:lang w:val="en-US"/>
        </w:rPr>
        <w:t>s</w:t>
      </w:r>
      <w:r w:rsidR="00CE5C14" w:rsidRPr="00CE5C14">
        <w:rPr>
          <w:rFonts w:ascii="Times New Roman" w:hAnsi="Times New Roman" w:cs="Times New Roman"/>
          <w:sz w:val="24"/>
          <w:szCs w:val="24"/>
          <w:lang w:val="en-US"/>
        </w:rPr>
        <w:t xml:space="preserve">, 114 had </w:t>
      </w:r>
      <w:r w:rsidR="004B4FBA">
        <w:rPr>
          <w:rFonts w:ascii="Times New Roman" w:hAnsi="Times New Roman" w:cs="Times New Roman"/>
          <w:sz w:val="24"/>
          <w:szCs w:val="24"/>
          <w:lang w:val="en-US"/>
        </w:rPr>
        <w:t xml:space="preserve">video </w:t>
      </w:r>
      <w:r w:rsidR="00CE5C14" w:rsidRPr="00CE5C14">
        <w:rPr>
          <w:rFonts w:ascii="Times New Roman" w:hAnsi="Times New Roman" w:cs="Times New Roman"/>
          <w:sz w:val="24"/>
          <w:szCs w:val="24"/>
          <w:lang w:val="en-US"/>
        </w:rPr>
        <w:t xml:space="preserve">images taken </w:t>
      </w:r>
      <w:r w:rsidR="00515151">
        <w:rPr>
          <w:rFonts w:ascii="Times New Roman" w:hAnsi="Times New Roman" w:cs="Times New Roman"/>
          <w:sz w:val="24"/>
          <w:szCs w:val="24"/>
          <w:lang w:val="en-US"/>
        </w:rPr>
        <w:t>during</w:t>
      </w:r>
      <w:r w:rsidR="00515151">
        <w:rPr>
          <w:rFonts w:ascii="Times New Roman" w:hAnsi="Times New Roman" w:cs="Times New Roman"/>
          <w:sz w:val="24"/>
          <w:szCs w:val="24"/>
          <w:lang w:val="en-US"/>
        </w:rPr>
        <w:softHyphen/>
        <w:t xml:space="preserve"> the corticosteroid injection </w:t>
      </w:r>
      <w:r w:rsidR="00CE5C14" w:rsidRPr="00CE5C14">
        <w:rPr>
          <w:rFonts w:ascii="Times New Roman" w:hAnsi="Times New Roman" w:cs="Times New Roman"/>
          <w:sz w:val="24"/>
          <w:szCs w:val="24"/>
          <w:lang w:val="en-US"/>
        </w:rPr>
        <w:t xml:space="preserve">and </w:t>
      </w:r>
      <w:r w:rsidR="00A65F25">
        <w:rPr>
          <w:rFonts w:ascii="Times New Roman" w:hAnsi="Times New Roman" w:cs="Times New Roman"/>
          <w:sz w:val="24"/>
          <w:szCs w:val="24"/>
          <w:lang w:val="en-US"/>
        </w:rPr>
        <w:t>were included in this analysis.</w:t>
      </w:r>
    </w:p>
    <w:p w14:paraId="3DD4E116" w14:textId="13F5231D" w:rsidR="00E32C6C" w:rsidRDefault="00E32C6C" w:rsidP="00A65F25">
      <w:pPr>
        <w:spacing w:line="360" w:lineRule="auto"/>
        <w:jc w:val="both"/>
        <w:rPr>
          <w:rFonts w:ascii="Times New Roman" w:hAnsi="Times New Roman" w:cs="Times New Roman"/>
          <w:i/>
          <w:sz w:val="24"/>
          <w:szCs w:val="24"/>
          <w:lang w:val="en-US"/>
        </w:rPr>
      </w:pPr>
    </w:p>
    <w:p w14:paraId="339AFFAE" w14:textId="4E044EE3" w:rsidR="00A65F25" w:rsidRDefault="003D5A00" w:rsidP="00A65F25">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Baseline</w:t>
      </w:r>
      <w:r w:rsidR="00547848">
        <w:rPr>
          <w:rFonts w:ascii="Times New Roman" w:hAnsi="Times New Roman" w:cs="Times New Roman"/>
          <w:i/>
          <w:sz w:val="24"/>
          <w:szCs w:val="24"/>
          <w:lang w:val="en-US"/>
        </w:rPr>
        <w:t xml:space="preserve"> </w:t>
      </w:r>
      <w:r w:rsidR="00A65F25">
        <w:rPr>
          <w:rFonts w:ascii="Times New Roman" w:hAnsi="Times New Roman" w:cs="Times New Roman"/>
          <w:i/>
          <w:sz w:val="24"/>
          <w:szCs w:val="24"/>
          <w:lang w:val="en-US"/>
        </w:rPr>
        <w:t>characteristics</w:t>
      </w:r>
    </w:p>
    <w:p w14:paraId="0AD95F9D" w14:textId="3A6B16D5" w:rsidR="00FF3A56" w:rsidRDefault="00753619"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Participants’ m</w:t>
      </w:r>
      <w:r w:rsidR="00D942F0">
        <w:rPr>
          <w:rFonts w:ascii="Times New Roman" w:hAnsi="Times New Roman" w:cs="Times New Roman"/>
          <w:sz w:val="24"/>
          <w:szCs w:val="24"/>
          <w:lang w:val="en-US"/>
        </w:rPr>
        <w:t>ean</w:t>
      </w:r>
      <w:r w:rsidR="00FE46A3">
        <w:rPr>
          <w:rFonts w:ascii="Times New Roman" w:hAnsi="Times New Roman" w:cs="Times New Roman"/>
          <w:sz w:val="24"/>
          <w:szCs w:val="24"/>
          <w:lang w:val="en-US"/>
        </w:rPr>
        <w:t xml:space="preserve"> (SD)</w:t>
      </w:r>
      <w:r w:rsidR="00D942F0">
        <w:rPr>
          <w:rFonts w:ascii="Times New Roman" w:hAnsi="Times New Roman" w:cs="Times New Roman"/>
          <w:sz w:val="24"/>
          <w:szCs w:val="24"/>
          <w:lang w:val="en-US"/>
        </w:rPr>
        <w:t xml:space="preserve"> age was 54.8 (10.4) years, 59 (51.8%) were female</w:t>
      </w:r>
      <w:r>
        <w:rPr>
          <w:rFonts w:ascii="Times New Roman" w:hAnsi="Times New Roman" w:cs="Times New Roman"/>
          <w:sz w:val="24"/>
          <w:szCs w:val="24"/>
          <w:lang w:val="en-US"/>
        </w:rPr>
        <w:t xml:space="preserve"> (</w:t>
      </w:r>
      <w:r w:rsidRPr="00BF24F3">
        <w:rPr>
          <w:rFonts w:ascii="Times New Roman" w:hAnsi="Times New Roman" w:cs="Times New Roman"/>
          <w:b/>
          <w:sz w:val="24"/>
          <w:szCs w:val="24"/>
          <w:lang w:val="en-US"/>
        </w:rPr>
        <w:t>Table 1</w:t>
      </w:r>
      <w:r>
        <w:rPr>
          <w:rFonts w:ascii="Times New Roman" w:hAnsi="Times New Roman" w:cs="Times New Roman"/>
          <w:sz w:val="24"/>
          <w:szCs w:val="24"/>
          <w:lang w:val="en-US"/>
        </w:rPr>
        <w:t>)</w:t>
      </w:r>
      <w:r w:rsidR="0066696C">
        <w:rPr>
          <w:rFonts w:ascii="Times New Roman" w:hAnsi="Times New Roman" w:cs="Times New Roman"/>
          <w:sz w:val="24"/>
          <w:szCs w:val="24"/>
          <w:lang w:val="en-US"/>
        </w:rPr>
        <w:t xml:space="preserve">. </w:t>
      </w:r>
      <w:r w:rsidR="005E3BBC">
        <w:rPr>
          <w:rFonts w:ascii="Times New Roman" w:hAnsi="Times New Roman" w:cs="Times New Roman"/>
          <w:sz w:val="24"/>
          <w:szCs w:val="24"/>
          <w:lang w:val="en-US"/>
        </w:rPr>
        <w:t xml:space="preserve">Subacromial corticosteroid injection was categorised as definitely/probably not in the subacromial bursa (Group 1) in 22 (19.3%) patients, probably in the subacromial bursa (Group 2) in 21 (18.4%) and definitely in the subacromial bursa (Group 3) in 71 (62.3%). </w:t>
      </w:r>
      <w:r w:rsidR="005E33CE">
        <w:rPr>
          <w:rFonts w:ascii="Times New Roman" w:hAnsi="Times New Roman" w:cs="Times New Roman"/>
          <w:sz w:val="24"/>
          <w:szCs w:val="24"/>
          <w:lang w:val="en-US"/>
        </w:rPr>
        <w:t>Compared to those in Group 3, p</w:t>
      </w:r>
      <w:r w:rsidR="004B79FE">
        <w:rPr>
          <w:rFonts w:ascii="Times New Roman" w:hAnsi="Times New Roman" w:cs="Times New Roman"/>
          <w:sz w:val="24"/>
          <w:szCs w:val="24"/>
          <w:lang w:val="en-US"/>
        </w:rPr>
        <w:t>articipants in Group 2</w:t>
      </w:r>
      <w:r w:rsidR="005E3BBC">
        <w:rPr>
          <w:rFonts w:ascii="Times New Roman" w:hAnsi="Times New Roman" w:cs="Times New Roman"/>
          <w:sz w:val="24"/>
          <w:szCs w:val="24"/>
          <w:lang w:val="en-US"/>
        </w:rPr>
        <w:t xml:space="preserve"> </w:t>
      </w:r>
      <w:r w:rsidR="004B79FE">
        <w:rPr>
          <w:rFonts w:ascii="Times New Roman" w:hAnsi="Times New Roman" w:cs="Times New Roman"/>
          <w:sz w:val="24"/>
          <w:szCs w:val="24"/>
          <w:lang w:val="en-US"/>
        </w:rPr>
        <w:t>were more likely to smoke, live alone, be obese/morbidly obese, have widespread pain, and had higher baseline SPADI scores, whereas those in group 1</w:t>
      </w:r>
      <w:r w:rsidR="005E3BBC">
        <w:rPr>
          <w:rFonts w:ascii="Times New Roman" w:hAnsi="Times New Roman" w:cs="Times New Roman"/>
          <w:sz w:val="24"/>
          <w:szCs w:val="24"/>
          <w:lang w:val="en-US"/>
        </w:rPr>
        <w:t xml:space="preserve"> </w:t>
      </w:r>
      <w:r w:rsidR="004B79FE">
        <w:rPr>
          <w:rFonts w:ascii="Times New Roman" w:hAnsi="Times New Roman" w:cs="Times New Roman"/>
          <w:sz w:val="24"/>
          <w:szCs w:val="24"/>
          <w:lang w:val="en-US"/>
        </w:rPr>
        <w:t xml:space="preserve">were younger and more likely to be female or have a preference for US-guided corticosteroid injection. </w:t>
      </w:r>
    </w:p>
    <w:p w14:paraId="78A476A5" w14:textId="78967A5B" w:rsidR="00D603C5" w:rsidRDefault="009D7B0F" w:rsidP="00D603C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mean (SD) total SPADI score reduced from baseline to 6 weeks </w:t>
      </w:r>
      <w:r w:rsidR="005D72E9">
        <w:rPr>
          <w:rFonts w:ascii="Times New Roman" w:hAnsi="Times New Roman" w:cs="Times New Roman"/>
          <w:sz w:val="24"/>
          <w:szCs w:val="24"/>
          <w:lang w:val="en-US"/>
        </w:rPr>
        <w:t xml:space="preserve">and then remained stable at 6 months </w:t>
      </w:r>
      <w:r>
        <w:rPr>
          <w:rFonts w:ascii="Times New Roman" w:hAnsi="Times New Roman" w:cs="Times New Roman"/>
          <w:sz w:val="24"/>
          <w:szCs w:val="24"/>
          <w:lang w:val="en-US"/>
        </w:rPr>
        <w:t xml:space="preserve">in all injection accuracy groups, </w:t>
      </w:r>
      <w:r w:rsidR="004664E4">
        <w:rPr>
          <w:rFonts w:ascii="Times New Roman" w:hAnsi="Times New Roman" w:cs="Times New Roman"/>
          <w:sz w:val="24"/>
          <w:szCs w:val="24"/>
          <w:lang w:val="en-US"/>
        </w:rPr>
        <w:t>from</w:t>
      </w:r>
      <w:r>
        <w:rPr>
          <w:rFonts w:ascii="Times New Roman" w:hAnsi="Times New Roman" w:cs="Times New Roman"/>
          <w:sz w:val="24"/>
          <w:szCs w:val="24"/>
          <w:lang w:val="en-US"/>
        </w:rPr>
        <w:t xml:space="preserve"> 60.3 (25.2) at baseline to 36.1 (</w:t>
      </w:r>
      <w:r w:rsidR="00DD7DC0">
        <w:rPr>
          <w:rFonts w:ascii="Times New Roman" w:hAnsi="Times New Roman" w:cs="Times New Roman"/>
          <w:sz w:val="24"/>
          <w:szCs w:val="24"/>
          <w:lang w:val="en-US"/>
        </w:rPr>
        <w:t>3</w:t>
      </w:r>
      <w:r>
        <w:rPr>
          <w:rFonts w:ascii="Times New Roman" w:hAnsi="Times New Roman" w:cs="Times New Roman"/>
          <w:sz w:val="24"/>
          <w:szCs w:val="24"/>
          <w:lang w:val="en-US"/>
        </w:rPr>
        <w:t>2.2) at 6 months in Group 1</w:t>
      </w:r>
      <w:r w:rsidR="004664E4">
        <w:rPr>
          <w:rFonts w:ascii="Times New Roman" w:hAnsi="Times New Roman" w:cs="Times New Roman"/>
          <w:sz w:val="24"/>
          <w:szCs w:val="24"/>
          <w:lang w:val="en-US"/>
        </w:rPr>
        <w:t xml:space="preserve">, </w:t>
      </w:r>
      <w:r w:rsidR="00DA4AA3">
        <w:rPr>
          <w:rFonts w:ascii="Times New Roman" w:hAnsi="Times New Roman" w:cs="Times New Roman"/>
          <w:sz w:val="24"/>
          <w:szCs w:val="24"/>
          <w:lang w:val="en-US"/>
        </w:rPr>
        <w:t>63.3 (15.0)</w:t>
      </w:r>
      <w:r w:rsidR="004664E4">
        <w:rPr>
          <w:rFonts w:ascii="Times New Roman" w:hAnsi="Times New Roman" w:cs="Times New Roman"/>
          <w:sz w:val="24"/>
          <w:szCs w:val="24"/>
          <w:lang w:val="en-US"/>
        </w:rPr>
        <w:t xml:space="preserve"> at baseline</w:t>
      </w:r>
      <w:r>
        <w:rPr>
          <w:rFonts w:ascii="Times New Roman" w:hAnsi="Times New Roman" w:cs="Times New Roman"/>
          <w:sz w:val="24"/>
          <w:szCs w:val="24"/>
          <w:lang w:val="en-US"/>
        </w:rPr>
        <w:t xml:space="preserve"> </w:t>
      </w:r>
      <w:r w:rsidR="004664E4">
        <w:rPr>
          <w:rFonts w:ascii="Times New Roman" w:hAnsi="Times New Roman" w:cs="Times New Roman"/>
          <w:sz w:val="24"/>
          <w:szCs w:val="24"/>
          <w:lang w:val="en-US"/>
        </w:rPr>
        <w:t xml:space="preserve">to </w:t>
      </w:r>
      <w:r w:rsidR="00DA4AA3">
        <w:rPr>
          <w:rFonts w:ascii="Times New Roman" w:hAnsi="Times New Roman" w:cs="Times New Roman"/>
          <w:sz w:val="24"/>
          <w:szCs w:val="24"/>
          <w:lang w:val="en-US"/>
        </w:rPr>
        <w:t>46.0 (23.1)</w:t>
      </w:r>
      <w:r w:rsidR="004664E4">
        <w:rPr>
          <w:rFonts w:ascii="Times New Roman" w:hAnsi="Times New Roman" w:cs="Times New Roman"/>
          <w:sz w:val="24"/>
          <w:szCs w:val="24"/>
          <w:lang w:val="en-US"/>
        </w:rPr>
        <w:t xml:space="preserve"> at 6 months in Group 2, </w:t>
      </w:r>
      <w:r>
        <w:rPr>
          <w:rFonts w:ascii="Times New Roman" w:hAnsi="Times New Roman" w:cs="Times New Roman"/>
          <w:sz w:val="24"/>
          <w:szCs w:val="24"/>
          <w:lang w:val="en-US"/>
        </w:rPr>
        <w:t xml:space="preserve">and 60.4 (17.6) at baseline to </w:t>
      </w:r>
      <w:r w:rsidR="00DD7DC0">
        <w:rPr>
          <w:rFonts w:ascii="Times New Roman" w:hAnsi="Times New Roman" w:cs="Times New Roman"/>
          <w:sz w:val="24"/>
          <w:szCs w:val="24"/>
          <w:lang w:val="en-US"/>
        </w:rPr>
        <w:t xml:space="preserve">40.6 (24.6) at 6 months in Group 3. </w:t>
      </w:r>
      <w:r w:rsidR="00806029">
        <w:rPr>
          <w:rFonts w:ascii="Times New Roman" w:hAnsi="Times New Roman" w:cs="Times New Roman"/>
          <w:sz w:val="24"/>
          <w:szCs w:val="24"/>
          <w:lang w:val="en-US"/>
        </w:rPr>
        <w:t>Group 2 had higher</w:t>
      </w:r>
      <w:r w:rsidR="00DD7DC0">
        <w:rPr>
          <w:rFonts w:ascii="Times New Roman" w:hAnsi="Times New Roman" w:cs="Times New Roman"/>
          <w:sz w:val="24"/>
          <w:szCs w:val="24"/>
          <w:lang w:val="en-US"/>
        </w:rPr>
        <w:t xml:space="preserve"> mean (SD) total SPADI scores at 6 weeks and 6 months compared </w:t>
      </w:r>
      <w:r w:rsidR="004664E4">
        <w:rPr>
          <w:rFonts w:ascii="Times New Roman" w:hAnsi="Times New Roman" w:cs="Times New Roman"/>
          <w:sz w:val="24"/>
          <w:szCs w:val="24"/>
          <w:lang w:val="en-US"/>
        </w:rPr>
        <w:t>with</w:t>
      </w:r>
      <w:r w:rsidR="00DD7DC0">
        <w:rPr>
          <w:rFonts w:ascii="Times New Roman" w:hAnsi="Times New Roman" w:cs="Times New Roman"/>
          <w:sz w:val="24"/>
          <w:szCs w:val="24"/>
          <w:lang w:val="en-US"/>
        </w:rPr>
        <w:t xml:space="preserve"> </w:t>
      </w:r>
      <w:r w:rsidR="004664E4">
        <w:rPr>
          <w:rFonts w:ascii="Times New Roman" w:hAnsi="Times New Roman" w:cs="Times New Roman"/>
          <w:sz w:val="24"/>
          <w:szCs w:val="24"/>
          <w:lang w:val="en-US"/>
        </w:rPr>
        <w:t>Groups 1 and 3, indicating worse shoulder pain and function</w:t>
      </w:r>
      <w:r w:rsidR="00DD7DC0">
        <w:rPr>
          <w:rFonts w:ascii="Times New Roman" w:hAnsi="Times New Roman" w:cs="Times New Roman"/>
          <w:sz w:val="24"/>
          <w:szCs w:val="24"/>
          <w:lang w:val="en-US"/>
        </w:rPr>
        <w:t xml:space="preserve">.  </w:t>
      </w:r>
      <w:r w:rsidR="001B7AB2">
        <w:rPr>
          <w:rFonts w:ascii="Times New Roman" w:hAnsi="Times New Roman" w:cs="Times New Roman"/>
          <w:sz w:val="24"/>
          <w:szCs w:val="24"/>
          <w:lang w:val="en-US"/>
        </w:rPr>
        <w:t>(</w:t>
      </w:r>
      <w:r w:rsidR="001B7AB2" w:rsidRPr="00BF4B9B">
        <w:rPr>
          <w:rFonts w:ascii="Times New Roman" w:hAnsi="Times New Roman" w:cs="Times New Roman"/>
          <w:b/>
          <w:sz w:val="24"/>
          <w:szCs w:val="24"/>
          <w:lang w:val="en-US"/>
        </w:rPr>
        <w:t>Figure 1</w:t>
      </w:r>
      <w:r w:rsidR="00DD7DC0">
        <w:rPr>
          <w:rFonts w:ascii="Times New Roman" w:hAnsi="Times New Roman" w:cs="Times New Roman"/>
          <w:b/>
          <w:sz w:val="24"/>
          <w:szCs w:val="24"/>
          <w:lang w:val="en-US"/>
        </w:rPr>
        <w:t>a &amp; 1b</w:t>
      </w:r>
      <w:r w:rsidR="001B7AB2">
        <w:rPr>
          <w:rFonts w:ascii="Times New Roman" w:hAnsi="Times New Roman" w:cs="Times New Roman"/>
          <w:sz w:val="24"/>
          <w:szCs w:val="24"/>
          <w:lang w:val="en-US"/>
        </w:rPr>
        <w:t>)</w:t>
      </w:r>
      <w:r w:rsidR="00D85B67">
        <w:rPr>
          <w:rFonts w:ascii="Times New Roman" w:hAnsi="Times New Roman" w:cs="Times New Roman"/>
          <w:sz w:val="24"/>
          <w:szCs w:val="24"/>
          <w:lang w:val="en-US"/>
        </w:rPr>
        <w:t xml:space="preserve">. </w:t>
      </w:r>
    </w:p>
    <w:p w14:paraId="73026FF5" w14:textId="77777777" w:rsidR="00E32C6C" w:rsidRDefault="00E32C6C" w:rsidP="00CE5C14">
      <w:pPr>
        <w:spacing w:line="360" w:lineRule="auto"/>
        <w:jc w:val="both"/>
        <w:rPr>
          <w:rFonts w:ascii="Times New Roman" w:hAnsi="Times New Roman" w:cs="Times New Roman"/>
          <w:i/>
          <w:sz w:val="24"/>
          <w:szCs w:val="24"/>
          <w:lang w:val="en-US"/>
        </w:rPr>
      </w:pPr>
    </w:p>
    <w:p w14:paraId="3B527176" w14:textId="1718C897" w:rsidR="00D942F0" w:rsidRDefault="00D83E23" w:rsidP="00CE5C14">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w:t>
      </w:r>
      <w:r w:rsidR="0080352E">
        <w:rPr>
          <w:rFonts w:ascii="Times New Roman" w:hAnsi="Times New Roman" w:cs="Times New Roman"/>
          <w:i/>
          <w:sz w:val="24"/>
          <w:szCs w:val="24"/>
          <w:lang w:val="en-US"/>
        </w:rPr>
        <w:t xml:space="preserve">ccuracy of </w:t>
      </w:r>
      <w:r w:rsidR="004B4FBA">
        <w:rPr>
          <w:rFonts w:ascii="Times New Roman" w:hAnsi="Times New Roman" w:cs="Times New Roman"/>
          <w:i/>
          <w:sz w:val="24"/>
          <w:szCs w:val="24"/>
          <w:lang w:val="en-US"/>
        </w:rPr>
        <w:t>US</w:t>
      </w:r>
      <w:r w:rsidR="0080352E" w:rsidRPr="0080352E">
        <w:rPr>
          <w:rFonts w:ascii="Times New Roman" w:hAnsi="Times New Roman" w:cs="Times New Roman"/>
          <w:i/>
          <w:sz w:val="24"/>
          <w:szCs w:val="24"/>
          <w:lang w:val="en-US"/>
        </w:rPr>
        <w:t xml:space="preserve">-guided corticosteroid injection </w:t>
      </w:r>
      <w:r>
        <w:rPr>
          <w:rFonts w:ascii="Times New Roman" w:hAnsi="Times New Roman" w:cs="Times New Roman"/>
          <w:i/>
          <w:sz w:val="24"/>
          <w:szCs w:val="24"/>
          <w:lang w:val="en-US"/>
        </w:rPr>
        <w:t>between-group comparisons</w:t>
      </w:r>
    </w:p>
    <w:p w14:paraId="1D5BC394" w14:textId="7DD7BE77" w:rsidR="002E2374" w:rsidRDefault="006C20C0" w:rsidP="00CE5C14">
      <w:pPr>
        <w:spacing w:line="360" w:lineRule="auto"/>
        <w:jc w:val="both"/>
        <w:rPr>
          <w:rFonts w:ascii="Times New Roman" w:hAnsi="Times New Roman" w:cs="Times New Roman"/>
          <w:sz w:val="24"/>
          <w:szCs w:val="24"/>
          <w:lang w:val="en-US"/>
        </w:rPr>
      </w:pPr>
      <w:r w:rsidRPr="00C15234">
        <w:rPr>
          <w:rFonts w:ascii="Times New Roman" w:hAnsi="Times New Roman" w:cs="Times New Roman"/>
          <w:sz w:val="24"/>
          <w:szCs w:val="24"/>
          <w:lang w:val="en-US"/>
        </w:rPr>
        <w:t>T</w:t>
      </w:r>
      <w:r w:rsidR="002F4DEF">
        <w:rPr>
          <w:rFonts w:ascii="Times New Roman" w:hAnsi="Times New Roman" w:cs="Times New Roman"/>
          <w:sz w:val="24"/>
          <w:szCs w:val="24"/>
          <w:lang w:val="en-US"/>
        </w:rPr>
        <w:t xml:space="preserve">here was no significant difference in the mean SPADI total scores </w:t>
      </w:r>
      <w:r w:rsidR="00D405AD">
        <w:rPr>
          <w:rFonts w:ascii="Times New Roman" w:hAnsi="Times New Roman" w:cs="Times New Roman"/>
          <w:sz w:val="24"/>
          <w:szCs w:val="24"/>
          <w:lang w:val="en-US"/>
        </w:rPr>
        <w:t>between</w:t>
      </w:r>
      <w:r w:rsidR="00941452">
        <w:rPr>
          <w:rFonts w:ascii="Times New Roman" w:hAnsi="Times New Roman" w:cs="Times New Roman"/>
          <w:sz w:val="24"/>
          <w:szCs w:val="24"/>
          <w:lang w:val="en-US"/>
        </w:rPr>
        <w:t xml:space="preserve"> accuracy</w:t>
      </w:r>
      <w:r w:rsidR="00E02456">
        <w:rPr>
          <w:rFonts w:ascii="Times New Roman" w:hAnsi="Times New Roman" w:cs="Times New Roman"/>
          <w:sz w:val="24"/>
          <w:szCs w:val="24"/>
          <w:lang w:val="en-US"/>
        </w:rPr>
        <w:t xml:space="preserve"> group</w:t>
      </w:r>
      <w:r w:rsidR="004664E4">
        <w:rPr>
          <w:rFonts w:ascii="Times New Roman" w:hAnsi="Times New Roman" w:cs="Times New Roman"/>
          <w:sz w:val="24"/>
          <w:szCs w:val="24"/>
          <w:lang w:val="en-US"/>
        </w:rPr>
        <w:t>s 2 and 3</w:t>
      </w:r>
      <w:r w:rsidR="00E02456">
        <w:rPr>
          <w:rFonts w:ascii="Times New Roman" w:hAnsi="Times New Roman" w:cs="Times New Roman"/>
          <w:sz w:val="24"/>
          <w:szCs w:val="24"/>
          <w:lang w:val="en-US"/>
        </w:rPr>
        <w:t xml:space="preserve"> and the reference category (</w:t>
      </w:r>
      <w:r w:rsidR="004664E4">
        <w:rPr>
          <w:rFonts w:ascii="Times New Roman" w:hAnsi="Times New Roman" w:cs="Times New Roman"/>
          <w:sz w:val="24"/>
          <w:szCs w:val="24"/>
          <w:lang w:val="en-US"/>
        </w:rPr>
        <w:t>group 1</w:t>
      </w:r>
      <w:r w:rsidR="00E02456">
        <w:rPr>
          <w:rFonts w:ascii="Times New Roman" w:hAnsi="Times New Roman" w:cs="Times New Roman"/>
          <w:sz w:val="24"/>
          <w:szCs w:val="24"/>
          <w:lang w:val="en-US"/>
        </w:rPr>
        <w:t xml:space="preserve">) </w:t>
      </w:r>
      <w:r w:rsidR="0055693D">
        <w:rPr>
          <w:rFonts w:ascii="Times New Roman" w:hAnsi="Times New Roman" w:cs="Times New Roman"/>
          <w:sz w:val="24"/>
          <w:szCs w:val="24"/>
          <w:lang w:val="en-US"/>
        </w:rPr>
        <w:t xml:space="preserve">at 6 weeks or 6 months, </w:t>
      </w:r>
      <w:r w:rsidR="00C2652D">
        <w:rPr>
          <w:rFonts w:ascii="Times New Roman" w:hAnsi="Times New Roman" w:cs="Times New Roman"/>
          <w:sz w:val="24"/>
          <w:szCs w:val="24"/>
          <w:lang w:val="en-US"/>
        </w:rPr>
        <w:t>after adjusting</w:t>
      </w:r>
      <w:r w:rsidR="00BD6DE4">
        <w:rPr>
          <w:rFonts w:ascii="Times New Roman" w:hAnsi="Times New Roman" w:cs="Times New Roman"/>
          <w:sz w:val="24"/>
          <w:szCs w:val="24"/>
          <w:lang w:val="en-US"/>
        </w:rPr>
        <w:t xml:space="preserve"> for baseline SPADI scores </w:t>
      </w:r>
      <w:r>
        <w:rPr>
          <w:rFonts w:ascii="Times New Roman" w:hAnsi="Times New Roman" w:cs="Times New Roman"/>
          <w:sz w:val="24"/>
          <w:szCs w:val="24"/>
          <w:lang w:val="en-US"/>
        </w:rPr>
        <w:t>(</w:t>
      </w:r>
      <w:r w:rsidRPr="0023123B">
        <w:rPr>
          <w:rFonts w:ascii="Times New Roman" w:hAnsi="Times New Roman" w:cs="Times New Roman"/>
          <w:b/>
          <w:sz w:val="24"/>
          <w:szCs w:val="24"/>
          <w:lang w:val="en-US"/>
        </w:rPr>
        <w:t>Table 2</w:t>
      </w:r>
      <w:r>
        <w:rPr>
          <w:rFonts w:ascii="Times New Roman" w:hAnsi="Times New Roman" w:cs="Times New Roman"/>
          <w:sz w:val="24"/>
          <w:szCs w:val="24"/>
          <w:lang w:val="en-US"/>
        </w:rPr>
        <w:t>)</w:t>
      </w:r>
      <w:r w:rsidR="00BD6DE4">
        <w:rPr>
          <w:rFonts w:ascii="Times New Roman" w:hAnsi="Times New Roman" w:cs="Times New Roman"/>
          <w:sz w:val="24"/>
          <w:szCs w:val="24"/>
          <w:lang w:val="en-US"/>
        </w:rPr>
        <w:t xml:space="preserve">. Results did not change when the model was adjusted for the other </w:t>
      </w:r>
      <w:r w:rsidR="00C2652D">
        <w:rPr>
          <w:rFonts w:ascii="Times New Roman" w:hAnsi="Times New Roman" w:cs="Times New Roman"/>
          <w:sz w:val="24"/>
          <w:szCs w:val="24"/>
          <w:lang w:val="en-US"/>
        </w:rPr>
        <w:t xml:space="preserve">selected </w:t>
      </w:r>
      <w:r w:rsidR="00BD6DE4">
        <w:rPr>
          <w:rFonts w:ascii="Times New Roman" w:hAnsi="Times New Roman" w:cs="Times New Roman"/>
          <w:sz w:val="24"/>
          <w:szCs w:val="24"/>
          <w:lang w:val="en-US"/>
        </w:rPr>
        <w:t xml:space="preserve">baseline </w:t>
      </w:r>
      <w:r w:rsidR="00C2652D">
        <w:rPr>
          <w:rFonts w:ascii="Times New Roman" w:hAnsi="Times New Roman" w:cs="Times New Roman"/>
          <w:sz w:val="24"/>
          <w:szCs w:val="24"/>
          <w:lang w:val="en-US"/>
        </w:rPr>
        <w:t xml:space="preserve">characteristics. </w:t>
      </w:r>
      <w:r w:rsidR="0055693D">
        <w:rPr>
          <w:rFonts w:ascii="Times New Roman" w:hAnsi="Times New Roman" w:cs="Times New Roman"/>
          <w:sz w:val="24"/>
          <w:szCs w:val="24"/>
          <w:lang w:val="en-US"/>
        </w:rPr>
        <w:t>There were no significant between-group differences for</w:t>
      </w:r>
      <w:r w:rsidR="00C2652D">
        <w:rPr>
          <w:rFonts w:ascii="Times New Roman" w:hAnsi="Times New Roman" w:cs="Times New Roman"/>
          <w:sz w:val="24"/>
          <w:szCs w:val="24"/>
          <w:lang w:val="en-US"/>
        </w:rPr>
        <w:t xml:space="preserve"> </w:t>
      </w:r>
      <w:r w:rsidR="00A11312">
        <w:rPr>
          <w:rFonts w:ascii="Times New Roman" w:hAnsi="Times New Roman" w:cs="Times New Roman"/>
          <w:sz w:val="24"/>
          <w:szCs w:val="24"/>
          <w:lang w:val="en-US"/>
        </w:rPr>
        <w:t xml:space="preserve">the </w:t>
      </w:r>
      <w:r w:rsidR="00C2652D">
        <w:rPr>
          <w:rFonts w:ascii="Times New Roman" w:hAnsi="Times New Roman" w:cs="Times New Roman"/>
          <w:sz w:val="24"/>
          <w:szCs w:val="24"/>
          <w:lang w:val="en-US"/>
        </w:rPr>
        <w:t>SPADI pain and disability subscales</w:t>
      </w:r>
      <w:r w:rsidR="00242B1A">
        <w:rPr>
          <w:rFonts w:ascii="Times New Roman" w:hAnsi="Times New Roman" w:cs="Times New Roman"/>
          <w:sz w:val="24"/>
          <w:szCs w:val="24"/>
          <w:lang w:val="en-US"/>
        </w:rPr>
        <w:t xml:space="preserve"> </w:t>
      </w:r>
      <w:r w:rsidR="0055693D">
        <w:rPr>
          <w:rFonts w:ascii="Times New Roman" w:hAnsi="Times New Roman" w:cs="Times New Roman"/>
          <w:sz w:val="24"/>
          <w:szCs w:val="24"/>
          <w:lang w:val="en-US"/>
        </w:rPr>
        <w:t>at 6 week</w:t>
      </w:r>
      <w:r w:rsidR="005E3BBC">
        <w:rPr>
          <w:rFonts w:ascii="Times New Roman" w:hAnsi="Times New Roman" w:cs="Times New Roman"/>
          <w:sz w:val="24"/>
          <w:szCs w:val="24"/>
          <w:lang w:val="en-US"/>
        </w:rPr>
        <w:t>s</w:t>
      </w:r>
      <w:r w:rsidR="0055693D">
        <w:rPr>
          <w:rFonts w:ascii="Times New Roman" w:hAnsi="Times New Roman" w:cs="Times New Roman"/>
          <w:sz w:val="24"/>
          <w:szCs w:val="24"/>
          <w:lang w:val="en-US"/>
        </w:rPr>
        <w:t xml:space="preserve"> and 6 months </w:t>
      </w:r>
      <w:r w:rsidR="004664E4">
        <w:rPr>
          <w:rFonts w:ascii="Times New Roman" w:hAnsi="Times New Roman" w:cs="Times New Roman"/>
          <w:sz w:val="24"/>
          <w:szCs w:val="24"/>
          <w:lang w:val="en-US"/>
        </w:rPr>
        <w:t>or</w:t>
      </w:r>
      <w:r w:rsidR="00242B1A">
        <w:rPr>
          <w:rFonts w:ascii="Times New Roman" w:hAnsi="Times New Roman" w:cs="Times New Roman"/>
          <w:sz w:val="24"/>
          <w:szCs w:val="24"/>
          <w:lang w:val="en-US"/>
        </w:rPr>
        <w:t xml:space="preserve"> </w:t>
      </w:r>
      <w:r w:rsidR="00AA3459">
        <w:rPr>
          <w:rFonts w:ascii="Times New Roman" w:hAnsi="Times New Roman" w:cs="Times New Roman"/>
          <w:sz w:val="24"/>
          <w:szCs w:val="24"/>
        </w:rPr>
        <w:t xml:space="preserve">global assessment </w:t>
      </w:r>
      <w:r w:rsidR="00C72CB7">
        <w:rPr>
          <w:rFonts w:ascii="Times New Roman" w:hAnsi="Times New Roman" w:cs="Times New Roman"/>
          <w:sz w:val="24"/>
          <w:szCs w:val="24"/>
        </w:rPr>
        <w:t>of overall change</w:t>
      </w:r>
      <w:r w:rsidR="004E2395">
        <w:rPr>
          <w:rFonts w:ascii="Times New Roman" w:hAnsi="Times New Roman" w:cs="Times New Roman"/>
          <w:sz w:val="24"/>
          <w:szCs w:val="24"/>
        </w:rPr>
        <w:t xml:space="preserve"> at 6 weeks. </w:t>
      </w:r>
      <w:r w:rsidR="0055693D">
        <w:rPr>
          <w:rFonts w:ascii="Times New Roman" w:hAnsi="Times New Roman" w:cs="Times New Roman"/>
          <w:sz w:val="24"/>
          <w:szCs w:val="24"/>
        </w:rPr>
        <w:t>A</w:t>
      </w:r>
      <w:r w:rsidR="004E2395">
        <w:rPr>
          <w:rFonts w:ascii="Times New Roman" w:hAnsi="Times New Roman" w:cs="Times New Roman"/>
          <w:sz w:val="24"/>
          <w:szCs w:val="24"/>
        </w:rPr>
        <w:t xml:space="preserve">t 6 months, </w:t>
      </w:r>
      <w:r w:rsidR="0023123B">
        <w:rPr>
          <w:rFonts w:ascii="Times New Roman" w:hAnsi="Times New Roman" w:cs="Times New Roman"/>
          <w:sz w:val="24"/>
          <w:szCs w:val="24"/>
        </w:rPr>
        <w:t xml:space="preserve">the odds of </w:t>
      </w:r>
      <w:r w:rsidR="00B4190C">
        <w:rPr>
          <w:rFonts w:ascii="Times New Roman" w:hAnsi="Times New Roman" w:cs="Times New Roman"/>
          <w:sz w:val="24"/>
          <w:szCs w:val="24"/>
        </w:rPr>
        <w:t>being completely</w:t>
      </w:r>
      <w:r w:rsidR="00894732">
        <w:rPr>
          <w:rFonts w:ascii="Times New Roman" w:hAnsi="Times New Roman" w:cs="Times New Roman"/>
          <w:sz w:val="24"/>
          <w:szCs w:val="24"/>
        </w:rPr>
        <w:t xml:space="preserve"> recovered or much better</w:t>
      </w:r>
      <w:r w:rsidR="0023123B">
        <w:rPr>
          <w:rFonts w:ascii="Times New Roman" w:hAnsi="Times New Roman" w:cs="Times New Roman"/>
          <w:sz w:val="24"/>
          <w:szCs w:val="24"/>
        </w:rPr>
        <w:t xml:space="preserve"> were</w:t>
      </w:r>
      <w:r w:rsidR="00894732">
        <w:rPr>
          <w:rFonts w:ascii="Times New Roman" w:hAnsi="Times New Roman" w:cs="Times New Roman"/>
          <w:sz w:val="24"/>
          <w:szCs w:val="24"/>
        </w:rPr>
        <w:t xml:space="preserve"> lower amongst those </w:t>
      </w:r>
      <w:r w:rsidR="00A11312">
        <w:rPr>
          <w:rFonts w:ascii="Times New Roman" w:hAnsi="Times New Roman" w:cs="Times New Roman"/>
          <w:sz w:val="24"/>
          <w:szCs w:val="24"/>
        </w:rPr>
        <w:t>in Group 2</w:t>
      </w:r>
      <w:r w:rsidR="00E44882">
        <w:rPr>
          <w:rFonts w:ascii="Times New Roman" w:hAnsi="Times New Roman" w:cs="Times New Roman"/>
          <w:sz w:val="24"/>
          <w:szCs w:val="24"/>
        </w:rPr>
        <w:t xml:space="preserve"> (“probably in the subacromial bursa”) </w:t>
      </w:r>
      <w:r w:rsidR="00DE4301">
        <w:rPr>
          <w:rFonts w:ascii="Times New Roman" w:hAnsi="Times New Roman" w:cs="Times New Roman"/>
          <w:sz w:val="24"/>
          <w:szCs w:val="24"/>
        </w:rPr>
        <w:t xml:space="preserve">compared </w:t>
      </w:r>
      <w:r w:rsidR="00A11312">
        <w:rPr>
          <w:rFonts w:ascii="Times New Roman" w:hAnsi="Times New Roman" w:cs="Times New Roman"/>
          <w:sz w:val="24"/>
          <w:szCs w:val="24"/>
        </w:rPr>
        <w:t>with</w:t>
      </w:r>
      <w:r w:rsidR="006E3017">
        <w:rPr>
          <w:rFonts w:ascii="Times New Roman" w:hAnsi="Times New Roman" w:cs="Times New Roman"/>
          <w:sz w:val="24"/>
          <w:szCs w:val="24"/>
        </w:rPr>
        <w:t xml:space="preserve"> Group 1</w:t>
      </w:r>
      <w:r w:rsidR="005E3BBC">
        <w:rPr>
          <w:rFonts w:ascii="Times New Roman" w:hAnsi="Times New Roman" w:cs="Times New Roman"/>
          <w:sz w:val="24"/>
          <w:szCs w:val="24"/>
        </w:rPr>
        <w:t xml:space="preserve"> </w:t>
      </w:r>
      <w:r w:rsidR="00E44882" w:rsidRPr="00E44882">
        <w:rPr>
          <w:rFonts w:ascii="Times New Roman" w:hAnsi="Times New Roman" w:cs="Times New Roman"/>
          <w:sz w:val="24"/>
          <w:szCs w:val="24"/>
          <w:lang w:val="en-US"/>
        </w:rPr>
        <w:t>(“</w:t>
      </w:r>
      <w:r w:rsidR="00E44882" w:rsidRPr="00E44882">
        <w:rPr>
          <w:rFonts w:ascii="Times New Roman" w:hAnsi="Times New Roman" w:cs="Times New Roman"/>
          <w:sz w:val="24"/>
          <w:szCs w:val="24"/>
        </w:rPr>
        <w:t xml:space="preserve">definitely/probably </w:t>
      </w:r>
      <w:r w:rsidR="00E44882" w:rsidRPr="00E44882">
        <w:rPr>
          <w:rFonts w:ascii="Times New Roman" w:hAnsi="Times New Roman" w:cs="Times New Roman"/>
          <w:sz w:val="24"/>
          <w:szCs w:val="24"/>
          <w:lang w:val="en-US"/>
        </w:rPr>
        <w:t>not in the subacromial bursa”)</w:t>
      </w:r>
      <w:r w:rsidR="001A6655">
        <w:rPr>
          <w:rFonts w:ascii="Times New Roman" w:hAnsi="Times New Roman" w:cs="Times New Roman"/>
          <w:sz w:val="24"/>
          <w:szCs w:val="24"/>
        </w:rPr>
        <w:t>.</w:t>
      </w:r>
      <w:r w:rsidR="00A11312">
        <w:rPr>
          <w:rFonts w:ascii="Times New Roman" w:hAnsi="Times New Roman" w:cs="Times New Roman"/>
          <w:sz w:val="24"/>
          <w:szCs w:val="24"/>
        </w:rPr>
        <w:t xml:space="preserve"> Participant global assessment of overall</w:t>
      </w:r>
      <w:r w:rsidR="006E3017">
        <w:rPr>
          <w:rFonts w:ascii="Times New Roman" w:hAnsi="Times New Roman" w:cs="Times New Roman"/>
          <w:sz w:val="24"/>
          <w:szCs w:val="24"/>
        </w:rPr>
        <w:t xml:space="preserve"> change did not differ between Group 3 </w:t>
      </w:r>
      <w:r w:rsidR="00E44882">
        <w:rPr>
          <w:rFonts w:ascii="Times New Roman" w:hAnsi="Times New Roman" w:cs="Times New Roman"/>
          <w:sz w:val="24"/>
          <w:szCs w:val="24"/>
        </w:rPr>
        <w:t xml:space="preserve">(“definitely in the subacromial bursa”) </w:t>
      </w:r>
      <w:r w:rsidR="006E3017">
        <w:rPr>
          <w:rFonts w:ascii="Times New Roman" w:hAnsi="Times New Roman" w:cs="Times New Roman"/>
          <w:sz w:val="24"/>
          <w:szCs w:val="24"/>
        </w:rPr>
        <w:t>and G</w:t>
      </w:r>
      <w:r w:rsidR="00A11312">
        <w:rPr>
          <w:rFonts w:ascii="Times New Roman" w:hAnsi="Times New Roman" w:cs="Times New Roman"/>
          <w:sz w:val="24"/>
          <w:szCs w:val="24"/>
        </w:rPr>
        <w:t xml:space="preserve">roup 1 at 6 months. </w:t>
      </w:r>
    </w:p>
    <w:p w14:paraId="60719A4B" w14:textId="77777777" w:rsidR="004176DA" w:rsidRDefault="004176DA" w:rsidP="00CE5C14">
      <w:pPr>
        <w:spacing w:line="360" w:lineRule="auto"/>
        <w:jc w:val="both"/>
        <w:rPr>
          <w:rFonts w:ascii="Times New Roman" w:hAnsi="Times New Roman" w:cs="Times New Roman"/>
          <w:sz w:val="24"/>
          <w:szCs w:val="24"/>
          <w:lang w:val="en-US"/>
        </w:rPr>
      </w:pPr>
    </w:p>
    <w:p w14:paraId="66CA7CA4" w14:textId="157AC1A7" w:rsidR="004176DA" w:rsidRDefault="004176DA" w:rsidP="00CE5C1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42045EFB" w14:textId="77777777" w:rsidR="006C6DA0" w:rsidRPr="006C6DA0" w:rsidRDefault="00CB4B91" w:rsidP="006C6D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Subacromial c</w:t>
      </w:r>
      <w:r w:rsidR="00575D8D">
        <w:rPr>
          <w:rFonts w:ascii="Times New Roman" w:hAnsi="Times New Roman" w:cs="Times New Roman"/>
          <w:sz w:val="24"/>
          <w:szCs w:val="24"/>
          <w:lang w:val="en-US"/>
        </w:rPr>
        <w:t>orticosteroid injection</w:t>
      </w:r>
      <w:r>
        <w:rPr>
          <w:rFonts w:ascii="Times New Roman" w:hAnsi="Times New Roman" w:cs="Times New Roman"/>
          <w:sz w:val="24"/>
          <w:szCs w:val="24"/>
          <w:lang w:val="en-US"/>
        </w:rPr>
        <w:t>s</w:t>
      </w:r>
      <w:r w:rsidR="00575D8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D61C9A">
        <w:rPr>
          <w:rFonts w:ascii="Times New Roman" w:hAnsi="Times New Roman" w:cs="Times New Roman"/>
          <w:sz w:val="24"/>
          <w:szCs w:val="24"/>
          <w:lang w:val="en-US"/>
        </w:rPr>
        <w:t>widely used</w:t>
      </w:r>
      <w:r w:rsidR="00575D8D">
        <w:rPr>
          <w:rFonts w:ascii="Times New Roman" w:hAnsi="Times New Roman" w:cs="Times New Roman"/>
          <w:sz w:val="24"/>
          <w:szCs w:val="24"/>
          <w:lang w:val="en-US"/>
        </w:rPr>
        <w:t xml:space="preserve"> in the treatment of SAPS</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C16E47">
        <w:rPr>
          <w:rFonts w:ascii="Times New Roman" w:hAnsi="Times New Roman" w:cs="Times New Roman"/>
          <w:sz w:val="24"/>
          <w:szCs w:val="24"/>
          <w:lang w:val="en-US"/>
        </w:rPr>
        <w:instrText>ADDIN RW.CITE{{doc:61b5ee368f0804800ac20443 Artus,M 2017}}</w:instrText>
      </w:r>
      <w:r w:rsidR="003F7A7C">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(Artus et al., 2017)</w:t>
      </w:r>
      <w:r w:rsidR="003F7A7C">
        <w:rPr>
          <w:rFonts w:ascii="Times New Roman" w:hAnsi="Times New Roman" w:cs="Times New Roman"/>
          <w:sz w:val="24"/>
          <w:szCs w:val="24"/>
          <w:lang w:val="en-US"/>
        </w:rPr>
        <w:fldChar w:fldCharType="end"/>
      </w:r>
      <w:r w:rsidR="00575D8D">
        <w:rPr>
          <w:rFonts w:ascii="Times New Roman" w:hAnsi="Times New Roman" w:cs="Times New Roman"/>
          <w:sz w:val="24"/>
          <w:szCs w:val="24"/>
          <w:lang w:val="en-US"/>
        </w:rPr>
        <w:t>.</w:t>
      </w:r>
      <w:r w:rsidR="00BC59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their efficacy is debated and inefficacy has been attributed to inaccurate </w:t>
      </w:r>
      <w:r w:rsidR="00FE58D5">
        <w:rPr>
          <w:rFonts w:ascii="Times New Roman" w:hAnsi="Times New Roman" w:cs="Times New Roman"/>
          <w:sz w:val="24"/>
          <w:szCs w:val="24"/>
          <w:lang w:val="en-US"/>
        </w:rPr>
        <w:t xml:space="preserve">needle </w:t>
      </w:r>
      <w:r>
        <w:rPr>
          <w:rFonts w:ascii="Times New Roman" w:hAnsi="Times New Roman" w:cs="Times New Roman"/>
          <w:sz w:val="24"/>
          <w:szCs w:val="24"/>
          <w:lang w:val="en-US"/>
        </w:rPr>
        <w:t>placement. US-guidance is commonly employed to improve placement accuracy yet i</w:t>
      </w:r>
      <w:r w:rsidR="00BC5968">
        <w:rPr>
          <w:rFonts w:ascii="Times New Roman" w:hAnsi="Times New Roman" w:cs="Times New Roman"/>
          <w:sz w:val="24"/>
          <w:szCs w:val="24"/>
          <w:lang w:val="en-US"/>
        </w:rPr>
        <w:t>t is uncertain</w:t>
      </w:r>
      <w:r w:rsidR="00575D8D">
        <w:rPr>
          <w:rFonts w:ascii="Times New Roman" w:hAnsi="Times New Roman" w:cs="Times New Roman"/>
          <w:sz w:val="24"/>
          <w:szCs w:val="24"/>
          <w:lang w:val="en-US"/>
        </w:rPr>
        <w:t xml:space="preserve"> whether </w:t>
      </w:r>
      <w:r w:rsidR="006C6DA0">
        <w:rPr>
          <w:rFonts w:ascii="Times New Roman" w:hAnsi="Times New Roman" w:cs="Times New Roman"/>
          <w:sz w:val="24"/>
          <w:szCs w:val="24"/>
          <w:lang w:val="en-US"/>
        </w:rPr>
        <w:t xml:space="preserve">accuracy of injection placement influences outcome </w:t>
      </w:r>
      <w:r w:rsidR="006E3017">
        <w:rPr>
          <w:rFonts w:ascii="Times New Roman" w:hAnsi="Times New Roman" w:cs="Times New Roman"/>
          <w:sz w:val="24"/>
          <w:szCs w:val="24"/>
          <w:lang w:val="en-US"/>
        </w:rPr>
        <w:t>from</w:t>
      </w:r>
      <w:r w:rsidR="00FE58D5">
        <w:rPr>
          <w:rFonts w:ascii="Times New Roman" w:hAnsi="Times New Roman" w:cs="Times New Roman"/>
          <w:sz w:val="24"/>
          <w:szCs w:val="24"/>
          <w:lang w:val="en-US"/>
        </w:rPr>
        <w:t xml:space="preserve"> </w:t>
      </w:r>
      <w:r w:rsidR="00575D8D">
        <w:rPr>
          <w:rFonts w:ascii="Times New Roman" w:hAnsi="Times New Roman" w:cs="Times New Roman"/>
          <w:sz w:val="24"/>
          <w:szCs w:val="24"/>
          <w:lang w:val="en-US"/>
        </w:rPr>
        <w:t xml:space="preserve">corticosteroid injection </w:t>
      </w:r>
      <w:r>
        <w:rPr>
          <w:rFonts w:ascii="Times New Roman" w:hAnsi="Times New Roman" w:cs="Times New Roman"/>
          <w:sz w:val="24"/>
          <w:szCs w:val="24"/>
          <w:lang w:val="en-US"/>
        </w:rPr>
        <w:t>for</w:t>
      </w:r>
      <w:r w:rsidR="00397F64">
        <w:rPr>
          <w:rFonts w:ascii="Times New Roman" w:hAnsi="Times New Roman" w:cs="Times New Roman"/>
          <w:sz w:val="24"/>
          <w:szCs w:val="24"/>
          <w:lang w:val="en-US"/>
        </w:rPr>
        <w:t xml:space="preserve"> </w:t>
      </w:r>
      <w:r w:rsidR="004E71A4">
        <w:rPr>
          <w:rFonts w:ascii="Times New Roman" w:hAnsi="Times New Roman" w:cs="Times New Roman"/>
          <w:sz w:val="24"/>
          <w:szCs w:val="24"/>
          <w:lang w:val="en-US"/>
        </w:rPr>
        <w:t>SAPS</w:t>
      </w:r>
      <w:r w:rsidR="00575D8D">
        <w:rPr>
          <w:rFonts w:ascii="Times New Roman" w:hAnsi="Times New Roman" w:cs="Times New Roman"/>
          <w:sz w:val="24"/>
          <w:szCs w:val="24"/>
          <w:lang w:val="en-US"/>
        </w:rPr>
        <w:t>.</w:t>
      </w:r>
      <w:r w:rsidR="003F7A7C">
        <w:rPr>
          <w:rFonts w:ascii="Times New Roman" w:hAnsi="Times New Roman" w:cs="Times New Roman"/>
          <w:sz w:val="24"/>
          <w:szCs w:val="24"/>
          <w:lang w:val="en-US"/>
        </w:rPr>
        <w:t xml:space="preserve"> </w:t>
      </w:r>
      <w:r w:rsidR="006C6DA0" w:rsidRPr="006C6DA0">
        <w:rPr>
          <w:rFonts w:ascii="Times New Roman" w:hAnsi="Times New Roman" w:cs="Times New Roman"/>
          <w:sz w:val="24"/>
          <w:szCs w:val="24"/>
          <w:lang w:val="en-US"/>
        </w:rPr>
        <w:t xml:space="preserve">We found that accuracy of corticosteroid injection placement into the subacromial bursa did not appear to influence pain or function after 6 weeks or 6 months among patients with SAPS. </w:t>
      </w:r>
    </w:p>
    <w:p w14:paraId="502DBFC4" w14:textId="3958A839" w:rsidR="008E23CE" w:rsidRDefault="006C6DA0"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findings are surprising in the context of previous systematic reviews, </w:t>
      </w:r>
      <w:r w:rsidR="00F307D4">
        <w:rPr>
          <w:rFonts w:ascii="Times New Roman" w:hAnsi="Times New Roman" w:cs="Times New Roman"/>
          <w:sz w:val="24"/>
          <w:szCs w:val="24"/>
          <w:lang w:val="en-US"/>
        </w:rPr>
        <w:t>which found that US-guided corticosteroid injections for shoulder pain were more effective than landmark-guided injections</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RW.CITE{{doc:61a252a68f08d1fdde4b1049 Sage,W 2013; doc:61a252b68f08ea8d30b18c83 Aly,AR 2015}}</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(Aly et al., 2015; Sage et al., 2013)</w:t>
      </w:r>
      <w:r w:rsidR="003F7A7C">
        <w:rPr>
          <w:rFonts w:ascii="Times New Roman" w:hAnsi="Times New Roman" w:cs="Times New Roman"/>
          <w:sz w:val="24"/>
          <w:szCs w:val="24"/>
          <w:lang w:val="en-US"/>
        </w:rPr>
        <w:fldChar w:fldCharType="end"/>
      </w:r>
      <w:r>
        <w:rPr>
          <w:rFonts w:ascii="Times New Roman" w:hAnsi="Times New Roman" w:cs="Times New Roman"/>
          <w:sz w:val="24"/>
          <w:szCs w:val="24"/>
          <w:lang w:val="en-US"/>
        </w:rPr>
        <w:t>, although few empirical studies were identified for inclusion.</w:t>
      </w:r>
      <w:r w:rsidR="00F307D4">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FE58D5">
        <w:rPr>
          <w:rFonts w:ascii="Times New Roman" w:hAnsi="Times New Roman" w:cs="Times New Roman"/>
          <w:sz w:val="24"/>
          <w:szCs w:val="24"/>
          <w:lang w:val="en-US"/>
        </w:rPr>
        <w:t xml:space="preserve">ne of </w:t>
      </w:r>
      <w:r w:rsidR="00F307D4">
        <w:rPr>
          <w:rFonts w:ascii="Times New Roman" w:hAnsi="Times New Roman" w:cs="Times New Roman"/>
          <w:sz w:val="24"/>
          <w:szCs w:val="24"/>
          <w:lang w:val="en-US"/>
        </w:rPr>
        <w:t xml:space="preserve">these </w:t>
      </w:r>
      <w:r w:rsidR="007D7373">
        <w:rPr>
          <w:rFonts w:ascii="Times New Roman" w:hAnsi="Times New Roman" w:cs="Times New Roman"/>
          <w:sz w:val="24"/>
          <w:szCs w:val="24"/>
          <w:lang w:val="en-US"/>
        </w:rPr>
        <w:t>systematic review</w:t>
      </w:r>
      <w:r w:rsidR="00F307D4">
        <w:rPr>
          <w:rFonts w:ascii="Times New Roman" w:hAnsi="Times New Roman" w:cs="Times New Roman"/>
          <w:sz w:val="24"/>
          <w:szCs w:val="24"/>
          <w:lang w:val="en-US"/>
        </w:rPr>
        <w:t>s</w:t>
      </w:r>
      <w:r w:rsidR="004A5935">
        <w:rPr>
          <w:rFonts w:ascii="Times New Roman" w:hAnsi="Times New Roman" w:cs="Times New Roman"/>
          <w:sz w:val="24"/>
          <w:szCs w:val="24"/>
          <w:lang w:val="en-US"/>
        </w:rPr>
        <w:t xml:space="preserve"> </w:t>
      </w:r>
      <w:r w:rsidR="00F307D4">
        <w:rPr>
          <w:rFonts w:ascii="Times New Roman" w:hAnsi="Times New Roman" w:cs="Times New Roman"/>
          <w:sz w:val="24"/>
          <w:szCs w:val="24"/>
          <w:lang w:val="en-US"/>
        </w:rPr>
        <w:t>included</w:t>
      </w:r>
      <w:r w:rsidR="007D7373">
        <w:rPr>
          <w:rFonts w:ascii="Times New Roman" w:hAnsi="Times New Roman" w:cs="Times New Roman"/>
          <w:sz w:val="24"/>
          <w:szCs w:val="24"/>
          <w:lang w:val="en-US"/>
        </w:rPr>
        <w:t xml:space="preserve"> people with </w:t>
      </w:r>
      <w:r w:rsidR="00F307D4">
        <w:rPr>
          <w:rFonts w:ascii="Times New Roman" w:hAnsi="Times New Roman" w:cs="Times New Roman"/>
          <w:sz w:val="24"/>
          <w:szCs w:val="24"/>
          <w:lang w:val="en-US"/>
        </w:rPr>
        <w:t xml:space="preserve">a heterogeneous range of </w:t>
      </w:r>
      <w:r w:rsidR="007D7373">
        <w:rPr>
          <w:rFonts w:ascii="Times New Roman" w:hAnsi="Times New Roman" w:cs="Times New Roman"/>
          <w:sz w:val="24"/>
          <w:szCs w:val="24"/>
          <w:lang w:val="en-US"/>
        </w:rPr>
        <w:t>shoulder patholog</w:t>
      </w:r>
      <w:r w:rsidR="00F307D4">
        <w:rPr>
          <w:rFonts w:ascii="Times New Roman" w:hAnsi="Times New Roman" w:cs="Times New Roman"/>
          <w:sz w:val="24"/>
          <w:szCs w:val="24"/>
          <w:lang w:val="en-US"/>
        </w:rPr>
        <w:t>ies, rather than focusing on people with SAPS</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RW.CITE{{doc:61a252a68f08d1fdde4b1049 Sage,W 2013}}</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(Sage et al., 2013)</w:t>
      </w:r>
      <w:r w:rsidR="003F7A7C">
        <w:rPr>
          <w:rFonts w:ascii="Times New Roman" w:hAnsi="Times New Roman" w:cs="Times New Roman"/>
          <w:sz w:val="24"/>
          <w:szCs w:val="24"/>
          <w:lang w:val="en-US"/>
        </w:rPr>
        <w:fldChar w:fldCharType="end"/>
      </w:r>
      <w:r w:rsidR="007D7373">
        <w:rPr>
          <w:rFonts w:ascii="Times New Roman" w:hAnsi="Times New Roman" w:cs="Times New Roman"/>
          <w:sz w:val="24"/>
          <w:szCs w:val="24"/>
          <w:lang w:val="en-US"/>
        </w:rPr>
        <w:t>.</w:t>
      </w:r>
      <w:r w:rsidR="00DF02D7" w:rsidRPr="00FE58D5">
        <w:rPr>
          <w:rFonts w:ascii="Times New Roman" w:hAnsi="Times New Roman" w:cs="Times New Roman"/>
          <w:sz w:val="24"/>
          <w:szCs w:val="24"/>
          <w:vertAlign w:val="superscript"/>
          <w:lang w:val="en-US"/>
        </w:rPr>
        <w:t xml:space="preserve"> </w:t>
      </w:r>
      <w:r w:rsidR="00F307D4">
        <w:rPr>
          <w:rFonts w:ascii="Times New Roman" w:hAnsi="Times New Roman" w:cs="Times New Roman"/>
          <w:sz w:val="24"/>
          <w:szCs w:val="24"/>
          <w:lang w:val="en-US"/>
        </w:rPr>
        <w:t xml:space="preserve">A later </w:t>
      </w:r>
      <w:r w:rsidR="006E4ADD">
        <w:rPr>
          <w:rFonts w:ascii="Times New Roman" w:hAnsi="Times New Roman" w:cs="Times New Roman"/>
          <w:sz w:val="24"/>
          <w:szCs w:val="24"/>
          <w:lang w:val="en-US"/>
        </w:rPr>
        <w:t xml:space="preserve">systematic review </w:t>
      </w:r>
      <w:r w:rsidRPr="006C6DA0">
        <w:rPr>
          <w:rFonts w:ascii="Times New Roman" w:hAnsi="Times New Roman" w:cs="Times New Roman"/>
          <w:sz w:val="24"/>
          <w:szCs w:val="24"/>
          <w:lang w:val="en-US"/>
        </w:rPr>
        <w:t>identified only three studies to inform its conclusion</w:t>
      </w:r>
      <w:r w:rsidR="00BB1A00">
        <w:rPr>
          <w:rFonts w:ascii="Times New Roman" w:hAnsi="Times New Roman" w:cs="Times New Roman"/>
          <w:sz w:val="24"/>
          <w:szCs w:val="24"/>
          <w:lang w:val="en-US"/>
        </w:rPr>
        <w:t xml:space="preserve"> </w:t>
      </w:r>
      <w:r w:rsidR="006E4ADD">
        <w:rPr>
          <w:rFonts w:ascii="Times New Roman" w:hAnsi="Times New Roman" w:cs="Times New Roman"/>
          <w:sz w:val="24"/>
          <w:szCs w:val="24"/>
          <w:lang w:val="en-US"/>
        </w:rPr>
        <w:t xml:space="preserve">that </w:t>
      </w:r>
      <w:r w:rsidR="00BB1A00">
        <w:rPr>
          <w:rFonts w:ascii="Times New Roman" w:hAnsi="Times New Roman" w:cs="Times New Roman"/>
          <w:sz w:val="24"/>
          <w:szCs w:val="24"/>
          <w:lang w:val="en-US"/>
        </w:rPr>
        <w:t>US</w:t>
      </w:r>
      <w:r w:rsidR="006E4ADD">
        <w:rPr>
          <w:rFonts w:ascii="Times New Roman" w:hAnsi="Times New Roman" w:cs="Times New Roman"/>
          <w:sz w:val="24"/>
          <w:szCs w:val="24"/>
          <w:lang w:val="en-US"/>
        </w:rPr>
        <w:t xml:space="preserve">-guided </w:t>
      </w:r>
      <w:r w:rsidR="00F307D4">
        <w:rPr>
          <w:rFonts w:ascii="Times New Roman" w:hAnsi="Times New Roman" w:cs="Times New Roman"/>
          <w:sz w:val="24"/>
          <w:szCs w:val="24"/>
          <w:lang w:val="en-US"/>
        </w:rPr>
        <w:t xml:space="preserve">subacromial </w:t>
      </w:r>
      <w:r w:rsidR="00BB1A00">
        <w:rPr>
          <w:rFonts w:ascii="Times New Roman" w:hAnsi="Times New Roman" w:cs="Times New Roman"/>
          <w:sz w:val="24"/>
          <w:szCs w:val="24"/>
          <w:lang w:val="en-US"/>
        </w:rPr>
        <w:t xml:space="preserve">corticosteroid </w:t>
      </w:r>
      <w:r w:rsidR="006E4ADD">
        <w:rPr>
          <w:rFonts w:ascii="Times New Roman" w:hAnsi="Times New Roman" w:cs="Times New Roman"/>
          <w:sz w:val="24"/>
          <w:szCs w:val="24"/>
          <w:lang w:val="en-US"/>
        </w:rPr>
        <w:t xml:space="preserve">injection </w:t>
      </w:r>
      <w:r w:rsidR="00F307D4">
        <w:rPr>
          <w:rFonts w:ascii="Times New Roman" w:hAnsi="Times New Roman" w:cs="Times New Roman"/>
          <w:sz w:val="24"/>
          <w:szCs w:val="24"/>
          <w:lang w:val="en-US"/>
        </w:rPr>
        <w:t>for SAPS</w:t>
      </w:r>
      <w:r w:rsidR="004A5935">
        <w:rPr>
          <w:rFonts w:ascii="Times New Roman" w:hAnsi="Times New Roman" w:cs="Times New Roman"/>
          <w:sz w:val="24"/>
          <w:szCs w:val="24"/>
          <w:lang w:val="en-US"/>
        </w:rPr>
        <w:t xml:space="preserve"> </w:t>
      </w:r>
      <w:r w:rsidR="00F307D4">
        <w:rPr>
          <w:rFonts w:ascii="Times New Roman" w:hAnsi="Times New Roman" w:cs="Times New Roman"/>
          <w:sz w:val="24"/>
          <w:szCs w:val="24"/>
          <w:lang w:val="en-US"/>
        </w:rPr>
        <w:t>led to</w:t>
      </w:r>
      <w:r w:rsidR="006E4ADD">
        <w:rPr>
          <w:rFonts w:ascii="Times New Roman" w:hAnsi="Times New Roman" w:cs="Times New Roman"/>
          <w:sz w:val="24"/>
          <w:szCs w:val="24"/>
          <w:lang w:val="en-US"/>
        </w:rPr>
        <w:t xml:space="preserve"> greater reduction in pain and impr</w:t>
      </w:r>
      <w:r w:rsidR="00616946">
        <w:rPr>
          <w:rFonts w:ascii="Times New Roman" w:hAnsi="Times New Roman" w:cs="Times New Roman"/>
          <w:sz w:val="24"/>
          <w:szCs w:val="24"/>
          <w:lang w:val="en-US"/>
        </w:rPr>
        <w:t>ovement in function at 6 weeks</w:t>
      </w:r>
      <w:r w:rsidR="00F307D4">
        <w:rPr>
          <w:rFonts w:ascii="Times New Roman" w:hAnsi="Times New Roman" w:cs="Times New Roman"/>
          <w:sz w:val="24"/>
          <w:szCs w:val="24"/>
          <w:lang w:val="en-US"/>
        </w:rPr>
        <w:t xml:space="preserve"> than landmark-guided injection</w:t>
      </w:r>
      <w:r w:rsidR="00616946">
        <w:rPr>
          <w:rFonts w:ascii="Times New Roman" w:hAnsi="Times New Roman" w:cs="Times New Roman"/>
          <w:sz w:val="24"/>
          <w:szCs w:val="24"/>
          <w:lang w:val="en-US"/>
        </w:rPr>
        <w:t xml:space="preserve">, </w:t>
      </w:r>
      <w:r w:rsidRPr="006C6DA0">
        <w:rPr>
          <w:rFonts w:ascii="Times New Roman" w:hAnsi="Times New Roman" w:cs="Times New Roman"/>
          <w:sz w:val="24"/>
          <w:szCs w:val="24"/>
          <w:lang w:val="en-US"/>
        </w:rPr>
        <w:t xml:space="preserve">whereas its finding that accuracy of injection placement did not differ between the US and landmark-guided approaches was based on a single study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RW.CITE{{doc:61a252b68f08ea8d30b18c83 Aly,AR 2015}}</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(Aly et al., 2015)</w:t>
      </w:r>
      <w:r w:rsidR="003F7A7C">
        <w:rPr>
          <w:rFonts w:ascii="Times New Roman" w:hAnsi="Times New Roman" w:cs="Times New Roman"/>
          <w:sz w:val="24"/>
          <w:szCs w:val="24"/>
          <w:lang w:val="en-US"/>
        </w:rPr>
        <w:fldChar w:fldCharType="end"/>
      </w:r>
      <w:r w:rsidR="0061694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7020BF">
        <w:rPr>
          <w:rFonts w:ascii="Times New Roman" w:hAnsi="Times New Roman" w:cs="Times New Roman"/>
          <w:sz w:val="24"/>
          <w:szCs w:val="24"/>
          <w:lang w:val="en-US"/>
        </w:rPr>
        <w:t xml:space="preserve"> trials included in these reviews were characteri</w:t>
      </w:r>
      <w:r>
        <w:rPr>
          <w:rFonts w:ascii="Times New Roman" w:hAnsi="Times New Roman" w:cs="Times New Roman"/>
          <w:sz w:val="24"/>
          <w:szCs w:val="24"/>
          <w:lang w:val="en-US"/>
        </w:rPr>
        <w:t>s</w:t>
      </w:r>
      <w:r w:rsidR="007020BF">
        <w:rPr>
          <w:rFonts w:ascii="Times New Roman" w:hAnsi="Times New Roman" w:cs="Times New Roman"/>
          <w:sz w:val="24"/>
          <w:szCs w:val="24"/>
          <w:lang w:val="en-US"/>
        </w:rPr>
        <w:t>ed by small sample sizes, short-term follow-up and modest between-group differences in outcome</w:t>
      </w:r>
      <w:r w:rsidR="006E3017">
        <w:rPr>
          <w:rFonts w:ascii="Times New Roman" w:hAnsi="Times New Roman" w:cs="Times New Roman"/>
          <w:sz w:val="24"/>
          <w:szCs w:val="24"/>
          <w:lang w:val="en-US"/>
        </w:rPr>
        <w:t>s</w:t>
      </w:r>
      <w:r w:rsidR="007020BF">
        <w:rPr>
          <w:rFonts w:ascii="Times New Roman" w:hAnsi="Times New Roman" w:cs="Times New Roman"/>
          <w:sz w:val="24"/>
          <w:szCs w:val="24"/>
          <w:lang w:val="en-US"/>
        </w:rPr>
        <w:t xml:space="preserve">. </w:t>
      </w:r>
      <w:r w:rsidR="00F307D4">
        <w:rPr>
          <w:rFonts w:ascii="Times New Roman" w:hAnsi="Times New Roman" w:cs="Times New Roman"/>
          <w:sz w:val="24"/>
          <w:szCs w:val="24"/>
          <w:lang w:val="en-US"/>
        </w:rPr>
        <w:t>Furthermore, a</w:t>
      </w:r>
      <w:r w:rsidR="00DF02D7">
        <w:rPr>
          <w:rFonts w:ascii="Times New Roman" w:hAnsi="Times New Roman" w:cs="Times New Roman"/>
          <w:sz w:val="24"/>
          <w:szCs w:val="24"/>
          <w:lang w:val="en-US"/>
        </w:rPr>
        <w:t xml:space="preserve"> double-blind randomi</w:t>
      </w:r>
      <w:r w:rsidR="00BB1A00">
        <w:rPr>
          <w:rFonts w:ascii="Times New Roman" w:hAnsi="Times New Roman" w:cs="Times New Roman"/>
          <w:sz w:val="24"/>
          <w:szCs w:val="24"/>
          <w:lang w:val="en-US"/>
        </w:rPr>
        <w:t>s</w:t>
      </w:r>
      <w:r w:rsidR="00DF02D7">
        <w:rPr>
          <w:rFonts w:ascii="Times New Roman" w:hAnsi="Times New Roman" w:cs="Times New Roman"/>
          <w:sz w:val="24"/>
          <w:szCs w:val="24"/>
          <w:lang w:val="en-US"/>
        </w:rPr>
        <w:t xml:space="preserve">ed trial </w:t>
      </w:r>
      <w:r w:rsidR="007020BF">
        <w:rPr>
          <w:rFonts w:ascii="Times New Roman" w:hAnsi="Times New Roman" w:cs="Times New Roman"/>
          <w:sz w:val="24"/>
          <w:szCs w:val="24"/>
          <w:lang w:val="en-US"/>
        </w:rPr>
        <w:t>did not find</w:t>
      </w:r>
      <w:r w:rsidR="00DF02D7">
        <w:rPr>
          <w:rFonts w:ascii="Times New Roman" w:hAnsi="Times New Roman" w:cs="Times New Roman"/>
          <w:sz w:val="24"/>
          <w:szCs w:val="24"/>
          <w:lang w:val="en-US"/>
        </w:rPr>
        <w:t xml:space="preserve"> difference</w:t>
      </w:r>
      <w:r w:rsidR="007020BF">
        <w:rPr>
          <w:rFonts w:ascii="Times New Roman" w:hAnsi="Times New Roman" w:cs="Times New Roman"/>
          <w:sz w:val="24"/>
          <w:szCs w:val="24"/>
          <w:lang w:val="en-US"/>
        </w:rPr>
        <w:t>s</w:t>
      </w:r>
      <w:r w:rsidR="00DF02D7">
        <w:rPr>
          <w:rFonts w:ascii="Times New Roman" w:hAnsi="Times New Roman" w:cs="Times New Roman"/>
          <w:sz w:val="24"/>
          <w:szCs w:val="24"/>
          <w:lang w:val="en-US"/>
        </w:rPr>
        <w:t xml:space="preserve"> in shoulder pain and function between gluteal corticosteroid injection and </w:t>
      </w:r>
      <w:r w:rsidR="00BB1A00">
        <w:rPr>
          <w:rFonts w:ascii="Times New Roman" w:hAnsi="Times New Roman" w:cs="Times New Roman"/>
          <w:sz w:val="24"/>
          <w:szCs w:val="24"/>
          <w:lang w:val="en-US"/>
        </w:rPr>
        <w:t>US</w:t>
      </w:r>
      <w:r w:rsidR="00DF02D7">
        <w:rPr>
          <w:rFonts w:ascii="Times New Roman" w:hAnsi="Times New Roman" w:cs="Times New Roman"/>
          <w:sz w:val="24"/>
          <w:szCs w:val="24"/>
          <w:lang w:val="en-US"/>
        </w:rPr>
        <w:t xml:space="preserve">-guided subacromial injection in patients with rotator cuff disease, suggesting that accurate placement in the subacromial bursa may </w:t>
      </w:r>
      <w:r w:rsidR="007020BF">
        <w:rPr>
          <w:rFonts w:ascii="Times New Roman" w:hAnsi="Times New Roman" w:cs="Times New Roman"/>
          <w:sz w:val="24"/>
          <w:szCs w:val="24"/>
          <w:lang w:val="en-US"/>
        </w:rPr>
        <w:t xml:space="preserve">not </w:t>
      </w:r>
      <w:r w:rsidR="00DF02D7">
        <w:rPr>
          <w:rFonts w:ascii="Times New Roman" w:hAnsi="Times New Roman" w:cs="Times New Roman"/>
          <w:sz w:val="24"/>
          <w:szCs w:val="24"/>
          <w:lang w:val="en-US"/>
        </w:rPr>
        <w:t xml:space="preserve">be </w:t>
      </w:r>
      <w:r w:rsidR="007020BF">
        <w:rPr>
          <w:rFonts w:ascii="Times New Roman" w:hAnsi="Times New Roman" w:cs="Times New Roman"/>
          <w:sz w:val="24"/>
          <w:szCs w:val="24"/>
          <w:lang w:val="en-US"/>
        </w:rPr>
        <w:t>required for treatment response</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RW.CITE{{doc:61a2563b8f087c4b4959dcff Ekeberg,OM 2009}}</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(Ekeberg et al., 2009)</w:t>
      </w:r>
      <w:r w:rsidR="003F7A7C">
        <w:rPr>
          <w:rFonts w:ascii="Times New Roman" w:hAnsi="Times New Roman" w:cs="Times New Roman"/>
          <w:sz w:val="24"/>
          <w:szCs w:val="24"/>
          <w:lang w:val="en-US"/>
        </w:rPr>
        <w:fldChar w:fldCharType="end"/>
      </w:r>
      <w:r w:rsidR="00DF02D7">
        <w:rPr>
          <w:rFonts w:ascii="Times New Roman" w:hAnsi="Times New Roman" w:cs="Times New Roman"/>
          <w:sz w:val="24"/>
          <w:szCs w:val="24"/>
          <w:lang w:val="en-US"/>
        </w:rPr>
        <w:t xml:space="preserve">. </w:t>
      </w:r>
      <w:r>
        <w:rPr>
          <w:rFonts w:ascii="Times New Roman" w:hAnsi="Times New Roman" w:cs="Times New Roman"/>
          <w:sz w:val="24"/>
          <w:szCs w:val="24"/>
          <w:lang w:val="en-US"/>
        </w:rPr>
        <w:t>Subsequently, t</w:t>
      </w:r>
      <w:r w:rsidR="00CA3C63">
        <w:rPr>
          <w:rFonts w:ascii="Times New Roman" w:hAnsi="Times New Roman" w:cs="Times New Roman"/>
          <w:sz w:val="24"/>
          <w:szCs w:val="24"/>
          <w:lang w:val="en-US"/>
        </w:rPr>
        <w:t xml:space="preserve">he SUPPORT trial found that </w:t>
      </w:r>
      <w:r w:rsidR="00BB1A00">
        <w:rPr>
          <w:rFonts w:ascii="Times New Roman" w:hAnsi="Times New Roman" w:cs="Times New Roman"/>
          <w:sz w:val="24"/>
          <w:szCs w:val="24"/>
          <w:lang w:val="en-US"/>
        </w:rPr>
        <w:t>US</w:t>
      </w:r>
      <w:r w:rsidR="00CA3C63">
        <w:rPr>
          <w:rFonts w:ascii="Times New Roman" w:hAnsi="Times New Roman" w:cs="Times New Roman"/>
          <w:sz w:val="24"/>
          <w:szCs w:val="24"/>
          <w:lang w:val="en-US"/>
        </w:rPr>
        <w:t>-guided subacromial corticosteroid injection provide</w:t>
      </w:r>
      <w:r w:rsidR="009C2FBD">
        <w:rPr>
          <w:rFonts w:ascii="Times New Roman" w:hAnsi="Times New Roman" w:cs="Times New Roman"/>
          <w:sz w:val="24"/>
          <w:szCs w:val="24"/>
          <w:lang w:val="en-US"/>
        </w:rPr>
        <w:t>d</w:t>
      </w:r>
      <w:r w:rsidR="00CA3C63">
        <w:rPr>
          <w:rFonts w:ascii="Times New Roman" w:hAnsi="Times New Roman" w:cs="Times New Roman"/>
          <w:sz w:val="24"/>
          <w:szCs w:val="24"/>
          <w:lang w:val="en-US"/>
        </w:rPr>
        <w:t xml:space="preserve"> no additional clinical benefit over unguided injection</w:t>
      </w:r>
      <w:r w:rsidR="00F307D4">
        <w:rPr>
          <w:rFonts w:ascii="Times New Roman" w:hAnsi="Times New Roman" w:cs="Times New Roman"/>
          <w:sz w:val="24"/>
          <w:szCs w:val="24"/>
          <w:lang w:val="en-US"/>
        </w:rPr>
        <w:t>, despite injections being undertaken by trained clinicians who demonstrated competent performance of US-guided injections</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RW.CITE{{doc:61a252c88f0858d53d74e0d7 Roddy,E 2021}}</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(Roddy et al., 2021)</w:t>
      </w:r>
      <w:r w:rsidR="003F7A7C">
        <w:rPr>
          <w:rFonts w:ascii="Times New Roman" w:hAnsi="Times New Roman" w:cs="Times New Roman"/>
          <w:sz w:val="24"/>
          <w:szCs w:val="24"/>
          <w:lang w:val="en-US"/>
        </w:rPr>
        <w:fldChar w:fldCharType="end"/>
      </w:r>
      <w:r w:rsidR="00CA3C63">
        <w:rPr>
          <w:rFonts w:ascii="Times New Roman" w:hAnsi="Times New Roman" w:cs="Times New Roman"/>
          <w:sz w:val="24"/>
          <w:szCs w:val="24"/>
          <w:lang w:val="en-US"/>
        </w:rPr>
        <w:t>.</w:t>
      </w:r>
    </w:p>
    <w:p w14:paraId="705ECDB8" w14:textId="3A5CC0E8" w:rsidR="00FE58D5" w:rsidRDefault="008E23CE"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Participants in Group 2 (‘probably in the subacromial bursa’) rated their global change at 6 months as </w:t>
      </w:r>
      <w:r w:rsidR="00EE5CB4">
        <w:rPr>
          <w:rFonts w:ascii="Times New Roman" w:hAnsi="Times New Roman" w:cs="Times New Roman"/>
          <w:sz w:val="24"/>
          <w:szCs w:val="24"/>
          <w:lang w:val="en-US"/>
        </w:rPr>
        <w:t xml:space="preserve">lower </w:t>
      </w:r>
      <w:r>
        <w:rPr>
          <w:rFonts w:ascii="Times New Roman" w:hAnsi="Times New Roman" w:cs="Times New Roman"/>
          <w:sz w:val="24"/>
          <w:szCs w:val="24"/>
          <w:lang w:val="en-US"/>
        </w:rPr>
        <w:t>than those</w:t>
      </w:r>
      <w:r w:rsidR="00FE58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Group 1 (‘definitely/probably not in the subacromial bursa’) and their SPADI scores were </w:t>
      </w:r>
      <w:r w:rsidR="00B517BB">
        <w:rPr>
          <w:rFonts w:ascii="Times New Roman" w:hAnsi="Times New Roman" w:cs="Times New Roman"/>
          <w:sz w:val="24"/>
          <w:szCs w:val="24"/>
          <w:lang w:val="en-US"/>
        </w:rPr>
        <w:t xml:space="preserve">numerically </w:t>
      </w:r>
      <w:r>
        <w:rPr>
          <w:rFonts w:ascii="Times New Roman" w:hAnsi="Times New Roman" w:cs="Times New Roman"/>
          <w:sz w:val="24"/>
          <w:szCs w:val="24"/>
          <w:lang w:val="en-US"/>
        </w:rPr>
        <w:t>higher</w:t>
      </w:r>
      <w:r w:rsidR="0071296C">
        <w:rPr>
          <w:rFonts w:ascii="Times New Roman" w:hAnsi="Times New Roman" w:cs="Times New Roman"/>
          <w:sz w:val="24"/>
          <w:szCs w:val="24"/>
          <w:lang w:val="en-US"/>
        </w:rPr>
        <w:t xml:space="preserve"> at 6 weeks and 6 months</w:t>
      </w:r>
      <w:r>
        <w:rPr>
          <w:rFonts w:ascii="Times New Roman" w:hAnsi="Times New Roman" w:cs="Times New Roman"/>
          <w:sz w:val="24"/>
          <w:szCs w:val="24"/>
          <w:lang w:val="en-US"/>
        </w:rPr>
        <w:t>, suggesting worse shoulder pain and function, although there were no statistically significant differences in SPADI scores. This finding is difficult to explain. C</w:t>
      </w:r>
      <w:r w:rsidR="00B517BB">
        <w:rPr>
          <w:rFonts w:ascii="Times New Roman" w:hAnsi="Times New Roman" w:cs="Times New Roman"/>
          <w:sz w:val="24"/>
          <w:szCs w:val="24"/>
          <w:lang w:val="en-US"/>
        </w:rPr>
        <w:t xml:space="preserve">orticosteroid injections have a rapid analgesic effect, yet the effect on global assessment of overall change in Group 2 at 6 weeks was smaller </w:t>
      </w:r>
      <w:r w:rsidR="0071296C">
        <w:rPr>
          <w:rFonts w:ascii="Times New Roman" w:hAnsi="Times New Roman" w:cs="Times New Roman"/>
          <w:sz w:val="24"/>
          <w:szCs w:val="24"/>
          <w:lang w:val="en-US"/>
        </w:rPr>
        <w:t xml:space="preserve">than at 6 months </w:t>
      </w:r>
      <w:r w:rsidR="00B517BB">
        <w:rPr>
          <w:rFonts w:ascii="Times New Roman" w:hAnsi="Times New Roman" w:cs="Times New Roman"/>
          <w:sz w:val="24"/>
          <w:szCs w:val="24"/>
          <w:lang w:val="en-US"/>
        </w:rPr>
        <w:t xml:space="preserve">and </w:t>
      </w:r>
      <w:r w:rsidR="006D58EE">
        <w:rPr>
          <w:rFonts w:ascii="Times New Roman" w:hAnsi="Times New Roman" w:cs="Times New Roman"/>
          <w:sz w:val="24"/>
          <w:szCs w:val="24"/>
          <w:lang w:val="en-US"/>
        </w:rPr>
        <w:t xml:space="preserve">was </w:t>
      </w:r>
      <w:r w:rsidR="00B517BB">
        <w:rPr>
          <w:rFonts w:ascii="Times New Roman" w:hAnsi="Times New Roman" w:cs="Times New Roman"/>
          <w:sz w:val="24"/>
          <w:szCs w:val="24"/>
          <w:lang w:val="en-US"/>
        </w:rPr>
        <w:t xml:space="preserve">not statistically significant. Furthermore, if accuracy of injection placement is associated with response, a greater effect would be expected in Group 3 (‘definitely in the subacromial bursa’), whereas </w:t>
      </w:r>
      <w:r w:rsidR="006C6DA0">
        <w:rPr>
          <w:rFonts w:ascii="Times New Roman" w:hAnsi="Times New Roman" w:cs="Times New Roman"/>
          <w:sz w:val="24"/>
          <w:szCs w:val="24"/>
          <w:lang w:val="en-US"/>
        </w:rPr>
        <w:t>we observed</w:t>
      </w:r>
      <w:r w:rsidR="00B517BB">
        <w:rPr>
          <w:rFonts w:ascii="Times New Roman" w:hAnsi="Times New Roman" w:cs="Times New Roman"/>
          <w:sz w:val="24"/>
          <w:szCs w:val="24"/>
          <w:lang w:val="en-US"/>
        </w:rPr>
        <w:t xml:space="preserve"> no </w:t>
      </w:r>
      <w:r w:rsidR="006C6DA0">
        <w:rPr>
          <w:rFonts w:ascii="Times New Roman" w:hAnsi="Times New Roman" w:cs="Times New Roman"/>
          <w:sz w:val="24"/>
          <w:szCs w:val="24"/>
          <w:lang w:val="en-US"/>
        </w:rPr>
        <w:t xml:space="preserve">significant </w:t>
      </w:r>
      <w:r w:rsidR="00B517BB">
        <w:rPr>
          <w:rFonts w:ascii="Times New Roman" w:hAnsi="Times New Roman" w:cs="Times New Roman"/>
          <w:sz w:val="24"/>
          <w:szCs w:val="24"/>
          <w:lang w:val="en-US"/>
        </w:rPr>
        <w:t xml:space="preserve">differences in outcomes between Group 3 and Group 1. </w:t>
      </w:r>
      <w:r w:rsidR="004B79FE">
        <w:rPr>
          <w:rFonts w:ascii="Times New Roman" w:hAnsi="Times New Roman" w:cs="Times New Roman"/>
          <w:sz w:val="24"/>
          <w:szCs w:val="24"/>
          <w:lang w:val="en-US"/>
        </w:rPr>
        <w:t>However, t</w:t>
      </w:r>
      <w:r w:rsidR="0071296C">
        <w:rPr>
          <w:rFonts w:ascii="Times New Roman" w:hAnsi="Times New Roman" w:cs="Times New Roman"/>
          <w:sz w:val="24"/>
          <w:szCs w:val="24"/>
          <w:lang w:val="en-US"/>
        </w:rPr>
        <w:t xml:space="preserve">here were some </w:t>
      </w:r>
      <w:r w:rsidR="00B517BB">
        <w:rPr>
          <w:rFonts w:ascii="Times New Roman" w:hAnsi="Times New Roman" w:cs="Times New Roman"/>
          <w:sz w:val="24"/>
          <w:szCs w:val="24"/>
          <w:lang w:val="en-US"/>
        </w:rPr>
        <w:t xml:space="preserve">differences </w:t>
      </w:r>
      <w:r w:rsidR="0071296C">
        <w:rPr>
          <w:rFonts w:ascii="Times New Roman" w:hAnsi="Times New Roman" w:cs="Times New Roman"/>
          <w:sz w:val="24"/>
          <w:szCs w:val="24"/>
          <w:lang w:val="en-US"/>
        </w:rPr>
        <w:t>in baseline characteristics</w:t>
      </w:r>
      <w:r w:rsidR="004B79FE">
        <w:rPr>
          <w:rFonts w:ascii="Times New Roman" w:hAnsi="Times New Roman" w:cs="Times New Roman"/>
          <w:sz w:val="24"/>
          <w:szCs w:val="24"/>
          <w:lang w:val="en-US"/>
        </w:rPr>
        <w:t xml:space="preserve"> </w:t>
      </w:r>
      <w:r w:rsidR="00B517BB">
        <w:rPr>
          <w:rFonts w:ascii="Times New Roman" w:hAnsi="Times New Roman" w:cs="Times New Roman"/>
          <w:sz w:val="24"/>
          <w:szCs w:val="24"/>
          <w:lang w:val="en-US"/>
        </w:rPr>
        <w:t xml:space="preserve">between the </w:t>
      </w:r>
      <w:r w:rsidR="009A5181">
        <w:rPr>
          <w:rFonts w:ascii="Times New Roman" w:hAnsi="Times New Roman" w:cs="Times New Roman"/>
          <w:sz w:val="24"/>
          <w:szCs w:val="24"/>
          <w:lang w:val="en-US"/>
        </w:rPr>
        <w:t>placement accuracy</w:t>
      </w:r>
      <w:r w:rsidR="00B517BB">
        <w:rPr>
          <w:rFonts w:ascii="Times New Roman" w:hAnsi="Times New Roman" w:cs="Times New Roman"/>
          <w:sz w:val="24"/>
          <w:szCs w:val="24"/>
          <w:lang w:val="en-US"/>
        </w:rPr>
        <w:t xml:space="preserve"> groups. Participants in Group 2 were </w:t>
      </w:r>
      <w:r w:rsidR="004B79FE">
        <w:rPr>
          <w:rFonts w:ascii="Times New Roman" w:hAnsi="Times New Roman" w:cs="Times New Roman"/>
          <w:sz w:val="24"/>
          <w:szCs w:val="24"/>
          <w:lang w:val="en-US"/>
        </w:rPr>
        <w:t xml:space="preserve">more </w:t>
      </w:r>
      <w:r w:rsidR="00B517BB">
        <w:rPr>
          <w:rFonts w:ascii="Times New Roman" w:hAnsi="Times New Roman" w:cs="Times New Roman"/>
          <w:sz w:val="24"/>
          <w:szCs w:val="24"/>
          <w:lang w:val="en-US"/>
        </w:rPr>
        <w:t>likely to smoke, live alo</w:t>
      </w:r>
      <w:r w:rsidR="006C6DA0">
        <w:rPr>
          <w:rFonts w:ascii="Times New Roman" w:hAnsi="Times New Roman" w:cs="Times New Roman"/>
          <w:sz w:val="24"/>
          <w:szCs w:val="24"/>
          <w:lang w:val="en-US"/>
        </w:rPr>
        <w:t xml:space="preserve">ne, be obese/morbidly obese, </w:t>
      </w:r>
      <w:r w:rsidR="00B517BB">
        <w:rPr>
          <w:rFonts w:ascii="Times New Roman" w:hAnsi="Times New Roman" w:cs="Times New Roman"/>
          <w:sz w:val="24"/>
          <w:szCs w:val="24"/>
          <w:lang w:val="en-US"/>
        </w:rPr>
        <w:t xml:space="preserve">have widespread pain, and had </w:t>
      </w:r>
      <w:r w:rsidR="004B79FE">
        <w:rPr>
          <w:rFonts w:ascii="Times New Roman" w:hAnsi="Times New Roman" w:cs="Times New Roman"/>
          <w:sz w:val="24"/>
          <w:szCs w:val="24"/>
          <w:lang w:val="en-US"/>
        </w:rPr>
        <w:t xml:space="preserve">slightly </w:t>
      </w:r>
      <w:r w:rsidR="00B517BB">
        <w:rPr>
          <w:rFonts w:ascii="Times New Roman" w:hAnsi="Times New Roman" w:cs="Times New Roman"/>
          <w:sz w:val="24"/>
          <w:szCs w:val="24"/>
          <w:lang w:val="en-US"/>
        </w:rPr>
        <w:t>higher SPADI scores at baseline. These differences could explain poorer response to corticosteroid injection</w:t>
      </w:r>
      <w:r w:rsidR="0071296C">
        <w:rPr>
          <w:rFonts w:ascii="Times New Roman" w:hAnsi="Times New Roman" w:cs="Times New Roman"/>
          <w:sz w:val="24"/>
          <w:szCs w:val="24"/>
          <w:lang w:val="en-US"/>
        </w:rPr>
        <w:t xml:space="preserve"> in Group 2</w:t>
      </w:r>
      <w:r w:rsidR="00B517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08AE4B37" w14:textId="2822BD4E" w:rsidR="00893D82" w:rsidRDefault="00BB1A00"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Few previous </w:t>
      </w:r>
      <w:r w:rsidR="00A62FA8">
        <w:rPr>
          <w:rFonts w:ascii="Times New Roman" w:hAnsi="Times New Roman" w:cs="Times New Roman"/>
          <w:sz w:val="24"/>
          <w:szCs w:val="24"/>
          <w:lang w:val="en-US"/>
        </w:rPr>
        <w:t xml:space="preserve">studies </w:t>
      </w:r>
      <w:r w:rsidR="007020BF">
        <w:rPr>
          <w:rFonts w:ascii="Times New Roman" w:hAnsi="Times New Roman" w:cs="Times New Roman"/>
          <w:sz w:val="24"/>
          <w:szCs w:val="24"/>
          <w:lang w:val="en-US"/>
        </w:rPr>
        <w:t xml:space="preserve">have </w:t>
      </w:r>
      <w:r w:rsidR="00A62FA8">
        <w:rPr>
          <w:rFonts w:ascii="Times New Roman" w:hAnsi="Times New Roman" w:cs="Times New Roman"/>
          <w:sz w:val="24"/>
          <w:szCs w:val="24"/>
          <w:lang w:val="en-US"/>
        </w:rPr>
        <w:t>attempted to investigate the effect of accuracy of injection placement on clinical outcomes</w:t>
      </w:r>
      <w:r>
        <w:rPr>
          <w:rFonts w:ascii="Times New Roman" w:hAnsi="Times New Roman" w:cs="Times New Roman"/>
          <w:sz w:val="24"/>
          <w:szCs w:val="24"/>
          <w:lang w:val="en-US"/>
        </w:rPr>
        <w:t xml:space="preserve"> of</w:t>
      </w:r>
      <w:r w:rsidR="00A62FA8">
        <w:rPr>
          <w:rFonts w:ascii="Times New Roman" w:hAnsi="Times New Roman" w:cs="Times New Roman"/>
          <w:sz w:val="24"/>
          <w:szCs w:val="24"/>
          <w:lang w:val="en-US"/>
        </w:rPr>
        <w:t xml:space="preserve"> patients with shoulder symptoms.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RW.CITE{{doc:61a256798f08d26202108eda Esenyel,CZ 2003}}</w:instrText>
      </w:r>
      <w:r w:rsidR="003F7A7C">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(Esenyel et al., 2003)</w:t>
      </w:r>
      <w:r w:rsidR="003F7A7C">
        <w:rPr>
          <w:rFonts w:ascii="Times New Roman" w:hAnsi="Times New Roman" w:cs="Times New Roman"/>
          <w:sz w:val="24"/>
          <w:szCs w:val="24"/>
          <w:lang w:val="en-US"/>
        </w:rPr>
        <w:fldChar w:fldCharType="end"/>
      </w:r>
      <w:r w:rsidR="003F7A7C">
        <w:rPr>
          <w:rFonts w:ascii="Times New Roman" w:hAnsi="Times New Roman" w:cs="Times New Roman"/>
          <w:sz w:val="24"/>
          <w:szCs w:val="24"/>
          <w:lang w:val="en-US"/>
        </w:rPr>
        <w:t xml:space="preserve"> </w:t>
      </w:r>
      <w:r w:rsidR="007020BF">
        <w:rPr>
          <w:rFonts w:ascii="Times New Roman" w:hAnsi="Times New Roman" w:cs="Times New Roman"/>
          <w:sz w:val="24"/>
          <w:szCs w:val="24"/>
          <w:lang w:val="en-US"/>
        </w:rPr>
        <w:t xml:space="preserve">found that inaccurate placement of an unguided subacromial corticosteroid injection was </w:t>
      </w:r>
      <w:r w:rsidR="00BD79F9">
        <w:rPr>
          <w:rFonts w:ascii="Times New Roman" w:hAnsi="Times New Roman" w:cs="Times New Roman"/>
          <w:sz w:val="24"/>
          <w:szCs w:val="24"/>
          <w:lang w:val="en-US"/>
        </w:rPr>
        <w:t>associated with pain, range of move</w:t>
      </w:r>
      <w:r w:rsidR="008171B9">
        <w:rPr>
          <w:rFonts w:ascii="Times New Roman" w:hAnsi="Times New Roman" w:cs="Times New Roman"/>
          <w:sz w:val="24"/>
          <w:szCs w:val="24"/>
          <w:lang w:val="en-US"/>
        </w:rPr>
        <w:t>ment and Constant scores</w:t>
      </w:r>
      <w:r w:rsidR="00DB3566">
        <w:rPr>
          <w:rFonts w:ascii="Times New Roman" w:hAnsi="Times New Roman" w:cs="Times New Roman"/>
          <w:sz w:val="24"/>
          <w:szCs w:val="24"/>
          <w:lang w:val="en-US"/>
        </w:rPr>
        <w:t xml:space="preserve"> </w:t>
      </w:r>
      <w:r w:rsidR="008171B9">
        <w:rPr>
          <w:rFonts w:ascii="Times New Roman" w:hAnsi="Times New Roman" w:cs="Times New Roman"/>
          <w:sz w:val="24"/>
          <w:szCs w:val="24"/>
          <w:lang w:val="en-US"/>
        </w:rPr>
        <w:t xml:space="preserve">returning </w:t>
      </w:r>
      <w:r w:rsidR="00BD79F9">
        <w:rPr>
          <w:rFonts w:ascii="Times New Roman" w:hAnsi="Times New Roman" w:cs="Times New Roman"/>
          <w:sz w:val="24"/>
          <w:szCs w:val="24"/>
          <w:lang w:val="en-US"/>
        </w:rPr>
        <w:t>to pretreatment values after 2 weeks.</w:t>
      </w:r>
      <w:r w:rsidR="00A36DEC">
        <w:rPr>
          <w:rFonts w:ascii="Times New Roman" w:hAnsi="Times New Roman" w:cs="Times New Roman"/>
          <w:sz w:val="24"/>
          <w:szCs w:val="24"/>
          <w:lang w:val="en-US"/>
        </w:rPr>
        <w:t xml:space="preserve"> </w:t>
      </w:r>
      <w:r w:rsidR="00AB4968">
        <w:rPr>
          <w:rFonts w:ascii="Times New Roman" w:hAnsi="Times New Roman" w:cs="Times New Roman"/>
          <w:sz w:val="24"/>
          <w:szCs w:val="24"/>
          <w:lang w:val="en-US"/>
        </w:rPr>
        <w:t xml:space="preserve">A similar study </w:t>
      </w:r>
      <w:r w:rsidR="00722C35">
        <w:rPr>
          <w:rFonts w:ascii="Times New Roman" w:hAnsi="Times New Roman" w:cs="Times New Roman"/>
          <w:sz w:val="24"/>
          <w:szCs w:val="24"/>
          <w:lang w:val="en-US"/>
        </w:rPr>
        <w:t xml:space="preserve">demonstrated </w:t>
      </w:r>
      <w:r w:rsidR="00EB5CB3">
        <w:rPr>
          <w:rFonts w:ascii="Times New Roman" w:hAnsi="Times New Roman" w:cs="Times New Roman"/>
          <w:sz w:val="24"/>
          <w:szCs w:val="24"/>
          <w:lang w:val="en-US"/>
        </w:rPr>
        <w:t>clinical outcomes</w:t>
      </w:r>
      <w:r w:rsidR="00AB4968">
        <w:rPr>
          <w:rFonts w:ascii="Times New Roman" w:hAnsi="Times New Roman" w:cs="Times New Roman"/>
          <w:sz w:val="24"/>
          <w:szCs w:val="24"/>
          <w:lang w:val="en-US"/>
        </w:rPr>
        <w:t xml:space="preserve"> at 2-week follow-up </w:t>
      </w:r>
      <w:r w:rsidR="007020BF">
        <w:rPr>
          <w:rFonts w:ascii="Times New Roman" w:hAnsi="Times New Roman" w:cs="Times New Roman"/>
          <w:sz w:val="24"/>
          <w:szCs w:val="24"/>
          <w:lang w:val="en-US"/>
        </w:rPr>
        <w:t>to be associated with accuracy of</w:t>
      </w:r>
      <w:r w:rsidR="00EB5CB3">
        <w:rPr>
          <w:rFonts w:ascii="Times New Roman" w:hAnsi="Times New Roman" w:cs="Times New Roman"/>
          <w:sz w:val="24"/>
          <w:szCs w:val="24"/>
          <w:lang w:val="en-US"/>
        </w:rPr>
        <w:t xml:space="preserve"> </w:t>
      </w:r>
      <w:r w:rsidR="003B0BCB">
        <w:rPr>
          <w:rFonts w:ascii="Times New Roman" w:hAnsi="Times New Roman" w:cs="Times New Roman"/>
          <w:sz w:val="24"/>
          <w:szCs w:val="24"/>
          <w:lang w:val="en-US"/>
        </w:rPr>
        <w:t xml:space="preserve">unguided subacromial or glenohumeral </w:t>
      </w:r>
      <w:r w:rsidR="00EB5CB3">
        <w:rPr>
          <w:rFonts w:ascii="Times New Roman" w:hAnsi="Times New Roman" w:cs="Times New Roman"/>
          <w:sz w:val="24"/>
          <w:szCs w:val="24"/>
          <w:lang w:val="en-US"/>
        </w:rPr>
        <w:t>corticosteroid injection</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RW.CITE{{doc:61a256908f08a97cd18b105d Eustace,JA 1997}}</w:instrText>
      </w:r>
      <w:r w:rsidR="003F7A7C">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(Eustace, Brophy, Gibney, Bresnihan, &amp; FitzGerald, 1997)</w:t>
      </w:r>
      <w:r w:rsidR="003F7A7C">
        <w:rPr>
          <w:rFonts w:ascii="Times New Roman" w:hAnsi="Times New Roman" w:cs="Times New Roman"/>
          <w:sz w:val="24"/>
          <w:szCs w:val="24"/>
          <w:lang w:val="en-US"/>
        </w:rPr>
        <w:fldChar w:fldCharType="end"/>
      </w:r>
      <w:r w:rsidR="007020BF">
        <w:rPr>
          <w:rFonts w:ascii="Times New Roman" w:hAnsi="Times New Roman" w:cs="Times New Roman"/>
          <w:sz w:val="24"/>
          <w:szCs w:val="24"/>
          <w:lang w:val="en-US"/>
        </w:rPr>
        <w:t>. However, these studies differed from ours</w:t>
      </w:r>
      <w:r w:rsidR="00722C35">
        <w:rPr>
          <w:rFonts w:ascii="Times New Roman" w:hAnsi="Times New Roman" w:cs="Times New Roman"/>
          <w:sz w:val="24"/>
          <w:szCs w:val="24"/>
          <w:lang w:val="en-US"/>
        </w:rPr>
        <w:t xml:space="preserve"> when</w:t>
      </w:r>
      <w:r w:rsidR="007020BF">
        <w:rPr>
          <w:rFonts w:ascii="Times New Roman" w:hAnsi="Times New Roman" w:cs="Times New Roman"/>
          <w:sz w:val="24"/>
          <w:szCs w:val="24"/>
          <w:lang w:val="en-US"/>
        </w:rPr>
        <w:t xml:space="preserve"> </w:t>
      </w:r>
      <w:r w:rsidR="00722C35">
        <w:rPr>
          <w:rFonts w:ascii="Times New Roman" w:hAnsi="Times New Roman" w:cs="Times New Roman"/>
          <w:sz w:val="24"/>
          <w:szCs w:val="24"/>
          <w:lang w:val="en-US"/>
        </w:rPr>
        <w:t>radiographic contrast rather than ultrasound was used to assess the accuracy of unguided injection placement.</w:t>
      </w:r>
    </w:p>
    <w:p w14:paraId="67B8316D" w14:textId="42B11A2D" w:rsidR="001267D4" w:rsidRDefault="003F1BD4"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Subacromial corticosteroid injections are routinely performed in </w:t>
      </w:r>
      <w:r w:rsidR="00B45BE1">
        <w:rPr>
          <w:rFonts w:ascii="Times New Roman" w:hAnsi="Times New Roman" w:cs="Times New Roman"/>
          <w:sz w:val="24"/>
          <w:szCs w:val="24"/>
          <w:lang w:val="en-US"/>
        </w:rPr>
        <w:t>a musculoskeletal</w:t>
      </w:r>
      <w:r>
        <w:rPr>
          <w:rFonts w:ascii="Times New Roman" w:hAnsi="Times New Roman" w:cs="Times New Roman"/>
          <w:sz w:val="24"/>
          <w:szCs w:val="24"/>
          <w:lang w:val="en-US"/>
        </w:rPr>
        <w:t xml:space="preserve"> outpatient clinic</w:t>
      </w:r>
      <w:r w:rsidR="00644CEA">
        <w:rPr>
          <w:rFonts w:ascii="Times New Roman" w:hAnsi="Times New Roman" w:cs="Times New Roman"/>
          <w:sz w:val="24"/>
          <w:szCs w:val="24"/>
          <w:lang w:val="en-US"/>
        </w:rPr>
        <w:t xml:space="preserve">. Whether </w:t>
      </w:r>
      <w:r w:rsidR="001F607D">
        <w:rPr>
          <w:rFonts w:ascii="Times New Roman" w:hAnsi="Times New Roman" w:cs="Times New Roman"/>
          <w:sz w:val="24"/>
          <w:szCs w:val="24"/>
          <w:lang w:val="en-US"/>
        </w:rPr>
        <w:t>palpation-guided or US-guided</w:t>
      </w:r>
      <w:r w:rsidR="00644CEA">
        <w:rPr>
          <w:rFonts w:ascii="Times New Roman" w:hAnsi="Times New Roman" w:cs="Times New Roman"/>
          <w:sz w:val="24"/>
          <w:szCs w:val="24"/>
          <w:lang w:val="en-US"/>
        </w:rPr>
        <w:t>,</w:t>
      </w:r>
      <w:r w:rsidR="001F607D">
        <w:rPr>
          <w:rFonts w:ascii="Times New Roman" w:hAnsi="Times New Roman" w:cs="Times New Roman"/>
          <w:sz w:val="24"/>
          <w:szCs w:val="24"/>
          <w:lang w:val="en-US"/>
        </w:rPr>
        <w:t xml:space="preserve"> </w:t>
      </w:r>
      <w:r w:rsidR="00644CEA">
        <w:rPr>
          <w:rFonts w:ascii="Times New Roman" w:hAnsi="Times New Roman" w:cs="Times New Roman"/>
          <w:sz w:val="24"/>
          <w:szCs w:val="24"/>
          <w:lang w:val="en-US"/>
        </w:rPr>
        <w:t>both methods</w:t>
      </w:r>
      <w:r w:rsidR="001F607D">
        <w:rPr>
          <w:rFonts w:ascii="Times New Roman" w:hAnsi="Times New Roman" w:cs="Times New Roman"/>
          <w:sz w:val="24"/>
          <w:szCs w:val="24"/>
          <w:lang w:val="en-US"/>
        </w:rPr>
        <w:t xml:space="preserve"> </w:t>
      </w:r>
      <w:r w:rsidR="004D2EB1">
        <w:rPr>
          <w:rFonts w:ascii="Times New Roman" w:hAnsi="Times New Roman" w:cs="Times New Roman"/>
          <w:sz w:val="24"/>
          <w:szCs w:val="24"/>
          <w:lang w:val="en-US"/>
        </w:rPr>
        <w:t>offer</w:t>
      </w:r>
      <w:r w:rsidR="00EE5CB4">
        <w:rPr>
          <w:rFonts w:ascii="Times New Roman" w:hAnsi="Times New Roman" w:cs="Times New Roman"/>
          <w:sz w:val="24"/>
          <w:szCs w:val="24"/>
          <w:lang w:val="en-US"/>
        </w:rPr>
        <w:t xml:space="preserve">, on average, </w:t>
      </w:r>
      <w:r w:rsidR="004D2EB1">
        <w:rPr>
          <w:rFonts w:ascii="Times New Roman" w:hAnsi="Times New Roman" w:cs="Times New Roman"/>
          <w:sz w:val="24"/>
          <w:szCs w:val="24"/>
          <w:lang w:val="en-US"/>
        </w:rPr>
        <w:t xml:space="preserve">immediate analgesic </w:t>
      </w:r>
      <w:r w:rsidR="001F607D">
        <w:rPr>
          <w:rFonts w:ascii="Times New Roman" w:hAnsi="Times New Roman" w:cs="Times New Roman"/>
          <w:sz w:val="24"/>
          <w:szCs w:val="24"/>
          <w:lang w:val="en-US"/>
        </w:rPr>
        <w:t>effect</w:t>
      </w:r>
      <w:r w:rsidR="00644CEA">
        <w:rPr>
          <w:rFonts w:ascii="Times New Roman" w:hAnsi="Times New Roman" w:cs="Times New Roman"/>
          <w:sz w:val="24"/>
          <w:szCs w:val="24"/>
          <w:lang w:val="en-US"/>
        </w:rPr>
        <w:t xml:space="preserve"> and clinical benefits</w:t>
      </w:r>
      <w:r w:rsidR="004D2EB1">
        <w:rPr>
          <w:rFonts w:ascii="Times New Roman" w:hAnsi="Times New Roman" w:cs="Times New Roman"/>
          <w:sz w:val="24"/>
          <w:szCs w:val="24"/>
          <w:lang w:val="en-US"/>
        </w:rPr>
        <w:t>. US-guided injections</w:t>
      </w:r>
      <w:r w:rsidR="00644CEA">
        <w:rPr>
          <w:rFonts w:ascii="Times New Roman" w:hAnsi="Times New Roman" w:cs="Times New Roman"/>
          <w:sz w:val="24"/>
          <w:szCs w:val="24"/>
          <w:lang w:val="en-US"/>
        </w:rPr>
        <w:t xml:space="preserve">, however, additionally </w:t>
      </w:r>
      <w:r w:rsidR="004D2EB1">
        <w:rPr>
          <w:rFonts w:ascii="Times New Roman" w:hAnsi="Times New Roman" w:cs="Times New Roman"/>
          <w:sz w:val="24"/>
          <w:szCs w:val="24"/>
          <w:lang w:val="en-US"/>
        </w:rPr>
        <w:t>require individuals</w:t>
      </w:r>
      <w:r w:rsidR="00BA116E">
        <w:rPr>
          <w:rFonts w:ascii="Times New Roman" w:hAnsi="Times New Roman" w:cs="Times New Roman"/>
          <w:sz w:val="24"/>
          <w:szCs w:val="24"/>
          <w:lang w:val="en-US"/>
        </w:rPr>
        <w:t xml:space="preserve"> with additional US skills</w:t>
      </w:r>
      <w:r w:rsidR="00722C35">
        <w:rPr>
          <w:rFonts w:ascii="Times New Roman" w:hAnsi="Times New Roman" w:cs="Times New Roman"/>
          <w:sz w:val="24"/>
          <w:szCs w:val="24"/>
          <w:lang w:val="en-US"/>
        </w:rPr>
        <w:t>, o</w:t>
      </w:r>
      <w:r w:rsidR="004D2EB1">
        <w:rPr>
          <w:rFonts w:ascii="Times New Roman" w:hAnsi="Times New Roman" w:cs="Times New Roman"/>
          <w:sz w:val="24"/>
          <w:szCs w:val="24"/>
          <w:lang w:val="en-US"/>
        </w:rPr>
        <w:t>ften from a different department</w:t>
      </w:r>
      <w:r w:rsidR="00ED57F7">
        <w:rPr>
          <w:rFonts w:ascii="Times New Roman" w:hAnsi="Times New Roman" w:cs="Times New Roman"/>
          <w:sz w:val="24"/>
          <w:szCs w:val="24"/>
          <w:lang w:val="en-US"/>
        </w:rPr>
        <w:t xml:space="preserve">. </w:t>
      </w:r>
      <w:r w:rsidR="00C05B39">
        <w:rPr>
          <w:rFonts w:ascii="Times New Roman" w:hAnsi="Times New Roman" w:cs="Times New Roman"/>
          <w:sz w:val="24"/>
          <w:szCs w:val="24"/>
          <w:lang w:val="en-US"/>
        </w:rPr>
        <w:t xml:space="preserve">Our </w:t>
      </w:r>
      <w:r w:rsidR="006C6DA0">
        <w:rPr>
          <w:rFonts w:ascii="Times New Roman" w:hAnsi="Times New Roman" w:cs="Times New Roman"/>
          <w:sz w:val="24"/>
          <w:szCs w:val="24"/>
          <w:lang w:val="en-US"/>
        </w:rPr>
        <w:t>finding</w:t>
      </w:r>
      <w:r w:rsidR="00EE5CB4">
        <w:rPr>
          <w:rFonts w:ascii="Times New Roman" w:hAnsi="Times New Roman" w:cs="Times New Roman"/>
          <w:sz w:val="24"/>
          <w:szCs w:val="24"/>
          <w:lang w:val="en-US"/>
        </w:rPr>
        <w:t xml:space="preserve"> </w:t>
      </w:r>
      <w:r w:rsidR="00B45BE1">
        <w:rPr>
          <w:rFonts w:ascii="Times New Roman" w:hAnsi="Times New Roman" w:cs="Times New Roman"/>
          <w:sz w:val="24"/>
          <w:szCs w:val="24"/>
          <w:lang w:val="en-US"/>
        </w:rPr>
        <w:t>that</w:t>
      </w:r>
      <w:r w:rsidR="006C6DA0">
        <w:rPr>
          <w:rFonts w:ascii="Times New Roman" w:hAnsi="Times New Roman" w:cs="Times New Roman"/>
          <w:sz w:val="24"/>
          <w:szCs w:val="24"/>
          <w:lang w:val="en-US"/>
        </w:rPr>
        <w:t xml:space="preserve"> injection accuracy did not influence response suggests that</w:t>
      </w:r>
      <w:r w:rsidR="00B45BE1">
        <w:rPr>
          <w:rFonts w:ascii="Times New Roman" w:hAnsi="Times New Roman" w:cs="Times New Roman"/>
          <w:sz w:val="24"/>
          <w:szCs w:val="24"/>
          <w:lang w:val="en-US"/>
        </w:rPr>
        <w:t xml:space="preserve"> clinician</w:t>
      </w:r>
      <w:r w:rsidR="001A349C">
        <w:rPr>
          <w:rFonts w:ascii="Times New Roman" w:hAnsi="Times New Roman" w:cs="Times New Roman"/>
          <w:sz w:val="24"/>
          <w:szCs w:val="24"/>
          <w:lang w:val="en-US"/>
        </w:rPr>
        <w:t>s</w:t>
      </w:r>
      <w:r w:rsidR="00154885">
        <w:rPr>
          <w:rFonts w:ascii="Times New Roman" w:hAnsi="Times New Roman" w:cs="Times New Roman"/>
          <w:sz w:val="24"/>
          <w:szCs w:val="24"/>
          <w:lang w:val="en-US"/>
        </w:rPr>
        <w:t xml:space="preserve"> can confidently </w:t>
      </w:r>
      <w:r w:rsidR="00D916B8">
        <w:rPr>
          <w:rFonts w:ascii="Times New Roman" w:hAnsi="Times New Roman" w:cs="Times New Roman"/>
          <w:sz w:val="24"/>
          <w:szCs w:val="24"/>
          <w:lang w:val="en-US"/>
        </w:rPr>
        <w:t xml:space="preserve">perform these injections </w:t>
      </w:r>
      <w:r w:rsidR="00644CEA">
        <w:rPr>
          <w:rFonts w:ascii="Times New Roman" w:hAnsi="Times New Roman" w:cs="Times New Roman"/>
          <w:sz w:val="24"/>
          <w:szCs w:val="24"/>
          <w:lang w:val="en-US"/>
        </w:rPr>
        <w:t>under palpation-guidance of anatomical landmarks</w:t>
      </w:r>
      <w:r w:rsidR="00B51221">
        <w:rPr>
          <w:rFonts w:ascii="Times New Roman" w:hAnsi="Times New Roman" w:cs="Times New Roman"/>
          <w:sz w:val="24"/>
          <w:szCs w:val="24"/>
          <w:lang w:val="en-US"/>
        </w:rPr>
        <w:t>,</w:t>
      </w:r>
      <w:r w:rsidR="00644CEA">
        <w:rPr>
          <w:rFonts w:ascii="Times New Roman" w:hAnsi="Times New Roman" w:cs="Times New Roman"/>
          <w:sz w:val="24"/>
          <w:szCs w:val="24"/>
          <w:lang w:val="en-US"/>
        </w:rPr>
        <w:t xml:space="preserve"> </w:t>
      </w:r>
      <w:r w:rsidR="00D916B8">
        <w:rPr>
          <w:rFonts w:ascii="Times New Roman" w:hAnsi="Times New Roman" w:cs="Times New Roman"/>
          <w:sz w:val="24"/>
          <w:szCs w:val="24"/>
          <w:lang w:val="en-US"/>
        </w:rPr>
        <w:t>with</w:t>
      </w:r>
      <w:r w:rsidR="00644CEA">
        <w:rPr>
          <w:rFonts w:ascii="Times New Roman" w:hAnsi="Times New Roman" w:cs="Times New Roman"/>
          <w:sz w:val="24"/>
          <w:szCs w:val="24"/>
          <w:lang w:val="en-US"/>
        </w:rPr>
        <w:t xml:space="preserve"> the</w:t>
      </w:r>
      <w:r w:rsidR="00D916B8">
        <w:rPr>
          <w:rFonts w:ascii="Times New Roman" w:hAnsi="Times New Roman" w:cs="Times New Roman"/>
          <w:sz w:val="24"/>
          <w:szCs w:val="24"/>
          <w:lang w:val="en-US"/>
        </w:rPr>
        <w:t xml:space="preserve"> </w:t>
      </w:r>
      <w:r w:rsidR="00644CEA">
        <w:rPr>
          <w:rFonts w:ascii="Times New Roman" w:hAnsi="Times New Roman" w:cs="Times New Roman"/>
          <w:sz w:val="24"/>
          <w:szCs w:val="24"/>
          <w:lang w:val="en-US"/>
        </w:rPr>
        <w:t xml:space="preserve">expectation of similar clinical outcomes </w:t>
      </w:r>
      <w:r w:rsidR="00ED57F7">
        <w:rPr>
          <w:rFonts w:ascii="Times New Roman" w:hAnsi="Times New Roman" w:cs="Times New Roman"/>
          <w:sz w:val="24"/>
          <w:szCs w:val="24"/>
          <w:lang w:val="en-US"/>
        </w:rPr>
        <w:t>to that of</w:t>
      </w:r>
      <w:r w:rsidR="0011531F">
        <w:rPr>
          <w:rFonts w:ascii="Times New Roman" w:hAnsi="Times New Roman" w:cs="Times New Roman"/>
          <w:sz w:val="24"/>
          <w:szCs w:val="24"/>
          <w:lang w:val="en-US"/>
        </w:rPr>
        <w:t xml:space="preserve"> US</w:t>
      </w:r>
      <w:r w:rsidR="00B51221">
        <w:rPr>
          <w:rFonts w:ascii="Times New Roman" w:hAnsi="Times New Roman" w:cs="Times New Roman"/>
          <w:sz w:val="24"/>
          <w:szCs w:val="24"/>
          <w:lang w:val="en-US"/>
        </w:rPr>
        <w:t>-</w:t>
      </w:r>
      <w:r w:rsidR="0011531F">
        <w:rPr>
          <w:rFonts w:ascii="Times New Roman" w:hAnsi="Times New Roman" w:cs="Times New Roman"/>
          <w:sz w:val="24"/>
          <w:szCs w:val="24"/>
          <w:lang w:val="en-US"/>
        </w:rPr>
        <w:t>guid</w:t>
      </w:r>
      <w:r w:rsidR="00644CEA">
        <w:rPr>
          <w:rFonts w:ascii="Times New Roman" w:hAnsi="Times New Roman" w:cs="Times New Roman"/>
          <w:sz w:val="24"/>
          <w:szCs w:val="24"/>
          <w:lang w:val="en-US"/>
        </w:rPr>
        <w:t>ed injections</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RW.CITE{{doc:61a256a98f08cb099ef91925 Cole,BF 2016}}</w:instrText>
      </w:r>
      <w:r w:rsidR="003F7A7C">
        <w:rPr>
          <w:rFonts w:ascii="Times New Roman" w:hAnsi="Times New Roman" w:cs="Times New Roman"/>
          <w:sz w:val="24"/>
          <w:szCs w:val="24"/>
          <w:lang w:val="en-US"/>
        </w:rPr>
        <w:fldChar w:fldCharType="separate"/>
      </w:r>
      <w:r w:rsidR="00C16E47" w:rsidRPr="00C16E47">
        <w:rPr>
          <w:rFonts w:ascii="Times New Roman" w:hAnsi="Times New Roman" w:cs="Times New Roman"/>
          <w:bCs/>
          <w:sz w:val="24"/>
          <w:szCs w:val="24"/>
          <w:lang w:val="en-US"/>
        </w:rPr>
        <w:t>(Cole, Peters, Hackett, &amp; Murrell, 2016)</w:t>
      </w:r>
      <w:r w:rsidR="003F7A7C">
        <w:rPr>
          <w:rFonts w:ascii="Times New Roman" w:hAnsi="Times New Roman" w:cs="Times New Roman"/>
          <w:sz w:val="24"/>
          <w:szCs w:val="24"/>
          <w:lang w:val="en-US"/>
        </w:rPr>
        <w:fldChar w:fldCharType="end"/>
      </w:r>
      <w:r w:rsidR="00644CEA">
        <w:rPr>
          <w:rFonts w:ascii="Times New Roman" w:hAnsi="Times New Roman" w:cs="Times New Roman"/>
          <w:sz w:val="24"/>
          <w:szCs w:val="24"/>
          <w:lang w:val="en-US"/>
        </w:rPr>
        <w:t>.</w:t>
      </w:r>
      <w:r w:rsidR="00D916B8">
        <w:rPr>
          <w:rFonts w:ascii="Times New Roman" w:hAnsi="Times New Roman" w:cs="Times New Roman"/>
          <w:sz w:val="24"/>
          <w:szCs w:val="24"/>
          <w:lang w:val="en-US"/>
        </w:rPr>
        <w:t xml:space="preserve"> </w:t>
      </w:r>
    </w:p>
    <w:p w14:paraId="6C92CFD5" w14:textId="77777777" w:rsidR="00F2494B" w:rsidRPr="00A112F3" w:rsidRDefault="00F2494B" w:rsidP="00CE5C14">
      <w:pPr>
        <w:spacing w:line="360" w:lineRule="auto"/>
        <w:jc w:val="both"/>
        <w:rPr>
          <w:rFonts w:ascii="Times New Roman" w:hAnsi="Times New Roman" w:cs="Times New Roman"/>
          <w:sz w:val="24"/>
          <w:szCs w:val="24"/>
          <w:lang w:val="en-US"/>
        </w:rPr>
      </w:pPr>
    </w:p>
    <w:p w14:paraId="3E31E3B3" w14:textId="026B6BAB" w:rsidR="001267D4" w:rsidRPr="00A112F3" w:rsidRDefault="00A112F3" w:rsidP="00CE5C14">
      <w:pPr>
        <w:spacing w:line="360" w:lineRule="auto"/>
        <w:jc w:val="both"/>
        <w:rPr>
          <w:rFonts w:ascii="Times New Roman" w:hAnsi="Times New Roman" w:cs="Times New Roman"/>
          <w:i/>
          <w:sz w:val="24"/>
          <w:szCs w:val="24"/>
          <w:lang w:val="en-US"/>
        </w:rPr>
      </w:pPr>
      <w:r w:rsidRPr="00A112F3">
        <w:rPr>
          <w:rFonts w:ascii="Times New Roman" w:hAnsi="Times New Roman" w:cs="Times New Roman"/>
          <w:i/>
          <w:sz w:val="24"/>
          <w:szCs w:val="24"/>
          <w:lang w:val="en-US"/>
        </w:rPr>
        <w:t>Strengths and Limitations</w:t>
      </w:r>
    </w:p>
    <w:p w14:paraId="5ABBF792" w14:textId="47FD340D" w:rsidR="00D61C9A" w:rsidRDefault="009C2FBD" w:rsidP="00CE5C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83A8F">
        <w:rPr>
          <w:rFonts w:ascii="Times New Roman" w:hAnsi="Times New Roman" w:cs="Times New Roman"/>
          <w:sz w:val="24"/>
          <w:szCs w:val="24"/>
          <w:lang w:val="en-US"/>
        </w:rPr>
        <w:t>trength</w:t>
      </w:r>
      <w:r w:rsidR="00EE5CB4">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include </w:t>
      </w:r>
      <w:r w:rsidR="00F83A8F">
        <w:rPr>
          <w:rFonts w:ascii="Times New Roman" w:hAnsi="Times New Roman" w:cs="Times New Roman"/>
          <w:sz w:val="24"/>
          <w:szCs w:val="24"/>
          <w:lang w:val="en-US"/>
        </w:rPr>
        <w:t>the use of data from a factorial randomised trial</w:t>
      </w:r>
      <w:r w:rsidR="003F7A7C">
        <w:rPr>
          <w:rFonts w:ascii="Times New Roman" w:hAnsi="Times New Roman" w:cs="Times New Roman"/>
          <w:sz w:val="24"/>
          <w:szCs w:val="24"/>
          <w:lang w:val="en-US"/>
        </w:rPr>
        <w:t xml:space="preserve"> </w:t>
      </w:r>
      <w:r w:rsidR="003F7A7C">
        <w:rPr>
          <w:rFonts w:ascii="Times New Roman" w:hAnsi="Times New Roman" w:cs="Times New Roman"/>
          <w:sz w:val="24"/>
          <w:szCs w:val="24"/>
          <w:lang w:val="en-US"/>
        </w:rPr>
        <w:fldChar w:fldCharType="begin"/>
      </w:r>
      <w:r w:rsidR="003F7A7C">
        <w:rPr>
          <w:rFonts w:ascii="Times New Roman" w:hAnsi="Times New Roman" w:cs="Times New Roman"/>
          <w:sz w:val="24"/>
          <w:szCs w:val="24"/>
          <w:lang w:val="en-US"/>
        </w:rPr>
        <w:instrText>ADDIN RW.CITE{{doc:61a252c88f0858d53d74e0d7 Roddy,E 2021}}</w:instrText>
      </w:r>
      <w:r w:rsidR="003F7A7C">
        <w:rPr>
          <w:rFonts w:ascii="Times New Roman" w:hAnsi="Times New Roman" w:cs="Times New Roman"/>
          <w:sz w:val="24"/>
          <w:szCs w:val="24"/>
          <w:lang w:val="en-US"/>
        </w:rPr>
        <w:fldChar w:fldCharType="separate"/>
      </w:r>
      <w:r w:rsidR="003F7A7C" w:rsidRPr="003F7A7C">
        <w:rPr>
          <w:rFonts w:ascii="Times New Roman" w:hAnsi="Times New Roman" w:cs="Times New Roman"/>
          <w:bCs/>
          <w:sz w:val="24"/>
          <w:szCs w:val="24"/>
          <w:lang w:val="en-US"/>
        </w:rPr>
        <w:t>(Roddy et al., 2021)</w:t>
      </w:r>
      <w:r w:rsidR="003F7A7C">
        <w:rPr>
          <w:rFonts w:ascii="Times New Roman" w:hAnsi="Times New Roman" w:cs="Times New Roman"/>
          <w:sz w:val="24"/>
          <w:szCs w:val="24"/>
          <w:lang w:val="en-US"/>
        </w:rPr>
        <w:fldChar w:fldCharType="end"/>
      </w:r>
      <w:r w:rsidR="00F83A8F">
        <w:rPr>
          <w:rFonts w:ascii="Times New Roman" w:hAnsi="Times New Roman" w:cs="Times New Roman"/>
          <w:sz w:val="24"/>
          <w:szCs w:val="24"/>
          <w:lang w:val="en-US"/>
        </w:rPr>
        <w:t xml:space="preserve">, </w:t>
      </w:r>
      <w:r w:rsidR="00EE5CB4">
        <w:rPr>
          <w:rFonts w:ascii="Times New Roman" w:hAnsi="Times New Roman" w:cs="Times New Roman"/>
          <w:sz w:val="24"/>
          <w:szCs w:val="24"/>
          <w:lang w:val="en-US"/>
        </w:rPr>
        <w:t>with</w:t>
      </w:r>
      <w:r w:rsidR="00F83A8F">
        <w:rPr>
          <w:rFonts w:ascii="Times New Roman" w:hAnsi="Times New Roman" w:cs="Times New Roman"/>
          <w:sz w:val="24"/>
          <w:szCs w:val="24"/>
          <w:lang w:val="en-US"/>
        </w:rPr>
        <w:t xml:space="preserve"> follow-up data up to 6 months. </w:t>
      </w:r>
      <w:r w:rsidR="006C6DA0">
        <w:rPr>
          <w:rFonts w:ascii="Times New Roman" w:hAnsi="Times New Roman" w:cs="Times New Roman"/>
          <w:sz w:val="24"/>
          <w:szCs w:val="24"/>
          <w:lang w:val="en-US"/>
        </w:rPr>
        <w:t>One</w:t>
      </w:r>
      <w:r w:rsidR="00A72AB5">
        <w:rPr>
          <w:rFonts w:ascii="Times New Roman" w:hAnsi="Times New Roman" w:cs="Times New Roman"/>
          <w:sz w:val="24"/>
          <w:szCs w:val="24"/>
          <w:lang w:val="en-US"/>
        </w:rPr>
        <w:t xml:space="preserve"> l</w:t>
      </w:r>
      <w:r w:rsidR="00EE5CB4">
        <w:rPr>
          <w:rFonts w:ascii="Times New Roman" w:hAnsi="Times New Roman" w:cs="Times New Roman"/>
          <w:sz w:val="24"/>
          <w:szCs w:val="24"/>
          <w:lang w:val="en-US"/>
        </w:rPr>
        <w:t>imitation</w:t>
      </w:r>
      <w:r w:rsidR="006C6DA0">
        <w:rPr>
          <w:rFonts w:ascii="Times New Roman" w:hAnsi="Times New Roman" w:cs="Times New Roman"/>
          <w:sz w:val="24"/>
          <w:szCs w:val="24"/>
          <w:lang w:val="en-US"/>
        </w:rPr>
        <w:t xml:space="preserve"> is that</w:t>
      </w:r>
      <w:r w:rsidR="00EE5CB4">
        <w:rPr>
          <w:rFonts w:ascii="Times New Roman" w:hAnsi="Times New Roman" w:cs="Times New Roman"/>
          <w:sz w:val="24"/>
          <w:szCs w:val="24"/>
          <w:lang w:val="en-US"/>
        </w:rPr>
        <w:t xml:space="preserve"> the</w:t>
      </w:r>
      <w:r w:rsidR="00252D7B">
        <w:rPr>
          <w:rFonts w:ascii="Times New Roman" w:hAnsi="Times New Roman" w:cs="Times New Roman"/>
          <w:sz w:val="24"/>
          <w:szCs w:val="24"/>
          <w:lang w:val="en-US"/>
        </w:rPr>
        <w:t xml:space="preserve"> number of participants with data available for analysis was </w:t>
      </w:r>
      <w:r w:rsidR="00EE5CB4">
        <w:rPr>
          <w:rFonts w:ascii="Times New Roman" w:hAnsi="Times New Roman" w:cs="Times New Roman"/>
          <w:sz w:val="24"/>
          <w:szCs w:val="24"/>
          <w:lang w:val="en-US"/>
        </w:rPr>
        <w:t>dictated</w:t>
      </w:r>
      <w:r w:rsidR="00252D7B">
        <w:rPr>
          <w:rFonts w:ascii="Times New Roman" w:hAnsi="Times New Roman" w:cs="Times New Roman"/>
          <w:sz w:val="24"/>
          <w:szCs w:val="24"/>
          <w:lang w:val="en-US"/>
        </w:rPr>
        <w:t xml:space="preserve"> by the number recruited to the </w:t>
      </w:r>
      <w:r w:rsidR="00EE5CB4">
        <w:rPr>
          <w:rFonts w:ascii="Times New Roman" w:hAnsi="Times New Roman" w:cs="Times New Roman"/>
          <w:sz w:val="24"/>
          <w:szCs w:val="24"/>
          <w:lang w:val="en-US"/>
        </w:rPr>
        <w:t xml:space="preserve">original </w:t>
      </w:r>
      <w:r w:rsidR="00252D7B">
        <w:rPr>
          <w:rFonts w:ascii="Times New Roman" w:hAnsi="Times New Roman" w:cs="Times New Roman"/>
          <w:sz w:val="24"/>
          <w:szCs w:val="24"/>
          <w:lang w:val="en-US"/>
        </w:rPr>
        <w:t xml:space="preserve">trial. There were </w:t>
      </w:r>
      <w:r w:rsidR="00D61C9A">
        <w:rPr>
          <w:rFonts w:ascii="Times New Roman" w:hAnsi="Times New Roman" w:cs="Times New Roman"/>
          <w:sz w:val="24"/>
          <w:szCs w:val="24"/>
          <w:lang w:val="en-US"/>
        </w:rPr>
        <w:t>few participants whose injections were</w:t>
      </w:r>
      <w:r w:rsidR="00317C97">
        <w:rPr>
          <w:rFonts w:ascii="Times New Roman" w:hAnsi="Times New Roman" w:cs="Times New Roman"/>
          <w:sz w:val="24"/>
          <w:szCs w:val="24"/>
          <w:lang w:val="en-US"/>
        </w:rPr>
        <w:t xml:space="preserve"> categorised as</w:t>
      </w:r>
      <w:r w:rsidR="00D61C9A">
        <w:rPr>
          <w:rFonts w:ascii="Times New Roman" w:hAnsi="Times New Roman" w:cs="Times New Roman"/>
          <w:sz w:val="24"/>
          <w:szCs w:val="24"/>
          <w:lang w:val="en-US"/>
        </w:rPr>
        <w:t xml:space="preserve"> definitely or probably not in the subacromial bursa, necessitating combination of these </w:t>
      </w:r>
      <w:r w:rsidR="004159CF">
        <w:rPr>
          <w:rFonts w:ascii="Times New Roman" w:hAnsi="Times New Roman" w:cs="Times New Roman"/>
          <w:sz w:val="24"/>
          <w:szCs w:val="24"/>
          <w:lang w:val="en-US"/>
        </w:rPr>
        <w:t>participants into one group</w:t>
      </w:r>
      <w:r w:rsidR="00D61C9A">
        <w:rPr>
          <w:rFonts w:ascii="Times New Roman" w:hAnsi="Times New Roman" w:cs="Times New Roman"/>
          <w:sz w:val="24"/>
          <w:szCs w:val="24"/>
          <w:lang w:val="en-US"/>
        </w:rPr>
        <w:t>.</w:t>
      </w:r>
      <w:r w:rsidR="00252D7B">
        <w:rPr>
          <w:rFonts w:ascii="Times New Roman" w:hAnsi="Times New Roman" w:cs="Times New Roman"/>
          <w:sz w:val="24"/>
          <w:szCs w:val="24"/>
          <w:lang w:val="en-US"/>
        </w:rPr>
        <w:t xml:space="preserve"> </w:t>
      </w:r>
      <w:r w:rsidR="004159CF">
        <w:rPr>
          <w:rFonts w:ascii="Times New Roman" w:hAnsi="Times New Roman" w:cs="Times New Roman"/>
          <w:sz w:val="24"/>
          <w:szCs w:val="24"/>
          <w:lang w:val="en-US"/>
        </w:rPr>
        <w:t>Due to the</w:t>
      </w:r>
      <w:r w:rsidR="009A5181">
        <w:rPr>
          <w:rFonts w:ascii="Times New Roman" w:hAnsi="Times New Roman" w:cs="Times New Roman"/>
          <w:sz w:val="24"/>
          <w:szCs w:val="24"/>
          <w:lang w:val="en-US"/>
        </w:rPr>
        <w:t xml:space="preserve"> small number of patients in placement accuracy groups 1</w:t>
      </w:r>
      <w:r w:rsidR="004159CF">
        <w:rPr>
          <w:rFonts w:ascii="Times New Roman" w:hAnsi="Times New Roman" w:cs="Times New Roman"/>
          <w:sz w:val="24"/>
          <w:szCs w:val="24"/>
          <w:lang w:val="en-US"/>
        </w:rPr>
        <w:t xml:space="preserve"> (‘definitely/probably not in the subacromial bursa’)</w:t>
      </w:r>
      <w:r w:rsidR="009A5181">
        <w:rPr>
          <w:rFonts w:ascii="Times New Roman" w:hAnsi="Times New Roman" w:cs="Times New Roman"/>
          <w:sz w:val="24"/>
          <w:szCs w:val="24"/>
          <w:lang w:val="en-US"/>
        </w:rPr>
        <w:t xml:space="preserve"> and 2</w:t>
      </w:r>
      <w:r w:rsidR="004159CF">
        <w:rPr>
          <w:rFonts w:ascii="Times New Roman" w:hAnsi="Times New Roman" w:cs="Times New Roman"/>
          <w:sz w:val="24"/>
          <w:szCs w:val="24"/>
          <w:lang w:val="en-US"/>
        </w:rPr>
        <w:t xml:space="preserve"> (‘probably in the subacromial bursa’)</w:t>
      </w:r>
      <w:r w:rsidR="008A6638">
        <w:rPr>
          <w:rFonts w:ascii="Times New Roman" w:hAnsi="Times New Roman" w:cs="Times New Roman"/>
          <w:sz w:val="24"/>
          <w:szCs w:val="24"/>
          <w:lang w:val="en-US"/>
        </w:rPr>
        <w:t>, the</w:t>
      </w:r>
      <w:r w:rsidR="00706045">
        <w:rPr>
          <w:rFonts w:ascii="Times New Roman" w:hAnsi="Times New Roman" w:cs="Times New Roman"/>
          <w:sz w:val="24"/>
          <w:szCs w:val="24"/>
          <w:lang w:val="en-US"/>
        </w:rPr>
        <w:t xml:space="preserve"> confidence intervals in the mean SPADI scores and the participants’ global assessment of overall change </w:t>
      </w:r>
      <w:r w:rsidR="00EE4CE3">
        <w:rPr>
          <w:rFonts w:ascii="Times New Roman" w:hAnsi="Times New Roman" w:cs="Times New Roman"/>
          <w:sz w:val="24"/>
          <w:szCs w:val="24"/>
          <w:lang w:val="en-US"/>
        </w:rPr>
        <w:t xml:space="preserve">were quite </w:t>
      </w:r>
      <w:r w:rsidR="00DC7061">
        <w:rPr>
          <w:rFonts w:ascii="Times New Roman" w:hAnsi="Times New Roman" w:cs="Times New Roman"/>
          <w:sz w:val="24"/>
          <w:szCs w:val="24"/>
          <w:lang w:val="en-US"/>
        </w:rPr>
        <w:t>wide</w:t>
      </w:r>
      <w:r w:rsidR="00150B40">
        <w:rPr>
          <w:rFonts w:ascii="Times New Roman" w:hAnsi="Times New Roman" w:cs="Times New Roman"/>
          <w:sz w:val="24"/>
          <w:szCs w:val="24"/>
          <w:lang w:val="en-US"/>
        </w:rPr>
        <w:t>,</w:t>
      </w:r>
      <w:r w:rsidR="00315783">
        <w:rPr>
          <w:rFonts w:ascii="Times New Roman" w:hAnsi="Times New Roman" w:cs="Times New Roman"/>
          <w:sz w:val="24"/>
          <w:szCs w:val="24"/>
          <w:lang w:val="en-US"/>
        </w:rPr>
        <w:t xml:space="preserve"> </w:t>
      </w:r>
      <w:bookmarkStart w:id="3" w:name="_Hlk90031822"/>
      <w:r w:rsidR="00317C97">
        <w:rPr>
          <w:rFonts w:ascii="Times New Roman" w:hAnsi="Times New Roman" w:cs="Times New Roman"/>
          <w:sz w:val="24"/>
          <w:szCs w:val="24"/>
          <w:lang w:val="en-US"/>
        </w:rPr>
        <w:t xml:space="preserve">signaling </w:t>
      </w:r>
      <w:r w:rsidR="00315783">
        <w:rPr>
          <w:rFonts w:ascii="Times New Roman" w:hAnsi="Times New Roman" w:cs="Times New Roman"/>
          <w:sz w:val="24"/>
          <w:szCs w:val="24"/>
          <w:lang w:val="en-US"/>
        </w:rPr>
        <w:t>im</w:t>
      </w:r>
      <w:r w:rsidR="00EE4CE3">
        <w:rPr>
          <w:rFonts w:ascii="Times New Roman" w:hAnsi="Times New Roman" w:cs="Times New Roman"/>
          <w:sz w:val="24"/>
          <w:szCs w:val="24"/>
          <w:lang w:val="en-US"/>
        </w:rPr>
        <w:t xml:space="preserve">precision </w:t>
      </w:r>
      <w:r w:rsidR="00315783">
        <w:rPr>
          <w:rFonts w:ascii="Times New Roman" w:hAnsi="Times New Roman" w:cs="Times New Roman"/>
          <w:sz w:val="24"/>
          <w:szCs w:val="24"/>
          <w:lang w:val="en-US"/>
        </w:rPr>
        <w:t>of the estimates</w:t>
      </w:r>
      <w:bookmarkEnd w:id="3"/>
      <w:r w:rsidR="00706045">
        <w:rPr>
          <w:rFonts w:ascii="Times New Roman" w:hAnsi="Times New Roman" w:cs="Times New Roman"/>
          <w:sz w:val="24"/>
          <w:szCs w:val="24"/>
          <w:lang w:val="en-US"/>
        </w:rPr>
        <w:t xml:space="preserve">. </w:t>
      </w:r>
      <w:r w:rsidR="00252D7B">
        <w:rPr>
          <w:rFonts w:ascii="Times New Roman" w:hAnsi="Times New Roman" w:cs="Times New Roman"/>
          <w:sz w:val="24"/>
          <w:szCs w:val="24"/>
          <w:lang w:val="en-US"/>
        </w:rPr>
        <w:t xml:space="preserve">The diagnosis of </w:t>
      </w:r>
      <w:r w:rsidR="00C46BF3">
        <w:rPr>
          <w:rFonts w:ascii="Times New Roman" w:hAnsi="Times New Roman" w:cs="Times New Roman"/>
          <w:sz w:val="24"/>
          <w:szCs w:val="24"/>
          <w:lang w:val="en-US"/>
        </w:rPr>
        <w:t xml:space="preserve">SAPS was </w:t>
      </w:r>
      <w:r w:rsidR="00252D7B">
        <w:rPr>
          <w:rFonts w:ascii="Times New Roman" w:hAnsi="Times New Roman" w:cs="Times New Roman"/>
          <w:sz w:val="24"/>
          <w:szCs w:val="24"/>
          <w:lang w:val="en-US"/>
        </w:rPr>
        <w:t>made</w:t>
      </w:r>
      <w:r w:rsidR="00C46BF3">
        <w:rPr>
          <w:rFonts w:ascii="Times New Roman" w:hAnsi="Times New Roman" w:cs="Times New Roman"/>
          <w:sz w:val="24"/>
          <w:szCs w:val="24"/>
          <w:lang w:val="en-US"/>
        </w:rPr>
        <w:t xml:space="preserve"> clinically</w:t>
      </w:r>
      <w:r w:rsidR="00252D7B">
        <w:rPr>
          <w:rFonts w:ascii="Times New Roman" w:hAnsi="Times New Roman" w:cs="Times New Roman"/>
          <w:sz w:val="24"/>
          <w:szCs w:val="24"/>
          <w:lang w:val="en-US"/>
        </w:rPr>
        <w:t xml:space="preserve"> and did not require</w:t>
      </w:r>
      <w:r w:rsidR="00C46BF3">
        <w:rPr>
          <w:rFonts w:ascii="Times New Roman" w:hAnsi="Times New Roman" w:cs="Times New Roman"/>
          <w:sz w:val="24"/>
          <w:szCs w:val="24"/>
          <w:lang w:val="en-US"/>
        </w:rPr>
        <w:t xml:space="preserve"> radiological</w:t>
      </w:r>
      <w:r w:rsidR="00252D7B">
        <w:rPr>
          <w:rFonts w:ascii="Times New Roman" w:hAnsi="Times New Roman" w:cs="Times New Roman"/>
          <w:sz w:val="24"/>
          <w:szCs w:val="24"/>
          <w:lang w:val="en-US"/>
        </w:rPr>
        <w:t xml:space="preserve"> confirmation, although </w:t>
      </w:r>
      <w:r w:rsidR="00D61C9A">
        <w:rPr>
          <w:rFonts w:ascii="Times New Roman" w:hAnsi="Times New Roman" w:cs="Times New Roman"/>
          <w:sz w:val="24"/>
          <w:szCs w:val="24"/>
          <w:lang w:val="en-US"/>
        </w:rPr>
        <w:t>clinical diagnosis is</w:t>
      </w:r>
      <w:r w:rsidR="00252D7B">
        <w:rPr>
          <w:rFonts w:ascii="Times New Roman" w:hAnsi="Times New Roman" w:cs="Times New Roman"/>
          <w:sz w:val="24"/>
          <w:szCs w:val="24"/>
          <w:lang w:val="en-US"/>
        </w:rPr>
        <w:t xml:space="preserve"> common</w:t>
      </w:r>
      <w:r w:rsidR="00D61C9A">
        <w:rPr>
          <w:rFonts w:ascii="Times New Roman" w:hAnsi="Times New Roman" w:cs="Times New Roman"/>
          <w:sz w:val="24"/>
          <w:szCs w:val="24"/>
          <w:lang w:val="en-US"/>
        </w:rPr>
        <w:t>place</w:t>
      </w:r>
      <w:r w:rsidR="00252D7B">
        <w:rPr>
          <w:rFonts w:ascii="Times New Roman" w:hAnsi="Times New Roman" w:cs="Times New Roman"/>
          <w:sz w:val="24"/>
          <w:szCs w:val="24"/>
          <w:lang w:val="en-US"/>
        </w:rPr>
        <w:t xml:space="preserve"> in practice</w:t>
      </w:r>
      <w:r w:rsidR="00C46BF3">
        <w:rPr>
          <w:rFonts w:ascii="Times New Roman" w:hAnsi="Times New Roman" w:cs="Times New Roman"/>
          <w:sz w:val="24"/>
          <w:szCs w:val="24"/>
          <w:lang w:val="en-US"/>
        </w:rPr>
        <w:t xml:space="preserve">. </w:t>
      </w:r>
      <w:r w:rsidR="00252D7B">
        <w:rPr>
          <w:rFonts w:ascii="Times New Roman" w:hAnsi="Times New Roman" w:cs="Times New Roman"/>
          <w:sz w:val="24"/>
          <w:szCs w:val="24"/>
          <w:lang w:val="en-US"/>
        </w:rPr>
        <w:t>Outcomes</w:t>
      </w:r>
      <w:r w:rsidR="00D61C9A">
        <w:rPr>
          <w:rFonts w:ascii="Times New Roman" w:hAnsi="Times New Roman" w:cs="Times New Roman"/>
          <w:sz w:val="24"/>
          <w:szCs w:val="24"/>
          <w:lang w:val="en-US"/>
        </w:rPr>
        <w:t xml:space="preserve"> and covariates were limited to those evaluated in the trial</w:t>
      </w:r>
      <w:r w:rsidR="004A5935">
        <w:rPr>
          <w:rFonts w:ascii="Times New Roman" w:hAnsi="Times New Roman" w:cs="Times New Roman"/>
          <w:sz w:val="24"/>
          <w:szCs w:val="24"/>
          <w:lang w:val="en-US"/>
        </w:rPr>
        <w:t xml:space="preserve">, </w:t>
      </w:r>
      <w:r w:rsidR="00252D7B">
        <w:rPr>
          <w:rFonts w:ascii="Times New Roman" w:hAnsi="Times New Roman" w:cs="Times New Roman"/>
          <w:sz w:val="24"/>
          <w:szCs w:val="24"/>
          <w:lang w:val="en-US"/>
        </w:rPr>
        <w:t xml:space="preserve">self-reported and did not </w:t>
      </w:r>
      <w:r w:rsidR="00D61C9A">
        <w:rPr>
          <w:rFonts w:ascii="Times New Roman" w:hAnsi="Times New Roman" w:cs="Times New Roman"/>
          <w:sz w:val="24"/>
          <w:szCs w:val="24"/>
          <w:lang w:val="en-US"/>
        </w:rPr>
        <w:t>include</w:t>
      </w:r>
      <w:r w:rsidR="00252D7B">
        <w:rPr>
          <w:rFonts w:ascii="Times New Roman" w:hAnsi="Times New Roman" w:cs="Times New Roman"/>
          <w:sz w:val="24"/>
          <w:szCs w:val="24"/>
          <w:lang w:val="en-US"/>
        </w:rPr>
        <w:t xml:space="preserve"> objective outcomes such as range of motion. </w:t>
      </w:r>
    </w:p>
    <w:p w14:paraId="2C94FC4F" w14:textId="77777777" w:rsidR="0011531F" w:rsidRDefault="0011531F" w:rsidP="00AB2AE2">
      <w:pPr>
        <w:spacing w:line="360" w:lineRule="auto"/>
        <w:jc w:val="both"/>
        <w:rPr>
          <w:rFonts w:ascii="Times New Roman" w:hAnsi="Times New Roman" w:cs="Times New Roman"/>
          <w:sz w:val="24"/>
          <w:szCs w:val="24"/>
          <w:lang w:val="en-US"/>
        </w:rPr>
      </w:pPr>
    </w:p>
    <w:p w14:paraId="598B0B31" w14:textId="37715AAD" w:rsidR="0011531F" w:rsidRPr="00F110BD" w:rsidRDefault="0011531F" w:rsidP="00AB2AE2">
      <w:pPr>
        <w:spacing w:line="360" w:lineRule="auto"/>
        <w:jc w:val="both"/>
        <w:rPr>
          <w:rFonts w:ascii="Times New Roman" w:hAnsi="Times New Roman" w:cs="Times New Roman"/>
          <w:b/>
          <w:bCs/>
          <w:sz w:val="24"/>
          <w:szCs w:val="24"/>
          <w:lang w:val="en-US"/>
        </w:rPr>
      </w:pPr>
      <w:r w:rsidRPr="00F110BD">
        <w:rPr>
          <w:rFonts w:ascii="Times New Roman" w:hAnsi="Times New Roman" w:cs="Times New Roman"/>
          <w:b/>
          <w:bCs/>
          <w:sz w:val="24"/>
          <w:szCs w:val="24"/>
          <w:lang w:val="en-US"/>
        </w:rPr>
        <w:t>Conclusion</w:t>
      </w:r>
    </w:p>
    <w:p w14:paraId="1FF519CB" w14:textId="77777777" w:rsidR="00317C97" w:rsidRPr="00317C97" w:rsidRDefault="00AB2AE2" w:rsidP="00317C9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w:t>
      </w:r>
      <w:r w:rsidR="00732B3A">
        <w:rPr>
          <w:rFonts w:ascii="Times New Roman" w:hAnsi="Times New Roman" w:cs="Times New Roman"/>
          <w:sz w:val="24"/>
          <w:szCs w:val="24"/>
          <w:lang w:val="en-US"/>
        </w:rPr>
        <w:t xml:space="preserve">placement </w:t>
      </w:r>
      <w:r w:rsidRPr="009D39BA">
        <w:rPr>
          <w:rFonts w:ascii="Times New Roman" w:hAnsi="Times New Roman" w:cs="Times New Roman"/>
          <w:sz w:val="24"/>
          <w:szCs w:val="24"/>
          <w:lang w:val="en-US"/>
        </w:rPr>
        <w:t>accuracy of US-guided subacromia</w:t>
      </w:r>
      <w:r>
        <w:rPr>
          <w:rFonts w:ascii="Times New Roman" w:hAnsi="Times New Roman" w:cs="Times New Roman"/>
          <w:sz w:val="24"/>
          <w:szCs w:val="24"/>
          <w:lang w:val="en-US"/>
        </w:rPr>
        <w:t xml:space="preserve">l corticosteroid injection </w:t>
      </w:r>
      <w:r w:rsidR="00822761">
        <w:rPr>
          <w:rFonts w:ascii="Times New Roman" w:hAnsi="Times New Roman" w:cs="Times New Roman"/>
          <w:sz w:val="24"/>
          <w:szCs w:val="24"/>
          <w:lang w:val="en-US"/>
        </w:rPr>
        <w:t xml:space="preserve">via </w:t>
      </w:r>
      <w:r w:rsidR="00456B14">
        <w:rPr>
          <w:rFonts w:ascii="Times New Roman" w:hAnsi="Times New Roman" w:cs="Times New Roman"/>
          <w:sz w:val="24"/>
          <w:szCs w:val="24"/>
          <w:lang w:val="en-US"/>
        </w:rPr>
        <w:t xml:space="preserve">the </w:t>
      </w:r>
      <w:r w:rsidR="00822761">
        <w:rPr>
          <w:rFonts w:ascii="Times New Roman" w:hAnsi="Times New Roman" w:cs="Times New Roman"/>
          <w:sz w:val="24"/>
          <w:szCs w:val="24"/>
          <w:lang w:val="en-US"/>
        </w:rPr>
        <w:t xml:space="preserve">anterolateral approach </w:t>
      </w:r>
      <w:r>
        <w:rPr>
          <w:rFonts w:ascii="Times New Roman" w:hAnsi="Times New Roman" w:cs="Times New Roman"/>
          <w:sz w:val="24"/>
          <w:szCs w:val="24"/>
          <w:lang w:val="en-US"/>
        </w:rPr>
        <w:t>in SAPS</w:t>
      </w:r>
      <w:r w:rsidRPr="009D39BA">
        <w:rPr>
          <w:rFonts w:ascii="Times New Roman" w:hAnsi="Times New Roman" w:cs="Times New Roman"/>
          <w:sz w:val="24"/>
          <w:szCs w:val="24"/>
          <w:lang w:val="en-US"/>
        </w:rPr>
        <w:t xml:space="preserve"> </w:t>
      </w:r>
      <w:r w:rsidR="00317C97">
        <w:rPr>
          <w:rFonts w:ascii="Times New Roman" w:hAnsi="Times New Roman" w:cs="Times New Roman"/>
          <w:sz w:val="24"/>
          <w:szCs w:val="24"/>
          <w:lang w:val="en-US"/>
        </w:rPr>
        <w:t>did not</w:t>
      </w:r>
      <w:r w:rsidRPr="009D39BA">
        <w:rPr>
          <w:rFonts w:ascii="Times New Roman" w:hAnsi="Times New Roman" w:cs="Times New Roman"/>
          <w:sz w:val="24"/>
          <w:szCs w:val="24"/>
          <w:lang w:val="en-US"/>
        </w:rPr>
        <w:t xml:space="preserve"> influence </w:t>
      </w:r>
      <w:r w:rsidR="00317C97" w:rsidRPr="00317C97">
        <w:rPr>
          <w:rFonts w:ascii="Times New Roman" w:hAnsi="Times New Roman" w:cs="Times New Roman"/>
          <w:sz w:val="24"/>
          <w:szCs w:val="24"/>
          <w:lang w:val="en-US"/>
        </w:rPr>
        <w:t>pain and function outcomes</w:t>
      </w:r>
      <w:r w:rsidR="00F9126D">
        <w:rPr>
          <w:rFonts w:ascii="Times New Roman" w:hAnsi="Times New Roman" w:cs="Times New Roman"/>
          <w:sz w:val="24"/>
          <w:szCs w:val="24"/>
          <w:lang w:val="en-US"/>
        </w:rPr>
        <w:t>.</w:t>
      </w:r>
      <w:r w:rsidRPr="009D39BA">
        <w:rPr>
          <w:rFonts w:ascii="Times New Roman" w:hAnsi="Times New Roman" w:cs="Times New Roman"/>
          <w:sz w:val="24"/>
          <w:szCs w:val="24"/>
          <w:lang w:val="en-US"/>
        </w:rPr>
        <w:t xml:space="preserve"> </w:t>
      </w:r>
      <w:r w:rsidR="00F9126D">
        <w:rPr>
          <w:rFonts w:ascii="Times New Roman" w:hAnsi="Times New Roman" w:cs="Times New Roman"/>
          <w:sz w:val="24"/>
          <w:szCs w:val="24"/>
          <w:lang w:val="en-US"/>
        </w:rPr>
        <w:t>Given the widesprea</w:t>
      </w:r>
      <w:r w:rsidR="00A56CE2">
        <w:rPr>
          <w:rFonts w:ascii="Times New Roman" w:hAnsi="Times New Roman" w:cs="Times New Roman"/>
          <w:sz w:val="24"/>
          <w:szCs w:val="24"/>
          <w:lang w:val="en-US"/>
        </w:rPr>
        <w:t xml:space="preserve">d availability of practitioners </w:t>
      </w:r>
      <w:r w:rsidR="00981FEB">
        <w:rPr>
          <w:rFonts w:ascii="Times New Roman" w:hAnsi="Times New Roman" w:cs="Times New Roman"/>
          <w:sz w:val="24"/>
          <w:szCs w:val="24"/>
          <w:lang w:val="en-US"/>
        </w:rPr>
        <w:t xml:space="preserve">to perform </w:t>
      </w:r>
      <w:r w:rsidR="004A5935">
        <w:rPr>
          <w:rFonts w:ascii="Times New Roman" w:hAnsi="Times New Roman" w:cs="Times New Roman"/>
          <w:sz w:val="24"/>
          <w:szCs w:val="24"/>
          <w:lang w:val="en-US"/>
        </w:rPr>
        <w:t>unguided</w:t>
      </w:r>
      <w:r w:rsidR="00981FEB">
        <w:rPr>
          <w:rFonts w:ascii="Times New Roman" w:hAnsi="Times New Roman" w:cs="Times New Roman"/>
          <w:sz w:val="24"/>
          <w:szCs w:val="24"/>
          <w:lang w:val="en-US"/>
        </w:rPr>
        <w:t xml:space="preserve"> injections in primary and secondary care</w:t>
      </w:r>
      <w:r w:rsidR="004A5935">
        <w:rPr>
          <w:rFonts w:ascii="Times New Roman" w:hAnsi="Times New Roman" w:cs="Times New Roman"/>
          <w:sz w:val="24"/>
          <w:szCs w:val="24"/>
          <w:lang w:val="en-US"/>
        </w:rPr>
        <w:t>,</w:t>
      </w:r>
      <w:r w:rsidR="00981FEB">
        <w:rPr>
          <w:rFonts w:ascii="Times New Roman" w:hAnsi="Times New Roman" w:cs="Times New Roman"/>
          <w:sz w:val="24"/>
          <w:szCs w:val="24"/>
          <w:lang w:val="en-US"/>
        </w:rPr>
        <w:t xml:space="preserve"> </w:t>
      </w:r>
      <w:r w:rsidR="004A5935">
        <w:rPr>
          <w:rFonts w:ascii="Times New Roman" w:hAnsi="Times New Roman" w:cs="Times New Roman"/>
          <w:sz w:val="24"/>
          <w:szCs w:val="24"/>
          <w:lang w:val="en-US"/>
        </w:rPr>
        <w:t xml:space="preserve">our findings suggest that subacromial </w:t>
      </w:r>
      <w:r w:rsidR="004B79FE">
        <w:rPr>
          <w:rFonts w:ascii="Times New Roman" w:hAnsi="Times New Roman" w:cs="Times New Roman"/>
          <w:sz w:val="24"/>
          <w:szCs w:val="24"/>
          <w:lang w:val="en-US"/>
        </w:rPr>
        <w:t xml:space="preserve">corticosteroid </w:t>
      </w:r>
      <w:r w:rsidR="004A5935">
        <w:rPr>
          <w:rFonts w:ascii="Times New Roman" w:hAnsi="Times New Roman" w:cs="Times New Roman"/>
          <w:sz w:val="24"/>
          <w:szCs w:val="24"/>
          <w:lang w:val="en-US"/>
        </w:rPr>
        <w:t xml:space="preserve">injections can be performed without </w:t>
      </w:r>
      <w:r w:rsidR="00F9126D">
        <w:rPr>
          <w:rFonts w:ascii="Times New Roman" w:hAnsi="Times New Roman" w:cs="Times New Roman"/>
          <w:sz w:val="24"/>
          <w:szCs w:val="24"/>
          <w:lang w:val="en-US"/>
        </w:rPr>
        <w:t>US guidance</w:t>
      </w:r>
      <w:r w:rsidRPr="009D39BA">
        <w:rPr>
          <w:rFonts w:ascii="Times New Roman" w:hAnsi="Times New Roman" w:cs="Times New Roman"/>
          <w:sz w:val="24"/>
          <w:szCs w:val="24"/>
          <w:lang w:val="en-US"/>
        </w:rPr>
        <w:t>.</w:t>
      </w:r>
      <w:r w:rsidR="0011531F">
        <w:rPr>
          <w:rFonts w:ascii="Times New Roman" w:hAnsi="Times New Roman" w:cs="Times New Roman"/>
          <w:sz w:val="24"/>
          <w:szCs w:val="24"/>
          <w:lang w:val="en-US"/>
        </w:rPr>
        <w:t xml:space="preserve"> </w:t>
      </w:r>
      <w:r w:rsidR="00317C97" w:rsidRPr="00317C97">
        <w:rPr>
          <w:rFonts w:ascii="Times New Roman" w:hAnsi="Times New Roman" w:cs="Times New Roman"/>
          <w:sz w:val="24"/>
          <w:szCs w:val="24"/>
        </w:rPr>
        <w:t>The rise in use of</w:t>
      </w:r>
      <w:r w:rsidR="00317C97" w:rsidRPr="00317C97">
        <w:rPr>
          <w:rFonts w:ascii="Times New Roman" w:hAnsi="Times New Roman" w:cs="Times New Roman"/>
          <w:sz w:val="24"/>
          <w:szCs w:val="24"/>
          <w:lang w:val="en-US"/>
        </w:rPr>
        <w:t xml:space="preserve"> ultrasound guidance in shoulder injections for SAPS appears unwarranted. </w:t>
      </w:r>
    </w:p>
    <w:p w14:paraId="6F9737CA" w14:textId="341B8CCB" w:rsidR="00567111" w:rsidRDefault="00567111" w:rsidP="00CE5C14">
      <w:pPr>
        <w:spacing w:line="360" w:lineRule="auto"/>
        <w:jc w:val="both"/>
        <w:rPr>
          <w:rFonts w:ascii="Times New Roman" w:hAnsi="Times New Roman" w:cs="Times New Roman"/>
          <w:b/>
          <w:sz w:val="24"/>
          <w:szCs w:val="24"/>
          <w:lang w:val="en-US"/>
        </w:rPr>
      </w:pPr>
    </w:p>
    <w:p w14:paraId="465574C7" w14:textId="77777777" w:rsidR="004C52A3" w:rsidRDefault="004C52A3" w:rsidP="00CE5C14">
      <w:pPr>
        <w:spacing w:line="360" w:lineRule="auto"/>
        <w:jc w:val="both"/>
        <w:rPr>
          <w:rFonts w:ascii="Times New Roman" w:hAnsi="Times New Roman" w:cs="Times New Roman"/>
          <w:b/>
          <w:sz w:val="24"/>
          <w:szCs w:val="24"/>
          <w:lang w:val="en-US"/>
        </w:rPr>
      </w:pPr>
    </w:p>
    <w:p w14:paraId="2795A83C" w14:textId="4F212A02" w:rsidR="004C52A3" w:rsidRDefault="004C52A3" w:rsidP="00CE5C14">
      <w:pPr>
        <w:spacing w:line="360" w:lineRule="auto"/>
        <w:jc w:val="both"/>
        <w:rPr>
          <w:rFonts w:ascii="Times New Roman" w:hAnsi="Times New Roman" w:cs="Times New Roman"/>
          <w:b/>
          <w:sz w:val="24"/>
          <w:szCs w:val="24"/>
          <w:lang w:val="en-US"/>
        </w:rPr>
        <w:sectPr w:rsidR="004C52A3" w:rsidSect="0056711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40" w:right="1440" w:bottom="1440" w:left="1440" w:header="709" w:footer="709" w:gutter="0"/>
          <w:lnNumType w:countBy="1" w:restart="continuous"/>
          <w:cols w:space="708"/>
          <w:docGrid w:linePitch="360"/>
        </w:sectPr>
      </w:pPr>
    </w:p>
    <w:p w14:paraId="06A8B9AB" w14:textId="355A9C51" w:rsidR="00BF24F3" w:rsidRDefault="00B53E33" w:rsidP="00B53E3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0C2F4FE4" w14:textId="07120D34" w:rsidR="00C16E47" w:rsidRDefault="00C16E47" w:rsidP="003F7A7C">
      <w:pPr>
        <w:spacing w:line="360" w:lineRule="auto"/>
        <w:jc w:val="both"/>
        <w:rPr>
          <w:rFonts w:ascii="Times New Roman" w:hAnsi="Times New Roman" w:cs="Times New Roman"/>
          <w:sz w:val="24"/>
          <w:szCs w:val="24"/>
        </w:rPr>
      </w:pPr>
      <w:r w:rsidRPr="00C16E47">
        <w:rPr>
          <w:rFonts w:ascii="Times New Roman" w:hAnsi="Times New Roman" w:cs="Times New Roman"/>
          <w:sz w:val="24"/>
          <w:szCs w:val="24"/>
        </w:rPr>
        <w:t>Akbari, N., Ozen, S., Senlikci, H. B., Haberal, M., &amp; Cetin, N. (2020). Ultrasound-guided versus blind subacromial corticosteroid and local anesthetic injection in the treatment of subacromial impingement syndrome: A randomized study of efficacy.</w:t>
      </w:r>
      <w:r w:rsidRPr="00C16E47">
        <w:rPr>
          <w:rFonts w:ascii="Times New Roman" w:hAnsi="Times New Roman" w:cs="Times New Roman"/>
          <w:i/>
          <w:iCs/>
          <w:sz w:val="24"/>
          <w:szCs w:val="24"/>
        </w:rPr>
        <w:t> Joint Diseases and Related Surgery, 31</w:t>
      </w:r>
      <w:r w:rsidRPr="00C16E47">
        <w:rPr>
          <w:rFonts w:ascii="Times New Roman" w:hAnsi="Times New Roman" w:cs="Times New Roman"/>
          <w:sz w:val="24"/>
          <w:szCs w:val="24"/>
        </w:rPr>
        <w:t>(1), 115-122. doi:10.5606/ehc.2020.71056 [doi]</w:t>
      </w:r>
    </w:p>
    <w:p w14:paraId="4BFAFE08" w14:textId="77777777" w:rsid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Aly, A. R., Rajasekaran, S., &amp; Ashworth, N. (2015). Ultrasound-guided shoulder girdle injections are more accurate and more effective than landmark-guided injections: A systematic review and meta-analysis.</w:t>
      </w:r>
      <w:r w:rsidRPr="003F7A7C">
        <w:rPr>
          <w:rFonts w:ascii="Times New Roman" w:hAnsi="Times New Roman" w:cs="Times New Roman"/>
          <w:i/>
          <w:iCs/>
          <w:sz w:val="24"/>
          <w:szCs w:val="24"/>
        </w:rPr>
        <w:t> British Journal of Sports Medicine, 49</w:t>
      </w:r>
      <w:r w:rsidRPr="003F7A7C">
        <w:rPr>
          <w:rFonts w:ascii="Times New Roman" w:hAnsi="Times New Roman" w:cs="Times New Roman"/>
          <w:sz w:val="24"/>
          <w:szCs w:val="24"/>
        </w:rPr>
        <w:t>(16), 1042-1049. doi:10.1136/bjsports-2014-093573 [doi]</w:t>
      </w:r>
    </w:p>
    <w:p w14:paraId="64020E5A" w14:textId="22650286" w:rsidR="00CE67EB" w:rsidRPr="003F7A7C" w:rsidRDefault="00CE67EB" w:rsidP="003F7A7C">
      <w:pPr>
        <w:spacing w:line="360" w:lineRule="auto"/>
        <w:jc w:val="both"/>
        <w:rPr>
          <w:rFonts w:ascii="Times New Roman" w:hAnsi="Times New Roman" w:cs="Times New Roman"/>
          <w:sz w:val="24"/>
          <w:szCs w:val="24"/>
        </w:rPr>
      </w:pPr>
      <w:r w:rsidRPr="00CE67EB">
        <w:rPr>
          <w:rFonts w:ascii="Times New Roman" w:hAnsi="Times New Roman" w:cs="Times New Roman"/>
          <w:sz w:val="24"/>
          <w:szCs w:val="24"/>
        </w:rPr>
        <w:t>Artus, M., van der Windt, D A, Afolabi, E. K., Buchbinder, R., Chesterton, L. S., Hall, A., . . . Foster, N. E. (2017). Management of shoulder pain by UK general practitioners (GPs): A national survey.</w:t>
      </w:r>
      <w:r w:rsidRPr="00CE67EB">
        <w:rPr>
          <w:rFonts w:ascii="Times New Roman" w:hAnsi="Times New Roman" w:cs="Times New Roman"/>
          <w:i/>
          <w:iCs/>
          <w:sz w:val="24"/>
          <w:szCs w:val="24"/>
        </w:rPr>
        <w:t> BMJ Open, 7</w:t>
      </w:r>
      <w:r w:rsidRPr="00CE67EB">
        <w:rPr>
          <w:rFonts w:ascii="Times New Roman" w:hAnsi="Times New Roman" w:cs="Times New Roman"/>
          <w:sz w:val="24"/>
          <w:szCs w:val="24"/>
        </w:rPr>
        <w:t>(6), e015711-015711. doi:10.1136/bmjopen-2016-015711 [doi]</w:t>
      </w:r>
    </w:p>
    <w:p w14:paraId="0012D37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Bigliani, L. U., &amp; Levine, W. N. (1997). Subacromial impingement syndrome.</w:t>
      </w:r>
      <w:r w:rsidRPr="003F7A7C">
        <w:rPr>
          <w:rFonts w:ascii="Times New Roman" w:hAnsi="Times New Roman" w:cs="Times New Roman"/>
          <w:i/>
          <w:iCs/>
          <w:sz w:val="24"/>
          <w:szCs w:val="24"/>
        </w:rPr>
        <w:t> The Journal of Bone and Joint Surgery.American Volume, 79</w:t>
      </w:r>
      <w:r w:rsidRPr="003F7A7C">
        <w:rPr>
          <w:rFonts w:ascii="Times New Roman" w:hAnsi="Times New Roman" w:cs="Times New Roman"/>
          <w:sz w:val="24"/>
          <w:szCs w:val="24"/>
        </w:rPr>
        <w:t>(12), 1854-1868.</w:t>
      </w:r>
    </w:p>
    <w:p w14:paraId="77743254"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Brazier, J. E., &amp; Roberts, J. (2004). The estimation of a preference-based measure of health from the SF-12.</w:t>
      </w:r>
      <w:r w:rsidRPr="003F7A7C">
        <w:rPr>
          <w:rFonts w:ascii="Times New Roman" w:hAnsi="Times New Roman" w:cs="Times New Roman"/>
          <w:i/>
          <w:iCs/>
          <w:sz w:val="24"/>
          <w:szCs w:val="24"/>
        </w:rPr>
        <w:t> Medical Care, 42</w:t>
      </w:r>
      <w:r w:rsidRPr="003F7A7C">
        <w:rPr>
          <w:rFonts w:ascii="Times New Roman" w:hAnsi="Times New Roman" w:cs="Times New Roman"/>
          <w:sz w:val="24"/>
          <w:szCs w:val="24"/>
        </w:rPr>
        <w:t>(9), 851-859. doi:00005650-200409000-00004 [pii]</w:t>
      </w:r>
    </w:p>
    <w:p w14:paraId="1F2B2F20"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Caglar-Yagci, H., Unsal, S., Yagci, I., Dulgeroglu, D., &amp; Ozel, S. (2005). Safety and efficacy of ultrasound-guided intra-articular hylan G-F 20 injection in osteoarthritis of the hip: A pilot study.</w:t>
      </w:r>
      <w:r w:rsidRPr="003F7A7C">
        <w:rPr>
          <w:rFonts w:ascii="Times New Roman" w:hAnsi="Times New Roman" w:cs="Times New Roman"/>
          <w:i/>
          <w:iCs/>
          <w:sz w:val="24"/>
          <w:szCs w:val="24"/>
        </w:rPr>
        <w:t> Rheumatology International, 25</w:t>
      </w:r>
      <w:r w:rsidRPr="003F7A7C">
        <w:rPr>
          <w:rFonts w:ascii="Times New Roman" w:hAnsi="Times New Roman" w:cs="Times New Roman"/>
          <w:sz w:val="24"/>
          <w:szCs w:val="24"/>
        </w:rPr>
        <w:t>(5), 341-344. doi:10.1007/s00296-004-0441-5 [doi]</w:t>
      </w:r>
    </w:p>
    <w:p w14:paraId="56BB9805"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Carson, B. W., &amp; Wong, A. (1999). Ultrasonographic guidance for injections of local steroids in the native hip.</w:t>
      </w:r>
      <w:r w:rsidRPr="003F7A7C">
        <w:rPr>
          <w:rFonts w:ascii="Times New Roman" w:hAnsi="Times New Roman" w:cs="Times New Roman"/>
          <w:i/>
          <w:iCs/>
          <w:sz w:val="24"/>
          <w:szCs w:val="24"/>
        </w:rPr>
        <w:t> Journa Ultrasound in Medicine : Official Journal of the American Institute of Ultrasound in Medicine, 18</w:t>
      </w:r>
      <w:r w:rsidRPr="003F7A7C">
        <w:rPr>
          <w:rFonts w:ascii="Times New Roman" w:hAnsi="Times New Roman" w:cs="Times New Roman"/>
          <w:sz w:val="24"/>
          <w:szCs w:val="24"/>
        </w:rPr>
        <w:t>(2), 159-160. doi:10.7863/jum.1999.18.2.159 [doi]</w:t>
      </w:r>
    </w:p>
    <w:p w14:paraId="75C3D6E6"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Chard, M. D., Hazleman, R., Hazleman, B. L., King, R. H., &amp; Reiss, B. B. (1991). Shoulder disorders in the elderly: A community survey.</w:t>
      </w:r>
      <w:r w:rsidRPr="003F7A7C">
        <w:rPr>
          <w:rFonts w:ascii="Times New Roman" w:hAnsi="Times New Roman" w:cs="Times New Roman"/>
          <w:i/>
          <w:iCs/>
          <w:sz w:val="24"/>
          <w:szCs w:val="24"/>
        </w:rPr>
        <w:t> Arthritis and Rheumatism, 34</w:t>
      </w:r>
      <w:r w:rsidRPr="003F7A7C">
        <w:rPr>
          <w:rFonts w:ascii="Times New Roman" w:hAnsi="Times New Roman" w:cs="Times New Roman"/>
          <w:sz w:val="24"/>
          <w:szCs w:val="24"/>
        </w:rPr>
        <w:t>(6), 766-769. doi:10.1002/art.1780340619 [doi]</w:t>
      </w:r>
    </w:p>
    <w:p w14:paraId="751822A6"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Cole, B. F., Peters, K. S., Hackett, L., &amp; Murrell, G. A. (2016). Ultrasound-guided versus blind subacromial corticosteroid injections for subacromial impingement syndrome: A randomized, double-blind clinical trial.</w:t>
      </w:r>
      <w:r w:rsidRPr="003F7A7C">
        <w:rPr>
          <w:rFonts w:ascii="Times New Roman" w:hAnsi="Times New Roman" w:cs="Times New Roman"/>
          <w:i/>
          <w:iCs/>
          <w:sz w:val="24"/>
          <w:szCs w:val="24"/>
        </w:rPr>
        <w:t> The American Journal of Sports Medicine, 44</w:t>
      </w:r>
      <w:r w:rsidRPr="003F7A7C">
        <w:rPr>
          <w:rFonts w:ascii="Times New Roman" w:hAnsi="Times New Roman" w:cs="Times New Roman"/>
          <w:sz w:val="24"/>
          <w:szCs w:val="24"/>
        </w:rPr>
        <w:t>(3), 702-707. doi:10.1177/0363546515618653 [doi]</w:t>
      </w:r>
    </w:p>
    <w:p w14:paraId="33218227"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Ekeberg, O. M., Bautz-Holter, E., Tveita, E. K., Juel, N. G., Kvalheim, S., &amp; Brox, J. I. (2009). Subacromial ultrasound guided or systemic steroid injection for rotator cuff disease: Randomised double blind study.</w:t>
      </w:r>
      <w:r w:rsidRPr="003F7A7C">
        <w:rPr>
          <w:rFonts w:ascii="Times New Roman" w:hAnsi="Times New Roman" w:cs="Times New Roman"/>
          <w:i/>
          <w:iCs/>
          <w:sz w:val="24"/>
          <w:szCs w:val="24"/>
        </w:rPr>
        <w:t> BMJ (Clinical Research Ed.), 338</w:t>
      </w:r>
      <w:r w:rsidRPr="003F7A7C">
        <w:rPr>
          <w:rFonts w:ascii="Times New Roman" w:hAnsi="Times New Roman" w:cs="Times New Roman"/>
          <w:sz w:val="24"/>
          <w:szCs w:val="24"/>
        </w:rPr>
        <w:t>, a3112. doi:10.1136/bmj.a3112 [doi]</w:t>
      </w:r>
    </w:p>
    <w:p w14:paraId="278AD48E"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Esenyel, C. Z., Esenyel, M., Yesiltepe, R., Ayanoglu, S., Bulbul, M., Sirvanci, M., &amp; Kara, A. N. (2003). The correlation between the accuracy of steroid injections and subsequent shoulder pain and function in subacromial impingement syndrome. [Subakromiyal sikisma sendromunda steroid enjeksiyonunun dogru sekilde uygulanmasi ile omuz agrisi ve fonksiyonu arasindaki iliski] </w:t>
      </w:r>
      <w:r w:rsidRPr="003F7A7C">
        <w:rPr>
          <w:rFonts w:ascii="Times New Roman" w:hAnsi="Times New Roman" w:cs="Times New Roman"/>
          <w:i/>
          <w:iCs/>
          <w:sz w:val="24"/>
          <w:szCs w:val="24"/>
        </w:rPr>
        <w:t>Acta Orthopaedica Et Traumatologica Turcica, 37</w:t>
      </w:r>
      <w:r w:rsidRPr="003F7A7C">
        <w:rPr>
          <w:rFonts w:ascii="Times New Roman" w:hAnsi="Times New Roman" w:cs="Times New Roman"/>
          <w:sz w:val="24"/>
          <w:szCs w:val="24"/>
        </w:rPr>
        <w:t>(1), 41-45. doi:pii [pii]</w:t>
      </w:r>
    </w:p>
    <w:p w14:paraId="140922E1"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Eustace, J. A., Brophy, D. P., Gibney, R. P., Bresnihan, B., &amp; FitzGerald, O. (1997). Comparison of the accuracy of steroid placement with clinical outcome in patients with shoulder symptoms.</w:t>
      </w:r>
      <w:r w:rsidRPr="003F7A7C">
        <w:rPr>
          <w:rFonts w:ascii="Times New Roman" w:hAnsi="Times New Roman" w:cs="Times New Roman"/>
          <w:i/>
          <w:iCs/>
          <w:sz w:val="24"/>
          <w:szCs w:val="24"/>
        </w:rPr>
        <w:t> Annals of the Rheumatic Diseases, 56</w:t>
      </w:r>
      <w:r w:rsidRPr="003F7A7C">
        <w:rPr>
          <w:rFonts w:ascii="Times New Roman" w:hAnsi="Times New Roman" w:cs="Times New Roman"/>
          <w:sz w:val="24"/>
          <w:szCs w:val="24"/>
        </w:rPr>
        <w:t>(1), 59-63. doi:10.1136/ard.56.1.59 [doi]</w:t>
      </w:r>
    </w:p>
    <w:p w14:paraId="3D8BDCAB"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Grassi, W., Filippucci, E., &amp; Busilacchi, P. (2004). Musculoskeletal ultrasound.</w:t>
      </w:r>
      <w:r w:rsidRPr="003F7A7C">
        <w:rPr>
          <w:rFonts w:ascii="Times New Roman" w:hAnsi="Times New Roman" w:cs="Times New Roman"/>
          <w:i/>
          <w:iCs/>
          <w:sz w:val="24"/>
          <w:szCs w:val="24"/>
        </w:rPr>
        <w:t> Best Practice &amp; Research.Clinical Rheumatology, 18</w:t>
      </w:r>
      <w:r w:rsidRPr="003F7A7C">
        <w:rPr>
          <w:rFonts w:ascii="Times New Roman" w:hAnsi="Times New Roman" w:cs="Times New Roman"/>
          <w:sz w:val="24"/>
          <w:szCs w:val="24"/>
        </w:rPr>
        <w:t>(6), 813-826. doi:S152169420400083X [pii]</w:t>
      </w:r>
    </w:p>
    <w:p w14:paraId="399D582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Hanchard, N. C., Goodchild, L., Thompson, J., O'Brien, T., Davison, D., &amp; Richardson, C. (2012). Evidence-based clinical guidelines for the diagnosis, assessment and physiotherapy management of contracted (frozen) shoulder: Quick reference summary.</w:t>
      </w:r>
      <w:r w:rsidRPr="003F7A7C">
        <w:rPr>
          <w:rFonts w:ascii="Times New Roman" w:hAnsi="Times New Roman" w:cs="Times New Roman"/>
          <w:i/>
          <w:iCs/>
          <w:sz w:val="24"/>
          <w:szCs w:val="24"/>
        </w:rPr>
        <w:t> Physiotherapy, 98</w:t>
      </w:r>
      <w:r w:rsidRPr="003F7A7C">
        <w:rPr>
          <w:rFonts w:ascii="Times New Roman" w:hAnsi="Times New Roman" w:cs="Times New Roman"/>
          <w:sz w:val="24"/>
          <w:szCs w:val="24"/>
        </w:rPr>
        <w:t>(2), 117-120. doi:10.1016/j.physio.2012.01.001 [doi]</w:t>
      </w:r>
    </w:p>
    <w:p w14:paraId="644C77D5"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Jackson, D. W., Evans, N. A., &amp; Thomas, B. M. (2002). Accuracy of needle placement into the intra-articular space of the knee.</w:t>
      </w:r>
      <w:r w:rsidRPr="003F7A7C">
        <w:rPr>
          <w:rFonts w:ascii="Times New Roman" w:hAnsi="Times New Roman" w:cs="Times New Roman"/>
          <w:i/>
          <w:iCs/>
          <w:sz w:val="24"/>
          <w:szCs w:val="24"/>
        </w:rPr>
        <w:t> The Journal of Bone and Joint Surgery.American Volume, 84</w:t>
      </w:r>
      <w:r w:rsidRPr="003F7A7C">
        <w:rPr>
          <w:rFonts w:ascii="Times New Roman" w:hAnsi="Times New Roman" w:cs="Times New Roman"/>
          <w:sz w:val="24"/>
          <w:szCs w:val="24"/>
        </w:rPr>
        <w:t>(9), 1522-1527. doi:10.2106/00004623-200209000-00003 [doi]</w:t>
      </w:r>
    </w:p>
    <w:p w14:paraId="649E1D23"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Jones, A., Regan, M., Ledingham, J., Pattrick, M., Manhire, A., &amp; Doherty, M. (1993). Importance of placement of intra-articular steroid injections.</w:t>
      </w:r>
      <w:r w:rsidRPr="003F7A7C">
        <w:rPr>
          <w:rFonts w:ascii="Times New Roman" w:hAnsi="Times New Roman" w:cs="Times New Roman"/>
          <w:i/>
          <w:iCs/>
          <w:sz w:val="24"/>
          <w:szCs w:val="24"/>
        </w:rPr>
        <w:t> BMJ (Clinical Research Ed.), 307</w:t>
      </w:r>
      <w:r w:rsidRPr="003F7A7C">
        <w:rPr>
          <w:rFonts w:ascii="Times New Roman" w:hAnsi="Times New Roman" w:cs="Times New Roman"/>
          <w:sz w:val="24"/>
          <w:szCs w:val="24"/>
        </w:rPr>
        <w:t>(6915), 1329-1330. doi:10.1136/bmj.307.6915.1329 [doi]</w:t>
      </w:r>
    </w:p>
    <w:p w14:paraId="20D0C419"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Lacey, R. J., Lewis, M., Jordan, K., Jinks, C., &amp; Sim, J. (2005). Interrater reliability of scoring of pain drawings in a self-report health survey.</w:t>
      </w:r>
      <w:r w:rsidRPr="003F7A7C">
        <w:rPr>
          <w:rFonts w:ascii="Times New Roman" w:hAnsi="Times New Roman" w:cs="Times New Roman"/>
          <w:i/>
          <w:iCs/>
          <w:sz w:val="24"/>
          <w:szCs w:val="24"/>
        </w:rPr>
        <w:t> Spine, 30</w:t>
      </w:r>
      <w:r w:rsidRPr="003F7A7C">
        <w:rPr>
          <w:rFonts w:ascii="Times New Roman" w:hAnsi="Times New Roman" w:cs="Times New Roman"/>
          <w:sz w:val="24"/>
          <w:szCs w:val="24"/>
        </w:rPr>
        <w:t>(16), 455. doi:00007632-200508150-00021 [pii]</w:t>
      </w:r>
    </w:p>
    <w:p w14:paraId="04A7EAF7"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MacFarlane, G. J., Croft, P. R., Schollum, J., &amp; Silman, A. J. (1996). Widespread pain: Is an improved classification possible?</w:t>
      </w:r>
      <w:r w:rsidRPr="003F7A7C">
        <w:rPr>
          <w:rFonts w:ascii="Times New Roman" w:hAnsi="Times New Roman" w:cs="Times New Roman"/>
          <w:i/>
          <w:iCs/>
          <w:sz w:val="24"/>
          <w:szCs w:val="24"/>
        </w:rPr>
        <w:t> The Journal of Rheumatology, 23</w:t>
      </w:r>
      <w:r w:rsidRPr="003F7A7C">
        <w:rPr>
          <w:rFonts w:ascii="Times New Roman" w:hAnsi="Times New Roman" w:cs="Times New Roman"/>
          <w:sz w:val="24"/>
          <w:szCs w:val="24"/>
        </w:rPr>
        <w:t>(9), 1628-1632.</w:t>
      </w:r>
    </w:p>
    <w:p w14:paraId="140C2AB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Nazarian, L. N. (2008). The top 10 reasons musculoskeletal sonography is an important complementary or alternative technique to MRI.</w:t>
      </w:r>
      <w:r w:rsidRPr="003F7A7C">
        <w:rPr>
          <w:rFonts w:ascii="Times New Roman" w:hAnsi="Times New Roman" w:cs="Times New Roman"/>
          <w:i/>
          <w:iCs/>
          <w:sz w:val="24"/>
          <w:szCs w:val="24"/>
        </w:rPr>
        <w:t> AJR.American Journal of Roentgenology, 190</w:t>
      </w:r>
      <w:r w:rsidRPr="003F7A7C">
        <w:rPr>
          <w:rFonts w:ascii="Times New Roman" w:hAnsi="Times New Roman" w:cs="Times New Roman"/>
          <w:sz w:val="24"/>
          <w:szCs w:val="24"/>
        </w:rPr>
        <w:t>(6), 1621-1626. doi:10.2214/AJR.07.3385 [doi]</w:t>
      </w:r>
    </w:p>
    <w:p w14:paraId="31D04956"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Oppong, R., Jowett, S., Lewis, M., Roddy, E., Ogollah, R. O., Zwierska, I., . . . Foster, N. E. (2021). The cost-effectiveness of different approaches to exercise and corticosteroid injection for subacromial pain (impingement) syndrome.</w:t>
      </w:r>
      <w:r w:rsidRPr="003F7A7C">
        <w:rPr>
          <w:rFonts w:ascii="Times New Roman" w:hAnsi="Times New Roman" w:cs="Times New Roman"/>
          <w:i/>
          <w:iCs/>
          <w:sz w:val="24"/>
          <w:szCs w:val="24"/>
        </w:rPr>
        <w:t> Rheumatology (Oxford, England), 60</w:t>
      </w:r>
      <w:r w:rsidRPr="003F7A7C">
        <w:rPr>
          <w:rFonts w:ascii="Times New Roman" w:hAnsi="Times New Roman" w:cs="Times New Roman"/>
          <w:sz w:val="24"/>
          <w:szCs w:val="24"/>
        </w:rPr>
        <w:t>(9), 4175-4184. doi:10.1093/rheumatology/keaa903 [doi]</w:t>
      </w:r>
    </w:p>
    <w:p w14:paraId="1E9A3652"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Picavet, H. S., &amp; Schouten, J. S. (2003). Musculoskeletal pain in the netherlands: Prevalences, consequences and risk groups, the DMC(3)-study.</w:t>
      </w:r>
      <w:r w:rsidRPr="003F7A7C">
        <w:rPr>
          <w:rFonts w:ascii="Times New Roman" w:hAnsi="Times New Roman" w:cs="Times New Roman"/>
          <w:i/>
          <w:iCs/>
          <w:sz w:val="24"/>
          <w:szCs w:val="24"/>
        </w:rPr>
        <w:t> Pain, 102</w:t>
      </w:r>
      <w:r w:rsidRPr="003F7A7C">
        <w:rPr>
          <w:rFonts w:ascii="Times New Roman" w:hAnsi="Times New Roman" w:cs="Times New Roman"/>
          <w:sz w:val="24"/>
          <w:szCs w:val="24"/>
        </w:rPr>
        <w:t>(1-2), 167-178. doi:S030439590200372X [pii]</w:t>
      </w:r>
    </w:p>
    <w:p w14:paraId="1D22A59B"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Qvistgaard, E., Kristoffersen, H., Terslev, L., Danneskiold-Samsoe, B., Torp-Pedersen, S., &amp; Bliddal, H. (2001). Guidance by ultrasound of intra-articular injections in the knee and hip joints.</w:t>
      </w:r>
      <w:r w:rsidRPr="003F7A7C">
        <w:rPr>
          <w:rFonts w:ascii="Times New Roman" w:hAnsi="Times New Roman" w:cs="Times New Roman"/>
          <w:i/>
          <w:iCs/>
          <w:sz w:val="24"/>
          <w:szCs w:val="24"/>
        </w:rPr>
        <w:t> Osteoarthritis and Cartilage, 9</w:t>
      </w:r>
      <w:r w:rsidRPr="003F7A7C">
        <w:rPr>
          <w:rFonts w:ascii="Times New Roman" w:hAnsi="Times New Roman" w:cs="Times New Roman"/>
          <w:sz w:val="24"/>
          <w:szCs w:val="24"/>
        </w:rPr>
        <w:t>(6), 512-517. doi:10.1053/joca.2001.0433 [doi]</w:t>
      </w:r>
    </w:p>
    <w:p w14:paraId="5537FF87"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Roach, K. E., Budiman-Mak, E., Songsiridej, N., &amp; Lertratanakul, Y. (1991). Development of a shoulder pain and disability index.</w:t>
      </w:r>
      <w:r w:rsidRPr="003F7A7C">
        <w:rPr>
          <w:rFonts w:ascii="Times New Roman" w:hAnsi="Times New Roman" w:cs="Times New Roman"/>
          <w:i/>
          <w:iCs/>
          <w:sz w:val="24"/>
          <w:szCs w:val="24"/>
        </w:rPr>
        <w:t> Arthritis Care and Research : The Official Journal of the Arthritis Health Professions Association, 4</w:t>
      </w:r>
      <w:r w:rsidRPr="003F7A7C">
        <w:rPr>
          <w:rFonts w:ascii="Times New Roman" w:hAnsi="Times New Roman" w:cs="Times New Roman"/>
          <w:sz w:val="24"/>
          <w:szCs w:val="24"/>
        </w:rPr>
        <w:t>(4), 143-149.</w:t>
      </w:r>
    </w:p>
    <w:p w14:paraId="6052BE2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Roddy, E., Ogollah, R. O., Oppong, R., Zwierska, I., Datta, P., Hall, A., . . . Foster, N. E. (2021). Optimising outcomes of exercise and corticosteroid injection in patients with subacromial pain (impingement) syndrome: A factorial randomised trial.</w:t>
      </w:r>
      <w:r w:rsidRPr="003F7A7C">
        <w:rPr>
          <w:rFonts w:ascii="Times New Roman" w:hAnsi="Times New Roman" w:cs="Times New Roman"/>
          <w:i/>
          <w:iCs/>
          <w:sz w:val="24"/>
          <w:szCs w:val="24"/>
        </w:rPr>
        <w:t> British Journal of Sports Medicine, 55</w:t>
      </w:r>
      <w:r w:rsidRPr="003F7A7C">
        <w:rPr>
          <w:rFonts w:ascii="Times New Roman" w:hAnsi="Times New Roman" w:cs="Times New Roman"/>
          <w:sz w:val="24"/>
          <w:szCs w:val="24"/>
        </w:rPr>
        <w:t>(5), 262-271. doi:10.1136/bjsports-2019-101268 [doi]</w:t>
      </w:r>
    </w:p>
    <w:p w14:paraId="61569FE9"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Roddy, E., Zwierska, I., Hay, E. M., Jowett, S., Lewis, M., Stevenson, K., . . . SUPPORT trial team. (2014). Subacromial impingement syndrome and pain: Protocol for a randomised controlled trial of exercise and corticosteroid injection (the SUPPORT trial).</w:t>
      </w:r>
      <w:r w:rsidRPr="003F7A7C">
        <w:rPr>
          <w:rFonts w:ascii="Times New Roman" w:hAnsi="Times New Roman" w:cs="Times New Roman"/>
          <w:i/>
          <w:iCs/>
          <w:sz w:val="24"/>
          <w:szCs w:val="24"/>
        </w:rPr>
        <w:t> BMC Musculoskeletal Disorders, 15</w:t>
      </w:r>
      <w:r w:rsidRPr="003F7A7C">
        <w:rPr>
          <w:rFonts w:ascii="Times New Roman" w:hAnsi="Times New Roman" w:cs="Times New Roman"/>
          <w:sz w:val="24"/>
          <w:szCs w:val="24"/>
        </w:rPr>
        <w:t>, 81-81. doi:10.1186/1471-2474-15-81 [doi]</w:t>
      </w:r>
    </w:p>
    <w:p w14:paraId="53418622"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Sage, W., Pickup, L., Smith, T. O., Denton, E. R., &amp; Toms, A. P. (2013). The clinical and functional outcomes of ultrasound-guided vs landmark-guided injections for adults with shoulder pathology--a systematic review and meta-analysis.</w:t>
      </w:r>
      <w:r w:rsidRPr="003F7A7C">
        <w:rPr>
          <w:rFonts w:ascii="Times New Roman" w:hAnsi="Times New Roman" w:cs="Times New Roman"/>
          <w:i/>
          <w:iCs/>
          <w:sz w:val="24"/>
          <w:szCs w:val="24"/>
        </w:rPr>
        <w:t> Rheumatology (Oxford, England), 52</w:t>
      </w:r>
      <w:r w:rsidRPr="003F7A7C">
        <w:rPr>
          <w:rFonts w:ascii="Times New Roman" w:hAnsi="Times New Roman" w:cs="Times New Roman"/>
          <w:sz w:val="24"/>
          <w:szCs w:val="24"/>
        </w:rPr>
        <w:t>(4), 743-751. doi:10.1093/rheumatology/kes302 [doi]</w:t>
      </w:r>
    </w:p>
    <w:p w14:paraId="13C3B40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Sethi, P. M., &amp; El Attrache, N. (2006). Accuracy of intra-articular injection of the glenohumeral joint: A cadaveric study.</w:t>
      </w:r>
      <w:r w:rsidRPr="003F7A7C">
        <w:rPr>
          <w:rFonts w:ascii="Times New Roman" w:hAnsi="Times New Roman" w:cs="Times New Roman"/>
          <w:i/>
          <w:iCs/>
          <w:sz w:val="24"/>
          <w:szCs w:val="24"/>
        </w:rPr>
        <w:t> Orthopedics, 29</w:t>
      </w:r>
      <w:r w:rsidRPr="003F7A7C">
        <w:rPr>
          <w:rFonts w:ascii="Times New Roman" w:hAnsi="Times New Roman" w:cs="Times New Roman"/>
          <w:sz w:val="24"/>
          <w:szCs w:val="24"/>
        </w:rPr>
        <w:t>(2), 149-152. doi:10.3928/01477447-20060201-01 [doi]</w:t>
      </w:r>
    </w:p>
    <w:p w14:paraId="55DF0733"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Sethi, P. M., Kingston, S., &amp; Elattrache, N. (2005). Accuracy of anterior intra-articular injection of the glenohumeral joint.</w:t>
      </w:r>
      <w:r w:rsidRPr="003F7A7C">
        <w:rPr>
          <w:rFonts w:ascii="Times New Roman" w:hAnsi="Times New Roman" w:cs="Times New Roman"/>
          <w:i/>
          <w:iCs/>
          <w:sz w:val="24"/>
          <w:szCs w:val="24"/>
        </w:rPr>
        <w:t> Arthroscopy : The Journal of Arthroscopic &amp; Related Surgery : Official Publication of the Arthroscopy Association of North America and the International Arthroscopy Association, 21</w:t>
      </w:r>
      <w:r w:rsidRPr="003F7A7C">
        <w:rPr>
          <w:rFonts w:ascii="Times New Roman" w:hAnsi="Times New Roman" w:cs="Times New Roman"/>
          <w:sz w:val="24"/>
          <w:szCs w:val="24"/>
        </w:rPr>
        <w:t>(1), 77-80. doi:S0749806304009612 [pii]</w:t>
      </w:r>
    </w:p>
    <w:p w14:paraId="68241D5F"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van der Windt, D A, Koes, B. W., de Jong, B. A., &amp; Bouter, L. M. (1995). Shoulder disorders in general practice: Incidence, patient characteristics, and management.</w:t>
      </w:r>
      <w:r w:rsidRPr="003F7A7C">
        <w:rPr>
          <w:rFonts w:ascii="Times New Roman" w:hAnsi="Times New Roman" w:cs="Times New Roman"/>
          <w:i/>
          <w:iCs/>
          <w:sz w:val="24"/>
          <w:szCs w:val="24"/>
        </w:rPr>
        <w:t> Annals of the Rheumatic Diseases, 54</w:t>
      </w:r>
      <w:r w:rsidRPr="003F7A7C">
        <w:rPr>
          <w:rFonts w:ascii="Times New Roman" w:hAnsi="Times New Roman" w:cs="Times New Roman"/>
          <w:sz w:val="24"/>
          <w:szCs w:val="24"/>
        </w:rPr>
        <w:t>(12), 959-964. doi:10.1136/ard.54.12.959 [doi]</w:t>
      </w:r>
    </w:p>
    <w:p w14:paraId="4C87AA4A"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van der Windt, D A, Koes, B. W., Deville, W., Boeke, A. J., de Jong, B. A., &amp; Bouter, L. M. (1998). Effectiveness of corticosteroid injections versus physiotherapy for treatment of painful stiff shoulder in primary care: Randomised trial.</w:t>
      </w:r>
      <w:r w:rsidRPr="003F7A7C">
        <w:rPr>
          <w:rFonts w:ascii="Times New Roman" w:hAnsi="Times New Roman" w:cs="Times New Roman"/>
          <w:i/>
          <w:iCs/>
          <w:sz w:val="24"/>
          <w:szCs w:val="24"/>
        </w:rPr>
        <w:t> BMJ (Clinical Research Ed.), 317</w:t>
      </w:r>
      <w:r w:rsidRPr="003F7A7C">
        <w:rPr>
          <w:rFonts w:ascii="Times New Roman" w:hAnsi="Times New Roman" w:cs="Times New Roman"/>
          <w:sz w:val="24"/>
          <w:szCs w:val="24"/>
        </w:rPr>
        <w:t>(7168), 1292-1296. doi:10.1136/bmj.317.7168.1292 [doi]</w:t>
      </w:r>
    </w:p>
    <w:p w14:paraId="0B9CBE7D" w14:textId="77777777" w:rsidR="003F7A7C" w:rsidRPr="003F7A7C" w:rsidRDefault="003F7A7C" w:rsidP="003F7A7C">
      <w:pPr>
        <w:spacing w:line="360" w:lineRule="auto"/>
        <w:jc w:val="both"/>
        <w:rPr>
          <w:rFonts w:ascii="Times New Roman" w:hAnsi="Times New Roman" w:cs="Times New Roman"/>
          <w:sz w:val="24"/>
          <w:szCs w:val="24"/>
        </w:rPr>
      </w:pPr>
      <w:r w:rsidRPr="003F7A7C">
        <w:rPr>
          <w:rFonts w:ascii="Times New Roman" w:hAnsi="Times New Roman" w:cs="Times New Roman"/>
          <w:sz w:val="24"/>
          <w:szCs w:val="24"/>
        </w:rPr>
        <w:t>Ware, J.,Jr, Kosinski, M., &amp; Keller, S. D. (1996). A 12-item short-form health survey: Construction of scales and preliminary tests of reliability and validity.</w:t>
      </w:r>
      <w:r w:rsidRPr="003F7A7C">
        <w:rPr>
          <w:rFonts w:ascii="Times New Roman" w:hAnsi="Times New Roman" w:cs="Times New Roman"/>
          <w:i/>
          <w:iCs/>
          <w:sz w:val="24"/>
          <w:szCs w:val="24"/>
        </w:rPr>
        <w:t> Medical Care, 34</w:t>
      </w:r>
      <w:r w:rsidRPr="003F7A7C">
        <w:rPr>
          <w:rFonts w:ascii="Times New Roman" w:hAnsi="Times New Roman" w:cs="Times New Roman"/>
          <w:sz w:val="24"/>
          <w:szCs w:val="24"/>
        </w:rPr>
        <w:t>(3), 220-233. doi:10.1097/00005650-199603000-00003 [doi]</w:t>
      </w:r>
    </w:p>
    <w:p w14:paraId="17448094" w14:textId="77777777" w:rsidR="003F7A7C" w:rsidRPr="003F7A7C" w:rsidRDefault="003F7A7C" w:rsidP="003F7A7C">
      <w:pPr>
        <w:spacing w:line="360" w:lineRule="auto"/>
        <w:jc w:val="both"/>
        <w:rPr>
          <w:rFonts w:ascii="Times New Roman" w:hAnsi="Times New Roman" w:cs="Times New Roman"/>
          <w:b/>
          <w:sz w:val="24"/>
          <w:szCs w:val="24"/>
        </w:rPr>
      </w:pPr>
    </w:p>
    <w:p w14:paraId="11E4D101" w14:textId="0FC49CD4" w:rsidR="003F7A7C" w:rsidRDefault="003F7A7C" w:rsidP="00B53E33">
      <w:pPr>
        <w:spacing w:line="360" w:lineRule="auto"/>
        <w:jc w:val="both"/>
        <w:rPr>
          <w:rFonts w:ascii="Times New Roman" w:hAnsi="Times New Roman" w:cs="Times New Roman"/>
          <w:b/>
          <w:sz w:val="24"/>
          <w:szCs w:val="24"/>
        </w:rPr>
      </w:pPr>
    </w:p>
    <w:p w14:paraId="668308AD" w14:textId="77777777" w:rsidR="00317C97" w:rsidRDefault="00317C97" w:rsidP="00B53E33">
      <w:pPr>
        <w:spacing w:line="360" w:lineRule="auto"/>
        <w:jc w:val="both"/>
        <w:rPr>
          <w:rFonts w:ascii="Times New Roman" w:hAnsi="Times New Roman" w:cs="Times New Roman"/>
          <w:b/>
          <w:sz w:val="24"/>
          <w:szCs w:val="24"/>
        </w:rPr>
      </w:pPr>
    </w:p>
    <w:p w14:paraId="0531404B" w14:textId="77777777" w:rsidR="00317C97" w:rsidRDefault="00317C97" w:rsidP="00B53E33">
      <w:pPr>
        <w:spacing w:line="360" w:lineRule="auto"/>
        <w:jc w:val="both"/>
        <w:rPr>
          <w:rFonts w:ascii="Times New Roman" w:hAnsi="Times New Roman" w:cs="Times New Roman"/>
          <w:b/>
          <w:sz w:val="24"/>
          <w:szCs w:val="24"/>
        </w:rPr>
      </w:pPr>
    </w:p>
    <w:p w14:paraId="41C8446A" w14:textId="77777777" w:rsidR="00317C97" w:rsidRDefault="00317C97" w:rsidP="00B53E33">
      <w:pPr>
        <w:spacing w:line="360" w:lineRule="auto"/>
        <w:jc w:val="both"/>
        <w:rPr>
          <w:rFonts w:ascii="Times New Roman" w:hAnsi="Times New Roman" w:cs="Times New Roman"/>
          <w:b/>
          <w:sz w:val="24"/>
          <w:szCs w:val="24"/>
        </w:rPr>
      </w:pPr>
    </w:p>
    <w:p w14:paraId="027C61B9" w14:textId="77777777" w:rsidR="00317C97" w:rsidRDefault="00317C97" w:rsidP="00B53E33">
      <w:pPr>
        <w:spacing w:line="360" w:lineRule="auto"/>
        <w:jc w:val="both"/>
        <w:rPr>
          <w:rFonts w:ascii="Times New Roman" w:hAnsi="Times New Roman" w:cs="Times New Roman"/>
          <w:b/>
          <w:sz w:val="24"/>
          <w:szCs w:val="24"/>
        </w:rPr>
      </w:pPr>
    </w:p>
    <w:p w14:paraId="2C57EA99" w14:textId="77777777" w:rsidR="00317C97" w:rsidRDefault="00317C97" w:rsidP="00B53E33">
      <w:pPr>
        <w:spacing w:line="360" w:lineRule="auto"/>
        <w:jc w:val="both"/>
        <w:rPr>
          <w:rFonts w:ascii="Times New Roman" w:hAnsi="Times New Roman" w:cs="Times New Roman"/>
          <w:b/>
          <w:sz w:val="24"/>
          <w:szCs w:val="24"/>
        </w:rPr>
      </w:pPr>
    </w:p>
    <w:p w14:paraId="5EDAA19F" w14:textId="77777777" w:rsidR="00317C97" w:rsidRDefault="00317C97" w:rsidP="00B53E33">
      <w:pPr>
        <w:spacing w:line="360" w:lineRule="auto"/>
        <w:jc w:val="both"/>
        <w:rPr>
          <w:rFonts w:ascii="Times New Roman" w:hAnsi="Times New Roman" w:cs="Times New Roman"/>
          <w:b/>
          <w:sz w:val="24"/>
          <w:szCs w:val="24"/>
        </w:rPr>
      </w:pPr>
    </w:p>
    <w:p w14:paraId="7B1F9846" w14:textId="77777777" w:rsidR="00317C97" w:rsidRDefault="00317C97" w:rsidP="00B53E33">
      <w:pPr>
        <w:spacing w:line="360" w:lineRule="auto"/>
        <w:jc w:val="both"/>
        <w:rPr>
          <w:rFonts w:ascii="Times New Roman" w:hAnsi="Times New Roman" w:cs="Times New Roman"/>
          <w:b/>
          <w:sz w:val="24"/>
          <w:szCs w:val="24"/>
        </w:rPr>
      </w:pPr>
    </w:p>
    <w:p w14:paraId="3E9501F8" w14:textId="77777777" w:rsidR="00317C97" w:rsidRDefault="00317C97" w:rsidP="00B53E33">
      <w:pPr>
        <w:spacing w:line="360" w:lineRule="auto"/>
        <w:jc w:val="both"/>
        <w:rPr>
          <w:rFonts w:ascii="Times New Roman" w:hAnsi="Times New Roman" w:cs="Times New Roman"/>
          <w:b/>
          <w:sz w:val="24"/>
          <w:szCs w:val="24"/>
        </w:rPr>
      </w:pPr>
    </w:p>
    <w:p w14:paraId="7DE04976" w14:textId="77777777" w:rsidR="00317C97" w:rsidRDefault="00317C97" w:rsidP="00B53E33">
      <w:pPr>
        <w:spacing w:line="360" w:lineRule="auto"/>
        <w:jc w:val="both"/>
        <w:rPr>
          <w:rFonts w:ascii="Times New Roman" w:hAnsi="Times New Roman" w:cs="Times New Roman"/>
          <w:b/>
          <w:sz w:val="24"/>
          <w:szCs w:val="24"/>
        </w:rPr>
      </w:pPr>
    </w:p>
    <w:p w14:paraId="2BF26EAF" w14:textId="77777777" w:rsidR="00317C97" w:rsidRDefault="00317C97" w:rsidP="00B53E33">
      <w:pPr>
        <w:spacing w:line="360" w:lineRule="auto"/>
        <w:jc w:val="both"/>
        <w:rPr>
          <w:rFonts w:ascii="Times New Roman" w:hAnsi="Times New Roman" w:cs="Times New Roman"/>
          <w:b/>
          <w:sz w:val="24"/>
          <w:szCs w:val="24"/>
        </w:rPr>
        <w:sectPr w:rsidR="00317C97" w:rsidSect="00BF24F3">
          <w:endnotePr>
            <w:numFmt w:val="decimal"/>
          </w:endnotePr>
          <w:pgSz w:w="11906" w:h="16838"/>
          <w:pgMar w:top="1440" w:right="1440" w:bottom="1440" w:left="1440" w:header="709" w:footer="709" w:gutter="0"/>
          <w:lnNumType w:countBy="1" w:restart="continuous"/>
          <w:cols w:space="708"/>
          <w:docGrid w:linePitch="360"/>
        </w:sectPr>
      </w:pPr>
    </w:p>
    <w:p w14:paraId="55653DF9" w14:textId="77777777" w:rsidR="00317C97" w:rsidRDefault="00317C97" w:rsidP="00317C97">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Table 1 </w:t>
      </w:r>
      <w:r>
        <w:rPr>
          <w:rFonts w:ascii="Times New Roman" w:hAnsi="Times New Roman" w:cs="Times New Roman"/>
          <w:sz w:val="24"/>
          <w:szCs w:val="24"/>
          <w:lang w:val="en-US"/>
        </w:rPr>
        <w:t xml:space="preserve">Baseline socio-demographic and clinical variable characteristics of trial participants, overall and by placement accuracy </w:t>
      </w:r>
    </w:p>
    <w:tbl>
      <w:tblPr>
        <w:tblW w:w="14070" w:type="dxa"/>
        <w:jc w:val="center"/>
        <w:tblLayout w:type="fixed"/>
        <w:tblLook w:val="04A0" w:firstRow="1" w:lastRow="0" w:firstColumn="1" w:lastColumn="0" w:noHBand="0" w:noVBand="1"/>
      </w:tblPr>
      <w:tblGrid>
        <w:gridCol w:w="5389"/>
        <w:gridCol w:w="1984"/>
        <w:gridCol w:w="2305"/>
        <w:gridCol w:w="2374"/>
        <w:gridCol w:w="2018"/>
      </w:tblGrid>
      <w:tr w:rsidR="00317C97" w14:paraId="2BAF7D91" w14:textId="77777777" w:rsidTr="00317C97">
        <w:trPr>
          <w:trHeight w:val="1854"/>
          <w:jc w:val="center"/>
        </w:trPr>
        <w:tc>
          <w:tcPr>
            <w:tcW w:w="5387" w:type="dxa"/>
            <w:tcBorders>
              <w:top w:val="single" w:sz="18" w:space="0" w:color="auto"/>
              <w:left w:val="nil"/>
              <w:bottom w:val="single" w:sz="4" w:space="0" w:color="auto"/>
              <w:right w:val="nil"/>
            </w:tcBorders>
            <w:hideMark/>
          </w:tcPr>
          <w:p w14:paraId="28074AD5" w14:textId="77777777" w:rsidR="00317C97" w:rsidRDefault="00317C97">
            <w:pPr>
              <w:spacing w:line="360" w:lineRule="auto"/>
              <w:rPr>
                <w:rFonts w:ascii="Times New Roman" w:hAnsi="Times New Roman" w:cs="Times New Roman"/>
                <w:b/>
                <w:sz w:val="24"/>
                <w:szCs w:val="24"/>
              </w:rPr>
            </w:pPr>
            <w:r>
              <w:rPr>
                <w:rFonts w:ascii="Times New Roman" w:hAnsi="Times New Roman" w:cs="Times New Roman"/>
                <w:b/>
                <w:sz w:val="24"/>
                <w:szCs w:val="24"/>
              </w:rPr>
              <w:t>Key characteristics</w:t>
            </w:r>
          </w:p>
        </w:tc>
        <w:tc>
          <w:tcPr>
            <w:tcW w:w="1984" w:type="dxa"/>
            <w:tcBorders>
              <w:top w:val="single" w:sz="18" w:space="0" w:color="auto"/>
              <w:left w:val="nil"/>
              <w:bottom w:val="single" w:sz="4" w:space="0" w:color="auto"/>
              <w:right w:val="nil"/>
            </w:tcBorders>
            <w:hideMark/>
          </w:tcPr>
          <w:p w14:paraId="3ACE8AE5"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All participants with video image data on US-guided placement accuracy</w:t>
            </w:r>
          </w:p>
          <w:p w14:paraId="20B351E7"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i/>
                <w:sz w:val="24"/>
                <w:szCs w:val="24"/>
              </w:rPr>
              <w:t>n</w:t>
            </w:r>
            <w:r>
              <w:rPr>
                <w:rFonts w:ascii="Times New Roman" w:hAnsi="Times New Roman" w:cs="Times New Roman"/>
                <w:b/>
                <w:sz w:val="24"/>
                <w:szCs w:val="24"/>
              </w:rPr>
              <w:t xml:space="preserve"> = 114</w:t>
            </w:r>
          </w:p>
        </w:tc>
        <w:tc>
          <w:tcPr>
            <w:tcW w:w="2305" w:type="dxa"/>
            <w:tcBorders>
              <w:top w:val="single" w:sz="18" w:space="0" w:color="auto"/>
              <w:left w:val="nil"/>
              <w:bottom w:val="single" w:sz="4" w:space="0" w:color="auto"/>
              <w:right w:val="nil"/>
            </w:tcBorders>
            <w:hideMark/>
          </w:tcPr>
          <w:p w14:paraId="1A59D52D"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Definitely/Probably not in the subacromial bursa (Group 1)</w:t>
            </w:r>
          </w:p>
          <w:p w14:paraId="0353D30D"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n=22</w:t>
            </w:r>
          </w:p>
        </w:tc>
        <w:tc>
          <w:tcPr>
            <w:tcW w:w="2373" w:type="dxa"/>
            <w:tcBorders>
              <w:top w:val="single" w:sz="18" w:space="0" w:color="auto"/>
              <w:left w:val="nil"/>
              <w:bottom w:val="single" w:sz="4" w:space="0" w:color="auto"/>
              <w:right w:val="nil"/>
            </w:tcBorders>
          </w:tcPr>
          <w:p w14:paraId="41D459F0"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Probably in the subacromial bursa (Group 2)</w:t>
            </w:r>
          </w:p>
          <w:p w14:paraId="0A8B1938" w14:textId="77777777" w:rsidR="00317C97" w:rsidRDefault="00317C97">
            <w:pPr>
              <w:spacing w:line="360" w:lineRule="auto"/>
              <w:jc w:val="center"/>
              <w:rPr>
                <w:rFonts w:ascii="Times New Roman" w:hAnsi="Times New Roman" w:cs="Times New Roman"/>
                <w:b/>
                <w:sz w:val="24"/>
                <w:szCs w:val="24"/>
              </w:rPr>
            </w:pPr>
          </w:p>
          <w:p w14:paraId="15533956"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n=21</w:t>
            </w:r>
          </w:p>
        </w:tc>
        <w:tc>
          <w:tcPr>
            <w:tcW w:w="2018" w:type="dxa"/>
            <w:tcBorders>
              <w:top w:val="single" w:sz="18" w:space="0" w:color="auto"/>
              <w:left w:val="nil"/>
              <w:bottom w:val="single" w:sz="4" w:space="0" w:color="auto"/>
              <w:right w:val="nil"/>
            </w:tcBorders>
            <w:hideMark/>
          </w:tcPr>
          <w:p w14:paraId="34CB505D"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Definitely in the subacromial bursa (Group 3)</w:t>
            </w:r>
          </w:p>
          <w:p w14:paraId="76D6DB7F" w14:textId="77777777" w:rsidR="00317C97" w:rsidRDefault="00317C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n=71</w:t>
            </w:r>
          </w:p>
        </w:tc>
      </w:tr>
      <w:tr w:rsidR="00317C97" w14:paraId="73A68D83" w14:textId="77777777" w:rsidTr="00317C97">
        <w:trPr>
          <w:trHeight w:hRule="exact" w:val="291"/>
          <w:jc w:val="center"/>
        </w:trPr>
        <w:tc>
          <w:tcPr>
            <w:tcW w:w="5387" w:type="dxa"/>
            <w:hideMark/>
          </w:tcPr>
          <w:p w14:paraId="0670E2D8" w14:textId="77777777" w:rsidR="00317C97" w:rsidRDefault="00317C97">
            <w:pPr>
              <w:spacing w:line="360" w:lineRule="auto"/>
              <w:rPr>
                <w:rFonts w:ascii="Times New Roman" w:hAnsi="Times New Roman" w:cs="Times New Roman"/>
                <w:b/>
                <w:sz w:val="24"/>
                <w:szCs w:val="24"/>
              </w:rPr>
            </w:pPr>
            <w:r>
              <w:rPr>
                <w:rFonts w:ascii="Times New Roman" w:hAnsi="Times New Roman" w:cs="Times New Roman"/>
                <w:b/>
                <w:color w:val="4472C4" w:themeColor="accent5"/>
                <w:sz w:val="24"/>
                <w:szCs w:val="24"/>
              </w:rPr>
              <w:t>Socio-demographic characteristics</w:t>
            </w:r>
          </w:p>
        </w:tc>
        <w:tc>
          <w:tcPr>
            <w:tcW w:w="1984" w:type="dxa"/>
          </w:tcPr>
          <w:p w14:paraId="33BB30AB" w14:textId="77777777" w:rsidR="00317C97" w:rsidRDefault="00317C97">
            <w:pPr>
              <w:spacing w:line="360" w:lineRule="auto"/>
              <w:jc w:val="center"/>
              <w:rPr>
                <w:rFonts w:ascii="Times New Roman" w:hAnsi="Times New Roman" w:cs="Times New Roman"/>
                <w:b/>
                <w:sz w:val="24"/>
                <w:szCs w:val="24"/>
              </w:rPr>
            </w:pPr>
          </w:p>
        </w:tc>
        <w:tc>
          <w:tcPr>
            <w:tcW w:w="2305" w:type="dxa"/>
          </w:tcPr>
          <w:p w14:paraId="2F46CC71" w14:textId="77777777" w:rsidR="00317C97" w:rsidRDefault="00317C97">
            <w:pPr>
              <w:spacing w:line="360" w:lineRule="auto"/>
              <w:jc w:val="center"/>
              <w:rPr>
                <w:rFonts w:ascii="Times New Roman" w:hAnsi="Times New Roman" w:cs="Times New Roman"/>
                <w:b/>
                <w:sz w:val="24"/>
                <w:szCs w:val="24"/>
              </w:rPr>
            </w:pPr>
          </w:p>
        </w:tc>
        <w:tc>
          <w:tcPr>
            <w:tcW w:w="2373" w:type="dxa"/>
          </w:tcPr>
          <w:p w14:paraId="4A1DC6FE" w14:textId="77777777" w:rsidR="00317C97" w:rsidRDefault="00317C97">
            <w:pPr>
              <w:spacing w:line="360" w:lineRule="auto"/>
              <w:jc w:val="center"/>
              <w:rPr>
                <w:rFonts w:ascii="Times New Roman" w:hAnsi="Times New Roman" w:cs="Times New Roman"/>
                <w:b/>
                <w:sz w:val="24"/>
                <w:szCs w:val="24"/>
              </w:rPr>
            </w:pPr>
          </w:p>
        </w:tc>
        <w:tc>
          <w:tcPr>
            <w:tcW w:w="2018" w:type="dxa"/>
          </w:tcPr>
          <w:p w14:paraId="7367E419" w14:textId="77777777" w:rsidR="00317C97" w:rsidRDefault="00317C97">
            <w:pPr>
              <w:spacing w:line="360" w:lineRule="auto"/>
              <w:jc w:val="center"/>
              <w:rPr>
                <w:rFonts w:ascii="Times New Roman" w:hAnsi="Times New Roman" w:cs="Times New Roman"/>
                <w:b/>
                <w:sz w:val="24"/>
                <w:szCs w:val="24"/>
              </w:rPr>
            </w:pPr>
          </w:p>
        </w:tc>
      </w:tr>
      <w:tr w:rsidR="00317C97" w14:paraId="11E22B9D" w14:textId="77777777" w:rsidTr="00317C97">
        <w:trPr>
          <w:trHeight w:hRule="exact" w:val="291"/>
          <w:jc w:val="center"/>
        </w:trPr>
        <w:tc>
          <w:tcPr>
            <w:tcW w:w="5387" w:type="dxa"/>
            <w:hideMark/>
          </w:tcPr>
          <w:p w14:paraId="578FD34C"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Age, mean (SD)</w:t>
            </w:r>
          </w:p>
        </w:tc>
        <w:tc>
          <w:tcPr>
            <w:tcW w:w="1984" w:type="dxa"/>
            <w:vAlign w:val="center"/>
            <w:hideMark/>
          </w:tcPr>
          <w:p w14:paraId="43A9FC6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54.8 (10.4)</w:t>
            </w:r>
          </w:p>
        </w:tc>
        <w:tc>
          <w:tcPr>
            <w:tcW w:w="2305" w:type="dxa"/>
            <w:hideMark/>
          </w:tcPr>
          <w:p w14:paraId="6B45B81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51.2 (10.0)</w:t>
            </w:r>
          </w:p>
        </w:tc>
        <w:tc>
          <w:tcPr>
            <w:tcW w:w="2373" w:type="dxa"/>
            <w:hideMark/>
          </w:tcPr>
          <w:p w14:paraId="6CB32F2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56.9 (10.0)</w:t>
            </w:r>
          </w:p>
        </w:tc>
        <w:tc>
          <w:tcPr>
            <w:tcW w:w="2018" w:type="dxa"/>
            <w:hideMark/>
          </w:tcPr>
          <w:p w14:paraId="3125CACF"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55.3 (10.5)</w:t>
            </w:r>
          </w:p>
        </w:tc>
      </w:tr>
      <w:tr w:rsidR="00317C97" w14:paraId="5D53A9FA" w14:textId="77777777" w:rsidTr="00317C97">
        <w:trPr>
          <w:trHeight w:hRule="exact" w:val="291"/>
          <w:jc w:val="center"/>
        </w:trPr>
        <w:tc>
          <w:tcPr>
            <w:tcW w:w="5387" w:type="dxa"/>
            <w:hideMark/>
          </w:tcPr>
          <w:p w14:paraId="2CAFD34B"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Females, n (%)</w:t>
            </w:r>
          </w:p>
        </w:tc>
        <w:tc>
          <w:tcPr>
            <w:tcW w:w="1984" w:type="dxa"/>
            <w:vAlign w:val="center"/>
            <w:hideMark/>
          </w:tcPr>
          <w:p w14:paraId="7049B2F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59 (51.8)</w:t>
            </w:r>
          </w:p>
        </w:tc>
        <w:tc>
          <w:tcPr>
            <w:tcW w:w="2305" w:type="dxa"/>
            <w:hideMark/>
          </w:tcPr>
          <w:p w14:paraId="5664B6C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15 (68.2)</w:t>
            </w:r>
          </w:p>
        </w:tc>
        <w:tc>
          <w:tcPr>
            <w:tcW w:w="2373" w:type="dxa"/>
            <w:hideMark/>
          </w:tcPr>
          <w:p w14:paraId="70C5D27A"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12 (57.1)</w:t>
            </w:r>
          </w:p>
        </w:tc>
        <w:tc>
          <w:tcPr>
            <w:tcW w:w="2018" w:type="dxa"/>
            <w:hideMark/>
          </w:tcPr>
          <w:p w14:paraId="702883C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32 (45.1)</w:t>
            </w:r>
          </w:p>
        </w:tc>
      </w:tr>
      <w:tr w:rsidR="00317C97" w14:paraId="4D93F52C" w14:textId="77777777" w:rsidTr="00317C97">
        <w:trPr>
          <w:trHeight w:hRule="exact" w:val="291"/>
          <w:jc w:val="center"/>
        </w:trPr>
        <w:tc>
          <w:tcPr>
            <w:tcW w:w="5387" w:type="dxa"/>
            <w:hideMark/>
          </w:tcPr>
          <w:p w14:paraId="6DACC970"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Previous or current smokers, n (%)</w:t>
            </w:r>
          </w:p>
        </w:tc>
        <w:tc>
          <w:tcPr>
            <w:tcW w:w="1984" w:type="dxa"/>
            <w:vAlign w:val="center"/>
            <w:hideMark/>
          </w:tcPr>
          <w:p w14:paraId="18B8C3E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60 (52.6)</w:t>
            </w:r>
          </w:p>
        </w:tc>
        <w:tc>
          <w:tcPr>
            <w:tcW w:w="2305" w:type="dxa"/>
            <w:hideMark/>
          </w:tcPr>
          <w:p w14:paraId="034126D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11(50.0)</w:t>
            </w:r>
          </w:p>
        </w:tc>
        <w:tc>
          <w:tcPr>
            <w:tcW w:w="2373" w:type="dxa"/>
            <w:hideMark/>
          </w:tcPr>
          <w:p w14:paraId="757C452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13 (61.9)</w:t>
            </w:r>
          </w:p>
        </w:tc>
        <w:tc>
          <w:tcPr>
            <w:tcW w:w="2018" w:type="dxa"/>
            <w:hideMark/>
          </w:tcPr>
          <w:p w14:paraId="3B7689DF"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36 (50.7)</w:t>
            </w:r>
          </w:p>
        </w:tc>
      </w:tr>
      <w:tr w:rsidR="00317C97" w14:paraId="2B2BF40E" w14:textId="77777777" w:rsidTr="00317C97">
        <w:trPr>
          <w:trHeight w:hRule="exact" w:val="291"/>
          <w:jc w:val="center"/>
        </w:trPr>
        <w:tc>
          <w:tcPr>
            <w:tcW w:w="5387" w:type="dxa"/>
            <w:hideMark/>
          </w:tcPr>
          <w:p w14:paraId="40316590"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Live alone, n (%)</w:t>
            </w:r>
          </w:p>
        </w:tc>
        <w:tc>
          <w:tcPr>
            <w:tcW w:w="1984" w:type="dxa"/>
            <w:vAlign w:val="center"/>
            <w:hideMark/>
          </w:tcPr>
          <w:p w14:paraId="4212113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21 (18.6)</w:t>
            </w:r>
          </w:p>
        </w:tc>
        <w:tc>
          <w:tcPr>
            <w:tcW w:w="2305" w:type="dxa"/>
            <w:hideMark/>
          </w:tcPr>
          <w:p w14:paraId="4A2B44E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 (22.7)</w:t>
            </w:r>
          </w:p>
        </w:tc>
        <w:tc>
          <w:tcPr>
            <w:tcW w:w="2373" w:type="dxa"/>
            <w:hideMark/>
          </w:tcPr>
          <w:p w14:paraId="78FEDDD4"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 (30.0)</w:t>
            </w:r>
          </w:p>
        </w:tc>
        <w:tc>
          <w:tcPr>
            <w:tcW w:w="2018" w:type="dxa"/>
            <w:hideMark/>
          </w:tcPr>
          <w:p w14:paraId="649109A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10 (14.1)</w:t>
            </w:r>
          </w:p>
        </w:tc>
      </w:tr>
      <w:tr w:rsidR="00317C97" w14:paraId="04A6EC01" w14:textId="77777777" w:rsidTr="00317C97">
        <w:trPr>
          <w:trHeight w:hRule="exact" w:val="291"/>
          <w:jc w:val="center"/>
        </w:trPr>
        <w:tc>
          <w:tcPr>
            <w:tcW w:w="5387" w:type="dxa"/>
            <w:hideMark/>
          </w:tcPr>
          <w:p w14:paraId="503E9341"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BMI categories, n (%)</w:t>
            </w:r>
          </w:p>
        </w:tc>
        <w:tc>
          <w:tcPr>
            <w:tcW w:w="1984" w:type="dxa"/>
            <w:vAlign w:val="center"/>
          </w:tcPr>
          <w:p w14:paraId="0BA3FA1C" w14:textId="77777777" w:rsidR="00317C97" w:rsidRDefault="00317C97">
            <w:pPr>
              <w:spacing w:line="360" w:lineRule="auto"/>
              <w:jc w:val="center"/>
              <w:rPr>
                <w:rFonts w:ascii="Times New Roman" w:hAnsi="Times New Roman" w:cs="Times New Roman"/>
                <w:sz w:val="24"/>
                <w:szCs w:val="24"/>
              </w:rPr>
            </w:pPr>
          </w:p>
        </w:tc>
        <w:tc>
          <w:tcPr>
            <w:tcW w:w="2305" w:type="dxa"/>
          </w:tcPr>
          <w:p w14:paraId="2CBEC151" w14:textId="77777777" w:rsidR="00317C97" w:rsidRDefault="00317C97">
            <w:pPr>
              <w:spacing w:line="360" w:lineRule="auto"/>
              <w:jc w:val="center"/>
              <w:rPr>
                <w:rFonts w:ascii="Times New Roman" w:hAnsi="Times New Roman" w:cs="Times New Roman"/>
                <w:sz w:val="24"/>
                <w:szCs w:val="24"/>
              </w:rPr>
            </w:pPr>
          </w:p>
        </w:tc>
        <w:tc>
          <w:tcPr>
            <w:tcW w:w="2373" w:type="dxa"/>
          </w:tcPr>
          <w:p w14:paraId="2D0AFC4C" w14:textId="77777777" w:rsidR="00317C97" w:rsidRDefault="00317C97">
            <w:pPr>
              <w:spacing w:line="360" w:lineRule="auto"/>
              <w:jc w:val="center"/>
              <w:rPr>
                <w:rFonts w:ascii="Times New Roman" w:hAnsi="Times New Roman" w:cs="Times New Roman"/>
                <w:sz w:val="24"/>
                <w:szCs w:val="24"/>
              </w:rPr>
            </w:pPr>
          </w:p>
        </w:tc>
        <w:tc>
          <w:tcPr>
            <w:tcW w:w="2018" w:type="dxa"/>
          </w:tcPr>
          <w:p w14:paraId="197DA81C" w14:textId="77777777" w:rsidR="00317C97" w:rsidRDefault="00317C97">
            <w:pPr>
              <w:spacing w:line="360" w:lineRule="auto"/>
              <w:jc w:val="center"/>
              <w:rPr>
                <w:rFonts w:ascii="Times New Roman" w:hAnsi="Times New Roman" w:cs="Times New Roman"/>
                <w:sz w:val="24"/>
                <w:szCs w:val="24"/>
              </w:rPr>
            </w:pPr>
          </w:p>
        </w:tc>
      </w:tr>
      <w:tr w:rsidR="00317C97" w14:paraId="6CAC9A0E" w14:textId="77777777" w:rsidTr="00317C97">
        <w:trPr>
          <w:trHeight w:hRule="exact" w:val="291"/>
          <w:jc w:val="center"/>
        </w:trPr>
        <w:tc>
          <w:tcPr>
            <w:tcW w:w="5387" w:type="dxa"/>
            <w:hideMark/>
          </w:tcPr>
          <w:p w14:paraId="12B88DD3"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Normal/ underweight</w:t>
            </w:r>
          </w:p>
        </w:tc>
        <w:tc>
          <w:tcPr>
            <w:tcW w:w="1984" w:type="dxa"/>
            <w:vAlign w:val="center"/>
            <w:hideMark/>
          </w:tcPr>
          <w:p w14:paraId="4D25989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30 (26.3)</w:t>
            </w:r>
          </w:p>
        </w:tc>
        <w:tc>
          <w:tcPr>
            <w:tcW w:w="2305" w:type="dxa"/>
            <w:hideMark/>
          </w:tcPr>
          <w:p w14:paraId="365CAB6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8 (36.4)</w:t>
            </w:r>
          </w:p>
        </w:tc>
        <w:tc>
          <w:tcPr>
            <w:tcW w:w="2373" w:type="dxa"/>
            <w:hideMark/>
          </w:tcPr>
          <w:p w14:paraId="1C279B1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 (19.1)</w:t>
            </w:r>
          </w:p>
        </w:tc>
        <w:tc>
          <w:tcPr>
            <w:tcW w:w="2018" w:type="dxa"/>
            <w:hideMark/>
          </w:tcPr>
          <w:p w14:paraId="36761FB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18 (25.4)</w:t>
            </w:r>
          </w:p>
        </w:tc>
      </w:tr>
      <w:tr w:rsidR="00317C97" w14:paraId="740DF236" w14:textId="77777777" w:rsidTr="00317C97">
        <w:trPr>
          <w:trHeight w:hRule="exact" w:val="291"/>
          <w:jc w:val="center"/>
        </w:trPr>
        <w:tc>
          <w:tcPr>
            <w:tcW w:w="5387" w:type="dxa"/>
            <w:hideMark/>
          </w:tcPr>
          <w:p w14:paraId="349F09B7"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Overweight</w:t>
            </w:r>
          </w:p>
        </w:tc>
        <w:tc>
          <w:tcPr>
            <w:tcW w:w="1984" w:type="dxa"/>
            <w:vAlign w:val="center"/>
            <w:hideMark/>
          </w:tcPr>
          <w:p w14:paraId="54448A6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34 (29.8)</w:t>
            </w:r>
          </w:p>
        </w:tc>
        <w:tc>
          <w:tcPr>
            <w:tcW w:w="2305" w:type="dxa"/>
            <w:hideMark/>
          </w:tcPr>
          <w:p w14:paraId="647F1C0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 (22.7)</w:t>
            </w:r>
          </w:p>
        </w:tc>
        <w:tc>
          <w:tcPr>
            <w:tcW w:w="2373" w:type="dxa"/>
            <w:hideMark/>
          </w:tcPr>
          <w:p w14:paraId="7B628391"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 (28.6)</w:t>
            </w:r>
          </w:p>
        </w:tc>
        <w:tc>
          <w:tcPr>
            <w:tcW w:w="2018" w:type="dxa"/>
            <w:hideMark/>
          </w:tcPr>
          <w:p w14:paraId="0D5E41C6"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23 (32.4)</w:t>
            </w:r>
          </w:p>
        </w:tc>
      </w:tr>
      <w:tr w:rsidR="00317C97" w14:paraId="0A88C823" w14:textId="77777777" w:rsidTr="00317C97">
        <w:trPr>
          <w:trHeight w:hRule="exact" w:val="291"/>
          <w:jc w:val="center"/>
        </w:trPr>
        <w:tc>
          <w:tcPr>
            <w:tcW w:w="5387" w:type="dxa"/>
            <w:hideMark/>
          </w:tcPr>
          <w:p w14:paraId="5612050A"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Obese/morbidly obese</w:t>
            </w:r>
          </w:p>
        </w:tc>
        <w:tc>
          <w:tcPr>
            <w:tcW w:w="1984" w:type="dxa"/>
            <w:vAlign w:val="center"/>
            <w:hideMark/>
          </w:tcPr>
          <w:p w14:paraId="0C58418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50 (43.9)</w:t>
            </w:r>
          </w:p>
        </w:tc>
        <w:tc>
          <w:tcPr>
            <w:tcW w:w="2305" w:type="dxa"/>
            <w:hideMark/>
          </w:tcPr>
          <w:p w14:paraId="30D78DCC"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9 (40.9)</w:t>
            </w:r>
          </w:p>
        </w:tc>
        <w:tc>
          <w:tcPr>
            <w:tcW w:w="2373" w:type="dxa"/>
            <w:hideMark/>
          </w:tcPr>
          <w:p w14:paraId="5867A13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11 (52.4)</w:t>
            </w:r>
          </w:p>
        </w:tc>
        <w:tc>
          <w:tcPr>
            <w:tcW w:w="2018" w:type="dxa"/>
            <w:hideMark/>
          </w:tcPr>
          <w:p w14:paraId="1AA0166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30 (42.3)</w:t>
            </w:r>
          </w:p>
        </w:tc>
      </w:tr>
      <w:tr w:rsidR="00317C97" w14:paraId="7DBF8739" w14:textId="77777777" w:rsidTr="00317C97">
        <w:trPr>
          <w:trHeight w:hRule="exact" w:val="291"/>
          <w:jc w:val="center"/>
        </w:trPr>
        <w:tc>
          <w:tcPr>
            <w:tcW w:w="5387" w:type="dxa"/>
          </w:tcPr>
          <w:p w14:paraId="3C72A235" w14:textId="77777777" w:rsidR="00317C97" w:rsidRDefault="00317C97">
            <w:pPr>
              <w:spacing w:line="360" w:lineRule="auto"/>
              <w:rPr>
                <w:rFonts w:ascii="Times New Roman" w:hAnsi="Times New Roman" w:cs="Times New Roman"/>
                <w:sz w:val="24"/>
                <w:szCs w:val="24"/>
              </w:rPr>
            </w:pPr>
          </w:p>
        </w:tc>
        <w:tc>
          <w:tcPr>
            <w:tcW w:w="1984" w:type="dxa"/>
            <w:vAlign w:val="center"/>
          </w:tcPr>
          <w:p w14:paraId="14C5ADA3" w14:textId="77777777" w:rsidR="00317C97" w:rsidRDefault="00317C97">
            <w:pPr>
              <w:spacing w:line="360" w:lineRule="auto"/>
              <w:jc w:val="center"/>
              <w:rPr>
                <w:rFonts w:ascii="Times New Roman" w:hAnsi="Times New Roman" w:cs="Times New Roman"/>
                <w:sz w:val="24"/>
                <w:szCs w:val="24"/>
              </w:rPr>
            </w:pPr>
          </w:p>
        </w:tc>
        <w:tc>
          <w:tcPr>
            <w:tcW w:w="2305" w:type="dxa"/>
          </w:tcPr>
          <w:p w14:paraId="7EA30CA5" w14:textId="77777777" w:rsidR="00317C97" w:rsidRDefault="00317C97">
            <w:pPr>
              <w:spacing w:line="360" w:lineRule="auto"/>
              <w:jc w:val="center"/>
              <w:rPr>
                <w:rFonts w:ascii="Times New Roman" w:hAnsi="Times New Roman" w:cs="Times New Roman"/>
                <w:sz w:val="24"/>
                <w:szCs w:val="24"/>
              </w:rPr>
            </w:pPr>
          </w:p>
        </w:tc>
        <w:tc>
          <w:tcPr>
            <w:tcW w:w="2373" w:type="dxa"/>
          </w:tcPr>
          <w:p w14:paraId="50290C41" w14:textId="77777777" w:rsidR="00317C97" w:rsidRDefault="00317C97">
            <w:pPr>
              <w:spacing w:line="360" w:lineRule="auto"/>
              <w:jc w:val="center"/>
              <w:rPr>
                <w:rFonts w:ascii="Times New Roman" w:hAnsi="Times New Roman" w:cs="Times New Roman"/>
                <w:sz w:val="24"/>
                <w:szCs w:val="24"/>
              </w:rPr>
            </w:pPr>
          </w:p>
        </w:tc>
        <w:tc>
          <w:tcPr>
            <w:tcW w:w="2018" w:type="dxa"/>
          </w:tcPr>
          <w:p w14:paraId="51C7EC42" w14:textId="77777777" w:rsidR="00317C97" w:rsidRDefault="00317C97">
            <w:pPr>
              <w:spacing w:line="360" w:lineRule="auto"/>
              <w:jc w:val="center"/>
              <w:rPr>
                <w:rFonts w:ascii="Times New Roman" w:hAnsi="Times New Roman" w:cs="Times New Roman"/>
                <w:sz w:val="24"/>
                <w:szCs w:val="24"/>
              </w:rPr>
            </w:pPr>
          </w:p>
        </w:tc>
      </w:tr>
      <w:tr w:rsidR="00317C97" w14:paraId="73EFBCE2" w14:textId="77777777" w:rsidTr="00317C97">
        <w:trPr>
          <w:trHeight w:hRule="exact" w:val="291"/>
          <w:jc w:val="center"/>
        </w:trPr>
        <w:tc>
          <w:tcPr>
            <w:tcW w:w="5387" w:type="dxa"/>
            <w:hideMark/>
          </w:tcPr>
          <w:p w14:paraId="37B3A173" w14:textId="77777777" w:rsidR="00317C97" w:rsidRDefault="00317C97">
            <w:pPr>
              <w:spacing w:line="360" w:lineRule="auto"/>
              <w:rPr>
                <w:rFonts w:ascii="Times New Roman" w:hAnsi="Times New Roman" w:cs="Times New Roman"/>
                <w:b/>
                <w:sz w:val="24"/>
                <w:szCs w:val="24"/>
              </w:rPr>
            </w:pPr>
            <w:r>
              <w:rPr>
                <w:rFonts w:ascii="Times New Roman" w:hAnsi="Times New Roman" w:cs="Times New Roman"/>
                <w:b/>
                <w:color w:val="4472C4" w:themeColor="accent5"/>
                <w:sz w:val="24"/>
                <w:szCs w:val="24"/>
              </w:rPr>
              <w:t>Clinical characteristics</w:t>
            </w:r>
          </w:p>
        </w:tc>
        <w:tc>
          <w:tcPr>
            <w:tcW w:w="1984" w:type="dxa"/>
            <w:vAlign w:val="center"/>
          </w:tcPr>
          <w:p w14:paraId="0145897B" w14:textId="77777777" w:rsidR="00317C97" w:rsidRDefault="00317C97">
            <w:pPr>
              <w:spacing w:line="360" w:lineRule="auto"/>
              <w:jc w:val="center"/>
              <w:rPr>
                <w:rFonts w:ascii="Times New Roman" w:hAnsi="Times New Roman" w:cs="Times New Roman"/>
                <w:b/>
                <w:sz w:val="24"/>
                <w:szCs w:val="24"/>
              </w:rPr>
            </w:pPr>
          </w:p>
        </w:tc>
        <w:tc>
          <w:tcPr>
            <w:tcW w:w="2305" w:type="dxa"/>
          </w:tcPr>
          <w:p w14:paraId="63B7D8D9" w14:textId="77777777" w:rsidR="00317C97" w:rsidRDefault="00317C97">
            <w:pPr>
              <w:spacing w:line="360" w:lineRule="auto"/>
              <w:jc w:val="center"/>
              <w:rPr>
                <w:rFonts w:ascii="Times New Roman" w:hAnsi="Times New Roman" w:cs="Times New Roman"/>
                <w:b/>
                <w:sz w:val="24"/>
                <w:szCs w:val="24"/>
              </w:rPr>
            </w:pPr>
          </w:p>
        </w:tc>
        <w:tc>
          <w:tcPr>
            <w:tcW w:w="2373" w:type="dxa"/>
          </w:tcPr>
          <w:p w14:paraId="1F06DA45" w14:textId="77777777" w:rsidR="00317C97" w:rsidRDefault="00317C97">
            <w:pPr>
              <w:spacing w:line="360" w:lineRule="auto"/>
              <w:jc w:val="center"/>
              <w:rPr>
                <w:rFonts w:ascii="Times New Roman" w:hAnsi="Times New Roman" w:cs="Times New Roman"/>
                <w:b/>
                <w:sz w:val="24"/>
                <w:szCs w:val="24"/>
              </w:rPr>
            </w:pPr>
          </w:p>
        </w:tc>
        <w:tc>
          <w:tcPr>
            <w:tcW w:w="2018" w:type="dxa"/>
          </w:tcPr>
          <w:p w14:paraId="64F05B69" w14:textId="77777777" w:rsidR="00317C97" w:rsidRDefault="00317C97">
            <w:pPr>
              <w:spacing w:line="360" w:lineRule="auto"/>
              <w:jc w:val="center"/>
              <w:rPr>
                <w:rFonts w:ascii="Times New Roman" w:hAnsi="Times New Roman" w:cs="Times New Roman"/>
                <w:b/>
                <w:sz w:val="24"/>
                <w:szCs w:val="24"/>
              </w:rPr>
            </w:pPr>
          </w:p>
        </w:tc>
      </w:tr>
      <w:tr w:rsidR="00317C97" w14:paraId="20AF2D7F" w14:textId="77777777" w:rsidTr="00317C97">
        <w:trPr>
          <w:trHeight w:hRule="exact" w:val="291"/>
          <w:jc w:val="center"/>
        </w:trPr>
        <w:tc>
          <w:tcPr>
            <w:tcW w:w="5387" w:type="dxa"/>
            <w:hideMark/>
          </w:tcPr>
          <w:p w14:paraId="4F2E1FF7"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SPADI, mean (SD)</w:t>
            </w:r>
          </w:p>
        </w:tc>
        <w:tc>
          <w:tcPr>
            <w:tcW w:w="1984" w:type="dxa"/>
            <w:vAlign w:val="center"/>
          </w:tcPr>
          <w:p w14:paraId="378D15EE" w14:textId="77777777" w:rsidR="00317C97" w:rsidRDefault="00317C97">
            <w:pPr>
              <w:spacing w:line="360" w:lineRule="auto"/>
              <w:jc w:val="center"/>
              <w:rPr>
                <w:rFonts w:ascii="Times New Roman" w:hAnsi="Times New Roman" w:cs="Times New Roman"/>
                <w:sz w:val="24"/>
                <w:szCs w:val="24"/>
              </w:rPr>
            </w:pPr>
          </w:p>
        </w:tc>
        <w:tc>
          <w:tcPr>
            <w:tcW w:w="2305" w:type="dxa"/>
          </w:tcPr>
          <w:p w14:paraId="3A8F2513" w14:textId="77777777" w:rsidR="00317C97" w:rsidRDefault="00317C97">
            <w:pPr>
              <w:spacing w:line="360" w:lineRule="auto"/>
              <w:jc w:val="center"/>
              <w:rPr>
                <w:rFonts w:ascii="Times New Roman" w:hAnsi="Times New Roman" w:cs="Times New Roman"/>
                <w:sz w:val="24"/>
                <w:szCs w:val="24"/>
              </w:rPr>
            </w:pPr>
          </w:p>
        </w:tc>
        <w:tc>
          <w:tcPr>
            <w:tcW w:w="2373" w:type="dxa"/>
          </w:tcPr>
          <w:p w14:paraId="208E2D09" w14:textId="77777777" w:rsidR="00317C97" w:rsidRDefault="00317C97">
            <w:pPr>
              <w:spacing w:line="360" w:lineRule="auto"/>
              <w:jc w:val="center"/>
              <w:rPr>
                <w:rFonts w:ascii="Times New Roman" w:hAnsi="Times New Roman" w:cs="Times New Roman"/>
                <w:sz w:val="24"/>
                <w:szCs w:val="24"/>
              </w:rPr>
            </w:pPr>
          </w:p>
        </w:tc>
        <w:tc>
          <w:tcPr>
            <w:tcW w:w="2018" w:type="dxa"/>
          </w:tcPr>
          <w:p w14:paraId="096271AA" w14:textId="77777777" w:rsidR="00317C97" w:rsidRDefault="00317C97">
            <w:pPr>
              <w:spacing w:line="360" w:lineRule="auto"/>
              <w:jc w:val="center"/>
              <w:rPr>
                <w:rFonts w:ascii="Times New Roman" w:hAnsi="Times New Roman" w:cs="Times New Roman"/>
                <w:sz w:val="24"/>
                <w:szCs w:val="24"/>
              </w:rPr>
            </w:pPr>
          </w:p>
        </w:tc>
      </w:tr>
      <w:tr w:rsidR="00317C97" w14:paraId="14F6EDDF" w14:textId="77777777" w:rsidTr="00317C97">
        <w:trPr>
          <w:trHeight w:hRule="exact" w:val="291"/>
          <w:jc w:val="center"/>
        </w:trPr>
        <w:tc>
          <w:tcPr>
            <w:tcW w:w="5387" w:type="dxa"/>
            <w:hideMark/>
          </w:tcPr>
          <w:p w14:paraId="7B713773"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Pain subscale score</w:t>
            </w:r>
          </w:p>
        </w:tc>
        <w:tc>
          <w:tcPr>
            <w:tcW w:w="1984" w:type="dxa"/>
            <w:vAlign w:val="center"/>
            <w:hideMark/>
          </w:tcPr>
          <w:p w14:paraId="4169409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70.4 (16.4)</w:t>
            </w:r>
          </w:p>
        </w:tc>
        <w:tc>
          <w:tcPr>
            <w:tcW w:w="2305" w:type="dxa"/>
            <w:hideMark/>
          </w:tcPr>
          <w:p w14:paraId="7DDEFC6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51.8 (29.2)</w:t>
            </w:r>
          </w:p>
        </w:tc>
        <w:tc>
          <w:tcPr>
            <w:tcW w:w="2373" w:type="dxa"/>
            <w:hideMark/>
          </w:tcPr>
          <w:p w14:paraId="6E84D8D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60.6 (22.9)</w:t>
            </w:r>
          </w:p>
        </w:tc>
        <w:tc>
          <w:tcPr>
            <w:tcW w:w="2018" w:type="dxa"/>
            <w:hideMark/>
          </w:tcPr>
          <w:p w14:paraId="797EEA7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55.0 (25.1)</w:t>
            </w:r>
          </w:p>
        </w:tc>
      </w:tr>
      <w:tr w:rsidR="00317C97" w14:paraId="3925C308" w14:textId="77777777" w:rsidTr="00317C97">
        <w:trPr>
          <w:trHeight w:hRule="exact" w:val="291"/>
          <w:jc w:val="center"/>
        </w:trPr>
        <w:tc>
          <w:tcPr>
            <w:tcW w:w="5387" w:type="dxa"/>
            <w:hideMark/>
          </w:tcPr>
          <w:p w14:paraId="60102E7F"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Disability subscale score</w:t>
            </w:r>
          </w:p>
        </w:tc>
        <w:tc>
          <w:tcPr>
            <w:tcW w:w="1984" w:type="dxa"/>
            <w:vAlign w:val="center"/>
            <w:hideMark/>
          </w:tcPr>
          <w:p w14:paraId="67D49799"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55.0 (22.1)</w:t>
            </w:r>
          </w:p>
        </w:tc>
        <w:tc>
          <w:tcPr>
            <w:tcW w:w="2305" w:type="dxa"/>
            <w:hideMark/>
          </w:tcPr>
          <w:p w14:paraId="61C8C42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42.2 (30.7)</w:t>
            </w:r>
          </w:p>
        </w:tc>
        <w:tc>
          <w:tcPr>
            <w:tcW w:w="2373" w:type="dxa"/>
            <w:hideMark/>
          </w:tcPr>
          <w:p w14:paraId="6E1960B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47.3 (24.0)</w:t>
            </w:r>
          </w:p>
        </w:tc>
        <w:tc>
          <w:tcPr>
            <w:tcW w:w="2018" w:type="dxa"/>
            <w:hideMark/>
          </w:tcPr>
          <w:p w14:paraId="5E9FF278"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41.6 (25.0)</w:t>
            </w:r>
          </w:p>
        </w:tc>
      </w:tr>
      <w:tr w:rsidR="00317C97" w14:paraId="482D6630" w14:textId="77777777" w:rsidTr="00317C97">
        <w:trPr>
          <w:trHeight w:hRule="exact" w:val="291"/>
          <w:jc w:val="center"/>
        </w:trPr>
        <w:tc>
          <w:tcPr>
            <w:tcW w:w="5387" w:type="dxa"/>
            <w:hideMark/>
          </w:tcPr>
          <w:p w14:paraId="78B7D0C9"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Total SPADI score</w:t>
            </w:r>
          </w:p>
        </w:tc>
        <w:tc>
          <w:tcPr>
            <w:tcW w:w="1984" w:type="dxa"/>
            <w:vAlign w:val="center"/>
            <w:hideMark/>
          </w:tcPr>
          <w:p w14:paraId="3ED1A8C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60.9 (18.7)</w:t>
            </w:r>
          </w:p>
        </w:tc>
        <w:tc>
          <w:tcPr>
            <w:tcW w:w="2305" w:type="dxa"/>
            <w:hideMark/>
          </w:tcPr>
          <w:p w14:paraId="0C44BA94"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45.8 (29.6)</w:t>
            </w:r>
          </w:p>
        </w:tc>
        <w:tc>
          <w:tcPr>
            <w:tcW w:w="2373" w:type="dxa"/>
            <w:hideMark/>
          </w:tcPr>
          <w:p w14:paraId="43B682E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52.4 (22.2)</w:t>
            </w:r>
          </w:p>
        </w:tc>
        <w:tc>
          <w:tcPr>
            <w:tcW w:w="2018" w:type="dxa"/>
          </w:tcPr>
          <w:p w14:paraId="4BC8A82A"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46.9 (24.1)</w:t>
            </w:r>
          </w:p>
          <w:p w14:paraId="6BE841B3" w14:textId="77777777" w:rsidR="00317C97" w:rsidRDefault="00317C97">
            <w:pPr>
              <w:spacing w:line="360" w:lineRule="auto"/>
              <w:jc w:val="center"/>
              <w:rPr>
                <w:rFonts w:ascii="Times New Roman" w:hAnsi="Times New Roman" w:cs="Times New Roman"/>
                <w:sz w:val="24"/>
                <w:szCs w:val="24"/>
              </w:rPr>
            </w:pPr>
          </w:p>
        </w:tc>
      </w:tr>
      <w:tr w:rsidR="00317C97" w14:paraId="51A39C37" w14:textId="77777777" w:rsidTr="00317C97">
        <w:trPr>
          <w:trHeight w:hRule="exact" w:val="291"/>
          <w:jc w:val="center"/>
        </w:trPr>
        <w:tc>
          <w:tcPr>
            <w:tcW w:w="5387" w:type="dxa"/>
            <w:hideMark/>
          </w:tcPr>
          <w:p w14:paraId="10B62A83"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Previous Steroid Injection, n (%)</w:t>
            </w:r>
          </w:p>
        </w:tc>
        <w:tc>
          <w:tcPr>
            <w:tcW w:w="1984" w:type="dxa"/>
            <w:vAlign w:val="center"/>
            <w:hideMark/>
          </w:tcPr>
          <w:p w14:paraId="3789ACB8"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37 (33.9)</w:t>
            </w:r>
          </w:p>
        </w:tc>
        <w:tc>
          <w:tcPr>
            <w:tcW w:w="2305" w:type="dxa"/>
            <w:hideMark/>
          </w:tcPr>
          <w:p w14:paraId="37B3F379"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10 (45.5)</w:t>
            </w:r>
          </w:p>
        </w:tc>
        <w:tc>
          <w:tcPr>
            <w:tcW w:w="2373" w:type="dxa"/>
            <w:hideMark/>
          </w:tcPr>
          <w:p w14:paraId="0D9040A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 (20.0)</w:t>
            </w:r>
          </w:p>
        </w:tc>
        <w:tc>
          <w:tcPr>
            <w:tcW w:w="2018" w:type="dxa"/>
            <w:hideMark/>
          </w:tcPr>
          <w:p w14:paraId="720C018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23 (34.3)</w:t>
            </w:r>
          </w:p>
        </w:tc>
      </w:tr>
      <w:tr w:rsidR="00317C97" w14:paraId="5886DE95" w14:textId="77777777" w:rsidTr="00317C97">
        <w:trPr>
          <w:trHeight w:hRule="exact" w:val="291"/>
          <w:jc w:val="center"/>
        </w:trPr>
        <w:tc>
          <w:tcPr>
            <w:tcW w:w="5387" w:type="dxa"/>
            <w:hideMark/>
          </w:tcPr>
          <w:p w14:paraId="0CACD3B5"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Preference for US-guided shoulder injection, n (%)</w:t>
            </w:r>
          </w:p>
        </w:tc>
        <w:tc>
          <w:tcPr>
            <w:tcW w:w="1984" w:type="dxa"/>
            <w:vAlign w:val="center"/>
            <w:hideMark/>
          </w:tcPr>
          <w:p w14:paraId="5D42858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65 (57.0)</w:t>
            </w:r>
          </w:p>
        </w:tc>
        <w:tc>
          <w:tcPr>
            <w:tcW w:w="2305" w:type="dxa"/>
            <w:hideMark/>
          </w:tcPr>
          <w:p w14:paraId="5C0A079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16 (72.7)</w:t>
            </w:r>
          </w:p>
        </w:tc>
        <w:tc>
          <w:tcPr>
            <w:tcW w:w="2373" w:type="dxa"/>
            <w:hideMark/>
          </w:tcPr>
          <w:p w14:paraId="07D189B1"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11 (52.4)</w:t>
            </w:r>
          </w:p>
        </w:tc>
        <w:tc>
          <w:tcPr>
            <w:tcW w:w="2018" w:type="dxa"/>
            <w:hideMark/>
          </w:tcPr>
          <w:p w14:paraId="0C9C056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38 (53.5)</w:t>
            </w:r>
          </w:p>
        </w:tc>
      </w:tr>
      <w:tr w:rsidR="00317C97" w14:paraId="163EEDF7" w14:textId="77777777" w:rsidTr="00317C97">
        <w:trPr>
          <w:trHeight w:hRule="exact" w:val="291"/>
          <w:jc w:val="center"/>
        </w:trPr>
        <w:tc>
          <w:tcPr>
            <w:tcW w:w="5387" w:type="dxa"/>
            <w:hideMark/>
          </w:tcPr>
          <w:p w14:paraId="4915E880"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SF12- PCS, mean (SD)</w:t>
            </w:r>
          </w:p>
        </w:tc>
        <w:tc>
          <w:tcPr>
            <w:tcW w:w="1984" w:type="dxa"/>
            <w:vAlign w:val="center"/>
            <w:hideMark/>
          </w:tcPr>
          <w:p w14:paraId="68853F54"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37.9 (9.1)</w:t>
            </w:r>
          </w:p>
        </w:tc>
        <w:tc>
          <w:tcPr>
            <w:tcW w:w="2305" w:type="dxa"/>
            <w:hideMark/>
          </w:tcPr>
          <w:p w14:paraId="5ADB68A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36.8 (8.2)</w:t>
            </w:r>
          </w:p>
        </w:tc>
        <w:tc>
          <w:tcPr>
            <w:tcW w:w="2373" w:type="dxa"/>
            <w:hideMark/>
          </w:tcPr>
          <w:p w14:paraId="2E49F701"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34.3 (10.8)</w:t>
            </w:r>
          </w:p>
        </w:tc>
        <w:tc>
          <w:tcPr>
            <w:tcW w:w="2018" w:type="dxa"/>
            <w:hideMark/>
          </w:tcPr>
          <w:p w14:paraId="6695A74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39.2 (8.7)</w:t>
            </w:r>
          </w:p>
        </w:tc>
      </w:tr>
      <w:tr w:rsidR="00317C97" w14:paraId="68B3E720" w14:textId="77777777" w:rsidTr="00317C97">
        <w:trPr>
          <w:trHeight w:hRule="exact" w:val="291"/>
          <w:jc w:val="center"/>
        </w:trPr>
        <w:tc>
          <w:tcPr>
            <w:tcW w:w="5387" w:type="dxa"/>
            <w:hideMark/>
          </w:tcPr>
          <w:p w14:paraId="073BE5CA"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SF12- MCS, mean (SD)</w:t>
            </w:r>
          </w:p>
        </w:tc>
        <w:tc>
          <w:tcPr>
            <w:tcW w:w="1984" w:type="dxa"/>
            <w:vAlign w:val="center"/>
            <w:hideMark/>
          </w:tcPr>
          <w:p w14:paraId="1FEB2DAF"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47.6 (13.0)</w:t>
            </w:r>
          </w:p>
        </w:tc>
        <w:tc>
          <w:tcPr>
            <w:tcW w:w="2305" w:type="dxa"/>
            <w:hideMark/>
          </w:tcPr>
          <w:p w14:paraId="1C44480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44.7 (14.8)</w:t>
            </w:r>
          </w:p>
        </w:tc>
        <w:tc>
          <w:tcPr>
            <w:tcW w:w="2373" w:type="dxa"/>
            <w:hideMark/>
          </w:tcPr>
          <w:p w14:paraId="028AEF09"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46.6 (15.2)</w:t>
            </w:r>
          </w:p>
        </w:tc>
        <w:tc>
          <w:tcPr>
            <w:tcW w:w="2018" w:type="dxa"/>
            <w:hideMark/>
          </w:tcPr>
          <w:p w14:paraId="2700E73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48.7 (11.7)</w:t>
            </w:r>
          </w:p>
        </w:tc>
      </w:tr>
      <w:tr w:rsidR="00317C97" w14:paraId="49DD1598" w14:textId="77777777" w:rsidTr="00317C97">
        <w:trPr>
          <w:trHeight w:hRule="exact" w:val="291"/>
          <w:jc w:val="center"/>
        </w:trPr>
        <w:tc>
          <w:tcPr>
            <w:tcW w:w="5387" w:type="dxa"/>
            <w:hideMark/>
          </w:tcPr>
          <w:p w14:paraId="58B6B0E8"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Diabetes, n (%)</w:t>
            </w:r>
          </w:p>
        </w:tc>
        <w:tc>
          <w:tcPr>
            <w:tcW w:w="1984" w:type="dxa"/>
            <w:vAlign w:val="center"/>
            <w:hideMark/>
          </w:tcPr>
          <w:p w14:paraId="73AD9EE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14 (12.3)</w:t>
            </w:r>
          </w:p>
        </w:tc>
        <w:tc>
          <w:tcPr>
            <w:tcW w:w="2305" w:type="dxa"/>
            <w:hideMark/>
          </w:tcPr>
          <w:p w14:paraId="66B5EFF6"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 (13.6)</w:t>
            </w:r>
          </w:p>
        </w:tc>
        <w:tc>
          <w:tcPr>
            <w:tcW w:w="2373" w:type="dxa"/>
            <w:hideMark/>
          </w:tcPr>
          <w:p w14:paraId="6CC3ADDF"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 (14.3)</w:t>
            </w:r>
          </w:p>
        </w:tc>
        <w:tc>
          <w:tcPr>
            <w:tcW w:w="2018" w:type="dxa"/>
            <w:hideMark/>
          </w:tcPr>
          <w:p w14:paraId="29F2275E"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8 (11.3)</w:t>
            </w:r>
          </w:p>
        </w:tc>
      </w:tr>
      <w:tr w:rsidR="00317C97" w14:paraId="0BF32FD6" w14:textId="77777777" w:rsidTr="00317C97">
        <w:trPr>
          <w:trHeight w:hRule="exact" w:val="291"/>
          <w:jc w:val="center"/>
        </w:trPr>
        <w:tc>
          <w:tcPr>
            <w:tcW w:w="5387" w:type="dxa"/>
            <w:hideMark/>
          </w:tcPr>
          <w:p w14:paraId="419236E5"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Widespread pain, n (%)</w:t>
            </w:r>
          </w:p>
        </w:tc>
        <w:tc>
          <w:tcPr>
            <w:tcW w:w="1984" w:type="dxa"/>
            <w:vAlign w:val="center"/>
            <w:hideMark/>
          </w:tcPr>
          <w:p w14:paraId="2150BE6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31 (27.9)</w:t>
            </w:r>
          </w:p>
        </w:tc>
        <w:tc>
          <w:tcPr>
            <w:tcW w:w="2305" w:type="dxa"/>
            <w:hideMark/>
          </w:tcPr>
          <w:p w14:paraId="31A4DBF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7 (31.8)</w:t>
            </w:r>
          </w:p>
        </w:tc>
        <w:tc>
          <w:tcPr>
            <w:tcW w:w="2373" w:type="dxa"/>
            <w:hideMark/>
          </w:tcPr>
          <w:p w14:paraId="1C968FAF"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10 (52.6)</w:t>
            </w:r>
          </w:p>
        </w:tc>
        <w:tc>
          <w:tcPr>
            <w:tcW w:w="2018" w:type="dxa"/>
            <w:hideMark/>
          </w:tcPr>
          <w:p w14:paraId="5712EBF6"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14 (20.0)</w:t>
            </w:r>
          </w:p>
        </w:tc>
      </w:tr>
      <w:tr w:rsidR="00317C97" w14:paraId="3C30729D" w14:textId="77777777" w:rsidTr="00317C97">
        <w:trPr>
          <w:trHeight w:hRule="exact" w:val="291"/>
          <w:jc w:val="center"/>
        </w:trPr>
        <w:tc>
          <w:tcPr>
            <w:tcW w:w="5387" w:type="dxa"/>
          </w:tcPr>
          <w:p w14:paraId="0B7ED4B3" w14:textId="77777777" w:rsidR="00317C97" w:rsidRDefault="00317C97">
            <w:pPr>
              <w:spacing w:line="360" w:lineRule="auto"/>
              <w:rPr>
                <w:rFonts w:ascii="Times New Roman" w:hAnsi="Times New Roman" w:cs="Times New Roman"/>
                <w:b/>
                <w:sz w:val="24"/>
                <w:szCs w:val="24"/>
              </w:rPr>
            </w:pPr>
          </w:p>
          <w:p w14:paraId="1BB29419" w14:textId="77777777" w:rsidR="00317C97" w:rsidRDefault="00317C97">
            <w:pPr>
              <w:spacing w:line="360" w:lineRule="auto"/>
              <w:rPr>
                <w:rFonts w:ascii="Times New Roman" w:hAnsi="Times New Roman" w:cs="Times New Roman"/>
                <w:b/>
                <w:sz w:val="24"/>
                <w:szCs w:val="24"/>
              </w:rPr>
            </w:pPr>
            <w:r>
              <w:rPr>
                <w:rFonts w:ascii="Times New Roman" w:hAnsi="Times New Roman" w:cs="Times New Roman"/>
                <w:b/>
                <w:sz w:val="24"/>
                <w:szCs w:val="24"/>
              </w:rPr>
              <w:t>US</w:t>
            </w:r>
          </w:p>
          <w:p w14:paraId="2CE837FC" w14:textId="77777777" w:rsidR="00317C97" w:rsidRDefault="00317C97">
            <w:pPr>
              <w:spacing w:line="360" w:lineRule="auto"/>
              <w:rPr>
                <w:rFonts w:ascii="Times New Roman" w:hAnsi="Times New Roman" w:cs="Times New Roman"/>
                <w:b/>
                <w:sz w:val="24"/>
                <w:szCs w:val="24"/>
              </w:rPr>
            </w:pPr>
          </w:p>
        </w:tc>
        <w:tc>
          <w:tcPr>
            <w:tcW w:w="1984" w:type="dxa"/>
            <w:vAlign w:val="center"/>
          </w:tcPr>
          <w:p w14:paraId="63B87B29" w14:textId="77777777" w:rsidR="00317C97" w:rsidRDefault="00317C97">
            <w:pPr>
              <w:spacing w:line="360" w:lineRule="auto"/>
              <w:jc w:val="center"/>
              <w:rPr>
                <w:rFonts w:ascii="Times New Roman" w:hAnsi="Times New Roman" w:cs="Times New Roman"/>
                <w:b/>
                <w:sz w:val="24"/>
                <w:szCs w:val="24"/>
              </w:rPr>
            </w:pPr>
          </w:p>
        </w:tc>
        <w:tc>
          <w:tcPr>
            <w:tcW w:w="2305" w:type="dxa"/>
          </w:tcPr>
          <w:p w14:paraId="3759D213" w14:textId="77777777" w:rsidR="00317C97" w:rsidRDefault="00317C97">
            <w:pPr>
              <w:spacing w:line="360" w:lineRule="auto"/>
              <w:jc w:val="center"/>
              <w:rPr>
                <w:rFonts w:ascii="Times New Roman" w:hAnsi="Times New Roman" w:cs="Times New Roman"/>
                <w:b/>
                <w:sz w:val="24"/>
                <w:szCs w:val="24"/>
              </w:rPr>
            </w:pPr>
          </w:p>
        </w:tc>
        <w:tc>
          <w:tcPr>
            <w:tcW w:w="2373" w:type="dxa"/>
          </w:tcPr>
          <w:p w14:paraId="0BDCF840" w14:textId="77777777" w:rsidR="00317C97" w:rsidRDefault="00317C97">
            <w:pPr>
              <w:spacing w:line="360" w:lineRule="auto"/>
              <w:jc w:val="center"/>
              <w:rPr>
                <w:rFonts w:ascii="Times New Roman" w:hAnsi="Times New Roman" w:cs="Times New Roman"/>
                <w:b/>
                <w:sz w:val="24"/>
                <w:szCs w:val="24"/>
              </w:rPr>
            </w:pPr>
          </w:p>
        </w:tc>
        <w:tc>
          <w:tcPr>
            <w:tcW w:w="2018" w:type="dxa"/>
          </w:tcPr>
          <w:p w14:paraId="372C5E75" w14:textId="77777777" w:rsidR="00317C97" w:rsidRDefault="00317C97">
            <w:pPr>
              <w:spacing w:line="360" w:lineRule="auto"/>
              <w:jc w:val="center"/>
              <w:rPr>
                <w:rFonts w:ascii="Times New Roman" w:hAnsi="Times New Roman" w:cs="Times New Roman"/>
                <w:b/>
                <w:sz w:val="24"/>
                <w:szCs w:val="24"/>
              </w:rPr>
            </w:pPr>
          </w:p>
        </w:tc>
      </w:tr>
      <w:tr w:rsidR="00317C97" w14:paraId="601AFFD4" w14:textId="77777777" w:rsidTr="00317C97">
        <w:trPr>
          <w:trHeight w:hRule="exact" w:val="291"/>
          <w:jc w:val="center"/>
        </w:trPr>
        <w:tc>
          <w:tcPr>
            <w:tcW w:w="5387" w:type="dxa"/>
            <w:hideMark/>
          </w:tcPr>
          <w:p w14:paraId="29A9CF26" w14:textId="77777777" w:rsidR="00317C97" w:rsidRDefault="00317C97">
            <w:pPr>
              <w:spacing w:line="360" w:lineRule="auto"/>
              <w:rPr>
                <w:rFonts w:ascii="Times New Roman" w:hAnsi="Times New Roman" w:cs="Times New Roman"/>
                <w:b/>
                <w:sz w:val="24"/>
                <w:szCs w:val="24"/>
              </w:rPr>
            </w:pPr>
            <w:r>
              <w:rPr>
                <w:rFonts w:ascii="Times New Roman" w:hAnsi="Times New Roman" w:cs="Times New Roman"/>
                <w:b/>
                <w:color w:val="4472C4" w:themeColor="accent5"/>
                <w:sz w:val="24"/>
                <w:szCs w:val="24"/>
              </w:rPr>
              <w:t>US corticosteroid injection</w:t>
            </w:r>
          </w:p>
        </w:tc>
        <w:tc>
          <w:tcPr>
            <w:tcW w:w="1984" w:type="dxa"/>
            <w:vAlign w:val="center"/>
          </w:tcPr>
          <w:p w14:paraId="727C9DAC" w14:textId="77777777" w:rsidR="00317C97" w:rsidRDefault="00317C97">
            <w:pPr>
              <w:spacing w:line="360" w:lineRule="auto"/>
              <w:jc w:val="center"/>
              <w:rPr>
                <w:rFonts w:ascii="Times New Roman" w:hAnsi="Times New Roman" w:cs="Times New Roman"/>
                <w:b/>
                <w:sz w:val="24"/>
                <w:szCs w:val="24"/>
              </w:rPr>
            </w:pPr>
          </w:p>
        </w:tc>
        <w:tc>
          <w:tcPr>
            <w:tcW w:w="2305" w:type="dxa"/>
          </w:tcPr>
          <w:p w14:paraId="31B9CA85" w14:textId="77777777" w:rsidR="00317C97" w:rsidRDefault="00317C97">
            <w:pPr>
              <w:spacing w:line="360" w:lineRule="auto"/>
              <w:jc w:val="center"/>
              <w:rPr>
                <w:rFonts w:ascii="Times New Roman" w:hAnsi="Times New Roman" w:cs="Times New Roman"/>
                <w:b/>
                <w:sz w:val="24"/>
                <w:szCs w:val="24"/>
              </w:rPr>
            </w:pPr>
          </w:p>
        </w:tc>
        <w:tc>
          <w:tcPr>
            <w:tcW w:w="2373" w:type="dxa"/>
          </w:tcPr>
          <w:p w14:paraId="3F9B0DAF" w14:textId="77777777" w:rsidR="00317C97" w:rsidRDefault="00317C97">
            <w:pPr>
              <w:spacing w:line="360" w:lineRule="auto"/>
              <w:jc w:val="center"/>
              <w:rPr>
                <w:rFonts w:ascii="Times New Roman" w:hAnsi="Times New Roman" w:cs="Times New Roman"/>
                <w:b/>
                <w:sz w:val="24"/>
                <w:szCs w:val="24"/>
              </w:rPr>
            </w:pPr>
          </w:p>
        </w:tc>
        <w:tc>
          <w:tcPr>
            <w:tcW w:w="2018" w:type="dxa"/>
          </w:tcPr>
          <w:p w14:paraId="3A68C359" w14:textId="77777777" w:rsidR="00317C97" w:rsidRDefault="00317C97">
            <w:pPr>
              <w:spacing w:line="360" w:lineRule="auto"/>
              <w:jc w:val="center"/>
              <w:rPr>
                <w:rFonts w:ascii="Times New Roman" w:hAnsi="Times New Roman" w:cs="Times New Roman"/>
                <w:b/>
                <w:sz w:val="24"/>
                <w:szCs w:val="24"/>
              </w:rPr>
            </w:pPr>
          </w:p>
        </w:tc>
      </w:tr>
      <w:tr w:rsidR="00317C97" w14:paraId="3034EC68" w14:textId="77777777" w:rsidTr="00317C97">
        <w:trPr>
          <w:trHeight w:hRule="exact" w:val="291"/>
          <w:jc w:val="center"/>
        </w:trPr>
        <w:tc>
          <w:tcPr>
            <w:tcW w:w="5387" w:type="dxa"/>
            <w:hideMark/>
          </w:tcPr>
          <w:p w14:paraId="06D54155"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Accuracy of US corticosteroid injection</w:t>
            </w:r>
          </w:p>
        </w:tc>
        <w:tc>
          <w:tcPr>
            <w:tcW w:w="1984" w:type="dxa"/>
            <w:vAlign w:val="center"/>
          </w:tcPr>
          <w:p w14:paraId="3E382123" w14:textId="77777777" w:rsidR="00317C97" w:rsidRDefault="00317C97">
            <w:pPr>
              <w:spacing w:line="360" w:lineRule="auto"/>
              <w:jc w:val="center"/>
              <w:rPr>
                <w:rFonts w:ascii="Times New Roman" w:hAnsi="Times New Roman" w:cs="Times New Roman"/>
                <w:sz w:val="24"/>
                <w:szCs w:val="24"/>
              </w:rPr>
            </w:pPr>
          </w:p>
        </w:tc>
        <w:tc>
          <w:tcPr>
            <w:tcW w:w="2305" w:type="dxa"/>
          </w:tcPr>
          <w:p w14:paraId="0A5C0B98" w14:textId="77777777" w:rsidR="00317C97" w:rsidRDefault="00317C97">
            <w:pPr>
              <w:spacing w:line="360" w:lineRule="auto"/>
              <w:jc w:val="center"/>
              <w:rPr>
                <w:rFonts w:ascii="Times New Roman" w:hAnsi="Times New Roman" w:cs="Times New Roman"/>
                <w:sz w:val="24"/>
                <w:szCs w:val="24"/>
              </w:rPr>
            </w:pPr>
          </w:p>
        </w:tc>
        <w:tc>
          <w:tcPr>
            <w:tcW w:w="2373" w:type="dxa"/>
          </w:tcPr>
          <w:p w14:paraId="08356B76" w14:textId="77777777" w:rsidR="00317C97" w:rsidRDefault="00317C97">
            <w:pPr>
              <w:spacing w:line="360" w:lineRule="auto"/>
              <w:jc w:val="center"/>
              <w:rPr>
                <w:rFonts w:ascii="Times New Roman" w:hAnsi="Times New Roman" w:cs="Times New Roman"/>
                <w:sz w:val="24"/>
                <w:szCs w:val="24"/>
              </w:rPr>
            </w:pPr>
          </w:p>
        </w:tc>
        <w:tc>
          <w:tcPr>
            <w:tcW w:w="2018" w:type="dxa"/>
          </w:tcPr>
          <w:p w14:paraId="04684BE9" w14:textId="77777777" w:rsidR="00317C97" w:rsidRDefault="00317C97">
            <w:pPr>
              <w:spacing w:line="360" w:lineRule="auto"/>
              <w:jc w:val="center"/>
              <w:rPr>
                <w:rFonts w:ascii="Times New Roman" w:hAnsi="Times New Roman" w:cs="Times New Roman"/>
                <w:sz w:val="24"/>
                <w:szCs w:val="24"/>
              </w:rPr>
            </w:pPr>
          </w:p>
        </w:tc>
      </w:tr>
      <w:tr w:rsidR="00317C97" w14:paraId="01963FFD" w14:textId="77777777" w:rsidTr="00317C97">
        <w:trPr>
          <w:trHeight w:hRule="exact" w:val="291"/>
          <w:jc w:val="center"/>
        </w:trPr>
        <w:tc>
          <w:tcPr>
            <w:tcW w:w="5387" w:type="dxa"/>
            <w:hideMark/>
          </w:tcPr>
          <w:p w14:paraId="795E258C"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Definitely not in the subacromial bursa, n (%)</w:t>
            </w:r>
          </w:p>
        </w:tc>
        <w:tc>
          <w:tcPr>
            <w:tcW w:w="1984" w:type="dxa"/>
            <w:vAlign w:val="center"/>
            <w:hideMark/>
          </w:tcPr>
          <w:p w14:paraId="2BD36EE9"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6 (5.3)</w:t>
            </w:r>
          </w:p>
        </w:tc>
        <w:tc>
          <w:tcPr>
            <w:tcW w:w="2305" w:type="dxa"/>
            <w:hideMark/>
          </w:tcPr>
          <w:p w14:paraId="6952AEA5"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373" w:type="dxa"/>
            <w:hideMark/>
          </w:tcPr>
          <w:p w14:paraId="2402CD27"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018" w:type="dxa"/>
            <w:hideMark/>
          </w:tcPr>
          <w:p w14:paraId="1A85298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r>
      <w:tr w:rsidR="00317C97" w14:paraId="10D10F56" w14:textId="77777777" w:rsidTr="00317C97">
        <w:trPr>
          <w:trHeight w:hRule="exact" w:val="291"/>
          <w:jc w:val="center"/>
        </w:trPr>
        <w:tc>
          <w:tcPr>
            <w:tcW w:w="5387" w:type="dxa"/>
            <w:hideMark/>
          </w:tcPr>
          <w:p w14:paraId="7C2185A1"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Probably not in the subacromial bursa, n (%)</w:t>
            </w:r>
          </w:p>
        </w:tc>
        <w:tc>
          <w:tcPr>
            <w:tcW w:w="1984" w:type="dxa"/>
            <w:vAlign w:val="center"/>
            <w:hideMark/>
          </w:tcPr>
          <w:p w14:paraId="2D105E96"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16 (14.0)</w:t>
            </w:r>
          </w:p>
        </w:tc>
        <w:tc>
          <w:tcPr>
            <w:tcW w:w="2305" w:type="dxa"/>
            <w:hideMark/>
          </w:tcPr>
          <w:p w14:paraId="6809717D"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373" w:type="dxa"/>
            <w:hideMark/>
          </w:tcPr>
          <w:p w14:paraId="4D53AFD0"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018" w:type="dxa"/>
            <w:hideMark/>
          </w:tcPr>
          <w:p w14:paraId="1E8C8B84"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r>
      <w:tr w:rsidR="00317C97" w14:paraId="70BEB21F" w14:textId="77777777" w:rsidTr="00317C97">
        <w:trPr>
          <w:trHeight w:hRule="exact" w:val="291"/>
          <w:jc w:val="center"/>
        </w:trPr>
        <w:tc>
          <w:tcPr>
            <w:tcW w:w="5387" w:type="dxa"/>
            <w:hideMark/>
          </w:tcPr>
          <w:p w14:paraId="3F461B8D"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Probably in the subacromial bursa, n (%)</w:t>
            </w:r>
          </w:p>
        </w:tc>
        <w:tc>
          <w:tcPr>
            <w:tcW w:w="1984" w:type="dxa"/>
            <w:vAlign w:val="center"/>
            <w:hideMark/>
          </w:tcPr>
          <w:p w14:paraId="7F9BCABC"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21 (18.4)</w:t>
            </w:r>
          </w:p>
        </w:tc>
        <w:tc>
          <w:tcPr>
            <w:tcW w:w="2305" w:type="dxa"/>
            <w:hideMark/>
          </w:tcPr>
          <w:p w14:paraId="16BD7853"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373" w:type="dxa"/>
            <w:hideMark/>
          </w:tcPr>
          <w:p w14:paraId="7DBDBC86"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018" w:type="dxa"/>
            <w:hideMark/>
          </w:tcPr>
          <w:p w14:paraId="72F65F9B"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r>
      <w:tr w:rsidR="00317C97" w14:paraId="3C31FCD6" w14:textId="77777777" w:rsidTr="00317C97">
        <w:trPr>
          <w:trHeight w:hRule="exact" w:val="291"/>
          <w:jc w:val="center"/>
        </w:trPr>
        <w:tc>
          <w:tcPr>
            <w:tcW w:w="5387" w:type="dxa"/>
            <w:hideMark/>
          </w:tcPr>
          <w:p w14:paraId="5EC42FFE" w14:textId="77777777" w:rsidR="00317C97" w:rsidRDefault="00317C97">
            <w:pPr>
              <w:spacing w:line="360" w:lineRule="auto"/>
              <w:rPr>
                <w:rFonts w:ascii="Times New Roman" w:hAnsi="Times New Roman" w:cs="Times New Roman"/>
                <w:sz w:val="24"/>
                <w:szCs w:val="24"/>
              </w:rPr>
            </w:pPr>
            <w:r>
              <w:rPr>
                <w:rFonts w:ascii="Times New Roman" w:hAnsi="Times New Roman" w:cs="Times New Roman"/>
                <w:sz w:val="24"/>
                <w:szCs w:val="24"/>
              </w:rPr>
              <w:t>Definitely in the subacromial bursa, n (%)</w:t>
            </w:r>
          </w:p>
        </w:tc>
        <w:tc>
          <w:tcPr>
            <w:tcW w:w="1984" w:type="dxa"/>
            <w:vAlign w:val="center"/>
            <w:hideMark/>
          </w:tcPr>
          <w:p w14:paraId="2772104C"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71 (62.3)</w:t>
            </w:r>
          </w:p>
        </w:tc>
        <w:tc>
          <w:tcPr>
            <w:tcW w:w="2305" w:type="dxa"/>
            <w:hideMark/>
          </w:tcPr>
          <w:p w14:paraId="5DE7F219"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373" w:type="dxa"/>
            <w:hideMark/>
          </w:tcPr>
          <w:p w14:paraId="263F95A8"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2018" w:type="dxa"/>
            <w:hideMark/>
          </w:tcPr>
          <w:p w14:paraId="705D0912" w14:textId="77777777" w:rsidR="00317C97" w:rsidRDefault="00317C97">
            <w:pPr>
              <w:spacing w:line="360" w:lineRule="auto"/>
              <w:jc w:val="center"/>
              <w:rPr>
                <w:rFonts w:ascii="Times New Roman" w:hAnsi="Times New Roman" w:cs="Times New Roman"/>
                <w:sz w:val="24"/>
                <w:szCs w:val="24"/>
              </w:rPr>
            </w:pPr>
            <w:r>
              <w:rPr>
                <w:rFonts w:ascii="Times New Roman" w:hAnsi="Times New Roman" w:cs="Times New Roman"/>
                <w:sz w:val="24"/>
                <w:szCs w:val="24"/>
              </w:rPr>
              <w:t>N/A</w:t>
            </w:r>
          </w:p>
        </w:tc>
      </w:tr>
      <w:tr w:rsidR="00317C97" w14:paraId="6DBBD0EA" w14:textId="77777777" w:rsidTr="00317C97">
        <w:trPr>
          <w:trHeight w:hRule="exact" w:val="291"/>
          <w:jc w:val="center"/>
        </w:trPr>
        <w:tc>
          <w:tcPr>
            <w:tcW w:w="5387" w:type="dxa"/>
            <w:tcBorders>
              <w:top w:val="nil"/>
              <w:left w:val="nil"/>
              <w:bottom w:val="single" w:sz="12" w:space="0" w:color="auto"/>
              <w:right w:val="nil"/>
            </w:tcBorders>
          </w:tcPr>
          <w:p w14:paraId="64BD7CF9" w14:textId="77777777" w:rsidR="00317C97" w:rsidRDefault="00317C97">
            <w:pPr>
              <w:spacing w:line="360" w:lineRule="auto"/>
              <w:rPr>
                <w:rFonts w:ascii="Times New Roman" w:hAnsi="Times New Roman" w:cs="Times New Roman"/>
                <w:b/>
                <w:sz w:val="24"/>
                <w:szCs w:val="24"/>
              </w:rPr>
            </w:pPr>
          </w:p>
          <w:p w14:paraId="5470577D" w14:textId="77777777" w:rsidR="00317C97" w:rsidRDefault="00317C97">
            <w:pPr>
              <w:spacing w:line="360" w:lineRule="auto"/>
              <w:rPr>
                <w:rFonts w:ascii="Times New Roman" w:hAnsi="Times New Roman" w:cs="Times New Roman"/>
                <w:b/>
                <w:sz w:val="24"/>
                <w:szCs w:val="24"/>
              </w:rPr>
            </w:pPr>
          </w:p>
        </w:tc>
        <w:tc>
          <w:tcPr>
            <w:tcW w:w="1984" w:type="dxa"/>
            <w:tcBorders>
              <w:top w:val="nil"/>
              <w:left w:val="nil"/>
              <w:bottom w:val="single" w:sz="12" w:space="0" w:color="auto"/>
              <w:right w:val="nil"/>
            </w:tcBorders>
            <w:vAlign w:val="center"/>
          </w:tcPr>
          <w:p w14:paraId="74D939FD" w14:textId="77777777" w:rsidR="00317C97" w:rsidRDefault="00317C97">
            <w:pPr>
              <w:spacing w:line="360" w:lineRule="auto"/>
              <w:jc w:val="center"/>
              <w:rPr>
                <w:rFonts w:ascii="Times New Roman" w:hAnsi="Times New Roman" w:cs="Times New Roman"/>
                <w:b/>
                <w:sz w:val="24"/>
                <w:szCs w:val="24"/>
              </w:rPr>
            </w:pPr>
          </w:p>
        </w:tc>
        <w:tc>
          <w:tcPr>
            <w:tcW w:w="2305" w:type="dxa"/>
            <w:tcBorders>
              <w:top w:val="nil"/>
              <w:left w:val="nil"/>
              <w:bottom w:val="single" w:sz="12" w:space="0" w:color="auto"/>
              <w:right w:val="nil"/>
            </w:tcBorders>
          </w:tcPr>
          <w:p w14:paraId="4C92881C" w14:textId="77777777" w:rsidR="00317C97" w:rsidRDefault="00317C97">
            <w:pPr>
              <w:spacing w:line="360" w:lineRule="auto"/>
              <w:jc w:val="center"/>
              <w:rPr>
                <w:rFonts w:ascii="Times New Roman" w:hAnsi="Times New Roman" w:cs="Times New Roman"/>
                <w:b/>
                <w:sz w:val="24"/>
                <w:szCs w:val="24"/>
              </w:rPr>
            </w:pPr>
          </w:p>
        </w:tc>
        <w:tc>
          <w:tcPr>
            <w:tcW w:w="2373" w:type="dxa"/>
            <w:tcBorders>
              <w:top w:val="nil"/>
              <w:left w:val="nil"/>
              <w:bottom w:val="single" w:sz="12" w:space="0" w:color="auto"/>
              <w:right w:val="nil"/>
            </w:tcBorders>
          </w:tcPr>
          <w:p w14:paraId="2C7C74E9" w14:textId="77777777" w:rsidR="00317C97" w:rsidRDefault="00317C97">
            <w:pPr>
              <w:spacing w:line="360" w:lineRule="auto"/>
              <w:jc w:val="center"/>
              <w:rPr>
                <w:rFonts w:ascii="Times New Roman" w:hAnsi="Times New Roman" w:cs="Times New Roman"/>
                <w:b/>
                <w:sz w:val="24"/>
                <w:szCs w:val="24"/>
              </w:rPr>
            </w:pPr>
          </w:p>
        </w:tc>
        <w:tc>
          <w:tcPr>
            <w:tcW w:w="2018" w:type="dxa"/>
            <w:tcBorders>
              <w:top w:val="nil"/>
              <w:left w:val="nil"/>
              <w:bottom w:val="single" w:sz="12" w:space="0" w:color="auto"/>
              <w:right w:val="nil"/>
            </w:tcBorders>
          </w:tcPr>
          <w:p w14:paraId="3D9DE736" w14:textId="77777777" w:rsidR="00317C97" w:rsidRDefault="00317C97">
            <w:pPr>
              <w:spacing w:line="360" w:lineRule="auto"/>
              <w:jc w:val="center"/>
              <w:rPr>
                <w:rFonts w:ascii="Times New Roman" w:hAnsi="Times New Roman" w:cs="Times New Roman"/>
                <w:b/>
                <w:sz w:val="24"/>
                <w:szCs w:val="24"/>
              </w:rPr>
            </w:pPr>
          </w:p>
        </w:tc>
      </w:tr>
    </w:tbl>
    <w:p w14:paraId="594A9A17" w14:textId="77777777" w:rsidR="00317C97" w:rsidRDefault="00317C97" w:rsidP="00317C97">
      <w:pPr>
        <w:spacing w:line="360" w:lineRule="auto"/>
        <w:jc w:val="both"/>
        <w:rPr>
          <w:rFonts w:ascii="Times New Roman" w:hAnsi="Times New Roman" w:cs="Times New Roman"/>
          <w:sz w:val="24"/>
          <w:szCs w:val="24"/>
        </w:rPr>
      </w:pPr>
      <w:r>
        <w:rPr>
          <w:rFonts w:ascii="Times New Roman" w:hAnsi="Times New Roman" w:cs="Times New Roman"/>
          <w:sz w:val="24"/>
          <w:szCs w:val="24"/>
        </w:rPr>
        <w:t>All values are mean (and standard deviation) or frequency and percentage (%)</w:t>
      </w:r>
    </w:p>
    <w:p w14:paraId="1E065294" w14:textId="77777777" w:rsidR="00317C97" w:rsidRDefault="00317C97" w:rsidP="00317C97">
      <w:pPr>
        <w:spacing w:line="360" w:lineRule="auto"/>
        <w:jc w:val="both"/>
        <w:rPr>
          <w:rFonts w:ascii="Times New Roman" w:hAnsi="Times New Roman" w:cs="Times New Roman"/>
          <w:sz w:val="24"/>
          <w:szCs w:val="24"/>
        </w:rPr>
      </w:pPr>
      <w:r>
        <w:rPr>
          <w:rFonts w:ascii="Times New Roman" w:hAnsi="Times New Roman" w:cs="Times New Roman"/>
          <w:sz w:val="24"/>
          <w:szCs w:val="24"/>
        </w:rPr>
        <w:t>SPADI: Shoulder Pain and Disability Index (each scale/subscale ranges from 0 to 100; 0=no pain/difficulty, 100=worst pain/so difficult it required help), BMI: Body Mass Index, US: Ultrasound, SF12 - PCS: Short-Form 12 Physical Component Summary Scores, SF12 – MCS: Short-Form 12 Mental Component Summary Scores, N/A: Not applicable</w:t>
      </w:r>
    </w:p>
    <w:p w14:paraId="739AB2A8" w14:textId="77777777" w:rsidR="00317C97" w:rsidRDefault="00317C97" w:rsidP="00317C97">
      <w:pPr>
        <w:spacing w:line="360" w:lineRule="auto"/>
        <w:jc w:val="both"/>
        <w:rPr>
          <w:rFonts w:ascii="Times New Roman" w:hAnsi="Times New Roman" w:cs="Times New Roman"/>
          <w:b/>
        </w:rPr>
      </w:pPr>
    </w:p>
    <w:p w14:paraId="10C4CE65" w14:textId="77777777" w:rsidR="00317C97" w:rsidRDefault="00317C97" w:rsidP="00317C97">
      <w:pPr>
        <w:spacing w:line="360" w:lineRule="auto"/>
        <w:jc w:val="both"/>
        <w:rPr>
          <w:rFonts w:ascii="Times New Roman" w:hAnsi="Times New Roman" w:cs="Times New Roman"/>
          <w:b/>
        </w:rPr>
      </w:pPr>
    </w:p>
    <w:p w14:paraId="692EB9CD" w14:textId="77777777" w:rsidR="00317C97" w:rsidRDefault="00317C97" w:rsidP="00317C97">
      <w:pPr>
        <w:spacing w:line="360" w:lineRule="auto"/>
        <w:jc w:val="both"/>
        <w:rPr>
          <w:rFonts w:ascii="Times New Roman" w:hAnsi="Times New Roman" w:cs="Times New Roman"/>
          <w:b/>
        </w:rPr>
      </w:pPr>
    </w:p>
    <w:p w14:paraId="409AE7C2" w14:textId="77777777" w:rsidR="00317C97" w:rsidRDefault="00317C97" w:rsidP="00317C97">
      <w:pPr>
        <w:spacing w:line="360" w:lineRule="auto"/>
        <w:jc w:val="both"/>
        <w:rPr>
          <w:rFonts w:ascii="Times New Roman" w:hAnsi="Times New Roman" w:cs="Times New Roman"/>
          <w:b/>
        </w:rPr>
      </w:pPr>
    </w:p>
    <w:p w14:paraId="11B9C1BD" w14:textId="77777777" w:rsidR="00317C97" w:rsidRDefault="00317C97" w:rsidP="00317C97">
      <w:pPr>
        <w:spacing w:line="360" w:lineRule="auto"/>
        <w:jc w:val="both"/>
        <w:rPr>
          <w:rFonts w:ascii="Times New Roman" w:hAnsi="Times New Roman" w:cs="Times New Roman"/>
          <w:b/>
        </w:rPr>
      </w:pPr>
    </w:p>
    <w:p w14:paraId="1E4A3559" w14:textId="77777777" w:rsidR="00317C97" w:rsidRDefault="00317C97" w:rsidP="00317C97">
      <w:pPr>
        <w:spacing w:line="360" w:lineRule="auto"/>
        <w:jc w:val="both"/>
        <w:rPr>
          <w:rFonts w:ascii="Times New Roman" w:hAnsi="Times New Roman" w:cs="Times New Roman"/>
          <w:b/>
        </w:rPr>
      </w:pPr>
    </w:p>
    <w:p w14:paraId="1FED47F6" w14:textId="77777777" w:rsidR="00317C97" w:rsidRDefault="00317C97" w:rsidP="00317C97">
      <w:pPr>
        <w:spacing w:line="360" w:lineRule="auto"/>
        <w:jc w:val="both"/>
        <w:rPr>
          <w:rFonts w:ascii="Times New Roman" w:hAnsi="Times New Roman" w:cs="Times New Roman"/>
          <w:sz w:val="24"/>
          <w:szCs w:val="24"/>
        </w:rPr>
      </w:pPr>
      <w:r>
        <w:rPr>
          <w:rFonts w:ascii="Times New Roman" w:hAnsi="Times New Roman" w:cs="Times New Roman"/>
          <w:b/>
        </w:rPr>
        <w:t>Table 2:</w:t>
      </w:r>
      <w:r>
        <w:rPr>
          <w:rFonts w:ascii="Times New Roman" w:hAnsi="Times New Roman" w:cs="Times New Roman"/>
          <w:sz w:val="24"/>
          <w:szCs w:val="24"/>
        </w:rPr>
        <w:t xml:space="preserve"> Effect of accuracy of placement of US-guided subacromial corticosteroid injections on SPADI total, SPADI pain and disability subscales and global assessment of overall change. </w:t>
      </w:r>
    </w:p>
    <w:tbl>
      <w:tblPr>
        <w:tblW w:w="14550" w:type="dxa"/>
        <w:tblInd w:w="-567" w:type="dxa"/>
        <w:tblLayout w:type="fixed"/>
        <w:tblLook w:val="04A0" w:firstRow="1" w:lastRow="0" w:firstColumn="1" w:lastColumn="0" w:noHBand="0" w:noVBand="1"/>
      </w:tblPr>
      <w:tblGrid>
        <w:gridCol w:w="2836"/>
        <w:gridCol w:w="1638"/>
        <w:gridCol w:w="1023"/>
        <w:gridCol w:w="2160"/>
        <w:gridCol w:w="850"/>
        <w:gridCol w:w="2268"/>
        <w:gridCol w:w="732"/>
        <w:gridCol w:w="2103"/>
        <w:gridCol w:w="930"/>
        <w:gridCol w:w="10"/>
      </w:tblGrid>
      <w:tr w:rsidR="00317C97" w14:paraId="57AA928B" w14:textId="77777777" w:rsidTr="00317C97">
        <w:trPr>
          <w:trHeight w:val="396"/>
        </w:trPr>
        <w:tc>
          <w:tcPr>
            <w:tcW w:w="2835" w:type="dxa"/>
            <w:tcBorders>
              <w:top w:val="single" w:sz="12" w:space="0" w:color="auto"/>
              <w:left w:val="nil"/>
              <w:bottom w:val="nil"/>
              <w:right w:val="nil"/>
            </w:tcBorders>
            <w:noWrap/>
            <w:vAlign w:val="bottom"/>
            <w:hideMark/>
          </w:tcPr>
          <w:p w14:paraId="6CEE7DC8" w14:textId="77777777" w:rsidR="00317C97" w:rsidRDefault="00317C97">
            <w:pPr>
              <w:rPr>
                <w:rFonts w:ascii="Times New Roman" w:hAnsi="Times New Roman" w:cs="Times New Roman"/>
                <w:sz w:val="24"/>
                <w:szCs w:val="24"/>
              </w:rPr>
            </w:pPr>
          </w:p>
        </w:tc>
        <w:tc>
          <w:tcPr>
            <w:tcW w:w="5670" w:type="dxa"/>
            <w:gridSpan w:val="4"/>
            <w:tcBorders>
              <w:top w:val="single" w:sz="12" w:space="0" w:color="auto"/>
              <w:left w:val="nil"/>
              <w:bottom w:val="single" w:sz="4" w:space="0" w:color="auto"/>
              <w:right w:val="single" w:sz="8" w:space="0" w:color="auto"/>
            </w:tcBorders>
            <w:hideMark/>
          </w:tcPr>
          <w:p w14:paraId="145C648F" w14:textId="77777777" w:rsidR="00317C97" w:rsidRDefault="00317C9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b/>
                <w:color w:val="000000"/>
                <w:lang w:eastAsia="en-GB"/>
              </w:rPr>
              <w:t>6 weeks</w:t>
            </w:r>
          </w:p>
        </w:tc>
        <w:tc>
          <w:tcPr>
            <w:tcW w:w="6043" w:type="dxa"/>
            <w:gridSpan w:val="5"/>
            <w:tcBorders>
              <w:top w:val="single" w:sz="12" w:space="0" w:color="auto"/>
              <w:left w:val="single" w:sz="8" w:space="0" w:color="auto"/>
              <w:bottom w:val="nil"/>
              <w:right w:val="nil"/>
            </w:tcBorders>
            <w:hideMark/>
          </w:tcPr>
          <w:p w14:paraId="378A8204"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6 months</w:t>
            </w:r>
          </w:p>
        </w:tc>
      </w:tr>
      <w:tr w:rsidR="00317C97" w14:paraId="31B047C7" w14:textId="77777777" w:rsidTr="00317C97">
        <w:trPr>
          <w:gridAfter w:val="1"/>
          <w:wAfter w:w="10" w:type="dxa"/>
          <w:trHeight w:val="1267"/>
        </w:trPr>
        <w:tc>
          <w:tcPr>
            <w:tcW w:w="2835" w:type="dxa"/>
            <w:tcBorders>
              <w:top w:val="nil"/>
              <w:left w:val="nil"/>
              <w:bottom w:val="single" w:sz="12" w:space="0" w:color="auto"/>
              <w:right w:val="nil"/>
            </w:tcBorders>
            <w:noWrap/>
            <w:vAlign w:val="bottom"/>
            <w:hideMark/>
          </w:tcPr>
          <w:p w14:paraId="45C4B616" w14:textId="77777777" w:rsidR="00317C97" w:rsidRDefault="00317C97">
            <w:pPr>
              <w:rPr>
                <w:rFonts w:ascii="Times New Roman" w:eastAsia="Times New Roman" w:hAnsi="Times New Roman" w:cs="Times New Roman"/>
                <w:b/>
                <w:color w:val="000000"/>
                <w:lang w:eastAsia="en-GB"/>
              </w:rPr>
            </w:pPr>
          </w:p>
        </w:tc>
        <w:tc>
          <w:tcPr>
            <w:tcW w:w="1637" w:type="dxa"/>
            <w:tcBorders>
              <w:top w:val="single" w:sz="4" w:space="0" w:color="auto"/>
              <w:left w:val="nil"/>
              <w:bottom w:val="single" w:sz="12" w:space="0" w:color="auto"/>
              <w:right w:val="nil"/>
            </w:tcBorders>
            <w:noWrap/>
            <w:hideMark/>
          </w:tcPr>
          <w:p w14:paraId="268A50CC"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Baseline adjusted difference in mean* (95% CI)</w:t>
            </w:r>
          </w:p>
        </w:tc>
        <w:tc>
          <w:tcPr>
            <w:tcW w:w="1023" w:type="dxa"/>
            <w:tcBorders>
              <w:top w:val="single" w:sz="4" w:space="0" w:color="auto"/>
              <w:left w:val="nil"/>
              <w:bottom w:val="single" w:sz="12" w:space="0" w:color="auto"/>
              <w:right w:val="dashSmallGap" w:sz="4" w:space="0" w:color="auto"/>
            </w:tcBorders>
            <w:hideMark/>
          </w:tcPr>
          <w:p w14:paraId="234A5DAE"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p-value</w:t>
            </w:r>
          </w:p>
        </w:tc>
        <w:tc>
          <w:tcPr>
            <w:tcW w:w="2160" w:type="dxa"/>
            <w:tcBorders>
              <w:top w:val="single" w:sz="4" w:space="0" w:color="auto"/>
              <w:left w:val="dashSmallGap" w:sz="4" w:space="0" w:color="auto"/>
              <w:bottom w:val="single" w:sz="12" w:space="0" w:color="auto"/>
              <w:right w:val="nil"/>
            </w:tcBorders>
            <w:noWrap/>
            <w:hideMark/>
          </w:tcPr>
          <w:p w14:paraId="76F89F32"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Baseline and covariate</w:t>
            </w:r>
            <w:r>
              <w:rPr>
                <w:rFonts w:ascii="Times New Roman" w:eastAsia="Times New Roman" w:hAnsi="Times New Roman" w:cs="Times New Roman"/>
                <w:b/>
                <w:bCs/>
                <w:color w:val="000000"/>
                <w:vertAlign w:val="superscript"/>
                <w:lang w:eastAsia="en-GB"/>
              </w:rPr>
              <w:t>†</w:t>
            </w:r>
            <w:r>
              <w:rPr>
                <w:rFonts w:ascii="Times New Roman" w:eastAsia="Times New Roman" w:hAnsi="Times New Roman" w:cs="Times New Roman"/>
                <w:b/>
                <w:color w:val="000000"/>
                <w:lang w:eastAsia="en-GB"/>
              </w:rPr>
              <w:t xml:space="preserve"> adjusted difference in mean (95% CI)</w:t>
            </w:r>
          </w:p>
        </w:tc>
        <w:tc>
          <w:tcPr>
            <w:tcW w:w="850" w:type="dxa"/>
            <w:tcBorders>
              <w:top w:val="single" w:sz="4" w:space="0" w:color="auto"/>
              <w:left w:val="nil"/>
              <w:bottom w:val="single" w:sz="12" w:space="0" w:color="auto"/>
              <w:right w:val="single" w:sz="8" w:space="0" w:color="auto"/>
            </w:tcBorders>
            <w:hideMark/>
          </w:tcPr>
          <w:p w14:paraId="3B0029D7"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p-value</w:t>
            </w:r>
          </w:p>
        </w:tc>
        <w:tc>
          <w:tcPr>
            <w:tcW w:w="2268" w:type="dxa"/>
            <w:tcBorders>
              <w:top w:val="single" w:sz="4" w:space="0" w:color="auto"/>
              <w:left w:val="single" w:sz="8" w:space="0" w:color="auto"/>
              <w:bottom w:val="single" w:sz="12" w:space="0" w:color="auto"/>
              <w:right w:val="nil"/>
            </w:tcBorders>
            <w:noWrap/>
            <w:hideMark/>
          </w:tcPr>
          <w:p w14:paraId="1051ED82"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Baseline adjusted difference in mean* (95% CI)</w:t>
            </w:r>
          </w:p>
        </w:tc>
        <w:tc>
          <w:tcPr>
            <w:tcW w:w="732" w:type="dxa"/>
            <w:tcBorders>
              <w:top w:val="single" w:sz="4" w:space="0" w:color="auto"/>
              <w:left w:val="nil"/>
              <w:bottom w:val="single" w:sz="12" w:space="0" w:color="auto"/>
              <w:right w:val="dashSmallGap" w:sz="4" w:space="0" w:color="auto"/>
            </w:tcBorders>
            <w:hideMark/>
          </w:tcPr>
          <w:p w14:paraId="321143E2"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p-value</w:t>
            </w:r>
          </w:p>
        </w:tc>
        <w:tc>
          <w:tcPr>
            <w:tcW w:w="2103" w:type="dxa"/>
            <w:tcBorders>
              <w:top w:val="single" w:sz="4" w:space="0" w:color="auto"/>
              <w:left w:val="dashSmallGap" w:sz="4" w:space="0" w:color="auto"/>
              <w:bottom w:val="single" w:sz="12" w:space="0" w:color="auto"/>
              <w:right w:val="nil"/>
            </w:tcBorders>
            <w:noWrap/>
            <w:hideMark/>
          </w:tcPr>
          <w:p w14:paraId="5B65FCA8"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Baseline and covariate</w:t>
            </w:r>
            <w:r>
              <w:rPr>
                <w:rFonts w:ascii="Times New Roman" w:eastAsia="Times New Roman" w:hAnsi="Times New Roman" w:cs="Times New Roman"/>
                <w:b/>
                <w:bCs/>
                <w:color w:val="000000"/>
                <w:vertAlign w:val="superscript"/>
                <w:lang w:eastAsia="en-GB"/>
              </w:rPr>
              <w:t>†</w:t>
            </w:r>
            <w:r>
              <w:rPr>
                <w:rFonts w:ascii="Times New Roman" w:eastAsia="Times New Roman" w:hAnsi="Times New Roman" w:cs="Times New Roman"/>
                <w:b/>
                <w:color w:val="000000"/>
                <w:lang w:eastAsia="en-GB"/>
              </w:rPr>
              <w:t xml:space="preserve"> adjusted difference in mean (95% CI)</w:t>
            </w:r>
          </w:p>
        </w:tc>
        <w:tc>
          <w:tcPr>
            <w:tcW w:w="930" w:type="dxa"/>
            <w:tcBorders>
              <w:top w:val="single" w:sz="4" w:space="0" w:color="auto"/>
              <w:left w:val="nil"/>
              <w:bottom w:val="single" w:sz="12" w:space="0" w:color="auto"/>
              <w:right w:val="nil"/>
            </w:tcBorders>
            <w:hideMark/>
          </w:tcPr>
          <w:p w14:paraId="729AA4C6" w14:textId="77777777" w:rsidR="00317C97" w:rsidRDefault="00317C97">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p-value</w:t>
            </w:r>
          </w:p>
        </w:tc>
      </w:tr>
      <w:tr w:rsidR="00317C97" w14:paraId="2A63E20A" w14:textId="77777777" w:rsidTr="00317C97">
        <w:trPr>
          <w:gridAfter w:val="1"/>
          <w:wAfter w:w="10" w:type="dxa"/>
          <w:trHeight w:val="255"/>
        </w:trPr>
        <w:tc>
          <w:tcPr>
            <w:tcW w:w="2835" w:type="dxa"/>
            <w:tcBorders>
              <w:top w:val="single" w:sz="12" w:space="0" w:color="auto"/>
              <w:left w:val="nil"/>
              <w:bottom w:val="nil"/>
              <w:right w:val="nil"/>
            </w:tcBorders>
            <w:noWrap/>
            <w:vAlign w:val="center"/>
            <w:hideMark/>
          </w:tcPr>
          <w:p w14:paraId="52BE5CE8" w14:textId="77777777" w:rsidR="00317C97" w:rsidRDefault="00317C97">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SPADI Total</w:t>
            </w:r>
          </w:p>
        </w:tc>
        <w:tc>
          <w:tcPr>
            <w:tcW w:w="1637" w:type="dxa"/>
            <w:tcBorders>
              <w:top w:val="single" w:sz="12" w:space="0" w:color="auto"/>
              <w:left w:val="nil"/>
              <w:bottom w:val="nil"/>
              <w:right w:val="nil"/>
            </w:tcBorders>
            <w:noWrap/>
          </w:tcPr>
          <w:p w14:paraId="6BFF1249"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p>
        </w:tc>
        <w:tc>
          <w:tcPr>
            <w:tcW w:w="1023" w:type="dxa"/>
            <w:tcBorders>
              <w:top w:val="single" w:sz="12" w:space="0" w:color="auto"/>
              <w:left w:val="nil"/>
              <w:bottom w:val="nil"/>
              <w:right w:val="dashSmallGap" w:sz="4" w:space="0" w:color="auto"/>
            </w:tcBorders>
          </w:tcPr>
          <w:p w14:paraId="336D6AD7" w14:textId="77777777" w:rsidR="00317C97" w:rsidRDefault="00317C97">
            <w:pPr>
              <w:spacing w:after="0" w:line="240" w:lineRule="auto"/>
              <w:jc w:val="center"/>
              <w:rPr>
                <w:rFonts w:ascii="Times New Roman" w:eastAsia="Times New Roman" w:hAnsi="Times New Roman" w:cs="Times New Roman"/>
                <w:lang w:eastAsia="en-GB"/>
              </w:rPr>
            </w:pPr>
          </w:p>
        </w:tc>
        <w:tc>
          <w:tcPr>
            <w:tcW w:w="2160" w:type="dxa"/>
            <w:tcBorders>
              <w:top w:val="single" w:sz="12" w:space="0" w:color="auto"/>
              <w:left w:val="dashSmallGap" w:sz="4" w:space="0" w:color="auto"/>
              <w:bottom w:val="nil"/>
              <w:right w:val="nil"/>
            </w:tcBorders>
            <w:noWrap/>
          </w:tcPr>
          <w:p w14:paraId="07A87860"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p>
        </w:tc>
        <w:tc>
          <w:tcPr>
            <w:tcW w:w="850" w:type="dxa"/>
            <w:tcBorders>
              <w:top w:val="single" w:sz="12" w:space="0" w:color="auto"/>
              <w:left w:val="nil"/>
              <w:bottom w:val="nil"/>
              <w:right w:val="single" w:sz="8" w:space="0" w:color="auto"/>
            </w:tcBorders>
          </w:tcPr>
          <w:p w14:paraId="651EAC2D" w14:textId="77777777" w:rsidR="00317C97" w:rsidRDefault="00317C97">
            <w:pPr>
              <w:spacing w:after="0" w:line="240" w:lineRule="auto"/>
              <w:jc w:val="center"/>
              <w:rPr>
                <w:rFonts w:ascii="Times New Roman" w:eastAsia="Times New Roman" w:hAnsi="Times New Roman" w:cs="Times New Roman"/>
                <w:lang w:eastAsia="en-GB"/>
              </w:rPr>
            </w:pPr>
          </w:p>
        </w:tc>
        <w:tc>
          <w:tcPr>
            <w:tcW w:w="2268" w:type="dxa"/>
            <w:tcBorders>
              <w:top w:val="single" w:sz="12" w:space="0" w:color="auto"/>
              <w:left w:val="single" w:sz="8" w:space="0" w:color="auto"/>
              <w:bottom w:val="nil"/>
              <w:right w:val="nil"/>
            </w:tcBorders>
            <w:noWrap/>
          </w:tcPr>
          <w:p w14:paraId="64C0281E"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p>
        </w:tc>
        <w:tc>
          <w:tcPr>
            <w:tcW w:w="732" w:type="dxa"/>
            <w:tcBorders>
              <w:top w:val="single" w:sz="12" w:space="0" w:color="auto"/>
              <w:left w:val="nil"/>
              <w:bottom w:val="nil"/>
              <w:right w:val="dashSmallGap" w:sz="4" w:space="0" w:color="auto"/>
            </w:tcBorders>
          </w:tcPr>
          <w:p w14:paraId="3ACFE4B6"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p>
        </w:tc>
        <w:tc>
          <w:tcPr>
            <w:tcW w:w="2103" w:type="dxa"/>
            <w:tcBorders>
              <w:top w:val="single" w:sz="12" w:space="0" w:color="auto"/>
              <w:left w:val="dashSmallGap" w:sz="4" w:space="0" w:color="auto"/>
              <w:bottom w:val="nil"/>
              <w:right w:val="nil"/>
            </w:tcBorders>
            <w:noWrap/>
          </w:tcPr>
          <w:p w14:paraId="5485DD7A"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p>
        </w:tc>
        <w:tc>
          <w:tcPr>
            <w:tcW w:w="930" w:type="dxa"/>
            <w:tcBorders>
              <w:top w:val="single" w:sz="12" w:space="0" w:color="auto"/>
              <w:left w:val="nil"/>
              <w:bottom w:val="nil"/>
              <w:right w:val="nil"/>
            </w:tcBorders>
          </w:tcPr>
          <w:p w14:paraId="2E8E767A" w14:textId="77777777" w:rsidR="00317C97" w:rsidRDefault="00317C97">
            <w:pPr>
              <w:spacing w:after="0" w:line="240" w:lineRule="auto"/>
              <w:jc w:val="center"/>
              <w:rPr>
                <w:rFonts w:ascii="Times New Roman" w:eastAsia="Times New Roman" w:hAnsi="Times New Roman" w:cs="Times New Roman"/>
                <w:lang w:eastAsia="en-GB"/>
              </w:rPr>
            </w:pPr>
          </w:p>
        </w:tc>
      </w:tr>
      <w:tr w:rsidR="00317C97" w14:paraId="7D2630F2" w14:textId="77777777" w:rsidTr="00317C97">
        <w:trPr>
          <w:gridAfter w:val="1"/>
          <w:wAfter w:w="10" w:type="dxa"/>
          <w:trHeight w:val="420"/>
        </w:trPr>
        <w:tc>
          <w:tcPr>
            <w:tcW w:w="2835" w:type="dxa"/>
            <w:noWrap/>
            <w:vAlign w:val="center"/>
            <w:hideMark/>
          </w:tcPr>
          <w:p w14:paraId="54E36A8E"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Probably in the subacromial bursa</w:t>
            </w:r>
          </w:p>
        </w:tc>
        <w:tc>
          <w:tcPr>
            <w:tcW w:w="1637" w:type="dxa"/>
            <w:noWrap/>
            <w:vAlign w:val="center"/>
            <w:hideMark/>
          </w:tcPr>
          <w:p w14:paraId="337BAA05"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5.94 (-5.45, 17.32)</w:t>
            </w:r>
          </w:p>
        </w:tc>
        <w:tc>
          <w:tcPr>
            <w:tcW w:w="1023" w:type="dxa"/>
            <w:tcBorders>
              <w:top w:val="nil"/>
              <w:left w:val="nil"/>
              <w:bottom w:val="nil"/>
              <w:right w:val="dashSmallGap" w:sz="4" w:space="0" w:color="auto"/>
            </w:tcBorders>
            <w:vAlign w:val="center"/>
            <w:hideMark/>
          </w:tcPr>
          <w:p w14:paraId="2A3652E4"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0.307</w:t>
            </w:r>
          </w:p>
        </w:tc>
        <w:tc>
          <w:tcPr>
            <w:tcW w:w="2160" w:type="dxa"/>
            <w:tcBorders>
              <w:top w:val="nil"/>
              <w:left w:val="dashSmallGap" w:sz="4" w:space="0" w:color="auto"/>
              <w:bottom w:val="nil"/>
              <w:right w:val="nil"/>
            </w:tcBorders>
            <w:noWrap/>
            <w:vAlign w:val="center"/>
            <w:hideMark/>
          </w:tcPr>
          <w:p w14:paraId="0116BCD7"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8.22 (-4.05, 20.50)</w:t>
            </w:r>
          </w:p>
        </w:tc>
        <w:tc>
          <w:tcPr>
            <w:tcW w:w="850" w:type="dxa"/>
            <w:tcBorders>
              <w:top w:val="nil"/>
              <w:left w:val="nil"/>
              <w:bottom w:val="nil"/>
              <w:right w:val="single" w:sz="8" w:space="0" w:color="auto"/>
            </w:tcBorders>
            <w:vAlign w:val="center"/>
            <w:hideMark/>
          </w:tcPr>
          <w:p w14:paraId="60572692"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0.189</w:t>
            </w:r>
          </w:p>
        </w:tc>
        <w:tc>
          <w:tcPr>
            <w:tcW w:w="2268" w:type="dxa"/>
            <w:tcBorders>
              <w:top w:val="nil"/>
              <w:left w:val="single" w:sz="8" w:space="0" w:color="auto"/>
              <w:bottom w:val="nil"/>
              <w:right w:val="nil"/>
            </w:tcBorders>
            <w:noWrap/>
            <w:vAlign w:val="center"/>
            <w:hideMark/>
          </w:tcPr>
          <w:p w14:paraId="0A6F9E2A"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7.54 (-9.22, 24.29)</w:t>
            </w:r>
          </w:p>
        </w:tc>
        <w:tc>
          <w:tcPr>
            <w:tcW w:w="732" w:type="dxa"/>
            <w:tcBorders>
              <w:top w:val="nil"/>
              <w:left w:val="nil"/>
              <w:bottom w:val="nil"/>
              <w:right w:val="dashSmallGap" w:sz="4" w:space="0" w:color="auto"/>
            </w:tcBorders>
            <w:vAlign w:val="center"/>
            <w:hideMark/>
          </w:tcPr>
          <w:p w14:paraId="77135824"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0.378</w:t>
            </w:r>
          </w:p>
        </w:tc>
        <w:tc>
          <w:tcPr>
            <w:tcW w:w="2103" w:type="dxa"/>
            <w:tcBorders>
              <w:top w:val="nil"/>
              <w:left w:val="dashSmallGap" w:sz="4" w:space="0" w:color="auto"/>
              <w:bottom w:val="nil"/>
              <w:right w:val="nil"/>
            </w:tcBorders>
            <w:noWrap/>
            <w:hideMark/>
          </w:tcPr>
          <w:p w14:paraId="3C2967B2"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12.38 (-5.34, 30.10)</w:t>
            </w:r>
          </w:p>
        </w:tc>
        <w:tc>
          <w:tcPr>
            <w:tcW w:w="930" w:type="dxa"/>
            <w:hideMark/>
          </w:tcPr>
          <w:p w14:paraId="1B7BF301"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0.171</w:t>
            </w:r>
          </w:p>
        </w:tc>
      </w:tr>
      <w:tr w:rsidR="00317C97" w14:paraId="669C2131" w14:textId="77777777" w:rsidTr="00317C97">
        <w:trPr>
          <w:gridAfter w:val="1"/>
          <w:wAfter w:w="10" w:type="dxa"/>
          <w:trHeight w:val="255"/>
        </w:trPr>
        <w:tc>
          <w:tcPr>
            <w:tcW w:w="2835" w:type="dxa"/>
            <w:noWrap/>
            <w:vAlign w:val="center"/>
            <w:hideMark/>
          </w:tcPr>
          <w:p w14:paraId="3D30ADF9"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Definitely in the subacromial bursa</w:t>
            </w:r>
          </w:p>
        </w:tc>
        <w:tc>
          <w:tcPr>
            <w:tcW w:w="1637" w:type="dxa"/>
            <w:noWrap/>
            <w:vAlign w:val="center"/>
            <w:hideMark/>
          </w:tcPr>
          <w:p w14:paraId="0F8EFF4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-2.14 (-11.34, 7.06)</w:t>
            </w:r>
          </w:p>
        </w:tc>
        <w:tc>
          <w:tcPr>
            <w:tcW w:w="1023" w:type="dxa"/>
            <w:tcBorders>
              <w:top w:val="nil"/>
              <w:left w:val="nil"/>
              <w:bottom w:val="nil"/>
              <w:right w:val="dashSmallGap" w:sz="4" w:space="0" w:color="auto"/>
            </w:tcBorders>
            <w:vAlign w:val="center"/>
            <w:hideMark/>
          </w:tcPr>
          <w:p w14:paraId="7BE31343"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0.648</w:t>
            </w:r>
          </w:p>
        </w:tc>
        <w:tc>
          <w:tcPr>
            <w:tcW w:w="2160" w:type="dxa"/>
            <w:tcBorders>
              <w:top w:val="nil"/>
              <w:left w:val="dashSmallGap" w:sz="4" w:space="0" w:color="auto"/>
              <w:bottom w:val="nil"/>
              <w:right w:val="nil"/>
            </w:tcBorders>
            <w:noWrap/>
            <w:vAlign w:val="center"/>
            <w:hideMark/>
          </w:tcPr>
          <w:p w14:paraId="5166E973"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-0.57 (-10.27, 9.13)</w:t>
            </w:r>
          </w:p>
        </w:tc>
        <w:tc>
          <w:tcPr>
            <w:tcW w:w="850" w:type="dxa"/>
            <w:tcBorders>
              <w:top w:val="nil"/>
              <w:left w:val="nil"/>
              <w:bottom w:val="nil"/>
              <w:right w:val="single" w:sz="8" w:space="0" w:color="auto"/>
            </w:tcBorders>
            <w:vAlign w:val="center"/>
            <w:hideMark/>
          </w:tcPr>
          <w:p w14:paraId="7416C135"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0.908</w:t>
            </w:r>
          </w:p>
        </w:tc>
        <w:tc>
          <w:tcPr>
            <w:tcW w:w="2268" w:type="dxa"/>
            <w:tcBorders>
              <w:top w:val="nil"/>
              <w:left w:val="single" w:sz="8" w:space="0" w:color="auto"/>
              <w:bottom w:val="nil"/>
              <w:right w:val="nil"/>
            </w:tcBorders>
            <w:noWrap/>
            <w:vAlign w:val="center"/>
            <w:hideMark/>
          </w:tcPr>
          <w:p w14:paraId="27FF05B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-0.06 (-13.63, 13.52)</w:t>
            </w:r>
          </w:p>
        </w:tc>
        <w:tc>
          <w:tcPr>
            <w:tcW w:w="732" w:type="dxa"/>
            <w:tcBorders>
              <w:top w:val="nil"/>
              <w:left w:val="nil"/>
              <w:bottom w:val="nil"/>
              <w:right w:val="dashSmallGap" w:sz="4" w:space="0" w:color="auto"/>
            </w:tcBorders>
            <w:vAlign w:val="center"/>
            <w:hideMark/>
          </w:tcPr>
          <w:p w14:paraId="7D8A1F74"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0.994</w:t>
            </w:r>
          </w:p>
        </w:tc>
        <w:tc>
          <w:tcPr>
            <w:tcW w:w="2103" w:type="dxa"/>
            <w:tcBorders>
              <w:top w:val="nil"/>
              <w:left w:val="dashSmallGap" w:sz="4" w:space="0" w:color="auto"/>
              <w:bottom w:val="nil"/>
              <w:right w:val="nil"/>
            </w:tcBorders>
            <w:noWrap/>
            <w:hideMark/>
          </w:tcPr>
          <w:p w14:paraId="36E5A246"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3.10 (-11.04, 17.23)</w:t>
            </w:r>
          </w:p>
        </w:tc>
        <w:tc>
          <w:tcPr>
            <w:tcW w:w="930" w:type="dxa"/>
            <w:hideMark/>
          </w:tcPr>
          <w:p w14:paraId="228F1818"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0.668</w:t>
            </w:r>
          </w:p>
        </w:tc>
      </w:tr>
      <w:tr w:rsidR="00317C97" w14:paraId="12D92E4C" w14:textId="77777777" w:rsidTr="00317C97">
        <w:trPr>
          <w:gridAfter w:val="1"/>
          <w:wAfter w:w="10" w:type="dxa"/>
          <w:trHeight w:val="255"/>
        </w:trPr>
        <w:tc>
          <w:tcPr>
            <w:tcW w:w="2835" w:type="dxa"/>
            <w:noWrap/>
            <w:vAlign w:val="center"/>
            <w:hideMark/>
          </w:tcPr>
          <w:p w14:paraId="0EB231CA" w14:textId="77777777" w:rsidR="00317C97" w:rsidRDefault="00317C97">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SPADI Pain</w:t>
            </w:r>
          </w:p>
        </w:tc>
        <w:tc>
          <w:tcPr>
            <w:tcW w:w="1637" w:type="dxa"/>
            <w:noWrap/>
            <w:vAlign w:val="center"/>
            <w:hideMark/>
          </w:tcPr>
          <w:p w14:paraId="652CD5D1" w14:textId="77777777" w:rsidR="00317C97" w:rsidRDefault="00317C97">
            <w:pPr>
              <w:rPr>
                <w:rFonts w:ascii="Times New Roman" w:eastAsia="Times New Roman" w:hAnsi="Times New Roman" w:cs="Times New Roman"/>
                <w:b/>
                <w:color w:val="000000"/>
                <w:lang w:eastAsia="en-GB"/>
              </w:rPr>
            </w:pPr>
          </w:p>
        </w:tc>
        <w:tc>
          <w:tcPr>
            <w:tcW w:w="1023" w:type="dxa"/>
            <w:tcBorders>
              <w:top w:val="nil"/>
              <w:left w:val="nil"/>
              <w:bottom w:val="nil"/>
              <w:right w:val="dashSmallGap" w:sz="4" w:space="0" w:color="auto"/>
            </w:tcBorders>
            <w:vAlign w:val="center"/>
          </w:tcPr>
          <w:p w14:paraId="04139F0D" w14:textId="77777777" w:rsidR="00317C97" w:rsidRDefault="00317C97">
            <w:pPr>
              <w:spacing w:after="0" w:line="240" w:lineRule="auto"/>
              <w:jc w:val="center"/>
              <w:rPr>
                <w:rFonts w:ascii="Times New Roman" w:eastAsia="Times New Roman" w:hAnsi="Times New Roman" w:cs="Times New Roman"/>
                <w:lang w:eastAsia="en-GB"/>
              </w:rPr>
            </w:pPr>
          </w:p>
        </w:tc>
        <w:tc>
          <w:tcPr>
            <w:tcW w:w="2160" w:type="dxa"/>
            <w:tcBorders>
              <w:top w:val="nil"/>
              <w:left w:val="dashSmallGap" w:sz="4" w:space="0" w:color="auto"/>
              <w:bottom w:val="nil"/>
              <w:right w:val="nil"/>
            </w:tcBorders>
            <w:noWrap/>
            <w:vAlign w:val="center"/>
            <w:hideMark/>
          </w:tcPr>
          <w:p w14:paraId="7FC96D51" w14:textId="77777777" w:rsidR="00317C97" w:rsidRDefault="00317C97">
            <w:pPr>
              <w:rPr>
                <w:rFonts w:ascii="Times New Roman" w:eastAsia="Times New Roman" w:hAnsi="Times New Roman" w:cs="Times New Roman"/>
                <w:lang w:eastAsia="en-GB"/>
              </w:rPr>
            </w:pPr>
          </w:p>
        </w:tc>
        <w:tc>
          <w:tcPr>
            <w:tcW w:w="850" w:type="dxa"/>
            <w:tcBorders>
              <w:top w:val="nil"/>
              <w:left w:val="nil"/>
              <w:bottom w:val="nil"/>
              <w:right w:val="single" w:sz="8" w:space="0" w:color="auto"/>
            </w:tcBorders>
            <w:vAlign w:val="center"/>
          </w:tcPr>
          <w:p w14:paraId="6D73B415" w14:textId="77777777" w:rsidR="00317C97" w:rsidRDefault="00317C97">
            <w:pPr>
              <w:spacing w:after="0" w:line="240" w:lineRule="auto"/>
              <w:jc w:val="center"/>
              <w:rPr>
                <w:rFonts w:ascii="Times New Roman" w:eastAsia="Times New Roman" w:hAnsi="Times New Roman" w:cs="Times New Roman"/>
                <w:lang w:eastAsia="en-GB"/>
              </w:rPr>
            </w:pPr>
          </w:p>
        </w:tc>
        <w:tc>
          <w:tcPr>
            <w:tcW w:w="2268" w:type="dxa"/>
            <w:tcBorders>
              <w:top w:val="nil"/>
              <w:left w:val="single" w:sz="8" w:space="0" w:color="auto"/>
              <w:bottom w:val="nil"/>
              <w:right w:val="nil"/>
            </w:tcBorders>
            <w:noWrap/>
            <w:vAlign w:val="center"/>
            <w:hideMark/>
          </w:tcPr>
          <w:p w14:paraId="0AD08CFB" w14:textId="77777777" w:rsidR="00317C97" w:rsidRDefault="00317C97">
            <w:pPr>
              <w:rPr>
                <w:rFonts w:ascii="Times New Roman" w:eastAsia="Times New Roman" w:hAnsi="Times New Roman" w:cs="Times New Roman"/>
                <w:lang w:eastAsia="en-GB"/>
              </w:rPr>
            </w:pPr>
          </w:p>
        </w:tc>
        <w:tc>
          <w:tcPr>
            <w:tcW w:w="732" w:type="dxa"/>
            <w:tcBorders>
              <w:top w:val="nil"/>
              <w:left w:val="nil"/>
              <w:bottom w:val="nil"/>
              <w:right w:val="dashSmallGap" w:sz="4" w:space="0" w:color="auto"/>
            </w:tcBorders>
            <w:vAlign w:val="center"/>
          </w:tcPr>
          <w:p w14:paraId="7DBD3CB1" w14:textId="77777777" w:rsidR="00317C97" w:rsidRDefault="00317C97">
            <w:pPr>
              <w:spacing w:after="0" w:line="240" w:lineRule="auto"/>
              <w:jc w:val="center"/>
              <w:rPr>
                <w:rFonts w:ascii="Times New Roman" w:eastAsia="Times New Roman" w:hAnsi="Times New Roman" w:cs="Times New Roman"/>
                <w:lang w:eastAsia="en-GB"/>
              </w:rPr>
            </w:pPr>
          </w:p>
        </w:tc>
        <w:tc>
          <w:tcPr>
            <w:tcW w:w="2103" w:type="dxa"/>
            <w:tcBorders>
              <w:top w:val="nil"/>
              <w:left w:val="dashSmallGap" w:sz="4" w:space="0" w:color="auto"/>
              <w:bottom w:val="nil"/>
              <w:right w:val="nil"/>
            </w:tcBorders>
            <w:noWrap/>
            <w:vAlign w:val="center"/>
            <w:hideMark/>
          </w:tcPr>
          <w:p w14:paraId="5FCE4564" w14:textId="77777777" w:rsidR="00317C97" w:rsidRDefault="00317C97">
            <w:pPr>
              <w:rPr>
                <w:rFonts w:ascii="Times New Roman" w:eastAsia="Times New Roman" w:hAnsi="Times New Roman" w:cs="Times New Roman"/>
                <w:lang w:eastAsia="en-GB"/>
              </w:rPr>
            </w:pPr>
          </w:p>
        </w:tc>
        <w:tc>
          <w:tcPr>
            <w:tcW w:w="930" w:type="dxa"/>
            <w:vAlign w:val="center"/>
          </w:tcPr>
          <w:p w14:paraId="0748E72C" w14:textId="77777777" w:rsidR="00317C97" w:rsidRDefault="00317C97">
            <w:pPr>
              <w:spacing w:after="0" w:line="240" w:lineRule="auto"/>
              <w:jc w:val="center"/>
              <w:rPr>
                <w:rFonts w:ascii="Times New Roman" w:eastAsia="Times New Roman" w:hAnsi="Times New Roman" w:cs="Times New Roman"/>
                <w:lang w:eastAsia="en-GB"/>
              </w:rPr>
            </w:pPr>
          </w:p>
        </w:tc>
      </w:tr>
      <w:tr w:rsidR="00317C97" w14:paraId="4400CDFF" w14:textId="77777777" w:rsidTr="00317C97">
        <w:trPr>
          <w:gridAfter w:val="1"/>
          <w:wAfter w:w="10" w:type="dxa"/>
          <w:trHeight w:val="255"/>
        </w:trPr>
        <w:tc>
          <w:tcPr>
            <w:tcW w:w="2835" w:type="dxa"/>
            <w:noWrap/>
            <w:vAlign w:val="center"/>
            <w:hideMark/>
          </w:tcPr>
          <w:p w14:paraId="30D1CCA3"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Probably in the subacromial bursa</w:t>
            </w:r>
          </w:p>
        </w:tc>
        <w:tc>
          <w:tcPr>
            <w:tcW w:w="1637" w:type="dxa"/>
            <w:noWrap/>
            <w:vAlign w:val="center"/>
            <w:hideMark/>
          </w:tcPr>
          <w:p w14:paraId="7BA45770"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5.06 (-7.06, 17.17)</w:t>
            </w:r>
          </w:p>
        </w:tc>
        <w:tc>
          <w:tcPr>
            <w:tcW w:w="1023" w:type="dxa"/>
            <w:tcBorders>
              <w:top w:val="nil"/>
              <w:left w:val="nil"/>
              <w:bottom w:val="nil"/>
              <w:right w:val="dashSmallGap" w:sz="4" w:space="0" w:color="auto"/>
            </w:tcBorders>
            <w:vAlign w:val="center"/>
            <w:hideMark/>
          </w:tcPr>
          <w:p w14:paraId="6ABB55CD"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0.413</w:t>
            </w:r>
          </w:p>
        </w:tc>
        <w:tc>
          <w:tcPr>
            <w:tcW w:w="2160" w:type="dxa"/>
            <w:tcBorders>
              <w:top w:val="nil"/>
              <w:left w:val="dashSmallGap" w:sz="4" w:space="0" w:color="auto"/>
              <w:bottom w:val="nil"/>
              <w:right w:val="nil"/>
            </w:tcBorders>
            <w:noWrap/>
            <w:hideMark/>
          </w:tcPr>
          <w:p w14:paraId="2FD78BE4"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6.72 (-6.31, 19.75)</w:t>
            </w:r>
          </w:p>
        </w:tc>
        <w:tc>
          <w:tcPr>
            <w:tcW w:w="850" w:type="dxa"/>
            <w:tcBorders>
              <w:top w:val="nil"/>
              <w:left w:val="nil"/>
              <w:bottom w:val="nil"/>
              <w:right w:val="single" w:sz="8" w:space="0" w:color="auto"/>
            </w:tcBorders>
            <w:vAlign w:val="center"/>
            <w:hideMark/>
          </w:tcPr>
          <w:p w14:paraId="7B1E6B50"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0.312</w:t>
            </w:r>
          </w:p>
        </w:tc>
        <w:tc>
          <w:tcPr>
            <w:tcW w:w="2268" w:type="dxa"/>
            <w:tcBorders>
              <w:top w:val="nil"/>
              <w:left w:val="single" w:sz="8" w:space="0" w:color="auto"/>
              <w:bottom w:val="nil"/>
              <w:right w:val="nil"/>
            </w:tcBorders>
            <w:noWrap/>
            <w:vAlign w:val="center"/>
            <w:hideMark/>
          </w:tcPr>
          <w:p w14:paraId="5907D2D3"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-4.83 (-14.61, 4.96)</w:t>
            </w:r>
          </w:p>
        </w:tc>
        <w:tc>
          <w:tcPr>
            <w:tcW w:w="732" w:type="dxa"/>
            <w:tcBorders>
              <w:top w:val="nil"/>
              <w:left w:val="nil"/>
              <w:bottom w:val="nil"/>
              <w:right w:val="dashSmallGap" w:sz="4" w:space="0" w:color="auto"/>
            </w:tcBorders>
            <w:vAlign w:val="center"/>
            <w:hideMark/>
          </w:tcPr>
          <w:p w14:paraId="1C2FBEBF"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0.334</w:t>
            </w:r>
          </w:p>
        </w:tc>
        <w:tc>
          <w:tcPr>
            <w:tcW w:w="2103" w:type="dxa"/>
            <w:tcBorders>
              <w:top w:val="nil"/>
              <w:left w:val="dashSmallGap" w:sz="4" w:space="0" w:color="auto"/>
              <w:bottom w:val="nil"/>
              <w:right w:val="nil"/>
            </w:tcBorders>
            <w:noWrap/>
            <w:hideMark/>
          </w:tcPr>
          <w:p w14:paraId="6EB573E9" w14:textId="77777777" w:rsidR="00317C97" w:rsidRDefault="00317C97">
            <w:pPr>
              <w:widowControl w:val="0"/>
              <w:autoSpaceDE w:val="0"/>
              <w:autoSpaceDN w:val="0"/>
              <w:adjustRightInd w:val="0"/>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13.63 (-5.02, 32.28)</w:t>
            </w:r>
          </w:p>
        </w:tc>
        <w:tc>
          <w:tcPr>
            <w:tcW w:w="930" w:type="dxa"/>
            <w:hideMark/>
          </w:tcPr>
          <w:p w14:paraId="422C9945" w14:textId="77777777" w:rsidR="00317C97" w:rsidRDefault="00317C97">
            <w:pPr>
              <w:widowControl w:val="0"/>
              <w:autoSpaceDE w:val="0"/>
              <w:autoSpaceDN w:val="0"/>
              <w:adjustRightInd w:val="0"/>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0.152</w:t>
            </w:r>
          </w:p>
        </w:tc>
      </w:tr>
      <w:tr w:rsidR="00317C97" w14:paraId="7DEB24DA" w14:textId="77777777" w:rsidTr="00317C97">
        <w:trPr>
          <w:gridAfter w:val="1"/>
          <w:wAfter w:w="10" w:type="dxa"/>
          <w:trHeight w:val="255"/>
        </w:trPr>
        <w:tc>
          <w:tcPr>
            <w:tcW w:w="2835" w:type="dxa"/>
            <w:noWrap/>
            <w:vAlign w:val="center"/>
            <w:hideMark/>
          </w:tcPr>
          <w:p w14:paraId="6DEB98FC"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Definitely in the subacromial bursa</w:t>
            </w:r>
          </w:p>
        </w:tc>
        <w:tc>
          <w:tcPr>
            <w:tcW w:w="1637" w:type="dxa"/>
            <w:noWrap/>
            <w:vAlign w:val="center"/>
            <w:hideMark/>
          </w:tcPr>
          <w:p w14:paraId="0258E43A"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9.98 (-7.59, 27.55)</w:t>
            </w:r>
          </w:p>
        </w:tc>
        <w:tc>
          <w:tcPr>
            <w:tcW w:w="1023" w:type="dxa"/>
            <w:tcBorders>
              <w:top w:val="nil"/>
              <w:left w:val="nil"/>
              <w:bottom w:val="nil"/>
              <w:right w:val="dashSmallGap" w:sz="4" w:space="0" w:color="auto"/>
            </w:tcBorders>
            <w:vAlign w:val="center"/>
            <w:hideMark/>
          </w:tcPr>
          <w:p w14:paraId="27382F1B"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0.265</w:t>
            </w:r>
          </w:p>
        </w:tc>
        <w:tc>
          <w:tcPr>
            <w:tcW w:w="2160" w:type="dxa"/>
            <w:tcBorders>
              <w:top w:val="nil"/>
              <w:left w:val="dashSmallGap" w:sz="4" w:space="0" w:color="auto"/>
              <w:bottom w:val="nil"/>
              <w:right w:val="nil"/>
            </w:tcBorders>
            <w:noWrap/>
            <w:hideMark/>
          </w:tcPr>
          <w:p w14:paraId="3173F4D4"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-3.84 (-14.18, 6.50)</w:t>
            </w:r>
          </w:p>
        </w:tc>
        <w:tc>
          <w:tcPr>
            <w:tcW w:w="850" w:type="dxa"/>
            <w:tcBorders>
              <w:top w:val="nil"/>
              <w:left w:val="nil"/>
              <w:bottom w:val="nil"/>
              <w:right w:val="single" w:sz="8" w:space="0" w:color="auto"/>
            </w:tcBorders>
            <w:vAlign w:val="center"/>
            <w:hideMark/>
          </w:tcPr>
          <w:p w14:paraId="48844793"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0.467</w:t>
            </w:r>
          </w:p>
        </w:tc>
        <w:tc>
          <w:tcPr>
            <w:tcW w:w="2268" w:type="dxa"/>
            <w:tcBorders>
              <w:top w:val="nil"/>
              <w:left w:val="single" w:sz="8" w:space="0" w:color="auto"/>
              <w:bottom w:val="nil"/>
              <w:right w:val="nil"/>
            </w:tcBorders>
            <w:noWrap/>
            <w:vAlign w:val="center"/>
            <w:hideMark/>
          </w:tcPr>
          <w:p w14:paraId="15BAB516"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3.57 (-10.60, 17.73)</w:t>
            </w:r>
          </w:p>
        </w:tc>
        <w:tc>
          <w:tcPr>
            <w:tcW w:w="732" w:type="dxa"/>
            <w:tcBorders>
              <w:top w:val="nil"/>
              <w:left w:val="nil"/>
              <w:bottom w:val="nil"/>
              <w:right w:val="dashSmallGap" w:sz="4" w:space="0" w:color="auto"/>
            </w:tcBorders>
            <w:vAlign w:val="center"/>
            <w:hideMark/>
          </w:tcPr>
          <w:p w14:paraId="36C1C8F0"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0.622</w:t>
            </w:r>
          </w:p>
        </w:tc>
        <w:tc>
          <w:tcPr>
            <w:tcW w:w="2103" w:type="dxa"/>
            <w:tcBorders>
              <w:top w:val="nil"/>
              <w:left w:val="dashSmallGap" w:sz="4" w:space="0" w:color="auto"/>
              <w:bottom w:val="nil"/>
              <w:right w:val="nil"/>
            </w:tcBorders>
            <w:noWrap/>
            <w:hideMark/>
          </w:tcPr>
          <w:p w14:paraId="43465EA7" w14:textId="77777777" w:rsidR="00317C97" w:rsidRDefault="00317C97">
            <w:pPr>
              <w:widowControl w:val="0"/>
              <w:autoSpaceDE w:val="0"/>
              <w:autoSpaceDN w:val="0"/>
              <w:adjustRightInd w:val="0"/>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6.00 (-8.82, 20.83)</w:t>
            </w:r>
          </w:p>
        </w:tc>
        <w:tc>
          <w:tcPr>
            <w:tcW w:w="930" w:type="dxa"/>
            <w:hideMark/>
          </w:tcPr>
          <w:p w14:paraId="7DAA00BC" w14:textId="77777777" w:rsidR="00317C97" w:rsidRDefault="00317C97">
            <w:pPr>
              <w:widowControl w:val="0"/>
              <w:autoSpaceDE w:val="0"/>
              <w:autoSpaceDN w:val="0"/>
              <w:adjustRightInd w:val="0"/>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0.427</w:t>
            </w:r>
          </w:p>
        </w:tc>
      </w:tr>
      <w:tr w:rsidR="00317C97" w14:paraId="471946FC" w14:textId="77777777" w:rsidTr="00317C97">
        <w:trPr>
          <w:gridAfter w:val="1"/>
          <w:wAfter w:w="10" w:type="dxa"/>
          <w:trHeight w:val="255"/>
        </w:trPr>
        <w:tc>
          <w:tcPr>
            <w:tcW w:w="2835" w:type="dxa"/>
            <w:noWrap/>
            <w:vAlign w:val="center"/>
            <w:hideMark/>
          </w:tcPr>
          <w:p w14:paraId="40F1C970" w14:textId="77777777" w:rsidR="00317C97" w:rsidRDefault="00317C97">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SPADI Disability</w:t>
            </w:r>
          </w:p>
        </w:tc>
        <w:tc>
          <w:tcPr>
            <w:tcW w:w="1637" w:type="dxa"/>
            <w:noWrap/>
            <w:vAlign w:val="center"/>
          </w:tcPr>
          <w:p w14:paraId="16C9AC7A" w14:textId="77777777" w:rsidR="00317C97" w:rsidRDefault="00317C97">
            <w:pPr>
              <w:spacing w:after="0" w:line="240" w:lineRule="auto"/>
              <w:jc w:val="center"/>
              <w:rPr>
                <w:rFonts w:ascii="Times New Roman" w:eastAsia="Times New Roman" w:hAnsi="Times New Roman" w:cs="Times New Roman"/>
                <w:lang w:eastAsia="en-GB"/>
              </w:rPr>
            </w:pPr>
          </w:p>
        </w:tc>
        <w:tc>
          <w:tcPr>
            <w:tcW w:w="1023" w:type="dxa"/>
            <w:tcBorders>
              <w:top w:val="nil"/>
              <w:left w:val="nil"/>
              <w:bottom w:val="nil"/>
              <w:right w:val="dashSmallGap" w:sz="4" w:space="0" w:color="auto"/>
            </w:tcBorders>
            <w:vAlign w:val="center"/>
          </w:tcPr>
          <w:p w14:paraId="51EA6F2E" w14:textId="77777777" w:rsidR="00317C97" w:rsidRDefault="00317C97">
            <w:pPr>
              <w:spacing w:after="0" w:line="240" w:lineRule="auto"/>
              <w:jc w:val="center"/>
              <w:rPr>
                <w:rFonts w:ascii="Times New Roman" w:eastAsia="Times New Roman" w:hAnsi="Times New Roman" w:cs="Times New Roman"/>
                <w:lang w:eastAsia="en-GB"/>
              </w:rPr>
            </w:pPr>
          </w:p>
        </w:tc>
        <w:tc>
          <w:tcPr>
            <w:tcW w:w="2160" w:type="dxa"/>
            <w:tcBorders>
              <w:top w:val="nil"/>
              <w:left w:val="dashSmallGap" w:sz="4" w:space="0" w:color="auto"/>
              <w:bottom w:val="nil"/>
              <w:right w:val="nil"/>
            </w:tcBorders>
            <w:noWrap/>
            <w:vAlign w:val="center"/>
          </w:tcPr>
          <w:p w14:paraId="29B80DA8" w14:textId="77777777" w:rsidR="00317C97" w:rsidRDefault="00317C97">
            <w:pPr>
              <w:spacing w:after="0" w:line="240" w:lineRule="auto"/>
              <w:jc w:val="center"/>
              <w:rPr>
                <w:rFonts w:ascii="Times New Roman" w:eastAsia="Times New Roman" w:hAnsi="Times New Roman" w:cs="Times New Roman"/>
                <w:lang w:eastAsia="en-GB"/>
              </w:rPr>
            </w:pPr>
          </w:p>
        </w:tc>
        <w:tc>
          <w:tcPr>
            <w:tcW w:w="850" w:type="dxa"/>
            <w:tcBorders>
              <w:top w:val="nil"/>
              <w:left w:val="nil"/>
              <w:bottom w:val="nil"/>
              <w:right w:val="single" w:sz="8" w:space="0" w:color="auto"/>
            </w:tcBorders>
            <w:vAlign w:val="center"/>
          </w:tcPr>
          <w:p w14:paraId="14F0A69F" w14:textId="77777777" w:rsidR="00317C97" w:rsidRDefault="00317C97">
            <w:pPr>
              <w:spacing w:after="0" w:line="240" w:lineRule="auto"/>
              <w:jc w:val="center"/>
              <w:rPr>
                <w:rFonts w:ascii="Times New Roman" w:eastAsia="Times New Roman" w:hAnsi="Times New Roman" w:cs="Times New Roman"/>
                <w:lang w:eastAsia="en-GB"/>
              </w:rPr>
            </w:pPr>
          </w:p>
        </w:tc>
        <w:tc>
          <w:tcPr>
            <w:tcW w:w="2268" w:type="dxa"/>
            <w:tcBorders>
              <w:top w:val="nil"/>
              <w:left w:val="single" w:sz="8" w:space="0" w:color="auto"/>
              <w:bottom w:val="nil"/>
              <w:right w:val="nil"/>
            </w:tcBorders>
            <w:noWrap/>
            <w:vAlign w:val="center"/>
          </w:tcPr>
          <w:p w14:paraId="6F34EB44" w14:textId="77777777" w:rsidR="00317C97" w:rsidRDefault="00317C97">
            <w:pPr>
              <w:spacing w:after="0" w:line="240" w:lineRule="auto"/>
              <w:jc w:val="center"/>
              <w:rPr>
                <w:rFonts w:ascii="Times New Roman" w:eastAsia="Times New Roman" w:hAnsi="Times New Roman" w:cs="Times New Roman"/>
                <w:lang w:eastAsia="en-GB"/>
              </w:rPr>
            </w:pPr>
          </w:p>
        </w:tc>
        <w:tc>
          <w:tcPr>
            <w:tcW w:w="732" w:type="dxa"/>
            <w:tcBorders>
              <w:top w:val="nil"/>
              <w:left w:val="nil"/>
              <w:bottom w:val="nil"/>
              <w:right w:val="dashSmallGap" w:sz="4" w:space="0" w:color="auto"/>
            </w:tcBorders>
            <w:vAlign w:val="center"/>
          </w:tcPr>
          <w:p w14:paraId="5C3270CF" w14:textId="77777777" w:rsidR="00317C97" w:rsidRDefault="00317C97">
            <w:pPr>
              <w:spacing w:after="0" w:line="240" w:lineRule="auto"/>
              <w:jc w:val="center"/>
              <w:rPr>
                <w:rFonts w:ascii="Times New Roman" w:eastAsia="Times New Roman" w:hAnsi="Times New Roman" w:cs="Times New Roman"/>
                <w:lang w:eastAsia="en-GB"/>
              </w:rPr>
            </w:pPr>
          </w:p>
        </w:tc>
        <w:tc>
          <w:tcPr>
            <w:tcW w:w="2103" w:type="dxa"/>
            <w:tcBorders>
              <w:top w:val="nil"/>
              <w:left w:val="dashSmallGap" w:sz="4" w:space="0" w:color="auto"/>
              <w:bottom w:val="nil"/>
              <w:right w:val="nil"/>
            </w:tcBorders>
            <w:noWrap/>
            <w:vAlign w:val="center"/>
          </w:tcPr>
          <w:p w14:paraId="161E9EA0" w14:textId="77777777" w:rsidR="00317C97" w:rsidRDefault="00317C97">
            <w:pPr>
              <w:spacing w:after="0" w:line="240" w:lineRule="auto"/>
              <w:jc w:val="center"/>
              <w:rPr>
                <w:rFonts w:ascii="Times New Roman" w:eastAsia="Times New Roman" w:hAnsi="Times New Roman" w:cs="Times New Roman"/>
                <w:lang w:eastAsia="en-GB"/>
              </w:rPr>
            </w:pPr>
          </w:p>
        </w:tc>
        <w:tc>
          <w:tcPr>
            <w:tcW w:w="930" w:type="dxa"/>
            <w:vAlign w:val="center"/>
          </w:tcPr>
          <w:p w14:paraId="2FB82968" w14:textId="77777777" w:rsidR="00317C97" w:rsidRDefault="00317C97">
            <w:pPr>
              <w:spacing w:after="0" w:line="240" w:lineRule="auto"/>
              <w:jc w:val="center"/>
              <w:rPr>
                <w:rFonts w:ascii="Times New Roman" w:eastAsia="Times New Roman" w:hAnsi="Times New Roman" w:cs="Times New Roman"/>
                <w:lang w:eastAsia="en-GB"/>
              </w:rPr>
            </w:pPr>
          </w:p>
        </w:tc>
      </w:tr>
      <w:tr w:rsidR="00317C97" w14:paraId="1A40A5F0" w14:textId="77777777" w:rsidTr="00317C97">
        <w:trPr>
          <w:gridAfter w:val="1"/>
          <w:wAfter w:w="10" w:type="dxa"/>
          <w:trHeight w:val="255"/>
        </w:trPr>
        <w:tc>
          <w:tcPr>
            <w:tcW w:w="2835" w:type="dxa"/>
            <w:noWrap/>
            <w:vAlign w:val="center"/>
            <w:hideMark/>
          </w:tcPr>
          <w:p w14:paraId="2FC500F9"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Probably in the subacromial bursa</w:t>
            </w:r>
          </w:p>
        </w:tc>
        <w:tc>
          <w:tcPr>
            <w:tcW w:w="1637" w:type="dxa"/>
            <w:noWrap/>
            <w:vAlign w:val="center"/>
            <w:hideMark/>
          </w:tcPr>
          <w:p w14:paraId="33C3189D"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5.82 (-5.79, 17.44)</w:t>
            </w:r>
          </w:p>
        </w:tc>
        <w:tc>
          <w:tcPr>
            <w:tcW w:w="1023" w:type="dxa"/>
            <w:tcBorders>
              <w:top w:val="nil"/>
              <w:left w:val="nil"/>
              <w:bottom w:val="nil"/>
              <w:right w:val="dashSmallGap" w:sz="4" w:space="0" w:color="auto"/>
            </w:tcBorders>
            <w:vAlign w:val="center"/>
            <w:hideMark/>
          </w:tcPr>
          <w:p w14:paraId="5E9415CD"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0.326</w:t>
            </w:r>
          </w:p>
        </w:tc>
        <w:tc>
          <w:tcPr>
            <w:tcW w:w="2160" w:type="dxa"/>
            <w:tcBorders>
              <w:top w:val="nil"/>
              <w:left w:val="dashSmallGap" w:sz="4" w:space="0" w:color="auto"/>
              <w:bottom w:val="nil"/>
              <w:right w:val="nil"/>
            </w:tcBorders>
            <w:noWrap/>
            <w:hideMark/>
          </w:tcPr>
          <w:p w14:paraId="72154059"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8.09 (-4.51, 20.68)</w:t>
            </w:r>
          </w:p>
        </w:tc>
        <w:tc>
          <w:tcPr>
            <w:tcW w:w="850" w:type="dxa"/>
            <w:tcBorders>
              <w:top w:val="nil"/>
              <w:left w:val="nil"/>
              <w:bottom w:val="nil"/>
              <w:right w:val="single" w:sz="8" w:space="0" w:color="auto"/>
            </w:tcBorders>
            <w:hideMark/>
          </w:tcPr>
          <w:p w14:paraId="34527F3C"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0.208</w:t>
            </w:r>
          </w:p>
        </w:tc>
        <w:tc>
          <w:tcPr>
            <w:tcW w:w="2268" w:type="dxa"/>
            <w:tcBorders>
              <w:top w:val="nil"/>
              <w:left w:val="single" w:sz="8" w:space="0" w:color="auto"/>
              <w:bottom w:val="nil"/>
              <w:right w:val="nil"/>
            </w:tcBorders>
            <w:noWrap/>
            <w:vAlign w:val="center"/>
            <w:hideMark/>
          </w:tcPr>
          <w:p w14:paraId="5BE7DFA9"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-1.19 (-10.58, 8.21)</w:t>
            </w:r>
          </w:p>
        </w:tc>
        <w:tc>
          <w:tcPr>
            <w:tcW w:w="732" w:type="dxa"/>
            <w:tcBorders>
              <w:top w:val="nil"/>
              <w:left w:val="nil"/>
              <w:bottom w:val="nil"/>
              <w:right w:val="dashSmallGap" w:sz="4" w:space="0" w:color="auto"/>
            </w:tcBorders>
            <w:vAlign w:val="center"/>
            <w:hideMark/>
          </w:tcPr>
          <w:p w14:paraId="697C3F7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0.804</w:t>
            </w:r>
          </w:p>
        </w:tc>
        <w:tc>
          <w:tcPr>
            <w:tcW w:w="2103" w:type="dxa"/>
            <w:tcBorders>
              <w:top w:val="nil"/>
              <w:left w:val="dashSmallGap" w:sz="4" w:space="0" w:color="auto"/>
              <w:bottom w:val="nil"/>
              <w:right w:val="nil"/>
            </w:tcBorders>
            <w:noWrap/>
            <w:hideMark/>
          </w:tcPr>
          <w:p w14:paraId="5E9AC537"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11.75 (-6.29, 29.79)</w:t>
            </w:r>
          </w:p>
        </w:tc>
        <w:tc>
          <w:tcPr>
            <w:tcW w:w="930" w:type="dxa"/>
            <w:hideMark/>
          </w:tcPr>
          <w:p w14:paraId="728CAFC9"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0.202</w:t>
            </w:r>
          </w:p>
        </w:tc>
      </w:tr>
      <w:tr w:rsidR="00317C97" w14:paraId="28BFE717" w14:textId="77777777" w:rsidTr="00317C97">
        <w:trPr>
          <w:gridAfter w:val="1"/>
          <w:wAfter w:w="10" w:type="dxa"/>
          <w:trHeight w:val="255"/>
        </w:trPr>
        <w:tc>
          <w:tcPr>
            <w:tcW w:w="2835" w:type="dxa"/>
            <w:tcBorders>
              <w:top w:val="nil"/>
              <w:left w:val="nil"/>
              <w:bottom w:val="single" w:sz="8" w:space="0" w:color="auto"/>
              <w:right w:val="nil"/>
            </w:tcBorders>
            <w:noWrap/>
            <w:vAlign w:val="center"/>
            <w:hideMark/>
          </w:tcPr>
          <w:p w14:paraId="3D2A9BAA"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Definitely in the subacromial bursa</w:t>
            </w:r>
          </w:p>
        </w:tc>
        <w:tc>
          <w:tcPr>
            <w:tcW w:w="1637" w:type="dxa"/>
            <w:tcBorders>
              <w:top w:val="nil"/>
              <w:left w:val="nil"/>
              <w:bottom w:val="single" w:sz="8" w:space="0" w:color="auto"/>
              <w:right w:val="nil"/>
            </w:tcBorders>
            <w:noWrap/>
            <w:vAlign w:val="center"/>
            <w:hideMark/>
          </w:tcPr>
          <w:p w14:paraId="26A29A6E"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7.17 (-9.67, 24.02)</w:t>
            </w:r>
          </w:p>
        </w:tc>
        <w:tc>
          <w:tcPr>
            <w:tcW w:w="1023" w:type="dxa"/>
            <w:tcBorders>
              <w:top w:val="nil"/>
              <w:left w:val="nil"/>
              <w:bottom w:val="single" w:sz="8" w:space="0" w:color="auto"/>
              <w:right w:val="dashSmallGap" w:sz="4" w:space="0" w:color="auto"/>
            </w:tcBorders>
            <w:vAlign w:val="center"/>
            <w:hideMark/>
          </w:tcPr>
          <w:p w14:paraId="470B475A"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0.404</w:t>
            </w:r>
          </w:p>
        </w:tc>
        <w:tc>
          <w:tcPr>
            <w:tcW w:w="2160" w:type="dxa"/>
            <w:tcBorders>
              <w:top w:val="nil"/>
              <w:left w:val="dashSmallGap" w:sz="4" w:space="0" w:color="auto"/>
              <w:bottom w:val="single" w:sz="8" w:space="0" w:color="auto"/>
              <w:right w:val="nil"/>
            </w:tcBorders>
            <w:noWrap/>
            <w:hideMark/>
          </w:tcPr>
          <w:p w14:paraId="16BD15EC"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0.73 (-9.18, 10.64)</w:t>
            </w:r>
          </w:p>
        </w:tc>
        <w:tc>
          <w:tcPr>
            <w:tcW w:w="850" w:type="dxa"/>
            <w:tcBorders>
              <w:top w:val="nil"/>
              <w:left w:val="nil"/>
              <w:bottom w:val="single" w:sz="8" w:space="0" w:color="auto"/>
              <w:right w:val="single" w:sz="8" w:space="0" w:color="auto"/>
            </w:tcBorders>
            <w:hideMark/>
          </w:tcPr>
          <w:p w14:paraId="6EFECA7C"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0.886</w:t>
            </w:r>
          </w:p>
        </w:tc>
        <w:tc>
          <w:tcPr>
            <w:tcW w:w="2268" w:type="dxa"/>
            <w:tcBorders>
              <w:top w:val="nil"/>
              <w:left w:val="single" w:sz="8" w:space="0" w:color="auto"/>
              <w:bottom w:val="single" w:sz="8" w:space="0" w:color="auto"/>
              <w:right w:val="nil"/>
            </w:tcBorders>
            <w:noWrap/>
            <w:vAlign w:val="center"/>
            <w:hideMark/>
          </w:tcPr>
          <w:p w14:paraId="3FAAE963"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-1.28 (-14.94, 12.39)</w:t>
            </w:r>
          </w:p>
        </w:tc>
        <w:tc>
          <w:tcPr>
            <w:tcW w:w="732" w:type="dxa"/>
            <w:tcBorders>
              <w:top w:val="nil"/>
              <w:left w:val="nil"/>
              <w:bottom w:val="single" w:sz="8" w:space="0" w:color="auto"/>
              <w:right w:val="dashSmallGap" w:sz="4" w:space="0" w:color="auto"/>
            </w:tcBorders>
            <w:vAlign w:val="center"/>
            <w:hideMark/>
          </w:tcPr>
          <w:p w14:paraId="1AC85C00"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0.855</w:t>
            </w:r>
          </w:p>
        </w:tc>
        <w:tc>
          <w:tcPr>
            <w:tcW w:w="2103" w:type="dxa"/>
            <w:tcBorders>
              <w:top w:val="nil"/>
              <w:left w:val="dashSmallGap" w:sz="4" w:space="0" w:color="auto"/>
              <w:bottom w:val="single" w:sz="8" w:space="0" w:color="auto"/>
              <w:right w:val="nil"/>
            </w:tcBorders>
            <w:noWrap/>
            <w:hideMark/>
          </w:tcPr>
          <w:p w14:paraId="137E2818"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1.73 (-12.60, 16.05)</w:t>
            </w:r>
          </w:p>
        </w:tc>
        <w:tc>
          <w:tcPr>
            <w:tcW w:w="930" w:type="dxa"/>
            <w:tcBorders>
              <w:top w:val="nil"/>
              <w:left w:val="nil"/>
              <w:bottom w:val="single" w:sz="8" w:space="0" w:color="auto"/>
              <w:right w:val="nil"/>
            </w:tcBorders>
            <w:hideMark/>
          </w:tcPr>
          <w:p w14:paraId="69D4EE1E" w14:textId="77777777" w:rsidR="00317C97" w:rsidRDefault="00317C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0.813</w:t>
            </w:r>
          </w:p>
        </w:tc>
      </w:tr>
      <w:tr w:rsidR="00317C97" w14:paraId="43F47C5A" w14:textId="77777777" w:rsidTr="00317C97">
        <w:trPr>
          <w:gridAfter w:val="1"/>
          <w:wAfter w:w="10" w:type="dxa"/>
          <w:trHeight w:val="255"/>
        </w:trPr>
        <w:tc>
          <w:tcPr>
            <w:tcW w:w="2835" w:type="dxa"/>
            <w:tcBorders>
              <w:top w:val="single" w:sz="8" w:space="0" w:color="auto"/>
              <w:left w:val="nil"/>
              <w:bottom w:val="single" w:sz="8" w:space="0" w:color="auto"/>
              <w:right w:val="nil"/>
            </w:tcBorders>
            <w:noWrap/>
            <w:hideMark/>
          </w:tcPr>
          <w:p w14:paraId="6511304D" w14:textId="77777777" w:rsidR="00317C97" w:rsidRDefault="00317C97">
            <w:pPr>
              <w:spacing w:after="0" w:line="240" w:lineRule="auto"/>
              <w:rPr>
                <w:b/>
              </w:rPr>
            </w:pPr>
            <w:r>
              <w:rPr>
                <w:rFonts w:ascii="Times New Roman" w:eastAsia="Times New Roman" w:hAnsi="Times New Roman" w:cs="Times New Roman"/>
                <w:b/>
                <w:color w:val="000000"/>
                <w:lang w:eastAsia="en-GB"/>
              </w:rPr>
              <w:t>Global assessment of overall change</w:t>
            </w:r>
            <w:r>
              <w:rPr>
                <w:rFonts w:ascii="Times New Roman" w:eastAsia="Times New Roman" w:hAnsi="Times New Roman" w:cs="Times New Roman"/>
                <w:b/>
                <w:bCs/>
                <w:color w:val="000000"/>
                <w:vertAlign w:val="superscript"/>
                <w:lang w:eastAsia="en-GB"/>
              </w:rPr>
              <w:t>‡</w:t>
            </w:r>
          </w:p>
        </w:tc>
        <w:tc>
          <w:tcPr>
            <w:tcW w:w="1637" w:type="dxa"/>
            <w:tcBorders>
              <w:top w:val="single" w:sz="8" w:space="0" w:color="auto"/>
              <w:left w:val="nil"/>
              <w:bottom w:val="single" w:sz="8" w:space="0" w:color="auto"/>
              <w:right w:val="nil"/>
            </w:tcBorders>
            <w:noWrap/>
            <w:vAlign w:val="bottom"/>
            <w:hideMark/>
          </w:tcPr>
          <w:p w14:paraId="5F76D6BB"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Unadjusted OR</w:t>
            </w:r>
            <w:r>
              <w:rPr>
                <w:rFonts w:ascii="Times New Roman" w:eastAsia="Times New Roman" w:hAnsi="Times New Roman" w:cs="Times New Roman"/>
                <w:b/>
                <w:bCs/>
                <w:vertAlign w:val="superscript"/>
                <w:lang w:eastAsia="en-GB"/>
              </w:rPr>
              <w:t>§</w:t>
            </w:r>
            <w:r>
              <w:rPr>
                <w:rFonts w:ascii="Times New Roman" w:eastAsia="Times New Roman" w:hAnsi="Times New Roman" w:cs="Times New Roman"/>
                <w:b/>
                <w:lang w:eastAsia="en-GB"/>
              </w:rPr>
              <w:t xml:space="preserve"> (95% CI)</w:t>
            </w:r>
          </w:p>
        </w:tc>
        <w:tc>
          <w:tcPr>
            <w:tcW w:w="1023" w:type="dxa"/>
            <w:tcBorders>
              <w:top w:val="single" w:sz="8" w:space="0" w:color="auto"/>
              <w:left w:val="nil"/>
              <w:bottom w:val="single" w:sz="8" w:space="0" w:color="auto"/>
              <w:right w:val="dashSmallGap" w:sz="4" w:space="0" w:color="auto"/>
            </w:tcBorders>
            <w:hideMark/>
          </w:tcPr>
          <w:p w14:paraId="6D18BF30"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color w:val="000000"/>
                <w:lang w:eastAsia="en-GB"/>
              </w:rPr>
              <w:t>p-value</w:t>
            </w:r>
          </w:p>
        </w:tc>
        <w:tc>
          <w:tcPr>
            <w:tcW w:w="2160" w:type="dxa"/>
            <w:tcBorders>
              <w:top w:val="single" w:sz="8" w:space="0" w:color="auto"/>
              <w:left w:val="dashSmallGap" w:sz="4" w:space="0" w:color="auto"/>
              <w:bottom w:val="single" w:sz="8" w:space="0" w:color="auto"/>
              <w:right w:val="nil"/>
            </w:tcBorders>
            <w:noWrap/>
            <w:vAlign w:val="bottom"/>
            <w:hideMark/>
          </w:tcPr>
          <w:p w14:paraId="696B8CEC"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Adjusted</w:t>
            </w:r>
            <w:r>
              <w:rPr>
                <w:rFonts w:ascii="Times New Roman" w:eastAsia="Times New Roman" w:hAnsi="Times New Roman" w:cs="Times New Roman"/>
                <w:b/>
                <w:bCs/>
                <w:color w:val="000000"/>
                <w:vertAlign w:val="superscript"/>
                <w:lang w:eastAsia="en-GB"/>
              </w:rPr>
              <w:t>†</w:t>
            </w:r>
            <w:r>
              <w:rPr>
                <w:rFonts w:ascii="Times New Roman" w:eastAsia="Times New Roman" w:hAnsi="Times New Roman" w:cs="Times New Roman"/>
                <w:b/>
                <w:lang w:eastAsia="en-GB"/>
              </w:rPr>
              <w:t xml:space="preserve"> OR (95% CI)</w:t>
            </w:r>
          </w:p>
        </w:tc>
        <w:tc>
          <w:tcPr>
            <w:tcW w:w="850" w:type="dxa"/>
            <w:tcBorders>
              <w:top w:val="single" w:sz="8" w:space="0" w:color="auto"/>
              <w:left w:val="nil"/>
              <w:bottom w:val="single" w:sz="8" w:space="0" w:color="auto"/>
              <w:right w:val="single" w:sz="8" w:space="0" w:color="auto"/>
            </w:tcBorders>
            <w:hideMark/>
          </w:tcPr>
          <w:p w14:paraId="5E0A1692"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color w:val="000000"/>
                <w:lang w:eastAsia="en-GB"/>
              </w:rPr>
              <w:t>p-value</w:t>
            </w:r>
          </w:p>
        </w:tc>
        <w:tc>
          <w:tcPr>
            <w:tcW w:w="2268" w:type="dxa"/>
            <w:tcBorders>
              <w:top w:val="single" w:sz="8" w:space="0" w:color="auto"/>
              <w:left w:val="single" w:sz="8" w:space="0" w:color="auto"/>
              <w:bottom w:val="single" w:sz="8" w:space="0" w:color="auto"/>
              <w:right w:val="nil"/>
            </w:tcBorders>
            <w:noWrap/>
            <w:vAlign w:val="bottom"/>
            <w:hideMark/>
          </w:tcPr>
          <w:p w14:paraId="4410BAE7"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Unadjusted OR</w:t>
            </w:r>
            <w:r>
              <w:rPr>
                <w:rFonts w:ascii="Times New Roman" w:eastAsia="Times New Roman" w:hAnsi="Times New Roman" w:cs="Times New Roman"/>
                <w:b/>
                <w:bCs/>
                <w:vertAlign w:val="superscript"/>
                <w:lang w:eastAsia="en-GB"/>
              </w:rPr>
              <w:t>§</w:t>
            </w:r>
            <w:r>
              <w:rPr>
                <w:rFonts w:ascii="Times New Roman" w:eastAsia="Times New Roman" w:hAnsi="Times New Roman" w:cs="Times New Roman"/>
                <w:b/>
                <w:lang w:eastAsia="en-GB"/>
              </w:rPr>
              <w:t xml:space="preserve"> (95% CI)</w:t>
            </w:r>
          </w:p>
        </w:tc>
        <w:tc>
          <w:tcPr>
            <w:tcW w:w="732" w:type="dxa"/>
            <w:tcBorders>
              <w:top w:val="single" w:sz="8" w:space="0" w:color="auto"/>
              <w:left w:val="nil"/>
              <w:bottom w:val="single" w:sz="8" w:space="0" w:color="auto"/>
              <w:right w:val="dashSmallGap" w:sz="4" w:space="0" w:color="auto"/>
            </w:tcBorders>
            <w:hideMark/>
          </w:tcPr>
          <w:p w14:paraId="50DEFDEB"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color w:val="000000"/>
                <w:lang w:eastAsia="en-GB"/>
              </w:rPr>
              <w:t>p-value</w:t>
            </w:r>
          </w:p>
        </w:tc>
        <w:tc>
          <w:tcPr>
            <w:tcW w:w="2103" w:type="dxa"/>
            <w:tcBorders>
              <w:top w:val="single" w:sz="8" w:space="0" w:color="auto"/>
              <w:left w:val="dashSmallGap" w:sz="4" w:space="0" w:color="auto"/>
              <w:bottom w:val="single" w:sz="8" w:space="0" w:color="auto"/>
              <w:right w:val="nil"/>
            </w:tcBorders>
            <w:noWrap/>
            <w:vAlign w:val="bottom"/>
            <w:hideMark/>
          </w:tcPr>
          <w:p w14:paraId="15BFFD96"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Adjusted</w:t>
            </w:r>
            <w:r>
              <w:rPr>
                <w:rFonts w:ascii="Times New Roman" w:eastAsia="Times New Roman" w:hAnsi="Times New Roman" w:cs="Times New Roman"/>
                <w:b/>
                <w:bCs/>
                <w:color w:val="000000"/>
                <w:vertAlign w:val="superscript"/>
                <w:lang w:eastAsia="en-GB"/>
              </w:rPr>
              <w:t>†</w:t>
            </w:r>
            <w:r>
              <w:rPr>
                <w:rFonts w:ascii="Times New Roman" w:eastAsia="Times New Roman" w:hAnsi="Times New Roman" w:cs="Times New Roman"/>
                <w:b/>
                <w:lang w:eastAsia="en-GB"/>
              </w:rPr>
              <w:t xml:space="preserve"> OR (95% CI)</w:t>
            </w:r>
          </w:p>
        </w:tc>
        <w:tc>
          <w:tcPr>
            <w:tcW w:w="930" w:type="dxa"/>
            <w:tcBorders>
              <w:top w:val="single" w:sz="8" w:space="0" w:color="auto"/>
              <w:left w:val="nil"/>
              <w:bottom w:val="single" w:sz="8" w:space="0" w:color="auto"/>
              <w:right w:val="nil"/>
            </w:tcBorders>
            <w:hideMark/>
          </w:tcPr>
          <w:p w14:paraId="01701579"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color w:val="000000"/>
                <w:lang w:eastAsia="en-GB"/>
              </w:rPr>
              <w:t>p-value</w:t>
            </w:r>
          </w:p>
        </w:tc>
      </w:tr>
      <w:tr w:rsidR="00317C97" w14:paraId="1CAAD953" w14:textId="77777777" w:rsidTr="00317C97">
        <w:trPr>
          <w:gridAfter w:val="1"/>
          <w:wAfter w:w="10" w:type="dxa"/>
          <w:trHeight w:val="255"/>
        </w:trPr>
        <w:tc>
          <w:tcPr>
            <w:tcW w:w="2835" w:type="dxa"/>
            <w:tcBorders>
              <w:top w:val="single" w:sz="8" w:space="0" w:color="auto"/>
              <w:left w:val="nil"/>
              <w:bottom w:val="nil"/>
              <w:right w:val="nil"/>
            </w:tcBorders>
            <w:noWrap/>
            <w:hideMark/>
          </w:tcPr>
          <w:p w14:paraId="155367C9"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Probably in the subacromial bursa</w:t>
            </w:r>
          </w:p>
        </w:tc>
        <w:tc>
          <w:tcPr>
            <w:tcW w:w="1637" w:type="dxa"/>
            <w:tcBorders>
              <w:top w:val="single" w:sz="8" w:space="0" w:color="auto"/>
              <w:left w:val="nil"/>
              <w:bottom w:val="nil"/>
              <w:right w:val="nil"/>
            </w:tcBorders>
            <w:noWrap/>
            <w:vAlign w:val="bottom"/>
            <w:hideMark/>
          </w:tcPr>
          <w:p w14:paraId="3BC135DA"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0.57 (0.05, 7.27)</w:t>
            </w:r>
          </w:p>
        </w:tc>
        <w:tc>
          <w:tcPr>
            <w:tcW w:w="1023" w:type="dxa"/>
            <w:tcBorders>
              <w:top w:val="single" w:sz="8" w:space="0" w:color="auto"/>
              <w:left w:val="nil"/>
              <w:bottom w:val="nil"/>
              <w:right w:val="dashSmallGap" w:sz="4" w:space="0" w:color="auto"/>
            </w:tcBorders>
          </w:tcPr>
          <w:p w14:paraId="7E3BCFFF" w14:textId="77777777" w:rsidR="00317C97" w:rsidRDefault="00317C97">
            <w:pPr>
              <w:spacing w:after="0" w:line="240" w:lineRule="auto"/>
              <w:jc w:val="center"/>
              <w:rPr>
                <w:rFonts w:ascii="Times New Roman" w:eastAsia="Times New Roman" w:hAnsi="Times New Roman" w:cs="Times New Roman"/>
                <w:lang w:eastAsia="en-GB"/>
              </w:rPr>
            </w:pPr>
          </w:p>
          <w:p w14:paraId="57A767BD"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0.668</w:t>
            </w:r>
          </w:p>
        </w:tc>
        <w:tc>
          <w:tcPr>
            <w:tcW w:w="2160" w:type="dxa"/>
            <w:tcBorders>
              <w:top w:val="single" w:sz="8" w:space="0" w:color="auto"/>
              <w:left w:val="dashSmallGap" w:sz="4" w:space="0" w:color="auto"/>
              <w:bottom w:val="nil"/>
              <w:right w:val="nil"/>
            </w:tcBorders>
            <w:noWrap/>
            <w:vAlign w:val="bottom"/>
            <w:hideMark/>
          </w:tcPr>
          <w:p w14:paraId="4C43B279"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0.79 (0.05, 13.80)</w:t>
            </w:r>
          </w:p>
        </w:tc>
        <w:tc>
          <w:tcPr>
            <w:tcW w:w="850" w:type="dxa"/>
            <w:tcBorders>
              <w:top w:val="single" w:sz="8" w:space="0" w:color="auto"/>
              <w:left w:val="nil"/>
              <w:bottom w:val="nil"/>
              <w:right w:val="single" w:sz="8" w:space="0" w:color="auto"/>
            </w:tcBorders>
          </w:tcPr>
          <w:p w14:paraId="5C22AC9D" w14:textId="77777777" w:rsidR="00317C97" w:rsidRDefault="00317C97">
            <w:pPr>
              <w:spacing w:after="0" w:line="240" w:lineRule="auto"/>
              <w:jc w:val="center"/>
              <w:rPr>
                <w:rFonts w:ascii="Times New Roman" w:eastAsia="Times New Roman" w:hAnsi="Times New Roman" w:cs="Times New Roman"/>
                <w:lang w:eastAsia="en-GB"/>
              </w:rPr>
            </w:pPr>
          </w:p>
          <w:p w14:paraId="3944E903"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0.875</w:t>
            </w:r>
          </w:p>
        </w:tc>
        <w:tc>
          <w:tcPr>
            <w:tcW w:w="2268" w:type="dxa"/>
            <w:tcBorders>
              <w:top w:val="single" w:sz="8" w:space="0" w:color="auto"/>
              <w:left w:val="single" w:sz="8" w:space="0" w:color="auto"/>
              <w:bottom w:val="nil"/>
              <w:right w:val="nil"/>
            </w:tcBorders>
            <w:noWrap/>
            <w:vAlign w:val="bottom"/>
            <w:hideMark/>
          </w:tcPr>
          <w:p w14:paraId="23ABFA19"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0.03 (0.00, 0.54)</w:t>
            </w:r>
          </w:p>
        </w:tc>
        <w:tc>
          <w:tcPr>
            <w:tcW w:w="732" w:type="dxa"/>
            <w:tcBorders>
              <w:top w:val="single" w:sz="8" w:space="0" w:color="auto"/>
              <w:left w:val="nil"/>
              <w:bottom w:val="nil"/>
              <w:right w:val="dashSmallGap" w:sz="4" w:space="0" w:color="auto"/>
            </w:tcBorders>
          </w:tcPr>
          <w:p w14:paraId="17A65B0A" w14:textId="77777777" w:rsidR="00317C97" w:rsidRDefault="00317C97">
            <w:pPr>
              <w:spacing w:after="0" w:line="240" w:lineRule="auto"/>
              <w:jc w:val="center"/>
              <w:rPr>
                <w:rFonts w:ascii="Times New Roman" w:eastAsia="Times New Roman" w:hAnsi="Times New Roman" w:cs="Times New Roman"/>
                <w:b/>
                <w:lang w:eastAsia="en-GB"/>
              </w:rPr>
            </w:pPr>
          </w:p>
          <w:p w14:paraId="63FF4CD2"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0.017</w:t>
            </w:r>
          </w:p>
        </w:tc>
        <w:tc>
          <w:tcPr>
            <w:tcW w:w="2103" w:type="dxa"/>
            <w:tcBorders>
              <w:top w:val="single" w:sz="8" w:space="0" w:color="auto"/>
              <w:left w:val="dashSmallGap" w:sz="4" w:space="0" w:color="auto"/>
              <w:bottom w:val="nil"/>
              <w:right w:val="nil"/>
            </w:tcBorders>
            <w:noWrap/>
            <w:vAlign w:val="bottom"/>
            <w:hideMark/>
          </w:tcPr>
          <w:p w14:paraId="54330B59"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 (0.00, 0.57)</w:t>
            </w:r>
          </w:p>
        </w:tc>
        <w:tc>
          <w:tcPr>
            <w:tcW w:w="930" w:type="dxa"/>
            <w:tcBorders>
              <w:top w:val="single" w:sz="8" w:space="0" w:color="auto"/>
              <w:left w:val="nil"/>
              <w:bottom w:val="nil"/>
              <w:right w:val="nil"/>
            </w:tcBorders>
          </w:tcPr>
          <w:p w14:paraId="45474739" w14:textId="77777777" w:rsidR="00317C97" w:rsidRDefault="00317C97">
            <w:pPr>
              <w:spacing w:after="0" w:line="240" w:lineRule="auto"/>
              <w:jc w:val="center"/>
              <w:rPr>
                <w:rFonts w:ascii="Times New Roman" w:eastAsia="Times New Roman" w:hAnsi="Times New Roman" w:cs="Times New Roman"/>
                <w:b/>
                <w:lang w:eastAsia="en-GB"/>
              </w:rPr>
            </w:pPr>
          </w:p>
          <w:p w14:paraId="5A843324" w14:textId="77777777" w:rsidR="00317C97" w:rsidRDefault="00317C97">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0.023</w:t>
            </w:r>
          </w:p>
        </w:tc>
      </w:tr>
      <w:tr w:rsidR="00317C97" w14:paraId="42C2B6EA" w14:textId="77777777" w:rsidTr="00317C97">
        <w:trPr>
          <w:gridAfter w:val="1"/>
          <w:wAfter w:w="10" w:type="dxa"/>
          <w:trHeight w:val="255"/>
        </w:trPr>
        <w:tc>
          <w:tcPr>
            <w:tcW w:w="2835" w:type="dxa"/>
            <w:noWrap/>
            <w:hideMark/>
          </w:tcPr>
          <w:p w14:paraId="6160188C" w14:textId="77777777" w:rsidR="00317C97" w:rsidRDefault="00317C9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Definitely in the subacromial bursa</w:t>
            </w:r>
          </w:p>
        </w:tc>
        <w:tc>
          <w:tcPr>
            <w:tcW w:w="1637" w:type="dxa"/>
            <w:noWrap/>
            <w:vAlign w:val="bottom"/>
            <w:hideMark/>
          </w:tcPr>
          <w:p w14:paraId="3E9A931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2.59 (0.34, 19.78)</w:t>
            </w:r>
          </w:p>
        </w:tc>
        <w:tc>
          <w:tcPr>
            <w:tcW w:w="1023" w:type="dxa"/>
            <w:tcBorders>
              <w:top w:val="nil"/>
              <w:left w:val="nil"/>
              <w:bottom w:val="nil"/>
              <w:right w:val="dashSmallGap" w:sz="4" w:space="0" w:color="auto"/>
            </w:tcBorders>
          </w:tcPr>
          <w:p w14:paraId="4B08D5B5" w14:textId="77777777" w:rsidR="00317C97" w:rsidRDefault="00317C97">
            <w:pPr>
              <w:spacing w:after="0" w:line="240" w:lineRule="auto"/>
              <w:jc w:val="center"/>
              <w:rPr>
                <w:rFonts w:ascii="Times New Roman" w:eastAsia="Times New Roman" w:hAnsi="Times New Roman" w:cs="Times New Roman"/>
                <w:lang w:eastAsia="en-GB"/>
              </w:rPr>
            </w:pPr>
          </w:p>
          <w:p w14:paraId="2CFB5520"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0.359</w:t>
            </w:r>
          </w:p>
        </w:tc>
        <w:tc>
          <w:tcPr>
            <w:tcW w:w="2160" w:type="dxa"/>
            <w:tcBorders>
              <w:top w:val="nil"/>
              <w:left w:val="dashSmallGap" w:sz="4" w:space="0" w:color="auto"/>
              <w:bottom w:val="nil"/>
              <w:right w:val="nil"/>
            </w:tcBorders>
            <w:noWrap/>
            <w:vAlign w:val="bottom"/>
            <w:hideMark/>
          </w:tcPr>
          <w:p w14:paraId="40FD7455"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2.78 (0.28, 28.06)</w:t>
            </w:r>
          </w:p>
        </w:tc>
        <w:tc>
          <w:tcPr>
            <w:tcW w:w="850" w:type="dxa"/>
            <w:tcBorders>
              <w:top w:val="nil"/>
              <w:left w:val="nil"/>
              <w:bottom w:val="nil"/>
              <w:right w:val="single" w:sz="8" w:space="0" w:color="auto"/>
            </w:tcBorders>
          </w:tcPr>
          <w:p w14:paraId="5664B433" w14:textId="77777777" w:rsidR="00317C97" w:rsidRDefault="00317C97">
            <w:pPr>
              <w:spacing w:after="0" w:line="240" w:lineRule="auto"/>
              <w:jc w:val="center"/>
              <w:rPr>
                <w:rFonts w:ascii="Times New Roman" w:eastAsia="Times New Roman" w:hAnsi="Times New Roman" w:cs="Times New Roman"/>
                <w:lang w:eastAsia="en-GB"/>
              </w:rPr>
            </w:pPr>
          </w:p>
          <w:p w14:paraId="7061E1C4"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0.386</w:t>
            </w:r>
          </w:p>
        </w:tc>
        <w:tc>
          <w:tcPr>
            <w:tcW w:w="2268" w:type="dxa"/>
            <w:tcBorders>
              <w:top w:val="nil"/>
              <w:left w:val="single" w:sz="8" w:space="0" w:color="auto"/>
              <w:bottom w:val="nil"/>
              <w:right w:val="nil"/>
            </w:tcBorders>
            <w:noWrap/>
            <w:vAlign w:val="bottom"/>
            <w:hideMark/>
          </w:tcPr>
          <w:p w14:paraId="761F02DA"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0.22 (0.03, 1.61)</w:t>
            </w:r>
          </w:p>
        </w:tc>
        <w:tc>
          <w:tcPr>
            <w:tcW w:w="732" w:type="dxa"/>
            <w:tcBorders>
              <w:top w:val="nil"/>
              <w:left w:val="nil"/>
              <w:bottom w:val="nil"/>
              <w:right w:val="dashSmallGap" w:sz="4" w:space="0" w:color="auto"/>
            </w:tcBorders>
          </w:tcPr>
          <w:p w14:paraId="1EBD5FB5" w14:textId="77777777" w:rsidR="00317C97" w:rsidRDefault="00317C97">
            <w:pPr>
              <w:spacing w:after="0" w:line="240" w:lineRule="auto"/>
              <w:jc w:val="center"/>
              <w:rPr>
                <w:rFonts w:ascii="Times New Roman" w:eastAsia="Times New Roman" w:hAnsi="Times New Roman" w:cs="Times New Roman"/>
                <w:lang w:eastAsia="en-GB"/>
              </w:rPr>
            </w:pPr>
          </w:p>
          <w:p w14:paraId="620D55A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0.137</w:t>
            </w:r>
          </w:p>
        </w:tc>
        <w:tc>
          <w:tcPr>
            <w:tcW w:w="2103" w:type="dxa"/>
            <w:tcBorders>
              <w:top w:val="nil"/>
              <w:left w:val="dashSmallGap" w:sz="4" w:space="0" w:color="auto"/>
              <w:bottom w:val="nil"/>
              <w:right w:val="nil"/>
            </w:tcBorders>
            <w:noWrap/>
            <w:vAlign w:val="bottom"/>
            <w:hideMark/>
          </w:tcPr>
          <w:p w14:paraId="349AE824"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0.19 (0.02, 1.93)</w:t>
            </w:r>
          </w:p>
        </w:tc>
        <w:tc>
          <w:tcPr>
            <w:tcW w:w="930" w:type="dxa"/>
          </w:tcPr>
          <w:p w14:paraId="35C88113" w14:textId="77777777" w:rsidR="00317C97" w:rsidRDefault="00317C97">
            <w:pPr>
              <w:spacing w:after="0" w:line="240" w:lineRule="auto"/>
              <w:jc w:val="center"/>
              <w:rPr>
                <w:rFonts w:ascii="Times New Roman" w:eastAsia="Times New Roman" w:hAnsi="Times New Roman" w:cs="Times New Roman"/>
                <w:lang w:eastAsia="en-GB"/>
              </w:rPr>
            </w:pPr>
          </w:p>
          <w:p w14:paraId="680C8121" w14:textId="77777777" w:rsidR="00317C97" w:rsidRDefault="00317C9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0.158</w:t>
            </w:r>
          </w:p>
        </w:tc>
      </w:tr>
      <w:tr w:rsidR="00317C97" w14:paraId="18512319" w14:textId="77777777" w:rsidTr="00317C97">
        <w:trPr>
          <w:gridAfter w:val="1"/>
          <w:wAfter w:w="10" w:type="dxa"/>
          <w:trHeight w:val="255"/>
        </w:trPr>
        <w:tc>
          <w:tcPr>
            <w:tcW w:w="2835" w:type="dxa"/>
            <w:tcBorders>
              <w:top w:val="nil"/>
              <w:left w:val="nil"/>
              <w:bottom w:val="single" w:sz="12" w:space="0" w:color="auto"/>
              <w:right w:val="nil"/>
            </w:tcBorders>
            <w:noWrap/>
          </w:tcPr>
          <w:p w14:paraId="42F00660" w14:textId="77777777" w:rsidR="00317C97" w:rsidRDefault="00317C97">
            <w:pPr>
              <w:widowControl w:val="0"/>
              <w:autoSpaceDE w:val="0"/>
              <w:autoSpaceDN w:val="0"/>
              <w:adjustRightInd w:val="0"/>
              <w:spacing w:after="0" w:line="240" w:lineRule="auto"/>
              <w:rPr>
                <w:rFonts w:ascii="Times New Roman" w:hAnsi="Times New Roman" w:cs="Times New Roman"/>
              </w:rPr>
            </w:pPr>
          </w:p>
        </w:tc>
        <w:tc>
          <w:tcPr>
            <w:tcW w:w="1637" w:type="dxa"/>
            <w:tcBorders>
              <w:top w:val="nil"/>
              <w:left w:val="nil"/>
              <w:bottom w:val="single" w:sz="12" w:space="0" w:color="auto"/>
              <w:right w:val="nil"/>
            </w:tcBorders>
            <w:noWrap/>
            <w:vAlign w:val="bottom"/>
            <w:hideMark/>
          </w:tcPr>
          <w:p w14:paraId="0D3162C6" w14:textId="77777777" w:rsidR="00317C97" w:rsidRDefault="00317C97">
            <w:pPr>
              <w:rPr>
                <w:rFonts w:ascii="Times New Roman" w:hAnsi="Times New Roman" w:cs="Times New Roman"/>
              </w:rPr>
            </w:pPr>
          </w:p>
        </w:tc>
        <w:tc>
          <w:tcPr>
            <w:tcW w:w="1023" w:type="dxa"/>
            <w:tcBorders>
              <w:top w:val="nil"/>
              <w:left w:val="nil"/>
              <w:bottom w:val="single" w:sz="12" w:space="0" w:color="auto"/>
              <w:right w:val="dashSmallGap" w:sz="4" w:space="0" w:color="auto"/>
            </w:tcBorders>
          </w:tcPr>
          <w:p w14:paraId="3AA70DDD" w14:textId="77777777" w:rsidR="00317C97" w:rsidRDefault="00317C97">
            <w:pPr>
              <w:spacing w:after="0" w:line="240" w:lineRule="auto"/>
              <w:jc w:val="center"/>
              <w:rPr>
                <w:rFonts w:ascii="Times New Roman" w:eastAsia="Times New Roman" w:hAnsi="Times New Roman" w:cs="Times New Roman"/>
                <w:lang w:eastAsia="en-GB"/>
              </w:rPr>
            </w:pPr>
          </w:p>
        </w:tc>
        <w:tc>
          <w:tcPr>
            <w:tcW w:w="2160" w:type="dxa"/>
            <w:tcBorders>
              <w:top w:val="nil"/>
              <w:left w:val="dashSmallGap" w:sz="4" w:space="0" w:color="auto"/>
              <w:bottom w:val="single" w:sz="12" w:space="0" w:color="auto"/>
              <w:right w:val="nil"/>
            </w:tcBorders>
            <w:noWrap/>
            <w:vAlign w:val="bottom"/>
            <w:hideMark/>
          </w:tcPr>
          <w:p w14:paraId="35CB9926" w14:textId="77777777" w:rsidR="00317C97" w:rsidRDefault="00317C97">
            <w:pPr>
              <w:rPr>
                <w:rFonts w:ascii="Times New Roman" w:eastAsia="Times New Roman" w:hAnsi="Times New Roman" w:cs="Times New Roman"/>
                <w:lang w:eastAsia="en-GB"/>
              </w:rPr>
            </w:pPr>
          </w:p>
        </w:tc>
        <w:tc>
          <w:tcPr>
            <w:tcW w:w="850" w:type="dxa"/>
            <w:tcBorders>
              <w:top w:val="nil"/>
              <w:left w:val="nil"/>
              <w:bottom w:val="single" w:sz="12" w:space="0" w:color="auto"/>
              <w:right w:val="single" w:sz="8" w:space="0" w:color="auto"/>
            </w:tcBorders>
          </w:tcPr>
          <w:p w14:paraId="5EBF13AE" w14:textId="77777777" w:rsidR="00317C97" w:rsidRDefault="00317C97">
            <w:pPr>
              <w:spacing w:after="0" w:line="240" w:lineRule="auto"/>
              <w:jc w:val="center"/>
              <w:rPr>
                <w:rFonts w:ascii="Times New Roman" w:eastAsia="Times New Roman" w:hAnsi="Times New Roman" w:cs="Times New Roman"/>
                <w:lang w:eastAsia="en-GB"/>
              </w:rPr>
            </w:pPr>
          </w:p>
        </w:tc>
        <w:tc>
          <w:tcPr>
            <w:tcW w:w="2268" w:type="dxa"/>
            <w:tcBorders>
              <w:top w:val="nil"/>
              <w:left w:val="single" w:sz="8" w:space="0" w:color="auto"/>
              <w:bottom w:val="single" w:sz="12" w:space="0" w:color="auto"/>
              <w:right w:val="nil"/>
            </w:tcBorders>
            <w:noWrap/>
            <w:vAlign w:val="bottom"/>
            <w:hideMark/>
          </w:tcPr>
          <w:p w14:paraId="6362E1FC" w14:textId="77777777" w:rsidR="00317C97" w:rsidRDefault="00317C97">
            <w:pPr>
              <w:rPr>
                <w:rFonts w:ascii="Times New Roman" w:eastAsia="Times New Roman" w:hAnsi="Times New Roman" w:cs="Times New Roman"/>
                <w:lang w:eastAsia="en-GB"/>
              </w:rPr>
            </w:pPr>
          </w:p>
        </w:tc>
        <w:tc>
          <w:tcPr>
            <w:tcW w:w="732" w:type="dxa"/>
            <w:tcBorders>
              <w:top w:val="nil"/>
              <w:left w:val="nil"/>
              <w:bottom w:val="single" w:sz="12" w:space="0" w:color="auto"/>
              <w:right w:val="dashSmallGap" w:sz="4" w:space="0" w:color="auto"/>
            </w:tcBorders>
          </w:tcPr>
          <w:p w14:paraId="63847057" w14:textId="77777777" w:rsidR="00317C97" w:rsidRDefault="00317C97">
            <w:pPr>
              <w:spacing w:after="0" w:line="240" w:lineRule="auto"/>
              <w:jc w:val="center"/>
              <w:rPr>
                <w:rFonts w:ascii="Times New Roman" w:eastAsia="Times New Roman" w:hAnsi="Times New Roman" w:cs="Times New Roman"/>
                <w:lang w:eastAsia="en-GB"/>
              </w:rPr>
            </w:pPr>
          </w:p>
        </w:tc>
        <w:tc>
          <w:tcPr>
            <w:tcW w:w="2103" w:type="dxa"/>
            <w:tcBorders>
              <w:top w:val="nil"/>
              <w:left w:val="dashSmallGap" w:sz="4" w:space="0" w:color="auto"/>
              <w:bottom w:val="single" w:sz="12" w:space="0" w:color="auto"/>
              <w:right w:val="nil"/>
            </w:tcBorders>
            <w:noWrap/>
            <w:vAlign w:val="bottom"/>
            <w:hideMark/>
          </w:tcPr>
          <w:p w14:paraId="6AD693BE" w14:textId="77777777" w:rsidR="00317C97" w:rsidRDefault="00317C97">
            <w:pPr>
              <w:rPr>
                <w:rFonts w:ascii="Times New Roman" w:eastAsia="Times New Roman" w:hAnsi="Times New Roman" w:cs="Times New Roman"/>
                <w:lang w:eastAsia="en-GB"/>
              </w:rPr>
            </w:pPr>
          </w:p>
        </w:tc>
        <w:tc>
          <w:tcPr>
            <w:tcW w:w="930" w:type="dxa"/>
          </w:tcPr>
          <w:p w14:paraId="44EECD92" w14:textId="77777777" w:rsidR="00317C97" w:rsidRDefault="00317C97">
            <w:pPr>
              <w:spacing w:after="0" w:line="240" w:lineRule="auto"/>
              <w:jc w:val="center"/>
              <w:rPr>
                <w:rFonts w:ascii="Times New Roman" w:eastAsia="Times New Roman" w:hAnsi="Times New Roman" w:cs="Times New Roman"/>
                <w:lang w:eastAsia="en-GB"/>
              </w:rPr>
            </w:pPr>
          </w:p>
        </w:tc>
      </w:tr>
      <w:tr w:rsidR="00317C97" w14:paraId="3D51B6BC" w14:textId="77777777" w:rsidTr="00317C97">
        <w:trPr>
          <w:gridAfter w:val="1"/>
          <w:wAfter w:w="10" w:type="dxa"/>
          <w:trHeight w:val="255"/>
        </w:trPr>
        <w:tc>
          <w:tcPr>
            <w:tcW w:w="14538" w:type="dxa"/>
            <w:gridSpan w:val="9"/>
            <w:tcBorders>
              <w:top w:val="single" w:sz="12" w:space="0" w:color="auto"/>
              <w:left w:val="nil"/>
              <w:bottom w:val="nil"/>
              <w:right w:val="nil"/>
            </w:tcBorders>
            <w:noWrap/>
            <w:hideMark/>
          </w:tcPr>
          <w:p w14:paraId="7BBC2D60" w14:textId="77777777" w:rsidR="00317C97" w:rsidRDefault="00317C97">
            <w:pPr>
              <w:spacing w:after="0" w:line="240" w:lineRule="auto"/>
              <w:rPr>
                <w:rFonts w:ascii="Times New Roman" w:hAnsi="Times New Roman" w:cs="Times New Roman"/>
                <w:sz w:val="20"/>
                <w:szCs w:val="20"/>
                <w:lang w:val="en-US"/>
              </w:rPr>
            </w:pPr>
            <w:r>
              <w:rPr>
                <w:rFonts w:ascii="Times New Roman" w:eastAsia="Times New Roman" w:hAnsi="Times New Roman" w:cs="Times New Roman"/>
                <w:sz w:val="20"/>
                <w:szCs w:val="20"/>
                <w:lang w:val="en-US" w:eastAsia="en-GB"/>
              </w:rPr>
              <w:t>SPADI: Shoulder Pain and Disability Index</w:t>
            </w:r>
          </w:p>
          <w:p w14:paraId="7D25BE06" w14:textId="77777777" w:rsidR="00317C97" w:rsidRDefault="00317C9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*Effects are the differences in mean SPADI score between each accuracy placement group and the reference group (definitely/probably not in the subacromial bursa) and the 95% confidence intervals (CI) after adjusting for the baseline pain/disability; negative numbers indicate less pain/disability in each category compared to the reference group; positive numbers indicate worse pain/disability compared to reference group. </w:t>
            </w:r>
          </w:p>
          <w:p w14:paraId="2BF7D9A7" w14:textId="77777777" w:rsidR="00317C97" w:rsidRDefault="00317C97">
            <w:pPr>
              <w:spacing w:after="0" w:line="240" w:lineRule="auto"/>
              <w:rPr>
                <w:rFonts w:ascii="Times New Roman" w:hAnsi="Times New Roman" w:cs="Times New Roman"/>
                <w:sz w:val="20"/>
                <w:szCs w:val="20"/>
                <w:lang w:val="en-US"/>
              </w:rPr>
            </w:pPr>
            <w:r>
              <w:rPr>
                <w:rFonts w:ascii="Times New Roman" w:eastAsia="Times New Roman" w:hAnsi="Times New Roman" w:cs="Times New Roman"/>
                <w:b/>
                <w:bCs/>
                <w:color w:val="000000"/>
                <w:vertAlign w:val="superscript"/>
                <w:lang w:eastAsia="en-GB"/>
              </w:rPr>
              <w:t>†</w:t>
            </w:r>
            <w:r>
              <w:rPr>
                <w:rFonts w:ascii="Times New Roman" w:hAnsi="Times New Roman" w:cs="Times New Roman"/>
                <w:sz w:val="20"/>
                <w:szCs w:val="20"/>
                <w:lang w:val="en-US"/>
              </w:rPr>
              <w:t xml:space="preserve">Further adjusted for age, gender, BMI, previous steroid injection, </w:t>
            </w:r>
            <w:r>
              <w:rPr>
                <w:rFonts w:ascii="Times New Roman" w:hAnsi="Times New Roman" w:cs="Times New Roman"/>
                <w:sz w:val="20"/>
                <w:szCs w:val="20"/>
              </w:rPr>
              <w:t>expectation of unguided steroid injection</w:t>
            </w:r>
            <w:r>
              <w:rPr>
                <w:rFonts w:ascii="Times New Roman" w:hAnsi="Times New Roman" w:cs="Times New Roman"/>
                <w:sz w:val="20"/>
                <w:szCs w:val="20"/>
                <w:lang w:val="en-US"/>
              </w:rPr>
              <w:t xml:space="preserve"> on shoulder pain improvement, SF-12 physical component summary scores, presence of widespread pain and exercise treatment allocation</w:t>
            </w:r>
          </w:p>
          <w:p w14:paraId="5E659DAE" w14:textId="77777777" w:rsidR="00317C97" w:rsidRDefault="00317C97">
            <w:pPr>
              <w:spacing w:after="0" w:line="240" w:lineRule="auto"/>
              <w:rPr>
                <w:rFonts w:ascii="Times New Roman" w:hAnsi="Times New Roman" w:cs="Times New Roman"/>
                <w:sz w:val="20"/>
                <w:szCs w:val="20"/>
                <w:lang w:val="en-US"/>
              </w:rPr>
            </w:pPr>
            <w:r>
              <w:rPr>
                <w:rFonts w:ascii="Times New Roman" w:eastAsia="Times New Roman" w:hAnsi="Times New Roman" w:cs="Times New Roman"/>
                <w:b/>
                <w:bCs/>
                <w:color w:val="000000"/>
                <w:vertAlign w:val="superscript"/>
                <w:lang w:eastAsia="en-GB"/>
              </w:rPr>
              <w:t>‡</w:t>
            </w:r>
            <w:r>
              <w:rPr>
                <w:rFonts w:ascii="Times New Roman" w:hAnsi="Times New Roman" w:cs="Times New Roman"/>
                <w:sz w:val="20"/>
                <w:szCs w:val="20"/>
                <w:lang w:val="en-US"/>
              </w:rPr>
              <w:t xml:space="preserve">Dichotomised into completely recovered or much better versus somewhat better, about the same, somewhat worse or much worse. </w:t>
            </w:r>
          </w:p>
          <w:p w14:paraId="7B5EF705" w14:textId="77777777" w:rsidR="00317C97" w:rsidRDefault="00317C97">
            <w:pPr>
              <w:spacing w:after="0" w:line="240" w:lineRule="auto"/>
              <w:rPr>
                <w:rFonts w:ascii="Times New Roman" w:eastAsia="Times New Roman" w:hAnsi="Times New Roman" w:cs="Times New Roman"/>
                <w:sz w:val="20"/>
                <w:szCs w:val="20"/>
                <w:lang w:val="en-US" w:eastAsia="en-GB"/>
              </w:rPr>
            </w:pPr>
            <w:r>
              <w:rPr>
                <w:rFonts w:ascii="Times New Roman" w:eastAsia="Times New Roman" w:hAnsi="Times New Roman" w:cs="Times New Roman"/>
                <w:b/>
                <w:bCs/>
                <w:vertAlign w:val="superscript"/>
                <w:lang w:eastAsia="en-GB"/>
              </w:rPr>
              <w:t>§</w:t>
            </w:r>
            <w:r>
              <w:rPr>
                <w:rFonts w:ascii="Times New Roman" w:hAnsi="Times New Roman" w:cs="Times New Roman"/>
                <w:sz w:val="20"/>
                <w:szCs w:val="20"/>
                <w:lang w:val="en-US"/>
              </w:rPr>
              <w:t>Effects are the odds of being completely recovered or feeling much better in each accuracy placement group compared to the reference group (definitely/probably not in the subacromial bursa).</w:t>
            </w:r>
          </w:p>
          <w:p w14:paraId="053780B8" w14:textId="77777777" w:rsidR="00317C97" w:rsidRDefault="00317C9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 </w:t>
            </w:r>
          </w:p>
        </w:tc>
      </w:tr>
    </w:tbl>
    <w:p w14:paraId="02DC245D" w14:textId="77777777" w:rsidR="00317C97" w:rsidRDefault="00317C97" w:rsidP="00317C97">
      <w:pPr>
        <w:spacing w:line="360" w:lineRule="auto"/>
        <w:jc w:val="both"/>
        <w:rPr>
          <w:rFonts w:ascii="Times New Roman" w:hAnsi="Times New Roman" w:cs="Times New Roman"/>
          <w:b/>
          <w:sz w:val="20"/>
          <w:szCs w:val="20"/>
          <w:lang w:val="en-US"/>
        </w:rPr>
      </w:pPr>
    </w:p>
    <w:p w14:paraId="526BC3FF" w14:textId="77777777" w:rsidR="00317C97" w:rsidRDefault="00317C97" w:rsidP="00317C97">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0B4B0108" w14:textId="77777777" w:rsidR="00317C97" w:rsidRDefault="00317C97" w:rsidP="00317C9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Figure legends</w:t>
      </w:r>
    </w:p>
    <w:p w14:paraId="57734FE5" w14:textId="77777777" w:rsidR="00317C97" w:rsidRDefault="00317C97" w:rsidP="00317C9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Figure 1a </w:t>
      </w:r>
      <w:r>
        <w:rPr>
          <w:rFonts w:ascii="Times New Roman" w:hAnsi="Times New Roman" w:cs="Times New Roman"/>
          <w:sz w:val="24"/>
          <w:szCs w:val="24"/>
        </w:rPr>
        <w:t>Mean unadjusted total SPADI score over time by the US-guided placement accuracy</w:t>
      </w:r>
    </w:p>
    <w:p w14:paraId="7DCCE2AC" w14:textId="77777777" w:rsidR="00317C97" w:rsidRDefault="00317C97" w:rsidP="00317C9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Figure 1b </w:t>
      </w:r>
      <w:r>
        <w:rPr>
          <w:rFonts w:ascii="Times New Roman" w:hAnsi="Times New Roman" w:cs="Times New Roman"/>
          <w:sz w:val="24"/>
          <w:szCs w:val="24"/>
        </w:rPr>
        <w:t>Mean adjusted total SPADI score over time by the US-guided placement accuracy</w:t>
      </w:r>
    </w:p>
    <w:p w14:paraId="7B773DF0" w14:textId="2BA9CB8B" w:rsidR="00317C97" w:rsidRPr="00A70C8C" w:rsidRDefault="00317C97" w:rsidP="00B53E33">
      <w:pPr>
        <w:spacing w:line="360" w:lineRule="auto"/>
        <w:jc w:val="both"/>
        <w:rPr>
          <w:rFonts w:ascii="Times New Roman" w:hAnsi="Times New Roman" w:cs="Times New Roman"/>
          <w:b/>
          <w:sz w:val="24"/>
          <w:szCs w:val="24"/>
        </w:rPr>
      </w:pPr>
    </w:p>
    <w:sectPr w:rsidR="00317C97" w:rsidRPr="00A70C8C" w:rsidSect="00317C97">
      <w:endnotePr>
        <w:numFmt w:val="decimal"/>
      </w:endnotePr>
      <w:pgSz w:w="16838" w:h="11906" w:orient="landscape"/>
      <w:pgMar w:top="1440" w:right="1440" w:bottom="1440" w:left="1440"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640" w16cex:dateUtc="2021-12-05T23:28:00Z"/>
  <w16cex:commentExtensible w16cex:durableId="255859C1" w16cex:dateUtc="2021-12-05T23:43:00Z"/>
  <w16cex:commentExtensible w16cex:durableId="255DB39A" w16cex:dateUtc="2021-12-10T11:08:00Z"/>
  <w16cex:commentExtensible w16cex:durableId="25585F93" w16cex:dateUtc="2021-12-06T00:08:00Z"/>
  <w16cex:commentExtensible w16cex:durableId="255DA9BB" w16cex:dateUtc="2021-12-09T17:39:00Z"/>
  <w16cex:commentExtensible w16cex:durableId="25585E44" w16cex:dateUtc="2021-12-06T00:02:00Z"/>
  <w16cex:commentExtensible w16cex:durableId="255DA9BD" w16cex:dateUtc="2021-12-09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B2D38" w16cid:durableId="25585640"/>
  <w16cid:commentId w16cid:paraId="6A565183" w16cid:durableId="255859C1"/>
  <w16cid:commentId w16cid:paraId="7616E172" w16cid:durableId="255DB39A"/>
  <w16cid:commentId w16cid:paraId="22F8353D" w16cid:durableId="25585F93"/>
  <w16cid:commentId w16cid:paraId="00319CC4" w16cid:durableId="255DA9BB"/>
  <w16cid:commentId w16cid:paraId="360C688A" w16cid:durableId="25585E44"/>
  <w16cid:commentId w16cid:paraId="054BA4C8" w16cid:durableId="255DA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25BD8" w14:textId="77777777" w:rsidR="00B406AB" w:rsidRDefault="00B406AB" w:rsidP="008E3119">
      <w:pPr>
        <w:spacing w:after="0" w:line="240" w:lineRule="auto"/>
      </w:pPr>
      <w:r>
        <w:separator/>
      </w:r>
    </w:p>
  </w:endnote>
  <w:endnote w:type="continuationSeparator" w:id="0">
    <w:p w14:paraId="03043945" w14:textId="77777777" w:rsidR="00B406AB" w:rsidRDefault="00B406AB" w:rsidP="008E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P497E2">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889B" w14:textId="77777777" w:rsidR="00147063" w:rsidRDefault="00147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98610"/>
      <w:docPartObj>
        <w:docPartGallery w:val="Page Numbers (Bottom of Page)"/>
        <w:docPartUnique/>
      </w:docPartObj>
    </w:sdtPr>
    <w:sdtEndPr>
      <w:rPr>
        <w:noProof/>
      </w:rPr>
    </w:sdtEndPr>
    <w:sdtContent>
      <w:p w14:paraId="0D694C4B" w14:textId="5307AC31" w:rsidR="00147063" w:rsidRDefault="00147063">
        <w:pPr>
          <w:pStyle w:val="Footer"/>
          <w:jc w:val="center"/>
        </w:pPr>
        <w:r>
          <w:fldChar w:fldCharType="begin"/>
        </w:r>
        <w:r>
          <w:instrText xml:space="preserve"> PAGE   \* MERGEFORMAT </w:instrText>
        </w:r>
        <w:r>
          <w:fldChar w:fldCharType="separate"/>
        </w:r>
        <w:r w:rsidR="00B406AB">
          <w:rPr>
            <w:noProof/>
          </w:rPr>
          <w:t>1</w:t>
        </w:r>
        <w:r>
          <w:rPr>
            <w:noProof/>
          </w:rPr>
          <w:fldChar w:fldCharType="end"/>
        </w:r>
      </w:p>
    </w:sdtContent>
  </w:sdt>
  <w:p w14:paraId="1BA084A2" w14:textId="77777777" w:rsidR="00147063" w:rsidRDefault="001470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3772" w14:textId="77777777" w:rsidR="00147063" w:rsidRDefault="00147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79505" w14:textId="77777777" w:rsidR="00B406AB" w:rsidRDefault="00B406AB" w:rsidP="008E3119">
      <w:pPr>
        <w:spacing w:after="0" w:line="240" w:lineRule="auto"/>
      </w:pPr>
      <w:r>
        <w:separator/>
      </w:r>
    </w:p>
  </w:footnote>
  <w:footnote w:type="continuationSeparator" w:id="0">
    <w:p w14:paraId="3869317B" w14:textId="77777777" w:rsidR="00B406AB" w:rsidRDefault="00B406AB" w:rsidP="008E3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418A" w14:textId="77777777" w:rsidR="00147063" w:rsidRDefault="00147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9896" w14:textId="77777777" w:rsidR="00147063" w:rsidRDefault="001470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144C" w14:textId="77777777" w:rsidR="00147063" w:rsidRDefault="00147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72E18"/>
    <w:multiLevelType w:val="hybridMultilevel"/>
    <w:tmpl w:val="1746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2C267C"/>
    <w:multiLevelType w:val="hybridMultilevel"/>
    <w:tmpl w:val="384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74576B"/>
    <w:multiLevelType w:val="hybridMultilevel"/>
    <w:tmpl w:val="141A96F6"/>
    <w:lvl w:ilvl="0" w:tplc="EBA4A290">
      <w:start w:val="6"/>
      <w:numFmt w:val="bullet"/>
      <w:lvlText w:val="-"/>
      <w:lvlJc w:val="left"/>
      <w:pPr>
        <w:ind w:left="1650" w:hanging="360"/>
      </w:pPr>
      <w:rPr>
        <w:rFonts w:ascii="Arial" w:eastAsia="Times New Roman" w:hAnsi="Arial" w:cs="Wingdings" w:hint="default"/>
      </w:rPr>
    </w:lvl>
    <w:lvl w:ilvl="1" w:tplc="08090003" w:tentative="1">
      <w:start w:val="1"/>
      <w:numFmt w:val="bullet"/>
      <w:lvlText w:val="o"/>
      <w:lvlJc w:val="left"/>
      <w:pPr>
        <w:ind w:left="2370" w:hanging="360"/>
      </w:pPr>
      <w:rPr>
        <w:rFonts w:ascii="Courier New" w:hAnsi="Courier New" w:cs="AdvP497E2"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AdvP497E2"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AdvP497E2" w:hint="default"/>
      </w:rPr>
    </w:lvl>
    <w:lvl w:ilvl="8" w:tplc="08090005" w:tentative="1">
      <w:start w:val="1"/>
      <w:numFmt w:val="bullet"/>
      <w:lvlText w:val=""/>
      <w:lvlJc w:val="left"/>
      <w:pPr>
        <w:ind w:left="7410" w:hanging="360"/>
      </w:pPr>
      <w:rPr>
        <w:rFonts w:ascii="Wingdings" w:hAnsi="Wingdings" w:hint="default"/>
      </w:rPr>
    </w:lvl>
  </w:abstractNum>
  <w:abstractNum w:abstractNumId="3">
    <w:nsid w:val="688163EE"/>
    <w:multiLevelType w:val="multilevel"/>
    <w:tmpl w:val="EC2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75FB2"/>
    <w:multiLevelType w:val="hybridMultilevel"/>
    <w:tmpl w:val="9F202A8E"/>
    <w:lvl w:ilvl="0" w:tplc="193A28C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85BEB"/>
    <w:multiLevelType w:val="hybridMultilevel"/>
    <w:tmpl w:val="6E1A6054"/>
    <w:lvl w:ilvl="0" w:tplc="2C28808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es25pplv52dpewxpcxwwf7pvar9tdp9sdw&quot;&gt;My EndNote Library&lt;record-ids&gt;&lt;item&gt;251&lt;/item&gt;&lt;item&gt;262&lt;/item&gt;&lt;item&gt;263&lt;/item&gt;&lt;item&gt;264&lt;/item&gt;&lt;item&gt;265&lt;/item&gt;&lt;/record-ids&gt;&lt;/item&gt;&lt;/Libraries&gt;"/>
  </w:docVars>
  <w:rsids>
    <w:rsidRoot w:val="001B68B8"/>
    <w:rsid w:val="00001E78"/>
    <w:rsid w:val="0000269B"/>
    <w:rsid w:val="00003EA4"/>
    <w:rsid w:val="000128D9"/>
    <w:rsid w:val="0001386B"/>
    <w:rsid w:val="000205E0"/>
    <w:rsid w:val="00023D99"/>
    <w:rsid w:val="0002629E"/>
    <w:rsid w:val="0003421A"/>
    <w:rsid w:val="000349AD"/>
    <w:rsid w:val="00037114"/>
    <w:rsid w:val="00043025"/>
    <w:rsid w:val="00047A21"/>
    <w:rsid w:val="00047D06"/>
    <w:rsid w:val="000531FA"/>
    <w:rsid w:val="000570E2"/>
    <w:rsid w:val="00057E09"/>
    <w:rsid w:val="000617D2"/>
    <w:rsid w:val="00061FEA"/>
    <w:rsid w:val="00064D54"/>
    <w:rsid w:val="00071FF1"/>
    <w:rsid w:val="00074408"/>
    <w:rsid w:val="00084B05"/>
    <w:rsid w:val="00090FDE"/>
    <w:rsid w:val="00092911"/>
    <w:rsid w:val="000958C3"/>
    <w:rsid w:val="000966E3"/>
    <w:rsid w:val="000A0C99"/>
    <w:rsid w:val="000D2A4B"/>
    <w:rsid w:val="000D3BC3"/>
    <w:rsid w:val="000D4361"/>
    <w:rsid w:val="000E0309"/>
    <w:rsid w:val="000E7814"/>
    <w:rsid w:val="000F3E36"/>
    <w:rsid w:val="000F651F"/>
    <w:rsid w:val="00101ABF"/>
    <w:rsid w:val="0010459D"/>
    <w:rsid w:val="00106D61"/>
    <w:rsid w:val="00106F13"/>
    <w:rsid w:val="00107C48"/>
    <w:rsid w:val="00110D0B"/>
    <w:rsid w:val="0011531F"/>
    <w:rsid w:val="00121BAD"/>
    <w:rsid w:val="00124F1A"/>
    <w:rsid w:val="001267D4"/>
    <w:rsid w:val="001316E5"/>
    <w:rsid w:val="0013289E"/>
    <w:rsid w:val="00133A20"/>
    <w:rsid w:val="0013748F"/>
    <w:rsid w:val="00140365"/>
    <w:rsid w:val="00147063"/>
    <w:rsid w:val="001508A0"/>
    <w:rsid w:val="00150903"/>
    <w:rsid w:val="00150B40"/>
    <w:rsid w:val="00152D90"/>
    <w:rsid w:val="00152E6A"/>
    <w:rsid w:val="00153B40"/>
    <w:rsid w:val="00154539"/>
    <w:rsid w:val="00154885"/>
    <w:rsid w:val="00157FF3"/>
    <w:rsid w:val="0016263E"/>
    <w:rsid w:val="00164662"/>
    <w:rsid w:val="00167B89"/>
    <w:rsid w:val="001711C8"/>
    <w:rsid w:val="00176D11"/>
    <w:rsid w:val="00180D92"/>
    <w:rsid w:val="00181099"/>
    <w:rsid w:val="001819A1"/>
    <w:rsid w:val="001819C6"/>
    <w:rsid w:val="00191008"/>
    <w:rsid w:val="0019286A"/>
    <w:rsid w:val="00193C98"/>
    <w:rsid w:val="00194D01"/>
    <w:rsid w:val="001A094B"/>
    <w:rsid w:val="001A349C"/>
    <w:rsid w:val="001A4BE1"/>
    <w:rsid w:val="001A6655"/>
    <w:rsid w:val="001B0041"/>
    <w:rsid w:val="001B57C3"/>
    <w:rsid w:val="001B68B8"/>
    <w:rsid w:val="001B78D0"/>
    <w:rsid w:val="001B7AB2"/>
    <w:rsid w:val="001D2AF1"/>
    <w:rsid w:val="001F607D"/>
    <w:rsid w:val="001F6777"/>
    <w:rsid w:val="001F7558"/>
    <w:rsid w:val="00203A6A"/>
    <w:rsid w:val="0020702C"/>
    <w:rsid w:val="00211132"/>
    <w:rsid w:val="002131AB"/>
    <w:rsid w:val="00213C6B"/>
    <w:rsid w:val="002141C2"/>
    <w:rsid w:val="00217126"/>
    <w:rsid w:val="00221171"/>
    <w:rsid w:val="002243D9"/>
    <w:rsid w:val="00224696"/>
    <w:rsid w:val="0023123B"/>
    <w:rsid w:val="00231B57"/>
    <w:rsid w:val="00231DBC"/>
    <w:rsid w:val="00233BDE"/>
    <w:rsid w:val="00234F0D"/>
    <w:rsid w:val="00242475"/>
    <w:rsid w:val="00242B1A"/>
    <w:rsid w:val="002509AB"/>
    <w:rsid w:val="00252D7B"/>
    <w:rsid w:val="00256917"/>
    <w:rsid w:val="0026008F"/>
    <w:rsid w:val="00260AC9"/>
    <w:rsid w:val="00263CC7"/>
    <w:rsid w:val="002709B8"/>
    <w:rsid w:val="00272362"/>
    <w:rsid w:val="002837A5"/>
    <w:rsid w:val="002907FA"/>
    <w:rsid w:val="00293296"/>
    <w:rsid w:val="0029562C"/>
    <w:rsid w:val="002963CF"/>
    <w:rsid w:val="002965A2"/>
    <w:rsid w:val="002A07DA"/>
    <w:rsid w:val="002A629C"/>
    <w:rsid w:val="002A7901"/>
    <w:rsid w:val="002B1667"/>
    <w:rsid w:val="002B21B7"/>
    <w:rsid w:val="002B6443"/>
    <w:rsid w:val="002B6AC1"/>
    <w:rsid w:val="002B6EE5"/>
    <w:rsid w:val="002C35E9"/>
    <w:rsid w:val="002C37FA"/>
    <w:rsid w:val="002C60F6"/>
    <w:rsid w:val="002D6C55"/>
    <w:rsid w:val="002E2374"/>
    <w:rsid w:val="002E29F6"/>
    <w:rsid w:val="002F2B28"/>
    <w:rsid w:val="002F4DEF"/>
    <w:rsid w:val="00300B72"/>
    <w:rsid w:val="00303A12"/>
    <w:rsid w:val="003063B7"/>
    <w:rsid w:val="00306D78"/>
    <w:rsid w:val="0031545F"/>
    <w:rsid w:val="00315783"/>
    <w:rsid w:val="00317C97"/>
    <w:rsid w:val="00330CED"/>
    <w:rsid w:val="003314B9"/>
    <w:rsid w:val="003327C3"/>
    <w:rsid w:val="00343441"/>
    <w:rsid w:val="003436FA"/>
    <w:rsid w:val="00343DCB"/>
    <w:rsid w:val="00347337"/>
    <w:rsid w:val="003535F3"/>
    <w:rsid w:val="0035522C"/>
    <w:rsid w:val="0035571A"/>
    <w:rsid w:val="00355C7E"/>
    <w:rsid w:val="00362830"/>
    <w:rsid w:val="003868AA"/>
    <w:rsid w:val="003909C4"/>
    <w:rsid w:val="003942AF"/>
    <w:rsid w:val="00397685"/>
    <w:rsid w:val="00397F64"/>
    <w:rsid w:val="003A1A37"/>
    <w:rsid w:val="003A2F0D"/>
    <w:rsid w:val="003A2FC7"/>
    <w:rsid w:val="003A64DA"/>
    <w:rsid w:val="003A7143"/>
    <w:rsid w:val="003B00F9"/>
    <w:rsid w:val="003B0BCB"/>
    <w:rsid w:val="003B48CB"/>
    <w:rsid w:val="003B4EEC"/>
    <w:rsid w:val="003C6219"/>
    <w:rsid w:val="003D1500"/>
    <w:rsid w:val="003D5A00"/>
    <w:rsid w:val="003E3CE3"/>
    <w:rsid w:val="003F1BD4"/>
    <w:rsid w:val="003F3DB5"/>
    <w:rsid w:val="003F58D4"/>
    <w:rsid w:val="003F7A7C"/>
    <w:rsid w:val="004079EE"/>
    <w:rsid w:val="004159CF"/>
    <w:rsid w:val="004176DA"/>
    <w:rsid w:val="00422999"/>
    <w:rsid w:val="004235FA"/>
    <w:rsid w:val="00435946"/>
    <w:rsid w:val="004520AC"/>
    <w:rsid w:val="00452B02"/>
    <w:rsid w:val="00455959"/>
    <w:rsid w:val="00455E77"/>
    <w:rsid w:val="00456B14"/>
    <w:rsid w:val="004664E4"/>
    <w:rsid w:val="004665CD"/>
    <w:rsid w:val="00472D46"/>
    <w:rsid w:val="0047600B"/>
    <w:rsid w:val="0048130D"/>
    <w:rsid w:val="00487978"/>
    <w:rsid w:val="004A5935"/>
    <w:rsid w:val="004B4FBA"/>
    <w:rsid w:val="004B639C"/>
    <w:rsid w:val="004B79FE"/>
    <w:rsid w:val="004C3135"/>
    <w:rsid w:val="004C4348"/>
    <w:rsid w:val="004C52A3"/>
    <w:rsid w:val="004D2EB1"/>
    <w:rsid w:val="004D39D7"/>
    <w:rsid w:val="004D6E36"/>
    <w:rsid w:val="004D7ED7"/>
    <w:rsid w:val="004E2395"/>
    <w:rsid w:val="004E3A36"/>
    <w:rsid w:val="004E71A4"/>
    <w:rsid w:val="004F5A75"/>
    <w:rsid w:val="00500025"/>
    <w:rsid w:val="00500446"/>
    <w:rsid w:val="00504376"/>
    <w:rsid w:val="00515151"/>
    <w:rsid w:val="005212C6"/>
    <w:rsid w:val="0052212B"/>
    <w:rsid w:val="005324F0"/>
    <w:rsid w:val="00547848"/>
    <w:rsid w:val="00552B4C"/>
    <w:rsid w:val="00553058"/>
    <w:rsid w:val="00553825"/>
    <w:rsid w:val="0055693D"/>
    <w:rsid w:val="0055713F"/>
    <w:rsid w:val="00567111"/>
    <w:rsid w:val="00575D8D"/>
    <w:rsid w:val="00577BF3"/>
    <w:rsid w:val="00582FEA"/>
    <w:rsid w:val="00585D6E"/>
    <w:rsid w:val="0059443D"/>
    <w:rsid w:val="005A2A50"/>
    <w:rsid w:val="005A2F71"/>
    <w:rsid w:val="005A7CEC"/>
    <w:rsid w:val="005C31E2"/>
    <w:rsid w:val="005C64BF"/>
    <w:rsid w:val="005D19C7"/>
    <w:rsid w:val="005D2F92"/>
    <w:rsid w:val="005D4885"/>
    <w:rsid w:val="005D5996"/>
    <w:rsid w:val="005D72E9"/>
    <w:rsid w:val="005E0F65"/>
    <w:rsid w:val="005E33CE"/>
    <w:rsid w:val="005E3BBC"/>
    <w:rsid w:val="005F18DA"/>
    <w:rsid w:val="005F3088"/>
    <w:rsid w:val="006002DD"/>
    <w:rsid w:val="00616946"/>
    <w:rsid w:val="00636601"/>
    <w:rsid w:val="00642CEA"/>
    <w:rsid w:val="00644CEA"/>
    <w:rsid w:val="006469B1"/>
    <w:rsid w:val="006504B6"/>
    <w:rsid w:val="006508B8"/>
    <w:rsid w:val="00661019"/>
    <w:rsid w:val="00662308"/>
    <w:rsid w:val="0066573F"/>
    <w:rsid w:val="0066696C"/>
    <w:rsid w:val="00666CE5"/>
    <w:rsid w:val="00666FD8"/>
    <w:rsid w:val="006773D0"/>
    <w:rsid w:val="00687B58"/>
    <w:rsid w:val="00690E0E"/>
    <w:rsid w:val="00692358"/>
    <w:rsid w:val="006932C4"/>
    <w:rsid w:val="006940C3"/>
    <w:rsid w:val="00696539"/>
    <w:rsid w:val="006A3738"/>
    <w:rsid w:val="006A3FAA"/>
    <w:rsid w:val="006A7AB5"/>
    <w:rsid w:val="006B13A9"/>
    <w:rsid w:val="006B3CFA"/>
    <w:rsid w:val="006C078F"/>
    <w:rsid w:val="006C20C0"/>
    <w:rsid w:val="006C6DA0"/>
    <w:rsid w:val="006C74D3"/>
    <w:rsid w:val="006D4A69"/>
    <w:rsid w:val="006D58EE"/>
    <w:rsid w:val="006E3017"/>
    <w:rsid w:val="006E4ADD"/>
    <w:rsid w:val="006F0A0A"/>
    <w:rsid w:val="006F344F"/>
    <w:rsid w:val="006F34F9"/>
    <w:rsid w:val="00701222"/>
    <w:rsid w:val="007020BF"/>
    <w:rsid w:val="00702F3D"/>
    <w:rsid w:val="00703C87"/>
    <w:rsid w:val="007044A9"/>
    <w:rsid w:val="00706045"/>
    <w:rsid w:val="007077EE"/>
    <w:rsid w:val="00711D95"/>
    <w:rsid w:val="0071296C"/>
    <w:rsid w:val="00714951"/>
    <w:rsid w:val="00721496"/>
    <w:rsid w:val="00722C35"/>
    <w:rsid w:val="00725BC9"/>
    <w:rsid w:val="0073036E"/>
    <w:rsid w:val="00732B3A"/>
    <w:rsid w:val="00732D29"/>
    <w:rsid w:val="00741E76"/>
    <w:rsid w:val="00742FD4"/>
    <w:rsid w:val="00753619"/>
    <w:rsid w:val="00773ADF"/>
    <w:rsid w:val="0078350B"/>
    <w:rsid w:val="00787ACD"/>
    <w:rsid w:val="007A1272"/>
    <w:rsid w:val="007A4386"/>
    <w:rsid w:val="007A6A8B"/>
    <w:rsid w:val="007A7793"/>
    <w:rsid w:val="007B5432"/>
    <w:rsid w:val="007B6F60"/>
    <w:rsid w:val="007C09D0"/>
    <w:rsid w:val="007C221D"/>
    <w:rsid w:val="007C4F2C"/>
    <w:rsid w:val="007D120D"/>
    <w:rsid w:val="007D3858"/>
    <w:rsid w:val="007D4ED5"/>
    <w:rsid w:val="007D50FB"/>
    <w:rsid w:val="007D58FD"/>
    <w:rsid w:val="007D7373"/>
    <w:rsid w:val="007E2690"/>
    <w:rsid w:val="007F3B40"/>
    <w:rsid w:val="007F45F1"/>
    <w:rsid w:val="007F46B4"/>
    <w:rsid w:val="007F6F3D"/>
    <w:rsid w:val="007F7050"/>
    <w:rsid w:val="008006EE"/>
    <w:rsid w:val="00800AF3"/>
    <w:rsid w:val="0080352E"/>
    <w:rsid w:val="00805DB4"/>
    <w:rsid w:val="00806029"/>
    <w:rsid w:val="00813F12"/>
    <w:rsid w:val="00814ECB"/>
    <w:rsid w:val="008154B3"/>
    <w:rsid w:val="008171B9"/>
    <w:rsid w:val="0082122C"/>
    <w:rsid w:val="008212FC"/>
    <w:rsid w:val="00822761"/>
    <w:rsid w:val="008331B2"/>
    <w:rsid w:val="00833DBB"/>
    <w:rsid w:val="00836B72"/>
    <w:rsid w:val="00846188"/>
    <w:rsid w:val="00852F30"/>
    <w:rsid w:val="00854F0A"/>
    <w:rsid w:val="0085640E"/>
    <w:rsid w:val="008568AD"/>
    <w:rsid w:val="008662A9"/>
    <w:rsid w:val="008825EB"/>
    <w:rsid w:val="008835A2"/>
    <w:rsid w:val="00883AF3"/>
    <w:rsid w:val="00884C14"/>
    <w:rsid w:val="00893D82"/>
    <w:rsid w:val="00894732"/>
    <w:rsid w:val="00894B35"/>
    <w:rsid w:val="008A3743"/>
    <w:rsid w:val="008A6638"/>
    <w:rsid w:val="008B4112"/>
    <w:rsid w:val="008B471A"/>
    <w:rsid w:val="008B6762"/>
    <w:rsid w:val="008B6CF2"/>
    <w:rsid w:val="008C2F14"/>
    <w:rsid w:val="008D3C6B"/>
    <w:rsid w:val="008D3E4C"/>
    <w:rsid w:val="008D4B72"/>
    <w:rsid w:val="008E23CE"/>
    <w:rsid w:val="008E3119"/>
    <w:rsid w:val="008F0978"/>
    <w:rsid w:val="008F0BBD"/>
    <w:rsid w:val="008F0E37"/>
    <w:rsid w:val="008F1D40"/>
    <w:rsid w:val="008F68A8"/>
    <w:rsid w:val="008F6E0D"/>
    <w:rsid w:val="00901E88"/>
    <w:rsid w:val="00902555"/>
    <w:rsid w:val="009104CA"/>
    <w:rsid w:val="0091373B"/>
    <w:rsid w:val="0092785A"/>
    <w:rsid w:val="00930DBA"/>
    <w:rsid w:val="00931A15"/>
    <w:rsid w:val="0093556A"/>
    <w:rsid w:val="00937233"/>
    <w:rsid w:val="00941452"/>
    <w:rsid w:val="0094535F"/>
    <w:rsid w:val="00945CE8"/>
    <w:rsid w:val="00946F24"/>
    <w:rsid w:val="00947B9C"/>
    <w:rsid w:val="009541F1"/>
    <w:rsid w:val="0096136C"/>
    <w:rsid w:val="009635E2"/>
    <w:rsid w:val="0096638D"/>
    <w:rsid w:val="00966822"/>
    <w:rsid w:val="00966CAF"/>
    <w:rsid w:val="0097677C"/>
    <w:rsid w:val="00981FEB"/>
    <w:rsid w:val="009A29F8"/>
    <w:rsid w:val="009A358D"/>
    <w:rsid w:val="009A5181"/>
    <w:rsid w:val="009C2FBD"/>
    <w:rsid w:val="009C5E48"/>
    <w:rsid w:val="009D39BA"/>
    <w:rsid w:val="009D7B0F"/>
    <w:rsid w:val="009E3E46"/>
    <w:rsid w:val="009E65E3"/>
    <w:rsid w:val="009F5D08"/>
    <w:rsid w:val="00A00835"/>
    <w:rsid w:val="00A038E9"/>
    <w:rsid w:val="00A04170"/>
    <w:rsid w:val="00A04F5E"/>
    <w:rsid w:val="00A112F3"/>
    <w:rsid w:val="00A11312"/>
    <w:rsid w:val="00A134AC"/>
    <w:rsid w:val="00A13846"/>
    <w:rsid w:val="00A30149"/>
    <w:rsid w:val="00A33AA9"/>
    <w:rsid w:val="00A33CEE"/>
    <w:rsid w:val="00A3557F"/>
    <w:rsid w:val="00A36DEC"/>
    <w:rsid w:val="00A41A17"/>
    <w:rsid w:val="00A44E34"/>
    <w:rsid w:val="00A45128"/>
    <w:rsid w:val="00A45867"/>
    <w:rsid w:val="00A459CE"/>
    <w:rsid w:val="00A46056"/>
    <w:rsid w:val="00A56CE2"/>
    <w:rsid w:val="00A614FC"/>
    <w:rsid w:val="00A62FA8"/>
    <w:rsid w:val="00A63FF9"/>
    <w:rsid w:val="00A65F25"/>
    <w:rsid w:val="00A70C8C"/>
    <w:rsid w:val="00A71ADE"/>
    <w:rsid w:val="00A72AB5"/>
    <w:rsid w:val="00A76647"/>
    <w:rsid w:val="00A8163A"/>
    <w:rsid w:val="00A866C0"/>
    <w:rsid w:val="00A87DA4"/>
    <w:rsid w:val="00A91804"/>
    <w:rsid w:val="00A93303"/>
    <w:rsid w:val="00A97E67"/>
    <w:rsid w:val="00AA03A0"/>
    <w:rsid w:val="00AA3459"/>
    <w:rsid w:val="00AB2AE2"/>
    <w:rsid w:val="00AB4968"/>
    <w:rsid w:val="00AB7644"/>
    <w:rsid w:val="00AD093D"/>
    <w:rsid w:val="00AD3C4F"/>
    <w:rsid w:val="00AD4A45"/>
    <w:rsid w:val="00AF2EFB"/>
    <w:rsid w:val="00AF79DA"/>
    <w:rsid w:val="00B0002E"/>
    <w:rsid w:val="00B05374"/>
    <w:rsid w:val="00B20733"/>
    <w:rsid w:val="00B31960"/>
    <w:rsid w:val="00B3655D"/>
    <w:rsid w:val="00B36C65"/>
    <w:rsid w:val="00B406AB"/>
    <w:rsid w:val="00B4190C"/>
    <w:rsid w:val="00B4273F"/>
    <w:rsid w:val="00B43C53"/>
    <w:rsid w:val="00B45BE1"/>
    <w:rsid w:val="00B45C22"/>
    <w:rsid w:val="00B46ECA"/>
    <w:rsid w:val="00B50C3D"/>
    <w:rsid w:val="00B51221"/>
    <w:rsid w:val="00B517BB"/>
    <w:rsid w:val="00B52E57"/>
    <w:rsid w:val="00B52EC2"/>
    <w:rsid w:val="00B53E33"/>
    <w:rsid w:val="00B5778B"/>
    <w:rsid w:val="00B6349E"/>
    <w:rsid w:val="00B6396D"/>
    <w:rsid w:val="00B70844"/>
    <w:rsid w:val="00B7348E"/>
    <w:rsid w:val="00B76146"/>
    <w:rsid w:val="00B84E66"/>
    <w:rsid w:val="00B95020"/>
    <w:rsid w:val="00BA116E"/>
    <w:rsid w:val="00BA7108"/>
    <w:rsid w:val="00BB1738"/>
    <w:rsid w:val="00BB1A00"/>
    <w:rsid w:val="00BC10F0"/>
    <w:rsid w:val="00BC5968"/>
    <w:rsid w:val="00BD65DA"/>
    <w:rsid w:val="00BD6DE4"/>
    <w:rsid w:val="00BD79F9"/>
    <w:rsid w:val="00BF070E"/>
    <w:rsid w:val="00BF24F3"/>
    <w:rsid w:val="00BF3098"/>
    <w:rsid w:val="00BF4B9B"/>
    <w:rsid w:val="00BF4DD7"/>
    <w:rsid w:val="00BF62F9"/>
    <w:rsid w:val="00C009A3"/>
    <w:rsid w:val="00C05B39"/>
    <w:rsid w:val="00C06B6C"/>
    <w:rsid w:val="00C11A5B"/>
    <w:rsid w:val="00C12350"/>
    <w:rsid w:val="00C15234"/>
    <w:rsid w:val="00C16E47"/>
    <w:rsid w:val="00C17087"/>
    <w:rsid w:val="00C2028D"/>
    <w:rsid w:val="00C226EB"/>
    <w:rsid w:val="00C22E4F"/>
    <w:rsid w:val="00C2652D"/>
    <w:rsid w:val="00C356EA"/>
    <w:rsid w:val="00C36C61"/>
    <w:rsid w:val="00C4259B"/>
    <w:rsid w:val="00C44BC7"/>
    <w:rsid w:val="00C46BF3"/>
    <w:rsid w:val="00C52A3D"/>
    <w:rsid w:val="00C67529"/>
    <w:rsid w:val="00C67D7F"/>
    <w:rsid w:val="00C721A4"/>
    <w:rsid w:val="00C72CB7"/>
    <w:rsid w:val="00C774D4"/>
    <w:rsid w:val="00C802C5"/>
    <w:rsid w:val="00C860C5"/>
    <w:rsid w:val="00C96C56"/>
    <w:rsid w:val="00C9724E"/>
    <w:rsid w:val="00CA0298"/>
    <w:rsid w:val="00CA0F07"/>
    <w:rsid w:val="00CA14DF"/>
    <w:rsid w:val="00CA15B8"/>
    <w:rsid w:val="00CA3C63"/>
    <w:rsid w:val="00CA3CB6"/>
    <w:rsid w:val="00CA4FC4"/>
    <w:rsid w:val="00CA6AF7"/>
    <w:rsid w:val="00CB0E9E"/>
    <w:rsid w:val="00CB15E8"/>
    <w:rsid w:val="00CB16EE"/>
    <w:rsid w:val="00CB46EC"/>
    <w:rsid w:val="00CB4B91"/>
    <w:rsid w:val="00CC5B0F"/>
    <w:rsid w:val="00CD1FFC"/>
    <w:rsid w:val="00CD5FE9"/>
    <w:rsid w:val="00CE43A9"/>
    <w:rsid w:val="00CE556A"/>
    <w:rsid w:val="00CE5C14"/>
    <w:rsid w:val="00CE67EB"/>
    <w:rsid w:val="00CF07FB"/>
    <w:rsid w:val="00CF2AA4"/>
    <w:rsid w:val="00D03F21"/>
    <w:rsid w:val="00D040DD"/>
    <w:rsid w:val="00D04CBB"/>
    <w:rsid w:val="00D0571C"/>
    <w:rsid w:val="00D07782"/>
    <w:rsid w:val="00D14702"/>
    <w:rsid w:val="00D157CD"/>
    <w:rsid w:val="00D23DE7"/>
    <w:rsid w:val="00D330AD"/>
    <w:rsid w:val="00D334A1"/>
    <w:rsid w:val="00D4004E"/>
    <w:rsid w:val="00D405AD"/>
    <w:rsid w:val="00D603C5"/>
    <w:rsid w:val="00D6157B"/>
    <w:rsid w:val="00D61C9A"/>
    <w:rsid w:val="00D634B2"/>
    <w:rsid w:val="00D64DD6"/>
    <w:rsid w:val="00D66066"/>
    <w:rsid w:val="00D66B82"/>
    <w:rsid w:val="00D70F88"/>
    <w:rsid w:val="00D715C1"/>
    <w:rsid w:val="00D71744"/>
    <w:rsid w:val="00D7765F"/>
    <w:rsid w:val="00D816B2"/>
    <w:rsid w:val="00D83E23"/>
    <w:rsid w:val="00D845B7"/>
    <w:rsid w:val="00D846D2"/>
    <w:rsid w:val="00D85B67"/>
    <w:rsid w:val="00D85C11"/>
    <w:rsid w:val="00D916B8"/>
    <w:rsid w:val="00D920A9"/>
    <w:rsid w:val="00D9324A"/>
    <w:rsid w:val="00D942F0"/>
    <w:rsid w:val="00DA3650"/>
    <w:rsid w:val="00DA4AA3"/>
    <w:rsid w:val="00DA66BE"/>
    <w:rsid w:val="00DB3566"/>
    <w:rsid w:val="00DB35D1"/>
    <w:rsid w:val="00DB52AB"/>
    <w:rsid w:val="00DB6817"/>
    <w:rsid w:val="00DB71A4"/>
    <w:rsid w:val="00DC0D3F"/>
    <w:rsid w:val="00DC5222"/>
    <w:rsid w:val="00DC7061"/>
    <w:rsid w:val="00DD2E48"/>
    <w:rsid w:val="00DD31F0"/>
    <w:rsid w:val="00DD3EFD"/>
    <w:rsid w:val="00DD4B3A"/>
    <w:rsid w:val="00DD4FC0"/>
    <w:rsid w:val="00DD7DC0"/>
    <w:rsid w:val="00DE057E"/>
    <w:rsid w:val="00DE1E83"/>
    <w:rsid w:val="00DE4301"/>
    <w:rsid w:val="00DF02D7"/>
    <w:rsid w:val="00DF239E"/>
    <w:rsid w:val="00DF2F27"/>
    <w:rsid w:val="00E02456"/>
    <w:rsid w:val="00E032EB"/>
    <w:rsid w:val="00E16DA9"/>
    <w:rsid w:val="00E17DDC"/>
    <w:rsid w:val="00E3170B"/>
    <w:rsid w:val="00E31950"/>
    <w:rsid w:val="00E31961"/>
    <w:rsid w:val="00E3282D"/>
    <w:rsid w:val="00E32C6C"/>
    <w:rsid w:val="00E403DD"/>
    <w:rsid w:val="00E41593"/>
    <w:rsid w:val="00E426BD"/>
    <w:rsid w:val="00E44882"/>
    <w:rsid w:val="00E51928"/>
    <w:rsid w:val="00E63C80"/>
    <w:rsid w:val="00E645C4"/>
    <w:rsid w:val="00E704AD"/>
    <w:rsid w:val="00E71C51"/>
    <w:rsid w:val="00E75499"/>
    <w:rsid w:val="00E75508"/>
    <w:rsid w:val="00E765A5"/>
    <w:rsid w:val="00E82EBF"/>
    <w:rsid w:val="00E9626F"/>
    <w:rsid w:val="00E96928"/>
    <w:rsid w:val="00EA1789"/>
    <w:rsid w:val="00EB0383"/>
    <w:rsid w:val="00EB31F1"/>
    <w:rsid w:val="00EB5CB3"/>
    <w:rsid w:val="00EC10F4"/>
    <w:rsid w:val="00EC22FC"/>
    <w:rsid w:val="00EC28C8"/>
    <w:rsid w:val="00EC2DCA"/>
    <w:rsid w:val="00EC3D3A"/>
    <w:rsid w:val="00ED57F7"/>
    <w:rsid w:val="00EE23C2"/>
    <w:rsid w:val="00EE4CE3"/>
    <w:rsid w:val="00EE5CB4"/>
    <w:rsid w:val="00EE6427"/>
    <w:rsid w:val="00EE68A0"/>
    <w:rsid w:val="00F110BD"/>
    <w:rsid w:val="00F1301A"/>
    <w:rsid w:val="00F17A40"/>
    <w:rsid w:val="00F20697"/>
    <w:rsid w:val="00F22C76"/>
    <w:rsid w:val="00F24297"/>
    <w:rsid w:val="00F2494B"/>
    <w:rsid w:val="00F2551F"/>
    <w:rsid w:val="00F27C32"/>
    <w:rsid w:val="00F307D4"/>
    <w:rsid w:val="00F339C5"/>
    <w:rsid w:val="00F37605"/>
    <w:rsid w:val="00F40EF0"/>
    <w:rsid w:val="00F447A3"/>
    <w:rsid w:val="00F463EB"/>
    <w:rsid w:val="00F4743E"/>
    <w:rsid w:val="00F51386"/>
    <w:rsid w:val="00F63055"/>
    <w:rsid w:val="00F65241"/>
    <w:rsid w:val="00F71134"/>
    <w:rsid w:val="00F75840"/>
    <w:rsid w:val="00F81AE6"/>
    <w:rsid w:val="00F8263F"/>
    <w:rsid w:val="00F82A08"/>
    <w:rsid w:val="00F83A8F"/>
    <w:rsid w:val="00F83FE5"/>
    <w:rsid w:val="00F87511"/>
    <w:rsid w:val="00F90C6F"/>
    <w:rsid w:val="00F9126D"/>
    <w:rsid w:val="00F91294"/>
    <w:rsid w:val="00F9546C"/>
    <w:rsid w:val="00F96000"/>
    <w:rsid w:val="00F96907"/>
    <w:rsid w:val="00FA1E2B"/>
    <w:rsid w:val="00FB10EB"/>
    <w:rsid w:val="00FB44F7"/>
    <w:rsid w:val="00FB488C"/>
    <w:rsid w:val="00FD41B8"/>
    <w:rsid w:val="00FE07E4"/>
    <w:rsid w:val="00FE46A3"/>
    <w:rsid w:val="00FE58D5"/>
    <w:rsid w:val="00FF3A56"/>
    <w:rsid w:val="00FF5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3A70F"/>
  <w15:docId w15:val="{96A87358-5CC4-4744-B1D8-EBB833A3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CE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8B8"/>
    <w:rPr>
      <w:color w:val="0563C1" w:themeColor="hyperlink"/>
      <w:u w:val="single"/>
    </w:rPr>
  </w:style>
  <w:style w:type="character" w:styleId="CommentReference">
    <w:name w:val="annotation reference"/>
    <w:basedOn w:val="DefaultParagraphFont"/>
    <w:uiPriority w:val="99"/>
    <w:semiHidden/>
    <w:unhideWhenUsed/>
    <w:rsid w:val="00A70C8C"/>
    <w:rPr>
      <w:sz w:val="16"/>
      <w:szCs w:val="16"/>
    </w:rPr>
  </w:style>
  <w:style w:type="paragraph" w:styleId="CommentText">
    <w:name w:val="annotation text"/>
    <w:basedOn w:val="Normal"/>
    <w:link w:val="CommentTextChar"/>
    <w:uiPriority w:val="99"/>
    <w:unhideWhenUsed/>
    <w:rsid w:val="00A70C8C"/>
    <w:pPr>
      <w:spacing w:line="240" w:lineRule="auto"/>
    </w:pPr>
    <w:rPr>
      <w:sz w:val="20"/>
      <w:szCs w:val="20"/>
    </w:rPr>
  </w:style>
  <w:style w:type="character" w:customStyle="1" w:styleId="CommentTextChar">
    <w:name w:val="Comment Text Char"/>
    <w:basedOn w:val="DefaultParagraphFont"/>
    <w:link w:val="CommentText"/>
    <w:uiPriority w:val="99"/>
    <w:rsid w:val="00A70C8C"/>
    <w:rPr>
      <w:sz w:val="20"/>
      <w:szCs w:val="20"/>
    </w:rPr>
  </w:style>
  <w:style w:type="paragraph" w:styleId="CommentSubject">
    <w:name w:val="annotation subject"/>
    <w:basedOn w:val="CommentText"/>
    <w:next w:val="CommentText"/>
    <w:link w:val="CommentSubjectChar"/>
    <w:uiPriority w:val="99"/>
    <w:semiHidden/>
    <w:unhideWhenUsed/>
    <w:rsid w:val="00A70C8C"/>
    <w:rPr>
      <w:b/>
      <w:bCs/>
    </w:rPr>
  </w:style>
  <w:style w:type="character" w:customStyle="1" w:styleId="CommentSubjectChar">
    <w:name w:val="Comment Subject Char"/>
    <w:basedOn w:val="CommentTextChar"/>
    <w:link w:val="CommentSubject"/>
    <w:uiPriority w:val="99"/>
    <w:semiHidden/>
    <w:rsid w:val="00A70C8C"/>
    <w:rPr>
      <w:b/>
      <w:bCs/>
      <w:sz w:val="20"/>
      <w:szCs w:val="20"/>
    </w:rPr>
  </w:style>
  <w:style w:type="paragraph" w:styleId="Revision">
    <w:name w:val="Revision"/>
    <w:hidden/>
    <w:uiPriority w:val="99"/>
    <w:semiHidden/>
    <w:rsid w:val="00A70C8C"/>
    <w:pPr>
      <w:spacing w:after="0" w:line="240" w:lineRule="auto"/>
    </w:pPr>
  </w:style>
  <w:style w:type="paragraph" w:styleId="BalloonText">
    <w:name w:val="Balloon Text"/>
    <w:basedOn w:val="Normal"/>
    <w:link w:val="BalloonTextChar"/>
    <w:uiPriority w:val="99"/>
    <w:semiHidden/>
    <w:unhideWhenUsed/>
    <w:rsid w:val="00A7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C"/>
    <w:rPr>
      <w:rFonts w:ascii="Segoe UI" w:hAnsi="Segoe UI" w:cs="Segoe UI"/>
      <w:sz w:val="18"/>
      <w:szCs w:val="18"/>
    </w:rPr>
  </w:style>
  <w:style w:type="paragraph" w:styleId="Header">
    <w:name w:val="header"/>
    <w:basedOn w:val="Normal"/>
    <w:link w:val="HeaderChar"/>
    <w:uiPriority w:val="99"/>
    <w:unhideWhenUsed/>
    <w:rsid w:val="008E3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19"/>
  </w:style>
  <w:style w:type="paragraph" w:styleId="Footer">
    <w:name w:val="footer"/>
    <w:basedOn w:val="Normal"/>
    <w:link w:val="FooterChar"/>
    <w:uiPriority w:val="99"/>
    <w:unhideWhenUsed/>
    <w:rsid w:val="008E3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19"/>
  </w:style>
  <w:style w:type="character" w:styleId="LineNumber">
    <w:name w:val="line number"/>
    <w:basedOn w:val="DefaultParagraphFont"/>
    <w:uiPriority w:val="99"/>
    <w:semiHidden/>
    <w:unhideWhenUsed/>
    <w:rsid w:val="008E3119"/>
  </w:style>
  <w:style w:type="character" w:customStyle="1" w:styleId="Heading5Char">
    <w:name w:val="Heading 5 Char"/>
    <w:basedOn w:val="DefaultParagraphFont"/>
    <w:link w:val="Heading5"/>
    <w:uiPriority w:val="9"/>
    <w:rsid w:val="00CE5C14"/>
    <w:rPr>
      <w:rFonts w:asciiTheme="majorHAnsi" w:eastAsiaTheme="majorEastAsia" w:hAnsiTheme="majorHAnsi" w:cstheme="majorBidi"/>
      <w:color w:val="2E74B5" w:themeColor="accent1" w:themeShade="BF"/>
    </w:rPr>
  </w:style>
  <w:style w:type="paragraph" w:styleId="EndnoteText">
    <w:name w:val="endnote text"/>
    <w:basedOn w:val="Normal"/>
    <w:link w:val="EndnoteTextChar"/>
    <w:uiPriority w:val="99"/>
    <w:semiHidden/>
    <w:unhideWhenUsed/>
    <w:rsid w:val="00CE5C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5C14"/>
    <w:rPr>
      <w:sz w:val="20"/>
      <w:szCs w:val="20"/>
    </w:rPr>
  </w:style>
  <w:style w:type="paragraph" w:styleId="NormalWeb">
    <w:name w:val="Normal (Web)"/>
    <w:basedOn w:val="Normal"/>
    <w:uiPriority w:val="99"/>
    <w:semiHidden/>
    <w:unhideWhenUsed/>
    <w:rsid w:val="00CE5C14"/>
    <w:rPr>
      <w:rFonts w:ascii="Times New Roman" w:hAnsi="Times New Roman" w:cs="Times New Roman"/>
      <w:sz w:val="24"/>
      <w:szCs w:val="24"/>
    </w:rPr>
  </w:style>
  <w:style w:type="character" w:styleId="EndnoteReference">
    <w:name w:val="endnote reference"/>
    <w:basedOn w:val="DefaultParagraphFont"/>
    <w:uiPriority w:val="99"/>
    <w:unhideWhenUsed/>
    <w:rsid w:val="00CE5C14"/>
    <w:rPr>
      <w:vertAlign w:val="superscript"/>
    </w:rPr>
  </w:style>
  <w:style w:type="table" w:styleId="TableGrid">
    <w:name w:val="Table Grid"/>
    <w:basedOn w:val="TableNormal"/>
    <w:uiPriority w:val="39"/>
    <w:rsid w:val="00F27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0446"/>
    <w:pPr>
      <w:ind w:left="720"/>
      <w:contextualSpacing/>
    </w:pPr>
  </w:style>
  <w:style w:type="character" w:customStyle="1" w:styleId="docsum-authors">
    <w:name w:val="docsum-authors"/>
    <w:basedOn w:val="DefaultParagraphFont"/>
    <w:rsid w:val="007F45F1"/>
  </w:style>
  <w:style w:type="character" w:customStyle="1" w:styleId="docsum-journal-citation">
    <w:name w:val="docsum-journal-citation"/>
    <w:basedOn w:val="DefaultParagraphFont"/>
    <w:rsid w:val="007F45F1"/>
  </w:style>
  <w:style w:type="paragraph" w:styleId="NoSpacing">
    <w:name w:val="No Spacing"/>
    <w:uiPriority w:val="1"/>
    <w:qFormat/>
    <w:rsid w:val="00DA66BE"/>
    <w:pPr>
      <w:spacing w:after="0" w:line="240" w:lineRule="auto"/>
    </w:pPr>
  </w:style>
  <w:style w:type="character" w:customStyle="1" w:styleId="UnresolvedMention1">
    <w:name w:val="Unresolved Mention1"/>
    <w:basedOn w:val="DefaultParagraphFont"/>
    <w:uiPriority w:val="99"/>
    <w:semiHidden/>
    <w:unhideWhenUsed/>
    <w:rsid w:val="00A04170"/>
    <w:rPr>
      <w:color w:val="605E5C"/>
      <w:shd w:val="clear" w:color="auto" w:fill="E1DFDD"/>
    </w:rPr>
  </w:style>
  <w:style w:type="character" w:styleId="FollowedHyperlink">
    <w:name w:val="FollowedHyperlink"/>
    <w:basedOn w:val="DefaultParagraphFont"/>
    <w:uiPriority w:val="99"/>
    <w:semiHidden/>
    <w:unhideWhenUsed/>
    <w:rsid w:val="00A04170"/>
    <w:rPr>
      <w:color w:val="954F72" w:themeColor="followedHyperlink"/>
      <w:u w:val="single"/>
    </w:rPr>
  </w:style>
  <w:style w:type="paragraph" w:customStyle="1" w:styleId="EndNoteBibliographyTitle">
    <w:name w:val="EndNote Bibliography Title"/>
    <w:basedOn w:val="Normal"/>
    <w:link w:val="EndNoteBibliographyTitleChar"/>
    <w:rsid w:val="00B45B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45BE1"/>
    <w:rPr>
      <w:rFonts w:ascii="Calibri" w:hAnsi="Calibri" w:cs="Calibri"/>
      <w:noProof/>
    </w:rPr>
  </w:style>
  <w:style w:type="paragraph" w:customStyle="1" w:styleId="EndNoteBibliography">
    <w:name w:val="EndNote Bibliography"/>
    <w:basedOn w:val="Normal"/>
    <w:link w:val="EndNoteBibliographyChar"/>
    <w:rsid w:val="00B45BE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45BE1"/>
    <w:rPr>
      <w:rFonts w:ascii="Calibri" w:hAnsi="Calibri" w:cs="Calibri"/>
      <w:noProof/>
    </w:rPr>
  </w:style>
  <w:style w:type="character" w:customStyle="1" w:styleId="UnresolvedMention2">
    <w:name w:val="Unresolved Mention2"/>
    <w:basedOn w:val="DefaultParagraphFont"/>
    <w:uiPriority w:val="99"/>
    <w:semiHidden/>
    <w:unhideWhenUsed/>
    <w:rsid w:val="00B4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358">
      <w:bodyDiv w:val="1"/>
      <w:marLeft w:val="0"/>
      <w:marRight w:val="0"/>
      <w:marTop w:val="0"/>
      <w:marBottom w:val="0"/>
      <w:divBdr>
        <w:top w:val="none" w:sz="0" w:space="0" w:color="auto"/>
        <w:left w:val="none" w:sz="0" w:space="0" w:color="auto"/>
        <w:bottom w:val="none" w:sz="0" w:space="0" w:color="auto"/>
        <w:right w:val="none" w:sz="0" w:space="0" w:color="auto"/>
      </w:divBdr>
    </w:div>
    <w:div w:id="145899999">
      <w:bodyDiv w:val="1"/>
      <w:marLeft w:val="0"/>
      <w:marRight w:val="0"/>
      <w:marTop w:val="0"/>
      <w:marBottom w:val="0"/>
      <w:divBdr>
        <w:top w:val="none" w:sz="0" w:space="0" w:color="auto"/>
        <w:left w:val="none" w:sz="0" w:space="0" w:color="auto"/>
        <w:bottom w:val="none" w:sz="0" w:space="0" w:color="auto"/>
        <w:right w:val="none" w:sz="0" w:space="0" w:color="auto"/>
      </w:divBdr>
    </w:div>
    <w:div w:id="180436147">
      <w:bodyDiv w:val="1"/>
      <w:marLeft w:val="0"/>
      <w:marRight w:val="0"/>
      <w:marTop w:val="0"/>
      <w:marBottom w:val="0"/>
      <w:divBdr>
        <w:top w:val="none" w:sz="0" w:space="0" w:color="auto"/>
        <w:left w:val="none" w:sz="0" w:space="0" w:color="auto"/>
        <w:bottom w:val="none" w:sz="0" w:space="0" w:color="auto"/>
        <w:right w:val="none" w:sz="0" w:space="0" w:color="auto"/>
      </w:divBdr>
    </w:div>
    <w:div w:id="412316358">
      <w:bodyDiv w:val="1"/>
      <w:marLeft w:val="0"/>
      <w:marRight w:val="0"/>
      <w:marTop w:val="0"/>
      <w:marBottom w:val="0"/>
      <w:divBdr>
        <w:top w:val="none" w:sz="0" w:space="0" w:color="auto"/>
        <w:left w:val="none" w:sz="0" w:space="0" w:color="auto"/>
        <w:bottom w:val="none" w:sz="0" w:space="0" w:color="auto"/>
        <w:right w:val="none" w:sz="0" w:space="0" w:color="auto"/>
      </w:divBdr>
    </w:div>
    <w:div w:id="511267257">
      <w:bodyDiv w:val="1"/>
      <w:marLeft w:val="0"/>
      <w:marRight w:val="0"/>
      <w:marTop w:val="0"/>
      <w:marBottom w:val="0"/>
      <w:divBdr>
        <w:top w:val="none" w:sz="0" w:space="0" w:color="auto"/>
        <w:left w:val="none" w:sz="0" w:space="0" w:color="auto"/>
        <w:bottom w:val="none" w:sz="0" w:space="0" w:color="auto"/>
        <w:right w:val="none" w:sz="0" w:space="0" w:color="auto"/>
      </w:divBdr>
      <w:divsChild>
        <w:div w:id="7143455">
          <w:marLeft w:val="0"/>
          <w:marRight w:val="0"/>
          <w:marTop w:val="0"/>
          <w:marBottom w:val="0"/>
          <w:divBdr>
            <w:top w:val="none" w:sz="0" w:space="0" w:color="auto"/>
            <w:left w:val="none" w:sz="0" w:space="0" w:color="auto"/>
            <w:bottom w:val="none" w:sz="0" w:space="0" w:color="auto"/>
            <w:right w:val="none" w:sz="0" w:space="0" w:color="auto"/>
          </w:divBdr>
        </w:div>
      </w:divsChild>
    </w:div>
    <w:div w:id="523179905">
      <w:bodyDiv w:val="1"/>
      <w:marLeft w:val="0"/>
      <w:marRight w:val="0"/>
      <w:marTop w:val="0"/>
      <w:marBottom w:val="0"/>
      <w:divBdr>
        <w:top w:val="none" w:sz="0" w:space="0" w:color="auto"/>
        <w:left w:val="none" w:sz="0" w:space="0" w:color="auto"/>
        <w:bottom w:val="none" w:sz="0" w:space="0" w:color="auto"/>
        <w:right w:val="none" w:sz="0" w:space="0" w:color="auto"/>
      </w:divBdr>
    </w:div>
    <w:div w:id="633799103">
      <w:bodyDiv w:val="1"/>
      <w:marLeft w:val="0"/>
      <w:marRight w:val="0"/>
      <w:marTop w:val="0"/>
      <w:marBottom w:val="0"/>
      <w:divBdr>
        <w:top w:val="none" w:sz="0" w:space="0" w:color="auto"/>
        <w:left w:val="none" w:sz="0" w:space="0" w:color="auto"/>
        <w:bottom w:val="none" w:sz="0" w:space="0" w:color="auto"/>
        <w:right w:val="none" w:sz="0" w:space="0" w:color="auto"/>
      </w:divBdr>
    </w:div>
    <w:div w:id="736975395">
      <w:bodyDiv w:val="1"/>
      <w:marLeft w:val="0"/>
      <w:marRight w:val="0"/>
      <w:marTop w:val="0"/>
      <w:marBottom w:val="0"/>
      <w:divBdr>
        <w:top w:val="none" w:sz="0" w:space="0" w:color="auto"/>
        <w:left w:val="none" w:sz="0" w:space="0" w:color="auto"/>
        <w:bottom w:val="none" w:sz="0" w:space="0" w:color="auto"/>
        <w:right w:val="none" w:sz="0" w:space="0" w:color="auto"/>
      </w:divBdr>
    </w:div>
    <w:div w:id="836506727">
      <w:bodyDiv w:val="1"/>
      <w:marLeft w:val="0"/>
      <w:marRight w:val="0"/>
      <w:marTop w:val="0"/>
      <w:marBottom w:val="0"/>
      <w:divBdr>
        <w:top w:val="none" w:sz="0" w:space="0" w:color="auto"/>
        <w:left w:val="none" w:sz="0" w:space="0" w:color="auto"/>
        <w:bottom w:val="none" w:sz="0" w:space="0" w:color="auto"/>
        <w:right w:val="none" w:sz="0" w:space="0" w:color="auto"/>
      </w:divBdr>
      <w:divsChild>
        <w:div w:id="1706297499">
          <w:marLeft w:val="0"/>
          <w:marRight w:val="0"/>
          <w:marTop w:val="0"/>
          <w:marBottom w:val="0"/>
          <w:divBdr>
            <w:top w:val="none" w:sz="0" w:space="0" w:color="auto"/>
            <w:left w:val="none" w:sz="0" w:space="0" w:color="auto"/>
            <w:bottom w:val="none" w:sz="0" w:space="0" w:color="auto"/>
            <w:right w:val="none" w:sz="0" w:space="0" w:color="auto"/>
          </w:divBdr>
        </w:div>
      </w:divsChild>
    </w:div>
    <w:div w:id="842863827">
      <w:bodyDiv w:val="1"/>
      <w:marLeft w:val="0"/>
      <w:marRight w:val="0"/>
      <w:marTop w:val="0"/>
      <w:marBottom w:val="0"/>
      <w:divBdr>
        <w:top w:val="none" w:sz="0" w:space="0" w:color="auto"/>
        <w:left w:val="none" w:sz="0" w:space="0" w:color="auto"/>
        <w:bottom w:val="none" w:sz="0" w:space="0" w:color="auto"/>
        <w:right w:val="none" w:sz="0" w:space="0" w:color="auto"/>
      </w:divBdr>
    </w:div>
    <w:div w:id="1097943640">
      <w:bodyDiv w:val="1"/>
      <w:marLeft w:val="0"/>
      <w:marRight w:val="0"/>
      <w:marTop w:val="0"/>
      <w:marBottom w:val="0"/>
      <w:divBdr>
        <w:top w:val="none" w:sz="0" w:space="0" w:color="auto"/>
        <w:left w:val="none" w:sz="0" w:space="0" w:color="auto"/>
        <w:bottom w:val="none" w:sz="0" w:space="0" w:color="auto"/>
        <w:right w:val="none" w:sz="0" w:space="0" w:color="auto"/>
      </w:divBdr>
    </w:div>
    <w:div w:id="1343387033">
      <w:bodyDiv w:val="1"/>
      <w:marLeft w:val="0"/>
      <w:marRight w:val="0"/>
      <w:marTop w:val="0"/>
      <w:marBottom w:val="0"/>
      <w:divBdr>
        <w:top w:val="none" w:sz="0" w:space="0" w:color="auto"/>
        <w:left w:val="none" w:sz="0" w:space="0" w:color="auto"/>
        <w:bottom w:val="none" w:sz="0" w:space="0" w:color="auto"/>
        <w:right w:val="none" w:sz="0" w:space="0" w:color="auto"/>
      </w:divBdr>
    </w:div>
    <w:div w:id="1558544203">
      <w:bodyDiv w:val="1"/>
      <w:marLeft w:val="0"/>
      <w:marRight w:val="0"/>
      <w:marTop w:val="0"/>
      <w:marBottom w:val="0"/>
      <w:divBdr>
        <w:top w:val="none" w:sz="0" w:space="0" w:color="auto"/>
        <w:left w:val="none" w:sz="0" w:space="0" w:color="auto"/>
        <w:bottom w:val="none" w:sz="0" w:space="0" w:color="auto"/>
        <w:right w:val="none" w:sz="0" w:space="0" w:color="auto"/>
      </w:divBdr>
    </w:div>
    <w:div w:id="1855801236">
      <w:bodyDiv w:val="1"/>
      <w:marLeft w:val="0"/>
      <w:marRight w:val="0"/>
      <w:marTop w:val="0"/>
      <w:marBottom w:val="0"/>
      <w:divBdr>
        <w:top w:val="none" w:sz="0" w:space="0" w:color="auto"/>
        <w:left w:val="none" w:sz="0" w:space="0" w:color="auto"/>
        <w:bottom w:val="none" w:sz="0" w:space="0" w:color="auto"/>
        <w:right w:val="none" w:sz="0" w:space="0" w:color="auto"/>
      </w:divBdr>
    </w:div>
    <w:div w:id="1923026439">
      <w:bodyDiv w:val="1"/>
      <w:marLeft w:val="0"/>
      <w:marRight w:val="0"/>
      <w:marTop w:val="0"/>
      <w:marBottom w:val="0"/>
      <w:divBdr>
        <w:top w:val="none" w:sz="0" w:space="0" w:color="auto"/>
        <w:left w:val="none" w:sz="0" w:space="0" w:color="auto"/>
        <w:bottom w:val="none" w:sz="0" w:space="0" w:color="auto"/>
        <w:right w:val="none" w:sz="0" w:space="0" w:color="auto"/>
      </w:divBdr>
    </w:div>
    <w:div w:id="2019041721">
      <w:bodyDiv w:val="1"/>
      <w:marLeft w:val="0"/>
      <w:marRight w:val="0"/>
      <w:marTop w:val="0"/>
      <w:marBottom w:val="0"/>
      <w:divBdr>
        <w:top w:val="none" w:sz="0" w:space="0" w:color="auto"/>
        <w:left w:val="none" w:sz="0" w:space="0" w:color="auto"/>
        <w:bottom w:val="none" w:sz="0" w:space="0" w:color="auto"/>
        <w:right w:val="none" w:sz="0" w:space="0" w:color="auto"/>
      </w:divBdr>
    </w:div>
    <w:div w:id="2061897315">
      <w:bodyDiv w:val="1"/>
      <w:marLeft w:val="0"/>
      <w:marRight w:val="0"/>
      <w:marTop w:val="0"/>
      <w:marBottom w:val="0"/>
      <w:divBdr>
        <w:top w:val="none" w:sz="0" w:space="0" w:color="auto"/>
        <w:left w:val="none" w:sz="0" w:space="0" w:color="auto"/>
        <w:bottom w:val="none" w:sz="0" w:space="0" w:color="auto"/>
        <w:right w:val="none" w:sz="0" w:space="0" w:color="auto"/>
      </w:divBdr>
    </w:div>
    <w:div w:id="2088531966">
      <w:bodyDiv w:val="1"/>
      <w:marLeft w:val="0"/>
      <w:marRight w:val="0"/>
      <w:marTop w:val="0"/>
      <w:marBottom w:val="0"/>
      <w:divBdr>
        <w:top w:val="none" w:sz="0" w:space="0" w:color="auto"/>
        <w:left w:val="none" w:sz="0" w:space="0" w:color="auto"/>
        <w:bottom w:val="none" w:sz="0" w:space="0" w:color="auto"/>
        <w:right w:val="none" w:sz="0" w:space="0" w:color="auto"/>
      </w:divBdr>
    </w:div>
    <w:div w:id="20944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DEF4DFF3A714292F0140BDD263C80" ma:contentTypeVersion="13" ma:contentTypeDescription="Create a new document." ma:contentTypeScope="" ma:versionID="635ad3cfd8359d2a2f1af7dfe53c3085">
  <xsd:schema xmlns:xsd="http://www.w3.org/2001/XMLSchema" xmlns:xs="http://www.w3.org/2001/XMLSchema" xmlns:p="http://schemas.microsoft.com/office/2006/metadata/properties" xmlns:ns3="3314298d-4463-4c99-b04c-7b4b986eafb3" xmlns:ns4="717eb86e-bd0a-4b71-8353-23944bb45945" targetNamespace="http://schemas.microsoft.com/office/2006/metadata/properties" ma:root="true" ma:fieldsID="05801b3000afe31ee756390dd5eb9a57" ns3:_="" ns4:_="">
    <xsd:import namespace="3314298d-4463-4c99-b04c-7b4b986eafb3"/>
    <xsd:import namespace="717eb86e-bd0a-4b71-8353-23944bb45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4298d-4463-4c99-b04c-7b4b986ea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eb86e-bd0a-4b71-8353-23944bb459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F0CB-CFC6-4DC4-848F-17CF015F5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754C81-EA15-41F6-8918-520002C5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4298d-4463-4c99-b04c-7b4b986eafb3"/>
    <ds:schemaRef ds:uri="717eb86e-bd0a-4b71-8353-23944bb45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2B72A-0EF6-4D38-8144-3C3C93B0B716}">
  <ds:schemaRefs>
    <ds:schemaRef ds:uri="http://schemas.microsoft.com/sharepoint/v3/contenttype/forms"/>
  </ds:schemaRefs>
</ds:datastoreItem>
</file>

<file path=customXml/itemProps4.xml><?xml version="1.0" encoding="utf-8"?>
<ds:datastoreItem xmlns:ds="http://schemas.openxmlformats.org/officeDocument/2006/customXml" ds:itemID="{7AB4898E-2B6E-4613-AE2D-77F4F2EA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37207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Chean Chung Shen</dc:creator>
  <cp:keywords/>
  <dc:description/>
  <cp:lastModifiedBy>Chean Chung Shen</cp:lastModifiedBy>
  <cp:revision>2</cp:revision>
  <dcterms:created xsi:type="dcterms:W3CDTF">2022-03-19T12:03:00Z</dcterms:created>
  <dcterms:modified xsi:type="dcterms:W3CDTF">2022-03-19T12:03:00Z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0x010100310DEF4DFF3A714292F0140BDD263C80</vt:lpwstr>
  </property>
  <property fmtid="{D5CDD505-2E9C-101B-9397-08002B2CF9AE}" pid="3" name="WnCUserId">
    <vt:lpwstr>user:5bd9af2ce4b0a1f99c632c64</vt:lpwstr>
  </property>
  <property fmtid="{D5CDD505-2E9C-101B-9397-08002B2CF9AE}" pid="4" name="WnCSubscriberId">
    <vt:lpwstr>0</vt:lpwstr>
  </property>
  <property fmtid="{D5CDD505-2E9C-101B-9397-08002B2CF9AE}" pid="5" name="WnCOutputStyleId">
    <vt:lpwstr>1669</vt:lpwstr>
  </property>
  <property fmtid="{D5CDD505-2E9C-101B-9397-08002B2CF9AE}" pid="6" name="RWProductId">
    <vt:lpwstr>Flow</vt:lpwstr>
  </property>
  <property fmtid="{D5CDD505-2E9C-101B-9397-08002B2CF9AE}" pid="7" name="RWProjectId">
    <vt:lpwstr>ap:5c09272fe4b0435efe4bcdb5</vt:lpwstr>
  </property>
  <property fmtid="{D5CDD505-2E9C-101B-9397-08002B2CF9AE}" pid="8" name="WnC4Folder">
    <vt:lpwstr>Documents///US injection SAPS MSK care submission</vt:lpwstr>
  </property>
</Properties>
</file>