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CCA1F" w14:textId="77777777" w:rsidR="00054240" w:rsidRPr="008F0583" w:rsidRDefault="00054240" w:rsidP="00054240">
      <w:pPr>
        <w:rPr>
          <w:b/>
          <w:u w:val="single"/>
        </w:rPr>
      </w:pPr>
      <w:r w:rsidRPr="008F0583">
        <w:rPr>
          <w:b/>
          <w:u w:val="single"/>
        </w:rPr>
        <w:t>TITLE</w:t>
      </w:r>
      <w:r>
        <w:rPr>
          <w:b/>
          <w:u w:val="single"/>
        </w:rPr>
        <w:t xml:space="preserve"> PAGE</w:t>
      </w:r>
    </w:p>
    <w:p w14:paraId="66F2FB79" w14:textId="77777777" w:rsidR="00054240" w:rsidRPr="0003246F" w:rsidRDefault="00054240" w:rsidP="00054240"/>
    <w:p w14:paraId="12A64699" w14:textId="03EFC2CC" w:rsidR="00054240" w:rsidRPr="00BD6D1A" w:rsidRDefault="00054240" w:rsidP="00054240">
      <w:r w:rsidRPr="00BD6D1A">
        <w:rPr>
          <w:b/>
        </w:rPr>
        <w:t>Title:</w:t>
      </w:r>
      <w:r w:rsidRPr="00BD6D1A">
        <w:t xml:space="preserve"> </w:t>
      </w:r>
      <w:bookmarkStart w:id="0" w:name="_Hlk71209023"/>
      <w:r w:rsidRPr="00BD6D1A">
        <w:t>Projections of Healthy Working Life Expectancy in England to the year 2035</w:t>
      </w:r>
      <w:bookmarkEnd w:id="0"/>
    </w:p>
    <w:p w14:paraId="0FEF15CE" w14:textId="77777777" w:rsidR="00054240" w:rsidRPr="00BD6D1A" w:rsidRDefault="00054240" w:rsidP="00054240"/>
    <w:p w14:paraId="6224387B" w14:textId="78436982" w:rsidR="00054240" w:rsidRPr="00BD6D1A" w:rsidRDefault="00054240" w:rsidP="00054240">
      <w:r w:rsidRPr="00BD6D1A">
        <w:rPr>
          <w:b/>
        </w:rPr>
        <w:t>Authors:</w:t>
      </w:r>
      <w:r w:rsidRPr="00BD6D1A">
        <w:t xml:space="preserve"> Marty Lynch*</w:t>
      </w:r>
      <w:r w:rsidRPr="00BD6D1A">
        <w:rPr>
          <w:vertAlign w:val="superscript"/>
        </w:rPr>
        <w:t>1</w:t>
      </w:r>
      <w:r w:rsidR="00BA51E6">
        <w:rPr>
          <w:vertAlign w:val="superscript"/>
        </w:rPr>
        <w:t>,2</w:t>
      </w:r>
      <w:r w:rsidRPr="00BD6D1A">
        <w:t xml:space="preserve"> (PhD), Milica Bucknall</w:t>
      </w:r>
      <w:r w:rsidRPr="00BD6D1A">
        <w:rPr>
          <w:vertAlign w:val="superscript"/>
        </w:rPr>
        <w:t>1</w:t>
      </w:r>
      <w:r w:rsidRPr="00BD6D1A">
        <w:t xml:space="preserve"> (PhD), Carol Jagger</w:t>
      </w:r>
      <w:r w:rsidR="00BA51E6">
        <w:rPr>
          <w:vertAlign w:val="superscript"/>
        </w:rPr>
        <w:t>3</w:t>
      </w:r>
      <w:r w:rsidRPr="00BD6D1A">
        <w:t xml:space="preserve"> (PhD), Ross Wilkie</w:t>
      </w:r>
      <w:r w:rsidRPr="00BD6D1A">
        <w:rPr>
          <w:vertAlign w:val="superscript"/>
        </w:rPr>
        <w:t>1</w:t>
      </w:r>
      <w:r w:rsidR="00BA51E6">
        <w:rPr>
          <w:vertAlign w:val="superscript"/>
        </w:rPr>
        <w:t>,2</w:t>
      </w:r>
      <w:r w:rsidRPr="00BD6D1A">
        <w:t xml:space="preserve"> (PhD)</w:t>
      </w:r>
    </w:p>
    <w:p w14:paraId="2297ACD0" w14:textId="77777777" w:rsidR="00054240" w:rsidRPr="00BD6D1A" w:rsidRDefault="00054240" w:rsidP="00054240">
      <w:pPr>
        <w:rPr>
          <w:vertAlign w:val="superscript"/>
        </w:rPr>
      </w:pPr>
    </w:p>
    <w:p w14:paraId="2FCD7125" w14:textId="670F9A0E" w:rsidR="00054240" w:rsidRDefault="00054240" w:rsidP="00054240">
      <w:r w:rsidRPr="00BD6D1A">
        <w:rPr>
          <w:vertAlign w:val="superscript"/>
        </w:rPr>
        <w:t>1</w:t>
      </w:r>
      <w:r w:rsidRPr="00BD6D1A">
        <w:t xml:space="preserve">Keele University </w:t>
      </w:r>
      <w:r w:rsidRPr="00BD6D1A">
        <w:br/>
        <w:t>(address: School of Medicine, Keele University, UK, ST5 5BG)</w:t>
      </w:r>
    </w:p>
    <w:p w14:paraId="5C95EF6A" w14:textId="6F58521A" w:rsidR="004C5C65" w:rsidRPr="004C5C65" w:rsidRDefault="004C5C65" w:rsidP="00054240">
      <w:r w:rsidRPr="00BD6D1A">
        <w:rPr>
          <w:vertAlign w:val="superscript"/>
        </w:rPr>
        <w:t>2</w:t>
      </w:r>
      <w:r w:rsidRPr="00293A94">
        <w:t>MRC Versus Arthritis Centre for Musculoskeletal Health and Wor</w:t>
      </w:r>
      <w:r>
        <w:t>k</w:t>
      </w:r>
      <w:r>
        <w:br/>
        <w:t xml:space="preserve">(address: </w:t>
      </w:r>
      <w:r w:rsidRPr="00293A94">
        <w:t>University of</w:t>
      </w:r>
      <w:r>
        <w:t xml:space="preserve"> </w:t>
      </w:r>
      <w:r w:rsidRPr="00293A94">
        <w:t>Southampton, Southampton, UK</w:t>
      </w:r>
      <w:r>
        <w:t xml:space="preserve">, </w:t>
      </w:r>
      <w:r w:rsidRPr="00EB402F">
        <w:t>SO17 1BJ</w:t>
      </w:r>
      <w:r>
        <w:t>)</w:t>
      </w:r>
    </w:p>
    <w:p w14:paraId="777A5A27" w14:textId="4D339C02" w:rsidR="00054240" w:rsidRPr="00BD6D1A" w:rsidRDefault="004C5C65" w:rsidP="00054240">
      <w:r>
        <w:rPr>
          <w:vertAlign w:val="superscript"/>
        </w:rPr>
        <w:t>3</w:t>
      </w:r>
      <w:r w:rsidR="00054240" w:rsidRPr="00BD6D1A">
        <w:t xml:space="preserve">Newcastle University </w:t>
      </w:r>
      <w:r w:rsidR="00054240" w:rsidRPr="00BD6D1A">
        <w:br/>
        <w:t>(address: Population Health Sciences Institute, Newcastle University, Newcastle upon Tyne, UK, NE4 5PL)</w:t>
      </w:r>
    </w:p>
    <w:p w14:paraId="2BE16F79" w14:textId="77777777" w:rsidR="00054240" w:rsidRPr="00BD6D1A" w:rsidRDefault="00054240" w:rsidP="00054240"/>
    <w:p w14:paraId="027E3E9E" w14:textId="35D791B9" w:rsidR="00054240" w:rsidRPr="00BD6D1A" w:rsidRDefault="00054240" w:rsidP="00054240">
      <w:r w:rsidRPr="00BD6D1A">
        <w:rPr>
          <w:b/>
        </w:rPr>
        <w:t>*Corresponding author contact details:</w:t>
      </w:r>
      <w:r w:rsidRPr="00BD6D1A">
        <w:br/>
        <w:t>Marty Lynch</w:t>
      </w:r>
      <w:r w:rsidRPr="00BD6D1A">
        <w:br/>
        <w:t>School of Medicine</w:t>
      </w:r>
      <w:r w:rsidRPr="00BD6D1A">
        <w:br/>
        <w:t>Keele University</w:t>
      </w:r>
      <w:r w:rsidRPr="00BD6D1A">
        <w:br/>
        <w:t>UK</w:t>
      </w:r>
      <w:r w:rsidRPr="00BD6D1A">
        <w:br/>
        <w:t>ST5 5BG</w:t>
      </w:r>
      <w:r w:rsidRPr="00BD6D1A">
        <w:br/>
      </w:r>
    </w:p>
    <w:p w14:paraId="6C6DFB40" w14:textId="2B59B2A5" w:rsidR="00054240" w:rsidRPr="00BD6D1A" w:rsidRDefault="00054240" w:rsidP="00054240">
      <w:r w:rsidRPr="00BD6D1A">
        <w:t xml:space="preserve">Email: </w:t>
      </w:r>
      <w:hyperlink r:id="rId11" w:history="1">
        <w:r w:rsidRPr="00BD6D1A">
          <w:rPr>
            <w:rStyle w:val="Hyperlink"/>
          </w:rPr>
          <w:t>m.e.lynch@keele.ac.uk</w:t>
        </w:r>
      </w:hyperlink>
      <w:r w:rsidRPr="00BD6D1A">
        <w:t>; ORCID: 0000-0003-4882-6875</w:t>
      </w:r>
    </w:p>
    <w:p w14:paraId="168F508A" w14:textId="77777777" w:rsidR="00667C87" w:rsidRPr="00BD6D1A" w:rsidRDefault="00667C87"/>
    <w:p w14:paraId="1EF2A2D6" w14:textId="77777777" w:rsidR="00667C87" w:rsidRPr="00BD6D1A" w:rsidRDefault="00667C87"/>
    <w:p w14:paraId="5568928D" w14:textId="7BD3E788" w:rsidR="00FC45A6" w:rsidRPr="00BD6D1A" w:rsidRDefault="00FC45A6">
      <w:r w:rsidRPr="00BD6D1A">
        <w:br w:type="page"/>
      </w:r>
    </w:p>
    <w:p w14:paraId="30146D62" w14:textId="2E483F7A" w:rsidR="006D14DC" w:rsidRDefault="00A31940" w:rsidP="00FF1A3B">
      <w:pPr>
        <w:spacing w:line="480" w:lineRule="auto"/>
        <w:rPr>
          <w:b/>
          <w:bCs/>
        </w:rPr>
      </w:pPr>
      <w:r>
        <w:rPr>
          <w:b/>
          <w:bCs/>
        </w:rPr>
        <w:lastRenderedPageBreak/>
        <w:t xml:space="preserve"> Introductory paragraph</w:t>
      </w:r>
    </w:p>
    <w:p w14:paraId="5969F2DD" w14:textId="1EBE0453" w:rsidR="00992A9C" w:rsidRPr="00BD6D1A" w:rsidRDefault="005D6D82" w:rsidP="00FF1A3B">
      <w:pPr>
        <w:spacing w:line="480" w:lineRule="auto"/>
      </w:pPr>
      <w:r w:rsidRPr="00BD6D1A">
        <w:t xml:space="preserve">UK State Pension age is rising in response to life expectancy gains, </w:t>
      </w:r>
      <w:r w:rsidR="00992A9C" w:rsidRPr="00BD6D1A">
        <w:t>but population health and job opportunities may not be sufficient to achieve extended working lives</w:t>
      </w:r>
      <w:r w:rsidR="00117E3E">
        <w:t xml:space="preserve"> </w:t>
      </w:r>
      <w:r w:rsidR="00117E3E" w:rsidRPr="006843C7">
        <w:t>[</w:t>
      </w:r>
      <w:r w:rsidR="008F430C">
        <w:t>1-3</w:t>
      </w:r>
      <w:r w:rsidR="00117E3E" w:rsidRPr="006843C7">
        <w:t>]</w:t>
      </w:r>
      <w:r w:rsidR="00992A9C" w:rsidRPr="00BD6D1A">
        <w:t>. This study aimed to estimate future trends in health</w:t>
      </w:r>
      <w:r w:rsidR="005C0DA1" w:rsidRPr="00BD6D1A">
        <w:t>y</w:t>
      </w:r>
      <w:r w:rsidR="00992A9C" w:rsidRPr="00BD6D1A">
        <w:t xml:space="preserve"> working life expectancy </w:t>
      </w:r>
      <w:r w:rsidR="00E833BD" w:rsidRPr="00BD6D1A">
        <w:t xml:space="preserve">(HWLE) </w:t>
      </w:r>
      <w:r w:rsidR="00992A9C" w:rsidRPr="00BD6D1A">
        <w:t>from age 50</w:t>
      </w:r>
      <w:r w:rsidR="00E833BD" w:rsidRPr="00BD6D1A">
        <w:t xml:space="preserve"> to 75</w:t>
      </w:r>
      <w:r w:rsidR="00992A9C" w:rsidRPr="00BD6D1A">
        <w:t xml:space="preserve"> for men and</w:t>
      </w:r>
      <w:r w:rsidR="00FF39CA">
        <w:t xml:space="preserve"> </w:t>
      </w:r>
      <w:r w:rsidR="00992A9C" w:rsidRPr="00BD6D1A">
        <w:t>women in England.</w:t>
      </w:r>
      <w:r w:rsidR="00054240" w:rsidRPr="00BD6D1A">
        <w:t xml:space="preserve"> </w:t>
      </w:r>
      <w:r w:rsidR="004447DE" w:rsidRPr="00BD6D1A">
        <w:t xml:space="preserve">Using the ‘intercensal’ health expectancy approach, annual period HWLE from 1996 to 2014 </w:t>
      </w:r>
      <w:r w:rsidR="001332FC" w:rsidRPr="00BD6D1A">
        <w:t xml:space="preserve">was estimated </w:t>
      </w:r>
      <w:r w:rsidR="00DB08AA">
        <w:t xml:space="preserve">using </w:t>
      </w:r>
      <w:r w:rsidR="004447DE" w:rsidRPr="00BD6D1A">
        <w:t>cross-sectional Health Survey for England data and mortality statistics</w:t>
      </w:r>
      <w:r w:rsidR="00265B9E">
        <w:t xml:space="preserve"> </w:t>
      </w:r>
      <w:r w:rsidR="00265B9E" w:rsidRPr="006843C7">
        <w:t>[</w:t>
      </w:r>
      <w:r w:rsidR="008F430C">
        <w:t>4-7</w:t>
      </w:r>
      <w:r w:rsidR="00265B9E" w:rsidRPr="006843C7">
        <w:t>]</w:t>
      </w:r>
      <w:r w:rsidR="004447DE" w:rsidRPr="006843C7">
        <w:t>.</w:t>
      </w:r>
      <w:r w:rsidR="004447DE" w:rsidRPr="00BD6D1A">
        <w:t xml:space="preserve"> HWLE projections</w:t>
      </w:r>
      <w:r w:rsidR="001D631F" w:rsidRPr="00BD6D1A">
        <w:t xml:space="preserve"> until year 2035</w:t>
      </w:r>
      <w:r w:rsidR="004447DE" w:rsidRPr="00BD6D1A">
        <w:t xml:space="preserve"> were estimated from Lee-Carter forecasts of transition rates</w:t>
      </w:r>
      <w:r w:rsidR="00B90548">
        <w:t xml:space="preserve"> [</w:t>
      </w:r>
      <w:r w:rsidR="00F5573C">
        <w:t>8</w:t>
      </w:r>
      <w:r w:rsidR="00B90548">
        <w:t>]</w:t>
      </w:r>
      <w:r w:rsidR="004447DE" w:rsidRPr="00BD6D1A">
        <w:t xml:space="preserve">. </w:t>
      </w:r>
      <w:r w:rsidR="00EA05C6" w:rsidRPr="00BD6D1A">
        <w:t>Projections of life expectancy from age 50 showed gains averaging 10.</w:t>
      </w:r>
      <w:r w:rsidR="004E341A" w:rsidRPr="00BD6D1A">
        <w:t>7</w:t>
      </w:r>
      <w:r w:rsidR="00EA05C6" w:rsidRPr="00BD6D1A">
        <w:t xml:space="preserve"> weeks (0.21 years) </w:t>
      </w:r>
      <w:r w:rsidR="0023509F">
        <w:t xml:space="preserve">and 6.4 weeks (0.12 years) </w:t>
      </w:r>
      <w:r w:rsidR="00EA05C6" w:rsidRPr="00BD6D1A">
        <w:t xml:space="preserve">per calendar year </w:t>
      </w:r>
      <w:r w:rsidR="0023509F">
        <w:t xml:space="preserve">between 2015 and 2035 </w:t>
      </w:r>
      <w:r w:rsidR="00EA05C6" w:rsidRPr="00BD6D1A">
        <w:t xml:space="preserve">for </w:t>
      </w:r>
      <w:r w:rsidR="0023509F">
        <w:t xml:space="preserve">men and </w:t>
      </w:r>
      <w:r w:rsidR="00EA05C6" w:rsidRPr="00BD6D1A">
        <w:t xml:space="preserve">women </w:t>
      </w:r>
      <w:r w:rsidR="0023509F">
        <w:t>respectively</w:t>
      </w:r>
      <w:r w:rsidR="00EA05C6" w:rsidRPr="00BD6D1A">
        <w:t xml:space="preserve">. </w:t>
      </w:r>
      <w:r w:rsidR="001332FC" w:rsidRPr="00BD6D1A">
        <w:t>HWLE has been extending</w:t>
      </w:r>
      <w:r w:rsidR="001D631F" w:rsidRPr="00BD6D1A">
        <w:t xml:space="preserve"> in England but gains</w:t>
      </w:r>
      <w:r w:rsidR="001332FC" w:rsidRPr="00BD6D1A">
        <w:t xml:space="preserve"> are projected to slow to an average of one week per year for men (0.02 years) and 2.8 weeks </w:t>
      </w:r>
      <w:r w:rsidR="00E463E0">
        <w:t xml:space="preserve">(0.5 years) </w:t>
      </w:r>
      <w:r w:rsidR="001332FC" w:rsidRPr="00BD6D1A">
        <w:t xml:space="preserve">per year for women </w:t>
      </w:r>
      <w:r w:rsidR="00EA05C6" w:rsidRPr="00BD6D1A">
        <w:t>between 2015 and 2035.</w:t>
      </w:r>
      <w:r w:rsidR="00054240" w:rsidRPr="00BD6D1A">
        <w:t xml:space="preserve"> </w:t>
      </w:r>
      <w:r w:rsidR="001332FC" w:rsidRPr="00BD6D1A">
        <w:t xml:space="preserve">Modest projected HWLE gains and </w:t>
      </w:r>
      <w:bookmarkStart w:id="1" w:name="_Hlk71209623"/>
      <w:r w:rsidR="001332FC" w:rsidRPr="00BD6D1A">
        <w:t xml:space="preserve">the widening gap between HWLE and life expectancy from age 50 suggest that </w:t>
      </w:r>
      <w:r w:rsidR="001D631F" w:rsidRPr="00BD6D1A">
        <w:t>working lives are not extending in line with policy goals</w:t>
      </w:r>
      <w:r w:rsidR="001332FC" w:rsidRPr="00BD6D1A">
        <w:t xml:space="preserve">. </w:t>
      </w:r>
      <w:bookmarkEnd w:id="1"/>
      <w:r w:rsidR="001332FC" w:rsidRPr="00BD6D1A">
        <w:t>Further research should i</w:t>
      </w:r>
      <w:r w:rsidR="00E463E0">
        <w:t xml:space="preserve">dentify </w:t>
      </w:r>
      <w:r w:rsidR="001D631F" w:rsidRPr="00BD6D1A">
        <w:t xml:space="preserve">factors that </w:t>
      </w:r>
      <w:r w:rsidR="00E463E0">
        <w:t xml:space="preserve">increase </w:t>
      </w:r>
      <w:r w:rsidR="001D631F" w:rsidRPr="00BD6D1A">
        <w:t xml:space="preserve">healthy working </w:t>
      </w:r>
      <w:r w:rsidR="001332FC" w:rsidRPr="00BD6D1A">
        <w:t>life.</w:t>
      </w:r>
    </w:p>
    <w:p w14:paraId="70BDCAF2" w14:textId="3C1F8F7D" w:rsidR="00496BB5" w:rsidRDefault="00496BB5" w:rsidP="00FF1A3B">
      <w:pPr>
        <w:spacing w:line="480" w:lineRule="auto"/>
        <w:rPr>
          <w:b/>
          <w:bCs/>
        </w:rPr>
      </w:pPr>
      <w:r>
        <w:rPr>
          <w:b/>
          <w:bCs/>
        </w:rPr>
        <w:t>Main text</w:t>
      </w:r>
    </w:p>
    <w:p w14:paraId="2EA86BD0" w14:textId="3D7947A1" w:rsidR="00FC45A6" w:rsidRPr="00BD6D1A" w:rsidRDefault="00FC45A6" w:rsidP="00FF1A3B">
      <w:pPr>
        <w:spacing w:line="480" w:lineRule="auto"/>
        <w:rPr>
          <w:b/>
          <w:bCs/>
        </w:rPr>
      </w:pPr>
      <w:r w:rsidRPr="00BD6D1A">
        <w:rPr>
          <w:b/>
          <w:bCs/>
        </w:rPr>
        <w:t>Introduction</w:t>
      </w:r>
    </w:p>
    <w:p w14:paraId="5016EA2F" w14:textId="4392FADC" w:rsidR="00E06F3D" w:rsidRDefault="004B12B4" w:rsidP="00196109">
      <w:pPr>
        <w:spacing w:line="480" w:lineRule="auto"/>
      </w:pPr>
      <w:r w:rsidRPr="00BD6D1A">
        <w:t>P</w:t>
      </w:r>
      <w:r w:rsidR="00D97DD0" w:rsidRPr="00BD6D1A">
        <w:t xml:space="preserve">opulation ageing and </w:t>
      </w:r>
      <w:r w:rsidRPr="00BD6D1A">
        <w:t>further expected increases in life expectancy have led m</w:t>
      </w:r>
      <w:r w:rsidR="00D97DD0" w:rsidRPr="00BD6D1A">
        <w:t xml:space="preserve">any countries </w:t>
      </w:r>
      <w:r w:rsidRPr="00BD6D1A">
        <w:t xml:space="preserve">to </w:t>
      </w:r>
      <w:r w:rsidR="00D97DD0" w:rsidRPr="00BD6D1A">
        <w:t xml:space="preserve">seek to </w:t>
      </w:r>
      <w:r w:rsidR="0027770D" w:rsidRPr="00BD6D1A">
        <w:t>extend working liv</w:t>
      </w:r>
      <w:r w:rsidRPr="00BD6D1A">
        <w:t xml:space="preserve">es by increasing </w:t>
      </w:r>
      <w:r w:rsidR="001B4F24" w:rsidRPr="00BD6D1A">
        <w:t xml:space="preserve">State Pension </w:t>
      </w:r>
      <w:r w:rsidRPr="00BD6D1A">
        <w:t>age</w:t>
      </w:r>
      <w:r w:rsidR="007101CA" w:rsidRPr="00BD6D1A">
        <w:t xml:space="preserve"> [</w:t>
      </w:r>
      <w:r w:rsidR="00F5573C">
        <w:t>1,9</w:t>
      </w:r>
      <w:r w:rsidR="00155C0E" w:rsidRPr="00BD6D1A">
        <w:t>]</w:t>
      </w:r>
      <w:r w:rsidR="007B7D53" w:rsidRPr="00BD6D1A">
        <w:t>. F</w:t>
      </w:r>
      <w:r w:rsidRPr="00BD6D1A">
        <w:t>or example,</w:t>
      </w:r>
      <w:r w:rsidR="00D97DD0" w:rsidRPr="00BD6D1A">
        <w:t xml:space="preserve"> France, Germany, and Spain will increase the State Pension age to 67 years between 2023 and 2029</w:t>
      </w:r>
      <w:r w:rsidRPr="00BD6D1A">
        <w:t xml:space="preserve">, </w:t>
      </w:r>
      <w:r w:rsidR="007B7D53" w:rsidRPr="00BD6D1A">
        <w:t xml:space="preserve">and </w:t>
      </w:r>
      <w:r w:rsidRPr="00BD6D1A">
        <w:t>the United Kingdom</w:t>
      </w:r>
      <w:r w:rsidR="007B7D53" w:rsidRPr="00BD6D1A">
        <w:t xml:space="preserve">’s </w:t>
      </w:r>
      <w:r w:rsidR="00F87465" w:rsidRPr="00BD6D1A">
        <w:t xml:space="preserve">State Pension age </w:t>
      </w:r>
      <w:r w:rsidRPr="00BD6D1A">
        <w:t xml:space="preserve">will </w:t>
      </w:r>
      <w:r w:rsidR="00F87465" w:rsidRPr="00BD6D1A">
        <w:t>increase to 67 by the end of 2028</w:t>
      </w:r>
      <w:r w:rsidRPr="00BD6D1A">
        <w:t xml:space="preserve"> with further </w:t>
      </w:r>
      <w:r w:rsidR="00F87465" w:rsidRPr="00BD6D1A">
        <w:t xml:space="preserve">increases to 68 expected to be brought forward to 2037-2039 </w:t>
      </w:r>
      <w:r w:rsidR="007101CA" w:rsidRPr="00BD6D1A">
        <w:t>[</w:t>
      </w:r>
      <w:r w:rsidR="00F5573C">
        <w:t>1,9</w:t>
      </w:r>
      <w:r w:rsidR="007101CA" w:rsidRPr="00BD6D1A">
        <w:t>]</w:t>
      </w:r>
      <w:r w:rsidR="00F87465" w:rsidRPr="00BD6D1A">
        <w:t>.</w:t>
      </w:r>
      <w:r w:rsidR="006369C5" w:rsidRPr="00BD6D1A">
        <w:t xml:space="preserve"> </w:t>
      </w:r>
      <w:r w:rsidRPr="00BD6D1A">
        <w:t>A</w:t>
      </w:r>
      <w:r w:rsidR="008D4F64" w:rsidRPr="00BD6D1A">
        <w:t>chieving policy objectives to extend later working live</w:t>
      </w:r>
      <w:r w:rsidRPr="00BD6D1A">
        <w:t>s</w:t>
      </w:r>
      <w:r w:rsidR="008D4F64" w:rsidRPr="00BD6D1A">
        <w:t xml:space="preserve"> requires </w:t>
      </w:r>
      <w:r w:rsidR="00B426C2" w:rsidRPr="00BD6D1A">
        <w:t xml:space="preserve">a </w:t>
      </w:r>
      <w:r w:rsidRPr="00BD6D1A">
        <w:t xml:space="preserve">sufficient </w:t>
      </w:r>
      <w:r w:rsidR="00B426C2" w:rsidRPr="00BD6D1A">
        <w:t>proportion</w:t>
      </w:r>
      <w:r w:rsidRPr="00BD6D1A">
        <w:t xml:space="preserve"> of </w:t>
      </w:r>
      <w:r w:rsidR="008D4F64" w:rsidRPr="00BD6D1A">
        <w:t xml:space="preserve">people in the population </w:t>
      </w:r>
      <w:r w:rsidRPr="00BD6D1A">
        <w:t xml:space="preserve">to be </w:t>
      </w:r>
      <w:r w:rsidR="008D4F64" w:rsidRPr="00BD6D1A">
        <w:t>able to work for longer</w:t>
      </w:r>
      <w:r w:rsidRPr="00BD6D1A">
        <w:t xml:space="preserve">, along with appropriate </w:t>
      </w:r>
      <w:r w:rsidR="008D4F64" w:rsidRPr="00BD6D1A">
        <w:t xml:space="preserve">job opportunities. </w:t>
      </w:r>
      <w:r w:rsidR="00726544" w:rsidRPr="00BD6D1A">
        <w:t xml:space="preserve">Poor </w:t>
      </w:r>
      <w:r w:rsidR="0027770D" w:rsidRPr="00BD6D1A">
        <w:t xml:space="preserve">physical and mental </w:t>
      </w:r>
      <w:r w:rsidR="00726544" w:rsidRPr="00BD6D1A">
        <w:t>health</w:t>
      </w:r>
      <w:r w:rsidR="00A10F94" w:rsidRPr="00BD6D1A">
        <w:t xml:space="preserve"> as well as</w:t>
      </w:r>
      <w:r w:rsidR="0027770D" w:rsidRPr="00BD6D1A">
        <w:t xml:space="preserve"> employment levels, job opportunities</w:t>
      </w:r>
      <w:r w:rsidR="001B4F24" w:rsidRPr="00BD6D1A">
        <w:t>,</w:t>
      </w:r>
      <w:r w:rsidR="0027770D" w:rsidRPr="00BD6D1A">
        <w:t xml:space="preserve"> and the workplace environment are </w:t>
      </w:r>
      <w:r w:rsidR="00A10F94" w:rsidRPr="00BD6D1A">
        <w:t>key</w:t>
      </w:r>
      <w:r w:rsidR="0027770D" w:rsidRPr="00BD6D1A">
        <w:t xml:space="preserve"> reasons for</w:t>
      </w:r>
      <w:r w:rsidR="00726544" w:rsidRPr="00BD6D1A">
        <w:t xml:space="preserve"> early departure from the workforce</w:t>
      </w:r>
      <w:r w:rsidR="001B4F24" w:rsidRPr="00BD6D1A">
        <w:t xml:space="preserve"> - </w:t>
      </w:r>
      <w:r w:rsidR="0027770D" w:rsidRPr="00BD6D1A">
        <w:t xml:space="preserve">particularly </w:t>
      </w:r>
      <w:r w:rsidR="00A10F94" w:rsidRPr="00BD6D1A">
        <w:t xml:space="preserve">in adults aged </w:t>
      </w:r>
      <w:r w:rsidR="00726544" w:rsidRPr="00BD6D1A">
        <w:t>5</w:t>
      </w:r>
      <w:r w:rsidR="00A10F94" w:rsidRPr="00BD6D1A">
        <w:t>0 and over</w:t>
      </w:r>
      <w:r w:rsidR="007101CA" w:rsidRPr="00BD6D1A">
        <w:t xml:space="preserve"> [</w:t>
      </w:r>
      <w:r w:rsidR="004E5ED0">
        <w:t>2,10-12</w:t>
      </w:r>
      <w:r w:rsidR="007101CA" w:rsidRPr="00BD6D1A">
        <w:t>]</w:t>
      </w:r>
      <w:r w:rsidR="00726544" w:rsidRPr="00BD6D1A">
        <w:t xml:space="preserve">. </w:t>
      </w:r>
      <w:r w:rsidR="00804BCD">
        <w:t xml:space="preserve">Socio-demographic </w:t>
      </w:r>
      <w:r w:rsidR="00804BCD">
        <w:lastRenderedPageBreak/>
        <w:t>factors</w:t>
      </w:r>
      <w:r w:rsidR="009F5E48">
        <w:t xml:space="preserve"> are</w:t>
      </w:r>
      <w:r w:rsidR="00804BCD">
        <w:t xml:space="preserve"> also linked to health and work outcomes; d</w:t>
      </w:r>
      <w:r w:rsidR="00C85606">
        <w:t>eprivation and lower educational attainment are associated with more health problems and lower levels of work [</w:t>
      </w:r>
      <w:r w:rsidR="004E5ED0">
        <w:t>3,</w:t>
      </w:r>
      <w:r w:rsidR="00155EA0">
        <w:t>10,</w:t>
      </w:r>
      <w:r w:rsidR="004E5ED0">
        <w:t>13</w:t>
      </w:r>
      <w:r w:rsidR="00136FE7">
        <w:t>,</w:t>
      </w:r>
      <w:r w:rsidR="00155EA0">
        <w:t>14</w:t>
      </w:r>
      <w:r w:rsidR="00C85606">
        <w:t>].</w:t>
      </w:r>
      <w:r w:rsidR="00136FE7">
        <w:t xml:space="preserve"> </w:t>
      </w:r>
      <w:r w:rsidR="00804BCD">
        <w:t>S</w:t>
      </w:r>
      <w:r w:rsidR="00E06F3D">
        <w:t xml:space="preserve">ex and gender </w:t>
      </w:r>
      <w:r w:rsidR="00E463E0">
        <w:t>are associated with</w:t>
      </w:r>
      <w:r w:rsidR="0088480F">
        <w:t xml:space="preserve"> </w:t>
      </w:r>
      <w:r w:rsidR="00080E13">
        <w:t xml:space="preserve">social, economic, and biological </w:t>
      </w:r>
      <w:r w:rsidR="0088480F">
        <w:t>d</w:t>
      </w:r>
      <w:r w:rsidR="0088480F" w:rsidRPr="0088480F">
        <w:t xml:space="preserve">eterminants and </w:t>
      </w:r>
      <w:r w:rsidR="0088480F">
        <w:t>c</w:t>
      </w:r>
      <w:r w:rsidR="0088480F" w:rsidRPr="0088480F">
        <w:t xml:space="preserve">onsequences of </w:t>
      </w:r>
      <w:r w:rsidR="0088480F">
        <w:t>h</w:t>
      </w:r>
      <w:r w:rsidR="0088480F" w:rsidRPr="0088480F">
        <w:t xml:space="preserve">ealth and </w:t>
      </w:r>
      <w:r w:rsidR="0088480F">
        <w:t>i</w:t>
      </w:r>
      <w:r w:rsidR="0088480F" w:rsidRPr="0088480F">
        <w:t>llness</w:t>
      </w:r>
      <w:r w:rsidR="00080E13">
        <w:t xml:space="preserve"> [</w:t>
      </w:r>
      <w:r w:rsidR="00155EA0">
        <w:t>15,16</w:t>
      </w:r>
      <w:r w:rsidR="003E7B27">
        <w:t>]</w:t>
      </w:r>
      <w:r w:rsidR="001F7F7A">
        <w:t>.</w:t>
      </w:r>
    </w:p>
    <w:p w14:paraId="5177C311" w14:textId="296DD348" w:rsidR="00A66AA1" w:rsidRPr="00BD6D1A" w:rsidRDefault="00A66AA1" w:rsidP="00FF1A3B">
      <w:pPr>
        <w:spacing w:line="480" w:lineRule="auto"/>
      </w:pPr>
      <w:r w:rsidRPr="00BD6D1A">
        <w:t>The links between health and work highlight the need to maintain a healthy workforce if policy changes to extend working lives are to be realised.</w:t>
      </w:r>
      <w:r w:rsidR="003D41D0" w:rsidRPr="00BD6D1A">
        <w:t xml:space="preserve"> H</w:t>
      </w:r>
      <w:r w:rsidR="00F31422" w:rsidRPr="00BD6D1A">
        <w:t xml:space="preserve">ealthy working life expectancy (HWLE), </w:t>
      </w:r>
      <w:r w:rsidR="003D41D0" w:rsidRPr="00BD6D1A">
        <w:t>which</w:t>
      </w:r>
      <w:r w:rsidR="00F31422" w:rsidRPr="00BD6D1A">
        <w:t xml:space="preserve"> is the average number of years from aged 50 that people can expect to be healthy and in work, is </w:t>
      </w:r>
      <w:r w:rsidRPr="00BD6D1A">
        <w:t>fewer than ten years</w:t>
      </w:r>
      <w:r w:rsidR="00F31422" w:rsidRPr="00BD6D1A">
        <w:t xml:space="preserve"> </w:t>
      </w:r>
      <w:r w:rsidR="003D41D0" w:rsidRPr="00BD6D1A">
        <w:t>in England</w:t>
      </w:r>
      <w:r w:rsidR="007101CA" w:rsidRPr="00BD6D1A">
        <w:t xml:space="preserve"> [</w:t>
      </w:r>
      <w:r w:rsidR="009F5E48">
        <w:t>3,</w:t>
      </w:r>
      <w:r w:rsidR="004E1A32">
        <w:t>17,18</w:t>
      </w:r>
      <w:r w:rsidR="007101CA" w:rsidRPr="00BD6D1A">
        <w:t>]</w:t>
      </w:r>
      <w:r w:rsidRPr="00BD6D1A">
        <w:t xml:space="preserve">. Life expectancy gains may not translate to increasing </w:t>
      </w:r>
      <w:r w:rsidR="00F31422" w:rsidRPr="00BD6D1A">
        <w:t>HWLE</w:t>
      </w:r>
      <w:r w:rsidRPr="00BD6D1A">
        <w:t xml:space="preserve"> </w:t>
      </w:r>
      <w:r w:rsidR="007101CA" w:rsidRPr="00BD6D1A">
        <w:t>[</w:t>
      </w:r>
      <w:r w:rsidR="004E1A32">
        <w:t>3,17,18</w:t>
      </w:r>
      <w:r w:rsidR="007101CA" w:rsidRPr="00BD6D1A">
        <w:t>]</w:t>
      </w:r>
      <w:r w:rsidR="009A2796" w:rsidRPr="00BD6D1A">
        <w:t xml:space="preserve"> </w:t>
      </w:r>
      <w:r w:rsidRPr="00BD6D1A">
        <w:t xml:space="preserve">as </w:t>
      </w:r>
      <w:r w:rsidR="00F31422" w:rsidRPr="00BD6D1A">
        <w:t>t</w:t>
      </w:r>
      <w:r w:rsidRPr="00BD6D1A">
        <w:t xml:space="preserve">here is no consistent correlation between mortality rates and populations’ burdens of poor health </w:t>
      </w:r>
      <w:r w:rsidR="007101CA" w:rsidRPr="00BD6D1A">
        <w:t>[</w:t>
      </w:r>
      <w:r w:rsidR="004E1A32">
        <w:t>19</w:t>
      </w:r>
      <w:r w:rsidR="007101CA" w:rsidRPr="00BD6D1A">
        <w:t>]</w:t>
      </w:r>
      <w:r w:rsidRPr="00BD6D1A">
        <w:t xml:space="preserve">. </w:t>
      </w:r>
      <w:r w:rsidR="00173244" w:rsidRPr="00BD6D1A">
        <w:t xml:space="preserve">Social inequalities in Disability Free Life Expectancy are growing in the UK and average gains in Healthy Life Years are lagging behind the rest of Europe </w:t>
      </w:r>
      <w:r w:rsidR="007101CA" w:rsidRPr="00BD6D1A">
        <w:t>[</w:t>
      </w:r>
      <w:r w:rsidR="004E1A32">
        <w:t>20,21</w:t>
      </w:r>
      <w:r w:rsidR="007101CA" w:rsidRPr="00BD6D1A">
        <w:t>]</w:t>
      </w:r>
      <w:r w:rsidR="009A2796" w:rsidRPr="00BD6D1A">
        <w:t>.</w:t>
      </w:r>
    </w:p>
    <w:p w14:paraId="6CE7C053" w14:textId="628097DD" w:rsidR="00C65F30" w:rsidRDefault="00A66AA1" w:rsidP="00FF1A3B">
      <w:pPr>
        <w:spacing w:line="480" w:lineRule="auto"/>
      </w:pPr>
      <w:r w:rsidRPr="00BD6D1A">
        <w:t>How HWLE might change in the coming years</w:t>
      </w:r>
      <w:r w:rsidR="005C0DA1" w:rsidRPr="00BD6D1A">
        <w:t>,</w:t>
      </w:r>
      <w:r w:rsidRPr="00BD6D1A">
        <w:t xml:space="preserve"> as</w:t>
      </w:r>
      <w:r w:rsidR="00F31422" w:rsidRPr="00BD6D1A">
        <w:t xml:space="preserve"> </w:t>
      </w:r>
      <w:r w:rsidR="00E5798C" w:rsidRPr="00BD6D1A">
        <w:t>S</w:t>
      </w:r>
      <w:r w:rsidR="00F31422" w:rsidRPr="00BD6D1A">
        <w:t xml:space="preserve">tate </w:t>
      </w:r>
      <w:r w:rsidR="00E5798C" w:rsidRPr="00BD6D1A">
        <w:t>P</w:t>
      </w:r>
      <w:r w:rsidR="00F31422" w:rsidRPr="00BD6D1A">
        <w:t>ension</w:t>
      </w:r>
      <w:r w:rsidR="00E5798C" w:rsidRPr="00BD6D1A">
        <w:t xml:space="preserve"> age</w:t>
      </w:r>
      <w:r w:rsidRPr="00BD6D1A">
        <w:t xml:space="preserve"> continues to rise</w:t>
      </w:r>
      <w:r w:rsidR="005C0DA1" w:rsidRPr="00BD6D1A">
        <w:t>,</w:t>
      </w:r>
      <w:r w:rsidRPr="00BD6D1A">
        <w:t xml:space="preserve"> is unknown. If State Pension age rises but HWLE gains do not keep pace, individuals (especially those with chronic health problems) may increasingly face challenges securing suitable employment or engaging productively and healthily at work, to the detriment of their health and wellbeing and that of their families </w:t>
      </w:r>
      <w:r w:rsidR="007101CA" w:rsidRPr="00BD6D1A">
        <w:t>[</w:t>
      </w:r>
      <w:r w:rsidR="004E1A32">
        <w:t>22-26</w:t>
      </w:r>
      <w:r w:rsidR="009A2796" w:rsidRPr="00BD6D1A">
        <w:t>]</w:t>
      </w:r>
      <w:r w:rsidRPr="00BD6D1A">
        <w:t xml:space="preserve">. </w:t>
      </w:r>
    </w:p>
    <w:p w14:paraId="39CFC4E9" w14:textId="25162DD6" w:rsidR="009D3AB2" w:rsidRPr="00BD6D1A" w:rsidRDefault="00793EDB" w:rsidP="00FF1A3B">
      <w:pPr>
        <w:spacing w:line="480" w:lineRule="auto"/>
      </w:pPr>
      <w:r w:rsidRPr="00BD6D1A">
        <w:t>The aim of this study</w:t>
      </w:r>
      <w:r w:rsidR="007B7D53" w:rsidRPr="00BD6D1A">
        <w:t xml:space="preserve"> was</w:t>
      </w:r>
      <w:r w:rsidRPr="00BD6D1A">
        <w:t xml:space="preserve"> to investigate </w:t>
      </w:r>
      <w:r w:rsidR="00BC49D8" w:rsidRPr="00BD6D1A">
        <w:t>p</w:t>
      </w:r>
      <w:r w:rsidR="005C0DA1" w:rsidRPr="00BD6D1A">
        <w:t>ast</w:t>
      </w:r>
      <w:r w:rsidR="00BC49D8" w:rsidRPr="00BD6D1A">
        <w:t xml:space="preserve"> and </w:t>
      </w:r>
      <w:r w:rsidRPr="00BD6D1A">
        <w:t xml:space="preserve">expected future HWLE trends for men and women in England by projecting HWLE to the year 2035. </w:t>
      </w:r>
      <w:r w:rsidR="00764332">
        <w:t>Achieving this</w:t>
      </w:r>
      <w:r w:rsidR="00A66AA1" w:rsidRPr="00BD6D1A">
        <w:t xml:space="preserve"> depends on the availability of health and work survey data for adults aged 50 years and above</w:t>
      </w:r>
      <w:r w:rsidR="00764332">
        <w:t>, and</w:t>
      </w:r>
      <w:r w:rsidR="00A66AA1" w:rsidRPr="00BD6D1A">
        <w:t xml:space="preserve">the feasibility of applying projection and health expectancy methods. The approach presented in this paper </w:t>
      </w:r>
      <w:r w:rsidR="00764332">
        <w:t>applies</w:t>
      </w:r>
      <w:r w:rsidR="00A66AA1" w:rsidRPr="00BD6D1A">
        <w:t xml:space="preserve"> standard demographic forecasting methods to project HWLE using annual cross-sectional data</w:t>
      </w:r>
      <w:r w:rsidR="00EA05C6" w:rsidRPr="00BD6D1A">
        <w:t xml:space="preserve"> </w:t>
      </w:r>
      <w:r w:rsidR="00A66AA1" w:rsidRPr="00BD6D1A">
        <w:t>on the age-specific prevalence of being healthy and working</w:t>
      </w:r>
      <w:r w:rsidR="00F56F08" w:rsidRPr="00BD6D1A">
        <w:t xml:space="preserve"> from the Health Survey for England (HSE)</w:t>
      </w:r>
      <w:r w:rsidR="00A66AA1" w:rsidRPr="00BD6D1A">
        <w:t xml:space="preserve">. </w:t>
      </w:r>
      <w:r w:rsidR="009D3AB2" w:rsidRPr="00BD6D1A">
        <w:br w:type="page"/>
      </w:r>
    </w:p>
    <w:p w14:paraId="3BFCA704" w14:textId="1D9ECA64" w:rsidR="00F55C00" w:rsidRPr="00BD6D1A" w:rsidRDefault="00F55C00" w:rsidP="00FF1A3B">
      <w:pPr>
        <w:spacing w:line="480" w:lineRule="auto"/>
        <w:rPr>
          <w:b/>
          <w:bCs/>
        </w:rPr>
      </w:pPr>
      <w:r w:rsidRPr="00BD6D1A">
        <w:rPr>
          <w:b/>
          <w:bCs/>
        </w:rPr>
        <w:lastRenderedPageBreak/>
        <w:t>Results</w:t>
      </w:r>
    </w:p>
    <w:p w14:paraId="5F929E85" w14:textId="762D6149" w:rsidR="00DE744C" w:rsidRDefault="0012284A" w:rsidP="00FF1A3B">
      <w:pPr>
        <w:spacing w:line="480" w:lineRule="auto"/>
      </w:pPr>
      <w:r>
        <w:t xml:space="preserve">Forecasts of HWLE (from age 50 to end of life) and life expectancy were based on </w:t>
      </w:r>
      <w:r w:rsidR="00E47646">
        <w:t xml:space="preserve">mortality rates </w:t>
      </w:r>
      <w:r w:rsidR="00307326">
        <w:t>from 1996-</w:t>
      </w:r>
      <w:r w:rsidR="00E47646">
        <w:t xml:space="preserve">2018 from national mortality statistics and </w:t>
      </w:r>
      <w:r w:rsidR="00E47646" w:rsidRPr="00BD6D1A">
        <w:t>rates of health (absence of long-standing limiting illness) and work participation from 1996-2014 estimated from HSE data</w:t>
      </w:r>
      <w:r w:rsidR="00307326">
        <w:t>.</w:t>
      </w:r>
      <w:r w:rsidR="00840110">
        <w:t xml:space="preserve"> </w:t>
      </w:r>
      <w:r w:rsidR="005B131F" w:rsidRPr="00BD6D1A">
        <w:t>Because of low rates of health and work participation in the HSE data beyond age 75 during the study period, feasibility of the analyses required the assumption that rates of both health and work participation in adults aged over 75 was negligible.</w:t>
      </w:r>
      <w:r w:rsidR="005B131F">
        <w:t xml:space="preserve"> </w:t>
      </w:r>
      <w:r w:rsidR="00414A32">
        <w:t xml:space="preserve">Although </w:t>
      </w:r>
      <w:r w:rsidR="00840110">
        <w:t xml:space="preserve">HSE data </w:t>
      </w:r>
      <w:r w:rsidR="002D782F">
        <w:t xml:space="preserve">are not available by individual year of age after 2014, data </w:t>
      </w:r>
      <w:r w:rsidR="00414A32">
        <w:t xml:space="preserve">up to 2018 </w:t>
      </w:r>
      <w:r w:rsidR="002D782F">
        <w:t>could be</w:t>
      </w:r>
      <w:r w:rsidR="00840110">
        <w:t xml:space="preserve"> included in a sensitivity analysis using the Sullivan method</w:t>
      </w:r>
      <w:r w:rsidR="002D782F">
        <w:t>.</w:t>
      </w:r>
    </w:p>
    <w:p w14:paraId="60348987" w14:textId="309DD18D" w:rsidR="001C6508" w:rsidRPr="00BD6D1A" w:rsidRDefault="001C6508" w:rsidP="00FF1A3B">
      <w:pPr>
        <w:spacing w:line="480" w:lineRule="auto"/>
      </w:pPr>
      <w:r w:rsidRPr="00BD6D1A">
        <w:t>L</w:t>
      </w:r>
      <w:r w:rsidR="00054240" w:rsidRPr="00BD6D1A">
        <w:t>ife expectancy</w:t>
      </w:r>
      <w:r w:rsidRPr="00BD6D1A">
        <w:t xml:space="preserve"> projections</w:t>
      </w:r>
    </w:p>
    <w:p w14:paraId="7775231E" w14:textId="00F119B5" w:rsidR="000978AB" w:rsidRPr="00BD6D1A" w:rsidRDefault="001C6508" w:rsidP="00FF1A3B">
      <w:pPr>
        <w:spacing w:line="480" w:lineRule="auto"/>
      </w:pPr>
      <w:r w:rsidRPr="00BD6D1A">
        <w:t xml:space="preserve">Life expectancy (LE) from age 50 </w:t>
      </w:r>
      <w:r w:rsidR="00E5798C" w:rsidRPr="00BD6D1A">
        <w:t xml:space="preserve">for men </w:t>
      </w:r>
      <w:r w:rsidRPr="00BD6D1A">
        <w:t xml:space="preserve">was 26.20 years in 1996, 30.60 years in 2015 (the </w:t>
      </w:r>
      <w:r w:rsidR="005C47BD" w:rsidRPr="00BD6D1A">
        <w:t>first year of HWLE projections)</w:t>
      </w:r>
      <w:r w:rsidRPr="00BD6D1A">
        <w:t>, and 31.60 years from age 50 in 2018 (the most recent year with observed mortality data) (</w:t>
      </w:r>
      <w:r w:rsidR="00EB420A" w:rsidRPr="00BD6D1A">
        <w:t xml:space="preserve">table 1, supplementary </w:t>
      </w:r>
      <w:r w:rsidR="0087662F" w:rsidRPr="00BD6D1A">
        <w:t>table 1</w:t>
      </w:r>
      <w:r w:rsidRPr="00BD6D1A">
        <w:t xml:space="preserve">). LE </w:t>
      </w:r>
      <w:r w:rsidR="00E5798C" w:rsidRPr="00BD6D1A">
        <w:t xml:space="preserve">from age 50 </w:t>
      </w:r>
      <w:r w:rsidRPr="00BD6D1A">
        <w:t>for men was projected</w:t>
      </w:r>
      <w:r w:rsidR="00E5798C" w:rsidRPr="00BD6D1A">
        <w:t xml:space="preserve"> as</w:t>
      </w:r>
      <w:r w:rsidRPr="00BD6D1A">
        <w:t xml:space="preserve"> 31.97 </w:t>
      </w:r>
      <w:r w:rsidR="00F56F08" w:rsidRPr="00BD6D1A">
        <w:t>(95% confidence interval [</w:t>
      </w:r>
      <w:r w:rsidR="005C47BD" w:rsidRPr="00BD6D1A">
        <w:t>31.71, 32.22</w:t>
      </w:r>
      <w:r w:rsidR="00F56F08" w:rsidRPr="00BD6D1A">
        <w:t>]</w:t>
      </w:r>
      <w:r w:rsidR="005C47BD" w:rsidRPr="00BD6D1A">
        <w:t>) years in 2020</w:t>
      </w:r>
      <w:r w:rsidRPr="00BD6D1A">
        <w:t>and 34.70 (33.75,</w:t>
      </w:r>
      <w:r w:rsidR="00AE63C8" w:rsidRPr="00BD6D1A">
        <w:t xml:space="preserve"> </w:t>
      </w:r>
      <w:r w:rsidRPr="00BD6D1A">
        <w:t xml:space="preserve">35.56) years in 2035. </w:t>
      </w:r>
      <w:r w:rsidR="00BC32C8" w:rsidRPr="00BD6D1A">
        <w:t>Projected LE for men in 2035 was</w:t>
      </w:r>
      <w:r w:rsidR="006D17E5" w:rsidRPr="00BD6D1A">
        <w:t xml:space="preserve"> 1.20 years</w:t>
      </w:r>
      <w:r w:rsidR="00BC32C8" w:rsidRPr="00BD6D1A">
        <w:t xml:space="preserve"> higher than the ONS 2018-based estimate of 33.5 years from age 50.</w:t>
      </w:r>
    </w:p>
    <w:p w14:paraId="6CC4AD3A" w14:textId="71030D95" w:rsidR="000978AB" w:rsidRPr="00BD6D1A" w:rsidRDefault="000978AB" w:rsidP="00FF1A3B">
      <w:pPr>
        <w:spacing w:line="480" w:lineRule="auto"/>
      </w:pPr>
      <w:r w:rsidRPr="00BD6D1A">
        <w:t xml:space="preserve">LE from age 50 </w:t>
      </w:r>
      <w:r w:rsidR="00E5798C" w:rsidRPr="00BD6D1A">
        <w:t xml:space="preserve">for women </w:t>
      </w:r>
      <w:r w:rsidRPr="00BD6D1A">
        <w:t>was 30.39 years in 1996, 33.65 years in 2015, and 34.51 years in 2018 (</w:t>
      </w:r>
      <w:r w:rsidR="0087662F" w:rsidRPr="00BD6D1A">
        <w:t>table 2</w:t>
      </w:r>
      <w:r w:rsidR="00EB420A" w:rsidRPr="00BD6D1A">
        <w:t>, supplementary table 2</w:t>
      </w:r>
      <w:r w:rsidRPr="00BD6D1A">
        <w:t xml:space="preserve">). LE </w:t>
      </w:r>
      <w:r w:rsidR="00E5798C" w:rsidRPr="00BD6D1A">
        <w:t xml:space="preserve">from age 50 </w:t>
      </w:r>
      <w:r w:rsidRPr="00BD6D1A">
        <w:t>for women was projected as 34.79 (34.51,</w:t>
      </w:r>
      <w:r w:rsidR="00AE63C8" w:rsidRPr="00BD6D1A">
        <w:t xml:space="preserve"> </w:t>
      </w:r>
      <w:r w:rsidRPr="00BD6D1A">
        <w:t>35.08) years in 2020 and 36.72 (35.69,</w:t>
      </w:r>
      <w:r w:rsidR="00AE63C8" w:rsidRPr="00BD6D1A">
        <w:t xml:space="preserve"> </w:t>
      </w:r>
      <w:r w:rsidRPr="00BD6D1A">
        <w:t>37.70) years in 2035.</w:t>
      </w:r>
      <w:r w:rsidR="006D17E5" w:rsidRPr="00BD6D1A">
        <w:t xml:space="preserve">  The projected LE point estimate for women in 2035 was 0.72 years higher than the ONS 2018-based estimate of 36.0 years from age 50.</w:t>
      </w:r>
    </w:p>
    <w:p w14:paraId="4D340580" w14:textId="77777777" w:rsidR="005C47BD" w:rsidRPr="00BD6D1A" w:rsidRDefault="005C47BD" w:rsidP="00FF1A3B">
      <w:pPr>
        <w:spacing w:line="480" w:lineRule="auto"/>
      </w:pPr>
    </w:p>
    <w:p w14:paraId="5FC3D8E3" w14:textId="77777777" w:rsidR="005C47BD" w:rsidRPr="00BD6D1A" w:rsidRDefault="005C47BD" w:rsidP="00FF1A3B">
      <w:pPr>
        <w:spacing w:line="480" w:lineRule="auto"/>
      </w:pPr>
      <w:r w:rsidRPr="00BD6D1A">
        <w:t>HWLE projections</w:t>
      </w:r>
    </w:p>
    <w:p w14:paraId="6351F1D6" w14:textId="7AC79371" w:rsidR="005C47BD" w:rsidRPr="00BD6D1A" w:rsidRDefault="005C47BD" w:rsidP="00FF1A3B">
      <w:pPr>
        <w:spacing w:line="480" w:lineRule="auto"/>
      </w:pPr>
      <w:r w:rsidRPr="00BD6D1A">
        <w:t xml:space="preserve">For men, HWLE </w:t>
      </w:r>
      <w:r w:rsidR="00E5798C" w:rsidRPr="00BD6D1A">
        <w:t xml:space="preserve">from age 50 </w:t>
      </w:r>
      <w:r w:rsidRPr="00BD6D1A">
        <w:t>during the observed years was calculated to increase from 6.93 in 1996 to 8.94 in 2014 (</w:t>
      </w:r>
      <w:r w:rsidR="00F56F08" w:rsidRPr="00BD6D1A">
        <w:t xml:space="preserve">the most recent year with observed age-specific health and work </w:t>
      </w:r>
      <w:r w:rsidRPr="00BD6D1A">
        <w:t>for HWLE calculation) (</w:t>
      </w:r>
      <w:r w:rsidR="00EB420A" w:rsidRPr="00BD6D1A">
        <w:t>supplementary table 1</w:t>
      </w:r>
      <w:r w:rsidRPr="00BD6D1A">
        <w:t xml:space="preserve">). Projected HWLE </w:t>
      </w:r>
      <w:r w:rsidR="00E5798C" w:rsidRPr="00BD6D1A">
        <w:t xml:space="preserve">from age 50 </w:t>
      </w:r>
      <w:r w:rsidRPr="00BD6D1A">
        <w:t xml:space="preserve">for men was 8.67 (6.57, 10.73) </w:t>
      </w:r>
      <w:r w:rsidRPr="00BD6D1A">
        <w:lastRenderedPageBreak/>
        <w:t>years in 2015, increasing to 8.85 (4.98,</w:t>
      </w:r>
      <w:r w:rsidR="00F56F08" w:rsidRPr="00BD6D1A">
        <w:t xml:space="preserve"> </w:t>
      </w:r>
      <w:r w:rsidRPr="00BD6D1A">
        <w:t>12.03) years in 2020, and 9.05 (2.16, 13.28) years in 2035 (table 1</w:t>
      </w:r>
      <w:r w:rsidR="00EB420A" w:rsidRPr="00BD6D1A">
        <w:t>, supplementary table 1</w:t>
      </w:r>
      <w:r w:rsidRPr="00BD6D1A">
        <w:t>).</w:t>
      </w:r>
    </w:p>
    <w:p w14:paraId="59B79128" w14:textId="1D2D0996" w:rsidR="005C47BD" w:rsidRPr="00BD6D1A" w:rsidRDefault="005C47BD" w:rsidP="00FF1A3B">
      <w:pPr>
        <w:spacing w:line="480" w:lineRule="auto"/>
      </w:pPr>
      <w:r w:rsidRPr="00BD6D1A">
        <w:t xml:space="preserve">For women, HWLE </w:t>
      </w:r>
      <w:r w:rsidR="00E5798C" w:rsidRPr="00BD6D1A">
        <w:t xml:space="preserve">from age 50 </w:t>
      </w:r>
      <w:r w:rsidRPr="00BD6D1A">
        <w:t>during the observed years increase</w:t>
      </w:r>
      <w:r w:rsidR="00180BE1">
        <w:t>d</w:t>
      </w:r>
      <w:r w:rsidRPr="00BD6D1A">
        <w:t xml:space="preserve"> from 4.94 in 1996 to 6.85 in 2014 (</w:t>
      </w:r>
      <w:r w:rsidR="00EB420A" w:rsidRPr="00BD6D1A">
        <w:t xml:space="preserve">supplementary </w:t>
      </w:r>
      <w:r w:rsidRPr="00BD6D1A">
        <w:t xml:space="preserve">table 2). Projected HWLE </w:t>
      </w:r>
      <w:r w:rsidR="00E5798C" w:rsidRPr="00BD6D1A">
        <w:t xml:space="preserve">from age 50 </w:t>
      </w:r>
      <w:r w:rsidRPr="00BD6D1A">
        <w:t>for women was 7.49 (5.61, 9.62) years in 2015 increasing to 7.74 (4.50,11.53) years in 2020, and 8.57 (3.28, 13.87) years in 2035 (table 2</w:t>
      </w:r>
      <w:r w:rsidR="00EB420A" w:rsidRPr="00BD6D1A">
        <w:t>, supplementary table 2</w:t>
      </w:r>
      <w:r w:rsidRPr="00BD6D1A">
        <w:t>).</w:t>
      </w:r>
    </w:p>
    <w:p w14:paraId="7FB49F7D" w14:textId="4F577638" w:rsidR="001C6508" w:rsidRPr="00BD6D1A" w:rsidRDefault="001C6508" w:rsidP="00FF1A3B">
      <w:pPr>
        <w:spacing w:line="480" w:lineRule="auto"/>
      </w:pPr>
    </w:p>
    <w:p w14:paraId="695F2D44" w14:textId="63D58E17" w:rsidR="001C6508" w:rsidRPr="00BD6D1A" w:rsidRDefault="000978AB" w:rsidP="00FF1A3B">
      <w:pPr>
        <w:spacing w:line="480" w:lineRule="auto"/>
      </w:pPr>
      <w:r w:rsidRPr="00BD6D1A">
        <w:t>Expected future t</w:t>
      </w:r>
      <w:r w:rsidR="001C6508" w:rsidRPr="00BD6D1A">
        <w:t>rends in the relationship between HWLE and LE</w:t>
      </w:r>
    </w:p>
    <w:p w14:paraId="66C24FA3" w14:textId="7D497EBD" w:rsidR="000978AB" w:rsidRPr="00BD6D1A" w:rsidRDefault="001C6508" w:rsidP="00FF1A3B">
      <w:pPr>
        <w:spacing w:line="480" w:lineRule="auto"/>
      </w:pPr>
      <w:r w:rsidRPr="00BD6D1A">
        <w:t xml:space="preserve">Average HWLE gains are not expected to keep pace with average LE gains, meaning a likely decrease over time in the percentage of LE from age 50 spent healthy and in work. </w:t>
      </w:r>
      <w:r w:rsidR="000978AB" w:rsidRPr="00BD6D1A">
        <w:t>LE</w:t>
      </w:r>
      <w:r w:rsidR="00E5798C" w:rsidRPr="00BD6D1A">
        <w:t xml:space="preserve"> from age 50</w:t>
      </w:r>
      <w:r w:rsidR="000978AB" w:rsidRPr="00BD6D1A">
        <w:t xml:space="preserve"> for men in 2035 was projected to be 4.10 years higher than that observed in 2015 (the first year for which HWLE was projected), implying an average annual gain of 10.</w:t>
      </w:r>
      <w:r w:rsidR="004E341A" w:rsidRPr="00BD6D1A">
        <w:t>7</w:t>
      </w:r>
      <w:r w:rsidR="000978AB" w:rsidRPr="00BD6D1A">
        <w:t xml:space="preserve"> weeks (0.21 years) per year. LE </w:t>
      </w:r>
      <w:r w:rsidR="00E5798C" w:rsidRPr="00BD6D1A">
        <w:t xml:space="preserve">from age 50 </w:t>
      </w:r>
      <w:r w:rsidR="000978AB" w:rsidRPr="00BD6D1A">
        <w:t xml:space="preserve">for women in 2035 was projected to be 2.46 years higher than that observed in 2015 – an average gain of 6.4 weeks per year (0.12 years). Throughout 1996 to 2014, the average estimated gain per year </w:t>
      </w:r>
      <w:r w:rsidR="00E5798C" w:rsidRPr="00BD6D1A">
        <w:t xml:space="preserve">in HWLE from age 50 </w:t>
      </w:r>
      <w:r w:rsidR="000978AB" w:rsidRPr="00BD6D1A">
        <w:t xml:space="preserve">was 5.8 weeks for men (0.11 years) and 5.5 weeks for women (0.11 years) (figures </w:t>
      </w:r>
      <w:r w:rsidR="000757AE">
        <w:t>1</w:t>
      </w:r>
      <w:r w:rsidR="003E0528" w:rsidRPr="00BD6D1A">
        <w:t xml:space="preserve"> and </w:t>
      </w:r>
      <w:r w:rsidR="000757AE">
        <w:t>2</w:t>
      </w:r>
      <w:r w:rsidR="000978AB" w:rsidRPr="00BD6D1A">
        <w:t>). From 2015 to 2035, HWLE gains were projected to slow to an average of one week per year for men (0.02 years) and 2.8 weeks per year for women (0.05 years).</w:t>
      </w:r>
    </w:p>
    <w:p w14:paraId="6E28E4E3" w14:textId="77777777" w:rsidR="00450787" w:rsidRDefault="00450787" w:rsidP="00FF1A3B">
      <w:pPr>
        <w:spacing w:line="480" w:lineRule="auto"/>
      </w:pPr>
    </w:p>
    <w:p w14:paraId="5B68F83E" w14:textId="14D94496" w:rsidR="00FB5D1C" w:rsidRPr="00BD6D1A" w:rsidRDefault="00FB5D1C" w:rsidP="00FF1A3B">
      <w:pPr>
        <w:spacing w:line="480" w:lineRule="auto"/>
      </w:pPr>
      <w:r w:rsidRPr="00BD6D1A">
        <w:t>Sensitivity analyses results</w:t>
      </w:r>
    </w:p>
    <w:p w14:paraId="59A287B3" w14:textId="715C3B12" w:rsidR="00B03B34" w:rsidRPr="00BD6D1A" w:rsidRDefault="00FB5D1C" w:rsidP="00FF1A3B">
      <w:pPr>
        <w:spacing w:line="480" w:lineRule="auto"/>
      </w:pPr>
      <w:r w:rsidRPr="00BD6D1A">
        <w:t xml:space="preserve">HWLE point estimates </w:t>
      </w:r>
      <w:r w:rsidR="00710712" w:rsidRPr="00BD6D1A">
        <w:t>calculated</w:t>
      </w:r>
      <w:r w:rsidRPr="00BD6D1A">
        <w:t xml:space="preserve"> using the Sullivan </w:t>
      </w:r>
      <w:r w:rsidR="0016637A" w:rsidRPr="00BD6D1A">
        <w:t xml:space="preserve">method </w:t>
      </w:r>
      <w:r w:rsidRPr="00BD6D1A">
        <w:t>were almost one year higher</w:t>
      </w:r>
      <w:r w:rsidR="00BA1735">
        <w:t xml:space="preserve"> </w:t>
      </w:r>
      <w:r w:rsidRPr="00BD6D1A">
        <w:t xml:space="preserve">for men and 0.78 years higher for women from 1996 to 2014 than the </w:t>
      </w:r>
      <w:r w:rsidR="00297417" w:rsidRPr="00BD6D1A">
        <w:t xml:space="preserve">primary </w:t>
      </w:r>
      <w:r w:rsidRPr="00BD6D1A">
        <w:t xml:space="preserve">estimates </w:t>
      </w:r>
      <w:r w:rsidR="00710712" w:rsidRPr="00BD6D1A">
        <w:t>calculated</w:t>
      </w:r>
      <w:r w:rsidRPr="00BD6D1A">
        <w:t xml:space="preserve"> using the intercensal method (tables 3.3 and 3.4). </w:t>
      </w:r>
      <w:r w:rsidR="004563BD" w:rsidRPr="00BD6D1A">
        <w:t>HWLE trends over time were visually similar using both methods (</w:t>
      </w:r>
      <w:r w:rsidR="003E0528" w:rsidRPr="00BD6D1A">
        <w:t xml:space="preserve">figures </w:t>
      </w:r>
      <w:r w:rsidR="000757AE">
        <w:t>1</w:t>
      </w:r>
      <w:r w:rsidR="003E0528" w:rsidRPr="00BD6D1A">
        <w:t xml:space="preserve"> and </w:t>
      </w:r>
      <w:r w:rsidR="000757AE">
        <w:t>2</w:t>
      </w:r>
      <w:r w:rsidR="004563BD" w:rsidRPr="00BD6D1A">
        <w:t xml:space="preserve">). </w:t>
      </w:r>
      <w:r w:rsidRPr="00BD6D1A">
        <w:t xml:space="preserve">From 1996 to 2014, Sullivan method HWLE estimates increased by an average of 6.4 weeks per year for men (0.12 years) and 6.3 years for women (0.12 years) compared </w:t>
      </w:r>
      <w:r w:rsidRPr="00BD6D1A">
        <w:lastRenderedPageBreak/>
        <w:t>to average yearly gains of 5.8 weeks (0.11 years) and 5.5 weeks (0.11 years) respectively in intercensal HWLE estimates.</w:t>
      </w:r>
      <w:r w:rsidR="00146AA0">
        <w:t xml:space="preserve"> </w:t>
      </w:r>
      <w:r w:rsidR="005C26E4">
        <w:t>Although HWLE projections</w:t>
      </w:r>
      <w:r w:rsidR="00041371">
        <w:t xml:space="preserve"> </w:t>
      </w:r>
      <w:r w:rsidR="005C26E4">
        <w:t>are</w:t>
      </w:r>
      <w:r w:rsidR="00917D0F">
        <w:t xml:space="preserve"> expected</w:t>
      </w:r>
      <w:r w:rsidR="005C26E4">
        <w:t xml:space="preserve"> </w:t>
      </w:r>
      <w:r w:rsidR="001E03D9">
        <w:t>smoothed</w:t>
      </w:r>
      <w:r w:rsidR="005C26E4">
        <w:t xml:space="preserve"> trends without fluctuation</w:t>
      </w:r>
      <w:r w:rsidR="00D11C3C">
        <w:t xml:space="preserve"> </w:t>
      </w:r>
      <w:r w:rsidR="00041371">
        <w:t>typical of</w:t>
      </w:r>
      <w:r w:rsidR="00D11C3C">
        <w:t xml:space="preserve"> </w:t>
      </w:r>
      <w:r w:rsidR="00041371">
        <w:t>point estimates from observed years</w:t>
      </w:r>
      <w:r w:rsidR="00CC47CC">
        <w:t xml:space="preserve">, </w:t>
      </w:r>
      <w:r w:rsidR="00AB28B1">
        <w:t xml:space="preserve">Sullivan </w:t>
      </w:r>
      <w:r w:rsidR="0055730A">
        <w:t>method</w:t>
      </w:r>
      <w:r w:rsidR="00E43760">
        <w:t xml:space="preserve"> HWLE estimates from 2015 to 2018 </w:t>
      </w:r>
      <w:r w:rsidR="00C3304D">
        <w:t>appeared to maintain a similar relationship</w:t>
      </w:r>
      <w:r w:rsidR="00E43760">
        <w:t xml:space="preserve"> to </w:t>
      </w:r>
      <w:r w:rsidR="00660C7A">
        <w:t>projected HWLE</w:t>
      </w:r>
      <w:r w:rsidR="007829F3">
        <w:t xml:space="preserve">. </w:t>
      </w:r>
      <w:r w:rsidR="001E03D9">
        <w:t xml:space="preserve">HWLE </w:t>
      </w:r>
      <w:r w:rsidR="00921514">
        <w:t xml:space="preserve">increases </w:t>
      </w:r>
      <w:r w:rsidR="007829F3">
        <w:t>ob</w:t>
      </w:r>
      <w:r w:rsidR="00660C7A">
        <w:t>s</w:t>
      </w:r>
      <w:r w:rsidR="007829F3">
        <w:t xml:space="preserve">erved for men and women from 2015-2018 using the Sullivan method </w:t>
      </w:r>
      <w:r w:rsidR="006A3545">
        <w:t>appear to be slowing</w:t>
      </w:r>
      <w:r w:rsidR="00DF5BBC">
        <w:t>, which is consistent with inferences from HWLE projections.</w:t>
      </w:r>
    </w:p>
    <w:p w14:paraId="1EEDC697" w14:textId="19B6A6B6" w:rsidR="001C6508" w:rsidRDefault="00AE63C8" w:rsidP="00FF1A3B">
      <w:pPr>
        <w:spacing w:line="480" w:lineRule="auto"/>
      </w:pPr>
      <w:r w:rsidRPr="00BD6D1A">
        <w:t xml:space="preserve">There were no substantial differences in HWLE estimates </w:t>
      </w:r>
      <w:r w:rsidR="005C0DA1" w:rsidRPr="00BD6D1A">
        <w:t>or</w:t>
      </w:r>
      <w:r w:rsidRPr="00BD6D1A">
        <w:t xml:space="preserve"> 95% confidence intervals for men or women </w:t>
      </w:r>
      <w:r w:rsidR="00B03B34" w:rsidRPr="00BD6D1A">
        <w:t xml:space="preserve">either assuming mortality rates to be the same from both alive states (taking </w:t>
      </w:r>
      <w:r w:rsidR="00B03B34" w:rsidRPr="00BD6D1A">
        <w:rPr>
          <w:i/>
          <w:iCs/>
        </w:rPr>
        <w:t>R</w:t>
      </w:r>
      <w:r w:rsidR="00B03B34" w:rsidRPr="00BD6D1A">
        <w:t>=1)</w:t>
      </w:r>
      <w:r w:rsidRPr="00BD6D1A">
        <w:t>,</w:t>
      </w:r>
      <w:r w:rsidR="00B03B34" w:rsidRPr="00BD6D1A">
        <w:t xml:space="preserve"> or assuming mortality rates to be twice as high from the unhealthy and/or not working state (</w:t>
      </w:r>
      <w:r w:rsidR="00B03B34" w:rsidRPr="00BD6D1A">
        <w:rPr>
          <w:i/>
          <w:iCs/>
        </w:rPr>
        <w:t>R</w:t>
      </w:r>
      <w:r w:rsidR="00B03B34" w:rsidRPr="00BD6D1A">
        <w:t>=2)</w:t>
      </w:r>
      <w:r w:rsidR="004060CA" w:rsidRPr="00BD6D1A">
        <w:t xml:space="preserve"> </w:t>
      </w:r>
      <w:r w:rsidR="00B03B34" w:rsidRPr="00BD6D1A">
        <w:t>(</w:t>
      </w:r>
      <w:r w:rsidR="0087662F" w:rsidRPr="00BD6D1A">
        <w:t>supplementary tables 1</w:t>
      </w:r>
      <w:r w:rsidR="00727754">
        <w:t>-4</w:t>
      </w:r>
      <w:r w:rsidR="00B16CD5">
        <w:t>, supplementary note</w:t>
      </w:r>
      <w:r w:rsidR="00B03B34" w:rsidRPr="00BD6D1A">
        <w:t>).</w:t>
      </w:r>
    </w:p>
    <w:p w14:paraId="33FB2C5F" w14:textId="77777777" w:rsidR="004F17C3" w:rsidRPr="00BD6D1A" w:rsidRDefault="004F17C3" w:rsidP="00FF1A3B">
      <w:pPr>
        <w:spacing w:line="480" w:lineRule="auto"/>
      </w:pPr>
    </w:p>
    <w:p w14:paraId="28E53A62" w14:textId="08FE8560" w:rsidR="004563BD" w:rsidRPr="00BD6D1A" w:rsidRDefault="004563BD" w:rsidP="00FF1A3B">
      <w:pPr>
        <w:spacing w:line="480" w:lineRule="auto"/>
        <w:rPr>
          <w:b/>
          <w:bCs/>
        </w:rPr>
      </w:pPr>
      <w:r w:rsidRPr="00BD6D1A">
        <w:rPr>
          <w:b/>
          <w:bCs/>
        </w:rPr>
        <w:t>Discussion</w:t>
      </w:r>
    </w:p>
    <w:p w14:paraId="2D90E203" w14:textId="7A5320B0" w:rsidR="00094AEF" w:rsidRPr="00BD6D1A" w:rsidRDefault="00376910" w:rsidP="00FF1A3B">
      <w:pPr>
        <w:spacing w:line="480" w:lineRule="auto"/>
      </w:pPr>
      <w:r w:rsidRPr="00BD6D1A">
        <w:t>The length of healthy working life from age 50 has been extending for both men and women in England but gains appear to be s</w:t>
      </w:r>
      <w:r w:rsidR="005C0DA1" w:rsidRPr="00BD6D1A">
        <w:t>talling</w:t>
      </w:r>
      <w:r w:rsidRPr="00BD6D1A">
        <w:t xml:space="preserve">. </w:t>
      </w:r>
      <w:r w:rsidR="004060CA" w:rsidRPr="00BD6D1A">
        <w:t>Between 2015 and 2035, e</w:t>
      </w:r>
      <w:r w:rsidR="00127C1D" w:rsidRPr="00BD6D1A">
        <w:t>xpected HWLE gains are also lower than the life expectancy gains of 3.37 years for men and 2.46 years for women expected</w:t>
      </w:r>
      <w:r w:rsidR="004060CA" w:rsidRPr="00BD6D1A">
        <w:t xml:space="preserve"> from age 50</w:t>
      </w:r>
      <w:r w:rsidR="00127C1D" w:rsidRPr="00BD6D1A">
        <w:t>.</w:t>
      </w:r>
      <w:r w:rsidR="00BA1735">
        <w:t xml:space="preserve"> </w:t>
      </w:r>
      <w:r w:rsidR="00B426C2" w:rsidRPr="00BD6D1A">
        <w:t xml:space="preserve">HWLE </w:t>
      </w:r>
      <w:r w:rsidRPr="00BD6D1A">
        <w:t xml:space="preserve">is expected to be 1.08 years longer for women </w:t>
      </w:r>
      <w:r w:rsidR="0037209C" w:rsidRPr="00BD6D1A">
        <w:t xml:space="preserve">and 0.38 years for men </w:t>
      </w:r>
      <w:r w:rsidRPr="00BD6D1A">
        <w:t>in 2035 compared to the year 2015 .</w:t>
      </w:r>
      <w:r w:rsidR="00127C1D" w:rsidRPr="00BD6D1A">
        <w:t xml:space="preserve"> </w:t>
      </w:r>
      <w:r w:rsidR="00094AEF" w:rsidRPr="00BD6D1A">
        <w:t>The modest</w:t>
      </w:r>
      <w:r w:rsidR="002B68DD" w:rsidRPr="00BD6D1A">
        <w:t xml:space="preserve"> expected</w:t>
      </w:r>
      <w:r w:rsidR="00094AEF" w:rsidRPr="00BD6D1A">
        <w:t xml:space="preserve"> </w:t>
      </w:r>
      <w:r w:rsidR="002B68DD" w:rsidRPr="00BD6D1A">
        <w:t xml:space="preserve">increase in </w:t>
      </w:r>
      <w:r w:rsidR="00094AEF" w:rsidRPr="00BD6D1A">
        <w:t xml:space="preserve">HWLE </w:t>
      </w:r>
      <w:r w:rsidR="002B68DD" w:rsidRPr="00BD6D1A">
        <w:t xml:space="preserve">suggests that </w:t>
      </w:r>
      <w:r w:rsidR="00094AEF" w:rsidRPr="00BD6D1A">
        <w:t>working lives are not necessarily extending in line with policy goals</w:t>
      </w:r>
      <w:r w:rsidR="004E0083" w:rsidRPr="00BD6D1A">
        <w:t>,</w:t>
      </w:r>
      <w:r w:rsidR="00094AEF" w:rsidRPr="00BD6D1A">
        <w:t xml:space="preserve"> </w:t>
      </w:r>
      <w:r w:rsidR="00A00949" w:rsidRPr="00BD6D1A">
        <w:t>which may result in an increase in older adults requiring benefits due to being unhealthy or out of work</w:t>
      </w:r>
      <w:r w:rsidR="00094AEF" w:rsidRPr="00BD6D1A">
        <w:t>.</w:t>
      </w:r>
      <w:r w:rsidR="00A00949" w:rsidRPr="00BD6D1A">
        <w:t xml:space="preserve"> </w:t>
      </w:r>
      <w:r w:rsidR="007F2126">
        <w:t xml:space="preserve">Further, raising the State Pension age implies an expected extension of full-time work; this HWLE projection analysis included part-time workers and results of a full-time only or full-time equivalent analysis would be lower. </w:t>
      </w:r>
      <w:r w:rsidR="004E0083" w:rsidRPr="00BD6D1A">
        <w:t>Both w</w:t>
      </w:r>
      <w:r w:rsidR="00094AEF" w:rsidRPr="00BD6D1A">
        <w:t xml:space="preserve">orking life expectancy </w:t>
      </w:r>
      <w:r w:rsidR="004E0083" w:rsidRPr="00BD6D1A">
        <w:t>a</w:t>
      </w:r>
      <w:r w:rsidR="00094AEF" w:rsidRPr="00BD6D1A">
        <w:t xml:space="preserve">nd HWLE may be more strongly correlated with healthy life expectancy than with life expectancy </w:t>
      </w:r>
      <w:r w:rsidR="007101CA" w:rsidRPr="00BD6D1A">
        <w:t>[</w:t>
      </w:r>
      <w:r w:rsidR="00563DEC">
        <w:t>27</w:t>
      </w:r>
      <w:r w:rsidR="007101CA" w:rsidRPr="00BD6D1A">
        <w:t>]</w:t>
      </w:r>
      <w:r w:rsidR="009A2796" w:rsidRPr="00BD6D1A">
        <w:t xml:space="preserve">. </w:t>
      </w:r>
      <w:r w:rsidR="00094AEF" w:rsidRPr="00BD6D1A">
        <w:t xml:space="preserve">Life expectancy improvements widespread across Europe and worldwide have been the basis for raising the State Pension age in the UK, but smaller improvements in population health at older ages may be a barrier to increasing both employment at older ages and length of </w:t>
      </w:r>
      <w:r w:rsidR="00094AEF" w:rsidRPr="00BD6D1A">
        <w:lastRenderedPageBreak/>
        <w:t xml:space="preserve">healthy working life </w:t>
      </w:r>
      <w:r w:rsidR="007101CA" w:rsidRPr="00BD6D1A">
        <w:t>[</w:t>
      </w:r>
      <w:r w:rsidR="00563DEC">
        <w:t>1,28</w:t>
      </w:r>
      <w:r w:rsidR="00AD0462">
        <w:t>-32</w:t>
      </w:r>
      <w:r w:rsidR="007101CA" w:rsidRPr="00BD6D1A">
        <w:t>]</w:t>
      </w:r>
      <w:r w:rsidR="00094AEF" w:rsidRPr="00BD6D1A">
        <w:t xml:space="preserve">. While life expectancy at age 65 increased from 2000-02 to 2012-14, healthy life expectancy at age 65 stayed the same; gains in life expectancy from age 65 were unhealthy years leading to an increasing proportion of years in later life spent in poor health </w:t>
      </w:r>
      <w:r w:rsidR="007101CA" w:rsidRPr="00BD6D1A">
        <w:t>[</w:t>
      </w:r>
      <w:r w:rsidR="00AD0462">
        <w:t>33</w:t>
      </w:r>
      <w:r w:rsidR="009A2796" w:rsidRPr="00BD6D1A">
        <w:t>]</w:t>
      </w:r>
      <w:r w:rsidR="00094AEF" w:rsidRPr="00BD6D1A">
        <w:t xml:space="preserve">. </w:t>
      </w:r>
      <w:r w:rsidR="003D4141">
        <w:t>Whilst</w:t>
      </w:r>
      <w:r w:rsidR="00162506">
        <w:t xml:space="preserve"> there </w:t>
      </w:r>
      <w:r w:rsidR="002E3898">
        <w:t xml:space="preserve">has been little </w:t>
      </w:r>
      <w:r w:rsidR="00162506">
        <w:t xml:space="preserve">evidence of </w:t>
      </w:r>
      <w:r w:rsidR="002E3898">
        <w:t>compression</w:t>
      </w:r>
      <w:r w:rsidR="00162506">
        <w:t xml:space="preserve"> of morbidity</w:t>
      </w:r>
      <w:r w:rsidR="003D4141">
        <w:t xml:space="preserve"> in the UK</w:t>
      </w:r>
      <w:r w:rsidR="00162506">
        <w:t xml:space="preserve">, </w:t>
      </w:r>
      <w:r w:rsidR="002E3898">
        <w:t xml:space="preserve">a few European countries have experienced absolute or relative compression of morbidity, and a greater number dynamic equilibrium, where years of </w:t>
      </w:r>
      <w:r w:rsidR="002E3898" w:rsidRPr="002E3898">
        <w:t xml:space="preserve">unhealthy life </w:t>
      </w:r>
      <w:r w:rsidR="002E3898">
        <w:t>are</w:t>
      </w:r>
      <w:r w:rsidR="002E3898" w:rsidRPr="002E3898">
        <w:t xml:space="preserve"> expanding </w:t>
      </w:r>
      <w:r w:rsidR="002E3898">
        <w:t xml:space="preserve">due to increases in milder levels of ill-health </w:t>
      </w:r>
      <w:r w:rsidR="005F23F2">
        <w:t>[21]</w:t>
      </w:r>
      <w:r w:rsidR="00417BC4">
        <w:t>; the latter may be of particular interest in terms of HWLE</w:t>
      </w:r>
      <w:r w:rsidR="002E3898">
        <w:t>.</w:t>
      </w:r>
      <w:r w:rsidR="00162506">
        <w:t xml:space="preserve"> </w:t>
      </w:r>
      <w:r w:rsidR="00417BC4">
        <w:t>Moreover, t</w:t>
      </w:r>
      <w:r w:rsidR="00D21E01" w:rsidRPr="00BD6D1A">
        <w:t>hat</w:t>
      </w:r>
      <w:r w:rsidR="00173244" w:rsidRPr="00BD6D1A">
        <w:t xml:space="preserve"> inequalities are widening and that</w:t>
      </w:r>
      <w:r w:rsidR="00D21E01" w:rsidRPr="00BD6D1A">
        <w:t xml:space="preserve"> l</w:t>
      </w:r>
      <w:r w:rsidR="00094AEF" w:rsidRPr="00BD6D1A">
        <w:t>ife expectancy and healthy life expectancy at age 65 ha</w:t>
      </w:r>
      <w:r w:rsidR="009646E9" w:rsidRPr="00BD6D1A">
        <w:t>ve</w:t>
      </w:r>
      <w:r w:rsidR="00094AEF" w:rsidRPr="00BD6D1A">
        <w:t xml:space="preserve"> remained largely unchanged for men and women in England since 2012-14</w:t>
      </w:r>
      <w:r w:rsidR="00D21E01" w:rsidRPr="00BD6D1A">
        <w:t xml:space="preserve"> </w:t>
      </w:r>
      <w:r w:rsidR="007101CA" w:rsidRPr="00BD6D1A">
        <w:t>[</w:t>
      </w:r>
      <w:r w:rsidR="00AD0462">
        <w:t>33,34</w:t>
      </w:r>
      <w:r w:rsidR="007101CA" w:rsidRPr="00BD6D1A">
        <w:t>]</w:t>
      </w:r>
      <w:r w:rsidR="00D21E01" w:rsidRPr="00BD6D1A">
        <w:t xml:space="preserve"> is consistent with the HWLE trends forecasted in this study</w:t>
      </w:r>
      <w:r w:rsidR="00094AEF" w:rsidRPr="00BD6D1A">
        <w:t>.</w:t>
      </w:r>
      <w:r w:rsidR="00567F57">
        <w:t xml:space="preserve"> </w:t>
      </w:r>
    </w:p>
    <w:p w14:paraId="27F2D1FF" w14:textId="37D38EB3" w:rsidR="0007112A" w:rsidRDefault="00094AEF" w:rsidP="00FF1A3B">
      <w:pPr>
        <w:spacing w:line="480" w:lineRule="auto"/>
      </w:pPr>
      <w:r w:rsidRPr="00BD6D1A">
        <w:t xml:space="preserve">Women’s shorter observed and projected HWLE compared to men despite longer life expectancy reflects </w:t>
      </w:r>
      <w:r w:rsidR="005C0DA1" w:rsidRPr="00BD6D1A">
        <w:t xml:space="preserve">women’s </w:t>
      </w:r>
      <w:r w:rsidRPr="00BD6D1A">
        <w:t xml:space="preserve">historically lower State Pension age and employment rates </w:t>
      </w:r>
      <w:r w:rsidR="007101CA" w:rsidRPr="00BD6D1A">
        <w:t>[</w:t>
      </w:r>
      <w:r w:rsidR="00DA12F8">
        <w:t>35</w:t>
      </w:r>
      <w:r w:rsidR="007101CA" w:rsidRPr="00BD6D1A">
        <w:t>]</w:t>
      </w:r>
      <w:r w:rsidRPr="00BD6D1A">
        <w:t>. This difference also highlights the role of various lifestyle, biological, workplace and social factors in the broader biopsychosocial model that may influence work engagement and length of healthy working life</w:t>
      </w:r>
      <w:r w:rsidR="00A00949" w:rsidRPr="00BD6D1A">
        <w:t xml:space="preserve"> </w:t>
      </w:r>
      <w:r w:rsidR="007101CA" w:rsidRPr="00BD6D1A">
        <w:t>[</w:t>
      </w:r>
      <w:r w:rsidR="00DA12F8">
        <w:t>27</w:t>
      </w:r>
      <w:r w:rsidR="007101CA" w:rsidRPr="00BD6D1A">
        <w:t>]</w:t>
      </w:r>
      <w:r w:rsidRPr="00BD6D1A">
        <w:t>.</w:t>
      </w:r>
      <w:r w:rsidR="0007112A" w:rsidRPr="00BD6D1A">
        <w:t xml:space="preserve"> Increases to </w:t>
      </w:r>
      <w:r w:rsidR="004060CA" w:rsidRPr="00BD6D1A">
        <w:t>State Pension age</w:t>
      </w:r>
      <w:r w:rsidR="0007112A" w:rsidRPr="00BD6D1A">
        <w:t xml:space="preserve"> for women</w:t>
      </w:r>
      <w:r w:rsidR="005C0DA1" w:rsidRPr="00BD6D1A">
        <w:t>,</w:t>
      </w:r>
      <w:r w:rsidR="0007112A" w:rsidRPr="00BD6D1A">
        <w:t xml:space="preserve"> implemented from 2010</w:t>
      </w:r>
      <w:r w:rsidR="005C0DA1" w:rsidRPr="00BD6D1A">
        <w:t>,</w:t>
      </w:r>
      <w:r w:rsidR="0007112A" w:rsidRPr="00BD6D1A">
        <w:t xml:space="preserve"> are likely to have contributed to increasing employment rates in recent years. </w:t>
      </w:r>
      <w:r w:rsidR="00B542E5">
        <w:t>Estimates of HWLE trends in England in recent years are consistent with the findings of this study in showing larger increases for women than men [</w:t>
      </w:r>
      <w:r w:rsidR="005F23F2">
        <w:t>3</w:t>
      </w:r>
      <w:r w:rsidR="0046712A">
        <w:t>6</w:t>
      </w:r>
      <w:r w:rsidR="00B542E5">
        <w:t xml:space="preserve">]. </w:t>
      </w:r>
      <w:r w:rsidR="006D50A6" w:rsidRPr="00BD6D1A">
        <w:t xml:space="preserve">The projected narrowing of the gap between length of healthy working life from age 50 for men and women in England is in keeping with </w:t>
      </w:r>
      <w:r w:rsidR="000251A0" w:rsidRPr="00BD6D1A">
        <w:t>a narrowing of the</w:t>
      </w:r>
      <w:r w:rsidR="006D50A6" w:rsidRPr="00BD6D1A">
        <w:t xml:space="preserve"> gender difference in working life expectancy from age 50 across Europe </w:t>
      </w:r>
      <w:r w:rsidR="007101CA" w:rsidRPr="00BD6D1A">
        <w:t>[</w:t>
      </w:r>
      <w:r w:rsidR="00DA12F8">
        <w:t>27</w:t>
      </w:r>
      <w:r w:rsidR="007101CA" w:rsidRPr="00BD6D1A">
        <w:t>]</w:t>
      </w:r>
      <w:r w:rsidR="006D50A6" w:rsidRPr="00BD6D1A">
        <w:t xml:space="preserve">. This </w:t>
      </w:r>
      <w:r w:rsidR="004E0083" w:rsidRPr="00BD6D1A">
        <w:t xml:space="preserve">forecast </w:t>
      </w:r>
      <w:r w:rsidR="006D50A6" w:rsidRPr="00BD6D1A">
        <w:t xml:space="preserve">- and the small HWLE gains projected - could </w:t>
      </w:r>
      <w:r w:rsidR="004E0083" w:rsidRPr="00BD6D1A">
        <w:t xml:space="preserve">result from </w:t>
      </w:r>
      <w:r w:rsidR="006D50A6" w:rsidRPr="00BD6D1A">
        <w:t xml:space="preserve">the HSE data reflecting the impact </w:t>
      </w:r>
      <w:r w:rsidR="000251A0" w:rsidRPr="00BD6D1A">
        <w:t xml:space="preserve">of the financial crisis of 2007–2008 </w:t>
      </w:r>
      <w:r w:rsidR="006D50A6" w:rsidRPr="00BD6D1A">
        <w:t xml:space="preserve">on jobs later in </w:t>
      </w:r>
      <w:r w:rsidR="000251A0" w:rsidRPr="00BD6D1A">
        <w:t xml:space="preserve">our </w:t>
      </w:r>
      <w:r w:rsidR="006D50A6" w:rsidRPr="00BD6D1A">
        <w:t>study period</w:t>
      </w:r>
      <w:r w:rsidR="000251A0" w:rsidRPr="00BD6D1A">
        <w:t>,</w:t>
      </w:r>
      <w:r w:rsidR="006D50A6" w:rsidRPr="00BD6D1A">
        <w:t xml:space="preserve"> a</w:t>
      </w:r>
      <w:r w:rsidR="000251A0" w:rsidRPr="00BD6D1A">
        <w:t>s well as</w:t>
      </w:r>
      <w:r w:rsidR="006D50A6" w:rsidRPr="00BD6D1A">
        <w:t xml:space="preserve"> austerity measures</w:t>
      </w:r>
      <w:r w:rsidR="000251A0" w:rsidRPr="00BD6D1A">
        <w:t>,</w:t>
      </w:r>
      <w:r w:rsidR="006D50A6" w:rsidRPr="00BD6D1A">
        <w:t xml:space="preserve"> introduced in the UK from 2010</w:t>
      </w:r>
      <w:r w:rsidR="000251A0" w:rsidRPr="00BD6D1A">
        <w:t>,</w:t>
      </w:r>
      <w:r w:rsidR="006D50A6" w:rsidRPr="00BD6D1A">
        <w:t xml:space="preserve"> reducing the number of jobs or job quality </w:t>
      </w:r>
      <w:r w:rsidR="007101CA" w:rsidRPr="00BD6D1A">
        <w:t>[</w:t>
      </w:r>
      <w:r w:rsidR="00DA12F8">
        <w:t>3</w:t>
      </w:r>
      <w:r w:rsidR="0046712A">
        <w:t>7</w:t>
      </w:r>
      <w:r w:rsidR="00F342B2">
        <w:t>,38,</w:t>
      </w:r>
      <w:r w:rsidR="00DA12F8">
        <w:t>39</w:t>
      </w:r>
      <w:r w:rsidR="007101CA" w:rsidRPr="00BD6D1A">
        <w:t>]</w:t>
      </w:r>
      <w:r w:rsidR="006D50A6" w:rsidRPr="00BD6D1A">
        <w:t xml:space="preserve">. </w:t>
      </w:r>
      <w:r w:rsidR="0007112A" w:rsidRPr="00BD6D1A">
        <w:t>The Lee-Carter forecasting approach bases projections on an observed age-period pattern in the data and does not attempt to anticipate policy changes or other interventions; efforts to create good work opportunities for older workers may therefore help to avoid the projected stalling of HWLE in the future.</w:t>
      </w:r>
    </w:p>
    <w:p w14:paraId="18032B81" w14:textId="4F2D7D11" w:rsidR="007463F8" w:rsidRPr="00BD6D1A" w:rsidRDefault="00A93973" w:rsidP="00FF1A3B">
      <w:pPr>
        <w:spacing w:line="480" w:lineRule="auto"/>
      </w:pPr>
      <w:r>
        <w:lastRenderedPageBreak/>
        <w:t>As well as mortality rates</w:t>
      </w:r>
      <w:r w:rsidR="00A5006F">
        <w:t xml:space="preserve"> [</w:t>
      </w:r>
      <w:r w:rsidR="00707FDE">
        <w:t>4</w:t>
      </w:r>
      <w:r w:rsidR="00F342B2">
        <w:t>1</w:t>
      </w:r>
      <w:r w:rsidR="00A5006F">
        <w:t>]</w:t>
      </w:r>
      <w:r>
        <w:t>, t</w:t>
      </w:r>
      <w:r w:rsidR="003E26E6">
        <w:t>he co</w:t>
      </w:r>
      <w:r w:rsidR="007A16D7">
        <w:t>ronavirus (COVID</w:t>
      </w:r>
      <w:r w:rsidR="003E26E6">
        <w:t>-19</w:t>
      </w:r>
      <w:r w:rsidR="007A16D7">
        <w:t>)</w:t>
      </w:r>
      <w:r w:rsidR="003E26E6">
        <w:t xml:space="preserve"> pandemic has</w:t>
      </w:r>
      <w:r w:rsidR="006656A9">
        <w:t xml:space="preserve"> </w:t>
      </w:r>
      <w:r w:rsidR="00A32C14">
        <w:t xml:space="preserve">impacted </w:t>
      </w:r>
      <w:r w:rsidR="007A16D7">
        <w:t xml:space="preserve">on </w:t>
      </w:r>
      <w:r w:rsidR="00A32C14">
        <w:t>both health and employment levels</w:t>
      </w:r>
      <w:r w:rsidR="005322B1">
        <w:t>, and</w:t>
      </w:r>
      <w:r w:rsidR="005E6461">
        <w:t xml:space="preserve"> the impact </w:t>
      </w:r>
      <w:r w:rsidR="005322B1">
        <w:t>on</w:t>
      </w:r>
      <w:r w:rsidR="005E6461">
        <w:t xml:space="preserve"> HWLE will become clearer </w:t>
      </w:r>
      <w:r w:rsidR="0094370C">
        <w:t xml:space="preserve">as health and employment rates stabilise </w:t>
      </w:r>
      <w:r w:rsidR="005E6461">
        <w:t>in the coming years</w:t>
      </w:r>
      <w:r w:rsidR="0094370C">
        <w:t xml:space="preserve">. </w:t>
      </w:r>
      <w:r w:rsidR="007463F8">
        <w:t xml:space="preserve">Education inequalities exacerbated through </w:t>
      </w:r>
      <w:r w:rsidR="008C5622">
        <w:t>school closures due to covid-19</w:t>
      </w:r>
      <w:r w:rsidR="007463F8">
        <w:t xml:space="preserve"> </w:t>
      </w:r>
      <w:r w:rsidR="00707FDE">
        <w:t>[14,4</w:t>
      </w:r>
      <w:r w:rsidR="00F342B2">
        <w:t>2</w:t>
      </w:r>
      <w:r w:rsidR="00707FDE">
        <w:t>]</w:t>
      </w:r>
      <w:r w:rsidR="007463F8">
        <w:t xml:space="preserve"> </w:t>
      </w:r>
      <w:r w:rsidR="004B3AD3">
        <w:t xml:space="preserve">may </w:t>
      </w:r>
      <w:r w:rsidR="00C60A03">
        <w:t xml:space="preserve">disadvantage </w:t>
      </w:r>
      <w:r w:rsidR="002A0691">
        <w:t>the next generation of workers</w:t>
      </w:r>
      <w:r w:rsidR="00C60A03">
        <w:t xml:space="preserve"> who will be expected to </w:t>
      </w:r>
      <w:r w:rsidR="00866019">
        <w:t>remain in employment</w:t>
      </w:r>
      <w:r w:rsidR="00C60A03">
        <w:t xml:space="preserve"> </w:t>
      </w:r>
      <w:r w:rsidR="00866019">
        <w:t>until older ages</w:t>
      </w:r>
      <w:r w:rsidR="002A0691">
        <w:t>.</w:t>
      </w:r>
      <w:r w:rsidR="007F58A8">
        <w:t xml:space="preserve"> Furthermore, job loss is linked to a variety of psychosocial and objective contextual factors (e</w:t>
      </w:r>
      <w:r w:rsidR="00180BE1">
        <w:t>.</w:t>
      </w:r>
      <w:r w:rsidR="007F58A8">
        <w:t>g</w:t>
      </w:r>
      <w:r w:rsidR="00180BE1">
        <w:t>.</w:t>
      </w:r>
      <w:r w:rsidR="007F58A8">
        <w:t xml:space="preserve"> inadequate support at work)</w:t>
      </w:r>
      <w:r w:rsidR="00DE10C1">
        <w:t xml:space="preserve">, which are more likely to affect people in occupations requiring </w:t>
      </w:r>
      <w:r w:rsidR="00703978">
        <w:t>fewer educational qualifications and in areas of higher</w:t>
      </w:r>
      <w:r w:rsidR="007F58A8">
        <w:t xml:space="preserve"> deprivation [</w:t>
      </w:r>
      <w:r w:rsidR="00707FDE">
        <w:t>4</w:t>
      </w:r>
      <w:r w:rsidR="00F342B2">
        <w:t>3</w:t>
      </w:r>
      <w:r w:rsidR="007F58A8">
        <w:t>].</w:t>
      </w:r>
    </w:p>
    <w:p w14:paraId="78ED90BE" w14:textId="56367439" w:rsidR="002479C4" w:rsidRPr="00BD6D1A" w:rsidRDefault="002479C4" w:rsidP="00FF1A3B">
      <w:pPr>
        <w:spacing w:line="480" w:lineRule="auto"/>
      </w:pPr>
      <w:r w:rsidRPr="00BD6D1A">
        <w:t>The opportunity to combine different data sources was a strength of this study</w:t>
      </w:r>
      <w:r w:rsidR="00296002">
        <w:t>;</w:t>
      </w:r>
      <w:r w:rsidR="000251A0" w:rsidRPr="00BD6D1A">
        <w:t xml:space="preserve"> </w:t>
      </w:r>
      <w:r w:rsidRPr="00BD6D1A">
        <w:t xml:space="preserve">incorporating the most recent mortality data into the analysis allowed results to reflect that estimates of life expectancy in England have been down revised in recent years </w:t>
      </w:r>
      <w:r w:rsidR="007101CA" w:rsidRPr="00BD6D1A">
        <w:t>[</w:t>
      </w:r>
      <w:r w:rsidR="001A7D65">
        <w:t>4</w:t>
      </w:r>
      <w:r w:rsidR="00F342B2">
        <w:t>4</w:t>
      </w:r>
      <w:r w:rsidR="007101CA" w:rsidRPr="00BD6D1A">
        <w:t>]</w:t>
      </w:r>
      <w:r w:rsidRPr="00BD6D1A">
        <w:t>. Life expectancy projections were higher than official project</w:t>
      </w:r>
      <w:r w:rsidR="006D17E5" w:rsidRPr="00BD6D1A">
        <w:t>ed point estimates</w:t>
      </w:r>
      <w:r w:rsidRPr="00BD6D1A">
        <w:t xml:space="preserve"> by ONS, which </w:t>
      </w:r>
      <w:r w:rsidR="006D17E5" w:rsidRPr="00BD6D1A">
        <w:t>are accompanied by estimates of low and high variants based</w:t>
      </w:r>
      <w:r w:rsidRPr="00BD6D1A">
        <w:t xml:space="preserve"> on expert judgement rather than 95% confidence intervals from statistical methods. If the life expectancy projections obtained in this study are overestimated, the gap between life expectancy gains and HWLE gains may be narrower than observed (although HWLE would also be reduced by increased mortality in the 50-75 age range).</w:t>
      </w:r>
    </w:p>
    <w:p w14:paraId="34486668" w14:textId="4CD6C6FA" w:rsidR="002479C4" w:rsidRPr="00BD6D1A" w:rsidRDefault="002479C4" w:rsidP="00FF1A3B">
      <w:pPr>
        <w:spacing w:line="480" w:lineRule="auto"/>
      </w:pPr>
    </w:p>
    <w:p w14:paraId="5327A549" w14:textId="7A1D2E31" w:rsidR="00893FFB" w:rsidRPr="00BD6D1A" w:rsidRDefault="00296002" w:rsidP="00FF1A3B">
      <w:pPr>
        <w:spacing w:line="480" w:lineRule="auto"/>
      </w:pPr>
      <w:r>
        <w:t>E</w:t>
      </w:r>
      <w:r w:rsidR="00893FFB" w:rsidRPr="00BD6D1A">
        <w:t xml:space="preserve">stimates of HWLE using </w:t>
      </w:r>
      <w:r>
        <w:t>the intercensal and Sullivan methods</w:t>
      </w:r>
      <w:r w:rsidR="00893FFB" w:rsidRPr="00BD6D1A">
        <w:t xml:space="preserve"> were several years lower than HWLE estimates previously published using the interpolated Markov chains approach with data from the English Longitudinal Study of Ageing (10.94 years for men and 8.25 years for women from age 50) </w:t>
      </w:r>
      <w:r w:rsidR="007101CA" w:rsidRPr="00BD6D1A">
        <w:t>[</w:t>
      </w:r>
      <w:r w:rsidR="001A7D65">
        <w:t>3</w:t>
      </w:r>
      <w:r w:rsidR="007101CA" w:rsidRPr="00BD6D1A">
        <w:t>]</w:t>
      </w:r>
      <w:r w:rsidR="00893FFB" w:rsidRPr="00BD6D1A">
        <w:t xml:space="preserve">. In this study, to forecast HWLE necessitated a simplified multi-state modelling approach using the intercensal method (for which data collected annually from adults of all ages in </w:t>
      </w:r>
      <w:r w:rsidR="00980A48">
        <w:t>HSE</w:t>
      </w:r>
      <w:r w:rsidR="00893FFB" w:rsidRPr="00BD6D1A">
        <w:t xml:space="preserve"> were best suited) although limitations and biases of this health expectancy estimation approach are not yet well understood. These results suggest that HWLE estimates may be underestimated as a result of sensitivity to the model assumption of net irreversible transitions (instead of allowing return to the </w:t>
      </w:r>
      <w:r w:rsidR="00893FFB" w:rsidRPr="00BD6D1A">
        <w:lastRenderedPageBreak/>
        <w:t>healthy and working state) implemented in the intercensal and Sullivan methods, while the robustness of Sullivan time trends likely extends to trends observed using the intercensal method.</w:t>
      </w:r>
    </w:p>
    <w:p w14:paraId="32FCCAA5" w14:textId="1D627168" w:rsidR="00893FFB" w:rsidRDefault="00893FFB" w:rsidP="00FF1A3B">
      <w:pPr>
        <w:spacing w:line="480" w:lineRule="auto"/>
      </w:pPr>
      <w:r w:rsidRPr="00BD6D1A">
        <w:t>Th</w:t>
      </w:r>
      <w:r w:rsidR="00736669">
        <w:t>e</w:t>
      </w:r>
      <w:r w:rsidRPr="00BD6D1A">
        <w:t xml:space="preserve"> sensitivity analysis </w:t>
      </w:r>
      <w:r w:rsidR="00BD0F80">
        <w:t>demonstrating robustness of</w:t>
      </w:r>
      <w:r w:rsidR="00736669">
        <w:t xml:space="preserve"> HWLE </w:t>
      </w:r>
      <w:r w:rsidR="00BD0F80">
        <w:t xml:space="preserve">to </w:t>
      </w:r>
      <w:r w:rsidR="00BD0F80" w:rsidRPr="00A14398">
        <w:rPr>
          <w:i/>
          <w:iCs/>
        </w:rPr>
        <w:t>R</w:t>
      </w:r>
      <w:r w:rsidR="00BD0F80">
        <w:t xml:space="preserve"> </w:t>
      </w:r>
      <w:r w:rsidRPr="00BD0F80">
        <w:t>is</w:t>
      </w:r>
      <w:r w:rsidRPr="00BD6D1A">
        <w:t xml:space="preserve"> a key strength of this study as the true ratio is difficult to estimate due to the impermanence of people’s transitions between health and work statuses.</w:t>
      </w:r>
    </w:p>
    <w:p w14:paraId="42867218" w14:textId="591CB22B" w:rsidR="002A7C34" w:rsidRPr="00BD6D1A" w:rsidRDefault="00A14398" w:rsidP="00FF1A3B">
      <w:pPr>
        <w:spacing w:line="480" w:lineRule="auto"/>
      </w:pPr>
      <w:r>
        <w:t>O</w:t>
      </w:r>
      <w:r w:rsidR="002A7C34" w:rsidRPr="002A7C34">
        <w:t>perationalis</w:t>
      </w:r>
      <w:r>
        <w:t>ing health</w:t>
      </w:r>
      <w:r w:rsidR="002A7C34" w:rsidRPr="002A7C34">
        <w:t xml:space="preserve"> using self-reported longstanding limiting illness</w:t>
      </w:r>
      <w:r w:rsidR="002A7C34">
        <w:t xml:space="preserve"> is </w:t>
      </w:r>
      <w:r>
        <w:t>a</w:t>
      </w:r>
      <w:r w:rsidR="00BB4458">
        <w:t xml:space="preserve"> strength</w:t>
      </w:r>
      <w:r w:rsidR="002A7C34" w:rsidRPr="002A7C34">
        <w:t xml:space="preserve">. </w:t>
      </w:r>
      <w:r w:rsidR="00386440">
        <w:t xml:space="preserve">Theoretical models highlight </w:t>
      </w:r>
      <w:r>
        <w:t>that</w:t>
      </w:r>
      <w:r w:rsidR="00E30F41">
        <w:t xml:space="preserve"> biological and non-biological factors drive perceptions of health</w:t>
      </w:r>
      <w:r w:rsidR="00382C42">
        <w:t xml:space="preserve"> [</w:t>
      </w:r>
      <w:r w:rsidR="00746FD2">
        <w:t>22</w:t>
      </w:r>
      <w:r w:rsidR="00382C42">
        <w:t>]. T</w:t>
      </w:r>
      <w:r w:rsidR="00F36C53">
        <w:t>he aspect</w:t>
      </w:r>
      <w:r w:rsidR="00382C42">
        <w:t xml:space="preserve"> of health</w:t>
      </w:r>
      <w:r w:rsidR="00F36C53">
        <w:t xml:space="preserve"> </w:t>
      </w:r>
      <w:r w:rsidR="002E6E10">
        <w:t>driving</w:t>
      </w:r>
      <w:r w:rsidR="00F36C53">
        <w:t xml:space="preserve"> </w:t>
      </w:r>
      <w:r w:rsidR="005E29BA">
        <w:t xml:space="preserve">ability to function </w:t>
      </w:r>
      <w:r w:rsidR="00D10DF7">
        <w:t xml:space="preserve">(including </w:t>
      </w:r>
      <w:r w:rsidR="005E29BA">
        <w:t>work</w:t>
      </w:r>
      <w:r w:rsidR="00D10DF7">
        <w:t>)</w:t>
      </w:r>
      <w:r w:rsidR="005E29BA">
        <w:t xml:space="preserve"> is </w:t>
      </w:r>
      <w:r w:rsidR="002E6E10">
        <w:t xml:space="preserve">likely to be </w:t>
      </w:r>
      <w:r w:rsidR="005E29BA">
        <w:t>more directly l</w:t>
      </w:r>
      <w:r w:rsidR="00382C42">
        <w:t>inked to w</w:t>
      </w:r>
      <w:r w:rsidR="002A7C34" w:rsidRPr="002A7C34">
        <w:t>hether longstanding</w:t>
      </w:r>
      <w:r w:rsidR="00ED52E9">
        <w:t xml:space="preserve"> limiting</w:t>
      </w:r>
      <w:r w:rsidR="002A7C34" w:rsidRPr="002A7C34">
        <w:t xml:space="preserve"> illness is present than self-assessed general health, which </w:t>
      </w:r>
      <w:r>
        <w:t>is</w:t>
      </w:r>
      <w:r w:rsidR="002A7C34" w:rsidRPr="002A7C34">
        <w:t xml:space="preserve"> interpreted inconsistently between individuals and cultures and is associated with respondents’ feelings of vitality </w:t>
      </w:r>
      <w:r w:rsidR="00746FD2">
        <w:t>[4</w:t>
      </w:r>
      <w:r w:rsidR="00F342B2">
        <w:t>5</w:t>
      </w:r>
      <w:r w:rsidR="00746FD2">
        <w:t>]</w:t>
      </w:r>
      <w:r w:rsidR="002A7C34" w:rsidRPr="002A7C34">
        <w:t>. Th</w:t>
      </w:r>
      <w:r w:rsidR="00BB4458">
        <w:t>e</w:t>
      </w:r>
      <w:r w:rsidR="002A7C34" w:rsidRPr="002A7C34">
        <w:t xml:space="preserve"> operationalisation of health</w:t>
      </w:r>
      <w:r w:rsidR="00BB4458">
        <w:t xml:space="preserve"> via self-reported limitation</w:t>
      </w:r>
      <w:r w:rsidR="002A7C34" w:rsidRPr="002A7C34">
        <w:t xml:space="preserve"> </w:t>
      </w:r>
      <w:r w:rsidR="00890048">
        <w:t>is compatible with</w:t>
      </w:r>
      <w:r w:rsidR="002A7C34" w:rsidRPr="002A7C34">
        <w:t xml:space="preserve"> the biopsychosocial relationship between health and work</w:t>
      </w:r>
      <w:r w:rsidR="00BB4458">
        <w:t xml:space="preserve">; </w:t>
      </w:r>
      <w:r w:rsidR="001B0448">
        <w:t>for example</w:t>
      </w:r>
      <w:r w:rsidR="00FB59B3">
        <w:t>,</w:t>
      </w:r>
      <w:r w:rsidR="001B0448">
        <w:t xml:space="preserve"> </w:t>
      </w:r>
      <w:r w:rsidR="002A7C34" w:rsidRPr="002A7C34">
        <w:t xml:space="preserve">limitations experienced due to illness may be removed through employer adaptations </w:t>
      </w:r>
      <w:r w:rsidR="00296A03">
        <w:t>[17]</w:t>
      </w:r>
      <w:r w:rsidR="002A7C34" w:rsidRPr="002A7C34">
        <w:t xml:space="preserve">. </w:t>
      </w:r>
    </w:p>
    <w:p w14:paraId="36A5314D" w14:textId="2B035B3A" w:rsidR="00893FFB" w:rsidRPr="00BD6D1A" w:rsidRDefault="0033401A" w:rsidP="00FF1A3B">
      <w:pPr>
        <w:spacing w:line="480" w:lineRule="auto"/>
      </w:pPr>
      <w:r w:rsidRPr="00BD6D1A">
        <w:t xml:space="preserve">Limitations of our study concern the estimation method and HSE sample size. Firstly, the choice of </w:t>
      </w:r>
      <w:r w:rsidR="00893FFB" w:rsidRPr="00BD6D1A">
        <w:t xml:space="preserve">HWLE estimation method </w:t>
      </w:r>
      <w:r w:rsidRPr="00BD6D1A">
        <w:t xml:space="preserve">was </w:t>
      </w:r>
      <w:r w:rsidR="00893FFB" w:rsidRPr="00BD6D1A">
        <w:t>based on feasibility</w:t>
      </w:r>
      <w:r w:rsidRPr="00BD6D1A">
        <w:t>, rather than</w:t>
      </w:r>
      <w:r w:rsidR="00893FFB" w:rsidRPr="00BD6D1A">
        <w:t xml:space="preserve"> taking a Markov chain approach </w:t>
      </w:r>
      <w:r w:rsidR="007101CA" w:rsidRPr="00BD6D1A">
        <w:t>[</w:t>
      </w:r>
      <w:r w:rsidR="00296A03">
        <w:t>3,5</w:t>
      </w:r>
      <w:r w:rsidR="007101CA" w:rsidRPr="00BD6D1A">
        <w:t>]</w:t>
      </w:r>
      <w:r w:rsidR="00893FFB" w:rsidRPr="00BD6D1A">
        <w:t xml:space="preserve">. </w:t>
      </w:r>
      <w:r w:rsidR="00BA10D8" w:rsidRPr="00BD6D1A">
        <w:t xml:space="preserve">No </w:t>
      </w:r>
      <w:r w:rsidR="00E54C8A" w:rsidRPr="00BD6D1A">
        <w:t>approach</w:t>
      </w:r>
      <w:r w:rsidR="00177D5A" w:rsidRPr="00BD6D1A">
        <w:t xml:space="preserve"> to estimate</w:t>
      </w:r>
      <w:r w:rsidR="00893FFB" w:rsidRPr="00BD6D1A">
        <w:t xml:space="preserve"> </w:t>
      </w:r>
      <w:r w:rsidR="00BA10D8" w:rsidRPr="00BD6D1A">
        <w:t xml:space="preserve">confidence </w:t>
      </w:r>
      <w:r w:rsidR="00893FFB" w:rsidRPr="00BD6D1A">
        <w:t>intervals associated with each point estimate is a limitation of the intercensal approach</w:t>
      </w:r>
      <w:r w:rsidR="00215F49" w:rsidRPr="00BD6D1A">
        <w:t xml:space="preserve"> (those calculated for HWLE projections derive from the projection component)</w:t>
      </w:r>
      <w:r w:rsidR="00893FFB" w:rsidRPr="00BD6D1A">
        <w:t>. Th</w:t>
      </w:r>
      <w:r w:rsidRPr="00BD6D1A">
        <w:t>e intercensal</w:t>
      </w:r>
      <w:r w:rsidR="00893FFB" w:rsidRPr="00BD6D1A">
        <w:t xml:space="preserve"> method assumes that the age pattern for the </w:t>
      </w:r>
      <w:r w:rsidRPr="00BD6D1A">
        <w:t xml:space="preserve">rate of </w:t>
      </w:r>
      <w:r w:rsidR="00893FFB" w:rsidRPr="00BD6D1A">
        <w:t>transition from healthy and working to unhealthy and/or not working</w:t>
      </w:r>
      <w:r w:rsidRPr="00BD6D1A">
        <w:t>,</w:t>
      </w:r>
      <w:r w:rsidR="00893FFB" w:rsidRPr="00BD6D1A">
        <w:t xml:space="preserve"> as well as the overall population mortality rate</w:t>
      </w:r>
      <w:r w:rsidRPr="00BD6D1A">
        <w:t>,</w:t>
      </w:r>
      <w:r w:rsidR="00893FFB" w:rsidRPr="00BD6D1A">
        <w:t xml:space="preserve"> are well</w:t>
      </w:r>
      <w:r w:rsidRPr="00BD6D1A">
        <w:t xml:space="preserve"> approximated</w:t>
      </w:r>
      <w:r w:rsidR="00893FFB" w:rsidRPr="00BD6D1A">
        <w:t xml:space="preserve"> by an exponential function. This, and the modelling of net transition rates instead of the two-way transitions in and out of health and work states possible in reality, could help to explain why estimates using both the intercensal approach and the Sullivan method differ from previously published IMaCh results</w:t>
      </w:r>
      <w:r w:rsidR="00E54C8A" w:rsidRPr="00BD6D1A">
        <w:t xml:space="preserve"> </w:t>
      </w:r>
      <w:r w:rsidR="00CC2E16" w:rsidRPr="00BD6D1A">
        <w:t>[</w:t>
      </w:r>
      <w:r w:rsidR="00296A03">
        <w:t>3</w:t>
      </w:r>
      <w:r w:rsidR="00CC2E16" w:rsidRPr="00BD6D1A">
        <w:t>]</w:t>
      </w:r>
      <w:r w:rsidR="00893FFB" w:rsidRPr="00BD6D1A">
        <w:t>.</w:t>
      </w:r>
      <w:r w:rsidR="002479C4" w:rsidRPr="00BD6D1A">
        <w:t xml:space="preserve"> </w:t>
      </w:r>
      <w:r w:rsidRPr="00BD6D1A">
        <w:t>Secondly, c</w:t>
      </w:r>
      <w:r w:rsidR="00B426C2" w:rsidRPr="00BD6D1A">
        <w:t>alculation</w:t>
      </w:r>
      <w:r w:rsidR="00893FFB" w:rsidRPr="00BD6D1A">
        <w:t xml:space="preserve"> of </w:t>
      </w:r>
      <w:r w:rsidRPr="00BD6D1A">
        <w:t>past</w:t>
      </w:r>
      <w:r w:rsidR="00B426C2" w:rsidRPr="00BD6D1A">
        <w:t xml:space="preserve"> HWLE and estimation of</w:t>
      </w:r>
      <w:r w:rsidR="00893FFB" w:rsidRPr="00BD6D1A">
        <w:t xml:space="preserve"> projected HWLE w</w:t>
      </w:r>
      <w:r w:rsidR="00B426C2" w:rsidRPr="00BD6D1A">
        <w:t>ere</w:t>
      </w:r>
      <w:r w:rsidR="00893FFB" w:rsidRPr="00BD6D1A">
        <w:t xml:space="preserve"> limited by low sample sizes in the HSE datasets for health and work prevalence data to the extent that smoothing was essential. </w:t>
      </w:r>
      <w:r w:rsidR="002479C4" w:rsidRPr="00BD6D1A">
        <w:t>The s</w:t>
      </w:r>
      <w:r w:rsidR="00893FFB" w:rsidRPr="00BD6D1A">
        <w:t xml:space="preserve">ample sizes also </w:t>
      </w:r>
      <w:r w:rsidR="002479C4" w:rsidRPr="00BD6D1A">
        <w:t xml:space="preserve">meant that </w:t>
      </w:r>
      <w:r w:rsidR="002479C4" w:rsidRPr="00BD6D1A">
        <w:lastRenderedPageBreak/>
        <w:t xml:space="preserve">it was </w:t>
      </w:r>
      <w:r w:rsidR="00893FFB" w:rsidRPr="00BD6D1A">
        <w:t>necessary to examine period life expectancy and HWLE because sequential cross-sectional measurements of the age</w:t>
      </w:r>
      <w:r w:rsidR="0065223E" w:rsidRPr="00BD6D1A">
        <w:t>-</w:t>
      </w:r>
      <w:r w:rsidR="00893FFB" w:rsidRPr="00BD6D1A">
        <w:t xml:space="preserve">specific prevalence of being healthy and in work were too varied to be feasibly and meaningfully analysed using a cohort approach. Cohort HWLE estimates using the intercensal approach may be less biased than Sullivan estimates due to avoiding the assumption of stationary mortality rates and population prevalence of being healthy and in work throughout the </w:t>
      </w:r>
      <w:r w:rsidR="00AE73AC" w:rsidRPr="00BD6D1A">
        <w:t>life course</w:t>
      </w:r>
      <w:r w:rsidR="00893FFB" w:rsidRPr="00BD6D1A">
        <w:t xml:space="preserve"> for each year </w:t>
      </w:r>
      <w:r w:rsidR="00CC2E16" w:rsidRPr="00BD6D1A">
        <w:t>[</w:t>
      </w:r>
      <w:r w:rsidR="00296A03">
        <w:t>5</w:t>
      </w:r>
      <w:r w:rsidR="00CC2E16" w:rsidRPr="00BD6D1A">
        <w:t>]</w:t>
      </w:r>
      <w:r w:rsidR="00893FFB" w:rsidRPr="00BD6D1A">
        <w:t>.</w:t>
      </w:r>
      <w:r w:rsidR="00A5006F">
        <w:t xml:space="preserve"> That HSE survey weights were not available prior to 2003 may be a limitation affecting representativeness of the earlier study years. </w:t>
      </w:r>
      <w:r w:rsidR="002479C4" w:rsidRPr="00BD6D1A">
        <w:t xml:space="preserve"> The unavailability of age-specific HSE data after 2014 was a further limitation as this meant that years since then</w:t>
      </w:r>
      <w:r w:rsidRPr="00BD6D1A">
        <w:t xml:space="preserve">, </w:t>
      </w:r>
      <w:r w:rsidR="002479C4" w:rsidRPr="00BD6D1A">
        <w:t>already passed at the time of this study</w:t>
      </w:r>
      <w:r w:rsidRPr="00BD6D1A">
        <w:t>,</w:t>
      </w:r>
      <w:r w:rsidR="002479C4" w:rsidRPr="00BD6D1A">
        <w:t xml:space="preserve"> </w:t>
      </w:r>
      <w:r w:rsidR="00713060">
        <w:t>were</w:t>
      </w:r>
      <w:r w:rsidR="002479C4" w:rsidRPr="00BD6D1A">
        <w:t xml:space="preserve"> projected, adding additional uncertainty to the projections.</w:t>
      </w:r>
      <w:r w:rsidR="009C09AE" w:rsidRPr="00BD6D1A">
        <w:t xml:space="preserve"> Although this study aimed to estimate HWLE and LE from age 50 to end of life, it was necessary to assume negligible rates of health and work participation after age 75 due to very low and zero observed rates of health and work participation. Recent HSE years showed non-zero rates of health and work engagement following age 75</w:t>
      </w:r>
      <w:r w:rsidR="00713060">
        <w:t>;</w:t>
      </w:r>
      <w:r w:rsidR="009C09AE" w:rsidRPr="00BD6D1A">
        <w:t xml:space="preserve"> HWLE projections from age 50 to end of life could be slightly underestimated due to likely increasing work engagement in good health at these older ages.</w:t>
      </w:r>
    </w:p>
    <w:p w14:paraId="05D4C83E" w14:textId="3A69CBDF" w:rsidR="00FE6E84" w:rsidRPr="00BD6D1A" w:rsidRDefault="002479C4" w:rsidP="00FF1A3B">
      <w:pPr>
        <w:spacing w:line="480" w:lineRule="auto"/>
      </w:pPr>
      <w:r w:rsidRPr="00BD6D1A">
        <w:t xml:space="preserve">There are several key implications of this study for </w:t>
      </w:r>
      <w:r w:rsidR="002E0FC6" w:rsidRPr="00BD6D1A">
        <w:t>policymakers</w:t>
      </w:r>
      <w:r w:rsidRPr="00BD6D1A">
        <w:t xml:space="preserve"> and further research</w:t>
      </w:r>
      <w:r w:rsidR="004A22A3" w:rsidRPr="00BD6D1A">
        <w:t>. Importantly, t</w:t>
      </w:r>
      <w:r w:rsidRPr="00BD6D1A">
        <w:t xml:space="preserve">he study </w:t>
      </w:r>
      <w:r w:rsidR="00E51E15">
        <w:t>indicates</w:t>
      </w:r>
      <w:r w:rsidRPr="00BD6D1A">
        <w:t xml:space="preserve"> that policies to extend working lives are likely to </w:t>
      </w:r>
      <w:r w:rsidR="003D4A0B">
        <w:t>fail</w:t>
      </w:r>
      <w:r w:rsidR="002E0FC6" w:rsidRPr="00BD6D1A">
        <w:t xml:space="preserve"> without </w:t>
      </w:r>
      <w:r w:rsidR="001D1076" w:rsidRPr="00BD6D1A">
        <w:t>additional policies targeting</w:t>
      </w:r>
      <w:r w:rsidR="002E0FC6" w:rsidRPr="00BD6D1A">
        <w:t xml:space="preserve"> population health, job opportunities, management of health conditions for people in work, and workplace environments</w:t>
      </w:r>
      <w:r w:rsidR="004A22A3" w:rsidRPr="00BD6D1A">
        <w:t>. However, the Lee-Carter forecasting approach did not take into account the role on HWLE of other factors that may change, and the HWLE projections presented suggest future trends based on relevant factors remaining the same (or continuing the same trends) as observed in the study period.</w:t>
      </w:r>
      <w:r w:rsidR="004E7DFB" w:rsidRPr="00BD6D1A">
        <w:t xml:space="preserve"> W</w:t>
      </w:r>
      <w:r w:rsidR="004A22A3" w:rsidRPr="00BD6D1A">
        <w:t>hether people in England are able to work for longer may depend on interventions to improve population health and access to suitable employment</w:t>
      </w:r>
      <w:r w:rsidR="004E7DFB" w:rsidRPr="00BD6D1A">
        <w:t xml:space="preserve">, particularly as earlier onset of </w:t>
      </w:r>
      <w:r w:rsidR="0033401A" w:rsidRPr="00BD6D1A">
        <w:t>multiple health conditions (</w:t>
      </w:r>
      <w:r w:rsidR="004E7DFB" w:rsidRPr="00BD6D1A">
        <w:t>multi-morbidity</w:t>
      </w:r>
      <w:r w:rsidR="0033401A" w:rsidRPr="00BD6D1A">
        <w:t>)</w:t>
      </w:r>
      <w:r w:rsidR="004E7DFB" w:rsidRPr="00BD6D1A">
        <w:t xml:space="preserve"> is expected in future cohorts of older people </w:t>
      </w:r>
      <w:r w:rsidR="00CC2E16" w:rsidRPr="00BD6D1A">
        <w:t>[</w:t>
      </w:r>
      <w:r w:rsidR="00A83197">
        <w:t>4</w:t>
      </w:r>
      <w:r w:rsidR="00F342B2">
        <w:t>6</w:t>
      </w:r>
      <w:r w:rsidR="00CC2E16" w:rsidRPr="00BD6D1A">
        <w:t>]</w:t>
      </w:r>
      <w:r w:rsidR="004A22A3" w:rsidRPr="00BD6D1A">
        <w:t>. M</w:t>
      </w:r>
      <w:r w:rsidRPr="00BD6D1A">
        <w:t>ore work is needed to examine links between population health, demographic, workplace and lifestyle factors with HWLE</w:t>
      </w:r>
      <w:r w:rsidR="004A22A3" w:rsidRPr="00BD6D1A">
        <w:t>.</w:t>
      </w:r>
      <w:r w:rsidR="00A93973">
        <w:t xml:space="preserve"> </w:t>
      </w:r>
      <w:r w:rsidR="00A93973" w:rsidRPr="00A93973">
        <w:t>There are numerous factors (e</w:t>
      </w:r>
      <w:r w:rsidR="00BB4458">
        <w:t>.</w:t>
      </w:r>
      <w:r w:rsidR="00A93973" w:rsidRPr="00A93973">
        <w:t>g</w:t>
      </w:r>
      <w:r w:rsidR="00BB4458">
        <w:t>.</w:t>
      </w:r>
      <w:r w:rsidR="00A93973" w:rsidRPr="00A93973">
        <w:t xml:space="preserve"> climate change) that may influence HWLE in the coming years in ways that we cannot currently predict, and </w:t>
      </w:r>
      <w:r w:rsidR="00A93973" w:rsidRPr="00A93973">
        <w:lastRenderedPageBreak/>
        <w:t>methodological development is required to account for the trends presently foreseen in lifestyle behaviours (e</w:t>
      </w:r>
      <w:r w:rsidR="00BB4458">
        <w:t>.</w:t>
      </w:r>
      <w:r w:rsidR="00A93973" w:rsidRPr="00A93973">
        <w:t>g</w:t>
      </w:r>
      <w:r w:rsidR="00BB4458">
        <w:t>.</w:t>
      </w:r>
      <w:r w:rsidR="00A93973" w:rsidRPr="00A93973">
        <w:t xml:space="preserve"> activity and obesity levels) and workplace factors.</w:t>
      </w:r>
      <w:r w:rsidR="004A22A3" w:rsidRPr="00BD6D1A">
        <w:t xml:space="preserve"> </w:t>
      </w:r>
      <w:r w:rsidR="00FE6E84" w:rsidRPr="00BD6D1A">
        <w:t>The novel demonstration of HWLE estimation using the intercensal approach compared to more established approaches has important implications for methodological development of the health expectancy estimation toolkit.</w:t>
      </w:r>
    </w:p>
    <w:p w14:paraId="1D47B950" w14:textId="111DD165" w:rsidR="00AE73AC" w:rsidRPr="00BD6D1A" w:rsidRDefault="00FE6E84" w:rsidP="00FF1A3B">
      <w:pPr>
        <w:spacing w:line="480" w:lineRule="auto"/>
      </w:pPr>
      <w:r w:rsidRPr="00BD6D1A">
        <w:t>Although difficulty identifying a suitable data source may be a barrier to updating the HWLE projections using these methods in the future, the</w:t>
      </w:r>
      <w:r w:rsidR="001D1076" w:rsidRPr="00BD6D1A">
        <w:t>se</w:t>
      </w:r>
      <w:r w:rsidRPr="00BD6D1A">
        <w:t xml:space="preserve"> findings provide useful insight into the </w:t>
      </w:r>
      <w:r w:rsidR="00BC49D8" w:rsidRPr="00BD6D1A">
        <w:t>potential</w:t>
      </w:r>
      <w:r w:rsidRPr="00BD6D1A">
        <w:t xml:space="preserve"> trajectory of future HWLE change for men and women in England. Recognising the possibility that HWLE estimates and projections are likely to have been underestimated in this study, there remains a gap between expected levels of working (until the State Pension age on average) and achieved length of healthy working life among men and women in England. There is a need to monitor current and projected HWLE to examine the impact of policy changes in the coming years as State Pension age continues to rise and people are expected to work for longer. The projected slowing of HWLE gains compared to life expectancy indicates a need to better understand the factors that drive</w:t>
      </w:r>
      <w:r w:rsidR="00D7183C" w:rsidRPr="00BD6D1A">
        <w:t>,</w:t>
      </w:r>
      <w:r w:rsidRPr="00BD6D1A">
        <w:t xml:space="preserve"> or are barriers to</w:t>
      </w:r>
      <w:r w:rsidR="00D7183C" w:rsidRPr="00BD6D1A">
        <w:t>,</w:t>
      </w:r>
      <w:r w:rsidRPr="00BD6D1A">
        <w:t xml:space="preserve"> extending healthy working life as well as how HWLE varies between subpopulations affected by key age-associated health conditions</w:t>
      </w:r>
      <w:r w:rsidR="00D7183C" w:rsidRPr="00BD6D1A">
        <w:t>. I</w:t>
      </w:r>
      <w:r w:rsidRPr="00BD6D1A">
        <w:t>nitiatives to improve population health and wellbeing, reduce inequalities, and improve access to suitable job opportunities may be essential to continue the upward trajectory of HWLE for men and women as State Pension age rise</w:t>
      </w:r>
      <w:r w:rsidR="00D7183C" w:rsidRPr="00BD6D1A">
        <w:t>s</w:t>
      </w:r>
      <w:r w:rsidRPr="00BD6D1A">
        <w:t>.</w:t>
      </w:r>
    </w:p>
    <w:p w14:paraId="222F65B9" w14:textId="77777777" w:rsidR="00AE73AC" w:rsidRPr="00BD6D1A" w:rsidRDefault="00AE73AC" w:rsidP="00FF1A3B">
      <w:pPr>
        <w:spacing w:line="480" w:lineRule="auto"/>
      </w:pPr>
      <w:r w:rsidRPr="00BD6D1A">
        <w:br w:type="page"/>
      </w:r>
    </w:p>
    <w:p w14:paraId="0F5E1E83" w14:textId="08E2BBC4" w:rsidR="00AE73AC" w:rsidRPr="00BD6D1A" w:rsidRDefault="00AE73AC" w:rsidP="00FF1A3B">
      <w:pPr>
        <w:spacing w:line="480" w:lineRule="auto"/>
        <w:rPr>
          <w:b/>
          <w:bCs/>
        </w:rPr>
      </w:pPr>
      <w:r w:rsidRPr="00BD6D1A">
        <w:rPr>
          <w:b/>
          <w:bCs/>
        </w:rPr>
        <w:lastRenderedPageBreak/>
        <w:t>Methods</w:t>
      </w:r>
    </w:p>
    <w:p w14:paraId="2D5F1B66" w14:textId="75853188" w:rsidR="00995B0C" w:rsidRDefault="00C91B55" w:rsidP="00FF1A3B">
      <w:pPr>
        <w:spacing w:line="480" w:lineRule="auto"/>
      </w:pPr>
      <w:r>
        <w:t xml:space="preserve">Ethical approval </w:t>
      </w:r>
      <w:r w:rsidR="00655919">
        <w:t>for the</w:t>
      </w:r>
      <w:r w:rsidR="00B245E3">
        <w:t xml:space="preserve"> Health Survey for England </w:t>
      </w:r>
      <w:r w:rsidR="00655919">
        <w:t>is reviewed yearly</w:t>
      </w:r>
      <w:r w:rsidR="006D35C2">
        <w:t xml:space="preserve"> and </w:t>
      </w:r>
      <w:r w:rsidR="00002D34" w:rsidRPr="00002D34">
        <w:t>was obtained from the East Midlands Nottingham 2 Research Ethics Committee (Reference no. 15/EM/0254)</w:t>
      </w:r>
      <w:r w:rsidR="00002D34">
        <w:t xml:space="preserve"> for the </w:t>
      </w:r>
      <w:r w:rsidR="00002D34" w:rsidRPr="00002D34">
        <w:t>2018 survey</w:t>
      </w:r>
      <w:r w:rsidR="00002D34">
        <w:t>.</w:t>
      </w:r>
      <w:r w:rsidR="00B0774A">
        <w:t xml:space="preserve"> </w:t>
      </w:r>
    </w:p>
    <w:p w14:paraId="28C532D3" w14:textId="66E9AB57" w:rsidR="00AE73AC" w:rsidRPr="00BD6D1A" w:rsidRDefault="00AE73AC" w:rsidP="00FF1A3B">
      <w:pPr>
        <w:spacing w:line="480" w:lineRule="auto"/>
      </w:pPr>
      <w:r w:rsidRPr="00BD6D1A">
        <w:t>Study design and participants</w:t>
      </w:r>
    </w:p>
    <w:p w14:paraId="3E2968A8" w14:textId="07BEF16C" w:rsidR="0065223E" w:rsidRPr="00BD6D1A" w:rsidRDefault="0065223E" w:rsidP="00FF1A3B">
      <w:pPr>
        <w:spacing w:line="480" w:lineRule="auto"/>
      </w:pPr>
      <w:r w:rsidRPr="00BD6D1A">
        <w:t xml:space="preserve">Total life expectancy from age 50 and </w:t>
      </w:r>
      <w:r w:rsidR="00266860" w:rsidRPr="00BD6D1A">
        <w:t xml:space="preserve">HWLE (Healthy Working Life Expectancy) </w:t>
      </w:r>
      <w:r w:rsidRPr="00BD6D1A">
        <w:t xml:space="preserve">from age 50 to end of life were estimated and forecasted using age-specific rates of mortality and health and work participation. Age-specific mortality rates </w:t>
      </w:r>
      <w:r w:rsidR="008B5145" w:rsidRPr="00BD6D1A">
        <w:t xml:space="preserve">from age 50 to 100 </w:t>
      </w:r>
      <w:r w:rsidRPr="00BD6D1A">
        <w:t xml:space="preserve">for men and women separately were identified from the UK Office for National Statistics (ONS) single year life tables from 1996 (to correspond to the start of HSE data used) to 2018 (the most recent year available at the time of analysis) </w:t>
      </w:r>
      <w:r w:rsidR="00CC2E16" w:rsidRPr="00BD6D1A">
        <w:t>[</w:t>
      </w:r>
      <w:r w:rsidR="000A05F9">
        <w:t>4</w:t>
      </w:r>
      <w:r w:rsidR="00CC2E16" w:rsidRPr="00BD6D1A">
        <w:t>]</w:t>
      </w:r>
      <w:r w:rsidRPr="00BD6D1A">
        <w:t>.</w:t>
      </w:r>
    </w:p>
    <w:p w14:paraId="303B9B13" w14:textId="434073AE" w:rsidR="00AE73AC" w:rsidRPr="00BD6D1A" w:rsidRDefault="00BC49D8" w:rsidP="00FF1A3B">
      <w:pPr>
        <w:spacing w:line="480" w:lineRule="auto"/>
      </w:pPr>
      <w:r w:rsidRPr="00BD6D1A">
        <w:t xml:space="preserve">Data </w:t>
      </w:r>
      <w:r w:rsidR="0065223E" w:rsidRPr="00BD6D1A">
        <w:t xml:space="preserve">on health and work participation were used </w:t>
      </w:r>
      <w:r w:rsidRPr="00BD6D1A">
        <w:t>from the Health Survey for England (HSE)</w:t>
      </w:r>
      <w:r w:rsidR="0065223E" w:rsidRPr="00BD6D1A">
        <w:t>. F</w:t>
      </w:r>
      <w:r w:rsidR="00AE73AC" w:rsidRPr="00BD6D1A">
        <w:t>ull details of</w:t>
      </w:r>
      <w:r w:rsidRPr="00BD6D1A">
        <w:t xml:space="preserve"> HSE </w:t>
      </w:r>
      <w:r w:rsidR="00AE73AC" w:rsidRPr="00BD6D1A">
        <w:t>study design, methods, and response rates have been published</w:t>
      </w:r>
      <w:r w:rsidRPr="00BD6D1A">
        <w:t xml:space="preserve"> previously</w:t>
      </w:r>
      <w:r w:rsidR="00AE73AC" w:rsidRPr="00BD6D1A">
        <w:t xml:space="preserve"> </w:t>
      </w:r>
      <w:r w:rsidR="00B800C3" w:rsidRPr="00BD6D1A">
        <w:t>[</w:t>
      </w:r>
      <w:r w:rsidR="000A05F9">
        <w:t>6,4</w:t>
      </w:r>
      <w:r w:rsidR="00F342B2">
        <w:t>7</w:t>
      </w:r>
      <w:r w:rsidR="00B800C3" w:rsidRPr="00BD6D1A">
        <w:t>]</w:t>
      </w:r>
      <w:r w:rsidR="00AE73AC" w:rsidRPr="00BD6D1A">
        <w:t>. Briefly, the series of annual HSE surveys started in 1991 using household questionnaires, personal interviews</w:t>
      </w:r>
      <w:r w:rsidR="00B800C3" w:rsidRPr="00BD6D1A">
        <w:t>,</w:t>
      </w:r>
      <w:r w:rsidR="00AE73AC" w:rsidRPr="00BD6D1A">
        <w:t xml:space="preserve"> and self-completion questionnaires to collect data from representative samples of England’s community-dwelling general population (using survey weighting from 2003). HSE data were obtained from the UK Data Service </w:t>
      </w:r>
      <w:r w:rsidR="00AE199C" w:rsidRPr="00BD6D1A">
        <w:t>(</w:t>
      </w:r>
      <w:r w:rsidR="007E26CC">
        <w:t xml:space="preserve">freely </w:t>
      </w:r>
      <w:r w:rsidR="00AE199C" w:rsidRPr="00BD6D1A">
        <w:t>available</w:t>
      </w:r>
      <w:r w:rsidR="007E26CC">
        <w:t xml:space="preserve"> to </w:t>
      </w:r>
      <w:r w:rsidR="00F75F08">
        <w:t xml:space="preserve">registered </w:t>
      </w:r>
      <w:r w:rsidR="007E26CC">
        <w:t>researchers</w:t>
      </w:r>
      <w:r w:rsidR="00AE199C" w:rsidRPr="00BD6D1A">
        <w:t xml:space="preserve"> from </w:t>
      </w:r>
      <w:r w:rsidR="00120CA7" w:rsidRPr="00BD6D1A">
        <w:t>http://doi.org/10.5255/UKDA-SN-7919-3</w:t>
      </w:r>
      <w:r w:rsidR="00AE199C" w:rsidRPr="00BD6D1A">
        <w:t xml:space="preserve">) </w:t>
      </w:r>
      <w:r w:rsidR="00AE73AC" w:rsidRPr="00BD6D1A">
        <w:t xml:space="preserve">and used to identify the prevalence </w:t>
      </w:r>
      <w:r w:rsidR="008A5FBC">
        <w:t xml:space="preserve">(with weights for years 2003-2014) </w:t>
      </w:r>
      <w:r w:rsidR="00AE73AC" w:rsidRPr="00BD6D1A">
        <w:t>of being healthy and in paid work at each year of age from age 50 upwards from 1996</w:t>
      </w:r>
      <w:r w:rsidR="00710712" w:rsidRPr="00BD6D1A">
        <w:t xml:space="preserve"> </w:t>
      </w:r>
      <w:r w:rsidR="00AE73AC" w:rsidRPr="00BD6D1A">
        <w:t>to 2014 using variables: limiting long-standing illness (to identify health status</w:t>
      </w:r>
      <w:r w:rsidR="00CE5E03" w:rsidRPr="00BD6D1A">
        <w:t>; included in HSE from 1996</w:t>
      </w:r>
      <w:r w:rsidR="00AE73AC" w:rsidRPr="00BD6D1A">
        <w:t xml:space="preserve">); work participation status; and year of age. More recent HSE data (2015 onwards) could not be used due to providing only grouped age variables. </w:t>
      </w:r>
      <w:r w:rsidR="008B5145" w:rsidRPr="00BD6D1A">
        <w:t>For feasibility, a</w:t>
      </w:r>
      <w:r w:rsidR="0065223E" w:rsidRPr="00BD6D1A">
        <w:t xml:space="preserve"> data-driven assumption was made that the </w:t>
      </w:r>
      <w:r w:rsidR="008B5145" w:rsidRPr="00BD6D1A">
        <w:t xml:space="preserve">age-specific rates </w:t>
      </w:r>
      <w:r w:rsidR="0065223E" w:rsidRPr="00BD6D1A">
        <w:t xml:space="preserve">of </w:t>
      </w:r>
      <w:r w:rsidR="008B5145" w:rsidRPr="00BD6D1A">
        <w:t>being</w:t>
      </w:r>
      <w:r w:rsidR="0065223E" w:rsidRPr="00BD6D1A">
        <w:t xml:space="preserve"> </w:t>
      </w:r>
      <w:r w:rsidR="00D7183C" w:rsidRPr="00BD6D1A">
        <w:t xml:space="preserve">both </w:t>
      </w:r>
      <w:r w:rsidR="0065223E" w:rsidRPr="00BD6D1A">
        <w:t xml:space="preserve">healthy and </w:t>
      </w:r>
      <w:r w:rsidR="008B5145" w:rsidRPr="00BD6D1A">
        <w:t>in work</w:t>
      </w:r>
      <w:r w:rsidR="0065223E" w:rsidRPr="00BD6D1A">
        <w:t xml:space="preserve"> w</w:t>
      </w:r>
      <w:r w:rsidR="008B5145" w:rsidRPr="00BD6D1A">
        <w:t>ere</w:t>
      </w:r>
      <w:r w:rsidR="0065223E" w:rsidRPr="00BD6D1A">
        <w:t xml:space="preserve"> negligible after age 75. </w:t>
      </w:r>
      <w:r w:rsidR="00AE73AC" w:rsidRPr="00BD6D1A">
        <w:t>HSE sample sizes each year from 1996 to 2014 for ages 50-75 ranged from 1785 (2009) to 5798 (2008) after excluding respondents with missing health and/or work data</w:t>
      </w:r>
      <w:r w:rsidR="00126C5A">
        <w:t xml:space="preserve"> (supplementary table 5)</w:t>
      </w:r>
      <w:r w:rsidR="00AE73AC" w:rsidRPr="00BD6D1A">
        <w:t xml:space="preserve">. </w:t>
      </w:r>
      <w:r w:rsidR="00AE73AC" w:rsidRPr="00BD6D1A">
        <w:lastRenderedPageBreak/>
        <w:t xml:space="preserve">For each year from 1996 to 2014 for respondents aged 50-75, the number of respondents with missing health and/or work data ranged from 0 (1996) to 10 (2014). </w:t>
      </w:r>
    </w:p>
    <w:p w14:paraId="486534A1" w14:textId="77777777" w:rsidR="00AE73AC" w:rsidRPr="00BD6D1A" w:rsidRDefault="00AE73AC" w:rsidP="00FF1A3B">
      <w:pPr>
        <w:spacing w:line="480" w:lineRule="auto"/>
      </w:pPr>
    </w:p>
    <w:p w14:paraId="6DA0D422" w14:textId="60B94268" w:rsidR="00AE73AC" w:rsidRPr="00BD6D1A" w:rsidRDefault="00AE73AC" w:rsidP="00FF1A3B">
      <w:pPr>
        <w:spacing w:line="480" w:lineRule="auto"/>
      </w:pPr>
      <w:r w:rsidRPr="00BD6D1A">
        <w:t>Assessment of health and work states</w:t>
      </w:r>
    </w:p>
    <w:p w14:paraId="00A07351" w14:textId="1AA2C3F0" w:rsidR="0033551F" w:rsidRPr="00BD6D1A" w:rsidRDefault="0033551F" w:rsidP="00FF1A3B">
      <w:pPr>
        <w:spacing w:line="480" w:lineRule="auto"/>
      </w:pPr>
      <w:r w:rsidRPr="00BD6D1A">
        <w:t xml:space="preserve">HWLE is defined as the average number of years people in a population are expected to be both healthy and in work from age 50 </w:t>
      </w:r>
      <w:r w:rsidR="00B800C3" w:rsidRPr="00BD6D1A">
        <w:t>[</w:t>
      </w:r>
      <w:r w:rsidR="000F37C2">
        <w:t>3,18</w:t>
      </w:r>
      <w:r w:rsidR="00B800C3" w:rsidRPr="00BD6D1A">
        <w:t>]</w:t>
      </w:r>
      <w:r w:rsidRPr="00BD6D1A">
        <w:t xml:space="preserve">. </w:t>
      </w:r>
      <w:r w:rsidR="00AE73AC" w:rsidRPr="00BD6D1A">
        <w:t>Health and work statuses were self-reported in HSE surveys from 1996.</w:t>
      </w:r>
    </w:p>
    <w:p w14:paraId="4DF71FC6" w14:textId="04B3CBDC" w:rsidR="00AE73AC" w:rsidRPr="00BD6D1A" w:rsidRDefault="00AE73AC" w:rsidP="00FF1A3B">
      <w:pPr>
        <w:spacing w:line="480" w:lineRule="auto"/>
      </w:pPr>
      <w:r w:rsidRPr="00BD6D1A">
        <w:t xml:space="preserve">Health was captured through two survey items </w:t>
      </w:r>
      <w:r w:rsidR="00047326" w:rsidRPr="00BD6D1A">
        <w:t xml:space="preserve">on limiting long standing illness </w:t>
      </w:r>
      <w:r w:rsidRPr="00BD6D1A">
        <w:t>(revised in 2012): “Do you have any long-standing illness, disability or infirmity? By long-standing I mean anything that has troubled you over a period of time, or that is likely to affect you over a period of time?” and, if so, “Does this illness or disability (do any of these illnesses or disabilities) limit your activities in any way?” (HSE 1996-2011); “Do you have any physical or mental health conditions or illnesses lasting or expected to last 12 months or more?” and, if so, “Do any of your conditions or illnesses reduce your ability to carry out day-today activities? Please consider whether you are affected while receiving any treatment or medication for your condition or illness and/or using any devices such as a hearing aid, for example.” (HSE 2012 onwards). Respondents were considered to have a limiting long-standing illness</w:t>
      </w:r>
      <w:r w:rsidR="00047326" w:rsidRPr="00BD6D1A">
        <w:t>, and thus unhealthy,</w:t>
      </w:r>
      <w:r w:rsidRPr="00BD6D1A">
        <w:t xml:space="preserve"> if they responded yes to both questions (with activity restriction ‘yes, a little’ or ‘yes, a lot’ in 2012-2014). Respondents were otherwise considered healthy.</w:t>
      </w:r>
    </w:p>
    <w:p w14:paraId="1C8ADFD9" w14:textId="77777777" w:rsidR="00AE73AC" w:rsidRPr="00BD6D1A" w:rsidRDefault="00AE73AC" w:rsidP="00FF1A3B">
      <w:pPr>
        <w:spacing w:line="480" w:lineRule="auto"/>
      </w:pPr>
      <w:r w:rsidRPr="00BD6D1A">
        <w:t>Work was defined as participation in paid employment or self-employment (or away temporarily) within the week preceding that of the interview.</w:t>
      </w:r>
    </w:p>
    <w:p w14:paraId="16BA5769" w14:textId="77777777" w:rsidR="00AE73AC" w:rsidRPr="00BD6D1A" w:rsidRDefault="00AE73AC" w:rsidP="00FF1A3B">
      <w:pPr>
        <w:spacing w:line="480" w:lineRule="auto"/>
      </w:pPr>
    </w:p>
    <w:p w14:paraId="05B806E1" w14:textId="77777777" w:rsidR="00AE73AC" w:rsidRPr="00BD6D1A" w:rsidRDefault="00AE73AC" w:rsidP="00FF1A3B">
      <w:pPr>
        <w:spacing w:line="480" w:lineRule="auto"/>
      </w:pPr>
      <w:r w:rsidRPr="00BD6D1A">
        <w:t>Statistical methods</w:t>
      </w:r>
    </w:p>
    <w:p w14:paraId="7FEC8DE5" w14:textId="71438CFA" w:rsidR="00AE73AC" w:rsidRPr="00BD6D1A" w:rsidRDefault="00AE73AC" w:rsidP="00FF1A3B">
      <w:pPr>
        <w:spacing w:line="480" w:lineRule="auto"/>
      </w:pPr>
      <w:r w:rsidRPr="00BD6D1A">
        <w:lastRenderedPageBreak/>
        <w:t>A 3-state model was used to estimate and project HWLE for men and women in England: healthy and working (state 1); unhealthy and/or not working (state 2); dead (state 3) (</w:t>
      </w:r>
      <w:r w:rsidR="000757AE">
        <w:t xml:space="preserve">supplementary </w:t>
      </w:r>
      <w:r w:rsidRPr="00BD6D1A">
        <w:t xml:space="preserve">figure 1). HWLE was </w:t>
      </w:r>
      <w:r w:rsidR="007500AA" w:rsidRPr="00BD6D1A">
        <w:t>calculated</w:t>
      </w:r>
      <w:r w:rsidRPr="00BD6D1A">
        <w:t xml:space="preserve"> and forecasted based on a progressive illness-death model in which irreversible transitions can occur: from healthy and working to unhealthy and/or not working (transition from state 1 to state 2); from healthy and working to dead (state 1 to state 3); and from unhealthy and/or not working to dead (state 2 to state 3) (</w:t>
      </w:r>
      <w:r w:rsidR="000757AE">
        <w:t xml:space="preserve">supplementary </w:t>
      </w:r>
      <w:r w:rsidRPr="00BD6D1A">
        <w:t xml:space="preserve">figure 1). As </w:t>
      </w:r>
      <w:r w:rsidR="00266860" w:rsidRPr="00BD6D1A">
        <w:t>(</w:t>
      </w:r>
      <w:r w:rsidRPr="00BD6D1A">
        <w:t>in reality</w:t>
      </w:r>
      <w:r w:rsidR="00266860" w:rsidRPr="00BD6D1A">
        <w:t>)</w:t>
      </w:r>
      <w:r w:rsidRPr="00BD6D1A">
        <w:t xml:space="preserve"> individuals may exit and re-enter the healthy working state, this approach assumes to model net transition rates</w:t>
      </w:r>
      <w:r w:rsidR="00B800C3" w:rsidRPr="00BD6D1A">
        <w:t xml:space="preserve"> [</w:t>
      </w:r>
      <w:r w:rsidR="00885DD1">
        <w:t>7,4</w:t>
      </w:r>
      <w:r w:rsidR="00F342B2">
        <w:t>8</w:t>
      </w:r>
      <w:r w:rsidR="00B800C3" w:rsidRPr="00BD6D1A">
        <w:t>]</w:t>
      </w:r>
      <w:r w:rsidR="009A2796" w:rsidRPr="00BD6D1A">
        <w:t>.</w:t>
      </w:r>
    </w:p>
    <w:p w14:paraId="75470A40" w14:textId="77777777" w:rsidR="00AE73AC" w:rsidRPr="00BD6D1A" w:rsidRDefault="00AE73AC" w:rsidP="00FF1A3B">
      <w:pPr>
        <w:spacing w:line="480" w:lineRule="auto"/>
      </w:pPr>
    </w:p>
    <w:p w14:paraId="41612EAA" w14:textId="35EE52EB" w:rsidR="00AE73AC" w:rsidRPr="00BD6D1A" w:rsidRDefault="00AE73AC" w:rsidP="00FF1A3B">
      <w:pPr>
        <w:spacing w:line="480" w:lineRule="auto"/>
      </w:pPr>
      <w:r w:rsidRPr="00BD6D1A">
        <w:t xml:space="preserve">HWLE from 1996 to 2014 was estimated separately for men and women using the intercensal approach </w:t>
      </w:r>
      <w:r w:rsidR="00B800C3" w:rsidRPr="00BD6D1A">
        <w:t>[</w:t>
      </w:r>
      <w:r w:rsidR="00885DD1">
        <w:t>5,7</w:t>
      </w:r>
      <w:r w:rsidR="00B800C3" w:rsidRPr="00BD6D1A">
        <w:t>]</w:t>
      </w:r>
      <w:r w:rsidRPr="00BD6D1A">
        <w:t xml:space="preserve">. In this health expectancy estimation method, transition probabilities and transition </w:t>
      </w:r>
      <w:r w:rsidR="0033551F" w:rsidRPr="00BD6D1A">
        <w:t>rates are</w:t>
      </w:r>
      <w:r w:rsidRPr="00BD6D1A">
        <w:t xml:space="preserve"> inferred from: age</w:t>
      </w:r>
      <w:r w:rsidR="0065223E" w:rsidRPr="00BD6D1A">
        <w:t>-</w:t>
      </w:r>
      <w:r w:rsidRPr="00BD6D1A">
        <w:t>specific mortality rates for each calendar year; age</w:t>
      </w:r>
      <w:r w:rsidR="0065223E" w:rsidRPr="00BD6D1A">
        <w:t>-</w:t>
      </w:r>
      <w:r w:rsidRPr="00BD6D1A">
        <w:t xml:space="preserve">specific prevalence of being healthy and in work for each calendar year; and the ratio of mortality rates </w:t>
      </w:r>
      <w:r w:rsidRPr="00BD6D1A">
        <w:rPr>
          <w:i/>
          <w:iCs/>
        </w:rPr>
        <w:t>R</w:t>
      </w:r>
      <w:r w:rsidRPr="00BD6D1A">
        <w:t xml:space="preserve"> from the unhealthy and/or not working state (state 2) compared to the healthy working state (state 1). </w:t>
      </w:r>
      <w:r w:rsidRPr="00BD6D1A">
        <w:rPr>
          <w:i/>
          <w:iCs/>
        </w:rPr>
        <w:t>R</w:t>
      </w:r>
      <w:r w:rsidRPr="00BD6D1A">
        <w:t xml:space="preserve"> was treated as constant with the assumption that the relationship with mortality of health and work status was the same for all ages, calendar years and sexes </w:t>
      </w:r>
      <w:r w:rsidR="00B800C3" w:rsidRPr="00BD6D1A">
        <w:t>[</w:t>
      </w:r>
      <w:r w:rsidR="00885DD1">
        <w:t>4</w:t>
      </w:r>
      <w:r w:rsidR="00F342B2">
        <w:t>8</w:t>
      </w:r>
      <w:r w:rsidR="00B800C3" w:rsidRPr="00BD6D1A">
        <w:t>]</w:t>
      </w:r>
      <w:r w:rsidR="009A2796" w:rsidRPr="00BD6D1A">
        <w:t>.</w:t>
      </w:r>
    </w:p>
    <w:p w14:paraId="4847FB83" w14:textId="13DC8760" w:rsidR="00AE73AC" w:rsidRPr="00BD6D1A" w:rsidRDefault="00AE73AC" w:rsidP="00FF1A3B">
      <w:pPr>
        <w:spacing w:line="480" w:lineRule="auto"/>
      </w:pPr>
      <w:r w:rsidRPr="00BD6D1A">
        <w:t xml:space="preserve">For each year of age from 50-75 in each calendar year 1996-2014, the population prevalence of being healthy and in work was taken as loess smoothed values of the HSE observed prevalence of being healthy and in work (separately for </w:t>
      </w:r>
      <w:r w:rsidR="007500AA" w:rsidRPr="00BD6D1A">
        <w:t>men</w:t>
      </w:r>
      <w:r w:rsidRPr="00BD6D1A">
        <w:t xml:space="preserve"> and </w:t>
      </w:r>
      <w:r w:rsidR="007500AA" w:rsidRPr="00BD6D1A">
        <w:t>women</w:t>
      </w:r>
      <w:r w:rsidRPr="00BD6D1A">
        <w:t>). Smoothing of age</w:t>
      </w:r>
      <w:r w:rsidR="0065223E" w:rsidRPr="00BD6D1A">
        <w:t>-</w:t>
      </w:r>
      <w:r w:rsidRPr="00BD6D1A">
        <w:t>specific prevalence of being healthy and in work was improved by including values set to zero for ages 76-79.</w:t>
      </w:r>
    </w:p>
    <w:p w14:paraId="0C889C92" w14:textId="13020319" w:rsidR="00AE73AC" w:rsidRPr="00BD6D1A" w:rsidRDefault="00AE73AC" w:rsidP="00FF1A3B">
      <w:pPr>
        <w:spacing w:line="480" w:lineRule="auto"/>
      </w:pPr>
      <w:r w:rsidRPr="00BD6D1A">
        <w:rPr>
          <w:i/>
          <w:iCs/>
        </w:rPr>
        <w:t>R</w:t>
      </w:r>
      <w:r w:rsidRPr="00BD6D1A">
        <w:t xml:space="preserve"> could not be directly estimated as no suitable data source could be identified. Instead, </w:t>
      </w:r>
      <w:r w:rsidRPr="00BD6D1A">
        <w:rPr>
          <w:i/>
          <w:iCs/>
        </w:rPr>
        <w:t>R</w:t>
      </w:r>
      <w:r w:rsidRPr="00BD6D1A">
        <w:t xml:space="preserve"> was approximated as 1.04 by comparing hazard ratios for the two transitions to death associated with each additional year of age in a continuous-time 3-state model Markov chain analysis of data from the English Longitudinal Study of Ageing (</w:t>
      </w:r>
      <w:r w:rsidR="001D50B6">
        <w:t>see supplementary material</w:t>
      </w:r>
      <w:r w:rsidRPr="00BD6D1A">
        <w:t>).</w:t>
      </w:r>
    </w:p>
    <w:p w14:paraId="6FEB478E" w14:textId="77777777" w:rsidR="00AE73AC" w:rsidRPr="00BD6D1A" w:rsidRDefault="00AE73AC" w:rsidP="00FF1A3B">
      <w:pPr>
        <w:spacing w:line="480" w:lineRule="auto"/>
      </w:pPr>
    </w:p>
    <w:p w14:paraId="30250D78" w14:textId="172288A6" w:rsidR="00AE73AC" w:rsidRPr="00BD6D1A" w:rsidRDefault="00AE73AC" w:rsidP="00FF1A3B">
      <w:pPr>
        <w:spacing w:line="480" w:lineRule="auto"/>
      </w:pPr>
      <w:r w:rsidRPr="00BD6D1A">
        <w:t>HWLE projections up to the year 2035 were estimated by combining the intercensal method</w:t>
      </w:r>
      <w:r w:rsidR="00330468" w:rsidRPr="00BD6D1A">
        <w:t xml:space="preserve"> (for estimating health expectancies)</w:t>
      </w:r>
      <w:r w:rsidRPr="00BD6D1A">
        <w:t xml:space="preserve"> with the Lee Carter forecasting approach </w:t>
      </w:r>
      <w:r w:rsidR="00330468" w:rsidRPr="00BD6D1A">
        <w:t xml:space="preserve">(used to forecast the transition rates that are the basis of the intercensal method HWLE estimates) </w:t>
      </w:r>
      <w:r w:rsidR="00D74DDC" w:rsidRPr="00BD6D1A">
        <w:t>[</w:t>
      </w:r>
      <w:r w:rsidR="00885DD1">
        <w:t>8</w:t>
      </w:r>
      <w:r w:rsidR="00D74DDC" w:rsidRPr="00BD6D1A">
        <w:t>]</w:t>
      </w:r>
      <w:r w:rsidRPr="00BD6D1A">
        <w:t xml:space="preserve">. HWLE was projected for years 2015 to 2035 using Lee Carter forecasts of transition rates for the permitted transitions in the 3-state model and Lee Carter forecasts of age-specific mortality rates (observed mortality rate data were used for 2015-2018 HWLE projections) </w:t>
      </w:r>
      <w:r w:rsidR="00D74DDC" w:rsidRPr="00BD6D1A">
        <w:t>[</w:t>
      </w:r>
      <w:r w:rsidR="00B36CC8">
        <w:t>5,7,47,4</w:t>
      </w:r>
      <w:r w:rsidR="00F342B2">
        <w:t>9</w:t>
      </w:r>
      <w:r w:rsidR="00D74DDC" w:rsidRPr="00BD6D1A">
        <w:t>]</w:t>
      </w:r>
      <w:r w:rsidRPr="00BD6D1A">
        <w:t xml:space="preserve">. </w:t>
      </w:r>
      <w:r w:rsidR="003B7BE5">
        <w:t>In the Lee Carter m</w:t>
      </w:r>
      <w:r w:rsidR="0071091C">
        <w:t>ethod,</w:t>
      </w:r>
      <w:r w:rsidR="000E1CFB">
        <w:t xml:space="preserve"> </w:t>
      </w:r>
      <w:r w:rsidR="00C14AF6">
        <w:t xml:space="preserve">age-specific mortality rates are forecasted </w:t>
      </w:r>
      <w:r w:rsidR="00876731">
        <w:t>through singular value decomposition</w:t>
      </w:r>
      <w:r w:rsidR="000221E9">
        <w:t xml:space="preserve"> of the log</w:t>
      </w:r>
      <w:r w:rsidR="006C7A3D">
        <w:t xml:space="preserve"> of the </w:t>
      </w:r>
      <w:r w:rsidR="006C7A3D" w:rsidRPr="006C7A3D">
        <w:t xml:space="preserve">age-specific </w:t>
      </w:r>
      <w:r w:rsidR="006C7A3D">
        <w:t>mortality</w:t>
      </w:r>
      <w:r w:rsidR="006C7A3D" w:rsidRPr="006C7A3D">
        <w:t xml:space="preserve"> rates</w:t>
      </w:r>
      <w:r w:rsidR="00876731">
        <w:t xml:space="preserve"> and </w:t>
      </w:r>
      <w:r w:rsidR="00CC430C">
        <w:t xml:space="preserve">subsequently </w:t>
      </w:r>
      <w:r w:rsidR="00457CE5">
        <w:t>modelling</w:t>
      </w:r>
      <w:r w:rsidR="00132053">
        <w:t xml:space="preserve"> the </w:t>
      </w:r>
      <w:r w:rsidR="00F6427D">
        <w:t xml:space="preserve">time component </w:t>
      </w:r>
      <w:r w:rsidR="00132053">
        <w:t>as</w:t>
      </w:r>
      <w:r w:rsidR="00457CE5">
        <w:t xml:space="preserve"> a random walk with drift</w:t>
      </w:r>
      <w:r w:rsidR="00716494">
        <w:t xml:space="preserve"> [</w:t>
      </w:r>
      <w:r w:rsidR="00B36CC8">
        <w:t>8</w:t>
      </w:r>
      <w:r w:rsidR="00716494">
        <w:t>]</w:t>
      </w:r>
      <w:r w:rsidR="00E832D9">
        <w:t>.</w:t>
      </w:r>
      <w:r w:rsidR="0071091C">
        <w:t xml:space="preserve"> </w:t>
      </w:r>
      <w:r w:rsidRPr="00BD6D1A">
        <w:t>ARIMA (0,1,1) time series models were used to estimate the prevalence of being healthy and in work at age 50 in projected years for men and women</w:t>
      </w:r>
      <w:r w:rsidR="00D74DDC" w:rsidRPr="00BD6D1A">
        <w:t xml:space="preserve"> [</w:t>
      </w:r>
      <w:r w:rsidR="00B36CC8">
        <w:t>4</w:t>
      </w:r>
      <w:r w:rsidR="00F342B2">
        <w:t>8</w:t>
      </w:r>
      <w:r w:rsidR="00D74DDC" w:rsidRPr="00BD6D1A">
        <w:t>]</w:t>
      </w:r>
      <w:r w:rsidR="009A2796" w:rsidRPr="00BD6D1A">
        <w:t>.</w:t>
      </w:r>
    </w:p>
    <w:p w14:paraId="18828A3D" w14:textId="2B105DAF" w:rsidR="00AE73AC" w:rsidRPr="00BD6D1A" w:rsidRDefault="00AE73AC" w:rsidP="00FF1A3B">
      <w:pPr>
        <w:spacing w:line="480" w:lineRule="auto"/>
      </w:pPr>
      <w:r w:rsidRPr="00BD6D1A">
        <w:t xml:space="preserve">HWLE 95% confidence intervals were </w:t>
      </w:r>
      <w:r w:rsidR="002E0FC6" w:rsidRPr="00BD6D1A">
        <w:t>derived from the</w:t>
      </w:r>
      <w:r w:rsidRPr="00BD6D1A">
        <w:t xml:space="preserve"> 95% confidence intervals of Lee Carter vectors of change over time for </w:t>
      </w:r>
      <w:r w:rsidR="00266860" w:rsidRPr="00BD6D1A">
        <w:t xml:space="preserve">both </w:t>
      </w:r>
      <w:r w:rsidRPr="00BD6D1A">
        <w:t>the overall mortality rate and the transition rate from healthy and working to unhealthy and/or not working, as well as the 95% confidence intervals for ARIMA forecasted population prevalence of being healthy and in work at age 50.</w:t>
      </w:r>
    </w:p>
    <w:p w14:paraId="62FE113D" w14:textId="5C467BE9" w:rsidR="00AE73AC" w:rsidRPr="00BD6D1A" w:rsidRDefault="00AE73AC" w:rsidP="00FF1A3B">
      <w:pPr>
        <w:spacing w:line="480" w:lineRule="auto"/>
      </w:pPr>
      <w:r w:rsidRPr="00BD6D1A">
        <w:t xml:space="preserve">The upper and lower estimated bounds for projections of the transition rate from healthy and working to unhealthy and/or not working were implausible at ages 52, 53 and 54 for men; to avoid confidence intervals of HWLE </w:t>
      </w:r>
      <w:r w:rsidR="00B7065D" w:rsidRPr="00BD6D1A">
        <w:t xml:space="preserve">encompassing </w:t>
      </w:r>
      <w:r w:rsidRPr="00BD6D1A">
        <w:t>negative values, upper and lower bounds for this transition rate were linearly interpolated using the bounds estimated at ages 51 and 55.</w:t>
      </w:r>
      <w:r w:rsidR="002E0FC6" w:rsidRPr="00BD6D1A">
        <w:t xml:space="preserve"> All analyses were performed in R software (version 3.6.2).</w:t>
      </w:r>
    </w:p>
    <w:p w14:paraId="47E82B26" w14:textId="77777777" w:rsidR="00AE73AC" w:rsidRPr="00BD6D1A" w:rsidRDefault="00AE73AC" w:rsidP="00FF1A3B">
      <w:pPr>
        <w:spacing w:line="480" w:lineRule="auto"/>
      </w:pPr>
    </w:p>
    <w:p w14:paraId="30CC306A" w14:textId="77777777" w:rsidR="00AE73AC" w:rsidRPr="00BD6D1A" w:rsidRDefault="00AE73AC" w:rsidP="00FF1A3B">
      <w:pPr>
        <w:spacing w:line="480" w:lineRule="auto"/>
      </w:pPr>
      <w:r w:rsidRPr="00BD6D1A">
        <w:t>Sensitivity analyses</w:t>
      </w:r>
    </w:p>
    <w:p w14:paraId="246A23A8" w14:textId="2E94DD65" w:rsidR="00AE73AC" w:rsidRPr="00BD6D1A" w:rsidRDefault="00AE73AC" w:rsidP="00FF1A3B">
      <w:pPr>
        <w:spacing w:line="480" w:lineRule="auto"/>
      </w:pPr>
      <w:r w:rsidRPr="00BD6D1A">
        <w:t xml:space="preserve">To assess the validity of the projection model and HWLE estimates, observed HWLE (1996-2014) and forecasted HWLE (2015-2017) were separately estimated using the Sullivan method </w:t>
      </w:r>
      <w:r w:rsidR="00D74DDC" w:rsidRPr="00BD6D1A">
        <w:t>[</w:t>
      </w:r>
      <w:r w:rsidR="00F342B2">
        <w:t>50</w:t>
      </w:r>
      <w:r w:rsidR="00D74DDC" w:rsidRPr="00BD6D1A">
        <w:t>]</w:t>
      </w:r>
      <w:r w:rsidRPr="00BD6D1A">
        <w:t xml:space="preserve">. </w:t>
      </w:r>
      <w:r w:rsidR="00AA0CBE" w:rsidRPr="00BD6D1A">
        <w:t xml:space="preserve">The </w:t>
      </w:r>
      <w:r w:rsidR="00AA0CBE" w:rsidRPr="00BD6D1A">
        <w:lastRenderedPageBreak/>
        <w:t xml:space="preserve">Sullivan method is an approach that </w:t>
      </w:r>
      <w:r w:rsidR="00D21E01" w:rsidRPr="00BD6D1A">
        <w:t>has been widely used</w:t>
      </w:r>
      <w:r w:rsidR="00AA0CBE" w:rsidRPr="00BD6D1A">
        <w:t xml:space="preserve"> to estimate health expectancies using cross-sectional data (with the assumption that the proportion of people alive or healthy at each age does not change over time) </w:t>
      </w:r>
      <w:r w:rsidR="00D21E01" w:rsidRPr="00BD6D1A">
        <w:t xml:space="preserve">for simplicity or </w:t>
      </w:r>
      <w:r w:rsidR="00AA0CBE" w:rsidRPr="00BD6D1A">
        <w:t>where longitudinal approaches are not feasible</w:t>
      </w:r>
      <w:r w:rsidR="00D21E01" w:rsidRPr="00BD6D1A">
        <w:t xml:space="preserve"> </w:t>
      </w:r>
      <w:r w:rsidR="00D74DDC" w:rsidRPr="00BD6D1A">
        <w:t>[</w:t>
      </w:r>
      <w:r w:rsidR="00B36CC8">
        <w:t>5,</w:t>
      </w:r>
      <w:r w:rsidR="00F342B2">
        <w:t>50</w:t>
      </w:r>
      <w:r w:rsidR="00D74DDC" w:rsidRPr="00BD6D1A">
        <w:t>]</w:t>
      </w:r>
      <w:r w:rsidR="00D21E01" w:rsidRPr="00BD6D1A">
        <w:t xml:space="preserve">. </w:t>
      </w:r>
      <w:r w:rsidRPr="00BD6D1A">
        <w:t>(Most recent HSE years 2015-2017 could be used in this sensitivity analysis as grouped ages can be analysed using the Sullivan method.)</w:t>
      </w:r>
    </w:p>
    <w:p w14:paraId="16E6B302" w14:textId="77777777" w:rsidR="00AE73AC" w:rsidRDefault="00AE73AC" w:rsidP="00FF1A3B">
      <w:pPr>
        <w:spacing w:line="480" w:lineRule="auto"/>
      </w:pPr>
      <w:r w:rsidRPr="00BD6D1A">
        <w:t xml:space="preserve">The potential impact on HWLE estimates and projections of taking </w:t>
      </w:r>
      <w:r w:rsidRPr="00BD6D1A">
        <w:rPr>
          <w:i/>
          <w:iCs/>
        </w:rPr>
        <w:t>R</w:t>
      </w:r>
      <w:r w:rsidRPr="00BD6D1A">
        <w:t xml:space="preserve"> as 1.04 was examined using sensitivity analyses taking </w:t>
      </w:r>
      <w:r w:rsidRPr="00BD6D1A">
        <w:rPr>
          <w:i/>
          <w:iCs/>
        </w:rPr>
        <w:t>R</w:t>
      </w:r>
      <w:r w:rsidRPr="00BD6D1A">
        <w:t xml:space="preserve"> as 1 (mortality rates are assumed to be the same from healthy and working state 1 and unhealthy and/or not working state 2) and taking </w:t>
      </w:r>
      <w:r w:rsidRPr="00BD6D1A">
        <w:rPr>
          <w:i/>
          <w:iCs/>
        </w:rPr>
        <w:t>R</w:t>
      </w:r>
      <w:r w:rsidRPr="00BD6D1A">
        <w:t xml:space="preserve"> as 2 (mortality rates are assumed to be twice as high from unhealthy and/or not working state 2 compared to healthy and working state 1).</w:t>
      </w:r>
    </w:p>
    <w:p w14:paraId="3CF6896D" w14:textId="720831E4" w:rsidR="001E646E" w:rsidRDefault="001E646E" w:rsidP="00FF1A3B">
      <w:pPr>
        <w:spacing w:line="480" w:lineRule="auto"/>
      </w:pPr>
      <w:r>
        <w:br w:type="page"/>
      </w:r>
    </w:p>
    <w:p w14:paraId="14A35E93" w14:textId="77777777" w:rsidR="00DE5A15" w:rsidRDefault="00DE5A15" w:rsidP="00FF1A3B">
      <w:pPr>
        <w:spacing w:line="480" w:lineRule="auto"/>
        <w:rPr>
          <w:b/>
          <w:bCs/>
        </w:rPr>
      </w:pPr>
    </w:p>
    <w:p w14:paraId="1E20AB24" w14:textId="3CDEBF76" w:rsidR="001A797C" w:rsidRDefault="001A797C" w:rsidP="00FF1A3B">
      <w:pPr>
        <w:spacing w:line="480" w:lineRule="auto"/>
        <w:rPr>
          <w:b/>
          <w:bCs/>
        </w:rPr>
      </w:pPr>
      <w:r>
        <w:rPr>
          <w:b/>
          <w:bCs/>
        </w:rPr>
        <w:t>Data availability</w:t>
      </w:r>
    </w:p>
    <w:p w14:paraId="41932453" w14:textId="124C0AC0" w:rsidR="00763F7A" w:rsidRDefault="003668CD" w:rsidP="00FF1A3B">
      <w:pPr>
        <w:spacing w:line="480" w:lineRule="auto"/>
        <w:rPr>
          <w:rFonts w:cstheme="minorHAnsi"/>
        </w:rPr>
      </w:pPr>
      <w:r>
        <w:rPr>
          <w:rFonts w:cstheme="minorHAnsi"/>
        </w:rPr>
        <w:t>Data from the Health Survey for England is available</w:t>
      </w:r>
      <w:r w:rsidR="00F75F08">
        <w:rPr>
          <w:rFonts w:cstheme="minorHAnsi"/>
        </w:rPr>
        <w:t xml:space="preserve"> without restriction</w:t>
      </w:r>
      <w:r>
        <w:rPr>
          <w:rFonts w:cstheme="minorHAnsi"/>
        </w:rPr>
        <w:t xml:space="preserve"> to </w:t>
      </w:r>
      <w:r w:rsidR="00F75F08">
        <w:rPr>
          <w:rFonts w:cstheme="minorHAnsi"/>
        </w:rPr>
        <w:t xml:space="preserve">registered </w:t>
      </w:r>
      <w:r>
        <w:rPr>
          <w:rFonts w:cstheme="minorHAnsi"/>
        </w:rPr>
        <w:t>researchers from the UK Data Service</w:t>
      </w:r>
      <w:r w:rsidR="001C0530">
        <w:rPr>
          <w:rFonts w:cstheme="minorHAnsi"/>
        </w:rPr>
        <w:t xml:space="preserve"> (</w:t>
      </w:r>
      <w:hyperlink r:id="rId12" w:history="1">
        <w:r w:rsidR="00EE1B24" w:rsidRPr="0034183A">
          <w:rPr>
            <w:rStyle w:val="Hyperlink"/>
          </w:rPr>
          <w:t>http://doi.org/10.5255/UKDA-SN-7919-3</w:t>
        </w:r>
      </w:hyperlink>
      <w:r w:rsidR="001C0530">
        <w:rPr>
          <w:rFonts w:cstheme="minorHAnsi"/>
        </w:rPr>
        <w:t>)</w:t>
      </w:r>
      <w:r>
        <w:rPr>
          <w:rFonts w:cstheme="minorHAnsi"/>
        </w:rPr>
        <w:t>.</w:t>
      </w:r>
      <w:r w:rsidR="00EE1B24">
        <w:rPr>
          <w:rFonts w:cstheme="minorHAnsi"/>
        </w:rPr>
        <w:t xml:space="preserve"> </w:t>
      </w:r>
      <w:r w:rsidR="0009401C">
        <w:rPr>
          <w:rFonts w:cstheme="minorHAnsi"/>
        </w:rPr>
        <w:t xml:space="preserve">Health Survey for England data collected in years 1996-2018 were used in this study. </w:t>
      </w:r>
      <w:r w:rsidR="0014322E" w:rsidRPr="0014322E">
        <w:rPr>
          <w:rFonts w:cstheme="minorHAnsi"/>
        </w:rPr>
        <w:t xml:space="preserve">Mortality rates were obtained from </w:t>
      </w:r>
      <w:r w:rsidR="0022056C" w:rsidRPr="0014322E">
        <w:rPr>
          <w:rFonts w:cstheme="minorHAnsi"/>
        </w:rPr>
        <w:t>2018-based past and projected period and cohort life tables</w:t>
      </w:r>
      <w:r w:rsidR="0022056C">
        <w:rPr>
          <w:rFonts w:cstheme="minorHAnsi"/>
        </w:rPr>
        <w:t xml:space="preserve"> published by</w:t>
      </w:r>
      <w:r w:rsidR="0022056C" w:rsidRPr="0014322E">
        <w:rPr>
          <w:rFonts w:cstheme="minorHAnsi"/>
        </w:rPr>
        <w:t xml:space="preserve"> </w:t>
      </w:r>
      <w:r w:rsidR="0014322E" w:rsidRPr="0014322E">
        <w:rPr>
          <w:rFonts w:cstheme="minorHAnsi"/>
        </w:rPr>
        <w:t>the UK Office for National Statistics.</w:t>
      </w:r>
    </w:p>
    <w:p w14:paraId="7F4624EC" w14:textId="77777777" w:rsidR="001A797C" w:rsidRDefault="001A797C" w:rsidP="00FF1A3B">
      <w:pPr>
        <w:spacing w:line="480" w:lineRule="auto"/>
        <w:rPr>
          <w:b/>
          <w:bCs/>
        </w:rPr>
      </w:pPr>
    </w:p>
    <w:p w14:paraId="16A15BAC" w14:textId="665252FA" w:rsidR="00DE5A15" w:rsidRPr="00DE5A15" w:rsidRDefault="00DE5A15" w:rsidP="00FF1A3B">
      <w:pPr>
        <w:spacing w:line="480" w:lineRule="auto"/>
        <w:rPr>
          <w:b/>
          <w:bCs/>
        </w:rPr>
      </w:pPr>
      <w:r w:rsidRPr="00DE5A15">
        <w:rPr>
          <w:b/>
          <w:bCs/>
        </w:rPr>
        <w:t>Contributions</w:t>
      </w:r>
    </w:p>
    <w:p w14:paraId="36A55A90" w14:textId="0AFE6B55" w:rsidR="00DE5A15" w:rsidRDefault="00DE5A15" w:rsidP="00FF1A3B">
      <w:pPr>
        <w:spacing w:line="480" w:lineRule="auto"/>
      </w:pPr>
      <w:r w:rsidRPr="00DE5A15">
        <w:t>ML, MB, CJ, and RW designed the research. ML conducted the research, interpreted the findings, and wrote the paper under the supervision of MB, CJ</w:t>
      </w:r>
      <w:r w:rsidR="00B266FB">
        <w:t>,</w:t>
      </w:r>
      <w:r w:rsidRPr="00DE5A15">
        <w:t xml:space="preserve"> and RW.</w:t>
      </w:r>
    </w:p>
    <w:p w14:paraId="0BA74977" w14:textId="77777777" w:rsidR="00DE5A15" w:rsidRPr="00DE5A15" w:rsidRDefault="00DE5A15" w:rsidP="00FF1A3B">
      <w:pPr>
        <w:spacing w:line="480" w:lineRule="auto"/>
      </w:pPr>
    </w:p>
    <w:p w14:paraId="0BE9479E" w14:textId="77777777" w:rsidR="00DE5A15" w:rsidRPr="00DE5A15" w:rsidRDefault="00DE5A15" w:rsidP="00FF1A3B">
      <w:pPr>
        <w:spacing w:line="480" w:lineRule="auto"/>
        <w:rPr>
          <w:b/>
          <w:bCs/>
        </w:rPr>
      </w:pPr>
      <w:r w:rsidRPr="00DE5A15">
        <w:rPr>
          <w:b/>
          <w:bCs/>
        </w:rPr>
        <w:t>Competing interests</w:t>
      </w:r>
    </w:p>
    <w:p w14:paraId="05CE71BB" w14:textId="7012E0FA" w:rsidR="00DE5A15" w:rsidRDefault="00DE5A15" w:rsidP="00FF1A3B">
      <w:pPr>
        <w:spacing w:line="480" w:lineRule="auto"/>
      </w:pPr>
      <w:r w:rsidRPr="00DE5A15">
        <w:t>The authors declare no competing interests.</w:t>
      </w:r>
    </w:p>
    <w:p w14:paraId="1F4DD7C6" w14:textId="085B91A3" w:rsidR="00917759" w:rsidRDefault="00917759" w:rsidP="00FF1A3B">
      <w:pPr>
        <w:spacing w:line="480" w:lineRule="auto"/>
      </w:pPr>
    </w:p>
    <w:p w14:paraId="52A3B309" w14:textId="77777777" w:rsidR="00917759" w:rsidRPr="00917759" w:rsidRDefault="00917759" w:rsidP="00917759">
      <w:pPr>
        <w:spacing w:line="480" w:lineRule="auto"/>
      </w:pPr>
      <w:r w:rsidRPr="00917759">
        <w:rPr>
          <w:b/>
          <w:bCs/>
        </w:rPr>
        <w:t>Acknowledgments</w:t>
      </w:r>
    </w:p>
    <w:p w14:paraId="3BEED15D" w14:textId="0589CD65" w:rsidR="00917759" w:rsidRPr="00DE5A15" w:rsidRDefault="00917759" w:rsidP="00FF1A3B">
      <w:pPr>
        <w:spacing w:line="480" w:lineRule="auto"/>
      </w:pPr>
      <w:r w:rsidRPr="00917759">
        <w:t>This work was supported by the Economic and Social Research Council (grant number ES/P000665/1 )</w:t>
      </w:r>
      <w:r w:rsidR="00803FA9">
        <w:t xml:space="preserve"> (ML)</w:t>
      </w:r>
      <w:r w:rsidRPr="00917759">
        <w:t>.</w:t>
      </w:r>
      <w:r>
        <w:t xml:space="preserve"> </w:t>
      </w:r>
      <w:r w:rsidR="00D83C62" w:rsidRPr="00D83C62">
        <w:rPr>
          <w:lang w:val="en-US"/>
        </w:rPr>
        <w:t>The funders had no role in study design, data collection and analysis, decision to publish or preparation of the manuscript</w:t>
      </w:r>
      <w:r w:rsidR="00D83C62">
        <w:rPr>
          <w:lang w:val="en-US"/>
        </w:rPr>
        <w:t>.</w:t>
      </w:r>
    </w:p>
    <w:p w14:paraId="03F0D25C" w14:textId="77777777" w:rsidR="00D74DDC" w:rsidRDefault="00D74DDC">
      <w:pPr>
        <w:rPr>
          <w:b/>
          <w:bCs/>
        </w:rPr>
      </w:pPr>
      <w:r>
        <w:rPr>
          <w:b/>
          <w:bCs/>
        </w:rPr>
        <w:br w:type="page"/>
      </w:r>
    </w:p>
    <w:p w14:paraId="3F6A8E55" w14:textId="2A7FC4B8" w:rsidR="001706EE" w:rsidRPr="007152C1" w:rsidRDefault="001706EE">
      <w:pPr>
        <w:rPr>
          <w:b/>
          <w:bCs/>
        </w:rPr>
      </w:pPr>
      <w:r w:rsidRPr="007152C1">
        <w:rPr>
          <w:b/>
          <w:bCs/>
        </w:rPr>
        <w:lastRenderedPageBreak/>
        <w:t>Tables</w:t>
      </w:r>
    </w:p>
    <w:p w14:paraId="0E1DFC94" w14:textId="75E3B2DA" w:rsidR="0087662F" w:rsidRDefault="0087662F" w:rsidP="0087662F">
      <w:r>
        <w:t xml:space="preserve">Table 1: </w:t>
      </w:r>
      <w:r w:rsidR="004B54B9">
        <w:t xml:space="preserve">HWLE and LE estimates from age 50 for men: projections of HWLE for years 2015, 2020, 2025, 2030, and 2035; life expectancy observed (2015) and projected (2020, 2025, 2030, 2035); Sullivan method HWLE estimate for the year 2015; </w:t>
      </w:r>
      <w:r w:rsidR="004B54B9" w:rsidRPr="004B54B9">
        <w:t>and official published life expectancy estimate</w:t>
      </w:r>
      <w:r w:rsidR="004B54B9">
        <w:t xml:space="preserve"> for the year 2015</w:t>
      </w:r>
      <w:r w:rsidR="004B54B9" w:rsidRPr="004B54B9">
        <w:t xml:space="preserve"> and projections </w:t>
      </w:r>
      <w:r w:rsidR="004B54B9">
        <w:t>for years 2020, 2025, 2030, and 2035.</w:t>
      </w:r>
    </w:p>
    <w:p w14:paraId="002E23E7" w14:textId="06308B7A" w:rsidR="0087662F" w:rsidRDefault="0087662F">
      <w:r>
        <w:t>Table 2:</w:t>
      </w:r>
      <w:r w:rsidRPr="0087662F">
        <w:t xml:space="preserve"> </w:t>
      </w:r>
      <w:r w:rsidR="004B54B9">
        <w:t xml:space="preserve">HWLE and LE estimates from age 50 for women: projections of HWLE for years 2015, 2020, 2025, 2030, and 2035; life expectancy observed (2015) and projected (2020, 2025, 2030, 2035); Sullivan method HWLE estimate for the year 2015; </w:t>
      </w:r>
      <w:r w:rsidR="004B54B9" w:rsidRPr="004B54B9">
        <w:t>and official published life expectancy estimate</w:t>
      </w:r>
      <w:r w:rsidR="004B54B9">
        <w:t xml:space="preserve"> for the year 2015</w:t>
      </w:r>
      <w:r w:rsidR="004B54B9" w:rsidRPr="004B54B9">
        <w:t xml:space="preserve"> and projections </w:t>
      </w:r>
      <w:r w:rsidR="004B54B9">
        <w:t>for years 2020, 2025, 2030, and 2035.</w:t>
      </w:r>
    </w:p>
    <w:p w14:paraId="3DDE83EB" w14:textId="1C77A7D7" w:rsidR="0087662F" w:rsidRDefault="0087662F" w:rsidP="0087662F"/>
    <w:p w14:paraId="356E91F0" w14:textId="77777777" w:rsidR="0087662F" w:rsidRDefault="0087662F" w:rsidP="0087662F"/>
    <w:p w14:paraId="33EBAC77" w14:textId="77777777" w:rsidR="001706EE" w:rsidRDefault="001706EE">
      <w:r>
        <w:br w:type="page"/>
      </w:r>
    </w:p>
    <w:p w14:paraId="06DBC463" w14:textId="77777777" w:rsidR="009D1356" w:rsidRDefault="009D1356">
      <w:pPr>
        <w:sectPr w:rsidR="009D1356" w:rsidSect="00FF1A3B">
          <w:footerReference w:type="default" r:id="rId13"/>
          <w:pgSz w:w="11906" w:h="16838"/>
          <w:pgMar w:top="1440" w:right="1440" w:bottom="1440" w:left="1440" w:header="708" w:footer="708" w:gutter="0"/>
          <w:cols w:space="708"/>
          <w:docGrid w:linePitch="360"/>
        </w:sectPr>
      </w:pPr>
    </w:p>
    <w:p w14:paraId="4B3D19E5" w14:textId="10885261" w:rsidR="001706EE" w:rsidRDefault="001706EE">
      <w:r>
        <w:lastRenderedPageBreak/>
        <w:t>Table 1:</w:t>
      </w:r>
      <w:r w:rsidR="0087662F">
        <w:t xml:space="preserve"> HWLE and LE estimates </w:t>
      </w:r>
      <w:r w:rsidR="004B54B9">
        <w:t xml:space="preserve">from age 50 </w:t>
      </w:r>
      <w:r w:rsidR="0087662F">
        <w:t xml:space="preserve">for men: </w:t>
      </w:r>
      <w:r w:rsidR="004B54B9">
        <w:t xml:space="preserve">projections of HWLE for years 2015, 2020, 2025, 2030, and 2035; life expectancy observed (2015) and projected (2020, 2025, 2030, 2035); Sullivan method HWLE estimate for the year 2015; </w:t>
      </w:r>
      <w:r w:rsidR="004B54B9" w:rsidRPr="004B54B9">
        <w:t>and official published life expectancy estimate</w:t>
      </w:r>
      <w:r w:rsidR="004B54B9">
        <w:t xml:space="preserve"> for the year 2015</w:t>
      </w:r>
      <w:r w:rsidR="004B54B9" w:rsidRPr="004B54B9">
        <w:t xml:space="preserve"> and projections </w:t>
      </w:r>
      <w:r w:rsidR="004B54B9">
        <w:t>for years 2020, 2025, 2030, and 2035.</w:t>
      </w:r>
    </w:p>
    <w:tbl>
      <w:tblPr>
        <w:tblStyle w:val="TableGrid"/>
        <w:tblW w:w="0" w:type="auto"/>
        <w:tblLayout w:type="fixed"/>
        <w:tblLook w:val="04A0" w:firstRow="1" w:lastRow="0" w:firstColumn="1" w:lastColumn="0" w:noHBand="0" w:noVBand="1"/>
      </w:tblPr>
      <w:tblGrid>
        <w:gridCol w:w="980"/>
        <w:gridCol w:w="1974"/>
        <w:gridCol w:w="1074"/>
        <w:gridCol w:w="1960"/>
        <w:gridCol w:w="1900"/>
        <w:gridCol w:w="980"/>
        <w:gridCol w:w="1077"/>
        <w:gridCol w:w="980"/>
        <w:gridCol w:w="980"/>
      </w:tblGrid>
      <w:tr w:rsidR="00C22976" w:rsidRPr="00EE2163" w14:paraId="4967BAA3" w14:textId="77777777" w:rsidTr="00C22976">
        <w:trPr>
          <w:trHeight w:val="300"/>
        </w:trPr>
        <w:tc>
          <w:tcPr>
            <w:tcW w:w="980" w:type="dxa"/>
            <w:noWrap/>
            <w:hideMark/>
          </w:tcPr>
          <w:p w14:paraId="4E3B4267" w14:textId="6409E586" w:rsidR="00C22976" w:rsidRPr="00EE2163" w:rsidRDefault="00C22976">
            <w:pPr>
              <w:rPr>
                <w:b/>
                <w:bCs/>
              </w:rPr>
            </w:pPr>
            <w:r>
              <w:rPr>
                <w:b/>
                <w:bCs/>
              </w:rPr>
              <w:t>MEN</w:t>
            </w:r>
          </w:p>
        </w:tc>
        <w:tc>
          <w:tcPr>
            <w:tcW w:w="5008" w:type="dxa"/>
            <w:gridSpan w:val="3"/>
          </w:tcPr>
          <w:p w14:paraId="526F36F8" w14:textId="7D62CFAB" w:rsidR="00C22976" w:rsidRPr="00EE2163" w:rsidRDefault="00C22976" w:rsidP="00EE2163">
            <w:pPr>
              <w:rPr>
                <w:i/>
                <w:iCs/>
              </w:rPr>
            </w:pPr>
            <w:r w:rsidRPr="00EE2163">
              <w:rPr>
                <w:i/>
                <w:iCs/>
              </w:rPr>
              <w:t>Intercensal method + Lee Carter projections</w:t>
            </w:r>
          </w:p>
        </w:tc>
        <w:tc>
          <w:tcPr>
            <w:tcW w:w="1900" w:type="dxa"/>
            <w:noWrap/>
            <w:hideMark/>
          </w:tcPr>
          <w:p w14:paraId="0F9CA1DC" w14:textId="77777777" w:rsidR="00C22976" w:rsidRPr="00EE2163" w:rsidRDefault="00C22976">
            <w:pPr>
              <w:rPr>
                <w:i/>
                <w:iCs/>
              </w:rPr>
            </w:pPr>
            <w:r w:rsidRPr="00EE2163">
              <w:rPr>
                <w:i/>
                <w:iCs/>
              </w:rPr>
              <w:t>Sullivan method</w:t>
            </w:r>
          </w:p>
        </w:tc>
        <w:tc>
          <w:tcPr>
            <w:tcW w:w="4017" w:type="dxa"/>
            <w:gridSpan w:val="4"/>
            <w:noWrap/>
            <w:hideMark/>
          </w:tcPr>
          <w:p w14:paraId="06FA3FA1" w14:textId="77777777" w:rsidR="00C22976" w:rsidRPr="00EE2163" w:rsidRDefault="00C22976" w:rsidP="00EE2163">
            <w:pPr>
              <w:rPr>
                <w:i/>
                <w:iCs/>
              </w:rPr>
            </w:pPr>
            <w:r w:rsidRPr="00EE2163">
              <w:rPr>
                <w:i/>
                <w:iCs/>
              </w:rPr>
              <w:t>ONS past and 2018-based LE projections</w:t>
            </w:r>
          </w:p>
        </w:tc>
      </w:tr>
      <w:tr w:rsidR="00C22976" w:rsidRPr="00EE2163" w14:paraId="0FC0CF18" w14:textId="77777777" w:rsidTr="00C22976">
        <w:trPr>
          <w:trHeight w:val="600"/>
        </w:trPr>
        <w:tc>
          <w:tcPr>
            <w:tcW w:w="980" w:type="dxa"/>
            <w:noWrap/>
            <w:hideMark/>
          </w:tcPr>
          <w:p w14:paraId="2B6FCD11" w14:textId="77777777" w:rsidR="00C22976" w:rsidRPr="00EE2163" w:rsidRDefault="00C22976">
            <w:r w:rsidRPr="00EE2163">
              <w:t>Year</w:t>
            </w:r>
          </w:p>
        </w:tc>
        <w:tc>
          <w:tcPr>
            <w:tcW w:w="1974" w:type="dxa"/>
            <w:hideMark/>
          </w:tcPr>
          <w:p w14:paraId="4F55205C" w14:textId="77777777" w:rsidR="00C22976" w:rsidRPr="00EE2163" w:rsidRDefault="00C22976">
            <w:r w:rsidRPr="00EE2163">
              <w:t>Projected HWLE (95% CI)</w:t>
            </w:r>
          </w:p>
        </w:tc>
        <w:tc>
          <w:tcPr>
            <w:tcW w:w="1074" w:type="dxa"/>
            <w:hideMark/>
          </w:tcPr>
          <w:p w14:paraId="0FC74882" w14:textId="77777777" w:rsidR="00C22976" w:rsidRPr="00EE2163" w:rsidRDefault="00C22976">
            <w:r w:rsidRPr="00EE2163">
              <w:t>Observed LE</w:t>
            </w:r>
          </w:p>
        </w:tc>
        <w:tc>
          <w:tcPr>
            <w:tcW w:w="1960" w:type="dxa"/>
            <w:hideMark/>
          </w:tcPr>
          <w:p w14:paraId="6B3569F5" w14:textId="77777777" w:rsidR="00C22976" w:rsidRPr="00EE2163" w:rsidRDefault="00C22976">
            <w:r w:rsidRPr="00EE2163">
              <w:t>Projected LE</w:t>
            </w:r>
          </w:p>
        </w:tc>
        <w:tc>
          <w:tcPr>
            <w:tcW w:w="1900" w:type="dxa"/>
            <w:hideMark/>
          </w:tcPr>
          <w:p w14:paraId="7B2EC7D3" w14:textId="77777777" w:rsidR="00C22976" w:rsidRPr="00EE2163" w:rsidRDefault="00C22976">
            <w:r w:rsidRPr="00EE2163">
              <w:t>HWLE (95% CI)</w:t>
            </w:r>
          </w:p>
        </w:tc>
        <w:tc>
          <w:tcPr>
            <w:tcW w:w="980" w:type="dxa"/>
            <w:hideMark/>
          </w:tcPr>
          <w:p w14:paraId="4CB4D22D" w14:textId="77777777" w:rsidR="00C22976" w:rsidRPr="00EE2163" w:rsidRDefault="00C22976">
            <w:r w:rsidRPr="00EE2163">
              <w:t>Past LE</w:t>
            </w:r>
          </w:p>
        </w:tc>
        <w:tc>
          <w:tcPr>
            <w:tcW w:w="1077" w:type="dxa"/>
            <w:hideMark/>
          </w:tcPr>
          <w:p w14:paraId="4FEFF12C" w14:textId="77777777" w:rsidR="00C22976" w:rsidRPr="00EE2163" w:rsidRDefault="00C22976">
            <w:r w:rsidRPr="00EE2163">
              <w:t>Projected LE</w:t>
            </w:r>
          </w:p>
        </w:tc>
        <w:tc>
          <w:tcPr>
            <w:tcW w:w="980" w:type="dxa"/>
            <w:hideMark/>
          </w:tcPr>
          <w:p w14:paraId="4304033F" w14:textId="77777777" w:rsidR="00C22976" w:rsidRPr="00EE2163" w:rsidRDefault="00C22976">
            <w:r w:rsidRPr="00EE2163">
              <w:t>Low variant</w:t>
            </w:r>
          </w:p>
        </w:tc>
        <w:tc>
          <w:tcPr>
            <w:tcW w:w="980" w:type="dxa"/>
            <w:hideMark/>
          </w:tcPr>
          <w:p w14:paraId="0BFD4EB3" w14:textId="77777777" w:rsidR="00C22976" w:rsidRPr="00EE2163" w:rsidRDefault="00C22976">
            <w:r w:rsidRPr="00EE2163">
              <w:t>High variant</w:t>
            </w:r>
          </w:p>
        </w:tc>
      </w:tr>
      <w:tr w:rsidR="00C22976" w:rsidRPr="00EE2163" w14:paraId="03875723" w14:textId="77777777" w:rsidTr="00C22976">
        <w:trPr>
          <w:trHeight w:val="300"/>
        </w:trPr>
        <w:tc>
          <w:tcPr>
            <w:tcW w:w="980" w:type="dxa"/>
            <w:noWrap/>
            <w:hideMark/>
          </w:tcPr>
          <w:p w14:paraId="7AC97C5A" w14:textId="77777777" w:rsidR="00C22976" w:rsidRPr="00EE2163" w:rsidRDefault="00C22976" w:rsidP="00EE2163">
            <w:r w:rsidRPr="00EE2163">
              <w:t>2015</w:t>
            </w:r>
          </w:p>
        </w:tc>
        <w:tc>
          <w:tcPr>
            <w:tcW w:w="1974" w:type="dxa"/>
            <w:noWrap/>
            <w:hideMark/>
          </w:tcPr>
          <w:p w14:paraId="0C59CF4F" w14:textId="77777777" w:rsidR="00C22976" w:rsidRPr="00EE2163" w:rsidRDefault="00C22976" w:rsidP="00EE2163">
            <w:r w:rsidRPr="00EE2163">
              <w:t>8.67 (6.57,10.73)</w:t>
            </w:r>
          </w:p>
        </w:tc>
        <w:tc>
          <w:tcPr>
            <w:tcW w:w="1074" w:type="dxa"/>
            <w:noWrap/>
            <w:hideMark/>
          </w:tcPr>
          <w:p w14:paraId="6C72C0B2" w14:textId="77777777" w:rsidR="00C22976" w:rsidRPr="00EE2163" w:rsidRDefault="00C22976" w:rsidP="00EE2163">
            <w:r w:rsidRPr="00EE2163">
              <w:t>31.33</w:t>
            </w:r>
          </w:p>
        </w:tc>
        <w:tc>
          <w:tcPr>
            <w:tcW w:w="1960" w:type="dxa"/>
            <w:noWrap/>
            <w:hideMark/>
          </w:tcPr>
          <w:p w14:paraId="095752F2" w14:textId="77777777" w:rsidR="00C22976" w:rsidRPr="00EE2163" w:rsidRDefault="00C22976" w:rsidP="00EE2163"/>
        </w:tc>
        <w:tc>
          <w:tcPr>
            <w:tcW w:w="1900" w:type="dxa"/>
            <w:noWrap/>
            <w:hideMark/>
          </w:tcPr>
          <w:p w14:paraId="7615BF24" w14:textId="77777777" w:rsidR="00C22976" w:rsidRPr="00EE2163" w:rsidRDefault="00C22976" w:rsidP="00EE2163">
            <w:r w:rsidRPr="00EE2163">
              <w:t>9.82 (9.31,10.33)</w:t>
            </w:r>
          </w:p>
        </w:tc>
        <w:tc>
          <w:tcPr>
            <w:tcW w:w="980" w:type="dxa"/>
            <w:noWrap/>
            <w:hideMark/>
          </w:tcPr>
          <w:p w14:paraId="3B52AEE1" w14:textId="77777777" w:rsidR="00C22976" w:rsidRPr="00EE2163" w:rsidRDefault="00C22976" w:rsidP="00EE2163">
            <w:r w:rsidRPr="00EE2163">
              <w:t>31.4</w:t>
            </w:r>
          </w:p>
        </w:tc>
        <w:tc>
          <w:tcPr>
            <w:tcW w:w="1077" w:type="dxa"/>
            <w:noWrap/>
            <w:hideMark/>
          </w:tcPr>
          <w:p w14:paraId="6E0BCFAB" w14:textId="77777777" w:rsidR="00C22976" w:rsidRPr="00EE2163" w:rsidRDefault="00C22976" w:rsidP="00EE2163"/>
        </w:tc>
        <w:tc>
          <w:tcPr>
            <w:tcW w:w="980" w:type="dxa"/>
            <w:noWrap/>
            <w:hideMark/>
          </w:tcPr>
          <w:p w14:paraId="562ABC78" w14:textId="77777777" w:rsidR="00C22976" w:rsidRPr="00EE2163" w:rsidRDefault="00C22976" w:rsidP="00EE2163"/>
        </w:tc>
        <w:tc>
          <w:tcPr>
            <w:tcW w:w="980" w:type="dxa"/>
            <w:noWrap/>
            <w:hideMark/>
          </w:tcPr>
          <w:p w14:paraId="408D306B" w14:textId="77777777" w:rsidR="00C22976" w:rsidRPr="00EE2163" w:rsidRDefault="00C22976" w:rsidP="00EE2163"/>
        </w:tc>
      </w:tr>
      <w:tr w:rsidR="00C22976" w:rsidRPr="00EE2163" w14:paraId="0F9F441C" w14:textId="77777777" w:rsidTr="00C22976">
        <w:trPr>
          <w:trHeight w:val="300"/>
        </w:trPr>
        <w:tc>
          <w:tcPr>
            <w:tcW w:w="980" w:type="dxa"/>
            <w:noWrap/>
            <w:hideMark/>
          </w:tcPr>
          <w:p w14:paraId="185DF430" w14:textId="77777777" w:rsidR="00C22976" w:rsidRPr="00EE2163" w:rsidRDefault="00C22976" w:rsidP="00EE2163">
            <w:r w:rsidRPr="00EE2163">
              <w:t>2020</w:t>
            </w:r>
          </w:p>
        </w:tc>
        <w:tc>
          <w:tcPr>
            <w:tcW w:w="1974" w:type="dxa"/>
            <w:noWrap/>
            <w:hideMark/>
          </w:tcPr>
          <w:p w14:paraId="71FBF5BA" w14:textId="77777777" w:rsidR="00C22976" w:rsidRPr="00EE2163" w:rsidRDefault="00C22976" w:rsidP="00EE2163">
            <w:r w:rsidRPr="00EE2163">
              <w:t>8.85 (4.98,12.03)</w:t>
            </w:r>
          </w:p>
        </w:tc>
        <w:tc>
          <w:tcPr>
            <w:tcW w:w="1074" w:type="dxa"/>
            <w:noWrap/>
            <w:hideMark/>
          </w:tcPr>
          <w:p w14:paraId="6A0ED0E3" w14:textId="77777777" w:rsidR="00C22976" w:rsidRPr="00EE2163" w:rsidRDefault="00C22976" w:rsidP="00EE2163"/>
        </w:tc>
        <w:tc>
          <w:tcPr>
            <w:tcW w:w="1960" w:type="dxa"/>
            <w:noWrap/>
            <w:hideMark/>
          </w:tcPr>
          <w:p w14:paraId="55707918" w14:textId="77777777" w:rsidR="00C22976" w:rsidRPr="00EE2163" w:rsidRDefault="00C22976" w:rsidP="00EE2163">
            <w:r w:rsidRPr="00EE2163">
              <w:t>31.97 (31.71,32.22)</w:t>
            </w:r>
          </w:p>
        </w:tc>
        <w:tc>
          <w:tcPr>
            <w:tcW w:w="1900" w:type="dxa"/>
            <w:noWrap/>
            <w:hideMark/>
          </w:tcPr>
          <w:p w14:paraId="56E26562" w14:textId="77777777" w:rsidR="00C22976" w:rsidRPr="00EE2163" w:rsidRDefault="00C22976" w:rsidP="00EE2163"/>
        </w:tc>
        <w:tc>
          <w:tcPr>
            <w:tcW w:w="980" w:type="dxa"/>
            <w:noWrap/>
            <w:hideMark/>
          </w:tcPr>
          <w:p w14:paraId="46584E5F" w14:textId="77777777" w:rsidR="00C22976" w:rsidRPr="00EE2163" w:rsidRDefault="00C22976" w:rsidP="00EE2163"/>
        </w:tc>
        <w:tc>
          <w:tcPr>
            <w:tcW w:w="1077" w:type="dxa"/>
            <w:noWrap/>
            <w:hideMark/>
          </w:tcPr>
          <w:p w14:paraId="44C37052" w14:textId="77777777" w:rsidR="00C22976" w:rsidRPr="00EE2163" w:rsidRDefault="00C22976" w:rsidP="00EE2163">
            <w:r w:rsidRPr="00EE2163">
              <w:t>32.0</w:t>
            </w:r>
          </w:p>
        </w:tc>
        <w:tc>
          <w:tcPr>
            <w:tcW w:w="980" w:type="dxa"/>
            <w:noWrap/>
            <w:hideMark/>
          </w:tcPr>
          <w:p w14:paraId="18B8E384" w14:textId="77777777" w:rsidR="00C22976" w:rsidRPr="00EE2163" w:rsidRDefault="00C22976" w:rsidP="00EE2163">
            <w:r w:rsidRPr="00EE2163">
              <w:t>31.8</w:t>
            </w:r>
          </w:p>
        </w:tc>
        <w:tc>
          <w:tcPr>
            <w:tcW w:w="980" w:type="dxa"/>
            <w:noWrap/>
            <w:hideMark/>
          </w:tcPr>
          <w:p w14:paraId="07FCFDBF" w14:textId="77777777" w:rsidR="00C22976" w:rsidRPr="00EE2163" w:rsidRDefault="00C22976" w:rsidP="00EE2163">
            <w:r w:rsidRPr="00EE2163">
              <w:t>32.2</w:t>
            </w:r>
          </w:p>
        </w:tc>
      </w:tr>
      <w:tr w:rsidR="00C22976" w:rsidRPr="00EE2163" w14:paraId="32670D8E" w14:textId="77777777" w:rsidTr="00C22976">
        <w:trPr>
          <w:trHeight w:val="300"/>
        </w:trPr>
        <w:tc>
          <w:tcPr>
            <w:tcW w:w="980" w:type="dxa"/>
            <w:noWrap/>
            <w:hideMark/>
          </w:tcPr>
          <w:p w14:paraId="060AF914" w14:textId="77777777" w:rsidR="00C22976" w:rsidRPr="00EE2163" w:rsidRDefault="00C22976" w:rsidP="00EE2163">
            <w:r w:rsidRPr="00EE2163">
              <w:t>2025</w:t>
            </w:r>
          </w:p>
        </w:tc>
        <w:tc>
          <w:tcPr>
            <w:tcW w:w="1974" w:type="dxa"/>
            <w:noWrap/>
            <w:hideMark/>
          </w:tcPr>
          <w:p w14:paraId="653F843C" w14:textId="77777777" w:rsidR="00C22976" w:rsidRPr="00EE2163" w:rsidRDefault="00C22976" w:rsidP="00EE2163">
            <w:r w:rsidRPr="00EE2163">
              <w:t>8.92 (3.84,12.57)</w:t>
            </w:r>
          </w:p>
        </w:tc>
        <w:tc>
          <w:tcPr>
            <w:tcW w:w="1074" w:type="dxa"/>
            <w:noWrap/>
            <w:hideMark/>
          </w:tcPr>
          <w:p w14:paraId="50C0DE5E" w14:textId="77777777" w:rsidR="00C22976" w:rsidRPr="00EE2163" w:rsidRDefault="00C22976" w:rsidP="00EE2163"/>
        </w:tc>
        <w:tc>
          <w:tcPr>
            <w:tcW w:w="1960" w:type="dxa"/>
            <w:noWrap/>
            <w:hideMark/>
          </w:tcPr>
          <w:p w14:paraId="121F9D8F" w14:textId="77777777" w:rsidR="00C22976" w:rsidRPr="00EE2163" w:rsidRDefault="00C22976" w:rsidP="00EE2163">
            <w:r w:rsidRPr="00EE2163">
              <w:t>32.92 (32.29,33.51)</w:t>
            </w:r>
          </w:p>
        </w:tc>
        <w:tc>
          <w:tcPr>
            <w:tcW w:w="1900" w:type="dxa"/>
            <w:noWrap/>
            <w:hideMark/>
          </w:tcPr>
          <w:p w14:paraId="61EC2F85" w14:textId="77777777" w:rsidR="00C22976" w:rsidRPr="00EE2163" w:rsidRDefault="00C22976" w:rsidP="00EE2163"/>
        </w:tc>
        <w:tc>
          <w:tcPr>
            <w:tcW w:w="980" w:type="dxa"/>
            <w:noWrap/>
            <w:hideMark/>
          </w:tcPr>
          <w:p w14:paraId="3CE7E07A" w14:textId="77777777" w:rsidR="00C22976" w:rsidRPr="00EE2163" w:rsidRDefault="00C22976" w:rsidP="00EE2163"/>
        </w:tc>
        <w:tc>
          <w:tcPr>
            <w:tcW w:w="1077" w:type="dxa"/>
            <w:noWrap/>
            <w:hideMark/>
          </w:tcPr>
          <w:p w14:paraId="269B7606" w14:textId="77777777" w:rsidR="00C22976" w:rsidRPr="00EE2163" w:rsidRDefault="00C22976" w:rsidP="00EE2163">
            <w:r w:rsidRPr="00EE2163">
              <w:t>32.5</w:t>
            </w:r>
          </w:p>
        </w:tc>
        <w:tc>
          <w:tcPr>
            <w:tcW w:w="980" w:type="dxa"/>
            <w:noWrap/>
            <w:hideMark/>
          </w:tcPr>
          <w:p w14:paraId="350B8585" w14:textId="77777777" w:rsidR="00C22976" w:rsidRPr="00EE2163" w:rsidRDefault="00C22976" w:rsidP="00EE2163">
            <w:r w:rsidRPr="00EE2163">
              <w:t>32.3</w:t>
            </w:r>
          </w:p>
        </w:tc>
        <w:tc>
          <w:tcPr>
            <w:tcW w:w="980" w:type="dxa"/>
            <w:noWrap/>
            <w:hideMark/>
          </w:tcPr>
          <w:p w14:paraId="160E01C8" w14:textId="77777777" w:rsidR="00C22976" w:rsidRPr="00EE2163" w:rsidRDefault="00C22976" w:rsidP="00EE2163">
            <w:r w:rsidRPr="00EE2163">
              <w:t>32.8</w:t>
            </w:r>
          </w:p>
        </w:tc>
      </w:tr>
      <w:tr w:rsidR="00C22976" w:rsidRPr="00EE2163" w14:paraId="4D2950B4" w14:textId="77777777" w:rsidTr="00C22976">
        <w:trPr>
          <w:trHeight w:val="300"/>
        </w:trPr>
        <w:tc>
          <w:tcPr>
            <w:tcW w:w="980" w:type="dxa"/>
            <w:noWrap/>
            <w:hideMark/>
          </w:tcPr>
          <w:p w14:paraId="0D415D8F" w14:textId="77777777" w:rsidR="00C22976" w:rsidRPr="00EE2163" w:rsidRDefault="00C22976" w:rsidP="00EE2163">
            <w:r w:rsidRPr="00EE2163">
              <w:t>2030</w:t>
            </w:r>
          </w:p>
        </w:tc>
        <w:tc>
          <w:tcPr>
            <w:tcW w:w="1974" w:type="dxa"/>
            <w:noWrap/>
            <w:hideMark/>
          </w:tcPr>
          <w:p w14:paraId="13479613" w14:textId="77777777" w:rsidR="00C22976" w:rsidRPr="00EE2163" w:rsidRDefault="00C22976" w:rsidP="00EE2163">
            <w:r w:rsidRPr="00EE2163">
              <w:t>8.99 (2.90,12.96)</w:t>
            </w:r>
          </w:p>
        </w:tc>
        <w:tc>
          <w:tcPr>
            <w:tcW w:w="1074" w:type="dxa"/>
            <w:noWrap/>
            <w:hideMark/>
          </w:tcPr>
          <w:p w14:paraId="3C552248" w14:textId="77777777" w:rsidR="00C22976" w:rsidRPr="00EE2163" w:rsidRDefault="00C22976" w:rsidP="00EE2163"/>
        </w:tc>
        <w:tc>
          <w:tcPr>
            <w:tcW w:w="1960" w:type="dxa"/>
            <w:noWrap/>
            <w:hideMark/>
          </w:tcPr>
          <w:p w14:paraId="2910F3A8" w14:textId="77777777" w:rsidR="00C22976" w:rsidRPr="00EE2163" w:rsidRDefault="00C22976" w:rsidP="00EE2163">
            <w:r w:rsidRPr="00EE2163">
              <w:t>33.83 (33.01,34.59)</w:t>
            </w:r>
          </w:p>
        </w:tc>
        <w:tc>
          <w:tcPr>
            <w:tcW w:w="1900" w:type="dxa"/>
            <w:noWrap/>
            <w:hideMark/>
          </w:tcPr>
          <w:p w14:paraId="0A604329" w14:textId="77777777" w:rsidR="00C22976" w:rsidRPr="00EE2163" w:rsidRDefault="00C22976" w:rsidP="00EE2163"/>
        </w:tc>
        <w:tc>
          <w:tcPr>
            <w:tcW w:w="980" w:type="dxa"/>
            <w:noWrap/>
            <w:hideMark/>
          </w:tcPr>
          <w:p w14:paraId="29FD282E" w14:textId="77777777" w:rsidR="00C22976" w:rsidRPr="00EE2163" w:rsidRDefault="00C22976" w:rsidP="00EE2163"/>
        </w:tc>
        <w:tc>
          <w:tcPr>
            <w:tcW w:w="1077" w:type="dxa"/>
            <w:noWrap/>
            <w:hideMark/>
          </w:tcPr>
          <w:p w14:paraId="6FFB2D99" w14:textId="77777777" w:rsidR="00C22976" w:rsidRPr="00EE2163" w:rsidRDefault="00C22976" w:rsidP="00EE2163">
            <w:r w:rsidRPr="00EE2163">
              <w:t>33.0</w:t>
            </w:r>
          </w:p>
        </w:tc>
        <w:tc>
          <w:tcPr>
            <w:tcW w:w="980" w:type="dxa"/>
            <w:noWrap/>
            <w:hideMark/>
          </w:tcPr>
          <w:p w14:paraId="12112BF7" w14:textId="77777777" w:rsidR="00C22976" w:rsidRPr="00EE2163" w:rsidRDefault="00C22976" w:rsidP="00EE2163">
            <w:r w:rsidRPr="00EE2163">
              <w:t>32.6</w:t>
            </w:r>
          </w:p>
        </w:tc>
        <w:tc>
          <w:tcPr>
            <w:tcW w:w="980" w:type="dxa"/>
            <w:noWrap/>
            <w:hideMark/>
          </w:tcPr>
          <w:p w14:paraId="37D04D11" w14:textId="77777777" w:rsidR="00C22976" w:rsidRPr="00EE2163" w:rsidRDefault="00C22976" w:rsidP="00EE2163">
            <w:r w:rsidRPr="00EE2163">
              <w:t>33.4</w:t>
            </w:r>
          </w:p>
        </w:tc>
      </w:tr>
      <w:tr w:rsidR="00C22976" w:rsidRPr="00EE2163" w14:paraId="07A5FCB3" w14:textId="77777777" w:rsidTr="00C22976">
        <w:trPr>
          <w:trHeight w:val="300"/>
        </w:trPr>
        <w:tc>
          <w:tcPr>
            <w:tcW w:w="980" w:type="dxa"/>
            <w:noWrap/>
            <w:hideMark/>
          </w:tcPr>
          <w:p w14:paraId="6E2302C1" w14:textId="77777777" w:rsidR="00C22976" w:rsidRPr="00EE2163" w:rsidRDefault="00C22976" w:rsidP="00EE2163">
            <w:r w:rsidRPr="00EE2163">
              <w:t>2035</w:t>
            </w:r>
          </w:p>
        </w:tc>
        <w:tc>
          <w:tcPr>
            <w:tcW w:w="1974" w:type="dxa"/>
            <w:noWrap/>
            <w:hideMark/>
          </w:tcPr>
          <w:p w14:paraId="0224453F" w14:textId="77777777" w:rsidR="00C22976" w:rsidRPr="00EE2163" w:rsidRDefault="00C22976" w:rsidP="00EE2163">
            <w:r w:rsidRPr="00EE2163">
              <w:t>9.05 (2.16,13.28)</w:t>
            </w:r>
          </w:p>
        </w:tc>
        <w:tc>
          <w:tcPr>
            <w:tcW w:w="1074" w:type="dxa"/>
            <w:noWrap/>
            <w:hideMark/>
          </w:tcPr>
          <w:p w14:paraId="44813117" w14:textId="77777777" w:rsidR="00C22976" w:rsidRPr="00EE2163" w:rsidRDefault="00C22976" w:rsidP="00EE2163">
            <w:r w:rsidRPr="00EE2163">
              <w:t> </w:t>
            </w:r>
          </w:p>
        </w:tc>
        <w:tc>
          <w:tcPr>
            <w:tcW w:w="1960" w:type="dxa"/>
            <w:noWrap/>
            <w:hideMark/>
          </w:tcPr>
          <w:p w14:paraId="2B4529D5" w14:textId="77777777" w:rsidR="00C22976" w:rsidRPr="00EE2163" w:rsidRDefault="00C22976" w:rsidP="00EE2163">
            <w:r w:rsidRPr="00EE2163">
              <w:t>34.70 (33.75,35.56)</w:t>
            </w:r>
          </w:p>
        </w:tc>
        <w:tc>
          <w:tcPr>
            <w:tcW w:w="1900" w:type="dxa"/>
            <w:noWrap/>
            <w:hideMark/>
          </w:tcPr>
          <w:p w14:paraId="17629F22" w14:textId="77777777" w:rsidR="00C22976" w:rsidRPr="00EE2163" w:rsidRDefault="00C22976" w:rsidP="00EE2163">
            <w:r w:rsidRPr="00EE2163">
              <w:t> </w:t>
            </w:r>
          </w:p>
        </w:tc>
        <w:tc>
          <w:tcPr>
            <w:tcW w:w="980" w:type="dxa"/>
            <w:noWrap/>
            <w:hideMark/>
          </w:tcPr>
          <w:p w14:paraId="3D7F8B28" w14:textId="77777777" w:rsidR="00C22976" w:rsidRPr="00EE2163" w:rsidRDefault="00C22976" w:rsidP="00EE2163">
            <w:r w:rsidRPr="00EE2163">
              <w:t> </w:t>
            </w:r>
          </w:p>
        </w:tc>
        <w:tc>
          <w:tcPr>
            <w:tcW w:w="1077" w:type="dxa"/>
            <w:noWrap/>
            <w:hideMark/>
          </w:tcPr>
          <w:p w14:paraId="610A5306" w14:textId="77777777" w:rsidR="00C22976" w:rsidRPr="00EE2163" w:rsidRDefault="00C22976" w:rsidP="00EE2163">
            <w:r w:rsidRPr="00EE2163">
              <w:t>33.5</w:t>
            </w:r>
          </w:p>
        </w:tc>
        <w:tc>
          <w:tcPr>
            <w:tcW w:w="980" w:type="dxa"/>
            <w:noWrap/>
            <w:hideMark/>
          </w:tcPr>
          <w:p w14:paraId="641FF0AF" w14:textId="77777777" w:rsidR="00C22976" w:rsidRPr="00EE2163" w:rsidRDefault="00C22976" w:rsidP="00EE2163">
            <w:r w:rsidRPr="00EE2163">
              <w:t>32.7</w:t>
            </w:r>
          </w:p>
        </w:tc>
        <w:tc>
          <w:tcPr>
            <w:tcW w:w="980" w:type="dxa"/>
            <w:noWrap/>
            <w:hideMark/>
          </w:tcPr>
          <w:p w14:paraId="38614BCE" w14:textId="77777777" w:rsidR="00C22976" w:rsidRPr="00EE2163" w:rsidRDefault="00C22976" w:rsidP="00EE2163">
            <w:r w:rsidRPr="00EE2163">
              <w:t>34.1</w:t>
            </w:r>
          </w:p>
        </w:tc>
      </w:tr>
    </w:tbl>
    <w:p w14:paraId="143FFFD7" w14:textId="07BC1B94" w:rsidR="001706EE" w:rsidRDefault="001706EE" w:rsidP="001706EE">
      <w:r>
        <w:t>Notes:</w:t>
      </w:r>
    </w:p>
    <w:p w14:paraId="76469D90" w14:textId="77777777" w:rsidR="001706EE" w:rsidRDefault="001706EE" w:rsidP="001706EE">
      <w:r>
        <w:t>States: Healthy and in work (HWLE) [1]; Not healthy and/or not in work (including: healthy and not in work, not healthy and in work, not healthy and not in work) [2]; Dead [3]</w:t>
      </w:r>
    </w:p>
    <w:p w14:paraId="0E17A1F0" w14:textId="77777777" w:rsidR="001706EE" w:rsidRDefault="001706EE" w:rsidP="001706EE">
      <w:r>
        <w:t>Data for estimation of HWLE were observed from 1996 to 2014 (1996 to 2017 for Sullivan method estimates) and data for estimation of life expectancy were observed from 1996 to 2018</w:t>
      </w:r>
    </w:p>
    <w:p w14:paraId="1A06F9C6" w14:textId="77777777" w:rsidR="001706EE" w:rsidRDefault="001706EE" w:rsidP="001706EE">
      <w:r>
        <w:t>ONS low and high variants reflect less optimistic and more optimistic future demographic scenarios respectively based on trend calculations and expert opinions</w:t>
      </w:r>
    </w:p>
    <w:p w14:paraId="298B243D" w14:textId="6E4C61F2" w:rsidR="00EE2163" w:rsidRDefault="004B54B9" w:rsidP="001706EE">
      <w:r>
        <w:t xml:space="preserve">See supplementary table 1 for </w:t>
      </w:r>
      <w:r w:rsidR="00EB420A">
        <w:t>results</w:t>
      </w:r>
      <w:r>
        <w:t xml:space="preserve"> for all years 1996-2035</w:t>
      </w:r>
      <w:r w:rsidR="00EE2163">
        <w:br w:type="page"/>
      </w:r>
    </w:p>
    <w:p w14:paraId="64AEF3ED" w14:textId="77777777" w:rsidR="00EE2163" w:rsidRDefault="00EE2163" w:rsidP="001706EE"/>
    <w:p w14:paraId="2657807E" w14:textId="4672ECB9" w:rsidR="00EE2163" w:rsidRDefault="00EE2163" w:rsidP="001706EE">
      <w:r>
        <w:t>Table 2:</w:t>
      </w:r>
      <w:r w:rsidR="0087662F">
        <w:t xml:space="preserve"> </w:t>
      </w:r>
      <w:r w:rsidR="004B54B9">
        <w:t xml:space="preserve">HWLE and LE estimates from age 50 for women: projections of HWLE for years 2015, 2020, 2025, 2030, and 2035; life expectancy observed (2015) and projected (2020, 2025, 2030, 2035); Sullivan method HWLE estimate for the year 2015; </w:t>
      </w:r>
      <w:r w:rsidR="004B54B9" w:rsidRPr="004B54B9">
        <w:t>and official published life expectancy estimate</w:t>
      </w:r>
      <w:r w:rsidR="004B54B9">
        <w:t xml:space="preserve"> for the year 2015</w:t>
      </w:r>
      <w:r w:rsidR="004B54B9" w:rsidRPr="004B54B9">
        <w:t xml:space="preserve"> and projections </w:t>
      </w:r>
      <w:r w:rsidR="004B54B9">
        <w:t>for years 2020, 2025, 2030, and 2035.</w:t>
      </w:r>
    </w:p>
    <w:tbl>
      <w:tblPr>
        <w:tblStyle w:val="TableGrid"/>
        <w:tblW w:w="0" w:type="auto"/>
        <w:tblLook w:val="04A0" w:firstRow="1" w:lastRow="0" w:firstColumn="1" w:lastColumn="0" w:noHBand="0" w:noVBand="1"/>
      </w:tblPr>
      <w:tblGrid>
        <w:gridCol w:w="1009"/>
        <w:gridCol w:w="2003"/>
        <w:gridCol w:w="1074"/>
        <w:gridCol w:w="1960"/>
        <w:gridCol w:w="1900"/>
        <w:gridCol w:w="980"/>
        <w:gridCol w:w="1077"/>
        <w:gridCol w:w="980"/>
        <w:gridCol w:w="980"/>
      </w:tblGrid>
      <w:tr w:rsidR="00780E01" w:rsidRPr="00EE2163" w14:paraId="491B22B3" w14:textId="77777777" w:rsidTr="00383D22">
        <w:trPr>
          <w:trHeight w:val="300"/>
        </w:trPr>
        <w:tc>
          <w:tcPr>
            <w:tcW w:w="1009" w:type="dxa"/>
            <w:noWrap/>
            <w:hideMark/>
          </w:tcPr>
          <w:p w14:paraId="70DB8A1B" w14:textId="7FED6BCA" w:rsidR="00780E01" w:rsidRPr="00EE2163" w:rsidRDefault="00780E01">
            <w:pPr>
              <w:rPr>
                <w:b/>
                <w:bCs/>
              </w:rPr>
            </w:pPr>
            <w:r>
              <w:rPr>
                <w:b/>
                <w:bCs/>
              </w:rPr>
              <w:t>WOMEN</w:t>
            </w:r>
          </w:p>
        </w:tc>
        <w:tc>
          <w:tcPr>
            <w:tcW w:w="5037" w:type="dxa"/>
            <w:gridSpan w:val="3"/>
          </w:tcPr>
          <w:p w14:paraId="314E21E0" w14:textId="72943C32" w:rsidR="00780E01" w:rsidRPr="00EE2163" w:rsidRDefault="00780E01" w:rsidP="00EE2163">
            <w:pPr>
              <w:rPr>
                <w:i/>
                <w:iCs/>
              </w:rPr>
            </w:pPr>
            <w:r w:rsidRPr="00EE2163">
              <w:rPr>
                <w:i/>
                <w:iCs/>
              </w:rPr>
              <w:t>Intercensal method + Lee Carter projections</w:t>
            </w:r>
          </w:p>
        </w:tc>
        <w:tc>
          <w:tcPr>
            <w:tcW w:w="1900" w:type="dxa"/>
            <w:noWrap/>
            <w:hideMark/>
          </w:tcPr>
          <w:p w14:paraId="1D764FCA" w14:textId="77777777" w:rsidR="00780E01" w:rsidRPr="00EE2163" w:rsidRDefault="00780E01">
            <w:pPr>
              <w:rPr>
                <w:i/>
                <w:iCs/>
              </w:rPr>
            </w:pPr>
            <w:r w:rsidRPr="00EE2163">
              <w:rPr>
                <w:i/>
                <w:iCs/>
              </w:rPr>
              <w:t>Sullivan method</w:t>
            </w:r>
          </w:p>
        </w:tc>
        <w:tc>
          <w:tcPr>
            <w:tcW w:w="4017" w:type="dxa"/>
            <w:gridSpan w:val="4"/>
            <w:noWrap/>
            <w:hideMark/>
          </w:tcPr>
          <w:p w14:paraId="5EDFC1D0" w14:textId="77777777" w:rsidR="00780E01" w:rsidRPr="00EE2163" w:rsidRDefault="00780E01" w:rsidP="00EE2163">
            <w:pPr>
              <w:rPr>
                <w:i/>
                <w:iCs/>
              </w:rPr>
            </w:pPr>
            <w:r w:rsidRPr="00EE2163">
              <w:rPr>
                <w:i/>
                <w:iCs/>
              </w:rPr>
              <w:t>ONS past and 2018-based LE projections</w:t>
            </w:r>
          </w:p>
        </w:tc>
      </w:tr>
      <w:tr w:rsidR="00780E01" w:rsidRPr="00EE2163" w14:paraId="5BAECC51" w14:textId="77777777" w:rsidTr="00780E01">
        <w:trPr>
          <w:trHeight w:val="600"/>
        </w:trPr>
        <w:tc>
          <w:tcPr>
            <w:tcW w:w="1009" w:type="dxa"/>
            <w:noWrap/>
            <w:hideMark/>
          </w:tcPr>
          <w:p w14:paraId="310F1A93" w14:textId="77777777" w:rsidR="00780E01" w:rsidRPr="00EE2163" w:rsidRDefault="00780E01">
            <w:r w:rsidRPr="00EE2163">
              <w:t>Year</w:t>
            </w:r>
          </w:p>
        </w:tc>
        <w:tc>
          <w:tcPr>
            <w:tcW w:w="2003" w:type="dxa"/>
            <w:hideMark/>
          </w:tcPr>
          <w:p w14:paraId="32ABA06D" w14:textId="77777777" w:rsidR="00780E01" w:rsidRPr="00EE2163" w:rsidRDefault="00780E01">
            <w:r w:rsidRPr="00EE2163">
              <w:t>Projected HWLE (95% CI)</w:t>
            </w:r>
          </w:p>
        </w:tc>
        <w:tc>
          <w:tcPr>
            <w:tcW w:w="1074" w:type="dxa"/>
            <w:hideMark/>
          </w:tcPr>
          <w:p w14:paraId="7D363343" w14:textId="77777777" w:rsidR="00780E01" w:rsidRPr="00EE2163" w:rsidRDefault="00780E01">
            <w:r w:rsidRPr="00EE2163">
              <w:t>Observed LE</w:t>
            </w:r>
          </w:p>
        </w:tc>
        <w:tc>
          <w:tcPr>
            <w:tcW w:w="1960" w:type="dxa"/>
            <w:hideMark/>
          </w:tcPr>
          <w:p w14:paraId="23597DFD" w14:textId="77777777" w:rsidR="00780E01" w:rsidRPr="00EE2163" w:rsidRDefault="00780E01">
            <w:r w:rsidRPr="00EE2163">
              <w:t>Projected LE</w:t>
            </w:r>
          </w:p>
        </w:tc>
        <w:tc>
          <w:tcPr>
            <w:tcW w:w="1900" w:type="dxa"/>
            <w:hideMark/>
          </w:tcPr>
          <w:p w14:paraId="3B431513" w14:textId="77777777" w:rsidR="00780E01" w:rsidRPr="00EE2163" w:rsidRDefault="00780E01">
            <w:r w:rsidRPr="00EE2163">
              <w:t>HWLE (95% CI)</w:t>
            </w:r>
          </w:p>
        </w:tc>
        <w:tc>
          <w:tcPr>
            <w:tcW w:w="980" w:type="dxa"/>
            <w:hideMark/>
          </w:tcPr>
          <w:p w14:paraId="178C3C4B" w14:textId="77777777" w:rsidR="00780E01" w:rsidRPr="00EE2163" w:rsidRDefault="00780E01">
            <w:r w:rsidRPr="00EE2163">
              <w:t>Past LE</w:t>
            </w:r>
          </w:p>
        </w:tc>
        <w:tc>
          <w:tcPr>
            <w:tcW w:w="1077" w:type="dxa"/>
            <w:hideMark/>
          </w:tcPr>
          <w:p w14:paraId="79F1BA2C" w14:textId="77777777" w:rsidR="00780E01" w:rsidRPr="00EE2163" w:rsidRDefault="00780E01">
            <w:r w:rsidRPr="00EE2163">
              <w:t>Projected LE</w:t>
            </w:r>
          </w:p>
        </w:tc>
        <w:tc>
          <w:tcPr>
            <w:tcW w:w="980" w:type="dxa"/>
            <w:hideMark/>
          </w:tcPr>
          <w:p w14:paraId="49801B47" w14:textId="77777777" w:rsidR="00780E01" w:rsidRPr="00EE2163" w:rsidRDefault="00780E01">
            <w:r w:rsidRPr="00EE2163">
              <w:t>Low variant</w:t>
            </w:r>
          </w:p>
        </w:tc>
        <w:tc>
          <w:tcPr>
            <w:tcW w:w="980" w:type="dxa"/>
            <w:hideMark/>
          </w:tcPr>
          <w:p w14:paraId="52A33ED8" w14:textId="77777777" w:rsidR="00780E01" w:rsidRPr="00EE2163" w:rsidRDefault="00780E01">
            <w:r w:rsidRPr="00EE2163">
              <w:t>High variant</w:t>
            </w:r>
          </w:p>
        </w:tc>
      </w:tr>
      <w:tr w:rsidR="00780E01" w:rsidRPr="00EE2163" w14:paraId="29A6EAF8" w14:textId="77777777" w:rsidTr="00780E01">
        <w:trPr>
          <w:trHeight w:val="300"/>
        </w:trPr>
        <w:tc>
          <w:tcPr>
            <w:tcW w:w="1009" w:type="dxa"/>
            <w:noWrap/>
            <w:hideMark/>
          </w:tcPr>
          <w:p w14:paraId="02F2ECF7" w14:textId="77777777" w:rsidR="00780E01" w:rsidRPr="00EE2163" w:rsidRDefault="00780E01" w:rsidP="00EE2163">
            <w:r w:rsidRPr="00EE2163">
              <w:t>2015</w:t>
            </w:r>
          </w:p>
        </w:tc>
        <w:tc>
          <w:tcPr>
            <w:tcW w:w="2003" w:type="dxa"/>
            <w:noWrap/>
            <w:hideMark/>
          </w:tcPr>
          <w:p w14:paraId="1900B88B" w14:textId="77777777" w:rsidR="00780E01" w:rsidRPr="00EE2163" w:rsidRDefault="00780E01" w:rsidP="00EE2163">
            <w:r w:rsidRPr="00EE2163">
              <w:t>7.49 (5.61,9.62)</w:t>
            </w:r>
          </w:p>
        </w:tc>
        <w:tc>
          <w:tcPr>
            <w:tcW w:w="1074" w:type="dxa"/>
            <w:noWrap/>
            <w:hideMark/>
          </w:tcPr>
          <w:p w14:paraId="4BB47BD8" w14:textId="77777777" w:rsidR="00780E01" w:rsidRPr="00EE2163" w:rsidRDefault="00780E01" w:rsidP="00EE2163">
            <w:r w:rsidRPr="00EE2163">
              <w:t>34.26</w:t>
            </w:r>
          </w:p>
        </w:tc>
        <w:tc>
          <w:tcPr>
            <w:tcW w:w="1960" w:type="dxa"/>
            <w:noWrap/>
            <w:hideMark/>
          </w:tcPr>
          <w:p w14:paraId="65FFF505" w14:textId="77777777" w:rsidR="00780E01" w:rsidRPr="00EE2163" w:rsidRDefault="00780E01" w:rsidP="00EE2163"/>
        </w:tc>
        <w:tc>
          <w:tcPr>
            <w:tcW w:w="1900" w:type="dxa"/>
            <w:noWrap/>
            <w:hideMark/>
          </w:tcPr>
          <w:p w14:paraId="27679BB5" w14:textId="77777777" w:rsidR="00780E01" w:rsidRPr="00EE2163" w:rsidRDefault="00780E01" w:rsidP="00EE2163">
            <w:r w:rsidRPr="00EE2163">
              <w:t>8.10 (7.64,8.55)</w:t>
            </w:r>
          </w:p>
        </w:tc>
        <w:tc>
          <w:tcPr>
            <w:tcW w:w="980" w:type="dxa"/>
            <w:noWrap/>
            <w:hideMark/>
          </w:tcPr>
          <w:p w14:paraId="4CCD2EE4" w14:textId="77777777" w:rsidR="00780E01" w:rsidRPr="00EE2163" w:rsidRDefault="00780E01" w:rsidP="00EE2163">
            <w:r w:rsidRPr="00EE2163">
              <w:t>34.3</w:t>
            </w:r>
          </w:p>
        </w:tc>
        <w:tc>
          <w:tcPr>
            <w:tcW w:w="1077" w:type="dxa"/>
            <w:noWrap/>
            <w:hideMark/>
          </w:tcPr>
          <w:p w14:paraId="768CCD3F" w14:textId="77777777" w:rsidR="00780E01" w:rsidRPr="00EE2163" w:rsidRDefault="00780E01" w:rsidP="00EE2163">
            <w:r w:rsidRPr="00EE2163">
              <w:t xml:space="preserve"> </w:t>
            </w:r>
          </w:p>
        </w:tc>
        <w:tc>
          <w:tcPr>
            <w:tcW w:w="980" w:type="dxa"/>
            <w:noWrap/>
            <w:hideMark/>
          </w:tcPr>
          <w:p w14:paraId="12AAE3B9" w14:textId="77777777" w:rsidR="00780E01" w:rsidRPr="00EE2163" w:rsidRDefault="00780E01" w:rsidP="00EE2163"/>
        </w:tc>
        <w:tc>
          <w:tcPr>
            <w:tcW w:w="980" w:type="dxa"/>
            <w:noWrap/>
            <w:hideMark/>
          </w:tcPr>
          <w:p w14:paraId="40EEF12C" w14:textId="77777777" w:rsidR="00780E01" w:rsidRPr="00EE2163" w:rsidRDefault="00780E01" w:rsidP="00EE2163"/>
        </w:tc>
      </w:tr>
      <w:tr w:rsidR="00780E01" w:rsidRPr="00EE2163" w14:paraId="774DAD8E" w14:textId="77777777" w:rsidTr="00780E01">
        <w:trPr>
          <w:trHeight w:val="300"/>
        </w:trPr>
        <w:tc>
          <w:tcPr>
            <w:tcW w:w="1009" w:type="dxa"/>
            <w:noWrap/>
            <w:hideMark/>
          </w:tcPr>
          <w:p w14:paraId="48987E04" w14:textId="77777777" w:rsidR="00780E01" w:rsidRPr="00EE2163" w:rsidRDefault="00780E01" w:rsidP="00EE2163">
            <w:r w:rsidRPr="00EE2163">
              <w:t>2020</w:t>
            </w:r>
          </w:p>
        </w:tc>
        <w:tc>
          <w:tcPr>
            <w:tcW w:w="2003" w:type="dxa"/>
            <w:noWrap/>
            <w:hideMark/>
          </w:tcPr>
          <w:p w14:paraId="02FC18DF" w14:textId="77777777" w:rsidR="00780E01" w:rsidRPr="00EE2163" w:rsidRDefault="00780E01" w:rsidP="00EE2163">
            <w:r w:rsidRPr="00EE2163">
              <w:t>7.74 (4.50,11.53)</w:t>
            </w:r>
          </w:p>
        </w:tc>
        <w:tc>
          <w:tcPr>
            <w:tcW w:w="1074" w:type="dxa"/>
            <w:noWrap/>
            <w:hideMark/>
          </w:tcPr>
          <w:p w14:paraId="1C52E57A" w14:textId="77777777" w:rsidR="00780E01" w:rsidRPr="00EE2163" w:rsidRDefault="00780E01" w:rsidP="00EE2163"/>
        </w:tc>
        <w:tc>
          <w:tcPr>
            <w:tcW w:w="1960" w:type="dxa"/>
            <w:noWrap/>
            <w:hideMark/>
          </w:tcPr>
          <w:p w14:paraId="333A3138" w14:textId="77777777" w:rsidR="00780E01" w:rsidRPr="00EE2163" w:rsidRDefault="00780E01" w:rsidP="00EE2163">
            <w:r w:rsidRPr="00EE2163">
              <w:t>34.79 (34.51,35.08)</w:t>
            </w:r>
          </w:p>
        </w:tc>
        <w:tc>
          <w:tcPr>
            <w:tcW w:w="1900" w:type="dxa"/>
            <w:noWrap/>
            <w:hideMark/>
          </w:tcPr>
          <w:p w14:paraId="5A7F0F27" w14:textId="77777777" w:rsidR="00780E01" w:rsidRPr="00EE2163" w:rsidRDefault="00780E01" w:rsidP="00EE2163"/>
        </w:tc>
        <w:tc>
          <w:tcPr>
            <w:tcW w:w="980" w:type="dxa"/>
            <w:noWrap/>
            <w:hideMark/>
          </w:tcPr>
          <w:p w14:paraId="577534E4" w14:textId="77777777" w:rsidR="00780E01" w:rsidRPr="00EE2163" w:rsidRDefault="00780E01" w:rsidP="00EE2163"/>
        </w:tc>
        <w:tc>
          <w:tcPr>
            <w:tcW w:w="1077" w:type="dxa"/>
            <w:noWrap/>
            <w:hideMark/>
          </w:tcPr>
          <w:p w14:paraId="467AF3FB" w14:textId="77777777" w:rsidR="00780E01" w:rsidRPr="00EE2163" w:rsidRDefault="00780E01" w:rsidP="00EE2163">
            <w:r w:rsidRPr="00EE2163">
              <w:t>34.8</w:t>
            </w:r>
          </w:p>
        </w:tc>
        <w:tc>
          <w:tcPr>
            <w:tcW w:w="980" w:type="dxa"/>
            <w:noWrap/>
            <w:hideMark/>
          </w:tcPr>
          <w:p w14:paraId="75EEC643" w14:textId="77777777" w:rsidR="00780E01" w:rsidRPr="00EE2163" w:rsidRDefault="00780E01" w:rsidP="00EE2163">
            <w:r w:rsidRPr="00EE2163">
              <w:t>34.7</w:t>
            </w:r>
          </w:p>
        </w:tc>
        <w:tc>
          <w:tcPr>
            <w:tcW w:w="980" w:type="dxa"/>
            <w:noWrap/>
            <w:hideMark/>
          </w:tcPr>
          <w:p w14:paraId="6438EFA0" w14:textId="77777777" w:rsidR="00780E01" w:rsidRPr="00EE2163" w:rsidRDefault="00780E01" w:rsidP="00EE2163">
            <w:r w:rsidRPr="00EE2163">
              <w:t>35.0</w:t>
            </w:r>
          </w:p>
        </w:tc>
      </w:tr>
      <w:tr w:rsidR="00780E01" w:rsidRPr="00EE2163" w14:paraId="25BE6052" w14:textId="77777777" w:rsidTr="00780E01">
        <w:trPr>
          <w:trHeight w:val="300"/>
        </w:trPr>
        <w:tc>
          <w:tcPr>
            <w:tcW w:w="1009" w:type="dxa"/>
            <w:noWrap/>
            <w:hideMark/>
          </w:tcPr>
          <w:p w14:paraId="57CD7245" w14:textId="77777777" w:rsidR="00780E01" w:rsidRPr="00EE2163" w:rsidRDefault="00780E01" w:rsidP="00EE2163">
            <w:r w:rsidRPr="00EE2163">
              <w:t>2025</w:t>
            </w:r>
          </w:p>
        </w:tc>
        <w:tc>
          <w:tcPr>
            <w:tcW w:w="2003" w:type="dxa"/>
            <w:noWrap/>
            <w:hideMark/>
          </w:tcPr>
          <w:p w14:paraId="123CA50A" w14:textId="77777777" w:rsidR="00780E01" w:rsidRPr="00EE2163" w:rsidRDefault="00780E01" w:rsidP="00EE2163">
            <w:r w:rsidRPr="00EE2163">
              <w:t>8.02 (3.98,12.52)</w:t>
            </w:r>
          </w:p>
        </w:tc>
        <w:tc>
          <w:tcPr>
            <w:tcW w:w="1074" w:type="dxa"/>
            <w:noWrap/>
            <w:hideMark/>
          </w:tcPr>
          <w:p w14:paraId="3B942382" w14:textId="77777777" w:rsidR="00780E01" w:rsidRPr="00EE2163" w:rsidRDefault="00780E01" w:rsidP="00EE2163"/>
        </w:tc>
        <w:tc>
          <w:tcPr>
            <w:tcW w:w="1960" w:type="dxa"/>
            <w:noWrap/>
            <w:hideMark/>
          </w:tcPr>
          <w:p w14:paraId="3D2318E1" w14:textId="77777777" w:rsidR="00780E01" w:rsidRPr="00EE2163" w:rsidRDefault="00780E01" w:rsidP="00EE2163">
            <w:r w:rsidRPr="00EE2163">
              <w:t>35.46 (34.79,36.12)</w:t>
            </w:r>
          </w:p>
        </w:tc>
        <w:tc>
          <w:tcPr>
            <w:tcW w:w="1900" w:type="dxa"/>
            <w:noWrap/>
            <w:hideMark/>
          </w:tcPr>
          <w:p w14:paraId="067E43BD" w14:textId="77777777" w:rsidR="00780E01" w:rsidRPr="00EE2163" w:rsidRDefault="00780E01" w:rsidP="00EE2163"/>
        </w:tc>
        <w:tc>
          <w:tcPr>
            <w:tcW w:w="980" w:type="dxa"/>
            <w:noWrap/>
            <w:hideMark/>
          </w:tcPr>
          <w:p w14:paraId="34F94E87" w14:textId="77777777" w:rsidR="00780E01" w:rsidRPr="00EE2163" w:rsidRDefault="00780E01" w:rsidP="00EE2163"/>
        </w:tc>
        <w:tc>
          <w:tcPr>
            <w:tcW w:w="1077" w:type="dxa"/>
            <w:noWrap/>
            <w:hideMark/>
          </w:tcPr>
          <w:p w14:paraId="5B46529B" w14:textId="77777777" w:rsidR="00780E01" w:rsidRPr="00EE2163" w:rsidRDefault="00780E01" w:rsidP="00EE2163">
            <w:r w:rsidRPr="00EE2163">
              <w:t>35.2</w:t>
            </w:r>
          </w:p>
        </w:tc>
        <w:tc>
          <w:tcPr>
            <w:tcW w:w="980" w:type="dxa"/>
            <w:noWrap/>
            <w:hideMark/>
          </w:tcPr>
          <w:p w14:paraId="33DBDBAD" w14:textId="77777777" w:rsidR="00780E01" w:rsidRPr="00EE2163" w:rsidRDefault="00780E01" w:rsidP="00EE2163">
            <w:r w:rsidRPr="00EE2163">
              <w:t>35.0</w:t>
            </w:r>
          </w:p>
        </w:tc>
        <w:tc>
          <w:tcPr>
            <w:tcW w:w="980" w:type="dxa"/>
            <w:noWrap/>
            <w:hideMark/>
          </w:tcPr>
          <w:p w14:paraId="14874DBF" w14:textId="77777777" w:rsidR="00780E01" w:rsidRPr="00EE2163" w:rsidRDefault="00780E01" w:rsidP="00EE2163">
            <w:r w:rsidRPr="00EE2163">
              <w:t>35.5</w:t>
            </w:r>
          </w:p>
        </w:tc>
      </w:tr>
      <w:tr w:rsidR="00780E01" w:rsidRPr="00EE2163" w14:paraId="754F39DB" w14:textId="77777777" w:rsidTr="00780E01">
        <w:trPr>
          <w:trHeight w:val="300"/>
        </w:trPr>
        <w:tc>
          <w:tcPr>
            <w:tcW w:w="1009" w:type="dxa"/>
            <w:noWrap/>
            <w:hideMark/>
          </w:tcPr>
          <w:p w14:paraId="7B770987" w14:textId="77777777" w:rsidR="00780E01" w:rsidRPr="00EE2163" w:rsidRDefault="00780E01" w:rsidP="00EE2163">
            <w:r w:rsidRPr="00EE2163">
              <w:t>2030</w:t>
            </w:r>
          </w:p>
        </w:tc>
        <w:tc>
          <w:tcPr>
            <w:tcW w:w="2003" w:type="dxa"/>
            <w:noWrap/>
            <w:hideMark/>
          </w:tcPr>
          <w:p w14:paraId="6B6520E5" w14:textId="77777777" w:rsidR="00780E01" w:rsidRPr="00EE2163" w:rsidRDefault="00780E01" w:rsidP="00EE2163">
            <w:r w:rsidRPr="00EE2163">
              <w:t>8.30 (3.59,13.27)</w:t>
            </w:r>
          </w:p>
        </w:tc>
        <w:tc>
          <w:tcPr>
            <w:tcW w:w="1074" w:type="dxa"/>
            <w:noWrap/>
            <w:hideMark/>
          </w:tcPr>
          <w:p w14:paraId="21ABD6CC" w14:textId="77777777" w:rsidR="00780E01" w:rsidRPr="00EE2163" w:rsidRDefault="00780E01" w:rsidP="00EE2163"/>
        </w:tc>
        <w:tc>
          <w:tcPr>
            <w:tcW w:w="1960" w:type="dxa"/>
            <w:noWrap/>
            <w:hideMark/>
          </w:tcPr>
          <w:p w14:paraId="585C0F46" w14:textId="77777777" w:rsidR="00780E01" w:rsidRPr="00EE2163" w:rsidRDefault="00780E01" w:rsidP="00EE2163">
            <w:r w:rsidRPr="00EE2163">
              <w:t>36.11 (35.22,36.95)</w:t>
            </w:r>
          </w:p>
        </w:tc>
        <w:tc>
          <w:tcPr>
            <w:tcW w:w="1900" w:type="dxa"/>
            <w:noWrap/>
            <w:hideMark/>
          </w:tcPr>
          <w:p w14:paraId="5EC2CEFD" w14:textId="77777777" w:rsidR="00780E01" w:rsidRPr="00EE2163" w:rsidRDefault="00780E01" w:rsidP="00EE2163"/>
        </w:tc>
        <w:tc>
          <w:tcPr>
            <w:tcW w:w="980" w:type="dxa"/>
            <w:noWrap/>
            <w:hideMark/>
          </w:tcPr>
          <w:p w14:paraId="728BA297" w14:textId="77777777" w:rsidR="00780E01" w:rsidRPr="00EE2163" w:rsidRDefault="00780E01" w:rsidP="00EE2163"/>
        </w:tc>
        <w:tc>
          <w:tcPr>
            <w:tcW w:w="1077" w:type="dxa"/>
            <w:noWrap/>
            <w:hideMark/>
          </w:tcPr>
          <w:p w14:paraId="71E95D29" w14:textId="77777777" w:rsidR="00780E01" w:rsidRPr="00EE2163" w:rsidRDefault="00780E01" w:rsidP="00EE2163">
            <w:r w:rsidRPr="00EE2163">
              <w:t>35.6</w:t>
            </w:r>
          </w:p>
        </w:tc>
        <w:tc>
          <w:tcPr>
            <w:tcW w:w="980" w:type="dxa"/>
            <w:noWrap/>
            <w:hideMark/>
          </w:tcPr>
          <w:p w14:paraId="20A7D3B9" w14:textId="77777777" w:rsidR="00780E01" w:rsidRPr="00EE2163" w:rsidRDefault="00780E01" w:rsidP="00EE2163">
            <w:r w:rsidRPr="00EE2163">
              <w:t>35.2</w:t>
            </w:r>
          </w:p>
        </w:tc>
        <w:tc>
          <w:tcPr>
            <w:tcW w:w="980" w:type="dxa"/>
            <w:noWrap/>
            <w:hideMark/>
          </w:tcPr>
          <w:p w14:paraId="6172345A" w14:textId="77777777" w:rsidR="00780E01" w:rsidRPr="00EE2163" w:rsidRDefault="00780E01" w:rsidP="00EE2163">
            <w:r w:rsidRPr="00EE2163">
              <w:t>36.0</w:t>
            </w:r>
          </w:p>
        </w:tc>
      </w:tr>
      <w:tr w:rsidR="00780E01" w:rsidRPr="00EE2163" w14:paraId="581F8DA4" w14:textId="77777777" w:rsidTr="00780E01">
        <w:trPr>
          <w:trHeight w:val="300"/>
        </w:trPr>
        <w:tc>
          <w:tcPr>
            <w:tcW w:w="1009" w:type="dxa"/>
            <w:noWrap/>
            <w:hideMark/>
          </w:tcPr>
          <w:p w14:paraId="7DE00675" w14:textId="77777777" w:rsidR="00780E01" w:rsidRPr="00EE2163" w:rsidRDefault="00780E01" w:rsidP="00EE2163">
            <w:r w:rsidRPr="00EE2163">
              <w:t>2035</w:t>
            </w:r>
          </w:p>
        </w:tc>
        <w:tc>
          <w:tcPr>
            <w:tcW w:w="2003" w:type="dxa"/>
            <w:noWrap/>
            <w:hideMark/>
          </w:tcPr>
          <w:p w14:paraId="2F9FBCA4" w14:textId="77777777" w:rsidR="00780E01" w:rsidRPr="00EE2163" w:rsidRDefault="00780E01" w:rsidP="00EE2163">
            <w:r w:rsidRPr="00EE2163">
              <w:t>8.57 (3.28,13.87)</w:t>
            </w:r>
          </w:p>
        </w:tc>
        <w:tc>
          <w:tcPr>
            <w:tcW w:w="1074" w:type="dxa"/>
            <w:noWrap/>
            <w:hideMark/>
          </w:tcPr>
          <w:p w14:paraId="1E149AC6" w14:textId="77777777" w:rsidR="00780E01" w:rsidRPr="00EE2163" w:rsidRDefault="00780E01" w:rsidP="00EE2163">
            <w:r w:rsidRPr="00EE2163">
              <w:t> </w:t>
            </w:r>
          </w:p>
        </w:tc>
        <w:tc>
          <w:tcPr>
            <w:tcW w:w="1960" w:type="dxa"/>
            <w:noWrap/>
            <w:hideMark/>
          </w:tcPr>
          <w:p w14:paraId="17826471" w14:textId="77777777" w:rsidR="00780E01" w:rsidRPr="00EE2163" w:rsidRDefault="00780E01" w:rsidP="00EE2163">
            <w:r w:rsidRPr="00EE2163">
              <w:t>36.72 (35.69,37.70)</w:t>
            </w:r>
          </w:p>
        </w:tc>
        <w:tc>
          <w:tcPr>
            <w:tcW w:w="1900" w:type="dxa"/>
            <w:noWrap/>
            <w:hideMark/>
          </w:tcPr>
          <w:p w14:paraId="0053F39C" w14:textId="77777777" w:rsidR="00780E01" w:rsidRPr="00EE2163" w:rsidRDefault="00780E01" w:rsidP="00EE2163">
            <w:r w:rsidRPr="00EE2163">
              <w:t> </w:t>
            </w:r>
          </w:p>
        </w:tc>
        <w:tc>
          <w:tcPr>
            <w:tcW w:w="980" w:type="dxa"/>
            <w:noWrap/>
            <w:hideMark/>
          </w:tcPr>
          <w:p w14:paraId="2FB54FC3" w14:textId="77777777" w:rsidR="00780E01" w:rsidRPr="00EE2163" w:rsidRDefault="00780E01" w:rsidP="00EE2163">
            <w:r w:rsidRPr="00EE2163">
              <w:t> </w:t>
            </w:r>
          </w:p>
        </w:tc>
        <w:tc>
          <w:tcPr>
            <w:tcW w:w="1077" w:type="dxa"/>
            <w:noWrap/>
            <w:hideMark/>
          </w:tcPr>
          <w:p w14:paraId="59C1A622" w14:textId="77777777" w:rsidR="00780E01" w:rsidRPr="00EE2163" w:rsidRDefault="00780E01" w:rsidP="00EE2163">
            <w:r w:rsidRPr="00EE2163">
              <w:t>36.0</w:t>
            </w:r>
          </w:p>
        </w:tc>
        <w:tc>
          <w:tcPr>
            <w:tcW w:w="980" w:type="dxa"/>
            <w:noWrap/>
            <w:hideMark/>
          </w:tcPr>
          <w:p w14:paraId="750F5AB6" w14:textId="77777777" w:rsidR="00780E01" w:rsidRPr="00EE2163" w:rsidRDefault="00780E01" w:rsidP="00EE2163">
            <w:r w:rsidRPr="00EE2163">
              <w:t>35.4</w:t>
            </w:r>
          </w:p>
        </w:tc>
        <w:tc>
          <w:tcPr>
            <w:tcW w:w="980" w:type="dxa"/>
            <w:noWrap/>
            <w:hideMark/>
          </w:tcPr>
          <w:p w14:paraId="6917FBB0" w14:textId="77777777" w:rsidR="00780E01" w:rsidRPr="00EE2163" w:rsidRDefault="00780E01" w:rsidP="00EE2163">
            <w:r w:rsidRPr="00EE2163">
              <w:t>36.6</w:t>
            </w:r>
          </w:p>
        </w:tc>
      </w:tr>
    </w:tbl>
    <w:p w14:paraId="59B7E688" w14:textId="77777777" w:rsidR="00EE2163" w:rsidRDefault="00EE2163" w:rsidP="00EE2163">
      <w:r>
        <w:t>Notes:</w:t>
      </w:r>
    </w:p>
    <w:p w14:paraId="7F13E783" w14:textId="77777777" w:rsidR="00EE2163" w:rsidRDefault="00EE2163" w:rsidP="00EE2163">
      <w:r>
        <w:t>States: Healthy and in work (HWLE) [1]; Not healthy and/or not in work (including: healthy and not in work, not healthy and in work, not healthy and not in work) [2]; Dead [3]</w:t>
      </w:r>
    </w:p>
    <w:p w14:paraId="39A59350" w14:textId="77777777" w:rsidR="00EE2163" w:rsidRDefault="00EE2163" w:rsidP="00EE2163">
      <w:r>
        <w:t>Data for estimation of HWLE were observed from 1996 to 2014 (1996 to 2017 for Sullivan method estimates) and data for estimation of life expectancy were observed from 1996 to 2018</w:t>
      </w:r>
    </w:p>
    <w:p w14:paraId="20112E52" w14:textId="23B385EF" w:rsidR="00EE2163" w:rsidRDefault="00EE2163" w:rsidP="00EE2163">
      <w:r>
        <w:t>ONS low and high variants reflect less optimistic and more optimistic future demographic scenarios respectively based on trend calculations and expert opinions</w:t>
      </w:r>
    </w:p>
    <w:p w14:paraId="3925D8AC" w14:textId="3B65F693" w:rsidR="004B54B9" w:rsidRDefault="004B54B9" w:rsidP="00EE2163">
      <w:r>
        <w:t xml:space="preserve">See supplementary table 2 for </w:t>
      </w:r>
      <w:r w:rsidR="00EB420A">
        <w:t>results</w:t>
      </w:r>
      <w:r>
        <w:t xml:space="preserve"> for all years 1996-2035</w:t>
      </w:r>
    </w:p>
    <w:p w14:paraId="6BDB08E6" w14:textId="618E2595" w:rsidR="00EE2163" w:rsidRDefault="00EE2163" w:rsidP="001706EE">
      <w:pPr>
        <w:sectPr w:rsidR="00EE2163" w:rsidSect="009D1356">
          <w:pgSz w:w="16838" w:h="11906" w:orient="landscape"/>
          <w:pgMar w:top="1440" w:right="1440" w:bottom="1440" w:left="1440" w:header="709" w:footer="709" w:gutter="0"/>
          <w:cols w:space="708"/>
          <w:docGrid w:linePitch="360"/>
        </w:sectPr>
      </w:pPr>
    </w:p>
    <w:p w14:paraId="72421C35" w14:textId="12D8B268" w:rsidR="003868E0" w:rsidRDefault="003868E0" w:rsidP="003868E0">
      <w:pPr>
        <w:spacing w:line="480" w:lineRule="auto"/>
        <w:rPr>
          <w:b/>
          <w:bCs/>
        </w:rPr>
      </w:pPr>
      <w:r>
        <w:rPr>
          <w:b/>
          <w:bCs/>
        </w:rPr>
        <w:lastRenderedPageBreak/>
        <w:t>References</w:t>
      </w:r>
    </w:p>
    <w:p w14:paraId="6D411403"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DWP. </w:t>
      </w:r>
      <w:r w:rsidRPr="00816BB3">
        <w:rPr>
          <w:rFonts w:ascii="Calibri" w:eastAsia="Times New Roman" w:hAnsi="Calibri" w:cs="Calibri"/>
          <w:i/>
          <w:iCs/>
          <w:color w:val="000000"/>
          <w:lang w:eastAsia="en-GB"/>
        </w:rPr>
        <w:t>State Pension age review</w:t>
      </w:r>
      <w:r w:rsidRPr="00816BB3">
        <w:rPr>
          <w:rFonts w:ascii="Calibri" w:eastAsia="Times New Roman" w:hAnsi="Calibri" w:cs="Calibri"/>
          <w:color w:val="000000"/>
          <w:lang w:eastAsia="en-GB"/>
        </w:rPr>
        <w:t>. https://www.gov.uk/government/publications/state-pension-age-review-final-report (2017)</w:t>
      </w:r>
    </w:p>
    <w:p w14:paraId="74A9B38B"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Reeuwijk, K. G., van Klaveren, D., van Rijn, R. M., Burdorf, A. &amp; Robroek, S. J. W. The influence of poor health on competing exit routes from paid employment among older workers in 11 European countries. </w:t>
      </w:r>
      <w:r w:rsidRPr="00816BB3">
        <w:rPr>
          <w:rFonts w:ascii="Calibri" w:eastAsia="Times New Roman" w:hAnsi="Calibri" w:cs="Calibri"/>
          <w:i/>
          <w:iCs/>
          <w:color w:val="000000"/>
          <w:lang w:eastAsia="en-GB"/>
        </w:rPr>
        <w:t>Scand. J. Work Environ. Health</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43</w:t>
      </w:r>
      <w:r w:rsidRPr="00816BB3">
        <w:rPr>
          <w:rFonts w:ascii="Calibri" w:eastAsia="Times New Roman" w:hAnsi="Calibri" w:cs="Calibri"/>
          <w:color w:val="000000"/>
          <w:lang w:eastAsia="en-GB"/>
        </w:rPr>
        <w:t>, 24–33 (2017)</w:t>
      </w:r>
    </w:p>
    <w:p w14:paraId="2D59D076"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Parker, M., Bucknall, M., Jagger, C. &amp; Wilkie, R. Population-based estimates of healthy working life expectancy in England at age 50 years: analysis of data from the English Longitudinal Study of Ageing. </w:t>
      </w:r>
      <w:r w:rsidRPr="00816BB3">
        <w:rPr>
          <w:rFonts w:ascii="Calibri" w:eastAsia="Times New Roman" w:hAnsi="Calibri" w:cs="Calibri"/>
          <w:i/>
          <w:iCs/>
          <w:color w:val="000000"/>
          <w:lang w:eastAsia="en-GB"/>
        </w:rPr>
        <w:t>Lancet Public Health</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5</w:t>
      </w:r>
      <w:r w:rsidRPr="00816BB3">
        <w:rPr>
          <w:rFonts w:ascii="Calibri" w:eastAsia="Times New Roman" w:hAnsi="Calibri" w:cs="Calibri"/>
          <w:color w:val="000000"/>
          <w:lang w:eastAsia="en-GB"/>
        </w:rPr>
        <w:t>, e395–e403 (2020)</w:t>
      </w:r>
    </w:p>
    <w:p w14:paraId="699F072C"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ONS. Single-year life tables, UK: 1980 to 2018. (2019)</w:t>
      </w:r>
    </w:p>
    <w:p w14:paraId="14E307B1"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Guillot, M. &amp; Yu, Y. Estimating health expectancies from two cross-sectional surveys: The intercensal method. </w:t>
      </w:r>
      <w:r w:rsidRPr="00816BB3">
        <w:rPr>
          <w:rFonts w:ascii="Calibri" w:eastAsia="Times New Roman" w:hAnsi="Calibri" w:cs="Calibri"/>
          <w:i/>
          <w:iCs/>
          <w:color w:val="000000"/>
          <w:lang w:eastAsia="en-GB"/>
        </w:rPr>
        <w:t>Demogr. Res.</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21</w:t>
      </w:r>
      <w:r w:rsidRPr="00816BB3">
        <w:rPr>
          <w:rFonts w:ascii="Calibri" w:eastAsia="Times New Roman" w:hAnsi="Calibri" w:cs="Calibri"/>
          <w:color w:val="000000"/>
          <w:lang w:eastAsia="en-GB"/>
        </w:rPr>
        <w:t>, 503–534 (2009)</w:t>
      </w:r>
    </w:p>
    <w:p w14:paraId="64AAC992"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NatCen Social Research. Health Survey for England, 2014 [data collection]. (2018) doi:10.5255/UKDA-SN-7919-3</w:t>
      </w:r>
    </w:p>
    <w:p w14:paraId="0703CFB1"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Majer, I. M., Stevens, R., Nusselder, W. J., Mackenbach, J. P. &amp; van Baal, P. H. M. Modeling and forecasting health expectancy: theoretical framework and application. </w:t>
      </w:r>
      <w:r w:rsidRPr="00816BB3">
        <w:rPr>
          <w:rFonts w:ascii="Calibri" w:eastAsia="Times New Roman" w:hAnsi="Calibri" w:cs="Calibri"/>
          <w:i/>
          <w:iCs/>
          <w:color w:val="000000"/>
          <w:lang w:eastAsia="en-GB"/>
        </w:rPr>
        <w:t>Demography</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50</w:t>
      </w:r>
      <w:r w:rsidRPr="00816BB3">
        <w:rPr>
          <w:rFonts w:ascii="Calibri" w:eastAsia="Times New Roman" w:hAnsi="Calibri" w:cs="Calibri"/>
          <w:color w:val="000000"/>
          <w:lang w:eastAsia="en-GB"/>
        </w:rPr>
        <w:t>, 673–697 (2013)</w:t>
      </w:r>
    </w:p>
    <w:p w14:paraId="38437120"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Lee, R. D. &amp; Carter, L. R. Modeling and Forecasting U.S. Mortality. </w:t>
      </w:r>
      <w:r w:rsidRPr="00816BB3">
        <w:rPr>
          <w:rFonts w:ascii="Calibri" w:eastAsia="Times New Roman" w:hAnsi="Calibri" w:cs="Calibri"/>
          <w:i/>
          <w:iCs/>
          <w:color w:val="000000"/>
          <w:lang w:eastAsia="en-GB"/>
        </w:rPr>
        <w:t>J. Am. Stat. Assoc.</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87</w:t>
      </w:r>
      <w:r w:rsidRPr="00816BB3">
        <w:rPr>
          <w:rFonts w:ascii="Calibri" w:eastAsia="Times New Roman" w:hAnsi="Calibri" w:cs="Calibri"/>
          <w:color w:val="000000"/>
          <w:lang w:eastAsia="en-GB"/>
        </w:rPr>
        <w:t>, 659–671 (1992)</w:t>
      </w:r>
    </w:p>
    <w:p w14:paraId="0E579878"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UN. World Population Prospects 2019, Online Edition. (2019)</w:t>
      </w:r>
    </w:p>
    <w:p w14:paraId="5180DDC7"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Wilkie, R., Blagojevic-Bucknall, M., Jordan, K. P. &amp; Pransky, G. Onset of work restriction in employed adults with lower limb joint pain: individual factors and area-level socioeconomic conditions. </w:t>
      </w:r>
      <w:r w:rsidRPr="00816BB3">
        <w:rPr>
          <w:rFonts w:ascii="Calibri" w:eastAsia="Times New Roman" w:hAnsi="Calibri" w:cs="Calibri"/>
          <w:i/>
          <w:iCs/>
          <w:color w:val="000000"/>
          <w:lang w:eastAsia="en-GB"/>
        </w:rPr>
        <w:t>J. Occup. Rehabil.</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23</w:t>
      </w:r>
      <w:r w:rsidRPr="00816BB3">
        <w:rPr>
          <w:rFonts w:ascii="Calibri" w:eastAsia="Times New Roman" w:hAnsi="Calibri" w:cs="Calibri"/>
          <w:color w:val="000000"/>
          <w:lang w:eastAsia="en-GB"/>
        </w:rPr>
        <w:t>, 180–188 (2013)</w:t>
      </w:r>
    </w:p>
    <w:p w14:paraId="57C8FF3F"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Muszyńska, M. M. &amp; Rau, R. The Old-Age Healthy Dependency Ratio in Europe. </w:t>
      </w:r>
      <w:r w:rsidRPr="00816BB3">
        <w:rPr>
          <w:rFonts w:ascii="Calibri" w:eastAsia="Times New Roman" w:hAnsi="Calibri" w:cs="Calibri"/>
          <w:i/>
          <w:iCs/>
          <w:color w:val="000000"/>
          <w:lang w:eastAsia="en-GB"/>
        </w:rPr>
        <w:t>J. Popul. Ageing</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5</w:t>
      </w:r>
      <w:r w:rsidRPr="00816BB3">
        <w:rPr>
          <w:rFonts w:ascii="Calibri" w:eastAsia="Times New Roman" w:hAnsi="Calibri" w:cs="Calibri"/>
          <w:color w:val="000000"/>
          <w:lang w:eastAsia="en-GB"/>
        </w:rPr>
        <w:t>, 151–162 (2012)</w:t>
      </w:r>
    </w:p>
    <w:p w14:paraId="54F4F990"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lastRenderedPageBreak/>
        <w:t xml:space="preserve">Haan, P. &amp; Myck, M. Dynamics of health and labor market risks. </w:t>
      </w:r>
      <w:r w:rsidRPr="00816BB3">
        <w:rPr>
          <w:rFonts w:ascii="Calibri" w:eastAsia="Times New Roman" w:hAnsi="Calibri" w:cs="Calibri"/>
          <w:i/>
          <w:iCs/>
          <w:color w:val="000000"/>
          <w:lang w:eastAsia="en-GB"/>
        </w:rPr>
        <w:t>J. Health Econ.</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28</w:t>
      </w:r>
      <w:r w:rsidRPr="00816BB3">
        <w:rPr>
          <w:rFonts w:ascii="Calibri" w:eastAsia="Times New Roman" w:hAnsi="Calibri" w:cs="Calibri"/>
          <w:color w:val="000000"/>
          <w:lang w:eastAsia="en-GB"/>
        </w:rPr>
        <w:t>, 1116–1125 (2009)</w:t>
      </w:r>
    </w:p>
    <w:p w14:paraId="5516F5CF"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Davies NM, Dickson M, Davey Smith G, van den Berg GJ, Windmeijer F. The Causal Effects of Education on Health Outcomes in the UK Biobank. </w:t>
      </w:r>
      <w:r w:rsidRPr="00816BB3">
        <w:rPr>
          <w:rFonts w:ascii="Calibri" w:eastAsia="Times New Roman" w:hAnsi="Calibri" w:cs="Calibri"/>
          <w:i/>
          <w:iCs/>
          <w:color w:val="000000"/>
          <w:lang w:eastAsia="en-GB"/>
        </w:rPr>
        <w:t>Nat Hum Behav</w:t>
      </w:r>
      <w:r w:rsidRPr="00816BB3">
        <w:rPr>
          <w:rFonts w:ascii="Calibri" w:eastAsia="Times New Roman" w:hAnsi="Calibri" w:cs="Calibri"/>
          <w:color w:val="000000"/>
          <w:lang w:eastAsia="en-GB"/>
        </w:rPr>
        <w:t xml:space="preserve"> 2018; </w:t>
      </w:r>
      <w:r w:rsidRPr="00816BB3">
        <w:rPr>
          <w:rFonts w:ascii="Calibri" w:eastAsia="Times New Roman" w:hAnsi="Calibri" w:cs="Calibri"/>
          <w:b/>
          <w:bCs/>
          <w:color w:val="000000"/>
          <w:lang w:eastAsia="en-GB"/>
        </w:rPr>
        <w:t>2</w:t>
      </w:r>
      <w:r w:rsidRPr="00816BB3">
        <w:rPr>
          <w:rFonts w:ascii="Calibri" w:eastAsia="Times New Roman" w:hAnsi="Calibri" w:cs="Calibri"/>
          <w:color w:val="000000"/>
          <w:lang w:eastAsia="en-GB"/>
        </w:rPr>
        <w:t>: 117–25.</w:t>
      </w:r>
    </w:p>
    <w:p w14:paraId="6CE0E0A3"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Cantu PA, Sheehan CM, Sasson I, Hayward MD. Increasing Education-Based Disparities in Healthy Life Expectancy Among U.S. Non-Hispanic Whites, 2000-2010. </w:t>
      </w:r>
      <w:r w:rsidRPr="00816BB3">
        <w:rPr>
          <w:rFonts w:ascii="Calibri" w:eastAsia="Times New Roman" w:hAnsi="Calibri" w:cs="Calibri"/>
          <w:i/>
          <w:iCs/>
          <w:color w:val="000000"/>
          <w:lang w:eastAsia="en-GB"/>
        </w:rPr>
        <w:t>J Gerontol B Psychol Sci Soc Sci</w:t>
      </w:r>
      <w:r w:rsidRPr="00816BB3">
        <w:rPr>
          <w:rFonts w:ascii="Calibri" w:eastAsia="Times New Roman" w:hAnsi="Calibri" w:cs="Calibri"/>
          <w:color w:val="000000"/>
          <w:lang w:eastAsia="en-GB"/>
        </w:rPr>
        <w:t xml:space="preserve"> 2021; </w:t>
      </w:r>
      <w:r w:rsidRPr="00816BB3">
        <w:rPr>
          <w:rFonts w:ascii="Calibri" w:eastAsia="Times New Roman" w:hAnsi="Calibri" w:cs="Calibri"/>
          <w:b/>
          <w:bCs/>
          <w:color w:val="000000"/>
          <w:lang w:eastAsia="en-GB"/>
        </w:rPr>
        <w:t>76</w:t>
      </w:r>
      <w:r w:rsidRPr="00816BB3">
        <w:rPr>
          <w:rFonts w:ascii="Calibri" w:eastAsia="Times New Roman" w:hAnsi="Calibri" w:cs="Calibri"/>
          <w:color w:val="000000"/>
          <w:lang w:eastAsia="en-GB"/>
        </w:rPr>
        <w:t>: 319–29.</w:t>
      </w:r>
    </w:p>
    <w:p w14:paraId="0A16B046"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Vlassoff C. Gender differences in determinants and consequences of health and illness. </w:t>
      </w:r>
      <w:r w:rsidRPr="00816BB3">
        <w:rPr>
          <w:rFonts w:ascii="Calibri" w:eastAsia="Times New Roman" w:hAnsi="Calibri" w:cs="Calibri"/>
          <w:i/>
          <w:iCs/>
          <w:color w:val="000000"/>
          <w:lang w:eastAsia="en-GB"/>
        </w:rPr>
        <w:t>J Health Popul Nutr</w:t>
      </w:r>
      <w:r w:rsidRPr="00816BB3">
        <w:rPr>
          <w:rFonts w:ascii="Calibri" w:eastAsia="Times New Roman" w:hAnsi="Calibri" w:cs="Calibri"/>
          <w:color w:val="000000"/>
          <w:lang w:eastAsia="en-GB"/>
        </w:rPr>
        <w:t xml:space="preserve"> 2007; </w:t>
      </w:r>
      <w:r w:rsidRPr="00816BB3">
        <w:rPr>
          <w:rFonts w:ascii="Calibri" w:eastAsia="Times New Roman" w:hAnsi="Calibri" w:cs="Calibri"/>
          <w:b/>
          <w:bCs/>
          <w:color w:val="000000"/>
          <w:lang w:eastAsia="en-GB"/>
        </w:rPr>
        <w:t>25</w:t>
      </w:r>
      <w:r w:rsidRPr="00816BB3">
        <w:rPr>
          <w:rFonts w:ascii="Calibri" w:eastAsia="Times New Roman" w:hAnsi="Calibri" w:cs="Calibri"/>
          <w:color w:val="000000"/>
          <w:lang w:eastAsia="en-GB"/>
        </w:rPr>
        <w:t>: 47–61.</w:t>
      </w:r>
    </w:p>
    <w:p w14:paraId="23752601"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Cooper R, Hardy R, Aihie Sayer A, </w:t>
      </w:r>
      <w:r w:rsidRPr="00816BB3">
        <w:rPr>
          <w:rFonts w:ascii="Calibri" w:eastAsia="Times New Roman" w:hAnsi="Calibri" w:cs="Calibri"/>
          <w:i/>
          <w:iCs/>
          <w:color w:val="000000"/>
          <w:lang w:eastAsia="en-GB"/>
        </w:rPr>
        <w:t>et al.</w:t>
      </w:r>
      <w:r w:rsidRPr="00816BB3">
        <w:rPr>
          <w:rFonts w:ascii="Calibri" w:eastAsia="Times New Roman" w:hAnsi="Calibri" w:cs="Calibri"/>
          <w:color w:val="000000"/>
          <w:lang w:eastAsia="en-GB"/>
        </w:rPr>
        <w:t xml:space="preserve"> Age and gender differences in physical capability levels from mid-life onwards: the harmonisation and meta-analysis of data from eight UK cohort studies. </w:t>
      </w:r>
      <w:r w:rsidRPr="00816BB3">
        <w:rPr>
          <w:rFonts w:ascii="Calibri" w:eastAsia="Times New Roman" w:hAnsi="Calibri" w:cs="Calibri"/>
          <w:i/>
          <w:iCs/>
          <w:color w:val="000000"/>
          <w:lang w:eastAsia="en-GB"/>
        </w:rPr>
        <w:t>PLoS One</w:t>
      </w:r>
      <w:r w:rsidRPr="00816BB3">
        <w:rPr>
          <w:rFonts w:ascii="Calibri" w:eastAsia="Times New Roman" w:hAnsi="Calibri" w:cs="Calibri"/>
          <w:color w:val="000000"/>
          <w:lang w:eastAsia="en-GB"/>
        </w:rPr>
        <w:t xml:space="preserve"> 2011; </w:t>
      </w:r>
      <w:r w:rsidRPr="00816BB3">
        <w:rPr>
          <w:rFonts w:ascii="Calibri" w:eastAsia="Times New Roman" w:hAnsi="Calibri" w:cs="Calibri"/>
          <w:b/>
          <w:bCs/>
          <w:color w:val="000000"/>
          <w:lang w:eastAsia="en-GB"/>
        </w:rPr>
        <w:t>6</w:t>
      </w:r>
      <w:r w:rsidRPr="00816BB3">
        <w:rPr>
          <w:rFonts w:ascii="Calibri" w:eastAsia="Times New Roman" w:hAnsi="Calibri" w:cs="Calibri"/>
          <w:color w:val="000000"/>
          <w:lang w:eastAsia="en-GB"/>
        </w:rPr>
        <w:t>: e27899.</w:t>
      </w:r>
    </w:p>
    <w:p w14:paraId="603FAD28"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Parker, M., Bucknall, M., Jagger, C. &amp; Wilkie, R. Extending Working Lives: A Systematic Review of Healthy Working Life Expectancy at Age 50. </w:t>
      </w:r>
      <w:r w:rsidRPr="00816BB3">
        <w:rPr>
          <w:rFonts w:ascii="Calibri" w:eastAsia="Times New Roman" w:hAnsi="Calibri" w:cs="Calibri"/>
          <w:i/>
          <w:iCs/>
          <w:color w:val="000000"/>
          <w:lang w:eastAsia="en-GB"/>
        </w:rPr>
        <w:t>Soc. Indic. Res.</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150</w:t>
      </w:r>
      <w:r w:rsidRPr="00816BB3">
        <w:rPr>
          <w:rFonts w:ascii="Calibri" w:eastAsia="Times New Roman" w:hAnsi="Calibri" w:cs="Calibri"/>
          <w:color w:val="000000"/>
          <w:lang w:eastAsia="en-GB"/>
        </w:rPr>
        <w:t>, 337–350 (2020)</w:t>
      </w:r>
    </w:p>
    <w:p w14:paraId="05E2CB99"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Lièvre, A. </w:t>
      </w:r>
      <w:r w:rsidRPr="00816BB3">
        <w:rPr>
          <w:rFonts w:ascii="Calibri" w:eastAsia="Times New Roman" w:hAnsi="Calibri" w:cs="Calibri"/>
          <w:i/>
          <w:iCs/>
          <w:color w:val="000000"/>
          <w:lang w:eastAsia="en-GB"/>
        </w:rPr>
        <w:t>et al.</w:t>
      </w:r>
      <w:r w:rsidRPr="00816BB3">
        <w:rPr>
          <w:rFonts w:ascii="Calibri" w:eastAsia="Times New Roman" w:hAnsi="Calibri" w:cs="Calibri"/>
          <w:color w:val="000000"/>
          <w:lang w:eastAsia="en-GB"/>
        </w:rPr>
        <w:t xml:space="preserve"> Healthy working life expectancies at age 50 in Europe: a new indicator. </w:t>
      </w:r>
      <w:r w:rsidRPr="00816BB3">
        <w:rPr>
          <w:rFonts w:ascii="Calibri" w:eastAsia="Times New Roman" w:hAnsi="Calibri" w:cs="Calibri"/>
          <w:i/>
          <w:iCs/>
          <w:color w:val="000000"/>
          <w:lang w:eastAsia="en-GB"/>
        </w:rPr>
        <w:t>J. Nutr. Health Aging</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11</w:t>
      </w:r>
      <w:r w:rsidRPr="00816BB3">
        <w:rPr>
          <w:rFonts w:ascii="Calibri" w:eastAsia="Times New Roman" w:hAnsi="Calibri" w:cs="Calibri"/>
          <w:color w:val="000000"/>
          <w:lang w:eastAsia="en-GB"/>
        </w:rPr>
        <w:t>, 508–514 (2007)</w:t>
      </w:r>
    </w:p>
    <w:p w14:paraId="68A96DEB"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Jagger, C. </w:t>
      </w:r>
      <w:r w:rsidRPr="00816BB3">
        <w:rPr>
          <w:rFonts w:ascii="Calibri" w:eastAsia="Times New Roman" w:hAnsi="Calibri" w:cs="Calibri"/>
          <w:i/>
          <w:iCs/>
          <w:color w:val="000000"/>
          <w:lang w:eastAsia="en-GB"/>
        </w:rPr>
        <w:t>et al.</w:t>
      </w:r>
      <w:r w:rsidRPr="00816BB3">
        <w:rPr>
          <w:rFonts w:ascii="Calibri" w:eastAsia="Times New Roman" w:hAnsi="Calibri" w:cs="Calibri"/>
          <w:color w:val="000000"/>
          <w:lang w:eastAsia="en-GB"/>
        </w:rPr>
        <w:t xml:space="preserve"> The burden of diseases on disability-free life expectancy in later life. </w:t>
      </w:r>
      <w:r w:rsidRPr="00816BB3">
        <w:rPr>
          <w:rFonts w:ascii="Calibri" w:eastAsia="Times New Roman" w:hAnsi="Calibri" w:cs="Calibri"/>
          <w:i/>
          <w:iCs/>
          <w:color w:val="000000"/>
          <w:lang w:eastAsia="en-GB"/>
        </w:rPr>
        <w:t>J. Gerontol. A Biol. Sci. Med. Sci.</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62A</w:t>
      </w:r>
      <w:r w:rsidRPr="00816BB3">
        <w:rPr>
          <w:rFonts w:ascii="Calibri" w:eastAsia="Times New Roman" w:hAnsi="Calibri" w:cs="Calibri"/>
          <w:color w:val="000000"/>
          <w:lang w:eastAsia="en-GB"/>
        </w:rPr>
        <w:t>, 408–414 (2007)</w:t>
      </w:r>
    </w:p>
    <w:p w14:paraId="46EAB932"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Bennett, H. Q. </w:t>
      </w:r>
      <w:r w:rsidRPr="00816BB3">
        <w:rPr>
          <w:rFonts w:ascii="Calibri" w:eastAsia="Times New Roman" w:hAnsi="Calibri" w:cs="Calibri"/>
          <w:i/>
          <w:iCs/>
          <w:color w:val="000000"/>
          <w:lang w:eastAsia="en-GB"/>
        </w:rPr>
        <w:t>et al.</w:t>
      </w:r>
      <w:r w:rsidRPr="00816BB3">
        <w:rPr>
          <w:rFonts w:ascii="Calibri" w:eastAsia="Times New Roman" w:hAnsi="Calibri" w:cs="Calibri"/>
          <w:color w:val="000000"/>
          <w:lang w:eastAsia="en-GB"/>
        </w:rPr>
        <w:t xml:space="preserve"> Healthy ageing for all? Comparisons of socioeconomic inequalities in health expectancies over two decades in the Cognitive Function and Ageing Studies I and II. </w:t>
      </w:r>
      <w:r w:rsidRPr="00816BB3">
        <w:rPr>
          <w:rFonts w:ascii="Calibri" w:eastAsia="Times New Roman" w:hAnsi="Calibri" w:cs="Calibri"/>
          <w:i/>
          <w:iCs/>
          <w:color w:val="000000"/>
          <w:lang w:eastAsia="en-GB"/>
        </w:rPr>
        <w:t>Int. J. Epidemiol.</w:t>
      </w:r>
      <w:r w:rsidRPr="00816BB3">
        <w:rPr>
          <w:rFonts w:ascii="Calibri" w:eastAsia="Times New Roman" w:hAnsi="Calibri" w:cs="Calibri"/>
          <w:color w:val="000000"/>
          <w:lang w:eastAsia="en-GB"/>
        </w:rPr>
        <w:t xml:space="preserve"> (2021) doi:10.1093/ije/dyaa271</w:t>
      </w:r>
    </w:p>
    <w:p w14:paraId="35CF916D"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Welsh, C. E., Matthews, F. E. &amp; Jagger, C. Trends in life expectancy and healthy life years at birth and age 65 in the UK, 2008–2016, and other countries of the EU28: An observational cross-sectional study. </w:t>
      </w:r>
      <w:r w:rsidRPr="00816BB3">
        <w:rPr>
          <w:rFonts w:ascii="Calibri" w:eastAsia="Times New Roman" w:hAnsi="Calibri" w:cs="Calibri"/>
          <w:i/>
          <w:iCs/>
          <w:color w:val="000000"/>
          <w:lang w:eastAsia="en-GB"/>
        </w:rPr>
        <w:t>The Lancet Regional Health - Europe</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2</w:t>
      </w:r>
      <w:r w:rsidRPr="00816BB3">
        <w:rPr>
          <w:rFonts w:ascii="Calibri" w:eastAsia="Times New Roman" w:hAnsi="Calibri" w:cs="Calibri"/>
          <w:color w:val="000000"/>
          <w:lang w:eastAsia="en-GB"/>
        </w:rPr>
        <w:t>, 100023 (2021)</w:t>
      </w:r>
    </w:p>
    <w:p w14:paraId="770AC967"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lastRenderedPageBreak/>
        <w:t xml:space="preserve">Wilkie, R., Bjork, M., Costa-Black, K. M., Parker, M. &amp; Pransky, G. Managing work participation for people with rheumatic and musculoskeletal diseases. </w:t>
      </w:r>
      <w:r w:rsidRPr="00816BB3">
        <w:rPr>
          <w:rFonts w:ascii="Calibri" w:eastAsia="Times New Roman" w:hAnsi="Calibri" w:cs="Calibri"/>
          <w:i/>
          <w:iCs/>
          <w:color w:val="000000"/>
          <w:lang w:eastAsia="en-GB"/>
        </w:rPr>
        <w:t>Best Pract. Res. Clin. Rheumatol.</w:t>
      </w:r>
      <w:r w:rsidRPr="00816BB3">
        <w:rPr>
          <w:rFonts w:ascii="Calibri" w:eastAsia="Times New Roman" w:hAnsi="Calibri" w:cs="Calibri"/>
          <w:color w:val="000000"/>
          <w:lang w:eastAsia="en-GB"/>
        </w:rPr>
        <w:t xml:space="preserve"> 101517 (2020)</w:t>
      </w:r>
    </w:p>
    <w:p w14:paraId="73DD6735"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Van Aerden, K., Puig-Barrachina, V., Bosmans, K. &amp; Vanroelen, C. How does employment quality relate to health and job satisfaction in Europe? A typological approach. </w:t>
      </w:r>
      <w:r w:rsidRPr="00816BB3">
        <w:rPr>
          <w:rFonts w:ascii="Calibri" w:eastAsia="Times New Roman" w:hAnsi="Calibri" w:cs="Calibri"/>
          <w:i/>
          <w:iCs/>
          <w:color w:val="000000"/>
          <w:lang w:eastAsia="en-GB"/>
        </w:rPr>
        <w:t>Soc. Sci. Med.</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158</w:t>
      </w:r>
      <w:r w:rsidRPr="00816BB3">
        <w:rPr>
          <w:rFonts w:ascii="Calibri" w:eastAsia="Times New Roman" w:hAnsi="Calibri" w:cs="Calibri"/>
          <w:color w:val="000000"/>
          <w:lang w:eastAsia="en-GB"/>
        </w:rPr>
        <w:t>, 132–140 (2016)</w:t>
      </w:r>
    </w:p>
    <w:p w14:paraId="0FCD4096"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Burgard, S. A. &amp; Lin, K. Y. Bad Jobs, Bad Health? How Work and Working Conditions Contribute to Health Disparities. </w:t>
      </w:r>
      <w:r w:rsidRPr="00816BB3">
        <w:rPr>
          <w:rFonts w:ascii="Calibri" w:eastAsia="Times New Roman" w:hAnsi="Calibri" w:cs="Calibri"/>
          <w:i/>
          <w:iCs/>
          <w:color w:val="000000"/>
          <w:lang w:eastAsia="en-GB"/>
        </w:rPr>
        <w:t>Am. Behav. Sci.</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57</w:t>
      </w:r>
      <w:r w:rsidRPr="00816BB3">
        <w:rPr>
          <w:rFonts w:ascii="Calibri" w:eastAsia="Times New Roman" w:hAnsi="Calibri" w:cs="Calibri"/>
          <w:color w:val="000000"/>
          <w:lang w:eastAsia="en-GB"/>
        </w:rPr>
        <w:t>, (2013)</w:t>
      </w:r>
    </w:p>
    <w:p w14:paraId="5033765C"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Siegrist, J., Wahrendorf, M., von dem Knesebeck, O., Jürges, H. &amp; Börsch-Supan, A. Quality of work, well-being, and intended early retirement of older employees: baseline results from the SHARE Study. </w:t>
      </w:r>
      <w:r w:rsidRPr="00816BB3">
        <w:rPr>
          <w:rFonts w:ascii="Calibri" w:eastAsia="Times New Roman" w:hAnsi="Calibri" w:cs="Calibri"/>
          <w:i/>
          <w:iCs/>
          <w:color w:val="000000"/>
          <w:lang w:eastAsia="en-GB"/>
        </w:rPr>
        <w:t>Eur. J. Public Health</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17</w:t>
      </w:r>
      <w:r w:rsidRPr="00816BB3">
        <w:rPr>
          <w:rFonts w:ascii="Calibri" w:eastAsia="Times New Roman" w:hAnsi="Calibri" w:cs="Calibri"/>
          <w:color w:val="000000"/>
          <w:lang w:eastAsia="en-GB"/>
        </w:rPr>
        <w:t>, 62–68 (2007)</w:t>
      </w:r>
    </w:p>
    <w:p w14:paraId="61508648"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Johri, R. Work values and the quality of employment: A literature review. </w:t>
      </w:r>
      <w:r w:rsidRPr="00816BB3">
        <w:rPr>
          <w:rFonts w:ascii="Calibri" w:eastAsia="Times New Roman" w:hAnsi="Calibri" w:cs="Calibri"/>
          <w:i/>
          <w:iCs/>
          <w:color w:val="000000"/>
          <w:lang w:eastAsia="en-GB"/>
        </w:rPr>
        <w:t>New Zealand: Department of Labour</w:t>
      </w:r>
      <w:r w:rsidRPr="00816BB3">
        <w:rPr>
          <w:rFonts w:ascii="Calibri" w:eastAsia="Times New Roman" w:hAnsi="Calibri" w:cs="Calibri"/>
          <w:color w:val="000000"/>
          <w:lang w:eastAsia="en-GB"/>
        </w:rPr>
        <w:t xml:space="preserve"> (2005)</w:t>
      </w:r>
    </w:p>
    <w:p w14:paraId="693C5058"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Loichinger, E. &amp; Weber, D. Trends in Working Life Expectancy in Europe. </w:t>
      </w:r>
      <w:r w:rsidRPr="00816BB3">
        <w:rPr>
          <w:rFonts w:ascii="Calibri" w:eastAsia="Times New Roman" w:hAnsi="Calibri" w:cs="Calibri"/>
          <w:i/>
          <w:iCs/>
          <w:color w:val="000000"/>
          <w:lang w:eastAsia="en-GB"/>
        </w:rPr>
        <w:t>J. Aging Health</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28</w:t>
      </w:r>
      <w:r w:rsidRPr="00816BB3">
        <w:rPr>
          <w:rFonts w:ascii="Calibri" w:eastAsia="Times New Roman" w:hAnsi="Calibri" w:cs="Calibri"/>
          <w:color w:val="000000"/>
          <w:lang w:eastAsia="en-GB"/>
        </w:rPr>
        <w:t>, 1194–1213 (2016)</w:t>
      </w:r>
    </w:p>
    <w:p w14:paraId="49E33827"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Jagger, C. </w:t>
      </w:r>
      <w:r w:rsidRPr="00816BB3">
        <w:rPr>
          <w:rFonts w:ascii="Calibri" w:eastAsia="Times New Roman" w:hAnsi="Calibri" w:cs="Calibri"/>
          <w:i/>
          <w:iCs/>
          <w:color w:val="000000"/>
          <w:lang w:eastAsia="en-GB"/>
        </w:rPr>
        <w:t>Trends in life expectancy and healthy life expectancy</w:t>
      </w:r>
      <w:r w:rsidRPr="00816BB3">
        <w:rPr>
          <w:rFonts w:ascii="Calibri" w:eastAsia="Times New Roman" w:hAnsi="Calibri" w:cs="Calibri"/>
          <w:color w:val="000000"/>
          <w:lang w:eastAsia="en-GB"/>
        </w:rPr>
        <w:t>. vol. 1 29 (2015)</w:t>
      </w:r>
    </w:p>
    <w:p w14:paraId="2CEE177F"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Robroek, S. J. W., Schuring, M., Croezen, S., Stattin, M. &amp; Burdorf, A. Poor health, unhealthy behaviors, and unfavorable work characteristics influence pathways of exit from paid employment among older workers in Europe: a four year follow-up study. </w:t>
      </w:r>
      <w:r w:rsidRPr="00816BB3">
        <w:rPr>
          <w:rFonts w:ascii="Calibri" w:eastAsia="Times New Roman" w:hAnsi="Calibri" w:cs="Calibri"/>
          <w:i/>
          <w:iCs/>
          <w:color w:val="000000"/>
          <w:lang w:eastAsia="en-GB"/>
        </w:rPr>
        <w:t>Scand. J. Work Environ. Health</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39</w:t>
      </w:r>
      <w:r w:rsidRPr="00816BB3">
        <w:rPr>
          <w:rFonts w:ascii="Calibri" w:eastAsia="Times New Roman" w:hAnsi="Calibri" w:cs="Calibri"/>
          <w:color w:val="000000"/>
          <w:lang w:eastAsia="en-GB"/>
        </w:rPr>
        <w:t>, 125–133 (2013)</w:t>
      </w:r>
    </w:p>
    <w:p w14:paraId="4508291F"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Schuring, M., Robroek, S. J. W., Otten, F. W. J., Arts, C. H. &amp; Burdorf, A. The effect of ill health and socioeconomic status on labor force exit and re-employment: a prospective study with ten years follow-up in the Netherlands. </w:t>
      </w:r>
      <w:r w:rsidRPr="00816BB3">
        <w:rPr>
          <w:rFonts w:ascii="Calibri" w:eastAsia="Times New Roman" w:hAnsi="Calibri" w:cs="Calibri"/>
          <w:i/>
          <w:iCs/>
          <w:color w:val="000000"/>
          <w:lang w:eastAsia="en-GB"/>
        </w:rPr>
        <w:t>Scand. J. Work Environ. Health</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39</w:t>
      </w:r>
      <w:r w:rsidRPr="00816BB3">
        <w:rPr>
          <w:rFonts w:ascii="Calibri" w:eastAsia="Times New Roman" w:hAnsi="Calibri" w:cs="Calibri"/>
          <w:color w:val="000000"/>
          <w:lang w:eastAsia="en-GB"/>
        </w:rPr>
        <w:t>, 134–143 (2013)</w:t>
      </w:r>
    </w:p>
    <w:p w14:paraId="651E56C3"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Wagenaar, A. F., Kompier, M. A. J., Houtman, I. L. D., van den Bossche, S. N. J. &amp; Taris, T. W. Employment contracts and health selection: unhealthy employees out and healthy employees in? </w:t>
      </w:r>
      <w:r w:rsidRPr="00816BB3">
        <w:rPr>
          <w:rFonts w:ascii="Calibri" w:eastAsia="Times New Roman" w:hAnsi="Calibri" w:cs="Calibri"/>
          <w:i/>
          <w:iCs/>
          <w:color w:val="000000"/>
          <w:lang w:eastAsia="en-GB"/>
        </w:rPr>
        <w:t>J. Occup. Environ. Med.</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54</w:t>
      </w:r>
      <w:r w:rsidRPr="00816BB3">
        <w:rPr>
          <w:rFonts w:ascii="Calibri" w:eastAsia="Times New Roman" w:hAnsi="Calibri" w:cs="Calibri"/>
          <w:color w:val="000000"/>
          <w:lang w:eastAsia="en-GB"/>
        </w:rPr>
        <w:t>, 1192–1200 (2012)</w:t>
      </w:r>
    </w:p>
    <w:p w14:paraId="57F36223"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lastRenderedPageBreak/>
        <w:t xml:space="preserve">Schuring, M., Burdorf, L., Kunst, A. &amp; Mackenbach, J. The effects of ill health on entering and maintaining paid employment: evidence in European countries. </w:t>
      </w:r>
      <w:r w:rsidRPr="00816BB3">
        <w:rPr>
          <w:rFonts w:ascii="Calibri" w:eastAsia="Times New Roman" w:hAnsi="Calibri" w:cs="Calibri"/>
          <w:i/>
          <w:iCs/>
          <w:color w:val="000000"/>
          <w:lang w:eastAsia="en-GB"/>
        </w:rPr>
        <w:t>J. Epidemiol. Community Health</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61</w:t>
      </w:r>
      <w:r w:rsidRPr="00816BB3">
        <w:rPr>
          <w:rFonts w:ascii="Calibri" w:eastAsia="Times New Roman" w:hAnsi="Calibri" w:cs="Calibri"/>
          <w:color w:val="000000"/>
          <w:lang w:eastAsia="en-GB"/>
        </w:rPr>
        <w:t>, 597–604 (2007)</w:t>
      </w:r>
    </w:p>
    <w:p w14:paraId="2F08B6C0"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PHE. Chapter 1: life expectancy and healthy life expectancy.</w:t>
      </w:r>
      <w:r>
        <w:rPr>
          <w:rFonts w:ascii="Calibri" w:eastAsia="Times New Roman" w:hAnsi="Calibri" w:cs="Calibri"/>
          <w:color w:val="000000"/>
          <w:lang w:eastAsia="en-GB"/>
        </w:rPr>
        <w:t xml:space="preserve"> </w:t>
      </w:r>
      <w:r w:rsidRPr="00816BB3">
        <w:rPr>
          <w:rFonts w:ascii="Calibri" w:eastAsia="Times New Roman" w:hAnsi="Calibri" w:cs="Calibri"/>
          <w:color w:val="000000"/>
          <w:lang w:eastAsia="en-GB"/>
        </w:rPr>
        <w:t>https://www.gov.uk/government/publications/health-profile-for-england/chapter-1-life-expectancy-and-healthy-life-expectancy (2017)</w:t>
      </w:r>
    </w:p>
    <w:p w14:paraId="7C57BC03"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AC6431">
        <w:t>PHE. Health profile for England: 2019 Chapter 1: population, deaths, life expectancy and healthy life expectancy (data tables). 2019 https://www.gov.uk/government/publications/health-profile-for-england-2019.</w:t>
      </w:r>
    </w:p>
    <w:p w14:paraId="4CD4BE3E"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DWP. </w:t>
      </w:r>
      <w:r w:rsidRPr="00B1672F">
        <w:rPr>
          <w:rFonts w:ascii="Calibri" w:eastAsia="Times New Roman" w:hAnsi="Calibri" w:cs="Calibri"/>
          <w:color w:val="000000"/>
          <w:lang w:eastAsia="en-GB"/>
        </w:rPr>
        <w:t>State Pension age timetable.</w:t>
      </w:r>
      <w:r w:rsidRPr="00816BB3">
        <w:rPr>
          <w:rFonts w:ascii="Calibri" w:eastAsia="Times New Roman" w:hAnsi="Calibri" w:cs="Calibri"/>
          <w:color w:val="000000"/>
          <w:lang w:eastAsia="en-GB"/>
        </w:rPr>
        <w:t xml:space="preserve"> https://www.gov.uk/government/publications/state-pension-age-timetable/state-pension-age-timetable (2014)</w:t>
      </w:r>
    </w:p>
    <w:p w14:paraId="59F76717" w14:textId="77777777" w:rsidR="0046712A" w:rsidRPr="00816BB3" w:rsidRDefault="0046712A" w:rsidP="0046712A">
      <w:pPr>
        <w:pStyle w:val="ListParagraph"/>
        <w:numPr>
          <w:ilvl w:val="0"/>
          <w:numId w:val="3"/>
        </w:numPr>
        <w:spacing w:after="0" w:line="480" w:lineRule="auto"/>
        <w:ind w:left="714" w:hanging="357"/>
        <w:rPr>
          <w:rFonts w:ascii="Calibri" w:eastAsia="Times New Roman" w:hAnsi="Calibri" w:cs="Calibri"/>
          <w:color w:val="000000"/>
          <w:lang w:eastAsia="en-GB"/>
        </w:rPr>
      </w:pPr>
      <w:r w:rsidRPr="005F23F2">
        <w:rPr>
          <w:rFonts w:ascii="Calibri" w:eastAsia="Times New Roman" w:hAnsi="Calibri" w:cs="Calibri"/>
          <w:color w:val="000000"/>
          <w:lang w:eastAsia="en-GB"/>
        </w:rPr>
        <w:t xml:space="preserve">Boissonneault M, Rios P. Changes in healthy and unhealthy working-life expectancy over the period 2002–17: a population-based study in people aged 51–65 years in 14 OECD countries. </w:t>
      </w:r>
      <w:r w:rsidRPr="005F23F2">
        <w:rPr>
          <w:rFonts w:ascii="Calibri" w:eastAsia="Times New Roman" w:hAnsi="Calibri" w:cs="Calibri"/>
          <w:i/>
          <w:iCs/>
          <w:color w:val="000000"/>
          <w:lang w:eastAsia="en-GB"/>
        </w:rPr>
        <w:t>The Lancet Healthy Longevity</w:t>
      </w:r>
      <w:r w:rsidRPr="005F23F2">
        <w:rPr>
          <w:rFonts w:ascii="Calibri" w:eastAsia="Times New Roman" w:hAnsi="Calibri" w:cs="Calibri"/>
          <w:color w:val="000000"/>
          <w:lang w:eastAsia="en-GB"/>
        </w:rPr>
        <w:t xml:space="preserve"> 2021; </w:t>
      </w:r>
      <w:r w:rsidRPr="005F23F2">
        <w:rPr>
          <w:rFonts w:ascii="Calibri" w:eastAsia="Times New Roman" w:hAnsi="Calibri" w:cs="Calibri"/>
          <w:b/>
          <w:bCs/>
          <w:color w:val="000000"/>
          <w:lang w:eastAsia="en-GB"/>
        </w:rPr>
        <w:t>2</w:t>
      </w:r>
      <w:r w:rsidRPr="005F23F2">
        <w:rPr>
          <w:rFonts w:ascii="Calibri" w:eastAsia="Times New Roman" w:hAnsi="Calibri" w:cs="Calibri"/>
          <w:color w:val="000000"/>
          <w:lang w:eastAsia="en-GB"/>
        </w:rPr>
        <w:t>: e629–38.</w:t>
      </w:r>
    </w:p>
    <w:p w14:paraId="189333CE" w14:textId="77777777" w:rsidR="003868E0"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Dhillon, P. &amp; Ladusingh, L. Working life gain from gain in old age life expectancy in India. </w:t>
      </w:r>
      <w:r w:rsidRPr="00816BB3">
        <w:rPr>
          <w:rFonts w:ascii="Calibri" w:eastAsia="Times New Roman" w:hAnsi="Calibri" w:cs="Calibri"/>
          <w:i/>
          <w:iCs/>
          <w:color w:val="000000"/>
          <w:lang w:eastAsia="en-GB"/>
        </w:rPr>
        <w:t>Demogr. Res.</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28</w:t>
      </w:r>
      <w:r w:rsidRPr="00816BB3">
        <w:rPr>
          <w:rFonts w:ascii="Calibri" w:eastAsia="Times New Roman" w:hAnsi="Calibri" w:cs="Calibri"/>
          <w:color w:val="000000"/>
          <w:lang w:eastAsia="en-GB"/>
        </w:rPr>
        <w:t>, 733–762 (2013)</w:t>
      </w:r>
    </w:p>
    <w:p w14:paraId="7AB2971D"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Taylor, N. A Job, Any Job : The UK Benefits System and Employment Services in an Age of Austerity. </w:t>
      </w:r>
      <w:r w:rsidRPr="00816BB3">
        <w:rPr>
          <w:rFonts w:ascii="Calibri" w:eastAsia="Times New Roman" w:hAnsi="Calibri" w:cs="Calibri"/>
          <w:i/>
          <w:iCs/>
          <w:color w:val="000000"/>
          <w:lang w:eastAsia="en-GB"/>
        </w:rPr>
        <w:t>Observatoire de la société britannique</w:t>
      </w:r>
      <w:r w:rsidRPr="00816BB3">
        <w:rPr>
          <w:rFonts w:ascii="Calibri" w:eastAsia="Times New Roman" w:hAnsi="Calibri" w:cs="Calibri"/>
          <w:color w:val="000000"/>
          <w:lang w:eastAsia="en-GB"/>
        </w:rPr>
        <w:t xml:space="preserve"> 267–285 (2017)</w:t>
      </w:r>
    </w:p>
    <w:p w14:paraId="305C30F7"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Reeves, A., Basu, S., McKee, M., Marmot, M. &amp; Stuckler, D. Austere or not? UK coalition government budgets and health inequalities. </w:t>
      </w:r>
      <w:r w:rsidRPr="00816BB3">
        <w:rPr>
          <w:rFonts w:ascii="Calibri" w:eastAsia="Times New Roman" w:hAnsi="Calibri" w:cs="Calibri"/>
          <w:i/>
          <w:iCs/>
          <w:color w:val="000000"/>
          <w:lang w:eastAsia="en-GB"/>
        </w:rPr>
        <w:t>J. R. Soc. Med.</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106</w:t>
      </w:r>
      <w:r w:rsidRPr="00816BB3">
        <w:rPr>
          <w:rFonts w:ascii="Calibri" w:eastAsia="Times New Roman" w:hAnsi="Calibri" w:cs="Calibri"/>
          <w:color w:val="000000"/>
          <w:lang w:eastAsia="en-GB"/>
        </w:rPr>
        <w:t>, 432–436 (2013)</w:t>
      </w:r>
    </w:p>
    <w:p w14:paraId="5BCF5044"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Barr, B., Taylor-Robinson, D., Scott-Samuel, A., McKee, M. &amp; Stuckler, D. Suicides associated with the 2008-10 economic recession in England: time trend analysis. </w:t>
      </w:r>
      <w:r w:rsidRPr="00816BB3">
        <w:rPr>
          <w:rFonts w:ascii="Calibri" w:eastAsia="Times New Roman" w:hAnsi="Calibri" w:cs="Calibri"/>
          <w:i/>
          <w:iCs/>
          <w:color w:val="000000"/>
          <w:lang w:eastAsia="en-GB"/>
        </w:rPr>
        <w:t>BMJ</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345</w:t>
      </w:r>
      <w:r w:rsidRPr="00816BB3">
        <w:rPr>
          <w:rFonts w:ascii="Calibri" w:eastAsia="Times New Roman" w:hAnsi="Calibri" w:cs="Calibri"/>
          <w:color w:val="000000"/>
          <w:lang w:eastAsia="en-GB"/>
        </w:rPr>
        <w:t>, e5142 (2012)</w:t>
      </w:r>
    </w:p>
    <w:p w14:paraId="3B47270E"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ONS. Deaths registered weekly in England and Wales, provisional - Office for National Statistics. Office for National Statistics, 2021 (accessed Aug 5, 2021).</w:t>
      </w:r>
    </w:p>
    <w:p w14:paraId="33B22292"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Armitage R, Nellums LB. Considering inequalities in the school closure response to COVID-19. </w:t>
      </w:r>
      <w:r w:rsidRPr="00816BB3">
        <w:rPr>
          <w:rFonts w:ascii="Calibri" w:eastAsia="Times New Roman" w:hAnsi="Calibri" w:cs="Calibri"/>
          <w:i/>
          <w:iCs/>
          <w:color w:val="000000"/>
          <w:lang w:eastAsia="en-GB"/>
        </w:rPr>
        <w:t>Lancet Glob Health</w:t>
      </w:r>
      <w:r w:rsidRPr="00816BB3">
        <w:rPr>
          <w:rFonts w:ascii="Calibri" w:eastAsia="Times New Roman" w:hAnsi="Calibri" w:cs="Calibri"/>
          <w:color w:val="000000"/>
          <w:lang w:eastAsia="en-GB"/>
        </w:rPr>
        <w:t xml:space="preserve"> 2020; </w:t>
      </w:r>
      <w:r w:rsidRPr="00816BB3">
        <w:rPr>
          <w:rFonts w:ascii="Calibri" w:eastAsia="Times New Roman" w:hAnsi="Calibri" w:cs="Calibri"/>
          <w:b/>
          <w:bCs/>
          <w:color w:val="000000"/>
          <w:lang w:eastAsia="en-GB"/>
        </w:rPr>
        <w:t>8</w:t>
      </w:r>
      <w:r w:rsidRPr="00816BB3">
        <w:rPr>
          <w:rFonts w:ascii="Calibri" w:eastAsia="Times New Roman" w:hAnsi="Calibri" w:cs="Calibri"/>
          <w:color w:val="000000"/>
          <w:lang w:eastAsia="en-GB"/>
        </w:rPr>
        <w:t>: e644.</w:t>
      </w:r>
    </w:p>
    <w:p w14:paraId="53E516C0"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lastRenderedPageBreak/>
        <w:t xml:space="preserve">Buck R, Porteous C, Wynne-Jones G, Marsh K, Phillips CJ, Main CJ. Challenges to remaining at work with common health problems: what helps and what influence do organisational policies have? </w:t>
      </w:r>
      <w:r w:rsidRPr="00816BB3">
        <w:rPr>
          <w:rFonts w:ascii="Calibri" w:eastAsia="Times New Roman" w:hAnsi="Calibri" w:cs="Calibri"/>
          <w:i/>
          <w:iCs/>
          <w:color w:val="000000"/>
          <w:lang w:eastAsia="en-GB"/>
        </w:rPr>
        <w:t>J Occup Rehabil</w:t>
      </w:r>
      <w:r w:rsidRPr="00816BB3">
        <w:rPr>
          <w:rFonts w:ascii="Calibri" w:eastAsia="Times New Roman" w:hAnsi="Calibri" w:cs="Calibri"/>
          <w:color w:val="000000"/>
          <w:lang w:eastAsia="en-GB"/>
        </w:rPr>
        <w:t xml:space="preserve"> 2011; </w:t>
      </w:r>
      <w:r w:rsidRPr="00816BB3">
        <w:rPr>
          <w:rFonts w:ascii="Calibri" w:eastAsia="Times New Roman" w:hAnsi="Calibri" w:cs="Calibri"/>
          <w:b/>
          <w:bCs/>
          <w:color w:val="000000"/>
          <w:lang w:eastAsia="en-GB"/>
        </w:rPr>
        <w:t>21</w:t>
      </w:r>
      <w:r w:rsidRPr="00816BB3">
        <w:rPr>
          <w:rFonts w:ascii="Calibri" w:eastAsia="Times New Roman" w:hAnsi="Calibri" w:cs="Calibri"/>
          <w:color w:val="000000"/>
          <w:lang w:eastAsia="en-GB"/>
        </w:rPr>
        <w:t>: 501–12.</w:t>
      </w:r>
    </w:p>
    <w:p w14:paraId="16A6AA2E"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ONS. </w:t>
      </w:r>
      <w:r w:rsidRPr="00816BB3">
        <w:rPr>
          <w:rFonts w:ascii="Calibri" w:eastAsia="Times New Roman" w:hAnsi="Calibri" w:cs="Calibri"/>
          <w:i/>
          <w:iCs/>
          <w:color w:val="000000"/>
          <w:lang w:eastAsia="en-GB"/>
        </w:rPr>
        <w:t>Past and projected period and cohort life tables, 2018-based, UK: 1981 to 2068</w:t>
      </w:r>
      <w:r w:rsidRPr="00816BB3">
        <w:rPr>
          <w:rFonts w:ascii="Calibri" w:eastAsia="Times New Roman" w:hAnsi="Calibri" w:cs="Calibri"/>
          <w:color w:val="000000"/>
          <w:lang w:eastAsia="en-GB"/>
        </w:rPr>
        <w:t>. (2019)</w:t>
      </w:r>
    </w:p>
    <w:p w14:paraId="12DB65CE"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Au N, Johnston DW. Self-assessed health: what does it mean and what does it hide? </w:t>
      </w:r>
      <w:r w:rsidRPr="00816BB3">
        <w:rPr>
          <w:rFonts w:ascii="Calibri" w:eastAsia="Times New Roman" w:hAnsi="Calibri" w:cs="Calibri"/>
          <w:i/>
          <w:iCs/>
          <w:color w:val="000000"/>
          <w:lang w:eastAsia="en-GB"/>
        </w:rPr>
        <w:t>Soc Sci Med</w:t>
      </w:r>
      <w:r w:rsidRPr="00816BB3">
        <w:rPr>
          <w:rFonts w:ascii="Calibri" w:eastAsia="Times New Roman" w:hAnsi="Calibri" w:cs="Calibri"/>
          <w:color w:val="000000"/>
          <w:lang w:eastAsia="en-GB"/>
        </w:rPr>
        <w:t xml:space="preserve"> 2014; </w:t>
      </w:r>
      <w:r w:rsidRPr="00816BB3">
        <w:rPr>
          <w:rFonts w:ascii="Calibri" w:eastAsia="Times New Roman" w:hAnsi="Calibri" w:cs="Calibri"/>
          <w:b/>
          <w:bCs/>
          <w:color w:val="000000"/>
          <w:lang w:eastAsia="en-GB"/>
        </w:rPr>
        <w:t>121</w:t>
      </w:r>
      <w:r w:rsidRPr="00816BB3">
        <w:rPr>
          <w:rFonts w:ascii="Calibri" w:eastAsia="Times New Roman" w:hAnsi="Calibri" w:cs="Calibri"/>
          <w:color w:val="000000"/>
          <w:lang w:eastAsia="en-GB"/>
        </w:rPr>
        <w:t>: 21–8.</w:t>
      </w:r>
    </w:p>
    <w:p w14:paraId="05DD4111"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Kingston, A. </w:t>
      </w:r>
      <w:r w:rsidRPr="00816BB3">
        <w:rPr>
          <w:rFonts w:ascii="Calibri" w:eastAsia="Times New Roman" w:hAnsi="Calibri" w:cs="Calibri"/>
          <w:i/>
          <w:iCs/>
          <w:color w:val="000000"/>
          <w:lang w:eastAsia="en-GB"/>
        </w:rPr>
        <w:t>et al.</w:t>
      </w:r>
      <w:r w:rsidRPr="00816BB3">
        <w:rPr>
          <w:rFonts w:ascii="Calibri" w:eastAsia="Times New Roman" w:hAnsi="Calibri" w:cs="Calibri"/>
          <w:color w:val="000000"/>
          <w:lang w:eastAsia="en-GB"/>
        </w:rPr>
        <w:t xml:space="preserve"> Projections of multi-morbidity in the older population in England to 2035: estimates from the Population Ageing and Care Simulation (PACSim) model. </w:t>
      </w:r>
      <w:r w:rsidRPr="00816BB3">
        <w:rPr>
          <w:rFonts w:ascii="Calibri" w:eastAsia="Times New Roman" w:hAnsi="Calibri" w:cs="Calibri"/>
          <w:i/>
          <w:iCs/>
          <w:color w:val="000000"/>
          <w:lang w:eastAsia="en-GB"/>
        </w:rPr>
        <w:t>Age Ageing</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47</w:t>
      </w:r>
      <w:r w:rsidRPr="00816BB3">
        <w:rPr>
          <w:rFonts w:ascii="Calibri" w:eastAsia="Times New Roman" w:hAnsi="Calibri" w:cs="Calibri"/>
          <w:color w:val="000000"/>
          <w:lang w:eastAsia="en-GB"/>
        </w:rPr>
        <w:t>, 374–380 (2018)</w:t>
      </w:r>
    </w:p>
    <w:p w14:paraId="1415E99E"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NatCen Social Research. </w:t>
      </w:r>
      <w:r w:rsidRPr="00816BB3">
        <w:rPr>
          <w:rFonts w:ascii="Calibri" w:eastAsia="Times New Roman" w:hAnsi="Calibri" w:cs="Calibri"/>
          <w:i/>
          <w:iCs/>
          <w:color w:val="000000"/>
          <w:lang w:eastAsia="en-GB"/>
        </w:rPr>
        <w:t>Health Survey for England 2014 User Guide</w:t>
      </w:r>
      <w:r w:rsidRPr="00816BB3">
        <w:rPr>
          <w:rFonts w:ascii="Calibri" w:eastAsia="Times New Roman" w:hAnsi="Calibri" w:cs="Calibri"/>
          <w:color w:val="000000"/>
          <w:lang w:eastAsia="en-GB"/>
        </w:rPr>
        <w:t>. (2014)</w:t>
      </w:r>
    </w:p>
    <w:p w14:paraId="27B00DF8"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Cao, B. Future healthy life expectancy among older adults in the US: a forecast based on cohort smoking and obesity history. </w:t>
      </w:r>
      <w:r w:rsidRPr="00816BB3">
        <w:rPr>
          <w:rFonts w:ascii="Calibri" w:eastAsia="Times New Roman" w:hAnsi="Calibri" w:cs="Calibri"/>
          <w:i/>
          <w:iCs/>
          <w:color w:val="000000"/>
          <w:lang w:eastAsia="en-GB"/>
        </w:rPr>
        <w:t>Popul. Health Metr.</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14</w:t>
      </w:r>
      <w:r w:rsidRPr="00816BB3">
        <w:rPr>
          <w:rFonts w:ascii="Calibri" w:eastAsia="Times New Roman" w:hAnsi="Calibri" w:cs="Calibri"/>
          <w:color w:val="000000"/>
          <w:lang w:eastAsia="en-GB"/>
        </w:rPr>
        <w:t>, 23 (2016)</w:t>
      </w:r>
    </w:p>
    <w:p w14:paraId="2814A615" w14:textId="77777777"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Lee, R. &amp; Miller, T. Evaluating the performance of the lee-carter method for forecasting mortality. </w:t>
      </w:r>
      <w:r w:rsidRPr="00816BB3">
        <w:rPr>
          <w:rFonts w:ascii="Calibri" w:eastAsia="Times New Roman" w:hAnsi="Calibri" w:cs="Calibri"/>
          <w:i/>
          <w:iCs/>
          <w:color w:val="000000"/>
          <w:lang w:eastAsia="en-GB"/>
        </w:rPr>
        <w:t>Demography</w:t>
      </w:r>
      <w:r w:rsidRPr="00816BB3">
        <w:rPr>
          <w:rFonts w:ascii="Calibri" w:eastAsia="Times New Roman" w:hAnsi="Calibri" w:cs="Calibri"/>
          <w:color w:val="000000"/>
          <w:lang w:eastAsia="en-GB"/>
        </w:rPr>
        <w:t xml:space="preserve"> </w:t>
      </w:r>
      <w:r w:rsidRPr="00816BB3">
        <w:rPr>
          <w:rFonts w:ascii="Calibri" w:eastAsia="Times New Roman" w:hAnsi="Calibri" w:cs="Calibri"/>
          <w:b/>
          <w:bCs/>
          <w:color w:val="000000"/>
          <w:lang w:eastAsia="en-GB"/>
        </w:rPr>
        <w:t>38</w:t>
      </w:r>
      <w:r w:rsidRPr="00816BB3">
        <w:rPr>
          <w:rFonts w:ascii="Calibri" w:eastAsia="Times New Roman" w:hAnsi="Calibri" w:cs="Calibri"/>
          <w:color w:val="000000"/>
          <w:lang w:eastAsia="en-GB"/>
        </w:rPr>
        <w:t>, 537–549 (2001)</w:t>
      </w:r>
    </w:p>
    <w:p w14:paraId="3B3435F1" w14:textId="56ED4FFD" w:rsidR="003868E0" w:rsidRPr="00816BB3" w:rsidRDefault="003868E0" w:rsidP="003868E0">
      <w:pPr>
        <w:pStyle w:val="ListParagraph"/>
        <w:numPr>
          <w:ilvl w:val="0"/>
          <w:numId w:val="3"/>
        </w:numPr>
        <w:spacing w:after="0" w:line="480" w:lineRule="auto"/>
        <w:ind w:left="714" w:hanging="357"/>
        <w:rPr>
          <w:rFonts w:ascii="Calibri" w:eastAsia="Times New Roman" w:hAnsi="Calibri" w:cs="Calibri"/>
          <w:color w:val="000000"/>
          <w:lang w:eastAsia="en-GB"/>
        </w:rPr>
      </w:pPr>
      <w:r w:rsidRPr="00816BB3">
        <w:rPr>
          <w:rFonts w:ascii="Calibri" w:eastAsia="Times New Roman" w:hAnsi="Calibri" w:cs="Calibri"/>
          <w:color w:val="000000"/>
          <w:lang w:eastAsia="en-GB"/>
        </w:rPr>
        <w:t xml:space="preserve">Jagger, C., Van Oyen, H. &amp; Robine, J.-M. Health expectancy calculation by the Sullivan method: a practical guide. </w:t>
      </w:r>
      <w:r w:rsidRPr="00816BB3">
        <w:rPr>
          <w:rFonts w:ascii="Calibri" w:eastAsia="Times New Roman" w:hAnsi="Calibri" w:cs="Calibri"/>
          <w:i/>
          <w:iCs/>
          <w:color w:val="000000"/>
          <w:lang w:eastAsia="en-GB"/>
        </w:rPr>
        <w:t>Nihon University Population Research Institute (NUPRI) Research Paper Series</w:t>
      </w:r>
      <w:r w:rsidRPr="00816BB3">
        <w:rPr>
          <w:rFonts w:ascii="Calibri" w:eastAsia="Times New Roman" w:hAnsi="Calibri" w:cs="Calibri"/>
          <w:color w:val="000000"/>
          <w:lang w:eastAsia="en-GB"/>
        </w:rPr>
        <w:t xml:space="preserve"> (2014)</w:t>
      </w:r>
    </w:p>
    <w:p w14:paraId="024A4DB0" w14:textId="3CEC04BF" w:rsidR="001706EE" w:rsidRDefault="001706EE"/>
    <w:sectPr w:rsidR="001706E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66B52" w14:textId="77777777" w:rsidR="0096720B" w:rsidRDefault="0096720B" w:rsidP="006A5F3D">
      <w:pPr>
        <w:spacing w:after="0" w:line="240" w:lineRule="auto"/>
      </w:pPr>
      <w:r>
        <w:separator/>
      </w:r>
    </w:p>
  </w:endnote>
  <w:endnote w:type="continuationSeparator" w:id="0">
    <w:p w14:paraId="3E90A900" w14:textId="77777777" w:rsidR="0096720B" w:rsidRDefault="0096720B" w:rsidP="006A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150840"/>
      <w:docPartObj>
        <w:docPartGallery w:val="Page Numbers (Bottom of Page)"/>
        <w:docPartUnique/>
      </w:docPartObj>
    </w:sdtPr>
    <w:sdtEndPr>
      <w:rPr>
        <w:noProof/>
      </w:rPr>
    </w:sdtEndPr>
    <w:sdtContent>
      <w:p w14:paraId="5FE3F1AA" w14:textId="485AA62E" w:rsidR="0023509F" w:rsidRDefault="0023509F">
        <w:pPr>
          <w:pStyle w:val="Footer"/>
          <w:jc w:val="center"/>
        </w:pPr>
        <w:r>
          <w:fldChar w:fldCharType="begin"/>
        </w:r>
        <w:r>
          <w:instrText xml:space="preserve"> PAGE   \* MERGEFORMAT </w:instrText>
        </w:r>
        <w:r>
          <w:fldChar w:fldCharType="separate"/>
        </w:r>
        <w:r w:rsidR="00497E96">
          <w:rPr>
            <w:noProof/>
          </w:rPr>
          <w:t>3</w:t>
        </w:r>
        <w:r>
          <w:rPr>
            <w:noProof/>
          </w:rPr>
          <w:fldChar w:fldCharType="end"/>
        </w:r>
      </w:p>
    </w:sdtContent>
  </w:sdt>
  <w:p w14:paraId="1B600D13" w14:textId="77777777" w:rsidR="0023509F" w:rsidRDefault="0023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59979" w14:textId="77777777" w:rsidR="0096720B" w:rsidRDefault="0096720B" w:rsidP="006A5F3D">
      <w:pPr>
        <w:spacing w:after="0" w:line="240" w:lineRule="auto"/>
      </w:pPr>
      <w:r>
        <w:separator/>
      </w:r>
    </w:p>
  </w:footnote>
  <w:footnote w:type="continuationSeparator" w:id="0">
    <w:p w14:paraId="5C55A879" w14:textId="77777777" w:rsidR="0096720B" w:rsidRDefault="0096720B" w:rsidP="006A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604D" w14:textId="672794B9" w:rsidR="0023509F" w:rsidRPr="00FF1A3B" w:rsidRDefault="0023509F" w:rsidP="00FF1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2A40"/>
    <w:multiLevelType w:val="hybridMultilevel"/>
    <w:tmpl w:val="3B1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557355"/>
    <w:multiLevelType w:val="hybridMultilevel"/>
    <w:tmpl w:val="6EE84366"/>
    <w:lvl w:ilvl="0" w:tplc="E38AA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326D1"/>
    <w:multiLevelType w:val="hybridMultilevel"/>
    <w:tmpl w:val="C5B64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B435FB"/>
    <w:multiLevelType w:val="hybridMultilevel"/>
    <w:tmpl w:val="FBAC7AD6"/>
    <w:lvl w:ilvl="0" w:tplc="C64A820E">
      <w:start w:val="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19"/>
    <w:rsid w:val="00002D34"/>
    <w:rsid w:val="00012991"/>
    <w:rsid w:val="0002180D"/>
    <w:rsid w:val="000221E9"/>
    <w:rsid w:val="000251A0"/>
    <w:rsid w:val="00037C78"/>
    <w:rsid w:val="00041371"/>
    <w:rsid w:val="00047326"/>
    <w:rsid w:val="000501BC"/>
    <w:rsid w:val="00054240"/>
    <w:rsid w:val="00054D76"/>
    <w:rsid w:val="00067D56"/>
    <w:rsid w:val="0007112A"/>
    <w:rsid w:val="000757AE"/>
    <w:rsid w:val="00080E13"/>
    <w:rsid w:val="0008146F"/>
    <w:rsid w:val="00087A25"/>
    <w:rsid w:val="0009401C"/>
    <w:rsid w:val="00094AEF"/>
    <w:rsid w:val="000978AB"/>
    <w:rsid w:val="000A05F9"/>
    <w:rsid w:val="000B1AE5"/>
    <w:rsid w:val="000B7717"/>
    <w:rsid w:val="000C06A3"/>
    <w:rsid w:val="000C7134"/>
    <w:rsid w:val="000E1CFB"/>
    <w:rsid w:val="000F37C2"/>
    <w:rsid w:val="000F4DD2"/>
    <w:rsid w:val="001045FC"/>
    <w:rsid w:val="00106BB1"/>
    <w:rsid w:val="00117640"/>
    <w:rsid w:val="00117E3E"/>
    <w:rsid w:val="00120CA7"/>
    <w:rsid w:val="0012284A"/>
    <w:rsid w:val="00126C5A"/>
    <w:rsid w:val="00127071"/>
    <w:rsid w:val="00127C1D"/>
    <w:rsid w:val="00132053"/>
    <w:rsid w:val="001332FC"/>
    <w:rsid w:val="00135B1B"/>
    <w:rsid w:val="00136FE7"/>
    <w:rsid w:val="00140812"/>
    <w:rsid w:val="00142BEE"/>
    <w:rsid w:val="0014322E"/>
    <w:rsid w:val="00144528"/>
    <w:rsid w:val="00146AA0"/>
    <w:rsid w:val="0015207C"/>
    <w:rsid w:val="00155C0E"/>
    <w:rsid w:val="00155EA0"/>
    <w:rsid w:val="00160E11"/>
    <w:rsid w:val="001612D0"/>
    <w:rsid w:val="00162506"/>
    <w:rsid w:val="00165B9E"/>
    <w:rsid w:val="0016637A"/>
    <w:rsid w:val="001706EE"/>
    <w:rsid w:val="00173244"/>
    <w:rsid w:val="00177D5A"/>
    <w:rsid w:val="00180BE1"/>
    <w:rsid w:val="00193281"/>
    <w:rsid w:val="001947F2"/>
    <w:rsid w:val="00195AD0"/>
    <w:rsid w:val="00196109"/>
    <w:rsid w:val="001A3503"/>
    <w:rsid w:val="001A797C"/>
    <w:rsid w:val="001A7D65"/>
    <w:rsid w:val="001B0448"/>
    <w:rsid w:val="001B4326"/>
    <w:rsid w:val="001B4756"/>
    <w:rsid w:val="001B4F24"/>
    <w:rsid w:val="001C0530"/>
    <w:rsid w:val="001C2676"/>
    <w:rsid w:val="001C3975"/>
    <w:rsid w:val="001C5E0B"/>
    <w:rsid w:val="001C6508"/>
    <w:rsid w:val="001C67E9"/>
    <w:rsid w:val="001D1076"/>
    <w:rsid w:val="001D27C7"/>
    <w:rsid w:val="001D50B6"/>
    <w:rsid w:val="001D5F9B"/>
    <w:rsid w:val="001D631F"/>
    <w:rsid w:val="001E03D9"/>
    <w:rsid w:val="001E0FE6"/>
    <w:rsid w:val="001E1E69"/>
    <w:rsid w:val="001E646E"/>
    <w:rsid w:val="001E77E8"/>
    <w:rsid w:val="001F3972"/>
    <w:rsid w:val="001F7F7A"/>
    <w:rsid w:val="00215F49"/>
    <w:rsid w:val="002203BC"/>
    <w:rsid w:val="0022056C"/>
    <w:rsid w:val="00223116"/>
    <w:rsid w:val="0023509F"/>
    <w:rsid w:val="0024237E"/>
    <w:rsid w:val="002479C4"/>
    <w:rsid w:val="00265B9E"/>
    <w:rsid w:val="00266860"/>
    <w:rsid w:val="0027770D"/>
    <w:rsid w:val="00296002"/>
    <w:rsid w:val="00296A03"/>
    <w:rsid w:val="00297417"/>
    <w:rsid w:val="002A0691"/>
    <w:rsid w:val="002A7C34"/>
    <w:rsid w:val="002B118C"/>
    <w:rsid w:val="002B464B"/>
    <w:rsid w:val="002B68DD"/>
    <w:rsid w:val="002C1DBE"/>
    <w:rsid w:val="002C36FD"/>
    <w:rsid w:val="002C6414"/>
    <w:rsid w:val="002D4319"/>
    <w:rsid w:val="002D782F"/>
    <w:rsid w:val="002E0FC6"/>
    <w:rsid w:val="002E32A5"/>
    <w:rsid w:val="002E3898"/>
    <w:rsid w:val="002E6B7D"/>
    <w:rsid w:val="002E6E10"/>
    <w:rsid w:val="002F2017"/>
    <w:rsid w:val="00307326"/>
    <w:rsid w:val="003176DA"/>
    <w:rsid w:val="00323B05"/>
    <w:rsid w:val="0032435B"/>
    <w:rsid w:val="00330468"/>
    <w:rsid w:val="00332076"/>
    <w:rsid w:val="003323CF"/>
    <w:rsid w:val="003328EB"/>
    <w:rsid w:val="0033401A"/>
    <w:rsid w:val="0033551F"/>
    <w:rsid w:val="00344AAF"/>
    <w:rsid w:val="00350CAF"/>
    <w:rsid w:val="003514A1"/>
    <w:rsid w:val="00357572"/>
    <w:rsid w:val="0036272B"/>
    <w:rsid w:val="003668CD"/>
    <w:rsid w:val="0037209C"/>
    <w:rsid w:val="003766D3"/>
    <w:rsid w:val="00376910"/>
    <w:rsid w:val="00382C42"/>
    <w:rsid w:val="00383D22"/>
    <w:rsid w:val="003856BD"/>
    <w:rsid w:val="00386440"/>
    <w:rsid w:val="003868E0"/>
    <w:rsid w:val="00387542"/>
    <w:rsid w:val="00387929"/>
    <w:rsid w:val="00391703"/>
    <w:rsid w:val="003A2796"/>
    <w:rsid w:val="003A38F0"/>
    <w:rsid w:val="003A631B"/>
    <w:rsid w:val="003B7BE5"/>
    <w:rsid w:val="003C55D5"/>
    <w:rsid w:val="003C7C49"/>
    <w:rsid w:val="003D1850"/>
    <w:rsid w:val="003D4141"/>
    <w:rsid w:val="003D41D0"/>
    <w:rsid w:val="003D4A0B"/>
    <w:rsid w:val="003D5E88"/>
    <w:rsid w:val="003D63E6"/>
    <w:rsid w:val="003E0528"/>
    <w:rsid w:val="003E26E6"/>
    <w:rsid w:val="003E7B27"/>
    <w:rsid w:val="003F20FC"/>
    <w:rsid w:val="003F5B76"/>
    <w:rsid w:val="004012C8"/>
    <w:rsid w:val="004060CA"/>
    <w:rsid w:val="0041470E"/>
    <w:rsid w:val="00414A32"/>
    <w:rsid w:val="00415233"/>
    <w:rsid w:val="00417BC4"/>
    <w:rsid w:val="004350C4"/>
    <w:rsid w:val="004447DE"/>
    <w:rsid w:val="00450787"/>
    <w:rsid w:val="00453690"/>
    <w:rsid w:val="004536D7"/>
    <w:rsid w:val="004563BD"/>
    <w:rsid w:val="00456C27"/>
    <w:rsid w:val="00457CE5"/>
    <w:rsid w:val="00464804"/>
    <w:rsid w:val="0046712A"/>
    <w:rsid w:val="0049167F"/>
    <w:rsid w:val="00491A1E"/>
    <w:rsid w:val="00496BB5"/>
    <w:rsid w:val="00497E96"/>
    <w:rsid w:val="004A22A3"/>
    <w:rsid w:val="004B12B4"/>
    <w:rsid w:val="004B3AD3"/>
    <w:rsid w:val="004B54B9"/>
    <w:rsid w:val="004B64E1"/>
    <w:rsid w:val="004C5C65"/>
    <w:rsid w:val="004C65D7"/>
    <w:rsid w:val="004D1022"/>
    <w:rsid w:val="004E0083"/>
    <w:rsid w:val="004E080A"/>
    <w:rsid w:val="004E1A32"/>
    <w:rsid w:val="004E341A"/>
    <w:rsid w:val="004E5ED0"/>
    <w:rsid w:val="004E7DFB"/>
    <w:rsid w:val="004F17C3"/>
    <w:rsid w:val="004F50C4"/>
    <w:rsid w:val="00503C9F"/>
    <w:rsid w:val="0051129B"/>
    <w:rsid w:val="005151E5"/>
    <w:rsid w:val="00520B75"/>
    <w:rsid w:val="00522F98"/>
    <w:rsid w:val="00524585"/>
    <w:rsid w:val="00524639"/>
    <w:rsid w:val="005304FE"/>
    <w:rsid w:val="00531FE9"/>
    <w:rsid w:val="005322B1"/>
    <w:rsid w:val="00532B5C"/>
    <w:rsid w:val="005348FF"/>
    <w:rsid w:val="00537A1A"/>
    <w:rsid w:val="00541128"/>
    <w:rsid w:val="00554719"/>
    <w:rsid w:val="0055730A"/>
    <w:rsid w:val="00563DEC"/>
    <w:rsid w:val="00567F57"/>
    <w:rsid w:val="0058721F"/>
    <w:rsid w:val="005A4C07"/>
    <w:rsid w:val="005A61BC"/>
    <w:rsid w:val="005B131F"/>
    <w:rsid w:val="005B1DA9"/>
    <w:rsid w:val="005B7D77"/>
    <w:rsid w:val="005B7FC9"/>
    <w:rsid w:val="005C0DA1"/>
    <w:rsid w:val="005C26E4"/>
    <w:rsid w:val="005C47BD"/>
    <w:rsid w:val="005C58A9"/>
    <w:rsid w:val="005D6D82"/>
    <w:rsid w:val="005D7A66"/>
    <w:rsid w:val="005E29BA"/>
    <w:rsid w:val="005E342B"/>
    <w:rsid w:val="005E49C9"/>
    <w:rsid w:val="005E6461"/>
    <w:rsid w:val="005F23F2"/>
    <w:rsid w:val="00604946"/>
    <w:rsid w:val="006306CE"/>
    <w:rsid w:val="0063219D"/>
    <w:rsid w:val="006369C5"/>
    <w:rsid w:val="0065223E"/>
    <w:rsid w:val="00655919"/>
    <w:rsid w:val="00660C7A"/>
    <w:rsid w:val="006656A9"/>
    <w:rsid w:val="00667C87"/>
    <w:rsid w:val="00681E0B"/>
    <w:rsid w:val="006843C7"/>
    <w:rsid w:val="006A3545"/>
    <w:rsid w:val="006A5F3D"/>
    <w:rsid w:val="006B7CAC"/>
    <w:rsid w:val="006C7A3D"/>
    <w:rsid w:val="006D0B08"/>
    <w:rsid w:val="006D14DC"/>
    <w:rsid w:val="006D17E5"/>
    <w:rsid w:val="006D1E9F"/>
    <w:rsid w:val="006D2284"/>
    <w:rsid w:val="006D332D"/>
    <w:rsid w:val="006D35C2"/>
    <w:rsid w:val="006D50A6"/>
    <w:rsid w:val="00703978"/>
    <w:rsid w:val="00707FDE"/>
    <w:rsid w:val="007101CA"/>
    <w:rsid w:val="00710712"/>
    <w:rsid w:val="0071091C"/>
    <w:rsid w:val="00711A4C"/>
    <w:rsid w:val="00712CFE"/>
    <w:rsid w:val="00713060"/>
    <w:rsid w:val="007152C1"/>
    <w:rsid w:val="00716494"/>
    <w:rsid w:val="007178A8"/>
    <w:rsid w:val="00726544"/>
    <w:rsid w:val="00726699"/>
    <w:rsid w:val="00727754"/>
    <w:rsid w:val="007338C1"/>
    <w:rsid w:val="00736669"/>
    <w:rsid w:val="00743B31"/>
    <w:rsid w:val="00743C48"/>
    <w:rsid w:val="0074551E"/>
    <w:rsid w:val="007463F8"/>
    <w:rsid w:val="00746FD2"/>
    <w:rsid w:val="007500AA"/>
    <w:rsid w:val="00763F7A"/>
    <w:rsid w:val="00764332"/>
    <w:rsid w:val="00771905"/>
    <w:rsid w:val="00773DD3"/>
    <w:rsid w:val="00775AF1"/>
    <w:rsid w:val="00780E01"/>
    <w:rsid w:val="007829F3"/>
    <w:rsid w:val="00782B1D"/>
    <w:rsid w:val="00793EDB"/>
    <w:rsid w:val="007A16D7"/>
    <w:rsid w:val="007B6D90"/>
    <w:rsid w:val="007B7D53"/>
    <w:rsid w:val="007C03A7"/>
    <w:rsid w:val="007D3D12"/>
    <w:rsid w:val="007E26CC"/>
    <w:rsid w:val="007F2126"/>
    <w:rsid w:val="007F58A8"/>
    <w:rsid w:val="008035C6"/>
    <w:rsid w:val="00803FA9"/>
    <w:rsid w:val="00804BCD"/>
    <w:rsid w:val="00814F79"/>
    <w:rsid w:val="00816BB3"/>
    <w:rsid w:val="00822E1E"/>
    <w:rsid w:val="008308D6"/>
    <w:rsid w:val="00836EDC"/>
    <w:rsid w:val="00840110"/>
    <w:rsid w:val="00851355"/>
    <w:rsid w:val="00853184"/>
    <w:rsid w:val="00866019"/>
    <w:rsid w:val="0086751A"/>
    <w:rsid w:val="00870119"/>
    <w:rsid w:val="0087662F"/>
    <w:rsid w:val="00876731"/>
    <w:rsid w:val="0088480F"/>
    <w:rsid w:val="00885DD1"/>
    <w:rsid w:val="00890048"/>
    <w:rsid w:val="00893FFB"/>
    <w:rsid w:val="008960BA"/>
    <w:rsid w:val="008A1F8B"/>
    <w:rsid w:val="008A5FBC"/>
    <w:rsid w:val="008B5145"/>
    <w:rsid w:val="008B59E3"/>
    <w:rsid w:val="008B6E38"/>
    <w:rsid w:val="008C5622"/>
    <w:rsid w:val="008D0EB8"/>
    <w:rsid w:val="008D4F64"/>
    <w:rsid w:val="008D69B4"/>
    <w:rsid w:val="008E50EB"/>
    <w:rsid w:val="008E53B3"/>
    <w:rsid w:val="008F114D"/>
    <w:rsid w:val="008F2588"/>
    <w:rsid w:val="008F430C"/>
    <w:rsid w:val="008F6A2B"/>
    <w:rsid w:val="008F78C4"/>
    <w:rsid w:val="009049D7"/>
    <w:rsid w:val="00914F92"/>
    <w:rsid w:val="00915952"/>
    <w:rsid w:val="00917759"/>
    <w:rsid w:val="00917D0F"/>
    <w:rsid w:val="00921514"/>
    <w:rsid w:val="00937D2B"/>
    <w:rsid w:val="009404E7"/>
    <w:rsid w:val="0094370C"/>
    <w:rsid w:val="009439CD"/>
    <w:rsid w:val="00953CB9"/>
    <w:rsid w:val="009646E9"/>
    <w:rsid w:val="0096720B"/>
    <w:rsid w:val="00967CF3"/>
    <w:rsid w:val="00970B6E"/>
    <w:rsid w:val="00975A73"/>
    <w:rsid w:val="00980A48"/>
    <w:rsid w:val="00992A9C"/>
    <w:rsid w:val="00995B0C"/>
    <w:rsid w:val="0099778F"/>
    <w:rsid w:val="009A2796"/>
    <w:rsid w:val="009A48B6"/>
    <w:rsid w:val="009A7B6D"/>
    <w:rsid w:val="009A7DDC"/>
    <w:rsid w:val="009C09AE"/>
    <w:rsid w:val="009D1356"/>
    <w:rsid w:val="009D2DDB"/>
    <w:rsid w:val="009D3AB2"/>
    <w:rsid w:val="009D4898"/>
    <w:rsid w:val="009F3AC3"/>
    <w:rsid w:val="009F3E6A"/>
    <w:rsid w:val="009F5E48"/>
    <w:rsid w:val="009F6225"/>
    <w:rsid w:val="00A00949"/>
    <w:rsid w:val="00A10F94"/>
    <w:rsid w:val="00A14398"/>
    <w:rsid w:val="00A20892"/>
    <w:rsid w:val="00A227C3"/>
    <w:rsid w:val="00A31940"/>
    <w:rsid w:val="00A31E23"/>
    <w:rsid w:val="00A32899"/>
    <w:rsid w:val="00A32C14"/>
    <w:rsid w:val="00A32E10"/>
    <w:rsid w:val="00A40DBD"/>
    <w:rsid w:val="00A46C7C"/>
    <w:rsid w:val="00A5006F"/>
    <w:rsid w:val="00A60A71"/>
    <w:rsid w:val="00A66AA1"/>
    <w:rsid w:val="00A66E7D"/>
    <w:rsid w:val="00A82470"/>
    <w:rsid w:val="00A83197"/>
    <w:rsid w:val="00A93973"/>
    <w:rsid w:val="00AA0CBE"/>
    <w:rsid w:val="00AA1C1B"/>
    <w:rsid w:val="00AA2A23"/>
    <w:rsid w:val="00AA7417"/>
    <w:rsid w:val="00AB28B1"/>
    <w:rsid w:val="00AB2B57"/>
    <w:rsid w:val="00AB2C39"/>
    <w:rsid w:val="00AB55F9"/>
    <w:rsid w:val="00AC6365"/>
    <w:rsid w:val="00AC68AE"/>
    <w:rsid w:val="00AC7C7F"/>
    <w:rsid w:val="00AD0462"/>
    <w:rsid w:val="00AE02C3"/>
    <w:rsid w:val="00AE199C"/>
    <w:rsid w:val="00AE63C8"/>
    <w:rsid w:val="00AE73AC"/>
    <w:rsid w:val="00AF329B"/>
    <w:rsid w:val="00AF59C9"/>
    <w:rsid w:val="00B03B34"/>
    <w:rsid w:val="00B0774A"/>
    <w:rsid w:val="00B1031B"/>
    <w:rsid w:val="00B1672F"/>
    <w:rsid w:val="00B16CD5"/>
    <w:rsid w:val="00B16D6E"/>
    <w:rsid w:val="00B245E3"/>
    <w:rsid w:val="00B25FA3"/>
    <w:rsid w:val="00B26651"/>
    <w:rsid w:val="00B266FB"/>
    <w:rsid w:val="00B30E87"/>
    <w:rsid w:val="00B323DA"/>
    <w:rsid w:val="00B36CC8"/>
    <w:rsid w:val="00B426C2"/>
    <w:rsid w:val="00B45185"/>
    <w:rsid w:val="00B542E5"/>
    <w:rsid w:val="00B7065D"/>
    <w:rsid w:val="00B74360"/>
    <w:rsid w:val="00B800C3"/>
    <w:rsid w:val="00B804C1"/>
    <w:rsid w:val="00B90548"/>
    <w:rsid w:val="00B921E7"/>
    <w:rsid w:val="00B95A25"/>
    <w:rsid w:val="00B96F6C"/>
    <w:rsid w:val="00BA10D8"/>
    <w:rsid w:val="00BA1735"/>
    <w:rsid w:val="00BA51E6"/>
    <w:rsid w:val="00BB4458"/>
    <w:rsid w:val="00BC32C8"/>
    <w:rsid w:val="00BC49D8"/>
    <w:rsid w:val="00BC5797"/>
    <w:rsid w:val="00BD0F80"/>
    <w:rsid w:val="00BD5025"/>
    <w:rsid w:val="00BD510C"/>
    <w:rsid w:val="00BD6D1A"/>
    <w:rsid w:val="00BD6DD3"/>
    <w:rsid w:val="00BF1D66"/>
    <w:rsid w:val="00BF21F6"/>
    <w:rsid w:val="00BF22B6"/>
    <w:rsid w:val="00BF7CCF"/>
    <w:rsid w:val="00C14AF6"/>
    <w:rsid w:val="00C22976"/>
    <w:rsid w:val="00C25AE1"/>
    <w:rsid w:val="00C3304D"/>
    <w:rsid w:val="00C46100"/>
    <w:rsid w:val="00C47C3D"/>
    <w:rsid w:val="00C515F2"/>
    <w:rsid w:val="00C60A03"/>
    <w:rsid w:val="00C63678"/>
    <w:rsid w:val="00C63A60"/>
    <w:rsid w:val="00C65F30"/>
    <w:rsid w:val="00C7631A"/>
    <w:rsid w:val="00C77C5D"/>
    <w:rsid w:val="00C846FC"/>
    <w:rsid w:val="00C85606"/>
    <w:rsid w:val="00C910EB"/>
    <w:rsid w:val="00C91B55"/>
    <w:rsid w:val="00CC2E16"/>
    <w:rsid w:val="00CC430C"/>
    <w:rsid w:val="00CC47CC"/>
    <w:rsid w:val="00CD3AE1"/>
    <w:rsid w:val="00CE5E03"/>
    <w:rsid w:val="00D10DF7"/>
    <w:rsid w:val="00D11C3C"/>
    <w:rsid w:val="00D218AA"/>
    <w:rsid w:val="00D21E01"/>
    <w:rsid w:val="00D24CAE"/>
    <w:rsid w:val="00D3008A"/>
    <w:rsid w:val="00D30E45"/>
    <w:rsid w:val="00D3512A"/>
    <w:rsid w:val="00D43DEF"/>
    <w:rsid w:val="00D52E5A"/>
    <w:rsid w:val="00D60C70"/>
    <w:rsid w:val="00D6235C"/>
    <w:rsid w:val="00D70702"/>
    <w:rsid w:val="00D7183C"/>
    <w:rsid w:val="00D72962"/>
    <w:rsid w:val="00D74DDC"/>
    <w:rsid w:val="00D77C44"/>
    <w:rsid w:val="00D83C62"/>
    <w:rsid w:val="00D83D84"/>
    <w:rsid w:val="00D97DD0"/>
    <w:rsid w:val="00DA0656"/>
    <w:rsid w:val="00DA12F8"/>
    <w:rsid w:val="00DB08AA"/>
    <w:rsid w:val="00DE10C1"/>
    <w:rsid w:val="00DE5A15"/>
    <w:rsid w:val="00DE744C"/>
    <w:rsid w:val="00DF5BBC"/>
    <w:rsid w:val="00E010FA"/>
    <w:rsid w:val="00E06F3D"/>
    <w:rsid w:val="00E106B4"/>
    <w:rsid w:val="00E2070A"/>
    <w:rsid w:val="00E22BAA"/>
    <w:rsid w:val="00E26403"/>
    <w:rsid w:val="00E26FE7"/>
    <w:rsid w:val="00E30F41"/>
    <w:rsid w:val="00E315F5"/>
    <w:rsid w:val="00E33827"/>
    <w:rsid w:val="00E34D05"/>
    <w:rsid w:val="00E4033F"/>
    <w:rsid w:val="00E43263"/>
    <w:rsid w:val="00E43760"/>
    <w:rsid w:val="00E444BC"/>
    <w:rsid w:val="00E463E0"/>
    <w:rsid w:val="00E469EE"/>
    <w:rsid w:val="00E47646"/>
    <w:rsid w:val="00E51E15"/>
    <w:rsid w:val="00E54C8A"/>
    <w:rsid w:val="00E5798C"/>
    <w:rsid w:val="00E60F2A"/>
    <w:rsid w:val="00E63449"/>
    <w:rsid w:val="00E808C0"/>
    <w:rsid w:val="00E832D9"/>
    <w:rsid w:val="00E833BD"/>
    <w:rsid w:val="00E837FE"/>
    <w:rsid w:val="00E874C3"/>
    <w:rsid w:val="00E96F15"/>
    <w:rsid w:val="00EA05C6"/>
    <w:rsid w:val="00EB17BB"/>
    <w:rsid w:val="00EB420A"/>
    <w:rsid w:val="00EC582C"/>
    <w:rsid w:val="00ED52E9"/>
    <w:rsid w:val="00EE1B24"/>
    <w:rsid w:val="00EE2163"/>
    <w:rsid w:val="00EF2159"/>
    <w:rsid w:val="00EF7AC0"/>
    <w:rsid w:val="00F05F8E"/>
    <w:rsid w:val="00F31422"/>
    <w:rsid w:val="00F342B2"/>
    <w:rsid w:val="00F36C53"/>
    <w:rsid w:val="00F47DE6"/>
    <w:rsid w:val="00F5573C"/>
    <w:rsid w:val="00F55C00"/>
    <w:rsid w:val="00F56B30"/>
    <w:rsid w:val="00F56F08"/>
    <w:rsid w:val="00F61B96"/>
    <w:rsid w:val="00F6427D"/>
    <w:rsid w:val="00F72E97"/>
    <w:rsid w:val="00F74C88"/>
    <w:rsid w:val="00F75F08"/>
    <w:rsid w:val="00F80542"/>
    <w:rsid w:val="00F87465"/>
    <w:rsid w:val="00F87655"/>
    <w:rsid w:val="00FA045E"/>
    <w:rsid w:val="00FA05DB"/>
    <w:rsid w:val="00FB4516"/>
    <w:rsid w:val="00FB59B3"/>
    <w:rsid w:val="00FB5D1C"/>
    <w:rsid w:val="00FB630C"/>
    <w:rsid w:val="00FC45A6"/>
    <w:rsid w:val="00FD0141"/>
    <w:rsid w:val="00FD31F4"/>
    <w:rsid w:val="00FD7067"/>
    <w:rsid w:val="00FE0A7B"/>
    <w:rsid w:val="00FE22C5"/>
    <w:rsid w:val="00FE4856"/>
    <w:rsid w:val="00FE6E84"/>
    <w:rsid w:val="00FF1A3B"/>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7C763"/>
  <w15:chartTrackingRefBased/>
  <w15:docId w15:val="{908239DB-3E30-4B59-B0B5-4FC6E59C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F3D"/>
  </w:style>
  <w:style w:type="paragraph" w:styleId="Footer">
    <w:name w:val="footer"/>
    <w:basedOn w:val="Normal"/>
    <w:link w:val="FooterChar"/>
    <w:uiPriority w:val="99"/>
    <w:unhideWhenUsed/>
    <w:rsid w:val="006A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F3D"/>
  </w:style>
  <w:style w:type="paragraph" w:styleId="ListParagraph">
    <w:name w:val="List Paragraph"/>
    <w:basedOn w:val="Normal"/>
    <w:uiPriority w:val="34"/>
    <w:qFormat/>
    <w:rsid w:val="002479C4"/>
    <w:pPr>
      <w:ind w:left="720"/>
      <w:contextualSpacing/>
    </w:pPr>
  </w:style>
  <w:style w:type="table" w:styleId="TableGrid">
    <w:name w:val="Table Grid"/>
    <w:basedOn w:val="TableNormal"/>
    <w:uiPriority w:val="39"/>
    <w:rsid w:val="0017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3AC"/>
    <w:rPr>
      <w:color w:val="0563C1" w:themeColor="hyperlink"/>
      <w:u w:val="single"/>
    </w:rPr>
  </w:style>
  <w:style w:type="character" w:customStyle="1" w:styleId="UnresolvedMention1">
    <w:name w:val="Unresolved Mention1"/>
    <w:basedOn w:val="DefaultParagraphFont"/>
    <w:uiPriority w:val="99"/>
    <w:semiHidden/>
    <w:unhideWhenUsed/>
    <w:rsid w:val="00AE73AC"/>
    <w:rPr>
      <w:color w:val="605E5C"/>
      <w:shd w:val="clear" w:color="auto" w:fill="E1DFDD"/>
    </w:rPr>
  </w:style>
  <w:style w:type="character" w:styleId="FollowedHyperlink">
    <w:name w:val="FollowedHyperlink"/>
    <w:basedOn w:val="DefaultParagraphFont"/>
    <w:uiPriority w:val="99"/>
    <w:semiHidden/>
    <w:unhideWhenUsed/>
    <w:rsid w:val="00A46C7C"/>
    <w:rPr>
      <w:color w:val="954F72" w:themeColor="followedHyperlink"/>
      <w:u w:val="single"/>
    </w:rPr>
  </w:style>
  <w:style w:type="paragraph" w:styleId="BalloonText">
    <w:name w:val="Balloon Text"/>
    <w:basedOn w:val="Normal"/>
    <w:link w:val="BalloonTextChar"/>
    <w:uiPriority w:val="99"/>
    <w:semiHidden/>
    <w:unhideWhenUsed/>
    <w:rsid w:val="00A66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A1"/>
    <w:rPr>
      <w:rFonts w:ascii="Segoe UI" w:hAnsi="Segoe UI" w:cs="Segoe UI"/>
      <w:sz w:val="18"/>
      <w:szCs w:val="18"/>
    </w:rPr>
  </w:style>
  <w:style w:type="character" w:styleId="CommentReference">
    <w:name w:val="annotation reference"/>
    <w:basedOn w:val="DefaultParagraphFont"/>
    <w:uiPriority w:val="99"/>
    <w:semiHidden/>
    <w:unhideWhenUsed/>
    <w:rsid w:val="0027770D"/>
    <w:rPr>
      <w:sz w:val="16"/>
      <w:szCs w:val="16"/>
    </w:rPr>
  </w:style>
  <w:style w:type="paragraph" w:styleId="CommentText">
    <w:name w:val="annotation text"/>
    <w:basedOn w:val="Normal"/>
    <w:link w:val="CommentTextChar"/>
    <w:uiPriority w:val="99"/>
    <w:unhideWhenUsed/>
    <w:rsid w:val="0027770D"/>
    <w:pPr>
      <w:spacing w:line="240" w:lineRule="auto"/>
    </w:pPr>
    <w:rPr>
      <w:sz w:val="20"/>
      <w:szCs w:val="20"/>
    </w:rPr>
  </w:style>
  <w:style w:type="character" w:customStyle="1" w:styleId="CommentTextChar">
    <w:name w:val="Comment Text Char"/>
    <w:basedOn w:val="DefaultParagraphFont"/>
    <w:link w:val="CommentText"/>
    <w:uiPriority w:val="99"/>
    <w:rsid w:val="0027770D"/>
    <w:rPr>
      <w:sz w:val="20"/>
      <w:szCs w:val="20"/>
    </w:rPr>
  </w:style>
  <w:style w:type="paragraph" w:styleId="CommentSubject">
    <w:name w:val="annotation subject"/>
    <w:basedOn w:val="CommentText"/>
    <w:next w:val="CommentText"/>
    <w:link w:val="CommentSubjectChar"/>
    <w:uiPriority w:val="99"/>
    <w:semiHidden/>
    <w:unhideWhenUsed/>
    <w:rsid w:val="00A10F94"/>
    <w:rPr>
      <w:b/>
      <w:bCs/>
    </w:rPr>
  </w:style>
  <w:style w:type="character" w:customStyle="1" w:styleId="CommentSubjectChar">
    <w:name w:val="Comment Subject Char"/>
    <w:basedOn w:val="CommentTextChar"/>
    <w:link w:val="CommentSubject"/>
    <w:uiPriority w:val="99"/>
    <w:semiHidden/>
    <w:rsid w:val="00A10F94"/>
    <w:rPr>
      <w:b/>
      <w:bCs/>
      <w:sz w:val="20"/>
      <w:szCs w:val="20"/>
    </w:rPr>
  </w:style>
  <w:style w:type="character" w:customStyle="1" w:styleId="UnresolvedMention2">
    <w:name w:val="Unresolved Mention2"/>
    <w:basedOn w:val="DefaultParagraphFont"/>
    <w:uiPriority w:val="99"/>
    <w:semiHidden/>
    <w:unhideWhenUsed/>
    <w:rsid w:val="00054240"/>
    <w:rPr>
      <w:color w:val="605E5C"/>
      <w:shd w:val="clear" w:color="auto" w:fill="E1DFDD"/>
    </w:rPr>
  </w:style>
  <w:style w:type="character" w:styleId="LineNumber">
    <w:name w:val="line number"/>
    <w:basedOn w:val="DefaultParagraphFont"/>
    <w:uiPriority w:val="99"/>
    <w:semiHidden/>
    <w:unhideWhenUsed/>
    <w:rsid w:val="00FF1A3B"/>
  </w:style>
  <w:style w:type="paragraph" w:customStyle="1" w:styleId="msonormal0">
    <w:name w:val="msonormal"/>
    <w:basedOn w:val="Normal"/>
    <w:rsid w:val="005A4C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5A4C07"/>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5A4C0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5A4C0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5A4C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5A4C0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5A4C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5A4C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5A4C0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5A4C0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5A4C07"/>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5A4C07"/>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5A4C0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5A4C07"/>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5A4C07"/>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5A4C07"/>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1">
    <w:name w:val="xl81"/>
    <w:basedOn w:val="Normal"/>
    <w:rsid w:val="005A4C07"/>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2">
    <w:name w:val="xl82"/>
    <w:basedOn w:val="Normal"/>
    <w:rsid w:val="005A4C0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3">
    <w:name w:val="xl83"/>
    <w:basedOn w:val="Normal"/>
    <w:rsid w:val="005A4C0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5A4C0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5A4C0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5A4C0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5A4C0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8">
    <w:name w:val="xl88"/>
    <w:basedOn w:val="Normal"/>
    <w:rsid w:val="005A4C0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character" w:customStyle="1" w:styleId="UnresolvedMention3">
    <w:name w:val="Unresolved Mention3"/>
    <w:basedOn w:val="DefaultParagraphFont"/>
    <w:uiPriority w:val="99"/>
    <w:semiHidden/>
    <w:unhideWhenUsed/>
    <w:rsid w:val="00EE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5555">
      <w:bodyDiv w:val="1"/>
      <w:marLeft w:val="0"/>
      <w:marRight w:val="0"/>
      <w:marTop w:val="0"/>
      <w:marBottom w:val="0"/>
      <w:divBdr>
        <w:top w:val="none" w:sz="0" w:space="0" w:color="auto"/>
        <w:left w:val="none" w:sz="0" w:space="0" w:color="auto"/>
        <w:bottom w:val="none" w:sz="0" w:space="0" w:color="auto"/>
        <w:right w:val="none" w:sz="0" w:space="0" w:color="auto"/>
      </w:divBdr>
      <w:divsChild>
        <w:div w:id="1583955708">
          <w:marLeft w:val="0"/>
          <w:marRight w:val="0"/>
          <w:marTop w:val="0"/>
          <w:marBottom w:val="0"/>
          <w:divBdr>
            <w:top w:val="none" w:sz="0" w:space="0" w:color="auto"/>
            <w:left w:val="none" w:sz="0" w:space="0" w:color="auto"/>
            <w:bottom w:val="none" w:sz="0" w:space="0" w:color="auto"/>
            <w:right w:val="none" w:sz="0" w:space="0" w:color="auto"/>
          </w:divBdr>
        </w:div>
        <w:div w:id="1982420708">
          <w:marLeft w:val="0"/>
          <w:marRight w:val="0"/>
          <w:marTop w:val="0"/>
          <w:marBottom w:val="0"/>
          <w:divBdr>
            <w:top w:val="none" w:sz="0" w:space="0" w:color="auto"/>
            <w:left w:val="none" w:sz="0" w:space="0" w:color="auto"/>
            <w:bottom w:val="none" w:sz="0" w:space="0" w:color="auto"/>
            <w:right w:val="none" w:sz="0" w:space="0" w:color="auto"/>
          </w:divBdr>
        </w:div>
      </w:divsChild>
    </w:div>
    <w:div w:id="92289049">
      <w:bodyDiv w:val="1"/>
      <w:marLeft w:val="0"/>
      <w:marRight w:val="0"/>
      <w:marTop w:val="0"/>
      <w:marBottom w:val="0"/>
      <w:divBdr>
        <w:top w:val="none" w:sz="0" w:space="0" w:color="auto"/>
        <w:left w:val="none" w:sz="0" w:space="0" w:color="auto"/>
        <w:bottom w:val="none" w:sz="0" w:space="0" w:color="auto"/>
        <w:right w:val="none" w:sz="0" w:space="0" w:color="auto"/>
      </w:divBdr>
      <w:divsChild>
        <w:div w:id="151457398">
          <w:marLeft w:val="0"/>
          <w:marRight w:val="0"/>
          <w:marTop w:val="150"/>
          <w:marBottom w:val="270"/>
          <w:divBdr>
            <w:top w:val="none" w:sz="0" w:space="0" w:color="auto"/>
            <w:left w:val="none" w:sz="0" w:space="0" w:color="auto"/>
            <w:bottom w:val="none" w:sz="0" w:space="0" w:color="auto"/>
            <w:right w:val="none" w:sz="0" w:space="0" w:color="auto"/>
          </w:divBdr>
        </w:div>
        <w:div w:id="1398670643">
          <w:marLeft w:val="0"/>
          <w:marRight w:val="0"/>
          <w:marTop w:val="150"/>
          <w:marBottom w:val="270"/>
          <w:divBdr>
            <w:top w:val="none" w:sz="0" w:space="0" w:color="auto"/>
            <w:left w:val="none" w:sz="0" w:space="0" w:color="auto"/>
            <w:bottom w:val="none" w:sz="0" w:space="0" w:color="auto"/>
            <w:right w:val="none" w:sz="0" w:space="0" w:color="auto"/>
          </w:divBdr>
        </w:div>
      </w:divsChild>
    </w:div>
    <w:div w:id="147865103">
      <w:bodyDiv w:val="1"/>
      <w:marLeft w:val="0"/>
      <w:marRight w:val="0"/>
      <w:marTop w:val="0"/>
      <w:marBottom w:val="0"/>
      <w:divBdr>
        <w:top w:val="none" w:sz="0" w:space="0" w:color="auto"/>
        <w:left w:val="none" w:sz="0" w:space="0" w:color="auto"/>
        <w:bottom w:val="none" w:sz="0" w:space="0" w:color="auto"/>
        <w:right w:val="none" w:sz="0" w:space="0" w:color="auto"/>
      </w:divBdr>
    </w:div>
    <w:div w:id="182791348">
      <w:bodyDiv w:val="1"/>
      <w:marLeft w:val="0"/>
      <w:marRight w:val="0"/>
      <w:marTop w:val="0"/>
      <w:marBottom w:val="0"/>
      <w:divBdr>
        <w:top w:val="none" w:sz="0" w:space="0" w:color="auto"/>
        <w:left w:val="none" w:sz="0" w:space="0" w:color="auto"/>
        <w:bottom w:val="none" w:sz="0" w:space="0" w:color="auto"/>
        <w:right w:val="none" w:sz="0" w:space="0" w:color="auto"/>
      </w:divBdr>
      <w:divsChild>
        <w:div w:id="1167359016">
          <w:marLeft w:val="0"/>
          <w:marRight w:val="0"/>
          <w:marTop w:val="0"/>
          <w:marBottom w:val="0"/>
          <w:divBdr>
            <w:top w:val="none" w:sz="0" w:space="0" w:color="auto"/>
            <w:left w:val="none" w:sz="0" w:space="0" w:color="auto"/>
            <w:bottom w:val="none" w:sz="0" w:space="0" w:color="auto"/>
            <w:right w:val="none" w:sz="0" w:space="0" w:color="auto"/>
          </w:divBdr>
        </w:div>
        <w:div w:id="900025416">
          <w:marLeft w:val="0"/>
          <w:marRight w:val="0"/>
          <w:marTop w:val="0"/>
          <w:marBottom w:val="0"/>
          <w:divBdr>
            <w:top w:val="none" w:sz="0" w:space="0" w:color="auto"/>
            <w:left w:val="none" w:sz="0" w:space="0" w:color="auto"/>
            <w:bottom w:val="none" w:sz="0" w:space="0" w:color="auto"/>
            <w:right w:val="none" w:sz="0" w:space="0" w:color="auto"/>
          </w:divBdr>
        </w:div>
      </w:divsChild>
    </w:div>
    <w:div w:id="429274338">
      <w:bodyDiv w:val="1"/>
      <w:marLeft w:val="0"/>
      <w:marRight w:val="0"/>
      <w:marTop w:val="0"/>
      <w:marBottom w:val="0"/>
      <w:divBdr>
        <w:top w:val="none" w:sz="0" w:space="0" w:color="auto"/>
        <w:left w:val="none" w:sz="0" w:space="0" w:color="auto"/>
        <w:bottom w:val="none" w:sz="0" w:space="0" w:color="auto"/>
        <w:right w:val="none" w:sz="0" w:space="0" w:color="auto"/>
      </w:divBdr>
    </w:div>
    <w:div w:id="471563332">
      <w:bodyDiv w:val="1"/>
      <w:marLeft w:val="0"/>
      <w:marRight w:val="0"/>
      <w:marTop w:val="0"/>
      <w:marBottom w:val="0"/>
      <w:divBdr>
        <w:top w:val="none" w:sz="0" w:space="0" w:color="auto"/>
        <w:left w:val="none" w:sz="0" w:space="0" w:color="auto"/>
        <w:bottom w:val="none" w:sz="0" w:space="0" w:color="auto"/>
        <w:right w:val="none" w:sz="0" w:space="0" w:color="auto"/>
      </w:divBdr>
    </w:div>
    <w:div w:id="476841453">
      <w:bodyDiv w:val="1"/>
      <w:marLeft w:val="0"/>
      <w:marRight w:val="0"/>
      <w:marTop w:val="0"/>
      <w:marBottom w:val="0"/>
      <w:divBdr>
        <w:top w:val="none" w:sz="0" w:space="0" w:color="auto"/>
        <w:left w:val="none" w:sz="0" w:space="0" w:color="auto"/>
        <w:bottom w:val="none" w:sz="0" w:space="0" w:color="auto"/>
        <w:right w:val="none" w:sz="0" w:space="0" w:color="auto"/>
      </w:divBdr>
    </w:div>
    <w:div w:id="520973781">
      <w:bodyDiv w:val="1"/>
      <w:marLeft w:val="0"/>
      <w:marRight w:val="0"/>
      <w:marTop w:val="0"/>
      <w:marBottom w:val="0"/>
      <w:divBdr>
        <w:top w:val="none" w:sz="0" w:space="0" w:color="auto"/>
        <w:left w:val="none" w:sz="0" w:space="0" w:color="auto"/>
        <w:bottom w:val="none" w:sz="0" w:space="0" w:color="auto"/>
        <w:right w:val="none" w:sz="0" w:space="0" w:color="auto"/>
      </w:divBdr>
    </w:div>
    <w:div w:id="524253671">
      <w:bodyDiv w:val="1"/>
      <w:marLeft w:val="0"/>
      <w:marRight w:val="0"/>
      <w:marTop w:val="0"/>
      <w:marBottom w:val="0"/>
      <w:divBdr>
        <w:top w:val="none" w:sz="0" w:space="0" w:color="auto"/>
        <w:left w:val="none" w:sz="0" w:space="0" w:color="auto"/>
        <w:bottom w:val="none" w:sz="0" w:space="0" w:color="auto"/>
        <w:right w:val="none" w:sz="0" w:space="0" w:color="auto"/>
      </w:divBdr>
    </w:div>
    <w:div w:id="528110397">
      <w:bodyDiv w:val="1"/>
      <w:marLeft w:val="0"/>
      <w:marRight w:val="0"/>
      <w:marTop w:val="0"/>
      <w:marBottom w:val="0"/>
      <w:divBdr>
        <w:top w:val="none" w:sz="0" w:space="0" w:color="auto"/>
        <w:left w:val="none" w:sz="0" w:space="0" w:color="auto"/>
        <w:bottom w:val="none" w:sz="0" w:space="0" w:color="auto"/>
        <w:right w:val="none" w:sz="0" w:space="0" w:color="auto"/>
      </w:divBdr>
    </w:div>
    <w:div w:id="528683783">
      <w:bodyDiv w:val="1"/>
      <w:marLeft w:val="0"/>
      <w:marRight w:val="0"/>
      <w:marTop w:val="0"/>
      <w:marBottom w:val="0"/>
      <w:divBdr>
        <w:top w:val="none" w:sz="0" w:space="0" w:color="auto"/>
        <w:left w:val="none" w:sz="0" w:space="0" w:color="auto"/>
        <w:bottom w:val="none" w:sz="0" w:space="0" w:color="auto"/>
        <w:right w:val="none" w:sz="0" w:space="0" w:color="auto"/>
      </w:divBdr>
    </w:div>
    <w:div w:id="856431929">
      <w:bodyDiv w:val="1"/>
      <w:marLeft w:val="0"/>
      <w:marRight w:val="0"/>
      <w:marTop w:val="0"/>
      <w:marBottom w:val="0"/>
      <w:divBdr>
        <w:top w:val="none" w:sz="0" w:space="0" w:color="auto"/>
        <w:left w:val="none" w:sz="0" w:space="0" w:color="auto"/>
        <w:bottom w:val="none" w:sz="0" w:space="0" w:color="auto"/>
        <w:right w:val="none" w:sz="0" w:space="0" w:color="auto"/>
      </w:divBdr>
    </w:div>
    <w:div w:id="897976602">
      <w:bodyDiv w:val="1"/>
      <w:marLeft w:val="0"/>
      <w:marRight w:val="0"/>
      <w:marTop w:val="0"/>
      <w:marBottom w:val="0"/>
      <w:divBdr>
        <w:top w:val="none" w:sz="0" w:space="0" w:color="auto"/>
        <w:left w:val="none" w:sz="0" w:space="0" w:color="auto"/>
        <w:bottom w:val="none" w:sz="0" w:space="0" w:color="auto"/>
        <w:right w:val="none" w:sz="0" w:space="0" w:color="auto"/>
      </w:divBdr>
    </w:div>
    <w:div w:id="898904411">
      <w:bodyDiv w:val="1"/>
      <w:marLeft w:val="0"/>
      <w:marRight w:val="0"/>
      <w:marTop w:val="0"/>
      <w:marBottom w:val="0"/>
      <w:divBdr>
        <w:top w:val="none" w:sz="0" w:space="0" w:color="auto"/>
        <w:left w:val="none" w:sz="0" w:space="0" w:color="auto"/>
        <w:bottom w:val="none" w:sz="0" w:space="0" w:color="auto"/>
        <w:right w:val="none" w:sz="0" w:space="0" w:color="auto"/>
      </w:divBdr>
    </w:div>
    <w:div w:id="1030571923">
      <w:bodyDiv w:val="1"/>
      <w:marLeft w:val="0"/>
      <w:marRight w:val="0"/>
      <w:marTop w:val="0"/>
      <w:marBottom w:val="0"/>
      <w:divBdr>
        <w:top w:val="none" w:sz="0" w:space="0" w:color="auto"/>
        <w:left w:val="none" w:sz="0" w:space="0" w:color="auto"/>
        <w:bottom w:val="none" w:sz="0" w:space="0" w:color="auto"/>
        <w:right w:val="none" w:sz="0" w:space="0" w:color="auto"/>
      </w:divBdr>
    </w:div>
    <w:div w:id="1101022943">
      <w:bodyDiv w:val="1"/>
      <w:marLeft w:val="0"/>
      <w:marRight w:val="0"/>
      <w:marTop w:val="0"/>
      <w:marBottom w:val="0"/>
      <w:divBdr>
        <w:top w:val="none" w:sz="0" w:space="0" w:color="auto"/>
        <w:left w:val="none" w:sz="0" w:space="0" w:color="auto"/>
        <w:bottom w:val="none" w:sz="0" w:space="0" w:color="auto"/>
        <w:right w:val="none" w:sz="0" w:space="0" w:color="auto"/>
      </w:divBdr>
    </w:div>
    <w:div w:id="1120954361">
      <w:bodyDiv w:val="1"/>
      <w:marLeft w:val="0"/>
      <w:marRight w:val="0"/>
      <w:marTop w:val="0"/>
      <w:marBottom w:val="0"/>
      <w:divBdr>
        <w:top w:val="none" w:sz="0" w:space="0" w:color="auto"/>
        <w:left w:val="none" w:sz="0" w:space="0" w:color="auto"/>
        <w:bottom w:val="none" w:sz="0" w:space="0" w:color="auto"/>
        <w:right w:val="none" w:sz="0" w:space="0" w:color="auto"/>
      </w:divBdr>
    </w:div>
    <w:div w:id="1409231587">
      <w:bodyDiv w:val="1"/>
      <w:marLeft w:val="0"/>
      <w:marRight w:val="0"/>
      <w:marTop w:val="0"/>
      <w:marBottom w:val="0"/>
      <w:divBdr>
        <w:top w:val="none" w:sz="0" w:space="0" w:color="auto"/>
        <w:left w:val="none" w:sz="0" w:space="0" w:color="auto"/>
        <w:bottom w:val="none" w:sz="0" w:space="0" w:color="auto"/>
        <w:right w:val="none" w:sz="0" w:space="0" w:color="auto"/>
      </w:divBdr>
    </w:div>
    <w:div w:id="1441531242">
      <w:bodyDiv w:val="1"/>
      <w:marLeft w:val="0"/>
      <w:marRight w:val="0"/>
      <w:marTop w:val="0"/>
      <w:marBottom w:val="0"/>
      <w:divBdr>
        <w:top w:val="none" w:sz="0" w:space="0" w:color="auto"/>
        <w:left w:val="none" w:sz="0" w:space="0" w:color="auto"/>
        <w:bottom w:val="none" w:sz="0" w:space="0" w:color="auto"/>
        <w:right w:val="none" w:sz="0" w:space="0" w:color="auto"/>
      </w:divBdr>
    </w:div>
    <w:div w:id="1485855633">
      <w:bodyDiv w:val="1"/>
      <w:marLeft w:val="0"/>
      <w:marRight w:val="0"/>
      <w:marTop w:val="0"/>
      <w:marBottom w:val="0"/>
      <w:divBdr>
        <w:top w:val="none" w:sz="0" w:space="0" w:color="auto"/>
        <w:left w:val="none" w:sz="0" w:space="0" w:color="auto"/>
        <w:bottom w:val="none" w:sz="0" w:space="0" w:color="auto"/>
        <w:right w:val="none" w:sz="0" w:space="0" w:color="auto"/>
      </w:divBdr>
    </w:div>
    <w:div w:id="1569530224">
      <w:bodyDiv w:val="1"/>
      <w:marLeft w:val="0"/>
      <w:marRight w:val="0"/>
      <w:marTop w:val="0"/>
      <w:marBottom w:val="0"/>
      <w:divBdr>
        <w:top w:val="none" w:sz="0" w:space="0" w:color="auto"/>
        <w:left w:val="none" w:sz="0" w:space="0" w:color="auto"/>
        <w:bottom w:val="none" w:sz="0" w:space="0" w:color="auto"/>
        <w:right w:val="none" w:sz="0" w:space="0" w:color="auto"/>
      </w:divBdr>
    </w:div>
    <w:div w:id="1631669348">
      <w:bodyDiv w:val="1"/>
      <w:marLeft w:val="0"/>
      <w:marRight w:val="0"/>
      <w:marTop w:val="0"/>
      <w:marBottom w:val="0"/>
      <w:divBdr>
        <w:top w:val="none" w:sz="0" w:space="0" w:color="auto"/>
        <w:left w:val="none" w:sz="0" w:space="0" w:color="auto"/>
        <w:bottom w:val="none" w:sz="0" w:space="0" w:color="auto"/>
        <w:right w:val="none" w:sz="0" w:space="0" w:color="auto"/>
      </w:divBdr>
      <w:divsChild>
        <w:div w:id="1906529482">
          <w:marLeft w:val="0"/>
          <w:marRight w:val="0"/>
          <w:marTop w:val="150"/>
          <w:marBottom w:val="270"/>
          <w:divBdr>
            <w:top w:val="none" w:sz="0" w:space="0" w:color="auto"/>
            <w:left w:val="none" w:sz="0" w:space="0" w:color="auto"/>
            <w:bottom w:val="none" w:sz="0" w:space="0" w:color="auto"/>
            <w:right w:val="none" w:sz="0" w:space="0" w:color="auto"/>
          </w:divBdr>
        </w:div>
        <w:div w:id="1930188658">
          <w:marLeft w:val="0"/>
          <w:marRight w:val="0"/>
          <w:marTop w:val="150"/>
          <w:marBottom w:val="270"/>
          <w:divBdr>
            <w:top w:val="none" w:sz="0" w:space="0" w:color="auto"/>
            <w:left w:val="none" w:sz="0" w:space="0" w:color="auto"/>
            <w:bottom w:val="none" w:sz="0" w:space="0" w:color="auto"/>
            <w:right w:val="none" w:sz="0" w:space="0" w:color="auto"/>
          </w:divBdr>
        </w:div>
      </w:divsChild>
    </w:div>
    <w:div w:id="1684937806">
      <w:bodyDiv w:val="1"/>
      <w:marLeft w:val="0"/>
      <w:marRight w:val="0"/>
      <w:marTop w:val="0"/>
      <w:marBottom w:val="0"/>
      <w:divBdr>
        <w:top w:val="none" w:sz="0" w:space="0" w:color="auto"/>
        <w:left w:val="none" w:sz="0" w:space="0" w:color="auto"/>
        <w:bottom w:val="none" w:sz="0" w:space="0" w:color="auto"/>
        <w:right w:val="none" w:sz="0" w:space="0" w:color="auto"/>
      </w:divBdr>
    </w:div>
    <w:div w:id="20444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i.org/10.5255/UKDA-SN-791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ynch@keel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10" ma:contentTypeDescription="Create a new document." ma:contentTypeScope="" ma:versionID="76d7d8987e66dbea7cb5be77ae25d2f4">
  <xsd:schema xmlns:xsd="http://www.w3.org/2001/XMLSchema" xmlns:xs="http://www.w3.org/2001/XMLSchema" xmlns:p="http://schemas.microsoft.com/office/2006/metadata/properties" xmlns:ns3="1ff86b73-d2ed-45d1-9e31-5b4a0d263f49" targetNamespace="http://schemas.microsoft.com/office/2006/metadata/properties" ma:root="true" ma:fieldsID="6f8a67ae0c3da9a830d4699dc50c170f" ns3:_="">
    <xsd:import namespace="1ff86b73-d2ed-45d1-9e31-5b4a0d263f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6B70B-EFCA-443D-A5BA-B6DA0A6F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6b73-d2ed-45d1-9e31-5b4a0d26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D85D2-A2C3-4F73-8D43-AD1BE6E16618}">
  <ds:schemaRefs>
    <ds:schemaRef ds:uri="http://schemas.microsoft.com/sharepoint/v3/contenttype/forms"/>
  </ds:schemaRefs>
</ds:datastoreItem>
</file>

<file path=customXml/itemProps3.xml><?xml version="1.0" encoding="utf-8"?>
<ds:datastoreItem xmlns:ds="http://schemas.openxmlformats.org/officeDocument/2006/customXml" ds:itemID="{8FE447B9-0D0B-432A-B311-BB68BD500F9E}">
  <ds:schemaRefs>
    <ds:schemaRef ds:uri="http://schemas.openxmlformats.org/officeDocument/2006/bibliography"/>
  </ds:schemaRefs>
</ds:datastoreItem>
</file>

<file path=customXml/itemProps4.xml><?xml version="1.0" encoding="utf-8"?>
<ds:datastoreItem xmlns:ds="http://schemas.openxmlformats.org/officeDocument/2006/customXml" ds:itemID="{4D3D840E-0930-419B-B796-602729FB1B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6488</Words>
  <Characters>36983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dc:creator>
  <cp:keywords/>
  <dc:description/>
  <cp:lastModifiedBy>Marty Lynch</cp:lastModifiedBy>
  <cp:revision>13</cp:revision>
  <cp:lastPrinted>2021-02-24T16:41:00Z</cp:lastPrinted>
  <dcterms:created xsi:type="dcterms:W3CDTF">2021-11-25T14:39:00Z</dcterms:created>
  <dcterms:modified xsi:type="dcterms:W3CDTF">2021-11-25T15:30:00Z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