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430EC" w14:textId="77777777" w:rsidR="008203C4" w:rsidRPr="00F10D53" w:rsidRDefault="008203C4" w:rsidP="008203C4">
      <w:pPr>
        <w:rPr>
          <w:rFonts w:cstheme="minorHAnsi"/>
          <w:b/>
        </w:rPr>
      </w:pPr>
      <w:r>
        <w:rPr>
          <w:b/>
        </w:rPr>
        <w:t xml:space="preserve">Supporting patients to get the best from their osteoporosis treatment: a rapid </w:t>
      </w:r>
      <w:r w:rsidRPr="00F10D53">
        <w:rPr>
          <w:rFonts w:cstheme="minorHAnsi"/>
          <w:b/>
        </w:rPr>
        <w:t xml:space="preserve">realist review </w:t>
      </w:r>
      <w:r w:rsidRPr="00F10D53">
        <w:rPr>
          <w:rFonts w:cstheme="minorHAnsi"/>
          <w:b/>
          <w:color w:val="000000"/>
          <w:shd w:val="clear" w:color="auto" w:fill="FFFFFF"/>
        </w:rPr>
        <w:t>of what works, for whom, and in what circumstance.</w:t>
      </w:r>
    </w:p>
    <w:p w14:paraId="57C636E1" w14:textId="77777777" w:rsidR="008203C4" w:rsidRDefault="008203C4" w:rsidP="00681E23"/>
    <w:p w14:paraId="2DF7C253" w14:textId="18503321" w:rsidR="00681E23" w:rsidRDefault="00681E23" w:rsidP="00681E23">
      <w:r w:rsidRPr="00E05610">
        <w:t>Zoe Paskins</w:t>
      </w:r>
      <w:r w:rsidRPr="00AB4FC4">
        <w:rPr>
          <w:vertAlign w:val="superscript"/>
        </w:rPr>
        <w:t>1,2</w:t>
      </w:r>
      <w:r w:rsidRPr="00E05610">
        <w:t xml:space="preserve">, </w:t>
      </w:r>
      <w:proofErr w:type="spellStart"/>
      <w:r>
        <w:t>Opeyemi</w:t>
      </w:r>
      <w:proofErr w:type="spellEnd"/>
      <w:r>
        <w:t xml:space="preserve"> Babatunde</w:t>
      </w:r>
      <w:r w:rsidRPr="00AB4FC4">
        <w:rPr>
          <w:vertAlign w:val="superscript"/>
        </w:rPr>
        <w:t>1</w:t>
      </w:r>
      <w:r>
        <w:t>, Andrew Sturrock</w:t>
      </w:r>
      <w:r w:rsidRPr="00AB4FC4">
        <w:rPr>
          <w:vertAlign w:val="superscript"/>
        </w:rPr>
        <w:t>3</w:t>
      </w:r>
      <w:r>
        <w:t xml:space="preserve">, Li </w:t>
      </w:r>
      <w:proofErr w:type="spellStart"/>
      <w:r>
        <w:t>Shean</w:t>
      </w:r>
      <w:proofErr w:type="spellEnd"/>
      <w:r>
        <w:t xml:space="preserve"> Toh</w:t>
      </w:r>
      <w:r w:rsidRPr="00AB4FC4">
        <w:rPr>
          <w:vertAlign w:val="superscript"/>
        </w:rPr>
        <w:t>4</w:t>
      </w:r>
      <w:r w:rsidRPr="00E05610">
        <w:t>,</w:t>
      </w:r>
      <w:r>
        <w:t xml:space="preserve"> </w:t>
      </w:r>
      <w:r w:rsidRPr="00E05610">
        <w:t>Rob Horne</w:t>
      </w:r>
      <w:r w:rsidRPr="00AB4FC4">
        <w:rPr>
          <w:vertAlign w:val="superscript"/>
        </w:rPr>
        <w:t>5</w:t>
      </w:r>
      <w:r>
        <w:t xml:space="preserve">, Ian </w:t>
      </w:r>
      <w:r w:rsidRPr="00CB5524">
        <w:t>Maidment</w:t>
      </w:r>
      <w:r w:rsidRPr="00CB5524">
        <w:rPr>
          <w:vertAlign w:val="superscript"/>
        </w:rPr>
        <w:t>6</w:t>
      </w:r>
      <w:r>
        <w:t>, o</w:t>
      </w:r>
      <w:r w:rsidRPr="00CB5524">
        <w:t>n</w:t>
      </w:r>
      <w:r>
        <w:t xml:space="preserve"> behalf of the Effectiveness Working Group of the Royal Osteoporosis Society Osteoporosis and Bone Research Academy</w:t>
      </w:r>
    </w:p>
    <w:p w14:paraId="14E6BEE6" w14:textId="77777777" w:rsidR="00681E23" w:rsidRPr="00D20D0E" w:rsidRDefault="00681E23" w:rsidP="00681E23">
      <w:pPr>
        <w:pStyle w:val="ListParagraph"/>
        <w:numPr>
          <w:ilvl w:val="0"/>
          <w:numId w:val="14"/>
        </w:numPr>
      </w:pPr>
      <w:r w:rsidRPr="00D20D0E">
        <w:t xml:space="preserve">School of Medicine, </w:t>
      </w:r>
      <w:proofErr w:type="spellStart"/>
      <w:r w:rsidRPr="00D20D0E">
        <w:t>Keele</w:t>
      </w:r>
      <w:proofErr w:type="spellEnd"/>
      <w:r w:rsidRPr="00D20D0E">
        <w:t xml:space="preserve"> University</w:t>
      </w:r>
      <w:r>
        <w:t>, UK</w:t>
      </w:r>
    </w:p>
    <w:p w14:paraId="733641BD" w14:textId="77777777" w:rsidR="00681E23" w:rsidRPr="00D20D0E" w:rsidRDefault="00681E23" w:rsidP="00681E23">
      <w:pPr>
        <w:pStyle w:val="ListParagraph"/>
        <w:numPr>
          <w:ilvl w:val="0"/>
          <w:numId w:val="14"/>
        </w:numPr>
      </w:pPr>
      <w:r w:rsidRPr="00D20D0E">
        <w:t xml:space="preserve">Haywood Academic Rheumatology Centre, Stoke-on-Trent, Staffordshire, UK. </w:t>
      </w:r>
    </w:p>
    <w:p w14:paraId="0384D4BE" w14:textId="77777777" w:rsidR="00681E23" w:rsidRPr="00D20D0E" w:rsidRDefault="00681E23" w:rsidP="00681E23">
      <w:pPr>
        <w:pStyle w:val="ListParagraph"/>
        <w:numPr>
          <w:ilvl w:val="0"/>
          <w:numId w:val="14"/>
        </w:numPr>
      </w:pPr>
      <w:r w:rsidRPr="00D20D0E">
        <w:t>School of Pharmacy and Pharmaceutical Sciences, University of Sunderland</w:t>
      </w:r>
      <w:r>
        <w:t>, UK</w:t>
      </w:r>
    </w:p>
    <w:p w14:paraId="19E231DA" w14:textId="77777777" w:rsidR="00681E23" w:rsidRPr="00D20D0E" w:rsidRDefault="00681E23" w:rsidP="00681E23">
      <w:pPr>
        <w:pStyle w:val="ListParagraph"/>
        <w:numPr>
          <w:ilvl w:val="0"/>
          <w:numId w:val="14"/>
        </w:numPr>
      </w:pPr>
      <w:r w:rsidRPr="00D20D0E">
        <w:t>Division of Pharmacy Practice and Policy, School of Pharmacy University of Nottingham, Nottingham, UK</w:t>
      </w:r>
    </w:p>
    <w:p w14:paraId="159F2DD9" w14:textId="77777777" w:rsidR="00681E23" w:rsidRPr="00D20D0E" w:rsidRDefault="00681E23" w:rsidP="00681E23">
      <w:pPr>
        <w:pStyle w:val="ListParagraph"/>
        <w:numPr>
          <w:ilvl w:val="0"/>
          <w:numId w:val="14"/>
        </w:numPr>
      </w:pPr>
      <w:r>
        <w:t>Centre for Behavioural Medicine, UCL School of Pharmacy, University College London, London, UK</w:t>
      </w:r>
    </w:p>
    <w:p w14:paraId="16AE9369" w14:textId="71D3594C" w:rsidR="00681E23" w:rsidRDefault="00681E23" w:rsidP="00681E23">
      <w:pPr>
        <w:pStyle w:val="ListParagraph"/>
        <w:numPr>
          <w:ilvl w:val="0"/>
          <w:numId w:val="14"/>
        </w:numPr>
      </w:pPr>
      <w:r w:rsidRPr="00D20D0E">
        <w:t>Clinical Pharmacy, Aston University, Birmingham, UK</w:t>
      </w:r>
    </w:p>
    <w:p w14:paraId="5415A089" w14:textId="41049CAB" w:rsidR="00681E23" w:rsidRDefault="00681E23" w:rsidP="00681E23">
      <w:r>
        <w:t>Corresponding author</w:t>
      </w:r>
    </w:p>
    <w:p w14:paraId="68FB1732" w14:textId="03E090D1" w:rsidR="00681E23" w:rsidRDefault="006D21DA" w:rsidP="00681E23">
      <w:hyperlink r:id="rId8" w:history="1">
        <w:r w:rsidR="00681E23" w:rsidRPr="000A021D">
          <w:rPr>
            <w:rStyle w:val="Hyperlink"/>
          </w:rPr>
          <w:t>z.paskins@keele.ac.uk</w:t>
        </w:r>
      </w:hyperlink>
    </w:p>
    <w:p w14:paraId="473A34DE" w14:textId="0509F370" w:rsidR="00681E23" w:rsidRDefault="00F355AF" w:rsidP="00681E23">
      <w:proofErr w:type="spellStart"/>
      <w:r>
        <w:rPr>
          <w:rFonts w:cs="Times New Roman"/>
          <w:sz w:val="20"/>
          <w:szCs w:val="20"/>
        </w:rPr>
        <w:t>ORCiD</w:t>
      </w:r>
      <w:proofErr w:type="spellEnd"/>
      <w:r>
        <w:rPr>
          <w:rFonts w:cs="Times New Roman"/>
          <w:sz w:val="20"/>
          <w:szCs w:val="20"/>
        </w:rPr>
        <w:t xml:space="preserve"> </w:t>
      </w:r>
      <w:r w:rsidRPr="00CD4BCB">
        <w:rPr>
          <w:rFonts w:cs="Times New Roman"/>
          <w:sz w:val="20"/>
          <w:szCs w:val="20"/>
        </w:rPr>
        <w:t>0000-0002-7783-2986</w:t>
      </w:r>
    </w:p>
    <w:p w14:paraId="1CFD2A63" w14:textId="77777777" w:rsidR="00A20911" w:rsidRPr="0096431A" w:rsidRDefault="00A20911" w:rsidP="00A20911">
      <w:pPr>
        <w:rPr>
          <w:b/>
          <w:bCs/>
        </w:rPr>
      </w:pPr>
      <w:r w:rsidRPr="0096431A">
        <w:rPr>
          <w:b/>
          <w:bCs/>
        </w:rPr>
        <w:t>Acknowledgements</w:t>
      </w:r>
    </w:p>
    <w:p w14:paraId="374FCDC4" w14:textId="77777777" w:rsidR="00A20911" w:rsidRDefault="00A20911" w:rsidP="00A20911">
      <w:r>
        <w:t xml:space="preserve">This Rapid Realist Review was commissioned by the Effectiveness Working Group of the Royal Osteoporosis Society Osteoporosis and Bone Research Academy, to inform the Society’s 2020 Research Road Map and Cure Strategy. </w:t>
      </w:r>
      <w:r>
        <w:rPr>
          <w:rFonts w:cstheme="minorHAnsi"/>
        </w:rPr>
        <w:t xml:space="preserve">The authors acknowledge the assistance of </w:t>
      </w:r>
      <w:r w:rsidRPr="002F4AAE">
        <w:rPr>
          <w:rFonts w:cstheme="minorHAnsi"/>
        </w:rPr>
        <w:t>Dr Lizzie Cottrell and Dr John Edwards</w:t>
      </w:r>
      <w:r>
        <w:rPr>
          <w:rFonts w:cstheme="minorHAnsi"/>
        </w:rPr>
        <w:t xml:space="preserve"> in initial protocol writing and </w:t>
      </w:r>
      <w:r>
        <w:t xml:space="preserve">Sally Lawson, in protocol and early analysis. The authors are grateful to Caroline </w:t>
      </w:r>
      <w:proofErr w:type="spellStart"/>
      <w:r>
        <w:t>Sangan</w:t>
      </w:r>
      <w:proofErr w:type="spellEnd"/>
      <w:r>
        <w:t xml:space="preserve">, Belinda Thompson and Francesca Thompson for their assistance in convening the Working Group, whose scientific membership </w:t>
      </w:r>
      <w:proofErr w:type="gramStart"/>
      <w:r>
        <w:t>comprises:</w:t>
      </w:r>
      <w:proofErr w:type="gramEnd"/>
      <w:r>
        <w:t xml:space="preserve"> Prof Eugene McCloskey (Chair); Dr Zoe Paskins (Vice-Chair); Prof David Armstrong; Dr Elizabeth Curtis; Dr John Edwards; Dr </w:t>
      </w:r>
      <w:proofErr w:type="spellStart"/>
      <w:r>
        <w:t>Kassim</w:t>
      </w:r>
      <w:proofErr w:type="spellEnd"/>
      <w:r>
        <w:t xml:space="preserve"> Javaid; Prof Thomas Hill; Prof Terry O’Neill; Prof Michael Stone; Dr Jennifer Walsh; Ms Janice McKinley; Ms Corinne Turnbull. In addition, we would like to acknowledge the support of other members of the Royal Osteoporosis Society Osteoporosis and Bone Research Academy: Professor Juliet </w:t>
      </w:r>
      <w:proofErr w:type="spellStart"/>
      <w:r>
        <w:t>Compston</w:t>
      </w:r>
      <w:proofErr w:type="spellEnd"/>
      <w:r>
        <w:t xml:space="preserve"> (Chair); Professor Nick Harvey (Vice-Chair); Professor David Reid (Senior Medical Advisor); Nic Vine (Patient Advocate); and Mary Bishop (Patient Advocate).</w:t>
      </w:r>
    </w:p>
    <w:p w14:paraId="357CFEF9" w14:textId="77777777" w:rsidR="004C75FC" w:rsidRDefault="004C75FC" w:rsidP="00F06231">
      <w:pPr>
        <w:rPr>
          <w:b/>
          <w:bCs/>
        </w:rPr>
      </w:pPr>
      <w:r>
        <w:rPr>
          <w:b/>
          <w:bCs/>
        </w:rPr>
        <w:br w:type="page"/>
      </w:r>
    </w:p>
    <w:p w14:paraId="05CB5A44" w14:textId="32605A82" w:rsidR="003122D9" w:rsidRPr="00171CDD" w:rsidRDefault="00D51BA7" w:rsidP="00F06231">
      <w:pPr>
        <w:rPr>
          <w:b/>
          <w:bCs/>
        </w:rPr>
      </w:pPr>
      <w:r w:rsidRPr="00171CDD">
        <w:rPr>
          <w:b/>
          <w:bCs/>
        </w:rPr>
        <w:lastRenderedPageBreak/>
        <w:t>Abstract</w:t>
      </w:r>
      <w:r w:rsidR="004B3BB0">
        <w:rPr>
          <w:b/>
          <w:bCs/>
        </w:rPr>
        <w:t xml:space="preserve"> </w:t>
      </w:r>
    </w:p>
    <w:p w14:paraId="45BF98E9" w14:textId="6F45D01B" w:rsidR="00AD484D" w:rsidRPr="00DB1C78" w:rsidRDefault="008A2F40" w:rsidP="00AD484D">
      <w:r>
        <w:rPr>
          <w:b/>
          <w:bCs/>
        </w:rPr>
        <w:t>Pu</w:t>
      </w:r>
      <w:r w:rsidR="008203C4">
        <w:rPr>
          <w:b/>
          <w:bCs/>
        </w:rPr>
        <w:t>r</w:t>
      </w:r>
      <w:r>
        <w:rPr>
          <w:b/>
          <w:bCs/>
        </w:rPr>
        <w:t>pose</w:t>
      </w:r>
      <w:r w:rsidR="00D827BE" w:rsidRPr="002E530B">
        <w:rPr>
          <w:b/>
          <w:bCs/>
        </w:rPr>
        <w:t>:</w:t>
      </w:r>
      <w:r w:rsidR="00AD484D" w:rsidRPr="00DB1C78">
        <w:t xml:space="preserve"> </w:t>
      </w:r>
      <w:r w:rsidR="00143584">
        <w:t xml:space="preserve">In people with osteoporosis, </w:t>
      </w:r>
      <w:r w:rsidR="005077DA">
        <w:t>adherence to medicines is poorer than other diseases and patients report follow up is lacking</w:t>
      </w:r>
      <w:r w:rsidR="003663E5">
        <w:t xml:space="preserve">, </w:t>
      </w:r>
      <w:r w:rsidR="005077DA">
        <w:t>and m</w:t>
      </w:r>
      <w:r w:rsidR="003663E5">
        <w:t>ultiple unmet information needs.</w:t>
      </w:r>
      <w:r w:rsidR="00CA507A">
        <w:t xml:space="preserve"> </w:t>
      </w:r>
      <w:r w:rsidR="003663E5">
        <w:t xml:space="preserve">We </w:t>
      </w:r>
      <w:r w:rsidR="00D11DB1">
        <w:t xml:space="preserve">conducted a rapid realist review </w:t>
      </w:r>
      <w:r w:rsidR="003663E5">
        <w:t>to</w:t>
      </w:r>
      <w:r w:rsidR="000279BC" w:rsidRPr="00DB1C78">
        <w:t xml:space="preserve"> understand what </w:t>
      </w:r>
      <w:r w:rsidR="00D43601">
        <w:t xml:space="preserve">contextual conditions and </w:t>
      </w:r>
      <w:r w:rsidR="000279BC" w:rsidRPr="00DB1C78">
        <w:t xml:space="preserve">mechanisms enable interventions to support osteoporosis medication optimisation. </w:t>
      </w:r>
    </w:p>
    <w:p w14:paraId="2CAFEDB4" w14:textId="2460C808" w:rsidR="00D827BE" w:rsidRDefault="00D827BE" w:rsidP="00D827BE">
      <w:r w:rsidRPr="002E530B">
        <w:rPr>
          <w:b/>
          <w:bCs/>
        </w:rPr>
        <w:t xml:space="preserve">Methods: </w:t>
      </w:r>
      <w:r w:rsidR="00D11DB1">
        <w:t>A</w:t>
      </w:r>
      <w:r w:rsidRPr="00DB1C78">
        <w:rPr>
          <w:rFonts w:cstheme="minorHAnsi"/>
          <w:color w:val="333333"/>
          <w:shd w:val="clear" w:color="auto" w:fill="FFFFFF"/>
        </w:rPr>
        <w:t xml:space="preserve"> primary search identified observational or interventional studies which aimed to improve medicines adherence or optimisation</w:t>
      </w:r>
      <w:r w:rsidR="00D11DB1">
        <w:rPr>
          <w:rFonts w:cstheme="minorHAnsi"/>
        </w:rPr>
        <w:t xml:space="preserve">; </w:t>
      </w:r>
      <w:r w:rsidR="00D11DB1">
        <w:rPr>
          <w:rFonts w:cstheme="minorHAnsi"/>
          <w:color w:val="333333"/>
          <w:shd w:val="clear" w:color="auto" w:fill="FFFFFF"/>
        </w:rPr>
        <w:t>a</w:t>
      </w:r>
      <w:r w:rsidR="00D11DB1" w:rsidRPr="00DB1C78">
        <w:rPr>
          <w:rFonts w:cstheme="minorHAnsi"/>
          <w:color w:val="333333"/>
          <w:shd w:val="clear" w:color="auto" w:fill="FFFFFF"/>
        </w:rPr>
        <w:t xml:space="preserve"> </w:t>
      </w:r>
      <w:r w:rsidRPr="00DB1C78">
        <w:rPr>
          <w:rFonts w:cstheme="minorHAnsi"/>
          <w:color w:val="333333"/>
          <w:shd w:val="clear" w:color="auto" w:fill="FFFFFF"/>
        </w:rPr>
        <w:t xml:space="preserve">supplementary second search </w:t>
      </w:r>
      <w:r w:rsidR="008A0674">
        <w:rPr>
          <w:rFonts w:cstheme="minorHAnsi"/>
          <w:color w:val="333333"/>
          <w:shd w:val="clear" w:color="auto" w:fill="FFFFFF"/>
        </w:rPr>
        <w:t>identified</w:t>
      </w:r>
      <w:r w:rsidR="007F6F59">
        <w:rPr>
          <w:rFonts w:cstheme="minorHAnsi"/>
          <w:color w:val="333333"/>
          <w:shd w:val="clear" w:color="auto" w:fill="FFFFFF"/>
        </w:rPr>
        <w:t xml:space="preserve"> research of any design </w:t>
      </w:r>
      <w:r w:rsidRPr="00DB1C78">
        <w:rPr>
          <w:rFonts w:cstheme="minorHAnsi"/>
          <w:color w:val="333333"/>
          <w:shd w:val="clear" w:color="auto" w:fill="FFFFFF"/>
        </w:rPr>
        <w:t>to gain additional insight</w:t>
      </w:r>
      <w:r w:rsidR="007F6F59">
        <w:rPr>
          <w:rFonts w:cstheme="minorHAnsi"/>
          <w:color w:val="333333"/>
          <w:shd w:val="clear" w:color="auto" w:fill="FFFFFF"/>
        </w:rPr>
        <w:t>s</w:t>
      </w:r>
      <w:r w:rsidR="008A25A4">
        <w:rPr>
          <w:rFonts w:cstheme="minorHAnsi"/>
          <w:color w:val="333333"/>
          <w:shd w:val="clear" w:color="auto" w:fill="FFFFFF"/>
        </w:rPr>
        <w:t xml:space="preserve"> on emerging findings</w:t>
      </w:r>
      <w:r w:rsidRPr="00DB1C78">
        <w:rPr>
          <w:rFonts w:cstheme="minorHAnsi"/>
          <w:color w:val="333333"/>
          <w:shd w:val="clear" w:color="auto" w:fill="FFFFFF"/>
        </w:rPr>
        <w:t>.</w:t>
      </w:r>
      <w:r>
        <w:rPr>
          <w:b/>
          <w:bCs/>
        </w:rPr>
        <w:t xml:space="preserve"> </w:t>
      </w:r>
      <w:r w:rsidRPr="00DB1C78">
        <w:t xml:space="preserve">Extracted data was interrogated for patterns of context-mechanism-outcome configurations, further discussed in team meetings, informed by background literature and the Practicalities and Perception Approach as an underpinning conceptual framework. </w:t>
      </w:r>
    </w:p>
    <w:p w14:paraId="189B540C" w14:textId="63BB327F" w:rsidR="00DF7EAC" w:rsidRDefault="00D546C0" w:rsidP="00DF7EAC">
      <w:r w:rsidRPr="00DB1C78">
        <w:rPr>
          <w:b/>
          <w:bCs/>
        </w:rPr>
        <w:t>Results</w:t>
      </w:r>
      <w:r w:rsidR="00AD484D" w:rsidRPr="00DB1C78">
        <w:t xml:space="preserve">: </w:t>
      </w:r>
      <w:r w:rsidR="00997324" w:rsidRPr="00DB1C78">
        <w:t xml:space="preserve">We identified </w:t>
      </w:r>
      <w:r w:rsidR="00215E58">
        <w:t>5</w:t>
      </w:r>
      <w:r w:rsidR="00D50474" w:rsidRPr="00DB1C78">
        <w:t xml:space="preserve"> contextual timepoints for the person with osteoporosis (identifying a problem; starting medicin</w:t>
      </w:r>
      <w:r w:rsidR="00AB1574">
        <w:t>e;</w:t>
      </w:r>
      <w:r w:rsidR="00D50474" w:rsidRPr="00DB1C78">
        <w:t xml:space="preserve"> continuing medicine) and the practitioner and healthcare system (making a diagnosis and giving a treatment recommendation</w:t>
      </w:r>
      <w:r w:rsidR="00AB1574">
        <w:t>;</w:t>
      </w:r>
      <w:r w:rsidR="003A50FB" w:rsidRPr="00DB1C78">
        <w:t xml:space="preserve"> reviewing medicine). </w:t>
      </w:r>
      <w:r w:rsidR="000D1D64" w:rsidRPr="00DB1C78">
        <w:t>Interventions which support</w:t>
      </w:r>
      <w:r w:rsidR="000D1D64">
        <w:t xml:space="preserve"> patient informed</w:t>
      </w:r>
      <w:r w:rsidR="000D1D64" w:rsidRPr="00DB1C78">
        <w:t xml:space="preserve"> decision making </w:t>
      </w:r>
      <w:r w:rsidR="000D1D64">
        <w:t>appear</w:t>
      </w:r>
      <w:r w:rsidR="000D1D64" w:rsidRPr="00DB1C78">
        <w:t xml:space="preserve"> to influence long-term commitment to treatment</w:t>
      </w:r>
      <w:r w:rsidR="000D1D64">
        <w:rPr>
          <w:rFonts w:ascii="Calibri" w:hAnsi="Calibri" w:cs="Calibri"/>
          <w:color w:val="000000"/>
          <w:shd w:val="clear" w:color="auto" w:fill="FFFFFF"/>
        </w:rPr>
        <w:t xml:space="preserve">. </w:t>
      </w:r>
      <w:r w:rsidR="00D14707" w:rsidRPr="002E530B">
        <w:t xml:space="preserve">Supporting patients’ </w:t>
      </w:r>
      <w:r w:rsidR="00D14707">
        <w:t xml:space="preserve">practical </w:t>
      </w:r>
      <w:r w:rsidR="00D14707" w:rsidRPr="002E530B">
        <w:t>ability to adhere (</w:t>
      </w:r>
      <w:r w:rsidR="00D14707" w:rsidRPr="00AB1574">
        <w:t>e</w:t>
      </w:r>
      <w:r w:rsidR="00D14707">
        <w:t>.</w:t>
      </w:r>
      <w:r w:rsidR="00D14707" w:rsidRPr="00AB1574">
        <w:t>g</w:t>
      </w:r>
      <w:r w:rsidR="00D14707">
        <w:t>.,</w:t>
      </w:r>
      <w:r w:rsidR="00D14707" w:rsidRPr="002E530B">
        <w:t xml:space="preserve"> by lowering treatment burden and issuing reminders) </w:t>
      </w:r>
      <w:r w:rsidR="00D14707">
        <w:t xml:space="preserve">only </w:t>
      </w:r>
      <w:r w:rsidR="00D14707" w:rsidRPr="002E530B">
        <w:t>appears to be helpful, when combined with other approaches to address patient beliefs and concerns</w:t>
      </w:r>
      <w:r w:rsidR="00D14707">
        <w:t xml:space="preserve">. </w:t>
      </w:r>
      <w:r w:rsidR="000D1D64">
        <w:t>However,</w:t>
      </w:r>
      <w:r w:rsidR="000D1D64" w:rsidRPr="002E530B">
        <w:t xml:space="preserve"> few </w:t>
      </w:r>
      <w:r w:rsidR="000D1D64" w:rsidRPr="009A4076">
        <w:t>studies</w:t>
      </w:r>
      <w:r w:rsidR="000D1D64">
        <w:t xml:space="preserve"> e</w:t>
      </w:r>
      <w:r w:rsidR="000D1D64" w:rsidRPr="009A4076">
        <w:t>xplicitly addressed patients’ perceptions of illness and treatm</w:t>
      </w:r>
      <w:r w:rsidR="000D1D64" w:rsidRPr="002E530B">
        <w:t>ent</w:t>
      </w:r>
      <w:r w:rsidR="000D1D64" w:rsidRPr="00DB1C78">
        <w:t>.</w:t>
      </w:r>
      <w:r w:rsidR="000D1D64">
        <w:t xml:space="preserve"> </w:t>
      </w:r>
      <w:r w:rsidR="00DF7EAC" w:rsidRPr="00DB1C78">
        <w:t>Supporting primary care clinician decision making and integration of primary and secondary care services also appears to be important, in improving rates of treatment initiation and adherence.</w:t>
      </w:r>
    </w:p>
    <w:p w14:paraId="19F410BA" w14:textId="1510D206" w:rsidR="00DF7EAC" w:rsidRDefault="00DF7EAC" w:rsidP="00DF7EAC">
      <w:r w:rsidRPr="00DB1C78">
        <w:rPr>
          <w:b/>
          <w:bCs/>
        </w:rPr>
        <w:t>Conclusions:</w:t>
      </w:r>
      <w:r w:rsidDel="00892EDA">
        <w:t xml:space="preserve"> </w:t>
      </w:r>
      <w:r w:rsidR="00291FC2">
        <w:t>W</w:t>
      </w:r>
      <w:r w:rsidRPr="000B4DE7">
        <w:t>e identified a need for further research to</w:t>
      </w:r>
      <w:r>
        <w:t xml:space="preserve"> identify a sustainable, integrated, patient-centred, cost and clinically effective model of long-term care for people with osteoporosis</w:t>
      </w:r>
      <w:r w:rsidR="00AB1574">
        <w:t>.</w:t>
      </w:r>
    </w:p>
    <w:p w14:paraId="4EFCBF3F" w14:textId="77777777" w:rsidR="00410922" w:rsidRDefault="00410922" w:rsidP="00DF7EAC"/>
    <w:p w14:paraId="6258EBB8" w14:textId="77777777" w:rsidR="00410922" w:rsidRDefault="00410922" w:rsidP="00DF7EAC"/>
    <w:p w14:paraId="5C9295E5" w14:textId="1E136510" w:rsidR="00410922" w:rsidRDefault="00853944" w:rsidP="00410922">
      <w:r>
        <w:rPr>
          <w:b/>
          <w:bCs/>
        </w:rPr>
        <w:t xml:space="preserve">Mini </w:t>
      </w:r>
      <w:proofErr w:type="gramStart"/>
      <w:r>
        <w:rPr>
          <w:b/>
          <w:bCs/>
        </w:rPr>
        <w:t xml:space="preserve">abstract </w:t>
      </w:r>
      <w:r w:rsidR="00410922">
        <w:t xml:space="preserve"> –</w:t>
      </w:r>
      <w:proofErr w:type="gramEnd"/>
      <w:r w:rsidR="00410922">
        <w:t xml:space="preserve"> </w:t>
      </w:r>
      <w:r w:rsidR="00AA2CFC">
        <w:t xml:space="preserve">Systematic reviews </w:t>
      </w:r>
      <w:r w:rsidR="00625BBD">
        <w:t>that exa</w:t>
      </w:r>
      <w:r w:rsidR="002912F4">
        <w:t>mine</w:t>
      </w:r>
      <w:r w:rsidR="00AA2CFC">
        <w:t xml:space="preserve"> effectiveness of interventions to improve </w:t>
      </w:r>
      <w:r w:rsidR="001F25DC">
        <w:t>medicines optimisation</w:t>
      </w:r>
      <w:r w:rsidR="00AA2CFC">
        <w:t xml:space="preserve"> </w:t>
      </w:r>
      <w:r w:rsidR="002912F4">
        <w:t>do not explain how or why they work</w:t>
      </w:r>
      <w:r w:rsidR="00F919D1">
        <w:t xml:space="preserve">. </w:t>
      </w:r>
      <w:r w:rsidR="00F919D1" w:rsidRPr="00CD4601">
        <w:t xml:space="preserve"> </w:t>
      </w:r>
      <w:r w:rsidR="002912F4">
        <w:t xml:space="preserve">This realist review identified interventions which </w:t>
      </w:r>
      <w:r w:rsidR="00542274">
        <w:t xml:space="preserve">optimise medicines optimisation in osteoporosis </w:t>
      </w:r>
      <w:r w:rsidR="002912F4">
        <w:t xml:space="preserve">include opportunities to </w:t>
      </w:r>
      <w:r w:rsidR="002912F4" w:rsidRPr="009A4076">
        <w:t>address patients’ perceptions of illness and treatm</w:t>
      </w:r>
      <w:r w:rsidR="002912F4" w:rsidRPr="002E530B">
        <w:t>ent</w:t>
      </w:r>
      <w:r w:rsidR="002912F4">
        <w:t xml:space="preserve"> </w:t>
      </w:r>
      <w:r w:rsidR="00542274">
        <w:t>and/or</w:t>
      </w:r>
      <w:r w:rsidR="00015238">
        <w:t xml:space="preserve"> support primary care clinician decision making</w:t>
      </w:r>
      <w:r w:rsidR="0083368F">
        <w:t>.</w:t>
      </w:r>
    </w:p>
    <w:p w14:paraId="4DC2C560" w14:textId="0FB0CD1F" w:rsidR="007C0BC9" w:rsidRDefault="00DF7EAC" w:rsidP="00410922">
      <w:r>
        <w:br w:type="page"/>
      </w:r>
    </w:p>
    <w:p w14:paraId="77BB8E73" w14:textId="4A2A2463" w:rsidR="00874369" w:rsidRPr="00874369" w:rsidRDefault="00874369" w:rsidP="00D51BA7">
      <w:pPr>
        <w:rPr>
          <w:b/>
          <w:bCs/>
        </w:rPr>
      </w:pPr>
      <w:r w:rsidRPr="00874369">
        <w:rPr>
          <w:b/>
          <w:bCs/>
        </w:rPr>
        <w:lastRenderedPageBreak/>
        <w:t>Introduction</w:t>
      </w:r>
    </w:p>
    <w:p w14:paraId="25FF117A" w14:textId="53E0E3FE" w:rsidR="00FF4531" w:rsidRDefault="00C448EC" w:rsidP="00FF4531">
      <w:r>
        <w:t>Osteoporosis</w:t>
      </w:r>
      <w:r w:rsidR="00EE30F0">
        <w:t>,</w:t>
      </w:r>
      <w:r w:rsidR="00D806A1">
        <w:t xml:space="preserve"> and consequent fragility fractures</w:t>
      </w:r>
      <w:r>
        <w:t xml:space="preserve"> </w:t>
      </w:r>
      <w:r w:rsidR="00D806A1">
        <w:t xml:space="preserve">are </w:t>
      </w:r>
      <w:r>
        <w:t xml:space="preserve">an important </w:t>
      </w:r>
      <w:r w:rsidR="00D806A1">
        <w:t xml:space="preserve">cause of disability, impaired quality of life and </w:t>
      </w:r>
      <w:proofErr w:type="gramStart"/>
      <w:r w:rsidR="00D806A1">
        <w:t>mortality</w:t>
      </w:r>
      <w:r w:rsidR="00B146B7">
        <w:t>.</w:t>
      </w:r>
      <w:r w:rsidR="00AB1574">
        <w:t>[</w:t>
      </w:r>
      <w:proofErr w:type="gramEnd"/>
      <w:r w:rsidR="00AB1574">
        <w:t>1-2]</w:t>
      </w:r>
      <w:r w:rsidR="00B146B7">
        <w:t xml:space="preserve"> E</w:t>
      </w:r>
      <w:r w:rsidR="00EE30F0">
        <w:t>ffective treatments exist which lower fracture risk and are clinically and cost-effective</w:t>
      </w:r>
      <w:r>
        <w:t xml:space="preserve">. </w:t>
      </w:r>
      <w:r w:rsidR="00B146B7">
        <w:t>Howe</w:t>
      </w:r>
      <w:r w:rsidR="00656F7D">
        <w:t>ver</w:t>
      </w:r>
      <w:r w:rsidR="007F6242">
        <w:t>, for</w:t>
      </w:r>
      <w:r w:rsidR="00656F7D">
        <w:t xml:space="preserve"> the last two decades, c</w:t>
      </w:r>
      <w:r w:rsidR="00FF4531">
        <w:t xml:space="preserve">linicians and academics have been writing about the problem of poor persistence </w:t>
      </w:r>
      <w:r w:rsidR="00041AC8">
        <w:t xml:space="preserve">to medication </w:t>
      </w:r>
      <w:r w:rsidR="00FF4531">
        <w:t>(defined as the cumulative time duration from initiation to discontinuation of therapy) and adherence (</w:t>
      </w:r>
      <w:r w:rsidR="006641C1" w:rsidRPr="006641C1">
        <w:t>the extent to which the patient's action matches the agreed recommendations</w:t>
      </w:r>
      <w:r w:rsidR="006C2E4B">
        <w:t>,</w:t>
      </w:r>
      <w:r w:rsidR="008B66C6">
        <w:t>[</w:t>
      </w:r>
      <w:r w:rsidR="00AB1574">
        <w:t>3</w:t>
      </w:r>
      <w:r w:rsidR="008B66C6">
        <w:t>]</w:t>
      </w:r>
      <w:r w:rsidR="00FF4531">
        <w:t xml:space="preserve"> among people with osteoporosis.</w:t>
      </w:r>
      <w:r w:rsidR="009C6318">
        <w:t>[4-6]</w:t>
      </w:r>
      <w:r w:rsidR="00FF4531">
        <w:t xml:space="preserve"> Long-term persistence rates with oral bisphosphonates, the mainstay of treatment for prevention of osteoporotic fractures</w:t>
      </w:r>
      <w:r w:rsidR="00BC557A">
        <w:t>, are reportedly worse than in other long-term conditions</w:t>
      </w:r>
      <w:r w:rsidR="00FF4531">
        <w:t xml:space="preserve"> </w:t>
      </w:r>
      <w:r w:rsidR="00BC557A">
        <w:t xml:space="preserve">and </w:t>
      </w:r>
      <w:r w:rsidR="00FF4531">
        <w:t>estimate</w:t>
      </w:r>
      <w:r w:rsidR="003800E9">
        <w:t>d</w:t>
      </w:r>
      <w:r w:rsidR="00FF4531">
        <w:t xml:space="preserve"> between 16% and 60% at one year.</w:t>
      </w:r>
      <w:r w:rsidR="00DA13AE">
        <w:t>[6</w:t>
      </w:r>
      <w:r w:rsidR="00E757EF">
        <w:t>]</w:t>
      </w:r>
      <w:r w:rsidR="00FF4531">
        <w:t xml:space="preserve"> </w:t>
      </w:r>
    </w:p>
    <w:p w14:paraId="7F3BF31C" w14:textId="62318FDD" w:rsidR="00585CF7" w:rsidRDefault="00D51BA7" w:rsidP="00776E89">
      <w:pPr>
        <w:spacing w:after="0" w:line="240" w:lineRule="auto"/>
        <w:rPr>
          <w:rFonts w:ascii="Times New Roman" w:hAnsi="Times New Roman" w:cs="Times New Roman"/>
          <w:sz w:val="24"/>
          <w:szCs w:val="24"/>
          <w:lang w:eastAsia="en-GB"/>
        </w:rPr>
      </w:pPr>
      <w:r>
        <w:t xml:space="preserve">Medicines optimisation </w:t>
      </w:r>
      <w:r w:rsidR="007F2E46">
        <w:t>is defined</w:t>
      </w:r>
      <w:r>
        <w:t xml:space="preserve"> as ‘a patient-focused approach to getting the best from investment in and use of medicines that requires a holistic approach, an enhanced level of patient centred professionalism, and partnership between clinical professionals and a patient’</w:t>
      </w:r>
      <w:r w:rsidR="00CD2836">
        <w:t>.[</w:t>
      </w:r>
      <w:r w:rsidR="009F261F">
        <w:t>7</w:t>
      </w:r>
      <w:r w:rsidR="00CD2836">
        <w:t xml:space="preserve">] </w:t>
      </w:r>
      <w:r>
        <w:t xml:space="preserve">Medicines optimisation addresses safety and effectiveness, while also encompassing adherence. Thus, the construct of medicines optimisation allows considerations of outcomes important to both patients and </w:t>
      </w:r>
      <w:r w:rsidR="005E5553">
        <w:t>healthcare professionals</w:t>
      </w:r>
      <w:r w:rsidR="005E5553" w:rsidRPr="00585CF7">
        <w:t xml:space="preserve"> </w:t>
      </w:r>
      <w:r w:rsidR="00585CF7">
        <w:t>such as patient satisfaction, knowledge, patient involvement in decision making; health status and adverse events.</w:t>
      </w:r>
      <w:r w:rsidR="00FD123C">
        <w:t>[</w:t>
      </w:r>
      <w:r w:rsidR="009F261F">
        <w:t>8</w:t>
      </w:r>
      <w:r w:rsidR="00FD123C">
        <w:t>]</w:t>
      </w:r>
      <w:r w:rsidR="00585CF7">
        <w:t xml:space="preserve"> </w:t>
      </w:r>
    </w:p>
    <w:p w14:paraId="0024705A" w14:textId="77777777" w:rsidR="00776E89" w:rsidRPr="00776E89" w:rsidRDefault="00776E89" w:rsidP="00776E89">
      <w:pPr>
        <w:spacing w:after="0" w:line="240" w:lineRule="auto"/>
        <w:rPr>
          <w:rFonts w:ascii="Times New Roman" w:hAnsi="Times New Roman" w:cs="Times New Roman"/>
          <w:sz w:val="24"/>
          <w:szCs w:val="24"/>
          <w:lang w:eastAsia="en-GB"/>
        </w:rPr>
      </w:pPr>
    </w:p>
    <w:p w14:paraId="332BFF83" w14:textId="52F79AB6" w:rsidR="00D51BA7" w:rsidRPr="00CD4601" w:rsidRDefault="00210464" w:rsidP="00D51BA7">
      <w:r>
        <w:t>Previous</w:t>
      </w:r>
      <w:r w:rsidR="00D51BA7">
        <w:t xml:space="preserve"> systematic review</w:t>
      </w:r>
      <w:r>
        <w:t>s</w:t>
      </w:r>
      <w:r w:rsidR="00B32575">
        <w:t xml:space="preserve"> exist which</w:t>
      </w:r>
      <w:r w:rsidR="00D51BA7">
        <w:t xml:space="preserve"> </w:t>
      </w:r>
      <w:r w:rsidR="00737241">
        <w:t xml:space="preserve">have examined the effectiveness of </w:t>
      </w:r>
      <w:r w:rsidR="00D51BA7">
        <w:t>interventions to promote adherence in osteoporosis</w:t>
      </w:r>
      <w:r w:rsidR="00761903">
        <w:t xml:space="preserve"> but not medicines optimisation</w:t>
      </w:r>
      <w:r w:rsidR="00737241">
        <w:t>;</w:t>
      </w:r>
      <w:r w:rsidR="00B35722">
        <w:t xml:space="preserve"> [</w:t>
      </w:r>
      <w:r w:rsidR="009F261F">
        <w:t>9,10</w:t>
      </w:r>
      <w:r w:rsidR="00B35722">
        <w:t>]</w:t>
      </w:r>
      <w:r w:rsidR="00737241">
        <w:t xml:space="preserve"> </w:t>
      </w:r>
      <w:r w:rsidR="00761903">
        <w:t>furthermore</w:t>
      </w:r>
      <w:r w:rsidR="00A25459">
        <w:t xml:space="preserve">, </w:t>
      </w:r>
      <w:r w:rsidR="00737241">
        <w:t>reviews</w:t>
      </w:r>
      <w:r w:rsidR="00A25459">
        <w:t xml:space="preserve"> which aim to summarise information about complex </w:t>
      </w:r>
      <w:r w:rsidR="00C03A94">
        <w:t>interventions</w:t>
      </w:r>
      <w:r w:rsidR="00A25459">
        <w:t xml:space="preserve"> are </w:t>
      </w:r>
      <w:r w:rsidR="00D51BA7">
        <w:t xml:space="preserve">limited in their ability to examine how interventions work in different settings, </w:t>
      </w:r>
      <w:r w:rsidR="00CB198F">
        <w:t xml:space="preserve">for which patients, </w:t>
      </w:r>
      <w:r w:rsidR="00D51BA7">
        <w:t xml:space="preserve">why they have certain effects, including on adherence, but also </w:t>
      </w:r>
      <w:r w:rsidR="00CB198F">
        <w:t xml:space="preserve">on </w:t>
      </w:r>
      <w:r w:rsidR="00D51BA7">
        <w:t xml:space="preserve">a broader range of patient-centred outcomes. </w:t>
      </w:r>
      <w:r w:rsidR="00D51BA7" w:rsidRPr="00CD4601">
        <w:t xml:space="preserve"> </w:t>
      </w:r>
    </w:p>
    <w:p w14:paraId="39F60BFF" w14:textId="79D5E431" w:rsidR="00D51BA7" w:rsidRDefault="00D51BA7" w:rsidP="00D51BA7">
      <w:r>
        <w:t>Realist reviews provide an alternative approach to a traditional systematic review by considering ‘what works for whom, in what contexts, to what extent, and how and why?’, with specific attention to context (C), mechanisms of effect (M) and outcomes (O)</w:t>
      </w:r>
      <w:r w:rsidR="00A75867">
        <w:t>,</w:t>
      </w:r>
      <w:r w:rsidR="00073E8D">
        <w:t xml:space="preserve"> so-called </w:t>
      </w:r>
      <w:r>
        <w:rPr>
          <w:rFonts w:ascii="Calibri" w:hAnsi="Calibri" w:cs="Calibri"/>
        </w:rPr>
        <w:t>C-M-O configurations.</w:t>
      </w:r>
      <w:r w:rsidR="00C576C6">
        <w:rPr>
          <w:rFonts w:ascii="Calibri" w:hAnsi="Calibri" w:cs="Calibri"/>
        </w:rPr>
        <w:t>[1</w:t>
      </w:r>
      <w:r w:rsidR="00147C59">
        <w:rPr>
          <w:rFonts w:ascii="Calibri" w:hAnsi="Calibri" w:cs="Calibri"/>
        </w:rPr>
        <w:t>1</w:t>
      </w:r>
      <w:r w:rsidR="00C576C6">
        <w:rPr>
          <w:rFonts w:ascii="Calibri" w:hAnsi="Calibri" w:cs="Calibri"/>
        </w:rPr>
        <w:t>]</w:t>
      </w:r>
      <w:r>
        <w:rPr>
          <w:rFonts w:ascii="Calibri" w:hAnsi="Calibri" w:cs="Calibri"/>
        </w:rPr>
        <w:t xml:space="preserve"> Recurrent patterns of C-M-O configurations, also called ‘programme theories’ can identify broad rules of how and why certain outcomes occur, and why interventions are effective, or not.</w:t>
      </w:r>
      <w:r>
        <w:t xml:space="preserve"> Rapid realist reviews have emerged as a practical approach to inform policy making when time is limited, with a focus on engaging stakeholders and identifying context-specific explanations for what works</w:t>
      </w:r>
      <w:r w:rsidR="00073E8D">
        <w:t xml:space="preserve">, </w:t>
      </w:r>
      <w:r w:rsidR="004D6EFC">
        <w:t>and why</w:t>
      </w:r>
      <w:r w:rsidR="0081111C">
        <w:t>.[1</w:t>
      </w:r>
      <w:r w:rsidR="00147C59">
        <w:t>2</w:t>
      </w:r>
      <w:r w:rsidR="0081111C">
        <w:t>]</w:t>
      </w:r>
    </w:p>
    <w:p w14:paraId="2F371373" w14:textId="4993A888" w:rsidR="00D51BA7" w:rsidRDefault="00D51BA7" w:rsidP="00D51BA7">
      <w:r>
        <w:t xml:space="preserve">This review focuses on the interventions, contextual factors and mechanisms that support </w:t>
      </w:r>
      <w:r w:rsidR="00C73126">
        <w:t xml:space="preserve">medicines optimisation in </w:t>
      </w:r>
      <w:r>
        <w:t>people with osteoporosis</w:t>
      </w:r>
      <w:r w:rsidR="00C35836">
        <w:t>,</w:t>
      </w:r>
      <w:r w:rsidR="00C73126">
        <w:t xml:space="preserve"> by answering the following </w:t>
      </w:r>
      <w:r>
        <w:t>questions:</w:t>
      </w:r>
    </w:p>
    <w:p w14:paraId="35C8D8BC" w14:textId="7D23C906" w:rsidR="0081111C" w:rsidRDefault="0081111C" w:rsidP="002E530B">
      <w:pPr>
        <w:pStyle w:val="ListParagraph"/>
        <w:numPr>
          <w:ilvl w:val="0"/>
          <w:numId w:val="15"/>
        </w:numPr>
      </w:pPr>
      <w:r>
        <w:t>W</w:t>
      </w:r>
      <w:r w:rsidR="00D51BA7">
        <w:t xml:space="preserve">hat mechanisms enable components of interventions to support </w:t>
      </w:r>
      <w:r w:rsidR="00426BCE">
        <w:t>osteoporosis medication optimisation?</w:t>
      </w:r>
    </w:p>
    <w:p w14:paraId="5116B1DE" w14:textId="22626502" w:rsidR="00D51BA7" w:rsidRDefault="0081111C" w:rsidP="002E530B">
      <w:pPr>
        <w:pStyle w:val="ListParagraph"/>
        <w:numPr>
          <w:ilvl w:val="0"/>
          <w:numId w:val="15"/>
        </w:numPr>
      </w:pPr>
      <w:r>
        <w:t>W</w:t>
      </w:r>
      <w:r w:rsidR="00D51BA7">
        <w:t>hat were the underlying contextual conditions that enabled these mechanisms?</w:t>
      </w:r>
    </w:p>
    <w:p w14:paraId="6EB273E0" w14:textId="586734DB" w:rsidR="00D51BA7" w:rsidRDefault="00C35836" w:rsidP="00D51BA7">
      <w:r>
        <w:t>Our purpose was to</w:t>
      </w:r>
      <w:r w:rsidR="00D51BA7">
        <w:t xml:space="preserve"> make recommendations for </w:t>
      </w:r>
      <w:r w:rsidR="002933A6">
        <w:t xml:space="preserve">healthcare professionals </w:t>
      </w:r>
      <w:r w:rsidR="009A2E3F">
        <w:t xml:space="preserve">and patients on key approaches that </w:t>
      </w:r>
      <w:r w:rsidR="002933A6">
        <w:t>have potential</w:t>
      </w:r>
      <w:r w:rsidR="009A2E3F">
        <w:t xml:space="preserve"> to be effective and/or ineffective </w:t>
      </w:r>
      <w:r w:rsidR="00D51BA7">
        <w:t xml:space="preserve">and identify </w:t>
      </w:r>
      <w:r w:rsidR="00AC545D">
        <w:t>where further research is needed</w:t>
      </w:r>
      <w:r w:rsidR="001A6251">
        <w:t>.</w:t>
      </w:r>
    </w:p>
    <w:p w14:paraId="4F145D99" w14:textId="77777777" w:rsidR="00D51BA7" w:rsidRDefault="00D51BA7" w:rsidP="00D51BA7">
      <w:pPr>
        <w:rPr>
          <w:b/>
        </w:rPr>
      </w:pPr>
      <w:r>
        <w:rPr>
          <w:b/>
        </w:rPr>
        <w:br w:type="page"/>
      </w:r>
    </w:p>
    <w:p w14:paraId="5B578EEC" w14:textId="28144578" w:rsidR="00D51BA7" w:rsidRPr="00B94A01" w:rsidRDefault="00D51BA7" w:rsidP="00D51BA7">
      <w:pPr>
        <w:rPr>
          <w:bCs/>
          <w:i/>
          <w:iCs/>
        </w:rPr>
      </w:pPr>
      <w:r w:rsidRPr="006523C5">
        <w:rPr>
          <w:b/>
        </w:rPr>
        <w:lastRenderedPageBreak/>
        <w:t>Methods</w:t>
      </w:r>
    </w:p>
    <w:p w14:paraId="4912D37E" w14:textId="217ABA14" w:rsidR="00D51BA7" w:rsidRPr="00B65F70" w:rsidRDefault="00D51BA7" w:rsidP="00D51BA7">
      <w:pPr>
        <w:rPr>
          <w:rFonts w:cstheme="minorHAnsi"/>
        </w:rPr>
      </w:pPr>
      <w:r>
        <w:t xml:space="preserve">The methods for this review are </w:t>
      </w:r>
      <w:r w:rsidRPr="00B65F70">
        <w:rPr>
          <w:rFonts w:cstheme="minorHAnsi"/>
        </w:rPr>
        <w:t xml:space="preserve">informed by the 10 steps for a Rapid Realist Review proposed by Saul et al </w:t>
      </w:r>
      <w:r w:rsidR="001453B9">
        <w:rPr>
          <w:rFonts w:cstheme="minorHAnsi"/>
          <w:color w:val="333333"/>
          <w:shd w:val="clear" w:color="auto" w:fill="FFFFFF"/>
        </w:rPr>
        <w:t>[1</w:t>
      </w:r>
      <w:r w:rsidR="00147C59">
        <w:rPr>
          <w:rFonts w:cstheme="minorHAnsi"/>
          <w:color w:val="333333"/>
          <w:shd w:val="clear" w:color="auto" w:fill="FFFFFF"/>
        </w:rPr>
        <w:t>2</w:t>
      </w:r>
      <w:r w:rsidR="001453B9">
        <w:rPr>
          <w:rFonts w:cstheme="minorHAnsi"/>
          <w:color w:val="333333"/>
          <w:shd w:val="clear" w:color="auto" w:fill="FFFFFF"/>
        </w:rPr>
        <w:t>]</w:t>
      </w:r>
      <w:r w:rsidR="00AF3C96" w:rsidRPr="00B65F70">
        <w:rPr>
          <w:rFonts w:cstheme="minorHAnsi"/>
        </w:rPr>
        <w:t xml:space="preserve"> and our study protocol, registered with PROSPERO (</w:t>
      </w:r>
      <w:r w:rsidR="00D82673" w:rsidRPr="00B65F70">
        <w:rPr>
          <w:rFonts w:cstheme="minorHAnsi"/>
          <w:color w:val="333333"/>
          <w:shd w:val="clear" w:color="auto" w:fill="FFFFFF"/>
        </w:rPr>
        <w:t>2021 CRD42021240357)</w:t>
      </w:r>
      <w:r w:rsidR="00346620">
        <w:rPr>
          <w:rFonts w:cstheme="minorHAnsi"/>
          <w:color w:val="333333"/>
          <w:shd w:val="clear" w:color="auto" w:fill="FFFFFF"/>
        </w:rPr>
        <w:t>.</w:t>
      </w:r>
    </w:p>
    <w:p w14:paraId="5EC529A7" w14:textId="535C8CC6" w:rsidR="00D51BA7" w:rsidRDefault="00D51BA7" w:rsidP="00D51BA7">
      <w:r w:rsidRPr="00B65F70">
        <w:rPr>
          <w:rFonts w:cstheme="minorHAnsi"/>
        </w:rPr>
        <w:t>The project scope</w:t>
      </w:r>
      <w:r w:rsidR="00AB7B34">
        <w:rPr>
          <w:rFonts w:cstheme="minorHAnsi"/>
        </w:rPr>
        <w:t>, questions for review and purpose statement</w:t>
      </w:r>
      <w:r w:rsidRPr="00B65F70">
        <w:rPr>
          <w:rFonts w:cstheme="minorHAnsi"/>
        </w:rPr>
        <w:t xml:space="preserve"> (Step</w:t>
      </w:r>
      <w:r w:rsidR="00AB7B34">
        <w:rPr>
          <w:rFonts w:cstheme="minorHAnsi"/>
        </w:rPr>
        <w:t>s</w:t>
      </w:r>
      <w:r w:rsidRPr="00B65F70">
        <w:rPr>
          <w:rFonts w:cstheme="minorHAnsi"/>
        </w:rPr>
        <w:t xml:space="preserve"> 1</w:t>
      </w:r>
      <w:r w:rsidR="00AB7B34">
        <w:rPr>
          <w:rFonts w:cstheme="minorHAnsi"/>
        </w:rPr>
        <w:t>, 2 and 3</w:t>
      </w:r>
      <w:r w:rsidRPr="00B65F70">
        <w:rPr>
          <w:rFonts w:cstheme="minorHAnsi"/>
        </w:rPr>
        <w:t xml:space="preserve">) </w:t>
      </w:r>
      <w:r w:rsidR="00AB7B34" w:rsidRPr="00B65F70">
        <w:rPr>
          <w:rFonts w:cstheme="minorHAnsi"/>
        </w:rPr>
        <w:t>w</w:t>
      </w:r>
      <w:r w:rsidR="00AB7B34">
        <w:rPr>
          <w:rFonts w:cstheme="minorHAnsi"/>
        </w:rPr>
        <w:t>ere</w:t>
      </w:r>
      <w:r w:rsidR="00AB7B34" w:rsidRPr="00B65F70">
        <w:rPr>
          <w:rFonts w:cstheme="minorHAnsi"/>
        </w:rPr>
        <w:t xml:space="preserve"> </w:t>
      </w:r>
      <w:r w:rsidRPr="00B65F70">
        <w:rPr>
          <w:rFonts w:cstheme="minorHAnsi"/>
        </w:rPr>
        <w:t xml:space="preserve">determined through discussion </w:t>
      </w:r>
      <w:r w:rsidR="00B85641">
        <w:rPr>
          <w:rFonts w:cstheme="minorHAnsi"/>
        </w:rPr>
        <w:t>with</w:t>
      </w:r>
      <w:r w:rsidR="00B85641" w:rsidRPr="00B65F70">
        <w:rPr>
          <w:rFonts w:cstheme="minorHAnsi"/>
        </w:rPr>
        <w:t xml:space="preserve"> </w:t>
      </w:r>
      <w:r w:rsidRPr="00B65F70">
        <w:rPr>
          <w:rFonts w:cstheme="minorHAnsi"/>
        </w:rPr>
        <w:t xml:space="preserve">the </w:t>
      </w:r>
      <w:r w:rsidR="005D7CAD">
        <w:rPr>
          <w:rFonts w:cstheme="minorHAnsi"/>
        </w:rPr>
        <w:t xml:space="preserve">Royal Osteoporosis Society </w:t>
      </w:r>
      <w:r w:rsidR="00E62928">
        <w:rPr>
          <w:rFonts w:cstheme="minorHAnsi"/>
        </w:rPr>
        <w:t xml:space="preserve">(ROS) </w:t>
      </w:r>
      <w:r w:rsidR="005D7CAD">
        <w:rPr>
          <w:rFonts w:cstheme="minorHAnsi"/>
        </w:rPr>
        <w:t>Bone Research Academy Effectiveness Working Group (EWG)</w:t>
      </w:r>
      <w:r w:rsidR="00B85641">
        <w:rPr>
          <w:rFonts w:cstheme="minorHAnsi"/>
        </w:rPr>
        <w:t>, an</w:t>
      </w:r>
      <w:r w:rsidR="00B85641" w:rsidRPr="00B85641">
        <w:t xml:space="preserve"> </w:t>
      </w:r>
      <w:r w:rsidR="00B85641">
        <w:t>expert in medicines adherence (</w:t>
      </w:r>
      <w:r w:rsidR="005D7CAD">
        <w:t>RH</w:t>
      </w:r>
      <w:r w:rsidR="00B85641">
        <w:t>), and clinical academic with experience of realist methods (</w:t>
      </w:r>
      <w:r w:rsidR="005D7CAD">
        <w:t>IM</w:t>
      </w:r>
      <w:r w:rsidR="00B85641">
        <w:t>)</w:t>
      </w:r>
      <w:r w:rsidRPr="00B65F70">
        <w:rPr>
          <w:rFonts w:cstheme="minorHAnsi"/>
        </w:rPr>
        <w:t>. Th</w:t>
      </w:r>
      <w:r w:rsidR="000F43DB">
        <w:rPr>
          <w:rFonts w:cstheme="minorHAnsi"/>
        </w:rPr>
        <w:t xml:space="preserve">e </w:t>
      </w:r>
      <w:r w:rsidR="005D7CAD">
        <w:rPr>
          <w:rFonts w:cstheme="minorHAnsi"/>
        </w:rPr>
        <w:t>EWG</w:t>
      </w:r>
      <w:r w:rsidR="000F43DB">
        <w:rPr>
          <w:rFonts w:cstheme="minorHAnsi"/>
        </w:rPr>
        <w:t xml:space="preserve"> </w:t>
      </w:r>
      <w:r w:rsidR="00B85641">
        <w:rPr>
          <w:rFonts w:cstheme="minorHAnsi"/>
        </w:rPr>
        <w:t>includes</w:t>
      </w:r>
      <w:r w:rsidRPr="00B65F70">
        <w:rPr>
          <w:rFonts w:cstheme="minorHAnsi"/>
        </w:rPr>
        <w:t xml:space="preserve"> experts and stakeholders in the field of osteoporosis, including clinicians, researchers, and patient advocates</w:t>
      </w:r>
      <w:r w:rsidR="00B85641">
        <w:rPr>
          <w:rFonts w:cstheme="minorHAnsi"/>
        </w:rPr>
        <w:t>.</w:t>
      </w:r>
    </w:p>
    <w:p w14:paraId="4CDBD77D" w14:textId="77777777" w:rsidR="00D51BA7" w:rsidRPr="00B96EC3" w:rsidRDefault="00D51BA7" w:rsidP="00D51BA7">
      <w:pPr>
        <w:rPr>
          <w:i/>
        </w:rPr>
      </w:pPr>
      <w:r w:rsidRPr="00B96EC3">
        <w:rPr>
          <w:i/>
        </w:rPr>
        <w:t>Developing initial programme theories</w:t>
      </w:r>
    </w:p>
    <w:p w14:paraId="57399162" w14:textId="15060018" w:rsidR="00585CF7" w:rsidRDefault="00EB3768" w:rsidP="00D51BA7">
      <w:r>
        <w:t>Drawing on the project team</w:t>
      </w:r>
      <w:r w:rsidR="003131DA">
        <w:t>’s</w:t>
      </w:r>
      <w:r>
        <w:t xml:space="preserve"> expertise, this review is informed by previous qualitative research syntheses relating to </w:t>
      </w:r>
      <w:proofErr w:type="gramStart"/>
      <w:r>
        <w:t>osteoporosis</w:t>
      </w:r>
      <w:r w:rsidR="00DC1110">
        <w:t>,[</w:t>
      </w:r>
      <w:proofErr w:type="gramEnd"/>
      <w:r w:rsidR="00147C59">
        <w:t>13,14</w:t>
      </w:r>
      <w:r w:rsidR="00DC1110">
        <w:t>]</w:t>
      </w:r>
      <w:r w:rsidR="002A6241">
        <w:t xml:space="preserve"> and a recent realist synthesis about medicines management in older people</w:t>
      </w:r>
      <w:r>
        <w:t xml:space="preserve"> which helped us develop an understanding of the context and problem</w:t>
      </w:r>
      <w:r w:rsidR="002A6241">
        <w:t xml:space="preserve"> [</w:t>
      </w:r>
      <w:r w:rsidR="00127B45">
        <w:t>1</w:t>
      </w:r>
      <w:r w:rsidR="00147C59">
        <w:t>5</w:t>
      </w:r>
      <w:r w:rsidR="002A6241">
        <w:t>]</w:t>
      </w:r>
      <w:r>
        <w:t xml:space="preserve">. </w:t>
      </w:r>
      <w:r w:rsidR="00B47CD0">
        <w:t>W</w:t>
      </w:r>
      <w:r w:rsidR="00B1767C">
        <w:t xml:space="preserve">e used a </w:t>
      </w:r>
      <w:r w:rsidR="00B47CD0">
        <w:t xml:space="preserve">conceptual framework about levels of interventions </w:t>
      </w:r>
      <w:r w:rsidR="0093528F">
        <w:t>to address determinants of non-adherence</w:t>
      </w:r>
      <w:r w:rsidR="00B47CD0">
        <w:t xml:space="preserve">, which we felt would also have relevance for medicines optimisation: </w:t>
      </w:r>
      <w:r w:rsidR="00585CF7">
        <w:t xml:space="preserve">the ‘adherence lollipop’ </w:t>
      </w:r>
      <w:r w:rsidR="0093528F">
        <w:t>(</w:t>
      </w:r>
      <w:r w:rsidR="00A43FD9">
        <w:t>Supplementary Figure 1</w:t>
      </w:r>
      <w:r w:rsidR="00A97526">
        <w:t>)</w:t>
      </w:r>
      <w:r w:rsidR="002E530B">
        <w:t xml:space="preserve"> </w:t>
      </w:r>
      <w:r w:rsidR="00D048F6">
        <w:t>[1</w:t>
      </w:r>
      <w:r w:rsidR="00395627">
        <w:t>6-7</w:t>
      </w:r>
      <w:r w:rsidR="00C73375">
        <w:t>]</w:t>
      </w:r>
      <w:r w:rsidR="009279D4">
        <w:t>. The three levels are</w:t>
      </w:r>
      <w:r w:rsidR="00585CF7">
        <w:t xml:space="preserve"> the patient; the patient-provider interaction</w:t>
      </w:r>
      <w:r w:rsidR="005B19B8">
        <w:t>;</w:t>
      </w:r>
      <w:r w:rsidR="00585CF7">
        <w:t xml:space="preserve"> </w:t>
      </w:r>
      <w:proofErr w:type="gramStart"/>
      <w:r w:rsidR="00585CF7">
        <w:t>and</w:t>
      </w:r>
      <w:r w:rsidR="005B19B8">
        <w:t>,</w:t>
      </w:r>
      <w:proofErr w:type="gramEnd"/>
      <w:r w:rsidR="00585CF7">
        <w:t xml:space="preserve"> the healthcare and social environment.</w:t>
      </w:r>
      <w:r w:rsidR="006E77D1">
        <w:t xml:space="preserve"> </w:t>
      </w:r>
      <w:r w:rsidR="00241F7F">
        <w:t xml:space="preserve">Interventions </w:t>
      </w:r>
      <w:r w:rsidR="007A5B34">
        <w:t>targeted</w:t>
      </w:r>
      <w:r w:rsidR="00241F7F">
        <w:t xml:space="preserve"> at the patient or patient-</w:t>
      </w:r>
      <w:r w:rsidR="007A5B34">
        <w:t>clinician</w:t>
      </w:r>
      <w:r w:rsidR="00241F7F">
        <w:t xml:space="preserve"> interaction</w:t>
      </w:r>
      <w:r w:rsidR="007A5B34">
        <w:t xml:space="preserve"> need to </w:t>
      </w:r>
      <w:proofErr w:type="gramStart"/>
      <w:r w:rsidR="007A5B34">
        <w:t>take into account</w:t>
      </w:r>
      <w:proofErr w:type="gramEnd"/>
      <w:r w:rsidR="007A5B34">
        <w:t xml:space="preserve"> perceptions (treatment beliefs related to necessity and concern) and practicalities</w:t>
      </w:r>
      <w:r w:rsidR="00241F7F">
        <w:t xml:space="preserve"> </w:t>
      </w:r>
      <w:r w:rsidR="00D15271">
        <w:t xml:space="preserve">(Supplementary Figure 2). </w:t>
      </w:r>
      <w:r w:rsidR="006E77D1">
        <w:t>Using our background literature, we developed a typology of determinants of non-adherence using th</w:t>
      </w:r>
      <w:r w:rsidR="008B45F8">
        <w:t>is conceptual framework</w:t>
      </w:r>
      <w:r w:rsidR="00D904B3">
        <w:t xml:space="preserve"> </w:t>
      </w:r>
      <w:r w:rsidR="00480EAA">
        <w:t xml:space="preserve">and initial candidate Programme Theories </w:t>
      </w:r>
      <w:r w:rsidR="00D904B3">
        <w:t>(Supplementary Data 1)</w:t>
      </w:r>
      <w:r w:rsidR="008B45F8">
        <w:t>.</w:t>
      </w:r>
      <w:r w:rsidR="005C3530">
        <w:t xml:space="preserve"> </w:t>
      </w:r>
    </w:p>
    <w:p w14:paraId="0A17FFE8" w14:textId="61C8D257" w:rsidR="00D51BA7" w:rsidRPr="00B96EC3" w:rsidRDefault="00D51BA7" w:rsidP="00D51BA7">
      <w:pPr>
        <w:rPr>
          <w:i/>
        </w:rPr>
      </w:pPr>
      <w:r w:rsidRPr="00B96EC3">
        <w:rPr>
          <w:i/>
        </w:rPr>
        <w:t xml:space="preserve">Search strategy </w:t>
      </w:r>
      <w:r w:rsidR="0000210D">
        <w:rPr>
          <w:i/>
        </w:rPr>
        <w:t>and study selection</w:t>
      </w:r>
    </w:p>
    <w:p w14:paraId="6F0F14E9" w14:textId="5C707399" w:rsidR="00D51BA7" w:rsidRPr="00A003D7" w:rsidRDefault="007D4C8E" w:rsidP="00A003D7">
      <w:r>
        <w:t xml:space="preserve">We conducted two searches. </w:t>
      </w:r>
      <w:r w:rsidR="001F368E">
        <w:t xml:space="preserve">Our </w:t>
      </w:r>
      <w:r w:rsidR="001564CD">
        <w:t xml:space="preserve">primary </w:t>
      </w:r>
      <w:r w:rsidR="001F368E">
        <w:t>search identified</w:t>
      </w:r>
      <w:r w:rsidR="00D51BA7">
        <w:t xml:space="preserve"> interventional and observational studies which evaluated the effects of interventions, in people with osteoporosis, to </w:t>
      </w:r>
      <w:r w:rsidR="000D3F78">
        <w:t xml:space="preserve">optimise medicines or </w:t>
      </w:r>
      <w:r w:rsidR="00D51BA7">
        <w:t xml:space="preserve">improve adherence. We </w:t>
      </w:r>
      <w:r w:rsidR="004239C2">
        <w:t>used</w:t>
      </w:r>
      <w:r w:rsidR="00D51BA7">
        <w:t xml:space="preserve"> a search strategy already used by a previous systematic review in this field</w:t>
      </w:r>
      <w:r w:rsidR="00422A9B">
        <w:t xml:space="preserve"> (</w:t>
      </w:r>
      <w:r w:rsidR="001C3136">
        <w:rPr>
          <w:rFonts w:cstheme="minorHAnsi"/>
          <w:color w:val="222222"/>
          <w:shd w:val="clear" w:color="auto" w:fill="FFFFFF"/>
        </w:rPr>
        <w:t>Supplementary Data 2</w:t>
      </w:r>
      <w:r w:rsidR="00422A9B">
        <w:t>)</w:t>
      </w:r>
      <w:r w:rsidR="00031662">
        <w:t>.</w:t>
      </w:r>
      <w:r w:rsidR="00826767">
        <w:t>[</w:t>
      </w:r>
      <w:r w:rsidR="00395627">
        <w:t>9</w:t>
      </w:r>
      <w:r w:rsidR="00826767">
        <w:t>]</w:t>
      </w:r>
      <w:r w:rsidR="00031662">
        <w:t xml:space="preserve"> We searched </w:t>
      </w:r>
      <w:r w:rsidR="00110AFF">
        <w:t xml:space="preserve">four </w:t>
      </w:r>
      <w:r w:rsidR="00031662">
        <w:t>databases</w:t>
      </w:r>
      <w:r w:rsidR="00110AFF">
        <w:t>:</w:t>
      </w:r>
      <w:r w:rsidR="00031662">
        <w:t xml:space="preserve"> </w:t>
      </w:r>
      <w:r w:rsidR="00D51BA7">
        <w:t xml:space="preserve">MEDLINE, </w:t>
      </w:r>
      <w:proofErr w:type="spellStart"/>
      <w:r w:rsidR="00D51BA7">
        <w:t>Psychinfo</w:t>
      </w:r>
      <w:proofErr w:type="spellEnd"/>
      <w:r w:rsidR="00D51BA7">
        <w:t>, CINAHL and EMBASE</w:t>
      </w:r>
      <w:r w:rsidR="00633AB6">
        <w:t xml:space="preserve">. Papers were identified from </w:t>
      </w:r>
      <w:r w:rsidR="00212DF0">
        <w:t xml:space="preserve">July 2012 to the date of </w:t>
      </w:r>
      <w:r w:rsidR="00110AFF">
        <w:t>19</w:t>
      </w:r>
      <w:r w:rsidR="00110AFF" w:rsidRPr="00291359">
        <w:rPr>
          <w:vertAlign w:val="superscript"/>
        </w:rPr>
        <w:t>th</w:t>
      </w:r>
      <w:r w:rsidR="00110AFF">
        <w:t xml:space="preserve"> March 2021</w:t>
      </w:r>
      <w:r w:rsidR="00D51BA7">
        <w:t xml:space="preserve">. </w:t>
      </w:r>
      <w:r w:rsidR="00AE248D">
        <w:t xml:space="preserve">Our </w:t>
      </w:r>
      <w:r w:rsidR="00AE248D" w:rsidRPr="007D4C8E">
        <w:rPr>
          <w:iCs/>
        </w:rPr>
        <w:t>k</w:t>
      </w:r>
      <w:r w:rsidR="00D51BA7" w:rsidRPr="007D4C8E">
        <w:rPr>
          <w:iCs/>
        </w:rPr>
        <w:t xml:space="preserve">ey inclusion criteria </w:t>
      </w:r>
      <w:r w:rsidR="00AE248D" w:rsidRPr="007D4C8E">
        <w:rPr>
          <w:iCs/>
        </w:rPr>
        <w:t>were</w:t>
      </w:r>
      <w:r w:rsidR="00DE27A4" w:rsidRPr="007D4C8E">
        <w:rPr>
          <w:iCs/>
        </w:rPr>
        <w:t xml:space="preserve"> </w:t>
      </w:r>
      <w:r w:rsidR="007863D5">
        <w:rPr>
          <w:iCs/>
        </w:rPr>
        <w:t>to include</w:t>
      </w:r>
      <w:r w:rsidR="00D51BA7" w:rsidRPr="007D4C8E">
        <w:rPr>
          <w:iCs/>
        </w:rPr>
        <w:t xml:space="preserve"> studies </w:t>
      </w:r>
      <w:r w:rsidR="00D85D9C">
        <w:rPr>
          <w:iCs/>
        </w:rPr>
        <w:t>(</w:t>
      </w:r>
      <w:r>
        <w:t>interventional or observational</w:t>
      </w:r>
      <w:r w:rsidR="00D85D9C">
        <w:t>)</w:t>
      </w:r>
      <w:r>
        <w:t xml:space="preserve"> </w:t>
      </w:r>
      <w:r w:rsidRPr="002F4AAE">
        <w:t xml:space="preserve">which </w:t>
      </w:r>
      <w:r w:rsidRPr="00A003D7">
        <w:t>concern</w:t>
      </w:r>
      <w:r w:rsidR="006F4693" w:rsidRPr="00A003D7">
        <w:t>ed</w:t>
      </w:r>
      <w:r w:rsidRPr="00A003D7">
        <w:t xml:space="preserve"> supporting people with osteoporosis in </w:t>
      </w:r>
      <w:r w:rsidR="00642C50" w:rsidRPr="00A003D7">
        <w:t>medicines optimisation</w:t>
      </w:r>
      <w:r w:rsidR="00D51BA7" w:rsidRPr="00A003D7">
        <w:t>.</w:t>
      </w:r>
      <w:r w:rsidR="007A0BE0" w:rsidRPr="00A003D7">
        <w:t xml:space="preserve"> </w:t>
      </w:r>
      <w:r w:rsidR="00AE3BEF" w:rsidRPr="00A003D7">
        <w:t>After de-duplication of identified records, initial screening of titles and abstracts was undertaken by one reviewer. </w:t>
      </w:r>
      <w:r w:rsidR="00F0434F" w:rsidRPr="00A003D7" w:rsidDel="00F0434F">
        <w:t xml:space="preserve"> </w:t>
      </w:r>
      <w:r w:rsidR="00AE3BEF" w:rsidRPr="00A003D7">
        <w:t>Selection of included studies was undertaken by reviewers in pairs and disagreement regarding eligibility was resolved by discussion. </w:t>
      </w:r>
      <w:r w:rsidR="00916E53">
        <w:t>We</w:t>
      </w:r>
      <w:r w:rsidR="00916E53" w:rsidRPr="00A003D7">
        <w:t xml:space="preserve"> assess</w:t>
      </w:r>
      <w:r w:rsidR="00916E53">
        <w:t>ed</w:t>
      </w:r>
      <w:r w:rsidR="00916E53" w:rsidRPr="00A003D7">
        <w:t xml:space="preserve"> study quality using a modified quality appraisal tool adapted from the Quality </w:t>
      </w:r>
      <w:proofErr w:type="gramStart"/>
      <w:r w:rsidR="00916E53" w:rsidRPr="00A003D7">
        <w:t>In</w:t>
      </w:r>
      <w:proofErr w:type="gramEnd"/>
      <w:r w:rsidR="00916E53" w:rsidRPr="00A003D7">
        <w:t xml:space="preserve"> Prognosis Studies tool (QUIPs) in order to appraise the weight of contribution of individual</w:t>
      </w:r>
      <w:r w:rsidR="00916E53">
        <w:t xml:space="preserve"> studies to programme theory.[</w:t>
      </w:r>
      <w:r w:rsidR="00395627">
        <w:t>18</w:t>
      </w:r>
      <w:r w:rsidR="00916E53">
        <w:t>]</w:t>
      </w:r>
    </w:p>
    <w:p w14:paraId="657D2AA7" w14:textId="07D2570B" w:rsidR="00D51BA7" w:rsidRDefault="00D51BA7" w:rsidP="00A003D7">
      <w:r w:rsidRPr="00A003D7">
        <w:t>Our second search</w:t>
      </w:r>
      <w:r w:rsidR="003A6DCE">
        <w:t xml:space="preserve"> was</w:t>
      </w:r>
      <w:r w:rsidRPr="00A003D7">
        <w:t xml:space="preserve"> </w:t>
      </w:r>
      <w:r w:rsidR="000664A9" w:rsidRPr="00A003D7">
        <w:t xml:space="preserve">iterative in nature and </w:t>
      </w:r>
      <w:r w:rsidR="00A7486A" w:rsidRPr="00A003D7">
        <w:t xml:space="preserve">aimed </w:t>
      </w:r>
      <w:r w:rsidR="00AE3BEF" w:rsidRPr="00A003D7">
        <w:t>at</w:t>
      </w:r>
      <w:r w:rsidR="00A7486A" w:rsidRPr="00A003D7">
        <w:t xml:space="preserve"> gain</w:t>
      </w:r>
      <w:r w:rsidR="00AE3BEF" w:rsidRPr="00A003D7">
        <w:t>ing</w:t>
      </w:r>
      <w:r w:rsidR="00A7486A" w:rsidRPr="00A003D7">
        <w:t xml:space="preserve"> additional insight on </w:t>
      </w:r>
      <w:r w:rsidR="00083733" w:rsidRPr="00A003D7">
        <w:t xml:space="preserve">included key papers and </w:t>
      </w:r>
      <w:r w:rsidR="00D437D6" w:rsidRPr="00A003D7">
        <w:t>emerging</w:t>
      </w:r>
      <w:r w:rsidR="00A7486A" w:rsidRPr="00A003D7">
        <w:t xml:space="preserve"> mechanisms. </w:t>
      </w:r>
      <w:r w:rsidR="00D437D6" w:rsidRPr="00A003D7">
        <w:t xml:space="preserve">This included a broader range of study </w:t>
      </w:r>
      <w:r w:rsidR="00A1548C" w:rsidRPr="00A003D7">
        <w:t>designs and</w:t>
      </w:r>
      <w:r w:rsidR="00D437D6" w:rsidRPr="00A003D7">
        <w:t xml:space="preserve"> was achieved through citation</w:t>
      </w:r>
      <w:r w:rsidR="00083733" w:rsidRPr="00A003D7">
        <w:t xml:space="preserve"> tracking</w:t>
      </w:r>
      <w:r w:rsidR="00D437D6" w:rsidRPr="00A003D7">
        <w:t xml:space="preserve"> and reference checking of key papers</w:t>
      </w:r>
      <w:r w:rsidR="0044277F" w:rsidRPr="00A003D7">
        <w:t>, discussion with experts and further searches</w:t>
      </w:r>
      <w:r w:rsidR="00171CDD" w:rsidRPr="00A003D7">
        <w:t xml:space="preserve"> of Google Scholar</w:t>
      </w:r>
      <w:r w:rsidRPr="00A003D7">
        <w:t xml:space="preserve"> (Step 6</w:t>
      </w:r>
      <w:r w:rsidR="00692CFB" w:rsidRPr="00A003D7">
        <w:t>)</w:t>
      </w:r>
      <w:r w:rsidRPr="00A003D7">
        <w:t>.</w:t>
      </w:r>
      <w:r w:rsidR="006F0241" w:rsidRPr="00A003D7">
        <w:t xml:space="preserve"> </w:t>
      </w:r>
    </w:p>
    <w:p w14:paraId="0DDA3159" w14:textId="77777777" w:rsidR="00D51BA7" w:rsidRPr="00345031" w:rsidRDefault="00D51BA7" w:rsidP="00D51BA7">
      <w:pPr>
        <w:rPr>
          <w:i/>
          <w:iCs/>
        </w:rPr>
      </w:pPr>
      <w:r w:rsidRPr="00345031">
        <w:rPr>
          <w:i/>
          <w:iCs/>
        </w:rPr>
        <w:t>Data Extraction</w:t>
      </w:r>
    </w:p>
    <w:p w14:paraId="5507854B" w14:textId="3C7BB194" w:rsidR="00D51BA7" w:rsidRDefault="00D51BA7" w:rsidP="00D51BA7">
      <w:r w:rsidRPr="002D183C">
        <w:t xml:space="preserve">Data </w:t>
      </w:r>
      <w:r w:rsidR="00C73C1B">
        <w:t xml:space="preserve">was extracted </w:t>
      </w:r>
      <w:proofErr w:type="gramStart"/>
      <w:r w:rsidR="00C73C1B" w:rsidRPr="002D183C">
        <w:t>on:</w:t>
      </w:r>
      <w:proofErr w:type="gramEnd"/>
      <w:r w:rsidR="00C73C1B" w:rsidRPr="002D183C">
        <w:t xml:space="preserve"> </w:t>
      </w:r>
      <w:r w:rsidR="00F801D0">
        <w:t>c</w:t>
      </w:r>
      <w:r w:rsidR="00C73C1B" w:rsidRPr="002D183C">
        <w:t xml:space="preserve">ontext (C), including patient context, nature of the patient-clinician interactions, and health-care setting; </w:t>
      </w:r>
      <w:r w:rsidR="00F801D0">
        <w:t>m</w:t>
      </w:r>
      <w:r w:rsidR="00C73C1B" w:rsidRPr="002D183C">
        <w:t xml:space="preserve">echanisms (M), identifying any targeted determinants; and </w:t>
      </w:r>
      <w:r w:rsidR="00F801D0">
        <w:t>o</w:t>
      </w:r>
      <w:r w:rsidR="00C73C1B" w:rsidRPr="002D183C">
        <w:t>utcomes (O)</w:t>
      </w:r>
      <w:r w:rsidR="00B74CB4">
        <w:t xml:space="preserve">, </w:t>
      </w:r>
      <w:r w:rsidRPr="002D183C">
        <w:t>informed by our initial programme theor</w:t>
      </w:r>
      <w:r w:rsidR="004410CC">
        <w:t>ies</w:t>
      </w:r>
      <w:r w:rsidRPr="002D183C">
        <w:t xml:space="preserve"> (Step 7). The data extraction </w:t>
      </w:r>
      <w:r w:rsidRPr="00483855">
        <w:t>proforma (</w:t>
      </w:r>
      <w:r w:rsidR="00483855" w:rsidRPr="00483855">
        <w:t>Supplementary</w:t>
      </w:r>
      <w:r w:rsidR="00B74CB4" w:rsidRPr="00483855">
        <w:t xml:space="preserve"> </w:t>
      </w:r>
      <w:r w:rsidR="00DB61EE">
        <w:t>D</w:t>
      </w:r>
      <w:r w:rsidR="00B74CB4" w:rsidRPr="00483855">
        <w:t xml:space="preserve">ata </w:t>
      </w:r>
      <w:r w:rsidR="00483855" w:rsidRPr="00483855">
        <w:t>3</w:t>
      </w:r>
      <w:r w:rsidRPr="00483855">
        <w:t>)</w:t>
      </w:r>
      <w:r w:rsidRPr="002D183C">
        <w:t xml:space="preserve"> </w:t>
      </w:r>
      <w:r w:rsidR="00B74CB4">
        <w:t>was</w:t>
      </w:r>
      <w:r w:rsidR="005962B9">
        <w:t xml:space="preserve"> initially</w:t>
      </w:r>
      <w:r w:rsidRPr="002D183C">
        <w:t xml:space="preserve"> pretested and piloted independently by reviewers on </w:t>
      </w:r>
      <w:r w:rsidR="00B74CB4">
        <w:t>3</w:t>
      </w:r>
      <w:r w:rsidRPr="002D183C">
        <w:t xml:space="preserve"> studies</w:t>
      </w:r>
      <w:r w:rsidR="0031199F">
        <w:t>.</w:t>
      </w:r>
    </w:p>
    <w:p w14:paraId="1C91804A" w14:textId="77777777" w:rsidR="00D51BA7" w:rsidRPr="00345031" w:rsidRDefault="00D51BA7" w:rsidP="00D51BA7">
      <w:pPr>
        <w:rPr>
          <w:i/>
          <w:iCs/>
        </w:rPr>
      </w:pPr>
      <w:r w:rsidRPr="00345031">
        <w:rPr>
          <w:i/>
          <w:iCs/>
        </w:rPr>
        <w:lastRenderedPageBreak/>
        <w:t>Analysis</w:t>
      </w:r>
    </w:p>
    <w:p w14:paraId="14F35BE5" w14:textId="4368248E" w:rsidR="00D51BA7" w:rsidRDefault="00D51BA7" w:rsidP="00D51BA7">
      <w:r>
        <w:t xml:space="preserve">Extracted data </w:t>
      </w:r>
      <w:r w:rsidR="008B3A50">
        <w:t>was</w:t>
      </w:r>
      <w:r>
        <w:t xml:space="preserve"> interrogated by </w:t>
      </w:r>
      <w:r w:rsidR="007A27BD">
        <w:t xml:space="preserve">five </w:t>
      </w:r>
      <w:r>
        <w:t>(</w:t>
      </w:r>
      <w:r w:rsidR="005D7CAD">
        <w:t>ZP, IM, AS, LST, OB</w:t>
      </w:r>
      <w:r>
        <w:t xml:space="preserve">) authors independently for patterns of C-M-O configurations, using an IF-THEN approach to statements. </w:t>
      </w:r>
      <w:r w:rsidR="00C53F29">
        <w:t>W</w:t>
      </w:r>
      <w:r w:rsidR="00EE4E49">
        <w:t>eekly</w:t>
      </w:r>
      <w:r w:rsidR="007A27BD">
        <w:t xml:space="preserve"> team</w:t>
      </w:r>
      <w:r>
        <w:t xml:space="preserve"> meetings </w:t>
      </w:r>
      <w:r w:rsidR="00EE4E49">
        <w:t>were</w:t>
      </w:r>
      <w:r>
        <w:t xml:space="preserve"> held to </w:t>
      </w:r>
      <w:r w:rsidRPr="00AA1644">
        <w:t xml:space="preserve">critically appraise, </w:t>
      </w:r>
      <w:r w:rsidR="00CC01A5" w:rsidRPr="00AA1644">
        <w:t>analyse,</w:t>
      </w:r>
      <w:r w:rsidRPr="00AA1644">
        <w:t xml:space="preserve"> and synthesise the data</w:t>
      </w:r>
      <w:r>
        <w:t>.</w:t>
      </w:r>
      <w:r w:rsidR="00EE4E49">
        <w:t xml:space="preserve"> </w:t>
      </w:r>
      <w:r w:rsidR="00D55ABD">
        <w:t>As we found we could not</w:t>
      </w:r>
      <w:r w:rsidR="00A76F2F">
        <w:t xml:space="preserve"> adequately refine our CMOs within our given timeframe and resource, </w:t>
      </w:r>
      <w:r w:rsidR="006A3B69">
        <w:t>in line with other published rapid realist reviews</w:t>
      </w:r>
      <w:r w:rsidR="001A2872">
        <w:t>,</w:t>
      </w:r>
      <w:r w:rsidR="00492FE9">
        <w:t>[</w:t>
      </w:r>
      <w:r w:rsidR="00F264DB">
        <w:t>19</w:t>
      </w:r>
      <w:r w:rsidR="00492FE9">
        <w:t>]</w:t>
      </w:r>
      <w:r w:rsidR="001A2872">
        <w:t xml:space="preserve"> </w:t>
      </w:r>
      <w:r w:rsidR="00A76F2F">
        <w:t>we decided to instead</w:t>
      </w:r>
      <w:r w:rsidR="00D55ABD" w:rsidRPr="00D55ABD">
        <w:t xml:space="preserve"> </w:t>
      </w:r>
      <w:r w:rsidR="007B1FD0">
        <w:t xml:space="preserve">focus on </w:t>
      </w:r>
      <w:r w:rsidR="00D55ABD" w:rsidRPr="00D55ABD">
        <w:t>identify</w:t>
      </w:r>
      <w:r w:rsidR="007B1FD0">
        <w:t>ing the key</w:t>
      </w:r>
      <w:r w:rsidR="00D55ABD" w:rsidRPr="00D55ABD">
        <w:t xml:space="preserve"> mechanisms</w:t>
      </w:r>
      <w:r w:rsidR="001A2872">
        <w:t xml:space="preserve"> </w:t>
      </w:r>
      <w:r w:rsidR="00D55ABD" w:rsidRPr="00D55ABD">
        <w:t xml:space="preserve">that were observed across </w:t>
      </w:r>
      <w:r w:rsidR="007B1FD0">
        <w:t>multiple</w:t>
      </w:r>
      <w:r w:rsidR="00D55ABD" w:rsidRPr="00D55ABD">
        <w:t xml:space="preserve"> interventions </w:t>
      </w:r>
      <w:r w:rsidR="002F705B" w:rsidRPr="001A2872">
        <w:rPr>
          <w:i/>
          <w:iCs/>
        </w:rPr>
        <w:t>with potential</w:t>
      </w:r>
      <w:r w:rsidR="007B1FD0">
        <w:t xml:space="preserve"> to be effective</w:t>
      </w:r>
      <w:r w:rsidR="001A2872">
        <w:t>;</w:t>
      </w:r>
      <w:r w:rsidR="00D55ABD" w:rsidRPr="00D55ABD">
        <w:t xml:space="preserve"> </w:t>
      </w:r>
      <w:r w:rsidR="001A2872">
        <w:t>these were</w:t>
      </w:r>
      <w:r w:rsidR="002F705B">
        <w:t xml:space="preserve"> mechanisms</w:t>
      </w:r>
      <w:r w:rsidR="002F705B" w:rsidRPr="00966851">
        <w:t xml:space="preserve"> within each </w:t>
      </w:r>
      <w:r w:rsidR="002F705B">
        <w:t xml:space="preserve">(complex) </w:t>
      </w:r>
      <w:r w:rsidR="002F705B" w:rsidRPr="00966851">
        <w:t xml:space="preserve">intervention that </w:t>
      </w:r>
      <w:r w:rsidR="00672FE6">
        <w:t xml:space="preserve">either had evidence of effectiveness within interventional studies or within supporting literature, such as our supporting background reviews. </w:t>
      </w:r>
      <w:r w:rsidR="007B1FD0" w:rsidRPr="00D55ABD">
        <w:t xml:space="preserve">We also focussed on identifying contextual factors that </w:t>
      </w:r>
      <w:r w:rsidR="005A79B0">
        <w:t>were associated with</w:t>
      </w:r>
      <w:r w:rsidR="007B1FD0" w:rsidRPr="00D55ABD">
        <w:t xml:space="preserve"> specific mechanisms.</w:t>
      </w:r>
    </w:p>
    <w:p w14:paraId="57191ED5" w14:textId="162D4559" w:rsidR="00D51BA7" w:rsidRPr="00333E3E" w:rsidRDefault="00D51BA7" w:rsidP="00D51BA7">
      <w:pPr>
        <w:rPr>
          <w:highlight w:val="yellow"/>
        </w:rPr>
      </w:pPr>
      <w:r>
        <w:t xml:space="preserve">Validation of the </w:t>
      </w:r>
      <w:r w:rsidR="00333E3E">
        <w:t>identified Contexts and Mechanisms</w:t>
      </w:r>
      <w:r>
        <w:t xml:space="preserve"> </w:t>
      </w:r>
      <w:r w:rsidR="00C70B03">
        <w:t xml:space="preserve">occurred in </w:t>
      </w:r>
      <w:r w:rsidR="00BF31C9">
        <w:t>two</w:t>
      </w:r>
      <w:r w:rsidR="00C70B03">
        <w:t xml:space="preserve"> meeting</w:t>
      </w:r>
      <w:r w:rsidR="00BF31C9">
        <w:t>s</w:t>
      </w:r>
      <w:r w:rsidR="00C70B03">
        <w:t xml:space="preserve"> of</w:t>
      </w:r>
      <w:r>
        <w:t xml:space="preserve"> </w:t>
      </w:r>
      <w:r w:rsidR="009A40B5">
        <w:t xml:space="preserve">the </w:t>
      </w:r>
      <w:r w:rsidR="00E62928">
        <w:t>EWG</w:t>
      </w:r>
      <w:r>
        <w:t xml:space="preserve"> (</w:t>
      </w:r>
      <w:r w:rsidRPr="00946E8C">
        <w:t xml:space="preserve">Step 8). </w:t>
      </w:r>
      <w:r w:rsidR="00946E8C" w:rsidRPr="00946E8C">
        <w:t>Within this workshop,</w:t>
      </w:r>
      <w:r w:rsidRPr="00946E8C">
        <w:t xml:space="preserve"> recommendations for research and practice</w:t>
      </w:r>
      <w:r w:rsidR="00946E8C" w:rsidRPr="00946E8C">
        <w:t xml:space="preserve"> were co-developed</w:t>
      </w:r>
      <w:r w:rsidRPr="00A859A5">
        <w:t xml:space="preserve"> (Step 9, 10).</w:t>
      </w:r>
      <w:r>
        <w:t xml:space="preserve"> </w:t>
      </w:r>
    </w:p>
    <w:p w14:paraId="79C0A585" w14:textId="6D49B8F9" w:rsidR="00D51BA7" w:rsidRPr="001E7271" w:rsidRDefault="001E7271" w:rsidP="00D51BA7">
      <w:pPr>
        <w:pStyle w:val="NormalWeb"/>
        <w:shd w:val="clear" w:color="auto" w:fill="FFFFFF"/>
        <w:spacing w:before="0" w:beforeAutospacing="0" w:after="160" w:afterAutospacing="0" w:line="235" w:lineRule="atLeast"/>
        <w:rPr>
          <w:rFonts w:ascii="Calibri" w:hAnsi="Calibri" w:cs="Calibri"/>
          <w:i/>
          <w:iCs/>
          <w:color w:val="201F1E"/>
          <w:sz w:val="22"/>
          <w:szCs w:val="22"/>
        </w:rPr>
      </w:pPr>
      <w:r w:rsidRPr="001E7271">
        <w:rPr>
          <w:rFonts w:ascii="Calibri" w:hAnsi="Calibri" w:cs="Calibri"/>
          <w:i/>
          <w:iCs/>
          <w:color w:val="201F1E"/>
          <w:sz w:val="22"/>
          <w:szCs w:val="22"/>
        </w:rPr>
        <w:t>Patient and public involvement</w:t>
      </w:r>
    </w:p>
    <w:p w14:paraId="6E9ADED8" w14:textId="45960EF9" w:rsidR="00D51BA7" w:rsidRDefault="001E7271" w:rsidP="00D51BA7">
      <w:r>
        <w:t xml:space="preserve">The idea for the study was informed by </w:t>
      </w:r>
      <w:r w:rsidR="00AA28D3">
        <w:t xml:space="preserve">a priority setting exercise with people with </w:t>
      </w:r>
      <w:proofErr w:type="gramStart"/>
      <w:r w:rsidR="00AA28D3">
        <w:t>osteoporosis.</w:t>
      </w:r>
      <w:r w:rsidR="00A04A9C">
        <w:t>[</w:t>
      </w:r>
      <w:proofErr w:type="gramEnd"/>
      <w:r w:rsidR="00F264DB">
        <w:t>20-21</w:t>
      </w:r>
      <w:r w:rsidR="00A04A9C">
        <w:t>]</w:t>
      </w:r>
      <w:r w:rsidR="00AA28D3">
        <w:t xml:space="preserve"> The initial protocol and scope </w:t>
      </w:r>
      <w:r w:rsidR="007D337F">
        <w:t>were</w:t>
      </w:r>
      <w:r w:rsidR="00AA28D3">
        <w:t xml:space="preserve"> discussed </w:t>
      </w:r>
      <w:r w:rsidR="0006395B">
        <w:t>within a dedicated meeting</w:t>
      </w:r>
      <w:r w:rsidR="00AA28D3">
        <w:t xml:space="preserve"> of </w:t>
      </w:r>
      <w:r w:rsidR="00E62928">
        <w:t>ROS</w:t>
      </w:r>
      <w:r w:rsidR="00C8624E">
        <w:t xml:space="preserve"> </w:t>
      </w:r>
      <w:r w:rsidR="00AA28D3">
        <w:t xml:space="preserve">patient advocates who advised on the title, search strategy and scope. </w:t>
      </w:r>
      <w:r w:rsidR="002427A3">
        <w:t xml:space="preserve">Patient advocates were involved in the </w:t>
      </w:r>
      <w:r w:rsidR="00E62928">
        <w:t>EWG</w:t>
      </w:r>
      <w:r w:rsidR="009A40B5">
        <w:t xml:space="preserve"> </w:t>
      </w:r>
      <w:r w:rsidR="002427A3">
        <w:t>meetings</w:t>
      </w:r>
      <w:r w:rsidR="007D337F">
        <w:t xml:space="preserve">. </w:t>
      </w:r>
    </w:p>
    <w:p w14:paraId="4663E44D" w14:textId="77777777" w:rsidR="00D51BA7" w:rsidRDefault="00D51BA7" w:rsidP="00D51BA7">
      <w:pPr>
        <w:ind w:left="360"/>
      </w:pPr>
    </w:p>
    <w:p w14:paraId="50C2F3B2" w14:textId="77777777" w:rsidR="00D51BA7" w:rsidRDefault="00D51BA7" w:rsidP="00F06231"/>
    <w:p w14:paraId="1B04CDAD" w14:textId="63F1361C" w:rsidR="00C56A7A" w:rsidRDefault="00224B06" w:rsidP="00434D85">
      <w:pPr>
        <w:rPr>
          <w:b/>
          <w:bCs/>
        </w:rPr>
      </w:pPr>
      <w:r>
        <w:rPr>
          <w:b/>
          <w:bCs/>
        </w:rPr>
        <w:br w:type="page"/>
      </w:r>
      <w:r w:rsidR="00C56A7A" w:rsidRPr="00C56A7A">
        <w:rPr>
          <w:b/>
          <w:bCs/>
        </w:rPr>
        <w:lastRenderedPageBreak/>
        <w:t>Results</w:t>
      </w:r>
    </w:p>
    <w:p w14:paraId="4B85C50D" w14:textId="22A71982" w:rsidR="00680E1D" w:rsidRPr="008C6E84" w:rsidRDefault="008C6E84" w:rsidP="00434D85">
      <w:r w:rsidRPr="008C6E84">
        <w:t xml:space="preserve">The </w:t>
      </w:r>
      <w:r w:rsidR="00DE105D">
        <w:t>primary</w:t>
      </w:r>
      <w:r w:rsidR="00870A11">
        <w:t xml:space="preserve"> search</w:t>
      </w:r>
      <w:r w:rsidRPr="008C6E84">
        <w:t xml:space="preserve"> identified </w:t>
      </w:r>
      <w:r w:rsidR="005D4742">
        <w:t>26</w:t>
      </w:r>
      <w:r w:rsidRPr="008C6E84">
        <w:t xml:space="preserve"> full-text articles of existing interventions</w:t>
      </w:r>
      <w:r w:rsidR="005D4742">
        <w:t xml:space="preserve"> (11 from the primary search, supplemented with 15 from </w:t>
      </w:r>
      <w:proofErr w:type="spellStart"/>
      <w:r w:rsidR="005D4742">
        <w:t>Cornelis</w:t>
      </w:r>
      <w:r w:rsidR="00DC374D">
        <w:t>s</w:t>
      </w:r>
      <w:r w:rsidR="005D4742">
        <w:t>on</w:t>
      </w:r>
      <w:proofErr w:type="spellEnd"/>
      <w:r w:rsidR="005D4742">
        <w:t xml:space="preserve"> et al</w:t>
      </w:r>
      <w:r w:rsidR="00D72133">
        <w:t xml:space="preserve">, </w:t>
      </w:r>
      <w:r w:rsidR="008C2828">
        <w:t>[</w:t>
      </w:r>
      <w:r w:rsidR="00F264DB">
        <w:t>9</w:t>
      </w:r>
      <w:r w:rsidR="008C2828">
        <w:t>]</w:t>
      </w:r>
      <w:r w:rsidR="00D72133">
        <w:t>)</w:t>
      </w:r>
      <w:r w:rsidR="00870A11">
        <w:t xml:space="preserve"> </w:t>
      </w:r>
      <w:r w:rsidR="00E96CA0">
        <w:t>(</w:t>
      </w:r>
      <w:r w:rsidRPr="002E530B">
        <w:t xml:space="preserve">Table </w:t>
      </w:r>
      <w:r w:rsidR="00DC374D" w:rsidRPr="008C2828">
        <w:t>1</w:t>
      </w:r>
      <w:r w:rsidR="00680694">
        <w:t xml:space="preserve">, </w:t>
      </w:r>
      <w:r w:rsidR="00116A7E">
        <w:t xml:space="preserve">and further details in </w:t>
      </w:r>
      <w:r w:rsidR="00680694">
        <w:t>Supp</w:t>
      </w:r>
      <w:r w:rsidR="00116A7E">
        <w:t>lementary Table 1</w:t>
      </w:r>
      <w:r w:rsidR="00E96CA0">
        <w:t>)</w:t>
      </w:r>
      <w:r w:rsidRPr="008C6E84">
        <w:t xml:space="preserve">. The iterative secondary search further identified </w:t>
      </w:r>
      <w:r w:rsidR="003732A4">
        <w:t>1</w:t>
      </w:r>
      <w:r w:rsidR="00170BCD">
        <w:t>7</w:t>
      </w:r>
      <w:r w:rsidRPr="008C6E84">
        <w:t xml:space="preserve"> records that</w:t>
      </w:r>
      <w:r w:rsidR="00CC57C1">
        <w:t xml:space="preserve"> either</w:t>
      </w:r>
      <w:r w:rsidRPr="008C6E84">
        <w:t xml:space="preserve"> provided further insight into these interventions </w:t>
      </w:r>
      <w:r w:rsidR="00CC57C1">
        <w:t xml:space="preserve">or our emerging </w:t>
      </w:r>
      <w:r w:rsidR="00595E7D">
        <w:t>mechanisms of interest</w:t>
      </w:r>
      <w:r w:rsidR="00E31689">
        <w:t xml:space="preserve"> (</w:t>
      </w:r>
      <w:r w:rsidR="00595E7D" w:rsidRPr="002737F1">
        <w:t>Supp</w:t>
      </w:r>
      <w:r w:rsidR="002737F1">
        <w:t>lementary</w:t>
      </w:r>
      <w:r w:rsidR="00595E7D" w:rsidRPr="002737F1">
        <w:t xml:space="preserve"> data</w:t>
      </w:r>
      <w:r w:rsidR="003732A4" w:rsidRPr="002737F1">
        <w:t xml:space="preserve"> </w:t>
      </w:r>
      <w:r w:rsidR="002737F1" w:rsidRPr="002737F1">
        <w:t>4</w:t>
      </w:r>
      <w:r w:rsidR="00E31689">
        <w:t>)</w:t>
      </w:r>
      <w:r w:rsidRPr="002737F1">
        <w:t xml:space="preserve">. </w:t>
      </w:r>
    </w:p>
    <w:p w14:paraId="515B0C54" w14:textId="4A6C45AA" w:rsidR="00C56A7A" w:rsidRDefault="00C56A7A" w:rsidP="00434D85">
      <w:pPr>
        <w:rPr>
          <w:b/>
          <w:bCs/>
        </w:rPr>
      </w:pPr>
      <w:r w:rsidRPr="00B83FB0">
        <w:rPr>
          <w:b/>
          <w:bCs/>
        </w:rPr>
        <w:t>Context</w:t>
      </w:r>
    </w:p>
    <w:p w14:paraId="36B96738" w14:textId="4AB987CB" w:rsidR="00762B71" w:rsidRPr="00D01C8F" w:rsidRDefault="00A830E9" w:rsidP="00434D85">
      <w:r>
        <w:t>18</w:t>
      </w:r>
      <w:r w:rsidR="002D65FA" w:rsidRPr="00D01C8F">
        <w:t xml:space="preserve"> studies</w:t>
      </w:r>
      <w:r w:rsidR="00070676" w:rsidRPr="00070676">
        <w:t xml:space="preserve"> </w:t>
      </w:r>
      <w:r w:rsidR="00070676">
        <w:t>identified in the primary search</w:t>
      </w:r>
      <w:r w:rsidR="002D65FA" w:rsidRPr="00D01C8F">
        <w:t xml:space="preserve"> were </w:t>
      </w:r>
      <w:r w:rsidR="00D01C8F" w:rsidRPr="00D01C8F">
        <w:t>situated with</w:t>
      </w:r>
      <w:r w:rsidR="00B73E39">
        <w:t>in</w:t>
      </w:r>
      <w:r w:rsidR="00D01C8F" w:rsidRPr="00D01C8F">
        <w:t xml:space="preserve"> specialised outpatient clinics,</w:t>
      </w:r>
      <w:r w:rsidR="005E23FF">
        <w:t>[2</w:t>
      </w:r>
      <w:r w:rsidR="00127B45">
        <w:t>2</w:t>
      </w:r>
      <w:r w:rsidR="005E23FF">
        <w:t>-3</w:t>
      </w:r>
      <w:r w:rsidR="00127B45">
        <w:t>1</w:t>
      </w:r>
      <w:r w:rsidR="005E23FF">
        <w:t>]</w:t>
      </w:r>
      <w:r w:rsidR="00D01C8F" w:rsidRPr="00D01C8F">
        <w:t xml:space="preserve"> or Fracture Liaison Services</w:t>
      </w:r>
      <w:r w:rsidR="00070676">
        <w:t xml:space="preserve"> (FLSs</w:t>
      </w:r>
      <w:r w:rsidR="00B55937">
        <w:t xml:space="preserve"> - </w:t>
      </w:r>
      <w:r w:rsidR="00B55937" w:rsidRPr="00E21FEB">
        <w:t xml:space="preserve">services in which a co-ordinator identifies patients with </w:t>
      </w:r>
      <w:r w:rsidR="00B55937">
        <w:t>fragility</w:t>
      </w:r>
      <w:r w:rsidR="00B55937" w:rsidRPr="00E21FEB">
        <w:t xml:space="preserve"> fracture</w:t>
      </w:r>
      <w:r w:rsidR="00B55937">
        <w:t>s</w:t>
      </w:r>
      <w:r w:rsidR="00B55937" w:rsidRPr="00E21FEB">
        <w:t>, carries out risk assessments, initiates evidence</w:t>
      </w:r>
      <w:r w:rsidR="00B55937">
        <w:t>-</w:t>
      </w:r>
      <w:r w:rsidR="00B55937" w:rsidRPr="00E21FEB">
        <w:t>based interventions for bone health and falls</w:t>
      </w:r>
      <w:r w:rsidR="00070676">
        <w:t>)</w:t>
      </w:r>
      <w:r w:rsidR="00D01C8F" w:rsidRPr="00D01C8F">
        <w:t>,</w:t>
      </w:r>
      <w:r w:rsidR="005E23FF">
        <w:t>[3</w:t>
      </w:r>
      <w:r w:rsidR="00127B45">
        <w:t>2</w:t>
      </w:r>
      <w:r>
        <w:t>-</w:t>
      </w:r>
      <w:r w:rsidR="00127B45">
        <w:t>39</w:t>
      </w:r>
      <w:r>
        <w:t>]</w:t>
      </w:r>
      <w:r w:rsidR="00D01C8F" w:rsidRPr="00D01C8F">
        <w:t xml:space="preserve"> with </w:t>
      </w:r>
      <w:r>
        <w:t>8</w:t>
      </w:r>
      <w:r w:rsidR="00D01C8F" w:rsidRPr="00D01C8F">
        <w:t xml:space="preserve"> studies in </w:t>
      </w:r>
      <w:r w:rsidR="005D64F5">
        <w:t xml:space="preserve">community </w:t>
      </w:r>
      <w:r w:rsidR="00D01C8F" w:rsidRPr="00D01C8F">
        <w:t>pharmacy services or primary care, or a combination.</w:t>
      </w:r>
      <w:r>
        <w:t>[4</w:t>
      </w:r>
      <w:r w:rsidR="00127B45">
        <w:t>0</w:t>
      </w:r>
      <w:r>
        <w:t>-4</w:t>
      </w:r>
      <w:r w:rsidR="00127B45">
        <w:t>7</w:t>
      </w:r>
      <w:r>
        <w:t>]</w:t>
      </w:r>
      <w:r w:rsidR="00D01C8F" w:rsidRPr="00D01C8F">
        <w:t xml:space="preserve"> </w:t>
      </w:r>
      <w:r w:rsidR="005D64F5">
        <w:t>The setting for one study was unclear.</w:t>
      </w:r>
      <w:r w:rsidR="00D5696F">
        <w:t>[4</w:t>
      </w:r>
      <w:r w:rsidR="00127B45">
        <w:t>6</w:t>
      </w:r>
      <w:r w:rsidR="00D5696F">
        <w:t>]</w:t>
      </w:r>
      <w:r w:rsidR="005D64F5">
        <w:t xml:space="preserve"> </w:t>
      </w:r>
      <w:r w:rsidR="00B35A7E">
        <w:t>In studies reporting patient-</w:t>
      </w:r>
      <w:r w:rsidR="00A81CC8">
        <w:t xml:space="preserve">professional </w:t>
      </w:r>
      <w:r w:rsidR="00B35A7E">
        <w:t xml:space="preserve">interventions, the clinician was most often a nurse, but also pharmacist, specialist doctor, Primary Care Practitioner (PCP) or non-clinician. </w:t>
      </w:r>
      <w:r w:rsidR="00D86D3F">
        <w:t xml:space="preserve">Patient participants were all female in </w:t>
      </w:r>
      <w:r w:rsidR="00A853F4">
        <w:t>10 studies, mostly</w:t>
      </w:r>
      <w:r w:rsidR="00D86D3F">
        <w:t xml:space="preserve"> taking oral medication</w:t>
      </w:r>
      <w:r w:rsidR="000115A9">
        <w:t xml:space="preserve"> (</w:t>
      </w:r>
      <w:r w:rsidR="00D86D3F">
        <w:t xml:space="preserve">with one exception </w:t>
      </w:r>
      <w:r w:rsidR="00317AD0">
        <w:t xml:space="preserve">relating to daily teriparatide injections </w:t>
      </w:r>
      <w:r w:rsidR="00D434F3">
        <w:t>[4</w:t>
      </w:r>
      <w:r w:rsidR="00127B45">
        <w:t>7</w:t>
      </w:r>
      <w:r w:rsidR="00D434F3">
        <w:t>]</w:t>
      </w:r>
      <w:r w:rsidR="00C777F0">
        <w:t>)</w:t>
      </w:r>
      <w:r w:rsidR="00A853F4">
        <w:t xml:space="preserve"> and the mean age, where reported</w:t>
      </w:r>
      <w:r w:rsidR="00317AD0">
        <w:t>,</w:t>
      </w:r>
      <w:r w:rsidR="00A853F4">
        <w:t xml:space="preserve"> ranged from </w:t>
      </w:r>
      <w:r w:rsidR="000115A9">
        <w:t>62.4 to 75.6 years</w:t>
      </w:r>
      <w:r w:rsidR="00D86D3F">
        <w:t>.</w:t>
      </w:r>
      <w:r w:rsidR="0065707D">
        <w:t xml:space="preserve"> </w:t>
      </w:r>
    </w:p>
    <w:p w14:paraId="46FCB505" w14:textId="3616D423" w:rsidR="00C56A7A" w:rsidRDefault="002258BE" w:rsidP="00434D85">
      <w:r>
        <w:t>T</w:t>
      </w:r>
      <w:r w:rsidR="000077E7">
        <w:t>he most important contextual factors appeared to be related to timing of the intervention</w:t>
      </w:r>
      <w:r w:rsidR="00E7682F">
        <w:t xml:space="preserve"> from the first identification of a problem to medicine reviews</w:t>
      </w:r>
      <w:r w:rsidR="000077E7">
        <w:t xml:space="preserve">. </w:t>
      </w:r>
      <w:r w:rsidR="00985E50">
        <w:t>We used the</w:t>
      </w:r>
      <w:r w:rsidR="00204B71">
        <w:t xml:space="preserve"> five</w:t>
      </w:r>
      <w:r w:rsidR="00985E50">
        <w:t xml:space="preserve"> stages of medicine management adapted from the MEMORABLE study to describe these time points of interest</w:t>
      </w:r>
      <w:r w:rsidR="00DE11F4">
        <w:t xml:space="preserve"> from the perspective of the person with osteoporosis and the clinician and health-care system</w:t>
      </w:r>
      <w:r w:rsidR="00985E50">
        <w:t xml:space="preserve"> (</w:t>
      </w:r>
      <w:r w:rsidR="00383E3F">
        <w:t>Figure 1).</w:t>
      </w:r>
      <w:r w:rsidR="00D434F3">
        <w:t>[</w:t>
      </w:r>
      <w:r w:rsidR="00127B45">
        <w:t>19</w:t>
      </w:r>
      <w:r w:rsidR="00D434F3">
        <w:t>]</w:t>
      </w:r>
      <w:r w:rsidR="001972DB">
        <w:t xml:space="preserve"> </w:t>
      </w:r>
    </w:p>
    <w:p w14:paraId="04A9D7D7" w14:textId="77777777" w:rsidR="00BC2344" w:rsidRPr="00C56A7A" w:rsidRDefault="00BC2344" w:rsidP="00BC2344">
      <w:pPr>
        <w:rPr>
          <w:b/>
          <w:bCs/>
        </w:rPr>
      </w:pPr>
      <w:r w:rsidRPr="00C56A7A">
        <w:rPr>
          <w:b/>
          <w:bCs/>
        </w:rPr>
        <w:t>Mechanisms</w:t>
      </w:r>
      <w:r>
        <w:rPr>
          <w:b/>
          <w:bCs/>
        </w:rPr>
        <w:t xml:space="preserve"> and Outcomes</w:t>
      </w:r>
    </w:p>
    <w:p w14:paraId="03712742" w14:textId="56E2CC3C" w:rsidR="006C20B3" w:rsidRDefault="00BC2344" w:rsidP="006D2811">
      <w:r>
        <w:t xml:space="preserve">We identified six key groups of mechanisms as illustrated in Figure 2, aligned to the three ‘lollipop’ levels of </w:t>
      </w:r>
      <w:proofErr w:type="gramStart"/>
      <w:r>
        <w:t>intervention</w:t>
      </w:r>
      <w:proofErr w:type="gramEnd"/>
      <w:r>
        <w:t xml:space="preserve"> and crossing over various contextual stages</w:t>
      </w:r>
      <w:r w:rsidR="00C21E82">
        <w:t xml:space="preserve"> (timepoints)</w:t>
      </w:r>
      <w:r>
        <w:t xml:space="preserve"> of medicines management</w:t>
      </w:r>
      <w:r w:rsidR="00C21E82">
        <w:t xml:space="preserve"> (Figure 1)</w:t>
      </w:r>
      <w:r>
        <w:t>.</w:t>
      </w:r>
      <w:r w:rsidR="00DA4455">
        <w:t>[1</w:t>
      </w:r>
      <w:r w:rsidR="00127B45">
        <w:t>7</w:t>
      </w:r>
      <w:r w:rsidR="00DA4455">
        <w:t>]</w:t>
      </w:r>
      <w:r>
        <w:t xml:space="preserve"> Patient mechanisms were typically targeted at unintentional non-adherence, to increase patient capability and overcome practical difficulties. Patient-clinician mechanisms aimed to address intentional non-adherence, and healthcare mechanisms had potential for multiple effects.</w:t>
      </w:r>
      <w:r w:rsidR="006D2811">
        <w:t xml:space="preserve"> We discuss the main mechanisms in relation to the </w:t>
      </w:r>
      <w:r w:rsidR="005C2D26">
        <w:t>five</w:t>
      </w:r>
      <w:r w:rsidR="006D2811">
        <w:t xml:space="preserve"> contextual </w:t>
      </w:r>
      <w:r w:rsidR="005261C5">
        <w:t>stages</w:t>
      </w:r>
      <w:r w:rsidR="006D2811">
        <w:t>, below</w:t>
      </w:r>
      <w:r w:rsidR="00D3644D">
        <w:t xml:space="preserve">, with </w:t>
      </w:r>
      <w:r w:rsidR="006D2811">
        <w:t>CMO configurations summarised in</w:t>
      </w:r>
      <w:r w:rsidR="008D56D3">
        <w:t xml:space="preserve"> </w:t>
      </w:r>
      <w:r w:rsidR="00116A7E">
        <w:t xml:space="preserve">Supplementary </w:t>
      </w:r>
      <w:r w:rsidR="008D56D3" w:rsidRPr="0032190F">
        <w:t xml:space="preserve">Table </w:t>
      </w:r>
      <w:r w:rsidR="004E4FDB" w:rsidRPr="0032190F">
        <w:t>2</w:t>
      </w:r>
      <w:r w:rsidR="008D56D3" w:rsidRPr="0032190F">
        <w:t>.</w:t>
      </w:r>
    </w:p>
    <w:p w14:paraId="77359DC9" w14:textId="77777777" w:rsidR="006C20B3" w:rsidRDefault="006C20B3">
      <w:r>
        <w:br w:type="page"/>
      </w:r>
    </w:p>
    <w:p w14:paraId="1CA0B8BF" w14:textId="77777777" w:rsidR="006C20B3" w:rsidRDefault="006C20B3" w:rsidP="006D2811">
      <w:pPr>
        <w:sectPr w:rsidR="006C20B3" w:rsidSect="00457023">
          <w:footerReference w:type="default" r:id="rId9"/>
          <w:type w:val="continuous"/>
          <w:pgSz w:w="11906" w:h="16838"/>
          <w:pgMar w:top="1440" w:right="1440" w:bottom="1440" w:left="1440" w:header="708" w:footer="708" w:gutter="0"/>
          <w:cols w:space="708"/>
          <w:docGrid w:linePitch="360"/>
        </w:sectPr>
      </w:pPr>
    </w:p>
    <w:p w14:paraId="48F19D44" w14:textId="5CDC4755" w:rsidR="002115E4" w:rsidRPr="000426D2" w:rsidRDefault="000426D2" w:rsidP="002115E4">
      <w:pPr>
        <w:rPr>
          <w:b/>
          <w:bCs/>
        </w:rPr>
      </w:pPr>
      <w:r w:rsidRPr="000426D2">
        <w:rPr>
          <w:b/>
          <w:bCs/>
        </w:rPr>
        <w:lastRenderedPageBreak/>
        <w:t xml:space="preserve">Person with osteoporosis: </w:t>
      </w:r>
      <w:r w:rsidR="002115E4" w:rsidRPr="000426D2">
        <w:rPr>
          <w:b/>
          <w:bCs/>
        </w:rPr>
        <w:t xml:space="preserve">Identifying the problem </w:t>
      </w:r>
      <w:r w:rsidR="00F800B1">
        <w:rPr>
          <w:b/>
          <w:bCs/>
        </w:rPr>
        <w:t>(</w:t>
      </w:r>
      <w:r w:rsidR="002115E4" w:rsidRPr="000426D2">
        <w:rPr>
          <w:b/>
          <w:bCs/>
        </w:rPr>
        <w:t>Step 1</w:t>
      </w:r>
      <w:r w:rsidR="00F800B1">
        <w:rPr>
          <w:b/>
          <w:bCs/>
        </w:rPr>
        <w:t>)</w:t>
      </w:r>
    </w:p>
    <w:p w14:paraId="4E3F5851" w14:textId="19080D99" w:rsidR="00627862" w:rsidRDefault="00627862" w:rsidP="002115E4">
      <w:pPr>
        <w:rPr>
          <w:i/>
          <w:iCs/>
        </w:rPr>
      </w:pPr>
      <w:r>
        <w:rPr>
          <w:i/>
          <w:iCs/>
        </w:rPr>
        <w:t xml:space="preserve">Mechanisms to </w:t>
      </w:r>
      <w:r w:rsidR="002208D1">
        <w:rPr>
          <w:i/>
          <w:iCs/>
        </w:rPr>
        <w:t>support patient informed decision making</w:t>
      </w:r>
      <w:r w:rsidR="00F800B1">
        <w:rPr>
          <w:i/>
          <w:iCs/>
        </w:rPr>
        <w:t xml:space="preserve"> </w:t>
      </w:r>
    </w:p>
    <w:p w14:paraId="411069D2" w14:textId="6AF5873F" w:rsidR="00EE78E8" w:rsidRDefault="00770D7E" w:rsidP="00EE78E8">
      <w:r>
        <w:t>From our background literature, we identified that p</w:t>
      </w:r>
      <w:r w:rsidR="002115E4">
        <w:t xml:space="preserve">atients may find it hard to ‘identify the problem’ and believe that osteoporosis is a normal condition of ageing for which treatment is </w:t>
      </w:r>
      <w:r w:rsidR="00375EC8">
        <w:t>futile</w:t>
      </w:r>
      <w:r w:rsidR="00AF5581">
        <w:t>,</w:t>
      </w:r>
      <w:r w:rsidR="00375EC8">
        <w:t xml:space="preserve"> or</w:t>
      </w:r>
      <w:r w:rsidR="00AF5581">
        <w:t>,</w:t>
      </w:r>
      <w:r w:rsidR="002115E4">
        <w:t xml:space="preserve"> fail to believe that they are at r</w:t>
      </w:r>
      <w:r w:rsidR="00375EC8">
        <w:t>isk</w:t>
      </w:r>
      <w:r w:rsidR="002115E4">
        <w:t>.</w:t>
      </w:r>
      <w:r w:rsidR="00375EC8">
        <w:t>[</w:t>
      </w:r>
      <w:r w:rsidR="00B47C61">
        <w:t>13</w:t>
      </w:r>
      <w:r w:rsidR="00375EC8">
        <w:t>]</w:t>
      </w:r>
      <w:r w:rsidR="002115E4">
        <w:t xml:space="preserve"> </w:t>
      </w:r>
      <w:r w:rsidR="00E02E90">
        <w:t xml:space="preserve"> </w:t>
      </w:r>
      <w:r w:rsidR="00A30C34">
        <w:t>We identified i</w:t>
      </w:r>
      <w:r w:rsidR="00233672">
        <w:t xml:space="preserve">nterventions </w:t>
      </w:r>
      <w:r w:rsidR="009E460D">
        <w:t xml:space="preserve">which are specifically targeted at helping patients </w:t>
      </w:r>
      <w:r w:rsidR="00741BB6">
        <w:t>understand osteoporosis</w:t>
      </w:r>
      <w:r w:rsidR="00467ED3">
        <w:t xml:space="preserve"> and </w:t>
      </w:r>
      <w:r w:rsidR="009E460D">
        <w:t>make informed decisions</w:t>
      </w:r>
      <w:r w:rsidR="00AF5581">
        <w:t>,</w:t>
      </w:r>
      <w:r w:rsidR="009E460D">
        <w:t xml:space="preserve"> </w:t>
      </w:r>
      <w:r w:rsidR="00473481">
        <w:t>includ</w:t>
      </w:r>
      <w:r w:rsidR="00A30C34">
        <w:t>ing a</w:t>
      </w:r>
      <w:r w:rsidR="00473481">
        <w:t xml:space="preserve"> decision aid</w:t>
      </w:r>
      <w:r w:rsidR="005B6640">
        <w:t xml:space="preserve"> </w:t>
      </w:r>
      <w:r w:rsidR="002370C5">
        <w:t>to promote shared decision making about</w:t>
      </w:r>
      <w:r w:rsidR="005B6640">
        <w:t xml:space="preserve"> medicines in clinical consultations</w:t>
      </w:r>
      <w:r w:rsidR="00473481">
        <w:t xml:space="preserve">, </w:t>
      </w:r>
      <w:r w:rsidR="00E0667F">
        <w:t xml:space="preserve">and </w:t>
      </w:r>
      <w:r w:rsidR="00473481">
        <w:t>educational brochures or videos</w:t>
      </w:r>
      <w:r w:rsidR="00330F56">
        <w:t xml:space="preserve">, </w:t>
      </w:r>
      <w:r w:rsidR="005B6640">
        <w:t>to</w:t>
      </w:r>
      <w:r w:rsidR="00330F56">
        <w:t xml:space="preserve"> provide information</w:t>
      </w:r>
      <w:r w:rsidR="00473481">
        <w:t>.</w:t>
      </w:r>
      <w:r w:rsidR="00586D21">
        <w:t xml:space="preserve"> </w:t>
      </w:r>
      <w:r w:rsidR="00741BB6">
        <w:t>For example, a</w:t>
      </w:r>
      <w:r w:rsidR="00E02E90">
        <w:t xml:space="preserve"> w</w:t>
      </w:r>
      <w:r w:rsidR="005B6640">
        <w:t>ithin</w:t>
      </w:r>
      <w:r w:rsidR="00365DCD">
        <w:t>-</w:t>
      </w:r>
      <w:r w:rsidR="005B6640">
        <w:t>consultation decision aid</w:t>
      </w:r>
      <w:r w:rsidR="008A4874">
        <w:t xml:space="preserve">, compared to </w:t>
      </w:r>
      <w:r w:rsidR="00C777BC">
        <w:t xml:space="preserve">usual </w:t>
      </w:r>
      <w:r w:rsidR="00AA195B">
        <w:t xml:space="preserve">primary </w:t>
      </w:r>
      <w:r w:rsidR="00C777BC">
        <w:t xml:space="preserve">care </w:t>
      </w:r>
      <w:r w:rsidR="005B6640">
        <w:t xml:space="preserve">was effective at increasing patient engagement, knowledge and understanding of fracture risk </w:t>
      </w:r>
      <w:r w:rsidR="008A4874">
        <w:t>but did not change adherence</w:t>
      </w:r>
      <w:r w:rsidR="00DF7747">
        <w:t>, although a trend towards higher initiation rates were seen</w:t>
      </w:r>
      <w:r w:rsidR="005B6640">
        <w:t>.</w:t>
      </w:r>
      <w:r w:rsidR="00AF7C3C">
        <w:t>[4</w:t>
      </w:r>
      <w:r w:rsidR="00127B45">
        <w:t>2</w:t>
      </w:r>
      <w:r w:rsidR="00AF7C3C">
        <w:t>]</w:t>
      </w:r>
      <w:r w:rsidR="00EE78E8">
        <w:t xml:space="preserve"> </w:t>
      </w:r>
      <w:r w:rsidR="00A37558">
        <w:t>[</w:t>
      </w:r>
      <w:r w:rsidR="008062A5">
        <w:t>48</w:t>
      </w:r>
      <w:r w:rsidR="00A37558">
        <w:t>]</w:t>
      </w:r>
      <w:r w:rsidR="00141192">
        <w:t xml:space="preserve"> </w:t>
      </w:r>
    </w:p>
    <w:p w14:paraId="3D565F2D" w14:textId="3F8EEEC1" w:rsidR="00205F2B" w:rsidRDefault="00205F2B" w:rsidP="00EE78E8">
      <w:r>
        <w:t>Group interaction with peers in group consultation may be a further factor to support informed decision making although two comparison study identified adherence rates were similar following traditional or group consultations</w:t>
      </w:r>
      <w:r w:rsidR="001A2FAA">
        <w:t>. [2</w:t>
      </w:r>
      <w:r w:rsidR="00127B45">
        <w:t>5</w:t>
      </w:r>
      <w:r w:rsidR="001A2FAA">
        <w:t>,</w:t>
      </w:r>
      <w:r w:rsidR="008062A5">
        <w:t>49</w:t>
      </w:r>
      <w:r w:rsidR="001A2FAA">
        <w:t xml:space="preserve">] </w:t>
      </w:r>
    </w:p>
    <w:p w14:paraId="33378A70" w14:textId="4C7699A1" w:rsidR="009C366A" w:rsidRDefault="00804AD5" w:rsidP="00A9554A">
      <w:r>
        <w:t>Two large trials</w:t>
      </w:r>
      <w:r w:rsidR="00DF7747">
        <w:t xml:space="preserve"> which </w:t>
      </w:r>
      <w:r w:rsidR="009308E1">
        <w:t>evaluated</w:t>
      </w:r>
      <w:r w:rsidR="00EA1249">
        <w:t xml:space="preserve"> information, </w:t>
      </w:r>
      <w:r w:rsidR="00DF7747">
        <w:t>which was</w:t>
      </w:r>
      <w:r w:rsidR="005B6640">
        <w:t xml:space="preserve"> personalised and designed with behaviour change in mind</w:t>
      </w:r>
      <w:r w:rsidR="00EA1249">
        <w:t xml:space="preserve">, </w:t>
      </w:r>
      <w:r w:rsidR="002D7C01">
        <w:t>compared with usual care, showed no difference in clinical</w:t>
      </w:r>
      <w:r w:rsidR="00AD1838">
        <w:t xml:space="preserve"> </w:t>
      </w:r>
      <w:r w:rsidR="002D7C01">
        <w:t xml:space="preserve">outcomes, such as </w:t>
      </w:r>
      <w:r w:rsidR="007672FA">
        <w:t>persistence</w:t>
      </w:r>
      <w:r w:rsidR="00963BC1">
        <w:t xml:space="preserve"> </w:t>
      </w:r>
      <w:r w:rsidR="008836D0">
        <w:t>or process outcomes such as prescriptions and testing</w:t>
      </w:r>
      <w:r w:rsidR="002F19AE">
        <w:t>.</w:t>
      </w:r>
      <w:r w:rsidR="001A2FAA">
        <w:t>[2</w:t>
      </w:r>
      <w:r w:rsidR="00127B45">
        <w:t>3</w:t>
      </w:r>
      <w:r w:rsidR="001A2FAA">
        <w:t>,4</w:t>
      </w:r>
      <w:r w:rsidR="00127B45">
        <w:t>0</w:t>
      </w:r>
      <w:r w:rsidR="001A2FAA">
        <w:t>]</w:t>
      </w:r>
      <w:r w:rsidR="00D90A20">
        <w:t xml:space="preserve"> </w:t>
      </w:r>
      <w:r w:rsidR="00FC6F1C">
        <w:t xml:space="preserve">One explanation for the failure of these interventions to lead to </w:t>
      </w:r>
      <w:r w:rsidR="00911667">
        <w:t>changes in prescribing or medicine taking</w:t>
      </w:r>
      <w:r w:rsidR="00CA08C5">
        <w:t>, despite increasing patient’s acceptance of the problem,</w:t>
      </w:r>
      <w:r w:rsidR="0063743E">
        <w:t xml:space="preserve"> </w:t>
      </w:r>
      <w:r w:rsidR="00911667">
        <w:t xml:space="preserve">may be that the intervention was targeted at patients only, and clinician actions are needed to </w:t>
      </w:r>
      <w:r w:rsidR="00CF0D8C">
        <w:t xml:space="preserve">prescribe </w:t>
      </w:r>
      <w:r w:rsidR="0063743E">
        <w:t>and establish patients on medication</w:t>
      </w:r>
      <w:r w:rsidR="00695893">
        <w:t xml:space="preserve">. </w:t>
      </w:r>
    </w:p>
    <w:p w14:paraId="37776527" w14:textId="2C84E610" w:rsidR="00A30C34" w:rsidRDefault="00FB4EBA" w:rsidP="00A30C34">
      <w:r>
        <w:t xml:space="preserve">Although inferential, studies in the review </w:t>
      </w:r>
      <w:r w:rsidR="00C55F04">
        <w:t xml:space="preserve">suggested other factors </w:t>
      </w:r>
      <w:r w:rsidR="00E66C5D">
        <w:t xml:space="preserve">might influence </w:t>
      </w:r>
      <w:r w:rsidR="00A30C34">
        <w:t xml:space="preserve">patient </w:t>
      </w:r>
      <w:r w:rsidR="00684792">
        <w:t>perception of their own susceptibility, and therefore</w:t>
      </w:r>
      <w:r w:rsidR="00A30C34">
        <w:t xml:space="preserve"> decision making.</w:t>
      </w:r>
      <w:r w:rsidR="00E66C5D">
        <w:t xml:space="preserve"> </w:t>
      </w:r>
      <w:r w:rsidR="00727FC8">
        <w:t>Specifically, findings of two studies suggest</w:t>
      </w:r>
      <w:r w:rsidR="00A30C34" w:rsidRPr="00243293">
        <w:t xml:space="preserve"> </w:t>
      </w:r>
      <w:r w:rsidR="00F07460">
        <w:t>BMD results</w:t>
      </w:r>
      <w:r w:rsidR="00316BF0">
        <w:t xml:space="preserve"> may</w:t>
      </w:r>
      <w:r w:rsidR="00A30C34">
        <w:t xml:space="preserve"> inform perception of risk and</w:t>
      </w:r>
      <w:r w:rsidR="00A30C34" w:rsidRPr="00243293">
        <w:t xml:space="preserve"> </w:t>
      </w:r>
      <w:r w:rsidR="00A30C34">
        <w:t>decision making about taking medicines</w:t>
      </w:r>
      <w:r w:rsidR="003B4696">
        <w:t xml:space="preserve"> and adherence</w:t>
      </w:r>
      <w:r w:rsidR="00A30C34">
        <w:t xml:space="preserve"> over the longer term</w:t>
      </w:r>
      <w:r w:rsidR="00727FC8">
        <w:t xml:space="preserve"> </w:t>
      </w:r>
      <w:r w:rsidR="003B4696">
        <w:t>[38,44]</w:t>
      </w:r>
      <w:r w:rsidR="00A30C34">
        <w:t>.</w:t>
      </w:r>
      <w:r w:rsidR="00785843">
        <w:t xml:space="preserve"> </w:t>
      </w:r>
      <w:r w:rsidR="00684792">
        <w:t>C</w:t>
      </w:r>
      <w:r w:rsidR="00747A84">
        <w:t xml:space="preserve">ommunication of individual fracture risk results (using the FRAX tool) was identified a possible factor which could inform decision making. </w:t>
      </w:r>
      <w:r w:rsidR="00120BE5">
        <w:t xml:space="preserve">However, studies which evaluated the impact of FRAX </w:t>
      </w:r>
      <w:r w:rsidR="00316BF0">
        <w:t>on clinical outcomes</w:t>
      </w:r>
      <w:r w:rsidR="00EC0382">
        <w:t xml:space="preserve"> (in primary care)</w:t>
      </w:r>
      <w:r w:rsidR="00316BF0">
        <w:t xml:space="preserve"> </w:t>
      </w:r>
      <w:r w:rsidR="00120BE5">
        <w:t xml:space="preserve">did not describe how this was communicated to the </w:t>
      </w:r>
      <w:proofErr w:type="gramStart"/>
      <w:r w:rsidR="00120BE5">
        <w:t>patient</w:t>
      </w:r>
      <w:r w:rsidR="00156D22">
        <w:t>,</w:t>
      </w:r>
      <w:r w:rsidR="001C3C92">
        <w:t>[</w:t>
      </w:r>
      <w:proofErr w:type="gramEnd"/>
      <w:r w:rsidR="001C3C92">
        <w:t>4</w:t>
      </w:r>
      <w:r w:rsidR="00127B45">
        <w:t>2</w:t>
      </w:r>
      <w:r w:rsidR="001C3C92">
        <w:t>,4</w:t>
      </w:r>
      <w:r w:rsidR="00127B45">
        <w:t>4</w:t>
      </w:r>
      <w:r w:rsidR="001C3C92">
        <w:t>]</w:t>
      </w:r>
      <w:r w:rsidR="00120BE5">
        <w:t xml:space="preserve"> </w:t>
      </w:r>
      <w:r w:rsidR="00156D22">
        <w:t>and an included qualitative study identified</w:t>
      </w:r>
      <w:r w:rsidR="00CB2E78">
        <w:t xml:space="preserve"> </w:t>
      </w:r>
      <w:r w:rsidR="002915B0">
        <w:t xml:space="preserve">non-adherent women </w:t>
      </w:r>
      <w:r w:rsidR="00120BE5">
        <w:t>frequently question</w:t>
      </w:r>
      <w:r w:rsidR="00CB2E78">
        <w:t>ed</w:t>
      </w:r>
      <w:r w:rsidR="00994D52">
        <w:t xml:space="preserve"> or </w:t>
      </w:r>
      <w:r w:rsidR="00CB2E78">
        <w:t xml:space="preserve">appeared </w:t>
      </w:r>
      <w:r w:rsidR="00994D52">
        <w:t xml:space="preserve">not </w:t>
      </w:r>
      <w:r w:rsidR="007E3CBA">
        <w:t xml:space="preserve">to </w:t>
      </w:r>
      <w:r w:rsidR="00994D52">
        <w:t>understand</w:t>
      </w:r>
      <w:r w:rsidR="00120BE5">
        <w:t xml:space="preserve"> their fracture risk</w:t>
      </w:r>
      <w:r w:rsidR="0075075A">
        <w:t>.</w:t>
      </w:r>
      <w:r w:rsidR="007E3CBA">
        <w:t>[</w:t>
      </w:r>
      <w:r w:rsidR="008062A5">
        <w:t>50</w:t>
      </w:r>
      <w:r w:rsidR="007E3CBA">
        <w:t>]</w:t>
      </w:r>
    </w:p>
    <w:p w14:paraId="0C933B46" w14:textId="14122964" w:rsidR="00301EB1" w:rsidRDefault="00301EB1" w:rsidP="00301EB1">
      <w:pPr>
        <w:rPr>
          <w:b/>
          <w:bCs/>
        </w:rPr>
      </w:pPr>
      <w:r w:rsidRPr="00275ED9">
        <w:rPr>
          <w:b/>
          <w:bCs/>
        </w:rPr>
        <w:t xml:space="preserve">Practitioner </w:t>
      </w:r>
      <w:r w:rsidR="00275ED9" w:rsidRPr="00275ED9">
        <w:rPr>
          <w:b/>
          <w:bCs/>
        </w:rPr>
        <w:t>and Health system</w:t>
      </w:r>
      <w:r w:rsidR="00092275">
        <w:rPr>
          <w:b/>
          <w:bCs/>
        </w:rPr>
        <w:t xml:space="preserve">: </w:t>
      </w:r>
      <w:r w:rsidRPr="00275ED9">
        <w:rPr>
          <w:b/>
          <w:bCs/>
        </w:rPr>
        <w:t xml:space="preserve"> Establishing diagnosis and recommending medication</w:t>
      </w:r>
      <w:r w:rsidR="00423482">
        <w:rPr>
          <w:b/>
          <w:bCs/>
        </w:rPr>
        <w:t xml:space="preserve"> (Step 2)</w:t>
      </w:r>
    </w:p>
    <w:p w14:paraId="375C448F" w14:textId="64FE710F" w:rsidR="00A10CBA" w:rsidRDefault="00A10CBA" w:rsidP="00A10CBA">
      <w:pPr>
        <w:rPr>
          <w:i/>
          <w:iCs/>
        </w:rPr>
      </w:pPr>
      <w:r w:rsidRPr="00A10CBA">
        <w:rPr>
          <w:i/>
          <w:iCs/>
        </w:rPr>
        <w:t>Mechanisms to support primary care clinician decision making</w:t>
      </w:r>
    </w:p>
    <w:p w14:paraId="47120221" w14:textId="5D224901" w:rsidR="00EA3258" w:rsidRDefault="001632F8" w:rsidP="00EA3258">
      <w:r>
        <w:t xml:space="preserve">Our background literature identified that primary care clinicians experienced </w:t>
      </w:r>
      <w:proofErr w:type="gramStart"/>
      <w:r>
        <w:t>a number of</w:t>
      </w:r>
      <w:proofErr w:type="gramEnd"/>
      <w:r>
        <w:t xml:space="preserve"> uncertainties around osteoporosis management</w:t>
      </w:r>
      <w:r w:rsidR="001D64F4">
        <w:t>.[</w:t>
      </w:r>
      <w:r w:rsidR="00B47C61">
        <w:t>13</w:t>
      </w:r>
      <w:r w:rsidR="001D64F4">
        <w:t xml:space="preserve">] </w:t>
      </w:r>
      <w:r w:rsidR="00A10CBA" w:rsidRPr="002F17F7">
        <w:t>In our findings, interventions</w:t>
      </w:r>
      <w:r w:rsidR="004F0ED8">
        <w:t xml:space="preserve">, </w:t>
      </w:r>
      <w:r w:rsidR="009C0DDC">
        <w:t>in outpatient or FLS settings</w:t>
      </w:r>
      <w:r w:rsidR="004F0ED8">
        <w:t>,</w:t>
      </w:r>
      <w:r w:rsidR="00A10CBA" w:rsidRPr="002F17F7">
        <w:t xml:space="preserve"> which </w:t>
      </w:r>
      <w:r w:rsidR="00CD4402">
        <w:t>included support for</w:t>
      </w:r>
      <w:r w:rsidR="00F86B08">
        <w:t xml:space="preserve"> primary care</w:t>
      </w:r>
      <w:r w:rsidR="00A10CBA" w:rsidRPr="002F17F7">
        <w:t xml:space="preserve"> clinical decision making</w:t>
      </w:r>
      <w:r w:rsidR="00A10CBA">
        <w:t xml:space="preserve"> </w:t>
      </w:r>
      <w:r w:rsidR="00F86B08">
        <w:t>at treatment init</w:t>
      </w:r>
      <w:r w:rsidR="00215E58">
        <w:t>iation</w:t>
      </w:r>
      <w:r w:rsidR="00087E0C">
        <w:t xml:space="preserve">, </w:t>
      </w:r>
      <w:proofErr w:type="spellStart"/>
      <w:r w:rsidR="00087E0C">
        <w:t>eg.</w:t>
      </w:r>
      <w:proofErr w:type="spellEnd"/>
      <w:r w:rsidR="00087E0C">
        <w:t xml:space="preserve"> additional investigations and individualised counselling</w:t>
      </w:r>
      <w:r w:rsidR="00A703D9">
        <w:t>,</w:t>
      </w:r>
      <w:r w:rsidR="00215E58">
        <w:t xml:space="preserve"> </w:t>
      </w:r>
      <w:r w:rsidR="00A10CBA">
        <w:t>were associated with improvements in initiation rates</w:t>
      </w:r>
      <w:r w:rsidR="00A703D9" w:rsidDel="00A703D9">
        <w:t xml:space="preserve"> </w:t>
      </w:r>
      <w:r w:rsidR="005E5652">
        <w:t>[2</w:t>
      </w:r>
      <w:r w:rsidR="00127B45">
        <w:t>7</w:t>
      </w:r>
      <w:r w:rsidR="005E5652">
        <w:t>]</w:t>
      </w:r>
      <w:r w:rsidR="00A703D9">
        <w:t>.</w:t>
      </w:r>
      <w:r w:rsidR="007822A4">
        <w:t xml:space="preserve"> Similarly</w:t>
      </w:r>
      <w:r w:rsidR="00D478B8">
        <w:t>,</w:t>
      </w:r>
      <w:r w:rsidR="007822A4">
        <w:t xml:space="preserve"> within the SCOOP trial</w:t>
      </w:r>
      <w:r w:rsidR="000015D8">
        <w:t xml:space="preserve"> in primary </w:t>
      </w:r>
      <w:proofErr w:type="gramStart"/>
      <w:r w:rsidR="000015D8">
        <w:t>care</w:t>
      </w:r>
      <w:r w:rsidR="00515836">
        <w:t>,[</w:t>
      </w:r>
      <w:proofErr w:type="gramEnd"/>
      <w:r w:rsidR="00515836">
        <w:t>4</w:t>
      </w:r>
      <w:r w:rsidR="00127B45">
        <w:t>4</w:t>
      </w:r>
      <w:r w:rsidR="001453B9">
        <w:t xml:space="preserve">, </w:t>
      </w:r>
      <w:r w:rsidR="008062A5">
        <w:t>51</w:t>
      </w:r>
      <w:r w:rsidR="00515836">
        <w:t xml:space="preserve">] </w:t>
      </w:r>
      <w:r w:rsidR="007822A4" w:rsidRPr="00214416">
        <w:t>identification, investigation and treatment recommendations were enacted by the study team</w:t>
      </w:r>
      <w:r w:rsidR="006F53F3">
        <w:t xml:space="preserve"> in the intervention arm</w:t>
      </w:r>
      <w:r w:rsidR="00102599">
        <w:t xml:space="preserve">, </w:t>
      </w:r>
      <w:r w:rsidR="00CB2E78">
        <w:t xml:space="preserve">suggesting </w:t>
      </w:r>
      <w:r w:rsidR="007528F5">
        <w:t xml:space="preserve">clinician decision making </w:t>
      </w:r>
      <w:r w:rsidR="00D42B4B">
        <w:t xml:space="preserve">support </w:t>
      </w:r>
      <w:r w:rsidR="00102599">
        <w:t>may have been an</w:t>
      </w:r>
      <w:r w:rsidR="007528F5">
        <w:t xml:space="preserve"> important mechanism in achieving </w:t>
      </w:r>
      <w:r w:rsidR="00D42B4B">
        <w:t xml:space="preserve">observed </w:t>
      </w:r>
      <w:r w:rsidR="007528F5">
        <w:t xml:space="preserve">higher </w:t>
      </w:r>
      <w:r w:rsidR="00127B45">
        <w:t>initiation</w:t>
      </w:r>
      <w:r w:rsidR="00D42B4B">
        <w:t xml:space="preserve"> </w:t>
      </w:r>
      <w:r w:rsidR="007528F5">
        <w:t xml:space="preserve">rates. </w:t>
      </w:r>
    </w:p>
    <w:p w14:paraId="19504463" w14:textId="0FDEA8E2" w:rsidR="00A10CBA" w:rsidRPr="00275ED9" w:rsidRDefault="00A10CBA" w:rsidP="00301EB1">
      <w:pPr>
        <w:rPr>
          <w:b/>
          <w:bCs/>
        </w:rPr>
      </w:pPr>
      <w:r w:rsidRPr="000426D2">
        <w:rPr>
          <w:b/>
          <w:bCs/>
        </w:rPr>
        <w:t xml:space="preserve">Person with osteoporosis: </w:t>
      </w:r>
      <w:r>
        <w:rPr>
          <w:b/>
          <w:bCs/>
        </w:rPr>
        <w:t>Starting medication</w:t>
      </w:r>
      <w:r w:rsidR="00423482">
        <w:rPr>
          <w:b/>
          <w:bCs/>
        </w:rPr>
        <w:t xml:space="preserve"> (Step 3)</w:t>
      </w:r>
    </w:p>
    <w:p w14:paraId="31DCB773" w14:textId="677EE63F" w:rsidR="00872CAE" w:rsidRPr="00F659C0" w:rsidRDefault="00872CAE" w:rsidP="00872CAE">
      <w:pPr>
        <w:rPr>
          <w:i/>
          <w:iCs/>
        </w:rPr>
      </w:pPr>
      <w:r w:rsidRPr="00F659C0">
        <w:rPr>
          <w:i/>
          <w:iCs/>
        </w:rPr>
        <w:t>Mechanisms to reduce treatment burden and patient workload</w:t>
      </w:r>
    </w:p>
    <w:p w14:paraId="16FC3D1B" w14:textId="47556E38" w:rsidR="000E4EC8" w:rsidRDefault="00C92BB5" w:rsidP="00FC54E3">
      <w:r>
        <w:lastRenderedPageBreak/>
        <w:t>Interventions targeted at making the first prescription easier or more convenient</w:t>
      </w:r>
      <w:r w:rsidR="00C07789">
        <w:t xml:space="preserve"> </w:t>
      </w:r>
      <w:r w:rsidR="00E7551A">
        <w:t xml:space="preserve">for patients were associated with </w:t>
      </w:r>
      <w:r w:rsidR="00C07789">
        <w:t xml:space="preserve">improved </w:t>
      </w:r>
      <w:r w:rsidR="00E7551A">
        <w:t xml:space="preserve">initiation </w:t>
      </w:r>
      <w:r w:rsidR="005A1D39">
        <w:t>rates and</w:t>
      </w:r>
      <w:r w:rsidR="00E7551A">
        <w:t xml:space="preserve"> </w:t>
      </w:r>
      <w:r w:rsidR="00C07789">
        <w:t>included automated phone calls with an option to press a number to be transferred to pharmacy,</w:t>
      </w:r>
      <w:r w:rsidR="00C03B40">
        <w:t>[</w:t>
      </w:r>
      <w:r w:rsidR="008062A5">
        <w:t>52</w:t>
      </w:r>
      <w:r w:rsidR="00C03B40">
        <w:t>]</w:t>
      </w:r>
      <w:r w:rsidR="00C07789">
        <w:t xml:space="preserve"> and specialists FLSs which issued </w:t>
      </w:r>
      <w:r w:rsidR="001D55AD">
        <w:t>pres</w:t>
      </w:r>
      <w:r w:rsidR="00A17DF1">
        <w:t xml:space="preserve">criptions </w:t>
      </w:r>
      <w:r w:rsidR="00C07789">
        <w:t>directly meaning the patient did not have to visit their Primary Care Provider (PCP).</w:t>
      </w:r>
      <w:r w:rsidR="00B00AD4">
        <w:t>[3</w:t>
      </w:r>
      <w:r w:rsidR="00127B45">
        <w:t>8</w:t>
      </w:r>
      <w:r w:rsidR="00B00AD4">
        <w:t>]</w:t>
      </w:r>
    </w:p>
    <w:p w14:paraId="0FD0AB32" w14:textId="0A53F26E" w:rsidR="00FC54E3" w:rsidRPr="00F659C0" w:rsidRDefault="00FC54E3" w:rsidP="00FC54E3">
      <w:pPr>
        <w:rPr>
          <w:i/>
          <w:iCs/>
        </w:rPr>
      </w:pPr>
      <w:r w:rsidRPr="00F659C0">
        <w:rPr>
          <w:i/>
          <w:iCs/>
        </w:rPr>
        <w:t xml:space="preserve">Mechanisms to </w:t>
      </w:r>
      <w:r>
        <w:rPr>
          <w:i/>
          <w:iCs/>
        </w:rPr>
        <w:t>support patient informed decision making</w:t>
      </w:r>
    </w:p>
    <w:p w14:paraId="72C2D561" w14:textId="40907201" w:rsidR="00331C06" w:rsidRDefault="00CE0388" w:rsidP="007949AD">
      <w:r w:rsidRPr="00392D28">
        <w:t>The use of a</w:t>
      </w:r>
      <w:r w:rsidR="00C365BC">
        <w:t>n additional</w:t>
      </w:r>
      <w:r w:rsidRPr="00392D28">
        <w:t xml:space="preserve"> </w:t>
      </w:r>
      <w:r w:rsidR="00E75C2B">
        <w:t xml:space="preserve">community </w:t>
      </w:r>
      <w:r w:rsidRPr="00392D28">
        <w:t xml:space="preserve">pharmacy </w:t>
      </w:r>
      <w:r w:rsidR="00C365BC">
        <w:t>consultation</w:t>
      </w:r>
      <w:r w:rsidRPr="00392D28">
        <w:t xml:space="preserve"> in new starters</w:t>
      </w:r>
      <w:r w:rsidR="00C365BC">
        <w:t xml:space="preserve"> was used to reiterate treatment benefits, the importance of adherence, lifestyle management, practical issues about </w:t>
      </w:r>
      <w:r w:rsidR="00526439">
        <w:t xml:space="preserve">requesting repeat prescriptions but also </w:t>
      </w:r>
      <w:r w:rsidR="00E73FDE">
        <w:t>to elicit</w:t>
      </w:r>
      <w:r w:rsidR="00526439">
        <w:t xml:space="preserve"> patient concerns </w:t>
      </w:r>
      <w:r w:rsidR="00A1708D">
        <w:t xml:space="preserve">and </w:t>
      </w:r>
      <w:r w:rsidR="00526439">
        <w:t>identify patient</w:t>
      </w:r>
      <w:r w:rsidR="00A1708D">
        <w:t>-</w:t>
      </w:r>
      <w:r w:rsidR="00526439">
        <w:t>specific solutions.</w:t>
      </w:r>
      <w:r w:rsidR="00805704">
        <w:t>[</w:t>
      </w:r>
      <w:r w:rsidR="008062A5">
        <w:t>53</w:t>
      </w:r>
      <w:r w:rsidR="00805704">
        <w:t>]</w:t>
      </w:r>
      <w:r w:rsidR="00526439">
        <w:t xml:space="preserve"> This intervention</w:t>
      </w:r>
      <w:r w:rsidRPr="00392D28">
        <w:t xml:space="preserve"> had </w:t>
      </w:r>
      <w:r w:rsidR="004028C8">
        <w:t xml:space="preserve">a small </w:t>
      </w:r>
      <w:r w:rsidRPr="00392D28">
        <w:t>impact</w:t>
      </w:r>
      <w:r w:rsidR="000B3370" w:rsidRPr="00392D28">
        <w:t xml:space="preserve"> </w:t>
      </w:r>
      <w:r w:rsidRPr="00392D28">
        <w:t xml:space="preserve">on adherence </w:t>
      </w:r>
      <w:r w:rsidR="004028C8">
        <w:t>at 1 year</w:t>
      </w:r>
      <w:r w:rsidR="00331C06">
        <w:t xml:space="preserve"> in new starters of osteoporosis medications.</w:t>
      </w:r>
      <w:r w:rsidR="00A13CD3">
        <w:t xml:space="preserve"> </w:t>
      </w:r>
      <w:r w:rsidR="00722D6E">
        <w:t>Similarly</w:t>
      </w:r>
      <w:r w:rsidR="00A13CD3">
        <w:t xml:space="preserve">, Ganda et al identified </w:t>
      </w:r>
      <w:r w:rsidR="00A72D96">
        <w:t xml:space="preserve">patients </w:t>
      </w:r>
      <w:r w:rsidR="002D0489">
        <w:t xml:space="preserve">attending FLS, </w:t>
      </w:r>
      <w:r w:rsidR="00A72D96">
        <w:t xml:space="preserve">who had early </w:t>
      </w:r>
      <w:r w:rsidR="007473F3">
        <w:t xml:space="preserve">primary care </w:t>
      </w:r>
      <w:r w:rsidR="00A72D96">
        <w:t xml:space="preserve">appointments after starting were more likely to </w:t>
      </w:r>
      <w:r w:rsidR="00336BD1">
        <w:t>adhere over 6 months</w:t>
      </w:r>
      <w:r w:rsidR="00093593">
        <w:t>.</w:t>
      </w:r>
      <w:r w:rsidR="00805704">
        <w:t>[3</w:t>
      </w:r>
      <w:r w:rsidR="00127B45">
        <w:t>4</w:t>
      </w:r>
      <w:r w:rsidR="00805704">
        <w:t>]</w:t>
      </w:r>
      <w:r w:rsidR="00093593">
        <w:t xml:space="preserve"> </w:t>
      </w:r>
    </w:p>
    <w:p w14:paraId="13B54F8B" w14:textId="6A104922" w:rsidR="008104F3" w:rsidRPr="008104F3" w:rsidRDefault="008104F3" w:rsidP="007949AD">
      <w:pPr>
        <w:rPr>
          <w:b/>
          <w:bCs/>
        </w:rPr>
      </w:pPr>
      <w:r w:rsidRPr="008104F3">
        <w:rPr>
          <w:b/>
          <w:bCs/>
        </w:rPr>
        <w:t>Person with osteoporosis – continuing medication</w:t>
      </w:r>
      <w:r w:rsidR="00423482">
        <w:rPr>
          <w:b/>
          <w:bCs/>
        </w:rPr>
        <w:t xml:space="preserve"> (Step 4)</w:t>
      </w:r>
    </w:p>
    <w:p w14:paraId="3B4EB57E" w14:textId="51881CE2" w:rsidR="00CC484D" w:rsidRDefault="00CC484D" w:rsidP="00CC484D">
      <w:pPr>
        <w:rPr>
          <w:i/>
          <w:iCs/>
        </w:rPr>
      </w:pPr>
      <w:r w:rsidRPr="00A10CBA">
        <w:rPr>
          <w:i/>
          <w:iCs/>
        </w:rPr>
        <w:t xml:space="preserve">Mechanisms to support </w:t>
      </w:r>
      <w:r>
        <w:rPr>
          <w:i/>
          <w:iCs/>
        </w:rPr>
        <w:t xml:space="preserve">reinforcement, </w:t>
      </w:r>
      <w:proofErr w:type="gramStart"/>
      <w:r w:rsidRPr="00A10CBA">
        <w:rPr>
          <w:i/>
          <w:iCs/>
        </w:rPr>
        <w:t>routinisation</w:t>
      </w:r>
      <w:proofErr w:type="gramEnd"/>
      <w:r w:rsidRPr="00A10CBA">
        <w:rPr>
          <w:i/>
          <w:iCs/>
        </w:rPr>
        <w:t xml:space="preserve"> and memory</w:t>
      </w:r>
    </w:p>
    <w:p w14:paraId="3BE83CEE" w14:textId="0F68E270" w:rsidR="00DF13FB" w:rsidRDefault="00DF13FB" w:rsidP="00DF13FB">
      <w:r>
        <w:t xml:space="preserve">Follow up calls or appointments have also been used to reinforce messages or remind patients, however, where the purpose of the call only to give information </w:t>
      </w:r>
      <w:proofErr w:type="gramStart"/>
      <w:r w:rsidR="00127B45">
        <w:t>e.g.</w:t>
      </w:r>
      <w:proofErr w:type="gramEnd"/>
      <w:r>
        <w:t xml:space="preserve"> to remind about educational sessions,</w:t>
      </w:r>
      <w:r w:rsidR="00805704">
        <w:t>[4</w:t>
      </w:r>
      <w:r w:rsidR="00127B45">
        <w:t>6</w:t>
      </w:r>
      <w:r w:rsidR="00805704">
        <w:t>]</w:t>
      </w:r>
      <w:r>
        <w:t xml:space="preserve"> there was no increase in long-term adherence </w:t>
      </w:r>
      <w:r w:rsidR="005631F1">
        <w:t>identified</w:t>
      </w:r>
      <w:r>
        <w:t>.</w:t>
      </w:r>
    </w:p>
    <w:p w14:paraId="3842A6C1" w14:textId="3EE5AFA2" w:rsidR="00CC484D" w:rsidRDefault="005318E7" w:rsidP="00CC484D">
      <w:r>
        <w:t>Other</w:t>
      </w:r>
      <w:r w:rsidR="005870D1">
        <w:t xml:space="preserve"> interventions </w:t>
      </w:r>
      <w:r>
        <w:t xml:space="preserve">to remind people to take their medicine </w:t>
      </w:r>
      <w:r w:rsidR="005870D1">
        <w:t>included</w:t>
      </w:r>
      <w:r w:rsidR="00CC484D">
        <w:t xml:space="preserve"> automated phone calls, education materials</w:t>
      </w:r>
      <w:r w:rsidR="00F510A1">
        <w:t>,</w:t>
      </w:r>
      <w:r w:rsidR="00CC484D">
        <w:t xml:space="preserve"> text message reminders, alarm clocks, </w:t>
      </w:r>
      <w:r w:rsidR="0085242D">
        <w:t xml:space="preserve">or </w:t>
      </w:r>
      <w:r w:rsidR="00CC484D">
        <w:t>calendar stickers.</w:t>
      </w:r>
      <w:r w:rsidR="00537017">
        <w:t xml:space="preserve"> </w:t>
      </w:r>
      <w:r w:rsidR="00CC484D" w:rsidRPr="00B61CA4">
        <w:t xml:space="preserve">A study examining </w:t>
      </w:r>
      <w:r w:rsidR="00CC484D">
        <w:t xml:space="preserve">the feasibility and acceptability of personalised </w:t>
      </w:r>
      <w:r w:rsidR="00D17CD5">
        <w:t xml:space="preserve">text messages </w:t>
      </w:r>
      <w:r w:rsidR="00C07D07">
        <w:t>found that less than half o</w:t>
      </w:r>
      <w:r w:rsidR="00E04925">
        <w:t>f</w:t>
      </w:r>
      <w:r w:rsidR="00C07D07">
        <w:t xml:space="preserve"> participants wanted text reminders</w:t>
      </w:r>
      <w:r w:rsidR="00CC484D">
        <w:t>.</w:t>
      </w:r>
      <w:r w:rsidR="00397A3A">
        <w:t>[2</w:t>
      </w:r>
      <w:r w:rsidR="00127B45">
        <w:t>8</w:t>
      </w:r>
      <w:r w:rsidR="00397A3A">
        <w:t>]</w:t>
      </w:r>
      <w:r w:rsidR="00CC484D">
        <w:t xml:space="preserve"> A package of resources including education booklets, memo stickers (for calendars) and alarm clocks </w:t>
      </w:r>
      <w:r w:rsidR="00FE0FE6">
        <w:t>did not alter</w:t>
      </w:r>
      <w:r w:rsidR="00CC484D">
        <w:t xml:space="preserve"> persistence over 12 months in a RCT of 334 patients.</w:t>
      </w:r>
      <w:r w:rsidR="00397A3A">
        <w:t>[2</w:t>
      </w:r>
      <w:r w:rsidR="00127B45">
        <w:t>2</w:t>
      </w:r>
      <w:r w:rsidR="00397A3A">
        <w:t>]</w:t>
      </w:r>
      <w:r w:rsidR="00CC484D">
        <w:t xml:space="preserve"> The only support for alarm clock reminders improving adherence, comes from a non-randomised study, </w:t>
      </w:r>
      <w:r w:rsidR="008D6A75">
        <w:t>which may suggest</w:t>
      </w:r>
      <w:r w:rsidR="00CC484D">
        <w:t xml:space="preserve"> that patient selection may be important</w:t>
      </w:r>
      <w:r w:rsidR="00255CF6">
        <w:t>.</w:t>
      </w:r>
      <w:r w:rsidR="005C1300">
        <w:t>[</w:t>
      </w:r>
      <w:r w:rsidR="008062A5">
        <w:t>54</w:t>
      </w:r>
      <w:r w:rsidR="005C1300">
        <w:t>]</w:t>
      </w:r>
      <w:r w:rsidR="00CC484D">
        <w:t xml:space="preserve"> </w:t>
      </w:r>
    </w:p>
    <w:p w14:paraId="7B0D0B96" w14:textId="6DC8E968" w:rsidR="006C7DBC" w:rsidRPr="006C7DBC" w:rsidRDefault="006C7DBC" w:rsidP="00CC484D">
      <w:pPr>
        <w:rPr>
          <w:i/>
          <w:iCs/>
        </w:rPr>
      </w:pPr>
      <w:r w:rsidRPr="00C076EB">
        <w:rPr>
          <w:i/>
          <w:iCs/>
        </w:rPr>
        <w:t>Mechanisms to support patient-informed decision making</w:t>
      </w:r>
      <w:r>
        <w:rPr>
          <w:i/>
          <w:iCs/>
        </w:rPr>
        <w:t xml:space="preserve"> </w:t>
      </w:r>
    </w:p>
    <w:p w14:paraId="60757F3A" w14:textId="02055605" w:rsidR="00DD481B" w:rsidRDefault="000E4EC8" w:rsidP="000D0FD7">
      <w:r>
        <w:t xml:space="preserve">Our background literature identified several </w:t>
      </w:r>
      <w:r w:rsidR="00DD481B">
        <w:t xml:space="preserve">qualitative studies </w:t>
      </w:r>
      <w:r w:rsidR="00255CF6">
        <w:t xml:space="preserve">that involved </w:t>
      </w:r>
      <w:r w:rsidR="00DD481B">
        <w:t>people with osteoporosis reapprais</w:t>
      </w:r>
      <w:r w:rsidR="00255CF6">
        <w:t>ing</w:t>
      </w:r>
      <w:r w:rsidR="00DD481B">
        <w:t xml:space="preserve"> the relevance and purpose of medication</w:t>
      </w:r>
      <w:r w:rsidR="00F612BF">
        <w:t>, including</w:t>
      </w:r>
      <w:r w:rsidR="00BA67F5">
        <w:t xml:space="preserve"> search</w:t>
      </w:r>
      <w:r w:rsidR="00950A3C">
        <w:t>ing</w:t>
      </w:r>
      <w:r w:rsidR="00BA67F5">
        <w:t xml:space="preserve"> for evidence </w:t>
      </w:r>
      <w:r w:rsidR="00950A3C">
        <w:t>of</w:t>
      </w:r>
      <w:r w:rsidR="00BA67F5">
        <w:t xml:space="preserve"> treatment </w:t>
      </w:r>
      <w:r w:rsidR="00452AE8">
        <w:t>effective</w:t>
      </w:r>
      <w:r w:rsidR="00950A3C">
        <w:t>ness</w:t>
      </w:r>
      <w:r w:rsidR="00452AE8">
        <w:t xml:space="preserve"> and</w:t>
      </w:r>
      <w:r w:rsidR="00BA67F5">
        <w:t xml:space="preserve"> </w:t>
      </w:r>
      <w:r w:rsidR="00170822">
        <w:t xml:space="preserve">considering </w:t>
      </w:r>
      <w:r w:rsidR="00F85AF2">
        <w:t>concerns about side effect</w:t>
      </w:r>
      <w:r w:rsidR="00170822">
        <w:t>s</w:t>
      </w:r>
      <w:r w:rsidR="00F85AF2">
        <w:t xml:space="preserve"> and/or safety</w:t>
      </w:r>
      <w:r w:rsidR="00DD481B">
        <w:t>.</w:t>
      </w:r>
      <w:r w:rsidR="00F4020B">
        <w:t>[7]</w:t>
      </w:r>
      <w:r w:rsidR="00DD481B">
        <w:t xml:space="preserve"> </w:t>
      </w:r>
      <w:r w:rsidR="00F85AF2">
        <w:t xml:space="preserve">These are described as ‘disruption loops’ in Figure 1. </w:t>
      </w:r>
    </w:p>
    <w:p w14:paraId="24A588A9" w14:textId="32E0B34A" w:rsidR="002C468A" w:rsidRDefault="00DD73A2" w:rsidP="000D0FD7">
      <w:r>
        <w:t>Eliciting and addressing patient concerns appears to be an important component of follow up interventions which were successful in improving medicines adherenc</w:t>
      </w:r>
      <w:r w:rsidR="008617B0">
        <w:t>e</w:t>
      </w:r>
      <w:r w:rsidR="00770794">
        <w:t xml:space="preserve"> in both outpatient and primary care settings</w:t>
      </w:r>
      <w:r w:rsidR="009B44E5">
        <w:t>.</w:t>
      </w:r>
      <w:r w:rsidR="00F4020B">
        <w:t>[2</w:t>
      </w:r>
      <w:r w:rsidR="00127B45">
        <w:t>7</w:t>
      </w:r>
      <w:r w:rsidR="00F4020B">
        <w:t>,4</w:t>
      </w:r>
      <w:r w:rsidR="00127B45">
        <w:t>5</w:t>
      </w:r>
      <w:r w:rsidR="00F4020B">
        <w:t>,4</w:t>
      </w:r>
      <w:r w:rsidR="00127B45">
        <w:t>7</w:t>
      </w:r>
      <w:r w:rsidR="00F4020B">
        <w:t>]</w:t>
      </w:r>
      <w:r w:rsidR="009B44E5">
        <w:t xml:space="preserve"> </w:t>
      </w:r>
      <w:r w:rsidR="00B87B49">
        <w:t xml:space="preserve">Although most often, these interventions were delivered by training clinicians, </w:t>
      </w:r>
      <w:r w:rsidR="00C06C3B">
        <w:t>in one</w:t>
      </w:r>
      <w:r w:rsidR="00582D2A">
        <w:t xml:space="preserve"> FLS-located</w:t>
      </w:r>
      <w:r w:rsidR="00C06C3B">
        <w:t xml:space="preserve"> study, trained</w:t>
      </w:r>
      <w:r w:rsidR="002C468A">
        <w:t xml:space="preserve"> </w:t>
      </w:r>
      <w:r w:rsidR="00E12313">
        <w:t>medical secretaries elicit</w:t>
      </w:r>
      <w:r w:rsidR="00C06C3B">
        <w:t>ed</w:t>
      </w:r>
      <w:r w:rsidR="00E12313">
        <w:t xml:space="preserve"> problems, </w:t>
      </w:r>
      <w:r w:rsidR="007F215C">
        <w:t>emphasize</w:t>
      </w:r>
      <w:r w:rsidR="00255CF6">
        <w:t>d</w:t>
      </w:r>
      <w:r w:rsidR="007F215C">
        <w:t xml:space="preserve"> the importance of treatment</w:t>
      </w:r>
      <w:r w:rsidR="00836797">
        <w:t xml:space="preserve">, </w:t>
      </w:r>
      <w:r w:rsidR="00695D7E">
        <w:t>and provided practical suggestions</w:t>
      </w:r>
      <w:r w:rsidR="00B951A3">
        <w:t xml:space="preserve"> or support in contacting</w:t>
      </w:r>
      <w:r w:rsidR="00200DB0">
        <w:t xml:space="preserve"> their physician or person in charge or procuring the medicine</w:t>
      </w:r>
      <w:r w:rsidR="00F2490C">
        <w:t xml:space="preserve"> (thereby reducing patient burden</w:t>
      </w:r>
      <w:r w:rsidR="002C468A">
        <w:t xml:space="preserve"> </w:t>
      </w:r>
      <w:r w:rsidR="00B951A3">
        <w:t>and/</w:t>
      </w:r>
      <w:r w:rsidR="002C468A">
        <w:t xml:space="preserve">or </w:t>
      </w:r>
      <w:r w:rsidR="00F2490C">
        <w:t>increasing patient capacity)</w:t>
      </w:r>
      <w:r w:rsidR="00F4020B">
        <w:t>.[3</w:t>
      </w:r>
      <w:r w:rsidR="00127B45">
        <w:t>3</w:t>
      </w:r>
      <w:r w:rsidR="00F4020B">
        <w:t>]</w:t>
      </w:r>
      <w:r w:rsidR="00660AF9">
        <w:t xml:space="preserve"> </w:t>
      </w:r>
    </w:p>
    <w:p w14:paraId="096FE2DB" w14:textId="5DC0AEA8" w:rsidR="009E1D8A" w:rsidRPr="000D3D18" w:rsidRDefault="00A52B81" w:rsidP="004145DB">
      <w:pPr>
        <w:rPr>
          <w:i/>
          <w:iCs/>
        </w:rPr>
      </w:pPr>
      <w:r>
        <w:t>There is limited evidence to suggest b</w:t>
      </w:r>
      <w:r w:rsidR="0002614E">
        <w:t>one density scans</w:t>
      </w:r>
      <w:r>
        <w:t xml:space="preserve"> [43], but not</w:t>
      </w:r>
      <w:r w:rsidR="0002614E">
        <w:t xml:space="preserve"> bone turnover markers </w:t>
      </w:r>
      <w:r>
        <w:t>[5</w:t>
      </w:r>
      <w:r w:rsidR="008062A5">
        <w:t>5-6</w:t>
      </w:r>
      <w:r w:rsidR="002101E5">
        <w:t xml:space="preserve">] improve adherence, </w:t>
      </w:r>
      <w:r w:rsidR="00231D97">
        <w:t xml:space="preserve">possibly </w:t>
      </w:r>
      <w:r w:rsidR="002101E5">
        <w:t xml:space="preserve">by </w:t>
      </w:r>
      <w:r w:rsidR="008C7DA3">
        <w:t>inform</w:t>
      </w:r>
      <w:r w:rsidR="002101E5">
        <w:t>ing</w:t>
      </w:r>
      <w:r w:rsidR="0002614E">
        <w:t xml:space="preserve"> patients</w:t>
      </w:r>
      <w:r w:rsidR="008C7DA3">
        <w:t>’</w:t>
      </w:r>
      <w:r w:rsidR="0002614E">
        <w:t xml:space="preserve"> and clinicians</w:t>
      </w:r>
      <w:r w:rsidR="008C7DA3">
        <w:t>’</w:t>
      </w:r>
      <w:r w:rsidR="0002614E">
        <w:t xml:space="preserve"> </w:t>
      </w:r>
      <w:r w:rsidR="008C7DA3">
        <w:t>patient reappraisal about treatment effectiveness</w:t>
      </w:r>
      <w:r>
        <w:t>.</w:t>
      </w:r>
      <w:r w:rsidR="006120B2">
        <w:t xml:space="preserve"> </w:t>
      </w:r>
      <w:r w:rsidR="00CA0E95">
        <w:t xml:space="preserve">29% of women </w:t>
      </w:r>
      <w:r w:rsidR="003F0877">
        <w:t xml:space="preserve">in one </w:t>
      </w:r>
      <w:r w:rsidR="004416DE">
        <w:t xml:space="preserve">community-based </w:t>
      </w:r>
      <w:r w:rsidR="003F0877">
        <w:t xml:space="preserve">trial </w:t>
      </w:r>
      <w:r w:rsidR="000D2C37">
        <w:t xml:space="preserve">highlighted that </w:t>
      </w:r>
      <w:r w:rsidR="00CA0E95">
        <w:t xml:space="preserve">the </w:t>
      </w:r>
      <w:r w:rsidR="00666681">
        <w:t>bone turnover markers influenced their decision making.</w:t>
      </w:r>
      <w:r w:rsidR="00E45ACE">
        <w:t>[</w:t>
      </w:r>
      <w:r w:rsidR="008062A5">
        <w:t>57</w:t>
      </w:r>
      <w:r w:rsidR="00E45ACE">
        <w:t>]</w:t>
      </w:r>
      <w:r w:rsidR="00666681">
        <w:t xml:space="preserve"> </w:t>
      </w:r>
    </w:p>
    <w:p w14:paraId="3A041186" w14:textId="4FAF3CC8" w:rsidR="00B7175D" w:rsidRPr="00F659C0" w:rsidRDefault="00B7175D" w:rsidP="00B7175D">
      <w:pPr>
        <w:rPr>
          <w:i/>
          <w:iCs/>
        </w:rPr>
      </w:pPr>
      <w:r w:rsidRPr="00F659C0">
        <w:rPr>
          <w:i/>
          <w:iCs/>
        </w:rPr>
        <w:t>Mechanisms to reduce treatment burden and patient workload</w:t>
      </w:r>
    </w:p>
    <w:p w14:paraId="55DB0CE1" w14:textId="43F940C5" w:rsidR="00B7175D" w:rsidRDefault="00B7175D" w:rsidP="004145DB">
      <w:r>
        <w:lastRenderedPageBreak/>
        <w:t xml:space="preserve">Reduced drug frequency also has potential to reduce patient ‘burden’. A number of studies found that persistence was higher in patients who were prescribed monthly or weekly oral </w:t>
      </w:r>
      <w:proofErr w:type="gramStart"/>
      <w:r>
        <w:t>drugs</w:t>
      </w:r>
      <w:r w:rsidR="00F34353">
        <w:t>,</w:t>
      </w:r>
      <w:r w:rsidR="00E45ACE">
        <w:t>[</w:t>
      </w:r>
      <w:proofErr w:type="gramEnd"/>
      <w:r w:rsidR="00E45ACE">
        <w:t>2</w:t>
      </w:r>
      <w:r w:rsidR="00127B45">
        <w:t>2</w:t>
      </w:r>
      <w:r w:rsidR="00E45ACE">
        <w:t>,2</w:t>
      </w:r>
      <w:r w:rsidR="00127B45">
        <w:t>4</w:t>
      </w:r>
      <w:r w:rsidR="00E45ACE">
        <w:t xml:space="preserve">] </w:t>
      </w:r>
      <w:r w:rsidR="00F34353">
        <w:t xml:space="preserve"> findings which are </w:t>
      </w:r>
      <w:r>
        <w:t>confirmed by a meta-analysis of 9 studies comparing once weekly with once daily dosing.</w:t>
      </w:r>
      <w:r w:rsidR="00612081">
        <w:t>[</w:t>
      </w:r>
      <w:r w:rsidR="008062A5">
        <w:t>58</w:t>
      </w:r>
      <w:r w:rsidR="00612081">
        <w:t>]</w:t>
      </w:r>
      <w:r>
        <w:t xml:space="preserve"> </w:t>
      </w:r>
    </w:p>
    <w:p w14:paraId="19910C64" w14:textId="471F76CF" w:rsidR="009E0755" w:rsidRPr="00B7175D" w:rsidRDefault="008104F3" w:rsidP="009E0755">
      <w:pPr>
        <w:rPr>
          <w:b/>
          <w:bCs/>
        </w:rPr>
      </w:pPr>
      <w:r w:rsidRPr="00B7175D">
        <w:rPr>
          <w:b/>
          <w:bCs/>
        </w:rPr>
        <w:t xml:space="preserve">Practitioner and health-systems: </w:t>
      </w:r>
      <w:r w:rsidR="009E0755" w:rsidRPr="00B7175D">
        <w:rPr>
          <w:b/>
          <w:bCs/>
        </w:rPr>
        <w:t>Reviewing medic</w:t>
      </w:r>
      <w:r w:rsidR="002D56AD" w:rsidRPr="00B7175D">
        <w:rPr>
          <w:b/>
          <w:bCs/>
        </w:rPr>
        <w:t xml:space="preserve">ation </w:t>
      </w:r>
      <w:r w:rsidR="009E0755" w:rsidRPr="00B7175D">
        <w:rPr>
          <w:b/>
          <w:bCs/>
        </w:rPr>
        <w:t>– Step 5</w:t>
      </w:r>
    </w:p>
    <w:p w14:paraId="1D1DC702" w14:textId="47A97ED9" w:rsidR="00555AEF" w:rsidRPr="009E0755" w:rsidRDefault="003F0877" w:rsidP="009E0755">
      <w:pPr>
        <w:rPr>
          <w:i/>
          <w:iCs/>
        </w:rPr>
      </w:pPr>
      <w:r>
        <w:rPr>
          <w:i/>
          <w:iCs/>
        </w:rPr>
        <w:t>Mechanism</w:t>
      </w:r>
      <w:r w:rsidR="001D2082">
        <w:rPr>
          <w:i/>
          <w:iCs/>
        </w:rPr>
        <w:t>s</w:t>
      </w:r>
      <w:r w:rsidR="002E2482">
        <w:rPr>
          <w:i/>
          <w:iCs/>
        </w:rPr>
        <w:t xml:space="preserve"> to s</w:t>
      </w:r>
      <w:r w:rsidR="00555AEF">
        <w:rPr>
          <w:i/>
          <w:iCs/>
        </w:rPr>
        <w:t>upport</w:t>
      </w:r>
      <w:r w:rsidR="002E2482">
        <w:rPr>
          <w:i/>
          <w:iCs/>
        </w:rPr>
        <w:t xml:space="preserve"> </w:t>
      </w:r>
      <w:r w:rsidR="00555AEF">
        <w:rPr>
          <w:i/>
          <w:iCs/>
        </w:rPr>
        <w:t>clinician decision making</w:t>
      </w:r>
    </w:p>
    <w:p w14:paraId="33529A5E" w14:textId="453337B6" w:rsidR="002F17F7" w:rsidRDefault="00E933AE" w:rsidP="00434D85">
      <w:r>
        <w:t xml:space="preserve">Regular follow up with patients enabled </w:t>
      </w:r>
      <w:r w:rsidR="000B2E47">
        <w:t xml:space="preserve">FLS or community pharmacy </w:t>
      </w:r>
      <w:r>
        <w:t>clinicians to glean information from patients to guide treatment decisions leading to changes in outcomes other than adherence. For example, having their treatment appropriately stopped because of side effects</w:t>
      </w:r>
      <w:r w:rsidR="00386BB4">
        <w:t xml:space="preserve">, </w:t>
      </w:r>
      <w:r w:rsidR="006D5A94">
        <w:t>or the indication for preventative treatment (glucocorticoid</w:t>
      </w:r>
      <w:r w:rsidR="006B6957">
        <w:t>s</w:t>
      </w:r>
      <w:r w:rsidR="006D5A94">
        <w:t>) being</w:t>
      </w:r>
      <w:r>
        <w:t xml:space="preserve"> </w:t>
      </w:r>
      <w:r w:rsidR="006B6957">
        <w:t>withdrawn</w:t>
      </w:r>
      <w:r w:rsidR="00612081">
        <w:t>.[</w:t>
      </w:r>
      <w:r w:rsidR="00127B45">
        <w:t>39</w:t>
      </w:r>
      <w:r w:rsidR="00612081">
        <w:t>,4</w:t>
      </w:r>
      <w:r w:rsidR="00127B45">
        <w:t>5</w:t>
      </w:r>
      <w:r w:rsidR="00612081">
        <w:t xml:space="preserve">] </w:t>
      </w:r>
      <w:r w:rsidR="006B6957">
        <w:t>A</w:t>
      </w:r>
      <w:r w:rsidR="002F17F7" w:rsidRPr="002F17F7">
        <w:t xml:space="preserve">ccess to the full </w:t>
      </w:r>
      <w:r w:rsidR="0075119E" w:rsidRPr="002F17F7">
        <w:t>electronic</w:t>
      </w:r>
      <w:r w:rsidR="002F17F7" w:rsidRPr="002F17F7">
        <w:t xml:space="preserve"> health record and </w:t>
      </w:r>
      <w:r w:rsidR="006B10B3">
        <w:t xml:space="preserve">collaborative working with </w:t>
      </w:r>
      <w:r w:rsidR="002F17F7" w:rsidRPr="002F17F7">
        <w:t xml:space="preserve">other clinicians involved in the patient care </w:t>
      </w:r>
      <w:r w:rsidR="008B74C3">
        <w:t xml:space="preserve">facilitated clinical </w:t>
      </w:r>
      <w:r w:rsidR="002F17F7" w:rsidRPr="002F17F7">
        <w:t>decision making.</w:t>
      </w:r>
      <w:r w:rsidR="00612081">
        <w:t>[4</w:t>
      </w:r>
      <w:r w:rsidR="00127B45">
        <w:t>5</w:t>
      </w:r>
      <w:r w:rsidR="00612081">
        <w:t>]</w:t>
      </w:r>
      <w:r w:rsidR="002F17F7" w:rsidRPr="002F17F7">
        <w:t xml:space="preserve"> </w:t>
      </w:r>
      <w:r w:rsidR="006560AA">
        <w:t>T</w:t>
      </w:r>
      <w:r w:rsidR="00CD3D63">
        <w:t xml:space="preserve">reatment switching </w:t>
      </w:r>
      <w:r w:rsidR="006560AA">
        <w:t xml:space="preserve">has also been shown to be more common in </w:t>
      </w:r>
      <w:r w:rsidR="00E52B68">
        <w:t xml:space="preserve"> </w:t>
      </w:r>
      <w:r w:rsidR="006560AA">
        <w:t>BMD-</w:t>
      </w:r>
      <w:r w:rsidR="00E52B68">
        <w:t>monitored patients</w:t>
      </w:r>
      <w:r w:rsidR="00CD3D63">
        <w:t>,</w:t>
      </w:r>
      <w:r w:rsidR="006560AA">
        <w:t>[43]</w:t>
      </w:r>
      <w:r w:rsidR="00CD3D63">
        <w:t xml:space="preserve"> </w:t>
      </w:r>
      <w:r w:rsidR="006560AA">
        <w:t>and in the presence of c</w:t>
      </w:r>
      <w:r w:rsidR="00044DFF">
        <w:t>ontinued support from specialist FLS to primary care.</w:t>
      </w:r>
      <w:r w:rsidR="00612081">
        <w:t>[2</w:t>
      </w:r>
      <w:r w:rsidR="00127B45">
        <w:t>7</w:t>
      </w:r>
      <w:r w:rsidR="00612081">
        <w:t>]</w:t>
      </w:r>
      <w:r w:rsidR="00044DFF">
        <w:t xml:space="preserve"> </w:t>
      </w:r>
    </w:p>
    <w:p w14:paraId="5CB8FBA2" w14:textId="6D15B302" w:rsidR="00EA69C7" w:rsidRPr="009E0755" w:rsidRDefault="00EA69C7" w:rsidP="00EA69C7">
      <w:pPr>
        <w:rPr>
          <w:i/>
          <w:iCs/>
        </w:rPr>
      </w:pPr>
      <w:r>
        <w:rPr>
          <w:i/>
          <w:iCs/>
        </w:rPr>
        <w:t>Mechanism</w:t>
      </w:r>
      <w:r w:rsidR="001D2082">
        <w:rPr>
          <w:i/>
          <w:iCs/>
        </w:rPr>
        <w:t>s</w:t>
      </w:r>
      <w:r>
        <w:rPr>
          <w:i/>
          <w:iCs/>
        </w:rPr>
        <w:t xml:space="preserve"> to offer t</w:t>
      </w:r>
      <w:r w:rsidR="005A512A">
        <w:rPr>
          <w:i/>
          <w:iCs/>
        </w:rPr>
        <w:t>arget</w:t>
      </w:r>
      <w:r>
        <w:rPr>
          <w:i/>
          <w:iCs/>
        </w:rPr>
        <w:t>ed support</w:t>
      </w:r>
    </w:p>
    <w:p w14:paraId="57519C45" w14:textId="63DC497D" w:rsidR="00D2388D" w:rsidRPr="001C1335" w:rsidRDefault="00DD710A" w:rsidP="00727FC8">
      <w:pPr>
        <w:rPr>
          <w:b/>
          <w:bCs/>
        </w:rPr>
      </w:pPr>
      <w:r w:rsidRPr="00DD710A">
        <w:rPr>
          <w:rFonts w:cstheme="minorHAnsi"/>
          <w:color w:val="000000" w:themeColor="text1"/>
          <w:shd w:val="clear" w:color="auto" w:fill="FFFFFF"/>
        </w:rPr>
        <w:t>Ta</w:t>
      </w:r>
      <w:r w:rsidR="005A512A">
        <w:rPr>
          <w:rFonts w:cstheme="minorHAnsi"/>
          <w:color w:val="000000" w:themeColor="text1"/>
          <w:shd w:val="clear" w:color="auto" w:fill="FFFFFF"/>
        </w:rPr>
        <w:t>rget</w:t>
      </w:r>
      <w:r w:rsidRPr="00DD710A">
        <w:rPr>
          <w:rFonts w:cstheme="minorHAnsi"/>
          <w:color w:val="000000" w:themeColor="text1"/>
          <w:shd w:val="clear" w:color="auto" w:fill="FFFFFF"/>
        </w:rPr>
        <w:t>ing follow up interventions to non-adherent, high risk patients has been demonstrated to be a clinically and cost-effective strategy.</w:t>
      </w:r>
      <w:r w:rsidR="00731919">
        <w:rPr>
          <w:rFonts w:cstheme="minorHAnsi"/>
          <w:color w:val="000000" w:themeColor="text1"/>
          <w:shd w:val="clear" w:color="auto" w:fill="FFFFFF"/>
        </w:rPr>
        <w:t>[4</w:t>
      </w:r>
      <w:r w:rsidR="00127B45">
        <w:rPr>
          <w:rFonts w:cstheme="minorHAnsi"/>
          <w:color w:val="000000" w:themeColor="text1"/>
          <w:shd w:val="clear" w:color="auto" w:fill="FFFFFF"/>
        </w:rPr>
        <w:t>5</w:t>
      </w:r>
      <w:r w:rsidR="006066C6">
        <w:rPr>
          <w:rFonts w:cstheme="minorHAnsi"/>
          <w:color w:val="000000" w:themeColor="text1"/>
          <w:shd w:val="clear" w:color="auto" w:fill="FFFFFF"/>
        </w:rPr>
        <w:t>,</w:t>
      </w:r>
      <w:r w:rsidR="008062A5">
        <w:rPr>
          <w:rFonts w:cstheme="minorHAnsi"/>
          <w:color w:val="000000" w:themeColor="text1"/>
          <w:shd w:val="clear" w:color="auto" w:fill="FFFFFF"/>
        </w:rPr>
        <w:t>59</w:t>
      </w:r>
      <w:r w:rsidR="006066C6">
        <w:rPr>
          <w:rFonts w:cstheme="minorHAnsi"/>
          <w:color w:val="000000" w:themeColor="text1"/>
          <w:shd w:val="clear" w:color="auto" w:fill="FFFFFF"/>
        </w:rPr>
        <w:t>]</w:t>
      </w:r>
      <w:r w:rsidRPr="00DD710A">
        <w:rPr>
          <w:rFonts w:cstheme="minorHAnsi"/>
          <w:color w:val="000000" w:themeColor="text1"/>
          <w:shd w:val="clear" w:color="auto" w:fill="FFFFFF"/>
        </w:rPr>
        <w:t xml:space="preserve"> </w:t>
      </w:r>
      <w:r w:rsidR="00FA3369">
        <w:rPr>
          <w:rFonts w:cstheme="minorHAnsi"/>
          <w:color w:val="000000" w:themeColor="text1"/>
          <w:shd w:val="clear" w:color="auto" w:fill="FFFFFF"/>
        </w:rPr>
        <w:t>S</w:t>
      </w:r>
      <w:r w:rsidRPr="00DD710A">
        <w:rPr>
          <w:rFonts w:cstheme="minorHAnsi"/>
          <w:color w:val="000000" w:themeColor="text1"/>
          <w:shd w:val="clear" w:color="auto" w:fill="FFFFFF"/>
        </w:rPr>
        <w:t>trategies to identify these patients include</w:t>
      </w:r>
      <w:r w:rsidR="00FA3369">
        <w:rPr>
          <w:rFonts w:cstheme="minorHAnsi"/>
          <w:color w:val="000000" w:themeColor="text1"/>
          <w:shd w:val="clear" w:color="auto" w:fill="FFFFFF"/>
        </w:rPr>
        <w:t>d</w:t>
      </w:r>
      <w:r w:rsidRPr="00DD710A">
        <w:rPr>
          <w:rFonts w:cstheme="minorHAnsi"/>
          <w:color w:val="000000" w:themeColor="text1"/>
          <w:shd w:val="clear" w:color="auto" w:fill="FFFFFF"/>
        </w:rPr>
        <w:t xml:space="preserve"> using standardized search algorithms in </w:t>
      </w:r>
      <w:r w:rsidR="00FA3369">
        <w:rPr>
          <w:rFonts w:cstheme="minorHAnsi"/>
          <w:color w:val="000000" w:themeColor="text1"/>
          <w:shd w:val="clear" w:color="auto" w:fill="FFFFFF"/>
        </w:rPr>
        <w:t>a</w:t>
      </w:r>
      <w:r w:rsidR="00FA3369" w:rsidRPr="00DD710A">
        <w:rPr>
          <w:rFonts w:cstheme="minorHAnsi"/>
          <w:color w:val="000000" w:themeColor="text1"/>
          <w:shd w:val="clear" w:color="auto" w:fill="FFFFFF"/>
        </w:rPr>
        <w:t xml:space="preserve"> </w:t>
      </w:r>
      <w:r w:rsidRPr="00DD710A">
        <w:rPr>
          <w:rFonts w:cstheme="minorHAnsi"/>
          <w:color w:val="000000" w:themeColor="text1"/>
          <w:shd w:val="clear" w:color="auto" w:fill="FFFFFF"/>
        </w:rPr>
        <w:t xml:space="preserve">pharmacy database </w:t>
      </w:r>
      <w:r w:rsidR="00241BE6">
        <w:rPr>
          <w:rFonts w:cstheme="minorHAnsi"/>
          <w:color w:val="000000" w:themeColor="text1"/>
          <w:shd w:val="clear" w:color="auto" w:fill="FFFFFF"/>
        </w:rPr>
        <w:t xml:space="preserve">to identify patients not re-filling oral medication prescriptions </w:t>
      </w:r>
      <w:r w:rsidRPr="00DD710A">
        <w:rPr>
          <w:rFonts w:cstheme="minorHAnsi"/>
          <w:color w:val="000000" w:themeColor="text1"/>
          <w:shd w:val="clear" w:color="auto" w:fill="FFFFFF"/>
        </w:rPr>
        <w:t xml:space="preserve">or, </w:t>
      </w:r>
      <w:r w:rsidR="00C81CA5">
        <w:rPr>
          <w:rFonts w:cstheme="minorHAnsi"/>
          <w:color w:val="000000" w:themeColor="text1"/>
          <w:shd w:val="clear" w:color="auto" w:fill="FFFFFF"/>
        </w:rPr>
        <w:t>an</w:t>
      </w:r>
      <w:r w:rsidR="00A54F5D">
        <w:rPr>
          <w:rFonts w:cstheme="minorHAnsi"/>
          <w:color w:val="000000" w:themeColor="text1"/>
          <w:shd w:val="clear" w:color="auto" w:fill="FFFFFF"/>
        </w:rPr>
        <w:t xml:space="preserve"> ‘</w:t>
      </w:r>
      <w:r w:rsidR="0043162A">
        <w:rPr>
          <w:rFonts w:cstheme="minorHAnsi"/>
          <w:color w:val="000000" w:themeColor="text1"/>
          <w:shd w:val="clear" w:color="auto" w:fill="FFFFFF"/>
        </w:rPr>
        <w:t xml:space="preserve">adherence scoring tool’ </w:t>
      </w:r>
      <w:r w:rsidR="00C535BF">
        <w:rPr>
          <w:rFonts w:cstheme="minorHAnsi"/>
          <w:color w:val="000000" w:themeColor="text1"/>
          <w:shd w:val="clear" w:color="auto" w:fill="FFFFFF"/>
        </w:rPr>
        <w:t>patient</w:t>
      </w:r>
      <w:r w:rsidR="0043162A">
        <w:rPr>
          <w:rFonts w:cstheme="minorHAnsi"/>
          <w:color w:val="000000" w:themeColor="text1"/>
          <w:shd w:val="clear" w:color="auto" w:fill="FFFFFF"/>
        </w:rPr>
        <w:t xml:space="preserve"> questionnaire, asking if </w:t>
      </w:r>
      <w:r w:rsidR="00445C7C">
        <w:rPr>
          <w:rFonts w:cstheme="minorHAnsi"/>
          <w:color w:val="000000" w:themeColor="text1"/>
          <w:shd w:val="clear" w:color="auto" w:fill="FFFFFF"/>
        </w:rPr>
        <w:t xml:space="preserve">teriparatide </w:t>
      </w:r>
      <w:r w:rsidR="0043162A">
        <w:rPr>
          <w:rFonts w:cstheme="minorHAnsi"/>
          <w:color w:val="000000" w:themeColor="text1"/>
          <w:shd w:val="clear" w:color="auto" w:fill="FFFFFF"/>
        </w:rPr>
        <w:t>treatment had been omitted, if people had ‘lost interest’ in their treatment and if people were clear on the benefits</w:t>
      </w:r>
      <w:r w:rsidR="006066C6">
        <w:rPr>
          <w:rFonts w:cstheme="minorHAnsi"/>
          <w:color w:val="000000" w:themeColor="text1"/>
        </w:rPr>
        <w:t>.[4</w:t>
      </w:r>
      <w:r w:rsidR="00127B45">
        <w:rPr>
          <w:rFonts w:cstheme="minorHAnsi"/>
          <w:color w:val="000000" w:themeColor="text1"/>
        </w:rPr>
        <w:t>5</w:t>
      </w:r>
      <w:r w:rsidR="006066C6">
        <w:rPr>
          <w:rFonts w:cstheme="minorHAnsi"/>
          <w:color w:val="000000" w:themeColor="text1"/>
        </w:rPr>
        <w:t>,4</w:t>
      </w:r>
      <w:r w:rsidR="00127B45">
        <w:rPr>
          <w:rFonts w:cstheme="minorHAnsi"/>
          <w:color w:val="000000" w:themeColor="text1"/>
        </w:rPr>
        <w:t>7</w:t>
      </w:r>
      <w:r w:rsidR="006066C6">
        <w:rPr>
          <w:rFonts w:cstheme="minorHAnsi"/>
          <w:color w:val="000000" w:themeColor="text1"/>
        </w:rPr>
        <w:t xml:space="preserve">] </w:t>
      </w:r>
      <w:r w:rsidR="004C44F0">
        <w:rPr>
          <w:rFonts w:cstheme="minorHAnsi"/>
          <w:color w:val="000000" w:themeColor="text1"/>
          <w:shd w:val="clear" w:color="auto" w:fill="FFFFFF"/>
        </w:rPr>
        <w:t xml:space="preserve">In both studies, the </w:t>
      </w:r>
      <w:r w:rsidR="00FE241E">
        <w:rPr>
          <w:rFonts w:cstheme="minorHAnsi"/>
          <w:color w:val="000000" w:themeColor="text1"/>
          <w:shd w:val="clear" w:color="auto" w:fill="FFFFFF"/>
        </w:rPr>
        <w:t xml:space="preserve">targeted </w:t>
      </w:r>
      <w:r w:rsidR="004C44F0">
        <w:rPr>
          <w:rFonts w:cstheme="minorHAnsi"/>
          <w:color w:val="000000" w:themeColor="text1"/>
          <w:shd w:val="clear" w:color="auto" w:fill="FFFFFF"/>
        </w:rPr>
        <w:t xml:space="preserve">intervention involved a clinician-patient consultation to </w:t>
      </w:r>
      <w:r w:rsidR="001D3B56">
        <w:rPr>
          <w:rFonts w:cstheme="minorHAnsi"/>
          <w:color w:val="000000" w:themeColor="text1"/>
          <w:shd w:val="clear" w:color="auto" w:fill="FFFFFF"/>
        </w:rPr>
        <w:t>explore problems, reiterate treatment importance</w:t>
      </w:r>
      <w:r w:rsidR="003A30B2">
        <w:rPr>
          <w:rFonts w:cstheme="minorHAnsi"/>
          <w:color w:val="000000" w:themeColor="text1"/>
          <w:shd w:val="clear" w:color="auto" w:fill="FFFFFF"/>
        </w:rPr>
        <w:t xml:space="preserve">. </w:t>
      </w:r>
      <w:r w:rsidR="00AB43E6">
        <w:rPr>
          <w:rFonts w:cstheme="minorHAnsi"/>
          <w:color w:val="000000" w:themeColor="text1"/>
          <w:shd w:val="clear" w:color="auto" w:fill="FFFFFF"/>
        </w:rPr>
        <w:t>Self</w:t>
      </w:r>
      <w:r w:rsidR="006924F7">
        <w:rPr>
          <w:rFonts w:cstheme="minorHAnsi"/>
          <w:color w:val="000000" w:themeColor="text1"/>
          <w:shd w:val="clear" w:color="auto" w:fill="FFFFFF"/>
        </w:rPr>
        <w:t>-</w:t>
      </w:r>
      <w:r w:rsidR="00AB43E6">
        <w:rPr>
          <w:rFonts w:cstheme="minorHAnsi"/>
          <w:color w:val="000000" w:themeColor="text1"/>
          <w:shd w:val="clear" w:color="auto" w:fill="FFFFFF"/>
        </w:rPr>
        <w:t>reported adherence may not be an effective case finding strategy as</w:t>
      </w:r>
      <w:r w:rsidR="006924F7">
        <w:rPr>
          <w:rFonts w:cstheme="minorHAnsi"/>
          <w:color w:val="000000" w:themeColor="text1"/>
          <w:shd w:val="clear" w:color="auto" w:fill="FFFFFF"/>
        </w:rPr>
        <w:t xml:space="preserve"> one included study</w:t>
      </w:r>
      <w:r w:rsidR="007954D0">
        <w:t xml:space="preserve"> identified</w:t>
      </w:r>
      <w:r w:rsidR="00364C50" w:rsidRPr="000B0C0A">
        <w:t xml:space="preserve"> no correlation between </w:t>
      </w:r>
      <w:r w:rsidR="008C3FE1">
        <w:t>s</w:t>
      </w:r>
      <w:r w:rsidR="00611F91">
        <w:t xml:space="preserve">elf-reported </w:t>
      </w:r>
      <w:r w:rsidR="00364C50" w:rsidRPr="000B0C0A">
        <w:t>compliance and persistence as assessed by pharmaceutical claims data.</w:t>
      </w:r>
      <w:r w:rsidR="006066C6">
        <w:t>[3</w:t>
      </w:r>
      <w:r w:rsidR="00127B45">
        <w:t>4</w:t>
      </w:r>
      <w:r w:rsidR="006066C6">
        <w:t>]</w:t>
      </w:r>
      <w:r w:rsidR="00364C50" w:rsidRPr="000B0C0A">
        <w:t xml:space="preserve"> </w:t>
      </w:r>
    </w:p>
    <w:p w14:paraId="1A617DBF" w14:textId="69484F12" w:rsidR="001C1335" w:rsidRPr="00EA69C7" w:rsidRDefault="001C1335" w:rsidP="00434D85">
      <w:pPr>
        <w:rPr>
          <w:i/>
          <w:iCs/>
        </w:rPr>
      </w:pPr>
      <w:r w:rsidRPr="00EA69C7">
        <w:rPr>
          <w:i/>
          <w:iCs/>
        </w:rPr>
        <w:t xml:space="preserve">Mechanisms to offer </w:t>
      </w:r>
      <w:r w:rsidR="00857B80" w:rsidRPr="00EA69C7">
        <w:rPr>
          <w:i/>
          <w:iCs/>
        </w:rPr>
        <w:t xml:space="preserve">integrated and </w:t>
      </w:r>
      <w:r w:rsidRPr="00EA69C7">
        <w:rPr>
          <w:i/>
          <w:iCs/>
        </w:rPr>
        <w:t>sustainable support</w:t>
      </w:r>
    </w:p>
    <w:p w14:paraId="65DA5595" w14:textId="66C955F1" w:rsidR="003451A2" w:rsidRDefault="005079BF" w:rsidP="003451A2">
      <w:r>
        <w:t xml:space="preserve">Our background literature identified uncertainty about professional roles, between primary and secondary care as </w:t>
      </w:r>
      <w:r w:rsidR="00A91F6A" w:rsidRPr="00A91F6A">
        <w:t>an important context to successful treatment</w:t>
      </w:r>
      <w:r>
        <w:t>.</w:t>
      </w:r>
      <w:r w:rsidR="006066C6">
        <w:t>[7]</w:t>
      </w:r>
      <w:r>
        <w:t xml:space="preserve"> </w:t>
      </w:r>
      <w:r w:rsidR="00F31109">
        <w:t xml:space="preserve">Medication persistence with oral treatment was no different between primary and secondary or specialist (FLS) care </w:t>
      </w:r>
      <w:proofErr w:type="gramStart"/>
      <w:r w:rsidR="00F31109">
        <w:t>interventions.[</w:t>
      </w:r>
      <w:proofErr w:type="gramEnd"/>
      <w:r w:rsidR="00F31109">
        <w:t xml:space="preserve">34,41] </w:t>
      </w:r>
      <w:r w:rsidR="00273262">
        <w:t xml:space="preserve">Collaboration between </w:t>
      </w:r>
      <w:r w:rsidR="00304AB5">
        <w:t>primary and secondary care</w:t>
      </w:r>
      <w:r w:rsidR="00273262">
        <w:t xml:space="preserve"> may be more important than who actually delivers the intervention.</w:t>
      </w:r>
      <w:r w:rsidR="002A7FA3" w:rsidRPr="002A7FA3">
        <w:t xml:space="preserve"> </w:t>
      </w:r>
      <w:r w:rsidR="002A7FA3">
        <w:t>[35]</w:t>
      </w:r>
      <w:r w:rsidR="003451A2">
        <w:t xml:space="preserve"> </w:t>
      </w:r>
      <w:r w:rsidR="004D6CC7">
        <w:t xml:space="preserve">In one FLS study, the authors noted the FLS intervention increased work for </w:t>
      </w:r>
      <w:r w:rsidR="003451A2">
        <w:t>the</w:t>
      </w:r>
      <w:r w:rsidR="009E78C0">
        <w:t xml:space="preserve"> patient and PCP </w:t>
      </w:r>
      <w:r w:rsidR="004D6CC7">
        <w:t>and postulated this was why the intervention was unsuccessful at altering</w:t>
      </w:r>
      <w:r w:rsidR="00273262">
        <w:t xml:space="preserve"> long-term </w:t>
      </w:r>
      <w:r w:rsidR="00B9268D">
        <w:t xml:space="preserve">medication </w:t>
      </w:r>
      <w:r w:rsidR="00273262">
        <w:t>outcomes</w:t>
      </w:r>
      <w:r w:rsidR="003451A2">
        <w:t>.</w:t>
      </w:r>
      <w:r w:rsidR="008629B6">
        <w:t>[3</w:t>
      </w:r>
      <w:r w:rsidR="00127B45">
        <w:t>2</w:t>
      </w:r>
      <w:r w:rsidR="008629B6">
        <w:t>]</w:t>
      </w:r>
      <w:r w:rsidR="003451A2">
        <w:t xml:space="preserve"> </w:t>
      </w:r>
    </w:p>
    <w:p w14:paraId="056614ED" w14:textId="2AF467F8" w:rsidR="00EA69C7" w:rsidRDefault="009522DC" w:rsidP="00434D85">
      <w:r>
        <w:t xml:space="preserve">We identified only </w:t>
      </w:r>
      <w:r w:rsidR="008108F3">
        <w:t xml:space="preserve">one study </w:t>
      </w:r>
      <w:r>
        <w:t xml:space="preserve">which </w:t>
      </w:r>
      <w:r w:rsidR="008108F3">
        <w:t xml:space="preserve">attempted to </w:t>
      </w:r>
      <w:r w:rsidR="009871CB">
        <w:t>measure patient outcomes after FLS discharge</w:t>
      </w:r>
      <w:r w:rsidR="00C42955">
        <w:t xml:space="preserve">, </w:t>
      </w:r>
      <w:r w:rsidR="00304D03">
        <w:t>which had high rates of loss to follow up</w:t>
      </w:r>
      <w:r w:rsidR="00697718">
        <w:t>;</w:t>
      </w:r>
      <w:r w:rsidR="00B65964">
        <w:t>[</w:t>
      </w:r>
      <w:r w:rsidR="002B73E2">
        <w:t>60</w:t>
      </w:r>
      <w:r w:rsidR="00B65964">
        <w:t>]</w:t>
      </w:r>
      <w:r w:rsidR="00697718">
        <w:t xml:space="preserve"> although </w:t>
      </w:r>
      <w:r w:rsidR="000C2590">
        <w:t>self-reported</w:t>
      </w:r>
      <w:r w:rsidR="00697718">
        <w:t xml:space="preserve"> adherence in the group contact</w:t>
      </w:r>
      <w:r w:rsidR="000C2590">
        <w:t>ed</w:t>
      </w:r>
      <w:r w:rsidR="00697718">
        <w:t xml:space="preserve"> after FLS discharge </w:t>
      </w:r>
      <w:r w:rsidR="000C2590">
        <w:t xml:space="preserve">(mean 19 months) </w:t>
      </w:r>
      <w:r w:rsidR="00697718">
        <w:t>was high (74%)</w:t>
      </w:r>
      <w:r w:rsidR="000C2590">
        <w:t>,</w:t>
      </w:r>
      <w:r w:rsidR="00697718">
        <w:t xml:space="preserve"> unmet information needs were expressed </w:t>
      </w:r>
      <w:r w:rsidR="00724268">
        <w:t xml:space="preserve">by </w:t>
      </w:r>
      <w:r w:rsidR="00697718">
        <w:t>one third</w:t>
      </w:r>
      <w:r w:rsidR="00446795">
        <w:t xml:space="preserve">.  </w:t>
      </w:r>
    </w:p>
    <w:p w14:paraId="6157C589" w14:textId="77777777" w:rsidR="002D196C" w:rsidRDefault="002D196C">
      <w:pPr>
        <w:rPr>
          <w:b/>
          <w:bCs/>
        </w:rPr>
      </w:pPr>
      <w:r>
        <w:rPr>
          <w:b/>
          <w:bCs/>
        </w:rPr>
        <w:br w:type="page"/>
      </w:r>
    </w:p>
    <w:p w14:paraId="37938076" w14:textId="5590A6B2" w:rsidR="00643E48" w:rsidRPr="00643E48" w:rsidRDefault="002F17F7" w:rsidP="00643E48">
      <w:pPr>
        <w:rPr>
          <w:i/>
          <w:iCs/>
        </w:rPr>
      </w:pPr>
      <w:r w:rsidRPr="002F17F7">
        <w:rPr>
          <w:b/>
          <w:bCs/>
        </w:rPr>
        <w:lastRenderedPageBreak/>
        <w:t>Discussion</w:t>
      </w:r>
      <w:r w:rsidR="0075119E">
        <w:rPr>
          <w:b/>
          <w:bCs/>
        </w:rPr>
        <w:t xml:space="preserve"> </w:t>
      </w:r>
    </w:p>
    <w:p w14:paraId="1DBA97EE" w14:textId="30B41299" w:rsidR="0057389F" w:rsidRDefault="0057389F" w:rsidP="00434D85">
      <w:pPr>
        <w:rPr>
          <w:b/>
          <w:bCs/>
        </w:rPr>
      </w:pPr>
    </w:p>
    <w:p w14:paraId="57454767" w14:textId="1B3258A1" w:rsidR="002E2E31" w:rsidRDefault="007C4B2D" w:rsidP="00434D85">
      <w:pPr>
        <w:rPr>
          <w:b/>
          <w:bCs/>
        </w:rPr>
      </w:pPr>
      <w:r>
        <w:rPr>
          <w:b/>
          <w:bCs/>
        </w:rPr>
        <w:t>Summary</w:t>
      </w:r>
      <w:r w:rsidR="001A759E">
        <w:rPr>
          <w:b/>
          <w:bCs/>
        </w:rPr>
        <w:t xml:space="preserve"> of findings</w:t>
      </w:r>
    </w:p>
    <w:p w14:paraId="406A51E2" w14:textId="7D212D50" w:rsidR="001A759E" w:rsidRDefault="002E2E31" w:rsidP="00A537EA">
      <w:r w:rsidRPr="00913069">
        <w:t xml:space="preserve">In this </w:t>
      </w:r>
      <w:r w:rsidR="00913069" w:rsidRPr="00913069">
        <w:t>rapid</w:t>
      </w:r>
      <w:r w:rsidRPr="00913069">
        <w:t xml:space="preserve"> rea</w:t>
      </w:r>
      <w:r w:rsidR="00913069">
        <w:t>l</w:t>
      </w:r>
      <w:r w:rsidRPr="00913069">
        <w:t>ist revie</w:t>
      </w:r>
      <w:r w:rsidR="00913069">
        <w:t xml:space="preserve">w, we have identified </w:t>
      </w:r>
      <w:r w:rsidR="002E6C8A">
        <w:t>important</w:t>
      </w:r>
      <w:r w:rsidR="00A537EA">
        <w:t xml:space="preserve"> contexts and</w:t>
      </w:r>
      <w:r w:rsidR="002E6C8A">
        <w:t xml:space="preserve"> mechanisms </w:t>
      </w:r>
      <w:r w:rsidR="00CF32D7">
        <w:t xml:space="preserve">key to </w:t>
      </w:r>
      <w:r w:rsidR="001A7384">
        <w:t>optimising medicine use in people with osteoporosis</w:t>
      </w:r>
      <w:r w:rsidR="00A537EA">
        <w:t xml:space="preserve">. Using a </w:t>
      </w:r>
      <w:r w:rsidR="00215E58">
        <w:t>5-step</w:t>
      </w:r>
      <w:r w:rsidR="00A537EA">
        <w:t xml:space="preserve"> model of medicines optimisation, we identified that for patients, </w:t>
      </w:r>
      <w:r w:rsidR="00367529">
        <w:t>interventions</w:t>
      </w:r>
      <w:r w:rsidR="00A537EA">
        <w:t xml:space="preserve"> which support informed decision making are important </w:t>
      </w:r>
      <w:r w:rsidR="00CF32D7">
        <w:t xml:space="preserve">during </w:t>
      </w:r>
      <w:r w:rsidR="00C974C9">
        <w:t xml:space="preserve">treatment </w:t>
      </w:r>
      <w:r w:rsidR="00CF32D7">
        <w:t xml:space="preserve">initiation and may improve long-term commitment to treatment; potential mechanisms include </w:t>
      </w:r>
      <w:r w:rsidR="000C4288">
        <w:t>improv</w:t>
      </w:r>
      <w:r w:rsidR="00CF32D7">
        <w:t xml:space="preserve">ing </w:t>
      </w:r>
      <w:r w:rsidR="000C4288">
        <w:t xml:space="preserve">their knowledge and understanding. </w:t>
      </w:r>
      <w:r w:rsidR="00790629">
        <w:t>However, supporting informed decision making</w:t>
      </w:r>
      <w:r w:rsidR="00341899">
        <w:t xml:space="preserve">, with follow up </w:t>
      </w:r>
      <w:r w:rsidR="00E132AA">
        <w:t>appointments</w:t>
      </w:r>
      <w:r w:rsidR="00790629">
        <w:t xml:space="preserve"> is also important to manage </w:t>
      </w:r>
      <w:r w:rsidR="00341899">
        <w:t>‘</w:t>
      </w:r>
      <w:r w:rsidR="00790629">
        <w:t>disruption loops</w:t>
      </w:r>
      <w:r w:rsidR="00341899">
        <w:t>’</w:t>
      </w:r>
      <w:r w:rsidR="00790629">
        <w:t xml:space="preserve">, where patients may question the effectiveness or safety of treatment. Targeting </w:t>
      </w:r>
      <w:r w:rsidR="00341899">
        <w:t xml:space="preserve">this </w:t>
      </w:r>
      <w:r w:rsidR="00790629">
        <w:t xml:space="preserve">follow up to those who most need it, also shows promise as a cost and clinically effective strategy. </w:t>
      </w:r>
      <w:r w:rsidR="008251A5">
        <w:t>Supporting primary care clinician decision making</w:t>
      </w:r>
      <w:r w:rsidR="00D03201">
        <w:t xml:space="preserve"> and integration of primary and secondary care services</w:t>
      </w:r>
      <w:r w:rsidR="008251A5">
        <w:t xml:space="preserve"> also appears to be important, </w:t>
      </w:r>
      <w:r w:rsidR="008259AA">
        <w:t>in improving rates of treatment initiation and adherence</w:t>
      </w:r>
      <w:r w:rsidR="00696833">
        <w:t>.</w:t>
      </w:r>
      <w:r w:rsidR="008251A5">
        <w:t xml:space="preserve"> </w:t>
      </w:r>
      <w:r w:rsidR="00B65964" w:rsidRPr="00B65964">
        <w:t xml:space="preserve">Supporting patients’ ability to adhere (e.g., by lowering treatment burden and issuing reminders) may be helpful to address practical difficulties, but there is little evidence for interventions which address practical treatment barriers without addressing patient beliefs and concerns. </w:t>
      </w:r>
    </w:p>
    <w:p w14:paraId="25733C9A" w14:textId="2A29CB4D" w:rsidR="00A742D5" w:rsidRDefault="007A622A" w:rsidP="00A537EA">
      <w:pPr>
        <w:rPr>
          <w:b/>
          <w:bCs/>
        </w:rPr>
      </w:pPr>
      <w:r>
        <w:t xml:space="preserve">Importantly, this review highlights </w:t>
      </w:r>
      <w:r w:rsidR="00280DDD">
        <w:t xml:space="preserve">a broad range of </w:t>
      </w:r>
      <w:r w:rsidR="008E7155">
        <w:t xml:space="preserve">important </w:t>
      </w:r>
      <w:r w:rsidR="00280DDD">
        <w:t>outcomes</w:t>
      </w:r>
      <w:r w:rsidR="009870DB">
        <w:t xml:space="preserve"> of importance to our stakeholders and patient partners</w:t>
      </w:r>
      <w:r w:rsidR="008E7155">
        <w:t xml:space="preserve">. </w:t>
      </w:r>
      <w:r w:rsidR="00E5320F">
        <w:t xml:space="preserve">Interventions which have been labelled as ‘unsuccessful’ for not </w:t>
      </w:r>
      <w:r w:rsidR="002E2055">
        <w:t>significantly increasing adherence rates, have been identified as leading to changes in other important outcomes, such as identification of side effects and appropriate treatment switching</w:t>
      </w:r>
      <w:r w:rsidR="00A733D3">
        <w:t xml:space="preserve"> or stopping. </w:t>
      </w:r>
      <w:r w:rsidR="008C2ECF">
        <w:t>Paradoxically</w:t>
      </w:r>
      <w:r w:rsidR="009113E7">
        <w:t xml:space="preserve">, previous research has neglected these outcomes </w:t>
      </w:r>
      <w:r w:rsidR="008C2ECF">
        <w:t>by withdrawing</w:t>
      </w:r>
      <w:r w:rsidR="00A733D3">
        <w:t xml:space="preserve"> patients from studies who had side effects and needed changes in treatment</w:t>
      </w:r>
      <w:r w:rsidR="008C2ECF">
        <w:t xml:space="preserve">, </w:t>
      </w:r>
      <w:proofErr w:type="gramStart"/>
      <w:r w:rsidR="008C2ECF">
        <w:t>in order to</w:t>
      </w:r>
      <w:proofErr w:type="gramEnd"/>
      <w:r w:rsidR="008C2ECF">
        <w:t xml:space="preserve"> solely focus on adherence</w:t>
      </w:r>
      <w:r w:rsidR="00B65964">
        <w:t>.[</w:t>
      </w:r>
      <w:r w:rsidR="00502FAB">
        <w:t>39</w:t>
      </w:r>
      <w:r w:rsidR="00B65964">
        <w:t>]</w:t>
      </w:r>
      <w:r w:rsidR="00A733D3">
        <w:t xml:space="preserve"> </w:t>
      </w:r>
    </w:p>
    <w:p w14:paraId="724453E5" w14:textId="082B9895" w:rsidR="00BE7973" w:rsidRPr="009F26E6" w:rsidRDefault="00111870" w:rsidP="00BE7973">
      <w:r>
        <w:t xml:space="preserve">Using a realist approach has enabled this review to move beyond a limited summary for what works and does not work, to understand what components of interventions work, for whom and why. </w:t>
      </w:r>
      <w:r w:rsidR="004A772C">
        <w:t xml:space="preserve">Our findings suggest that follow up which aims purely to remind, </w:t>
      </w:r>
      <w:proofErr w:type="gramStart"/>
      <w:r w:rsidR="004A772C">
        <w:t>persuade</w:t>
      </w:r>
      <w:proofErr w:type="gramEnd"/>
      <w:r w:rsidR="004A772C">
        <w:t xml:space="preserve"> or reinforce treatment importance is insufficient to improve adherence and need to be combined with opportunities to address patients’ </w:t>
      </w:r>
      <w:r w:rsidR="004A772C" w:rsidRPr="00FA3D51">
        <w:t>perceptions of their condition and its treatment (necessity benefits and concerns)</w:t>
      </w:r>
      <w:r w:rsidR="009A2D9F">
        <w:t xml:space="preserve">. </w:t>
      </w:r>
      <w:r w:rsidR="00373FBC">
        <w:t xml:space="preserve">In realist terms, we consider that interventions which aim to ‘push’ information onto the patient are ineffective and interventions which ‘interact’, and are person-centred are </w:t>
      </w:r>
      <w:proofErr w:type="gramStart"/>
      <w:r w:rsidR="00373FBC">
        <w:t>needed[</w:t>
      </w:r>
      <w:proofErr w:type="gramEnd"/>
      <w:r w:rsidR="002B73E2">
        <w:t>61</w:t>
      </w:r>
      <w:r w:rsidR="00373FBC">
        <w:t xml:space="preserve">]. </w:t>
      </w:r>
      <w:r w:rsidR="009D646D">
        <w:t>This is in line with UK NICE guidance on Medicines Adherence</w:t>
      </w:r>
      <w:r w:rsidR="005141DE">
        <w:t xml:space="preserve"> (NICE)</w:t>
      </w:r>
      <w:r w:rsidR="009D646D">
        <w:t>,</w:t>
      </w:r>
      <w:r w:rsidR="00D96E70">
        <w:t>[3]</w:t>
      </w:r>
      <w:r w:rsidR="009D646D">
        <w:t xml:space="preserve"> informed by the Perceptions and Practicalities Approach,</w:t>
      </w:r>
      <w:r w:rsidR="00E14198">
        <w:t>[1</w:t>
      </w:r>
      <w:r w:rsidR="00127B45">
        <w:t>8</w:t>
      </w:r>
      <w:r w:rsidR="00E14198">
        <w:t>]</w:t>
      </w:r>
      <w:r w:rsidR="009D646D">
        <w:t xml:space="preserve"> which emphasizes that patients </w:t>
      </w:r>
      <w:r w:rsidR="008349B6" w:rsidRPr="008349B6">
        <w:t>make decisions about medicines based on their understanding of their condition and the possible treatments, their view of their own need for the medicine and their concerns about the medicine</w:t>
      </w:r>
      <w:r w:rsidR="009D646D">
        <w:t xml:space="preserve">. </w:t>
      </w:r>
      <w:r w:rsidR="007C2729">
        <w:t>Although some interventions explicitly mentioned addressing patient concerns, no</w:t>
      </w:r>
      <w:r w:rsidR="008121BC">
        <w:t xml:space="preserve"> studies </w:t>
      </w:r>
      <w:r w:rsidR="005366F3">
        <w:t xml:space="preserve">specifically </w:t>
      </w:r>
      <w:r w:rsidR="008121BC">
        <w:t xml:space="preserve">reported eliciting or addressing patient perceptions about treatment need. </w:t>
      </w:r>
      <w:r w:rsidR="00EC156A" w:rsidRPr="00EC156A">
        <w:t xml:space="preserve">Furthermore, understanding of ‘the condition’ may be problematic in the context of osteoporosis medicine which is recommended </w:t>
      </w:r>
      <w:proofErr w:type="gramStart"/>
      <w:r w:rsidR="00EC156A" w:rsidRPr="00EC156A">
        <w:t>on the basis of</w:t>
      </w:r>
      <w:proofErr w:type="gramEnd"/>
      <w:r w:rsidR="00EC156A" w:rsidRPr="00EC156A">
        <w:t xml:space="preserve"> high fracture risk, rather than </w:t>
      </w:r>
      <w:r w:rsidR="005C16FB">
        <w:t xml:space="preserve">for </w:t>
      </w:r>
      <w:r w:rsidR="00EC156A" w:rsidRPr="00EC156A">
        <w:t xml:space="preserve">a diagnosis of osteoporosis. Osteoporosis ‘treatment’ is potentially a confusing concept when ‘treatment’ addresses fracture prevention rather than relief of symptoms. </w:t>
      </w:r>
      <w:r w:rsidR="00B065D7">
        <w:t xml:space="preserve"> </w:t>
      </w:r>
    </w:p>
    <w:p w14:paraId="30FEC5F4" w14:textId="4504A9EE" w:rsidR="003C5F22" w:rsidRDefault="00C92BB5" w:rsidP="00C92BB5">
      <w:r>
        <w:t xml:space="preserve">Limited evidence </w:t>
      </w:r>
      <w:r w:rsidR="00FA2263">
        <w:t xml:space="preserve">from our review </w:t>
      </w:r>
      <w:r>
        <w:t xml:space="preserve">suggests that </w:t>
      </w:r>
      <w:r w:rsidR="00C725DB">
        <w:t xml:space="preserve">other </w:t>
      </w:r>
      <w:r>
        <w:t xml:space="preserve">interventions to </w:t>
      </w:r>
      <w:r w:rsidR="00FA2263">
        <w:t xml:space="preserve">remind and </w:t>
      </w:r>
      <w:r>
        <w:t>support routinisation are helpful, and may support persistence only, if patients want them, and they can be adapted to their needs.</w:t>
      </w:r>
      <w:r w:rsidR="003E242D">
        <w:t xml:space="preserve"> A significant literature evaluates the use of text reminders</w:t>
      </w:r>
      <w:r w:rsidR="0037338A">
        <w:t xml:space="preserve">, although it </w:t>
      </w:r>
      <w:r w:rsidR="003E242D">
        <w:t>has mainly focused on younger adults</w:t>
      </w:r>
      <w:r w:rsidR="00CE534C">
        <w:t>,[</w:t>
      </w:r>
      <w:r w:rsidR="00F7171B">
        <w:t>62</w:t>
      </w:r>
      <w:r w:rsidR="00CE534C">
        <w:t>]</w:t>
      </w:r>
      <w:r w:rsidR="00F23464">
        <w:t xml:space="preserve"> </w:t>
      </w:r>
      <w:r w:rsidR="003E242D">
        <w:t xml:space="preserve">meaning that acceptability in people with osteoporosis is likely to be affected by health and/or digital literacy, or other barriers to communication such as </w:t>
      </w:r>
      <w:r w:rsidR="003E242D">
        <w:lastRenderedPageBreak/>
        <w:t xml:space="preserve">hearing, visual or cognitive impairment. </w:t>
      </w:r>
      <w:r w:rsidR="00D3761B">
        <w:t xml:space="preserve">Importantly, only one study within </w:t>
      </w:r>
      <w:r w:rsidR="00311113">
        <w:t>our</w:t>
      </w:r>
      <w:r w:rsidR="00D3761B">
        <w:t xml:space="preserve"> review measured health literacy of participants and digital literacy and other barriers to communication were not generally considered or reported.</w:t>
      </w:r>
      <w:r w:rsidR="00CE534C">
        <w:t>[4</w:t>
      </w:r>
      <w:r w:rsidR="00127B45">
        <w:t>0</w:t>
      </w:r>
      <w:r w:rsidR="00CE534C">
        <w:t>]</w:t>
      </w:r>
      <w:r w:rsidR="00114757">
        <w:t xml:space="preserve"> This is particularly important as people with low health literacy are more at risk of poor health </w:t>
      </w:r>
      <w:r w:rsidR="003D0FB7">
        <w:t>outcomes and</w:t>
      </w:r>
      <w:r w:rsidR="00114757">
        <w:t xml:space="preserve"> are less likely to engage with or adhere to recommended treatments</w:t>
      </w:r>
      <w:r w:rsidR="002F1519">
        <w:t>.[</w:t>
      </w:r>
      <w:r w:rsidR="00F7171B">
        <w:t>63</w:t>
      </w:r>
      <w:r w:rsidR="002F1519">
        <w:t>]</w:t>
      </w:r>
    </w:p>
    <w:p w14:paraId="4A9386E5" w14:textId="4FED842B" w:rsidR="00EA354E" w:rsidRPr="00EA354E" w:rsidRDefault="00EA354E" w:rsidP="00434D85">
      <w:pPr>
        <w:rPr>
          <w:b/>
          <w:bCs/>
        </w:rPr>
      </w:pPr>
      <w:r>
        <w:rPr>
          <w:b/>
          <w:bCs/>
        </w:rPr>
        <w:t>Strengths and l</w:t>
      </w:r>
      <w:r w:rsidRPr="00EA354E">
        <w:rPr>
          <w:b/>
          <w:bCs/>
        </w:rPr>
        <w:t>imitations</w:t>
      </w:r>
    </w:p>
    <w:p w14:paraId="41D42B8D" w14:textId="0CA4C513" w:rsidR="0075119E" w:rsidRDefault="007363C5" w:rsidP="00434D85">
      <w:r>
        <w:t>Strengths</w:t>
      </w:r>
      <w:r w:rsidR="00652A4D">
        <w:t xml:space="preserve"> of this review included th</w:t>
      </w:r>
      <w:r>
        <w:t>e</w:t>
      </w:r>
      <w:r w:rsidR="00652A4D">
        <w:t xml:space="preserve"> d</w:t>
      </w:r>
      <w:r>
        <w:t>epth a</w:t>
      </w:r>
      <w:r w:rsidR="00652A4D">
        <w:t xml:space="preserve">nd </w:t>
      </w:r>
      <w:r>
        <w:t>breadth</w:t>
      </w:r>
      <w:r w:rsidR="00652A4D">
        <w:t xml:space="preserve"> of </w:t>
      </w:r>
      <w:r>
        <w:t xml:space="preserve">the </w:t>
      </w:r>
      <w:r w:rsidR="00652A4D">
        <w:t>underpinning background literature</w:t>
      </w:r>
      <w:r>
        <w:t xml:space="preserve">, </w:t>
      </w:r>
      <w:r w:rsidR="00652A4D">
        <w:t xml:space="preserve">supporting theory and </w:t>
      </w:r>
      <w:r>
        <w:t xml:space="preserve">expertise of the study team. </w:t>
      </w:r>
      <w:r w:rsidR="00DB7481">
        <w:t xml:space="preserve">In addition, we had extensive stakeholder involvement, including with clinicians, academics, representatives from the </w:t>
      </w:r>
      <w:r w:rsidR="00971414">
        <w:t>ROS</w:t>
      </w:r>
      <w:r w:rsidR="00DB7481">
        <w:t xml:space="preserve"> and patient advocates to validate our emerging programme theories. </w:t>
      </w:r>
      <w:r>
        <w:t>However, t</w:t>
      </w:r>
      <w:r w:rsidR="00440E2B">
        <w:t xml:space="preserve">his review is subject to </w:t>
      </w:r>
      <w:proofErr w:type="gramStart"/>
      <w:r w:rsidR="00440E2B">
        <w:t>a number of</w:t>
      </w:r>
      <w:proofErr w:type="gramEnd"/>
      <w:r w:rsidR="00440E2B">
        <w:t xml:space="preserve"> limitations. </w:t>
      </w:r>
      <w:r w:rsidR="00950231">
        <w:t xml:space="preserve">First, our search may have missed studies </w:t>
      </w:r>
      <w:r w:rsidR="009538BF">
        <w:t xml:space="preserve">as we used the term ‘osteoporosis’ to define the population but osteoporosis medicines may be given to people </w:t>
      </w:r>
      <w:r w:rsidR="003867F2">
        <w:t xml:space="preserve">at high fracture risk, </w:t>
      </w:r>
      <w:r w:rsidR="009538BF">
        <w:t>without</w:t>
      </w:r>
      <w:r w:rsidR="0057021C">
        <w:t xml:space="preserve"> this diagnosis.</w:t>
      </w:r>
      <w:r w:rsidR="00950231">
        <w:t xml:space="preserve"> </w:t>
      </w:r>
      <w:r w:rsidR="00111E51">
        <w:t>The quality of the included studies was mostly low, and the interventions within them often not described in detail</w:t>
      </w:r>
      <w:r w:rsidR="00C13286">
        <w:t xml:space="preserve">. </w:t>
      </w:r>
      <w:proofErr w:type="gramStart"/>
      <w:r w:rsidR="0001696D">
        <w:t>A number of</w:t>
      </w:r>
      <w:proofErr w:type="gramEnd"/>
      <w:r w:rsidR="0001696D">
        <w:t xml:space="preserve"> the included studies were from specialist settings, although the findings still </w:t>
      </w:r>
      <w:r w:rsidR="00191B42">
        <w:t xml:space="preserve">have relevance for non-specialist settings. </w:t>
      </w:r>
      <w:r w:rsidR="00C13286">
        <w:t xml:space="preserve">Furthermore, authors rarely suggested mechanisms </w:t>
      </w:r>
      <w:r w:rsidR="004A07D8">
        <w:t xml:space="preserve">or underpinning theory supporting their interventions. </w:t>
      </w:r>
      <w:r w:rsidR="0054100B">
        <w:t>This depth of description and study quality</w:t>
      </w:r>
      <w:r w:rsidR="00652A4D">
        <w:t xml:space="preserve"> </w:t>
      </w:r>
      <w:r w:rsidR="00464986">
        <w:t>limited the available data to extract regarding context and mechanisms</w:t>
      </w:r>
      <w:r>
        <w:t>; however, our existing background qualitative literature</w:t>
      </w:r>
      <w:r w:rsidR="00F32E9B">
        <w:t xml:space="preserve">, and the recent realist review in a similar area </w:t>
      </w:r>
      <w:r>
        <w:t>enabled</w:t>
      </w:r>
      <w:r w:rsidR="00F32E9B">
        <w:t xml:space="preserve"> us to </w:t>
      </w:r>
      <w:r w:rsidR="00296B27">
        <w:t>theorize candidate C-M-O configurations</w:t>
      </w:r>
      <w:r w:rsidR="0096655A">
        <w:t xml:space="preserve">. </w:t>
      </w:r>
      <w:r w:rsidR="00652A4D">
        <w:t xml:space="preserve">Our secondary searches were </w:t>
      </w:r>
      <w:r w:rsidR="00262C9E">
        <w:t xml:space="preserve">necessarily </w:t>
      </w:r>
      <w:r w:rsidR="00652A4D">
        <w:t xml:space="preserve">brief </w:t>
      </w:r>
      <w:r w:rsidR="00262C9E">
        <w:t>in view of the nature of this rapid realist review</w:t>
      </w:r>
      <w:r w:rsidR="00FB444E">
        <w:t xml:space="preserve">, and more attention to supporting literature may have enabled more exploration of </w:t>
      </w:r>
      <w:r w:rsidR="00430A24">
        <w:t>possible mechanisms</w:t>
      </w:r>
      <w:r w:rsidR="00652A4D">
        <w:t xml:space="preserve">. </w:t>
      </w:r>
    </w:p>
    <w:p w14:paraId="664298FF" w14:textId="77777777" w:rsidR="003C00D5" w:rsidRDefault="00430A24" w:rsidP="00434D85">
      <w:pPr>
        <w:rPr>
          <w:b/>
          <w:bCs/>
        </w:rPr>
      </w:pPr>
      <w:r w:rsidRPr="00430A24">
        <w:rPr>
          <w:b/>
          <w:bCs/>
        </w:rPr>
        <w:t>Implications for clinical practice</w:t>
      </w:r>
    </w:p>
    <w:p w14:paraId="6E8FF65A" w14:textId="1AE41231" w:rsidR="003C00D5" w:rsidRPr="00040D6A" w:rsidRDefault="003C00D5" w:rsidP="00040D6A">
      <w:r w:rsidRPr="00040D6A">
        <w:t>We suggest the findings of this review highlight the need for</w:t>
      </w:r>
      <w:r w:rsidR="00D433B4">
        <w:t xml:space="preserve"> all</w:t>
      </w:r>
      <w:r w:rsidRPr="00040D6A">
        <w:t xml:space="preserve"> </w:t>
      </w:r>
      <w:r w:rsidR="00C72F98">
        <w:t>healthcare professionals</w:t>
      </w:r>
      <w:r w:rsidR="00D433B4">
        <w:t xml:space="preserve"> </w:t>
      </w:r>
      <w:r w:rsidR="00921BD4">
        <w:t>involved in the care of people with osteoporosis</w:t>
      </w:r>
      <w:r w:rsidR="00C72F98" w:rsidRPr="00040D6A">
        <w:t xml:space="preserve"> </w:t>
      </w:r>
      <w:r w:rsidRPr="00040D6A">
        <w:t xml:space="preserve">to </w:t>
      </w:r>
      <w:r w:rsidR="00040D6A">
        <w:t>c</w:t>
      </w:r>
      <w:r w:rsidR="00040D6A" w:rsidRPr="00040D6A">
        <w:t xml:space="preserve">onsider opportunities to promote </w:t>
      </w:r>
      <w:r w:rsidR="0082301B">
        <w:t>informed</w:t>
      </w:r>
      <w:r w:rsidR="0082301B" w:rsidRPr="00040D6A">
        <w:t xml:space="preserve"> </w:t>
      </w:r>
      <w:r w:rsidR="00040D6A" w:rsidRPr="00040D6A">
        <w:t xml:space="preserve">decision making, and a </w:t>
      </w:r>
      <w:r w:rsidR="00673D8F" w:rsidRPr="00040D6A">
        <w:t>p</w:t>
      </w:r>
      <w:r w:rsidR="00673D8F">
        <w:t>erson</w:t>
      </w:r>
      <w:r w:rsidR="00040D6A" w:rsidRPr="00040D6A">
        <w:t>-centred approach, in all patient contact</w:t>
      </w:r>
      <w:r w:rsidR="00040D6A">
        <w:t xml:space="preserve">s. </w:t>
      </w:r>
      <w:r w:rsidR="00D3754F">
        <w:t xml:space="preserve">Our stakeholder group </w:t>
      </w:r>
      <w:r w:rsidR="002B27ED">
        <w:t xml:space="preserve">felt strongly that outcomes other than adherence are important, and that the clinical community should </w:t>
      </w:r>
      <w:r w:rsidR="00A04947">
        <w:t>recognise</w:t>
      </w:r>
      <w:r w:rsidR="002B27ED">
        <w:t xml:space="preserve"> the value of </w:t>
      </w:r>
      <w:r w:rsidR="007B0FD3">
        <w:t>long-term</w:t>
      </w:r>
      <w:r w:rsidR="00A04947">
        <w:t xml:space="preserve"> care and follow up, to</w:t>
      </w:r>
      <w:r w:rsidR="002B27ED">
        <w:t xml:space="preserve"> not </w:t>
      </w:r>
      <w:r w:rsidR="00A04947">
        <w:t>just</w:t>
      </w:r>
      <w:r w:rsidR="002B27ED">
        <w:t xml:space="preserve"> monitor adherence but to </w:t>
      </w:r>
      <w:r w:rsidR="00A04947">
        <w:t xml:space="preserve">address concerns, identify side effects, monitor </w:t>
      </w:r>
      <w:proofErr w:type="gramStart"/>
      <w:r w:rsidR="00A04947">
        <w:t>effectiveness</w:t>
      </w:r>
      <w:proofErr w:type="gramEnd"/>
      <w:r w:rsidR="00A04947">
        <w:t xml:space="preserve"> and discuss other issues such as lifestyle management. </w:t>
      </w:r>
      <w:r w:rsidR="009E0AF6">
        <w:t>A</w:t>
      </w:r>
      <w:r w:rsidR="009B680E">
        <w:t xml:space="preserve">s both national and international audits which evaluate the success of FLS focus </w:t>
      </w:r>
      <w:r w:rsidR="005339FE">
        <w:t>on adherence as a key performance indicator</w:t>
      </w:r>
      <w:r w:rsidR="00073AB4">
        <w:t>,[</w:t>
      </w:r>
      <w:r w:rsidR="00F7171B">
        <w:t>64</w:t>
      </w:r>
      <w:r w:rsidR="00073AB4">
        <w:t>]</w:t>
      </w:r>
      <w:r w:rsidR="005339FE">
        <w:t xml:space="preserve"> we suggest that services and national audit schemes might consider additional measures of ‘success’ including the extent of patient participation and involvement in shared decision making</w:t>
      </w:r>
      <w:r w:rsidR="00970513">
        <w:t xml:space="preserve">; however, choosing </w:t>
      </w:r>
      <w:r w:rsidR="0046180A">
        <w:t>optimum</w:t>
      </w:r>
      <w:r w:rsidR="00970513">
        <w:t xml:space="preserve"> outcome measures </w:t>
      </w:r>
      <w:r w:rsidR="009E183A">
        <w:t>for shared decision making</w:t>
      </w:r>
      <w:r w:rsidR="00970513">
        <w:t xml:space="preserve"> is also a </w:t>
      </w:r>
      <w:r w:rsidR="0046180A">
        <w:t>question for research</w:t>
      </w:r>
      <w:r w:rsidR="005339FE">
        <w:t>.</w:t>
      </w:r>
      <w:r w:rsidR="000D155B">
        <w:t>[</w:t>
      </w:r>
      <w:r w:rsidR="00F7171B">
        <w:t>65</w:t>
      </w:r>
      <w:r w:rsidR="000D155B">
        <w:t>]</w:t>
      </w:r>
      <w:r w:rsidR="005339FE">
        <w:t xml:space="preserve"> </w:t>
      </w:r>
      <w:r w:rsidR="009E0AF6">
        <w:t xml:space="preserve">Finally, </w:t>
      </w:r>
      <w:r w:rsidR="00E433C4">
        <w:t>a</w:t>
      </w:r>
      <w:r w:rsidR="009E0AF6">
        <w:t xml:space="preserve"> particularly interesting finding is the importance and value of including elements of </w:t>
      </w:r>
      <w:r w:rsidR="000A6AD6">
        <w:t xml:space="preserve">medicine optimisation </w:t>
      </w:r>
      <w:r w:rsidR="009E0AF6">
        <w:t xml:space="preserve">interventions </w:t>
      </w:r>
      <w:r w:rsidR="000A6AD6">
        <w:t>which</w:t>
      </w:r>
      <w:r w:rsidR="009E0AF6">
        <w:t xml:space="preserve"> address primary care healthcare professional needs in addition to the needs of patients</w:t>
      </w:r>
      <w:r w:rsidR="00E433C4">
        <w:t>; as such, specialist services might consider to what extent they already do this, or can enhance this aspect of their service.</w:t>
      </w:r>
    </w:p>
    <w:p w14:paraId="4A69F64F" w14:textId="573C3205" w:rsidR="00430A24" w:rsidRDefault="00430A24" w:rsidP="00434D85">
      <w:pPr>
        <w:rPr>
          <w:b/>
          <w:bCs/>
        </w:rPr>
      </w:pPr>
      <w:r w:rsidRPr="00430A24">
        <w:rPr>
          <w:b/>
          <w:bCs/>
        </w:rPr>
        <w:t>Implications for research</w:t>
      </w:r>
    </w:p>
    <w:p w14:paraId="3B57CEBF" w14:textId="0693C0AF" w:rsidR="00D12FF7" w:rsidRDefault="00D12FF7" w:rsidP="001B1A05">
      <w:r w:rsidRPr="005F1DB0">
        <w:t xml:space="preserve">We identified </w:t>
      </w:r>
      <w:r w:rsidR="00FB7068">
        <w:t>three</w:t>
      </w:r>
      <w:r w:rsidRPr="005F1DB0">
        <w:t xml:space="preserve"> key </w:t>
      </w:r>
      <w:r w:rsidR="005F1DB0" w:rsidRPr="005F1DB0">
        <w:t>recommendations for researchers in this field</w:t>
      </w:r>
      <w:r w:rsidR="005F1DB0">
        <w:t>.</w:t>
      </w:r>
      <w:r w:rsidR="001B1A05">
        <w:t xml:space="preserve"> First, </w:t>
      </w:r>
      <w:r w:rsidR="00B5770B">
        <w:t xml:space="preserve">we suggest researchers </w:t>
      </w:r>
      <w:r w:rsidR="00B5770B" w:rsidRPr="001B1A05">
        <w:t>consider how new interventions designed to improve medicines optimisation address the mechanisms we have described, and target both clinician and patient</w:t>
      </w:r>
      <w:r w:rsidR="00FB7068">
        <w:t>. Reporting of interventions would be improved by</w:t>
      </w:r>
      <w:r w:rsidR="00B8620B">
        <w:t xml:space="preserve"> use of the TIDIER</w:t>
      </w:r>
      <w:r w:rsidR="009B0DF0">
        <w:t xml:space="preserve"> (</w:t>
      </w:r>
      <w:r w:rsidR="009B0DF0" w:rsidRPr="00302178">
        <w:rPr>
          <w:rFonts w:cstheme="minorHAnsi"/>
          <w:color w:val="222222"/>
          <w:shd w:val="clear" w:color="auto" w:fill="FFFFFF"/>
        </w:rPr>
        <w:t>template for intervention description and replication</w:t>
      </w:r>
      <w:r w:rsidR="00401D02">
        <w:rPr>
          <w:rFonts w:cstheme="minorHAnsi"/>
          <w:color w:val="222222"/>
          <w:shd w:val="clear" w:color="auto" w:fill="FFFFFF"/>
        </w:rPr>
        <w:t>)</w:t>
      </w:r>
      <w:r w:rsidR="00B8620B">
        <w:t xml:space="preserve"> checklist</w:t>
      </w:r>
      <w:r w:rsidR="00401D02">
        <w:t>.</w:t>
      </w:r>
      <w:r w:rsidR="002C15CB">
        <w:t>[</w:t>
      </w:r>
      <w:r w:rsidR="00F7171B">
        <w:t>66</w:t>
      </w:r>
      <w:r w:rsidR="002C15CB">
        <w:t>]</w:t>
      </w:r>
      <w:r w:rsidR="00FB7068">
        <w:t xml:space="preserve"> Second, </w:t>
      </w:r>
      <w:r w:rsidR="001B1A05">
        <w:t xml:space="preserve">we strongly suggest researchers </w:t>
      </w:r>
      <w:r w:rsidR="001B1A05" w:rsidRPr="001B1A05">
        <w:t>target and measure outcomes other than adherence, including other clinical outcomes, patient experience measures and cost-effectiveness</w:t>
      </w:r>
      <w:r w:rsidR="001B1A05">
        <w:t xml:space="preserve">. </w:t>
      </w:r>
      <w:r w:rsidR="00401D02">
        <w:lastRenderedPageBreak/>
        <w:t xml:space="preserve">Finally, we ask researchers to consider </w:t>
      </w:r>
      <w:r w:rsidR="001B1A05" w:rsidRPr="001B1A05">
        <w:t xml:space="preserve">how to engage and include populations who </w:t>
      </w:r>
      <w:r w:rsidR="00872040" w:rsidRPr="001B1A05">
        <w:t>are under-represented in current work</w:t>
      </w:r>
      <w:r w:rsidR="00872040">
        <w:t>, including steroid users, and those</w:t>
      </w:r>
      <w:r w:rsidR="001B1A05" w:rsidRPr="001B1A05">
        <w:t xml:space="preserve"> most at risk of poor outcomes</w:t>
      </w:r>
      <w:r w:rsidR="00401D02">
        <w:t xml:space="preserve">, including those with </w:t>
      </w:r>
      <w:r w:rsidR="001B1A05" w:rsidRPr="001B1A05">
        <w:t>low health literacy</w:t>
      </w:r>
      <w:r w:rsidR="00872040">
        <w:t xml:space="preserve"> and other</w:t>
      </w:r>
      <w:r w:rsidR="00872040" w:rsidRPr="001B1A05">
        <w:t xml:space="preserve"> </w:t>
      </w:r>
      <w:r w:rsidR="001B1A05" w:rsidRPr="001B1A05">
        <w:t>barriers to communication</w:t>
      </w:r>
      <w:r w:rsidR="00872040">
        <w:t>.</w:t>
      </w:r>
    </w:p>
    <w:p w14:paraId="01E0FD13" w14:textId="36F08649" w:rsidR="009441D6" w:rsidRDefault="00CE4B88" w:rsidP="00CE4B88">
      <w:r>
        <w:t>I</w:t>
      </w:r>
      <w:r w:rsidR="00A7159B">
        <w:t>n discussion with our stakeholders, we identified a need for further research to identify a sustainable, integrated, patient-centred, cost and clinically effective model of long-term care for people with osteoporosis. F</w:t>
      </w:r>
      <w:r w:rsidR="00562524">
        <w:t>urther re</w:t>
      </w:r>
      <w:r w:rsidR="004A6AF5">
        <w:t>alist evaluation is needed to</w:t>
      </w:r>
      <w:r>
        <w:t xml:space="preserve"> explore the model and</w:t>
      </w:r>
      <w:r w:rsidR="004A6AF5">
        <w:t xml:space="preserve"> </w:t>
      </w:r>
      <w:r w:rsidR="002F0CB9">
        <w:t>extend</w:t>
      </w:r>
      <w:r w:rsidR="00425313">
        <w:t xml:space="preserve">, </w:t>
      </w:r>
      <w:proofErr w:type="gramStart"/>
      <w:r w:rsidR="00425313">
        <w:t>confirm</w:t>
      </w:r>
      <w:proofErr w:type="gramEnd"/>
      <w:r w:rsidR="00425313">
        <w:t xml:space="preserve"> </w:t>
      </w:r>
      <w:r w:rsidR="004A6AF5">
        <w:t xml:space="preserve">or refute the emergent C-M-O configurations we have identified. </w:t>
      </w:r>
      <w:r w:rsidR="00091DD9">
        <w:t xml:space="preserve">This might include </w:t>
      </w:r>
      <w:r>
        <w:t xml:space="preserve">consideration </w:t>
      </w:r>
      <w:r w:rsidR="009441D6">
        <w:t>for</w:t>
      </w:r>
      <w:r>
        <w:t xml:space="preserve"> </w:t>
      </w:r>
    </w:p>
    <w:p w14:paraId="1FE5D96E" w14:textId="77777777" w:rsidR="009441D6" w:rsidRDefault="00091DD9" w:rsidP="009441D6">
      <w:pPr>
        <w:pStyle w:val="ListParagraph"/>
        <w:numPr>
          <w:ilvl w:val="0"/>
          <w:numId w:val="12"/>
        </w:numPr>
      </w:pPr>
      <w:r>
        <w:t xml:space="preserve">clinical </w:t>
      </w:r>
      <w:r w:rsidR="00E926E6">
        <w:t>decision-making</w:t>
      </w:r>
      <w:r>
        <w:t xml:space="preserve"> needs</w:t>
      </w:r>
    </w:p>
    <w:p w14:paraId="12894247" w14:textId="4C1E29BD" w:rsidR="00CE0EDA" w:rsidRDefault="00AC4404" w:rsidP="009441D6">
      <w:pPr>
        <w:pStyle w:val="ListParagraph"/>
        <w:numPr>
          <w:ilvl w:val="0"/>
          <w:numId w:val="12"/>
        </w:numPr>
      </w:pPr>
      <w:r>
        <w:t>how informed and shared decision making can be optimised</w:t>
      </w:r>
      <w:r w:rsidR="00062C07">
        <w:t xml:space="preserve">, with specific attention to eliciting and addressing </w:t>
      </w:r>
      <w:r w:rsidR="00A05CA4">
        <w:t>beliefs and concerns</w:t>
      </w:r>
    </w:p>
    <w:p w14:paraId="0EA9192E" w14:textId="12C7B718" w:rsidR="00562524" w:rsidRDefault="00CE0EDA" w:rsidP="00CE0EDA">
      <w:pPr>
        <w:pStyle w:val="ListParagraph"/>
        <w:numPr>
          <w:ilvl w:val="0"/>
          <w:numId w:val="11"/>
        </w:numPr>
      </w:pPr>
      <w:r w:rsidRPr="00CE0EDA">
        <w:t>the role of clinical tests to monitor drug effectiveness</w:t>
      </w:r>
    </w:p>
    <w:p w14:paraId="31C93B05" w14:textId="2CEDFC2D" w:rsidR="001444B8" w:rsidRPr="009441D6" w:rsidRDefault="009B7500" w:rsidP="00434D85">
      <w:pPr>
        <w:pStyle w:val="ListParagraph"/>
        <w:numPr>
          <w:ilvl w:val="0"/>
          <w:numId w:val="11"/>
        </w:numPr>
      </w:pPr>
      <w:r>
        <w:t>the role of personalised or stratified approaches to long term care</w:t>
      </w:r>
    </w:p>
    <w:p w14:paraId="1E7A3C5A" w14:textId="2EA602E1" w:rsidR="00870C8C" w:rsidRDefault="00870C8C" w:rsidP="00434D85">
      <w:pPr>
        <w:rPr>
          <w:b/>
          <w:bCs/>
        </w:rPr>
      </w:pPr>
      <w:r>
        <w:rPr>
          <w:b/>
          <w:bCs/>
        </w:rPr>
        <w:t>Conclusion</w:t>
      </w:r>
    </w:p>
    <w:p w14:paraId="78CF0EFA" w14:textId="0960C853" w:rsidR="00870C8C" w:rsidRDefault="009013D4" w:rsidP="00434D85">
      <w:r w:rsidRPr="009013D4">
        <w:t xml:space="preserve">For the first time, this rapid </w:t>
      </w:r>
      <w:r w:rsidR="004E3067" w:rsidRPr="009013D4">
        <w:t>realist</w:t>
      </w:r>
      <w:r w:rsidRPr="009013D4">
        <w:t xml:space="preserve"> review summarises the </w:t>
      </w:r>
      <w:r w:rsidR="004E3067">
        <w:t>important contexts and mechanisms which appear to be important in optimising medicine use in people with osteoporosis</w:t>
      </w:r>
      <w:r w:rsidR="005F2498">
        <w:t xml:space="preserve">. </w:t>
      </w:r>
      <w:r w:rsidR="00354B3D">
        <w:t>W</w:t>
      </w:r>
      <w:r w:rsidR="005F2498">
        <w:t xml:space="preserve">e suggest </w:t>
      </w:r>
      <w:r w:rsidR="00154F5E">
        <w:t xml:space="preserve">people taking osteoporosis medicines need more </w:t>
      </w:r>
      <w:r w:rsidR="00BA431E">
        <w:t xml:space="preserve">patient-centred interventions and </w:t>
      </w:r>
      <w:r w:rsidR="00154F5E">
        <w:t xml:space="preserve">support to </w:t>
      </w:r>
      <w:r w:rsidR="00BA431E">
        <w:t xml:space="preserve">help them </w:t>
      </w:r>
      <w:r w:rsidR="00154F5E">
        <w:t xml:space="preserve">make </w:t>
      </w:r>
      <w:r w:rsidR="005F2498">
        <w:t xml:space="preserve">informed </w:t>
      </w:r>
      <w:r w:rsidR="00115C1A">
        <w:t>decisions and</w:t>
      </w:r>
      <w:r w:rsidR="00BA431E">
        <w:t xml:space="preserve"> reduce treatment burden. </w:t>
      </w:r>
      <w:r w:rsidR="00B63D90">
        <w:t>Targeting additional support and follow up to those most in need may be a cost and clinically effective approach to</w:t>
      </w:r>
      <w:r w:rsidR="00DF1C1E">
        <w:t xml:space="preserve"> achieving this. </w:t>
      </w:r>
      <w:r w:rsidR="00470E9B">
        <w:t xml:space="preserve">Specialist services should consider the extent to which they integrate with, and support primary care </w:t>
      </w:r>
      <w:r w:rsidR="0037487B">
        <w:t>clinical decision making</w:t>
      </w:r>
      <w:r w:rsidR="00DF1C1E">
        <w:t xml:space="preserve">, </w:t>
      </w:r>
      <w:r w:rsidR="00115C1A">
        <w:t>to</w:t>
      </w:r>
      <w:r w:rsidR="00DF1C1E">
        <w:t xml:space="preserve"> impact long</w:t>
      </w:r>
      <w:r w:rsidR="00142FC1">
        <w:t>-</w:t>
      </w:r>
      <w:r w:rsidR="00DF1C1E">
        <w:t>term clinical outcomes</w:t>
      </w:r>
      <w:r w:rsidR="00B63D90">
        <w:t xml:space="preserve">. </w:t>
      </w:r>
    </w:p>
    <w:p w14:paraId="40175E76" w14:textId="71FABF2D" w:rsidR="00142FC1" w:rsidRDefault="00142FC1" w:rsidP="00434D85"/>
    <w:p w14:paraId="3B850F91" w14:textId="5CE19D42" w:rsidR="004B58A8" w:rsidRPr="009013D4" w:rsidRDefault="004B58A8" w:rsidP="00434D85">
      <w:r>
        <w:rPr>
          <w:rFonts w:ascii="Segoe UI" w:hAnsi="Segoe UI" w:cs="Segoe UI"/>
          <w:color w:val="333333"/>
          <w:sz w:val="27"/>
          <w:szCs w:val="27"/>
          <w:shd w:val="clear" w:color="auto" w:fill="FCFCFC"/>
        </w:rPr>
        <w:t>Statements and Declarations</w:t>
      </w:r>
    </w:p>
    <w:p w14:paraId="46B5C1D9" w14:textId="77777777" w:rsidR="004C75FC" w:rsidRPr="0096431A" w:rsidRDefault="004C75FC" w:rsidP="004C75FC">
      <w:pPr>
        <w:rPr>
          <w:b/>
          <w:bCs/>
        </w:rPr>
      </w:pPr>
      <w:r w:rsidRPr="0096431A">
        <w:rPr>
          <w:b/>
          <w:bCs/>
        </w:rPr>
        <w:t>Funding</w:t>
      </w:r>
    </w:p>
    <w:p w14:paraId="45DA7839" w14:textId="77777777" w:rsidR="004C75FC" w:rsidRDefault="004C75FC" w:rsidP="004C75FC">
      <w:r>
        <w:t xml:space="preserve">This work was supporting by funding from the Effectiveness Working Group of the Royal Osteoporosis Society Osteoporosis and Bone Research Academy. ZP is funded by the National Institute for Health Research (NIHR) Clinician Scientist Award (CS-2018-18-ST2-010)/NIHR Academy). </w:t>
      </w:r>
    </w:p>
    <w:p w14:paraId="69430D1A" w14:textId="77777777" w:rsidR="004C75FC" w:rsidRDefault="004C75FC" w:rsidP="004C75FC">
      <w:r>
        <w:t>Professor Rob Horne is supported by the National Institute for Health Research (NIHR, Collaboration for Leadership in Applied Health Research and Care (CLAHRC), North Thames at Bart's Health NHS Trust and Asthma UK (AUKCAR). The views expressed are those of the author(s) and not necessarily those of the NHS, the NIHR or the Department of Health.</w:t>
      </w:r>
    </w:p>
    <w:p w14:paraId="4C5A9BF3" w14:textId="56ABF4A8" w:rsidR="004C75FC" w:rsidRPr="00C70063" w:rsidRDefault="004B58A8" w:rsidP="004C75FC">
      <w:pPr>
        <w:rPr>
          <w:b/>
          <w:bCs/>
        </w:rPr>
      </w:pPr>
      <w:r>
        <w:rPr>
          <w:b/>
          <w:bCs/>
        </w:rPr>
        <w:t>Competing</w:t>
      </w:r>
      <w:r w:rsidR="004C75FC" w:rsidRPr="00C70063">
        <w:rPr>
          <w:b/>
          <w:bCs/>
        </w:rPr>
        <w:t xml:space="preserve"> interest</w:t>
      </w:r>
      <w:r>
        <w:rPr>
          <w:b/>
          <w:bCs/>
        </w:rPr>
        <w:t>s</w:t>
      </w:r>
    </w:p>
    <w:p w14:paraId="4B1D9CA2" w14:textId="1DD5A3FB" w:rsidR="004C75FC" w:rsidRDefault="004C75FC" w:rsidP="004C75FC">
      <w:r>
        <w:t xml:space="preserve">RH reports speaker engagements with honoraria with the following companies: AbbVie, Abbott, Amgen, Astellas, AstraZeneca, Boehringer Ingelheim, Biogen, Gilead Sciences, GlaxoSmithKline, Janssen, Merck Sharp Dohme, Merck, Novartis, Pfizer, Procter &amp; Gamble, Roche, Sanofi, Shire Pharmaceuticals, TEVA, UCB. RH is Founding Director of a UCL-Business company (Spoonful of Sugar Ltd) providing consultancy on treatment engagement and patient support programmes to healthcare policy makers, </w:t>
      </w:r>
      <w:proofErr w:type="gramStart"/>
      <w:r>
        <w:t>providers</w:t>
      </w:r>
      <w:proofErr w:type="gramEnd"/>
      <w:r>
        <w:t xml:space="preserve"> and pharmaceutical industry. ZP reports unpaid consultancy for UCB Pharma. OB, AS. </w:t>
      </w:r>
      <w:proofErr w:type="gramStart"/>
      <w:r>
        <w:t>LST</w:t>
      </w:r>
      <w:proofErr w:type="gramEnd"/>
      <w:r>
        <w:t xml:space="preserve"> and IM report no conflicts of interest.</w:t>
      </w:r>
    </w:p>
    <w:p w14:paraId="2078B8C9" w14:textId="5255BAC1" w:rsidR="007D4C8E" w:rsidRDefault="007D4C8E" w:rsidP="00434D85"/>
    <w:p w14:paraId="6B2E490D" w14:textId="77777777" w:rsidR="00B01657" w:rsidRDefault="00B01657">
      <w:pPr>
        <w:rPr>
          <w:b/>
          <w:bCs/>
        </w:rPr>
      </w:pPr>
      <w:r>
        <w:rPr>
          <w:b/>
          <w:bCs/>
        </w:rPr>
        <w:lastRenderedPageBreak/>
        <w:br w:type="page"/>
      </w:r>
    </w:p>
    <w:p w14:paraId="505506CD" w14:textId="77777777" w:rsidR="00127B45" w:rsidRPr="00374271" w:rsidRDefault="00127B45" w:rsidP="00127B45">
      <w:pPr>
        <w:spacing w:before="120" w:after="120" w:line="240" w:lineRule="auto"/>
        <w:rPr>
          <w:rFonts w:cstheme="minorHAnsi"/>
          <w:bCs/>
        </w:rPr>
      </w:pPr>
      <w:r w:rsidRPr="00374271">
        <w:rPr>
          <w:rFonts w:cstheme="minorHAnsi"/>
          <w:b/>
        </w:rPr>
        <w:lastRenderedPageBreak/>
        <w:t>References</w:t>
      </w:r>
    </w:p>
    <w:p w14:paraId="68F2C9AD" w14:textId="77777777" w:rsidR="00127B45" w:rsidRPr="00374271" w:rsidRDefault="00127B45" w:rsidP="00127B45">
      <w:pPr>
        <w:pStyle w:val="pf0"/>
        <w:numPr>
          <w:ilvl w:val="0"/>
          <w:numId w:val="16"/>
        </w:numPr>
        <w:spacing w:before="120" w:beforeAutospacing="0" w:after="120" w:afterAutospacing="0"/>
        <w:ind w:left="714" w:hanging="357"/>
        <w:rPr>
          <w:rFonts w:asciiTheme="minorHAnsi" w:hAnsiTheme="minorHAnsi" w:cstheme="minorHAnsi"/>
          <w:sz w:val="22"/>
          <w:szCs w:val="22"/>
        </w:rPr>
      </w:pPr>
      <w:proofErr w:type="spellStart"/>
      <w:r w:rsidRPr="00374271">
        <w:rPr>
          <w:rStyle w:val="cf01"/>
          <w:rFonts w:asciiTheme="minorHAnsi" w:hAnsiTheme="minorHAnsi" w:cstheme="minorHAnsi"/>
          <w:sz w:val="22"/>
          <w:szCs w:val="22"/>
        </w:rPr>
        <w:t>Borgstrom</w:t>
      </w:r>
      <w:proofErr w:type="spellEnd"/>
      <w:r w:rsidRPr="00374271">
        <w:rPr>
          <w:rStyle w:val="cf01"/>
          <w:rFonts w:asciiTheme="minorHAnsi" w:hAnsiTheme="minorHAnsi" w:cstheme="minorHAnsi"/>
          <w:sz w:val="22"/>
          <w:szCs w:val="22"/>
        </w:rPr>
        <w:t xml:space="preserve"> F, </w:t>
      </w:r>
      <w:proofErr w:type="spellStart"/>
      <w:r w:rsidRPr="00374271">
        <w:rPr>
          <w:rStyle w:val="cf01"/>
          <w:rFonts w:asciiTheme="minorHAnsi" w:hAnsiTheme="minorHAnsi" w:cstheme="minorHAnsi"/>
          <w:sz w:val="22"/>
          <w:szCs w:val="22"/>
        </w:rPr>
        <w:t>Lekander</w:t>
      </w:r>
      <w:proofErr w:type="spellEnd"/>
      <w:r w:rsidRPr="00374271">
        <w:rPr>
          <w:rStyle w:val="cf01"/>
          <w:rFonts w:asciiTheme="minorHAnsi" w:hAnsiTheme="minorHAnsi" w:cstheme="minorHAnsi"/>
          <w:sz w:val="22"/>
          <w:szCs w:val="22"/>
        </w:rPr>
        <w:t xml:space="preserve"> I, </w:t>
      </w:r>
      <w:proofErr w:type="spellStart"/>
      <w:r w:rsidRPr="00374271">
        <w:rPr>
          <w:rStyle w:val="cf01"/>
          <w:rFonts w:asciiTheme="minorHAnsi" w:hAnsiTheme="minorHAnsi" w:cstheme="minorHAnsi"/>
          <w:sz w:val="22"/>
          <w:szCs w:val="22"/>
        </w:rPr>
        <w:t>Ivergard</w:t>
      </w:r>
      <w:proofErr w:type="spellEnd"/>
      <w:r w:rsidRPr="00374271">
        <w:rPr>
          <w:rStyle w:val="cf01"/>
          <w:rFonts w:asciiTheme="minorHAnsi" w:hAnsiTheme="minorHAnsi" w:cstheme="minorHAnsi"/>
          <w:sz w:val="22"/>
          <w:szCs w:val="22"/>
        </w:rPr>
        <w:t xml:space="preserve"> M, et al.</w:t>
      </w:r>
      <w:r>
        <w:rPr>
          <w:rStyle w:val="cf01"/>
          <w:rFonts w:asciiTheme="minorHAnsi" w:hAnsiTheme="minorHAnsi" w:cstheme="minorHAnsi"/>
          <w:sz w:val="22"/>
          <w:szCs w:val="22"/>
        </w:rPr>
        <w:t xml:space="preserve"> </w:t>
      </w:r>
      <w:r w:rsidRPr="00374271">
        <w:rPr>
          <w:rStyle w:val="cf01"/>
          <w:rFonts w:asciiTheme="minorHAnsi" w:hAnsiTheme="minorHAnsi" w:cstheme="minorHAnsi"/>
          <w:sz w:val="22"/>
          <w:szCs w:val="22"/>
        </w:rPr>
        <w:t xml:space="preserve">The International Costs and Utilities Related to Osteoporotic Fractures Study (ICUROS)--quality of life during the first 4 months after fracture. </w:t>
      </w:r>
      <w:proofErr w:type="spellStart"/>
      <w:r w:rsidRPr="00374271">
        <w:rPr>
          <w:rStyle w:val="cf01"/>
          <w:rFonts w:asciiTheme="minorHAnsi" w:hAnsiTheme="minorHAnsi" w:cstheme="minorHAnsi"/>
          <w:sz w:val="22"/>
          <w:szCs w:val="22"/>
        </w:rPr>
        <w:t>Osteoporos</w:t>
      </w:r>
      <w:proofErr w:type="spellEnd"/>
      <w:r w:rsidRPr="00374271">
        <w:rPr>
          <w:rStyle w:val="cf01"/>
          <w:rFonts w:asciiTheme="minorHAnsi" w:hAnsiTheme="minorHAnsi" w:cstheme="minorHAnsi"/>
          <w:sz w:val="22"/>
          <w:szCs w:val="22"/>
        </w:rPr>
        <w:t xml:space="preserve"> Int</w:t>
      </w:r>
      <w:r>
        <w:rPr>
          <w:rStyle w:val="cf01"/>
          <w:rFonts w:asciiTheme="minorHAnsi" w:hAnsiTheme="minorHAnsi" w:cstheme="minorHAnsi"/>
          <w:sz w:val="22"/>
          <w:szCs w:val="22"/>
        </w:rPr>
        <w:t xml:space="preserve"> 2013;</w:t>
      </w:r>
      <w:r w:rsidRPr="00374271">
        <w:rPr>
          <w:rStyle w:val="cf01"/>
          <w:rFonts w:asciiTheme="minorHAnsi" w:hAnsiTheme="minorHAnsi" w:cstheme="minorHAnsi"/>
          <w:sz w:val="22"/>
          <w:szCs w:val="22"/>
        </w:rPr>
        <w:t xml:space="preserve"> 24:</w:t>
      </w:r>
      <w:r>
        <w:rPr>
          <w:rStyle w:val="cf01"/>
          <w:rFonts w:asciiTheme="minorHAnsi" w:hAnsiTheme="minorHAnsi" w:cstheme="minorHAnsi"/>
          <w:sz w:val="22"/>
          <w:szCs w:val="22"/>
        </w:rPr>
        <w:t xml:space="preserve"> </w:t>
      </w:r>
      <w:r w:rsidRPr="00374271">
        <w:rPr>
          <w:rStyle w:val="cf01"/>
          <w:rFonts w:asciiTheme="minorHAnsi" w:hAnsiTheme="minorHAnsi" w:cstheme="minorHAnsi"/>
          <w:sz w:val="22"/>
          <w:szCs w:val="22"/>
        </w:rPr>
        <w:t>811-823</w:t>
      </w:r>
    </w:p>
    <w:p w14:paraId="452FDE92" w14:textId="77777777" w:rsidR="00127B45" w:rsidRPr="00374271" w:rsidRDefault="00127B45" w:rsidP="00127B45">
      <w:pPr>
        <w:pStyle w:val="pf0"/>
        <w:numPr>
          <w:ilvl w:val="0"/>
          <w:numId w:val="16"/>
        </w:numPr>
        <w:spacing w:before="120" w:beforeAutospacing="0" w:after="120" w:afterAutospacing="0"/>
        <w:rPr>
          <w:rStyle w:val="cf01"/>
          <w:rFonts w:asciiTheme="minorHAnsi" w:hAnsiTheme="minorHAnsi" w:cstheme="minorHAnsi"/>
          <w:sz w:val="22"/>
          <w:szCs w:val="22"/>
        </w:rPr>
      </w:pPr>
      <w:r w:rsidRPr="00374271">
        <w:rPr>
          <w:rStyle w:val="cf01"/>
          <w:rFonts w:asciiTheme="minorHAnsi" w:hAnsiTheme="minorHAnsi" w:cstheme="minorHAnsi"/>
          <w:sz w:val="22"/>
          <w:szCs w:val="22"/>
        </w:rPr>
        <w:t>Cooper C</w:t>
      </w:r>
      <w:r>
        <w:rPr>
          <w:rStyle w:val="cf01"/>
          <w:rFonts w:asciiTheme="minorHAnsi" w:hAnsiTheme="minorHAnsi" w:cstheme="minorHAnsi"/>
          <w:sz w:val="22"/>
          <w:szCs w:val="22"/>
        </w:rPr>
        <w:t xml:space="preserve">. </w:t>
      </w:r>
      <w:r w:rsidRPr="00374271">
        <w:rPr>
          <w:rStyle w:val="cf01"/>
          <w:rFonts w:asciiTheme="minorHAnsi" w:hAnsiTheme="minorHAnsi" w:cstheme="minorHAnsi"/>
          <w:sz w:val="22"/>
          <w:szCs w:val="22"/>
        </w:rPr>
        <w:t xml:space="preserve">The crippling consequences of fractures and their impact on quality of life. Am J Med </w:t>
      </w:r>
      <w:r>
        <w:rPr>
          <w:rStyle w:val="cf01"/>
          <w:rFonts w:asciiTheme="minorHAnsi" w:hAnsiTheme="minorHAnsi" w:cstheme="minorHAnsi"/>
          <w:sz w:val="22"/>
          <w:szCs w:val="22"/>
        </w:rPr>
        <w:t xml:space="preserve">1997; </w:t>
      </w:r>
      <w:r w:rsidRPr="00374271">
        <w:rPr>
          <w:rStyle w:val="cf01"/>
          <w:rFonts w:asciiTheme="minorHAnsi" w:hAnsiTheme="minorHAnsi" w:cstheme="minorHAnsi"/>
          <w:sz w:val="22"/>
          <w:szCs w:val="22"/>
        </w:rPr>
        <w:t>103:</w:t>
      </w:r>
      <w:r>
        <w:rPr>
          <w:rStyle w:val="cf01"/>
          <w:rFonts w:asciiTheme="minorHAnsi" w:hAnsiTheme="minorHAnsi" w:cstheme="minorHAnsi"/>
          <w:sz w:val="22"/>
          <w:szCs w:val="22"/>
        </w:rPr>
        <w:t xml:space="preserve"> </w:t>
      </w:r>
      <w:r w:rsidRPr="00374271">
        <w:rPr>
          <w:rStyle w:val="cf01"/>
          <w:rFonts w:asciiTheme="minorHAnsi" w:hAnsiTheme="minorHAnsi" w:cstheme="minorHAnsi"/>
          <w:sz w:val="22"/>
          <w:szCs w:val="22"/>
        </w:rPr>
        <w:t>12S-17S</w:t>
      </w:r>
    </w:p>
    <w:p w14:paraId="587A5005" w14:textId="77777777" w:rsidR="00127B45" w:rsidRPr="003446E1" w:rsidRDefault="00127B45" w:rsidP="00127B45">
      <w:pPr>
        <w:pStyle w:val="pf0"/>
        <w:numPr>
          <w:ilvl w:val="0"/>
          <w:numId w:val="16"/>
        </w:numPr>
        <w:spacing w:before="120" w:beforeAutospacing="0" w:after="120" w:afterAutospacing="0"/>
        <w:ind w:left="714" w:hanging="357"/>
        <w:rPr>
          <w:rStyle w:val="cf01"/>
          <w:rFonts w:asciiTheme="minorHAnsi" w:hAnsiTheme="minorHAnsi" w:cstheme="minorHAnsi"/>
          <w:sz w:val="22"/>
          <w:szCs w:val="22"/>
        </w:rPr>
      </w:pPr>
      <w:r w:rsidRPr="003446E1">
        <w:rPr>
          <w:rStyle w:val="cf01"/>
          <w:rFonts w:asciiTheme="minorHAnsi" w:hAnsiTheme="minorHAnsi" w:cstheme="minorHAnsi"/>
          <w:sz w:val="22"/>
          <w:szCs w:val="22"/>
        </w:rPr>
        <w:t>NICE. Medicines adherence: involving patients in decisions about prescribed medicines and supporting adherence. London: National Institute for Health and Care Excellence, 2009.</w:t>
      </w:r>
    </w:p>
    <w:p w14:paraId="675CA682" w14:textId="77777777" w:rsidR="00127B45" w:rsidRPr="001B6A62" w:rsidRDefault="00127B45" w:rsidP="00127B45">
      <w:pPr>
        <w:pStyle w:val="pf0"/>
        <w:numPr>
          <w:ilvl w:val="0"/>
          <w:numId w:val="16"/>
        </w:numPr>
        <w:spacing w:before="120" w:beforeAutospacing="0" w:after="120" w:afterAutospacing="0"/>
        <w:ind w:left="714" w:hanging="357"/>
        <w:rPr>
          <w:rStyle w:val="cf01"/>
          <w:rFonts w:asciiTheme="minorHAnsi" w:hAnsiTheme="minorHAnsi" w:cstheme="minorHAnsi"/>
          <w:sz w:val="22"/>
          <w:szCs w:val="22"/>
        </w:rPr>
      </w:pPr>
      <w:proofErr w:type="spellStart"/>
      <w:r w:rsidRPr="001B6A62">
        <w:rPr>
          <w:rStyle w:val="cf01"/>
          <w:rFonts w:asciiTheme="minorHAnsi" w:hAnsiTheme="minorHAnsi" w:cstheme="minorHAnsi"/>
          <w:sz w:val="22"/>
          <w:szCs w:val="22"/>
        </w:rPr>
        <w:t>Papaioannou</w:t>
      </w:r>
      <w:proofErr w:type="spellEnd"/>
      <w:r w:rsidRPr="001B6A62">
        <w:rPr>
          <w:rStyle w:val="cf01"/>
          <w:rFonts w:asciiTheme="minorHAnsi" w:hAnsiTheme="minorHAnsi" w:cstheme="minorHAnsi"/>
          <w:sz w:val="22"/>
          <w:szCs w:val="22"/>
        </w:rPr>
        <w:t xml:space="preserve"> A, Ioannidis G, Adachi JD et al</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 xml:space="preserve"> Adherence to bisphosphonates and hormone replacement therapy in a tertiary care setting of patients in the CANDOO database. </w:t>
      </w:r>
      <w:proofErr w:type="spellStart"/>
      <w:r w:rsidRPr="001B6A62">
        <w:rPr>
          <w:rStyle w:val="cf01"/>
          <w:rFonts w:asciiTheme="minorHAnsi" w:hAnsiTheme="minorHAnsi" w:cstheme="minorHAnsi"/>
          <w:sz w:val="22"/>
          <w:szCs w:val="22"/>
        </w:rPr>
        <w:t>Osteoporos</w:t>
      </w:r>
      <w:proofErr w:type="spellEnd"/>
      <w:r w:rsidRPr="001B6A62">
        <w:rPr>
          <w:rStyle w:val="cf01"/>
          <w:rFonts w:asciiTheme="minorHAnsi" w:hAnsiTheme="minorHAnsi" w:cstheme="minorHAnsi"/>
          <w:sz w:val="22"/>
          <w:szCs w:val="22"/>
        </w:rPr>
        <w:t xml:space="preserve"> Int</w:t>
      </w:r>
      <w:r>
        <w:rPr>
          <w:rStyle w:val="cf01"/>
          <w:rFonts w:asciiTheme="minorHAnsi" w:hAnsiTheme="minorHAnsi" w:cstheme="minorHAnsi"/>
          <w:sz w:val="22"/>
          <w:szCs w:val="22"/>
        </w:rPr>
        <w:t xml:space="preserve"> 2003;</w:t>
      </w:r>
      <w:r w:rsidRPr="001B6A62">
        <w:rPr>
          <w:rStyle w:val="cf01"/>
          <w:rFonts w:asciiTheme="minorHAnsi" w:hAnsiTheme="minorHAnsi" w:cstheme="minorHAnsi"/>
          <w:sz w:val="22"/>
          <w:szCs w:val="22"/>
        </w:rPr>
        <w:t xml:space="preserve"> 14:</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808–813</w:t>
      </w:r>
    </w:p>
    <w:p w14:paraId="686CA922" w14:textId="77777777" w:rsidR="00127B45" w:rsidRPr="001B6A62" w:rsidRDefault="00127B45" w:rsidP="00127B45">
      <w:pPr>
        <w:pStyle w:val="pf0"/>
        <w:numPr>
          <w:ilvl w:val="0"/>
          <w:numId w:val="16"/>
        </w:numPr>
        <w:spacing w:before="120" w:beforeAutospacing="0" w:after="120" w:afterAutospacing="0"/>
        <w:ind w:left="714" w:hanging="357"/>
        <w:rPr>
          <w:rStyle w:val="cf01"/>
          <w:rFonts w:asciiTheme="minorHAnsi" w:hAnsiTheme="minorHAnsi" w:cstheme="minorHAnsi"/>
          <w:sz w:val="22"/>
          <w:szCs w:val="22"/>
        </w:rPr>
      </w:pPr>
      <w:r w:rsidRPr="001B6A62">
        <w:rPr>
          <w:rStyle w:val="cf01"/>
          <w:rFonts w:asciiTheme="minorHAnsi" w:hAnsiTheme="minorHAnsi" w:cstheme="minorHAnsi"/>
          <w:sz w:val="22"/>
          <w:szCs w:val="22"/>
        </w:rPr>
        <w:t xml:space="preserve">Seeman E, </w:t>
      </w:r>
      <w:proofErr w:type="spellStart"/>
      <w:r w:rsidRPr="001B6A62">
        <w:rPr>
          <w:rStyle w:val="cf01"/>
          <w:rFonts w:asciiTheme="minorHAnsi" w:hAnsiTheme="minorHAnsi" w:cstheme="minorHAnsi"/>
          <w:sz w:val="22"/>
          <w:szCs w:val="22"/>
        </w:rPr>
        <w:t>Compston</w:t>
      </w:r>
      <w:proofErr w:type="spellEnd"/>
      <w:r w:rsidRPr="001B6A62">
        <w:rPr>
          <w:rStyle w:val="cf01"/>
          <w:rFonts w:asciiTheme="minorHAnsi" w:hAnsiTheme="minorHAnsi" w:cstheme="minorHAnsi"/>
          <w:sz w:val="22"/>
          <w:szCs w:val="22"/>
        </w:rPr>
        <w:t xml:space="preserve"> J, Adachi J</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 et al. Non-compliance: the Achilles' heel of anti-fracture efficacy. </w:t>
      </w:r>
      <w:proofErr w:type="spellStart"/>
      <w:r w:rsidRPr="001B6A62">
        <w:rPr>
          <w:rStyle w:val="cf01"/>
          <w:rFonts w:asciiTheme="minorHAnsi" w:hAnsiTheme="minorHAnsi" w:cstheme="minorHAnsi"/>
          <w:sz w:val="22"/>
          <w:szCs w:val="22"/>
        </w:rPr>
        <w:t>Osteoporos</w:t>
      </w:r>
      <w:proofErr w:type="spellEnd"/>
      <w:r w:rsidRPr="001B6A62">
        <w:rPr>
          <w:rStyle w:val="cf01"/>
          <w:rFonts w:asciiTheme="minorHAnsi" w:hAnsiTheme="minorHAnsi" w:cstheme="minorHAnsi"/>
          <w:sz w:val="22"/>
          <w:szCs w:val="22"/>
        </w:rPr>
        <w:t xml:space="preserve"> Int </w:t>
      </w:r>
      <w:r>
        <w:rPr>
          <w:rStyle w:val="cf01"/>
          <w:rFonts w:asciiTheme="minorHAnsi" w:hAnsiTheme="minorHAnsi" w:cstheme="minorHAnsi"/>
          <w:sz w:val="22"/>
          <w:szCs w:val="22"/>
        </w:rPr>
        <w:t xml:space="preserve">2007; </w:t>
      </w:r>
      <w:r w:rsidRPr="001B6A62">
        <w:rPr>
          <w:rStyle w:val="cf01"/>
          <w:rFonts w:asciiTheme="minorHAnsi" w:hAnsiTheme="minorHAnsi" w:cstheme="minorHAnsi"/>
          <w:sz w:val="22"/>
          <w:szCs w:val="22"/>
        </w:rPr>
        <w:t>18</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 xml:space="preserve">711–719 </w:t>
      </w:r>
      <w:hyperlink r:id="rId10" w:history="1"/>
    </w:p>
    <w:p w14:paraId="2BA16A60" w14:textId="490DE929" w:rsidR="00127B45" w:rsidRPr="001B6A62" w:rsidRDefault="00127B45" w:rsidP="00127B45">
      <w:pPr>
        <w:pStyle w:val="pf0"/>
        <w:numPr>
          <w:ilvl w:val="0"/>
          <w:numId w:val="16"/>
        </w:numPr>
        <w:spacing w:before="120" w:beforeAutospacing="0" w:after="120" w:afterAutospacing="0"/>
        <w:ind w:left="714" w:hanging="357"/>
        <w:rPr>
          <w:rStyle w:val="cf01"/>
          <w:rFonts w:asciiTheme="minorHAnsi" w:hAnsiTheme="minorHAnsi" w:cstheme="minorHAnsi"/>
          <w:sz w:val="22"/>
          <w:szCs w:val="22"/>
        </w:rPr>
      </w:pPr>
      <w:proofErr w:type="spellStart"/>
      <w:r w:rsidRPr="001B6A62">
        <w:rPr>
          <w:rStyle w:val="cf01"/>
          <w:rFonts w:asciiTheme="minorHAnsi" w:hAnsiTheme="minorHAnsi" w:cstheme="minorHAnsi"/>
          <w:sz w:val="22"/>
          <w:szCs w:val="22"/>
        </w:rPr>
        <w:t>Hiligsmann</w:t>
      </w:r>
      <w:proofErr w:type="spellEnd"/>
      <w:r>
        <w:rPr>
          <w:rStyle w:val="cf01"/>
          <w:rFonts w:asciiTheme="minorHAnsi" w:hAnsiTheme="minorHAnsi" w:cstheme="minorHAnsi"/>
          <w:sz w:val="22"/>
          <w:szCs w:val="22"/>
        </w:rPr>
        <w:t xml:space="preserve"> M, Cornelissen D, </w:t>
      </w:r>
      <w:proofErr w:type="spellStart"/>
      <w:r>
        <w:rPr>
          <w:rStyle w:val="cf01"/>
          <w:rFonts w:asciiTheme="minorHAnsi" w:hAnsiTheme="minorHAnsi" w:cstheme="minorHAnsi"/>
          <w:sz w:val="22"/>
          <w:szCs w:val="22"/>
        </w:rPr>
        <w:t>Vrijens</w:t>
      </w:r>
      <w:proofErr w:type="spellEnd"/>
      <w:r>
        <w:rPr>
          <w:rStyle w:val="cf01"/>
          <w:rFonts w:asciiTheme="minorHAnsi" w:hAnsiTheme="minorHAnsi" w:cstheme="minorHAnsi"/>
          <w:sz w:val="22"/>
          <w:szCs w:val="22"/>
        </w:rPr>
        <w:t xml:space="preserve"> B, </w:t>
      </w:r>
      <w:r w:rsidRPr="001B6A62">
        <w:rPr>
          <w:rStyle w:val="cf01"/>
          <w:rFonts w:asciiTheme="minorHAnsi" w:hAnsiTheme="minorHAnsi" w:cstheme="minorHAnsi"/>
          <w:sz w:val="22"/>
          <w:szCs w:val="22"/>
        </w:rPr>
        <w:t xml:space="preserve">et al. Determinants, </w:t>
      </w:r>
      <w:proofErr w:type="gramStart"/>
      <w:r w:rsidRPr="001B6A62">
        <w:rPr>
          <w:rStyle w:val="cf01"/>
          <w:rFonts w:asciiTheme="minorHAnsi" w:hAnsiTheme="minorHAnsi" w:cstheme="minorHAnsi"/>
          <w:sz w:val="22"/>
          <w:szCs w:val="22"/>
        </w:rPr>
        <w:t>consequences</w:t>
      </w:r>
      <w:proofErr w:type="gramEnd"/>
      <w:r w:rsidRPr="001B6A62">
        <w:rPr>
          <w:rStyle w:val="cf01"/>
          <w:rFonts w:asciiTheme="minorHAnsi" w:hAnsiTheme="minorHAnsi" w:cstheme="minorHAnsi"/>
          <w:sz w:val="22"/>
          <w:szCs w:val="22"/>
        </w:rPr>
        <w:t xml:space="preserve"> and potential solutions to poor adherence to anti-osteoporosis treatment: results of an expert group meeting organized by the European Society for Clinical and Economic Aspects of Osteoporosis, Osteoarthritis and Musculoskeletal Diseases (ESCEO) and the International Osteoporosis Foundation (IOF). </w:t>
      </w:r>
      <w:proofErr w:type="spellStart"/>
      <w:r w:rsidRPr="001B6A62">
        <w:rPr>
          <w:rStyle w:val="cf01"/>
          <w:rFonts w:asciiTheme="minorHAnsi" w:hAnsiTheme="minorHAnsi" w:cstheme="minorHAnsi"/>
          <w:sz w:val="22"/>
          <w:szCs w:val="22"/>
        </w:rPr>
        <w:t>Osteoporos</w:t>
      </w:r>
      <w:proofErr w:type="spellEnd"/>
      <w:r w:rsidRPr="001B6A62">
        <w:rPr>
          <w:rStyle w:val="cf01"/>
          <w:rFonts w:asciiTheme="minorHAnsi" w:hAnsiTheme="minorHAnsi" w:cstheme="minorHAnsi"/>
          <w:sz w:val="22"/>
          <w:szCs w:val="22"/>
        </w:rPr>
        <w:t xml:space="preserve"> Int</w:t>
      </w:r>
      <w:r>
        <w:rPr>
          <w:rStyle w:val="cf01"/>
          <w:rFonts w:asciiTheme="minorHAnsi" w:hAnsiTheme="minorHAnsi" w:cstheme="minorHAnsi"/>
          <w:sz w:val="22"/>
          <w:szCs w:val="22"/>
        </w:rPr>
        <w:t xml:space="preserve"> 2019;</w:t>
      </w:r>
      <w:r w:rsidRPr="001B6A62">
        <w:rPr>
          <w:rStyle w:val="cf01"/>
          <w:rFonts w:asciiTheme="minorHAnsi" w:hAnsiTheme="minorHAnsi" w:cstheme="minorHAnsi"/>
          <w:sz w:val="22"/>
          <w:szCs w:val="22"/>
        </w:rPr>
        <w:t> 30.11</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 xml:space="preserve"> 2155-2165. </w:t>
      </w:r>
    </w:p>
    <w:p w14:paraId="4C2D030C" w14:textId="77777777" w:rsidR="0097471E" w:rsidRPr="00A32D9A" w:rsidRDefault="0097471E" w:rsidP="0097471E">
      <w:pPr>
        <w:pStyle w:val="pf0"/>
        <w:numPr>
          <w:ilvl w:val="0"/>
          <w:numId w:val="16"/>
        </w:numPr>
        <w:spacing w:before="120" w:beforeAutospacing="0" w:after="120" w:afterAutospacing="0"/>
        <w:ind w:left="714" w:hanging="357"/>
        <w:rPr>
          <w:rStyle w:val="cf01"/>
          <w:rFonts w:asciiTheme="minorHAnsi" w:hAnsiTheme="minorHAnsi" w:cstheme="minorHAnsi"/>
          <w:sz w:val="22"/>
          <w:szCs w:val="22"/>
        </w:rPr>
      </w:pPr>
      <w:r w:rsidRPr="00A32D9A">
        <w:rPr>
          <w:rStyle w:val="cf01"/>
          <w:rFonts w:asciiTheme="minorHAnsi" w:hAnsiTheme="minorHAnsi" w:cstheme="minorHAnsi"/>
          <w:sz w:val="22"/>
          <w:szCs w:val="22"/>
        </w:rPr>
        <w:t>Royal Pharmaceutical Society. Medicines Optimisation: Helping patients to make the most of medicines. Good practice guide for healthcare professionals in England. London. Royal Pharmaceutical Society, 2013.</w:t>
      </w:r>
    </w:p>
    <w:p w14:paraId="75DAC7C3" w14:textId="77777777" w:rsidR="0097471E" w:rsidRDefault="0097471E" w:rsidP="0097471E">
      <w:pPr>
        <w:pStyle w:val="pf0"/>
        <w:numPr>
          <w:ilvl w:val="0"/>
          <w:numId w:val="16"/>
        </w:numPr>
        <w:spacing w:before="120" w:beforeAutospacing="0" w:after="120" w:afterAutospacing="0"/>
        <w:ind w:left="714" w:hanging="357"/>
        <w:rPr>
          <w:rStyle w:val="cf01"/>
          <w:rFonts w:asciiTheme="minorHAnsi" w:hAnsiTheme="minorHAnsi" w:cstheme="minorHAnsi"/>
          <w:sz w:val="22"/>
          <w:szCs w:val="22"/>
        </w:rPr>
      </w:pPr>
      <w:r w:rsidRPr="001B6A62">
        <w:rPr>
          <w:rStyle w:val="cf01"/>
          <w:rFonts w:asciiTheme="minorHAnsi" w:hAnsiTheme="minorHAnsi" w:cstheme="minorHAnsi"/>
          <w:sz w:val="22"/>
          <w:szCs w:val="22"/>
        </w:rPr>
        <w:t xml:space="preserve">Ryan R, </w:t>
      </w:r>
      <w:proofErr w:type="spellStart"/>
      <w:r w:rsidRPr="001B6A62">
        <w:rPr>
          <w:rStyle w:val="cf01"/>
          <w:rFonts w:asciiTheme="minorHAnsi" w:hAnsiTheme="minorHAnsi" w:cstheme="minorHAnsi"/>
          <w:sz w:val="22"/>
          <w:szCs w:val="22"/>
        </w:rPr>
        <w:t>Santesso</w:t>
      </w:r>
      <w:proofErr w:type="spellEnd"/>
      <w:r w:rsidRPr="001B6A62">
        <w:rPr>
          <w:rStyle w:val="cf01"/>
          <w:rFonts w:asciiTheme="minorHAnsi" w:hAnsiTheme="minorHAnsi" w:cstheme="minorHAnsi"/>
          <w:sz w:val="22"/>
          <w:szCs w:val="22"/>
        </w:rPr>
        <w:t xml:space="preserve"> N, Lowe D,</w:t>
      </w:r>
      <w:r>
        <w:rPr>
          <w:rStyle w:val="cf01"/>
          <w:rFonts w:asciiTheme="minorHAnsi" w:hAnsiTheme="minorHAnsi" w:cstheme="minorHAnsi"/>
          <w:sz w:val="22"/>
          <w:szCs w:val="22"/>
        </w:rPr>
        <w:t xml:space="preserve"> et al</w:t>
      </w:r>
      <w:r w:rsidRPr="001B6A62">
        <w:rPr>
          <w:rStyle w:val="cf01"/>
          <w:rFonts w:asciiTheme="minorHAnsi" w:hAnsiTheme="minorHAnsi" w:cstheme="minorHAnsi"/>
          <w:sz w:val="22"/>
          <w:szCs w:val="22"/>
        </w:rPr>
        <w:t>. Interventions to improve safe and effective medicines use by consumers: an overview of systematic reviews. Cochrane Database of Systematic Reviews 2014</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 xml:space="preserve"> Issue 4. Art. No:CD007768. </w:t>
      </w:r>
      <w:proofErr w:type="gramStart"/>
      <w:r w:rsidRPr="001B6A62">
        <w:rPr>
          <w:rStyle w:val="cf01"/>
          <w:rFonts w:asciiTheme="minorHAnsi" w:hAnsiTheme="minorHAnsi" w:cstheme="minorHAnsi"/>
          <w:sz w:val="22"/>
          <w:szCs w:val="22"/>
        </w:rPr>
        <w:t>DOI:10.1002/14651858.CD007768.pub3</w:t>
      </w:r>
      <w:proofErr w:type="gramEnd"/>
      <w:r w:rsidRPr="001B6A62">
        <w:rPr>
          <w:rStyle w:val="cf01"/>
          <w:rFonts w:asciiTheme="minorHAnsi" w:hAnsiTheme="minorHAnsi" w:cstheme="minorHAnsi"/>
          <w:sz w:val="22"/>
          <w:szCs w:val="22"/>
        </w:rPr>
        <w:t xml:space="preserve">. Accessed </w:t>
      </w:r>
      <w:r>
        <w:rPr>
          <w:rStyle w:val="cf01"/>
          <w:rFonts w:asciiTheme="minorHAnsi" w:hAnsiTheme="minorHAnsi" w:cstheme="minorHAnsi"/>
          <w:sz w:val="22"/>
          <w:szCs w:val="22"/>
        </w:rPr>
        <w:t>10</w:t>
      </w:r>
      <w:r w:rsidRPr="001B6A62">
        <w:rPr>
          <w:rStyle w:val="cf01"/>
          <w:rFonts w:asciiTheme="minorHAnsi" w:hAnsiTheme="minorHAnsi" w:cstheme="minorHAnsi"/>
          <w:sz w:val="22"/>
          <w:szCs w:val="22"/>
        </w:rPr>
        <w:t xml:space="preserve"> November 202</w:t>
      </w:r>
      <w:r>
        <w:rPr>
          <w:rStyle w:val="cf01"/>
          <w:rFonts w:asciiTheme="minorHAnsi" w:hAnsiTheme="minorHAnsi" w:cstheme="minorHAnsi"/>
          <w:sz w:val="22"/>
          <w:szCs w:val="22"/>
        </w:rPr>
        <w:t>1</w:t>
      </w:r>
      <w:r w:rsidRPr="001B6A62">
        <w:rPr>
          <w:rStyle w:val="cf01"/>
          <w:rFonts w:asciiTheme="minorHAnsi" w:hAnsiTheme="minorHAnsi" w:cstheme="minorHAnsi"/>
          <w:sz w:val="22"/>
          <w:szCs w:val="22"/>
        </w:rPr>
        <w:t>.</w:t>
      </w:r>
    </w:p>
    <w:p w14:paraId="7D52F97D" w14:textId="77777777" w:rsidR="0097471E" w:rsidRPr="001B6A62" w:rsidRDefault="0097471E" w:rsidP="0097471E">
      <w:pPr>
        <w:pStyle w:val="pf0"/>
        <w:numPr>
          <w:ilvl w:val="0"/>
          <w:numId w:val="16"/>
        </w:numPr>
        <w:spacing w:before="120" w:beforeAutospacing="0" w:after="120" w:afterAutospacing="0"/>
        <w:rPr>
          <w:rStyle w:val="cf01"/>
          <w:rFonts w:asciiTheme="minorHAnsi" w:hAnsiTheme="minorHAnsi" w:cstheme="minorHAnsi"/>
          <w:sz w:val="22"/>
          <w:szCs w:val="22"/>
        </w:rPr>
      </w:pPr>
      <w:r w:rsidRPr="001B6A62">
        <w:rPr>
          <w:rStyle w:val="cf01"/>
          <w:rFonts w:asciiTheme="minorHAnsi" w:hAnsiTheme="minorHAnsi" w:cstheme="minorHAnsi"/>
          <w:sz w:val="22"/>
          <w:szCs w:val="22"/>
        </w:rPr>
        <w:t>Cornelissen D, de Kunder S, Si L,</w:t>
      </w:r>
      <w:r>
        <w:rPr>
          <w:rStyle w:val="cf01"/>
          <w:rFonts w:asciiTheme="minorHAnsi" w:hAnsiTheme="minorHAnsi" w:cstheme="minorHAnsi"/>
          <w:sz w:val="22"/>
          <w:szCs w:val="22"/>
        </w:rPr>
        <w:t xml:space="preserve"> et al.</w:t>
      </w:r>
      <w:r w:rsidRPr="001B6A62">
        <w:rPr>
          <w:rStyle w:val="cf01"/>
          <w:rFonts w:asciiTheme="minorHAnsi" w:hAnsiTheme="minorHAnsi" w:cstheme="minorHAnsi"/>
          <w:sz w:val="22"/>
          <w:szCs w:val="22"/>
        </w:rPr>
        <w:t xml:space="preserve"> European Society for Clinical and Economic Aspect of Osteoporosis, Osteoarthritis and Musculoskeletal Diseases (ESCEO). Interventions to improve adherence to anti-osteoporosis medications: an updated systematic review. </w:t>
      </w:r>
      <w:proofErr w:type="spellStart"/>
      <w:r w:rsidRPr="001B6A62">
        <w:rPr>
          <w:rStyle w:val="cf01"/>
          <w:rFonts w:asciiTheme="minorHAnsi" w:hAnsiTheme="minorHAnsi" w:cstheme="minorHAnsi"/>
          <w:sz w:val="22"/>
          <w:szCs w:val="22"/>
        </w:rPr>
        <w:t>Osteoporos</w:t>
      </w:r>
      <w:proofErr w:type="spellEnd"/>
      <w:r w:rsidRPr="001B6A62">
        <w:rPr>
          <w:rStyle w:val="cf01"/>
          <w:rFonts w:asciiTheme="minorHAnsi" w:hAnsiTheme="minorHAnsi" w:cstheme="minorHAnsi"/>
          <w:sz w:val="22"/>
          <w:szCs w:val="22"/>
        </w:rPr>
        <w:t xml:space="preserve"> Int 2020</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 xml:space="preserve"> 31(9):</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1645-1669.</w:t>
      </w:r>
    </w:p>
    <w:p w14:paraId="792B54CF" w14:textId="0051A3F0" w:rsidR="0027471B" w:rsidRDefault="0097471E" w:rsidP="00D72133">
      <w:pPr>
        <w:pStyle w:val="pf0"/>
        <w:numPr>
          <w:ilvl w:val="0"/>
          <w:numId w:val="16"/>
        </w:numPr>
        <w:spacing w:before="120" w:beforeAutospacing="0" w:after="120" w:afterAutospacing="0"/>
        <w:rPr>
          <w:rStyle w:val="cf01"/>
          <w:rFonts w:asciiTheme="minorHAnsi" w:hAnsiTheme="minorHAnsi" w:cstheme="minorHAnsi"/>
          <w:sz w:val="22"/>
          <w:szCs w:val="22"/>
        </w:rPr>
      </w:pPr>
      <w:r w:rsidRPr="001B6A62">
        <w:rPr>
          <w:rStyle w:val="cf01"/>
          <w:rFonts w:asciiTheme="minorHAnsi" w:hAnsiTheme="minorHAnsi" w:cstheme="minorHAnsi"/>
          <w:sz w:val="22"/>
          <w:szCs w:val="22"/>
        </w:rPr>
        <w:t xml:space="preserve">Gleeson T, Iversen M, </w:t>
      </w:r>
      <w:proofErr w:type="spellStart"/>
      <w:r w:rsidRPr="001B6A62">
        <w:rPr>
          <w:rStyle w:val="cf01"/>
          <w:rFonts w:asciiTheme="minorHAnsi" w:hAnsiTheme="minorHAnsi" w:cstheme="minorHAnsi"/>
          <w:sz w:val="22"/>
          <w:szCs w:val="22"/>
        </w:rPr>
        <w:t>Avorn</w:t>
      </w:r>
      <w:proofErr w:type="spellEnd"/>
      <w:r w:rsidRPr="001B6A62">
        <w:rPr>
          <w:rStyle w:val="cf01"/>
          <w:rFonts w:asciiTheme="minorHAnsi" w:hAnsiTheme="minorHAnsi" w:cstheme="minorHAnsi"/>
          <w:sz w:val="22"/>
          <w:szCs w:val="22"/>
        </w:rPr>
        <w:t xml:space="preserve"> J. et al. Interventions to improve adherence and persistence with osteoporosis medications: a systematic literature review. </w:t>
      </w:r>
      <w:proofErr w:type="spellStart"/>
      <w:r w:rsidRPr="001B6A62">
        <w:rPr>
          <w:rStyle w:val="cf01"/>
          <w:rFonts w:asciiTheme="minorHAnsi" w:hAnsiTheme="minorHAnsi" w:cstheme="minorHAnsi"/>
          <w:sz w:val="22"/>
          <w:szCs w:val="22"/>
        </w:rPr>
        <w:t>Osteoporos</w:t>
      </w:r>
      <w:proofErr w:type="spellEnd"/>
      <w:r w:rsidRPr="001B6A62">
        <w:rPr>
          <w:rStyle w:val="cf01"/>
          <w:rFonts w:asciiTheme="minorHAnsi" w:hAnsiTheme="minorHAnsi" w:cstheme="minorHAnsi"/>
          <w:sz w:val="22"/>
          <w:szCs w:val="22"/>
        </w:rPr>
        <w:t xml:space="preserve"> Int </w:t>
      </w:r>
      <w:r>
        <w:rPr>
          <w:rStyle w:val="cf01"/>
          <w:rFonts w:asciiTheme="minorHAnsi" w:hAnsiTheme="minorHAnsi" w:cstheme="minorHAnsi"/>
          <w:sz w:val="22"/>
          <w:szCs w:val="22"/>
        </w:rPr>
        <w:t xml:space="preserve">2009; </w:t>
      </w:r>
      <w:r w:rsidRPr="001B6A62">
        <w:rPr>
          <w:rStyle w:val="cf01"/>
          <w:rFonts w:asciiTheme="minorHAnsi" w:hAnsiTheme="minorHAnsi" w:cstheme="minorHAnsi"/>
          <w:sz w:val="22"/>
          <w:szCs w:val="22"/>
        </w:rPr>
        <w:t>20</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 xml:space="preserve"> 2127–2134</w:t>
      </w:r>
    </w:p>
    <w:p w14:paraId="02DA9BA8" w14:textId="77777777" w:rsidR="005840E5" w:rsidRPr="001B6A62" w:rsidRDefault="005840E5" w:rsidP="005840E5">
      <w:pPr>
        <w:pStyle w:val="pf0"/>
        <w:numPr>
          <w:ilvl w:val="0"/>
          <w:numId w:val="16"/>
        </w:numPr>
        <w:spacing w:before="120" w:beforeAutospacing="0" w:after="120" w:afterAutospacing="0"/>
        <w:rPr>
          <w:rStyle w:val="cf01"/>
          <w:rFonts w:asciiTheme="minorHAnsi" w:hAnsiTheme="minorHAnsi" w:cstheme="minorHAnsi"/>
          <w:sz w:val="22"/>
          <w:szCs w:val="22"/>
        </w:rPr>
      </w:pPr>
      <w:r w:rsidRPr="001B6A62">
        <w:rPr>
          <w:rStyle w:val="cf01"/>
          <w:rFonts w:asciiTheme="minorHAnsi" w:hAnsiTheme="minorHAnsi" w:cstheme="minorHAnsi"/>
          <w:sz w:val="22"/>
          <w:szCs w:val="22"/>
        </w:rPr>
        <w:t>Pawson</w:t>
      </w:r>
      <w:r>
        <w:rPr>
          <w:rStyle w:val="cf01"/>
          <w:rFonts w:asciiTheme="minorHAnsi" w:hAnsiTheme="minorHAnsi" w:cstheme="minorHAnsi"/>
          <w:sz w:val="22"/>
          <w:szCs w:val="22"/>
        </w:rPr>
        <w:t xml:space="preserve"> R</w:t>
      </w:r>
      <w:r w:rsidRPr="001B6A62">
        <w:rPr>
          <w:rStyle w:val="cf01"/>
          <w:rFonts w:asciiTheme="minorHAnsi" w:hAnsiTheme="minorHAnsi" w:cstheme="minorHAnsi"/>
          <w:sz w:val="22"/>
          <w:szCs w:val="22"/>
        </w:rPr>
        <w:t xml:space="preserve">. Evidence-based policy: The promise of realist </w:t>
      </w:r>
      <w:proofErr w:type="gramStart"/>
      <w:r w:rsidRPr="001B6A62">
        <w:rPr>
          <w:rStyle w:val="cf01"/>
          <w:rFonts w:asciiTheme="minorHAnsi" w:hAnsiTheme="minorHAnsi" w:cstheme="minorHAnsi"/>
          <w:sz w:val="22"/>
          <w:szCs w:val="22"/>
        </w:rPr>
        <w:t>synthesis'</w:t>
      </w:r>
      <w:proofErr w:type="gramEnd"/>
      <w:r w:rsidRPr="001B6A62">
        <w:rPr>
          <w:rStyle w:val="cf01"/>
          <w:rFonts w:asciiTheme="minorHAnsi" w:hAnsiTheme="minorHAnsi" w:cstheme="minorHAnsi"/>
          <w:sz w:val="22"/>
          <w:szCs w:val="22"/>
        </w:rPr>
        <w:t>. Evaluation</w:t>
      </w:r>
      <w:r>
        <w:rPr>
          <w:rStyle w:val="cf01"/>
          <w:rFonts w:asciiTheme="minorHAnsi" w:hAnsiTheme="minorHAnsi" w:cstheme="minorHAnsi"/>
          <w:sz w:val="22"/>
          <w:szCs w:val="22"/>
        </w:rPr>
        <w:t xml:space="preserve"> 2002;</w:t>
      </w:r>
      <w:r w:rsidRPr="001B6A62">
        <w:rPr>
          <w:rStyle w:val="cf01"/>
          <w:rFonts w:asciiTheme="minorHAnsi" w:hAnsiTheme="minorHAnsi" w:cstheme="minorHAnsi"/>
          <w:sz w:val="22"/>
          <w:szCs w:val="22"/>
        </w:rPr>
        <w:t xml:space="preserve"> 8.3: 340-358. </w:t>
      </w:r>
    </w:p>
    <w:p w14:paraId="17923FB2" w14:textId="77777777" w:rsidR="005840E5" w:rsidRPr="001B6A62" w:rsidRDefault="005840E5" w:rsidP="005840E5">
      <w:pPr>
        <w:pStyle w:val="pf0"/>
        <w:numPr>
          <w:ilvl w:val="0"/>
          <w:numId w:val="16"/>
        </w:numPr>
        <w:spacing w:before="120" w:beforeAutospacing="0" w:after="120" w:afterAutospacing="0"/>
        <w:rPr>
          <w:rStyle w:val="cf01"/>
          <w:rFonts w:asciiTheme="minorHAnsi" w:hAnsiTheme="minorHAnsi" w:cstheme="minorHAnsi"/>
          <w:sz w:val="22"/>
          <w:szCs w:val="22"/>
        </w:rPr>
      </w:pPr>
      <w:r w:rsidRPr="001B6A62">
        <w:rPr>
          <w:rStyle w:val="cf01"/>
          <w:rFonts w:asciiTheme="minorHAnsi" w:hAnsiTheme="minorHAnsi" w:cstheme="minorHAnsi"/>
          <w:sz w:val="22"/>
          <w:szCs w:val="22"/>
        </w:rPr>
        <w:t>Saul</w:t>
      </w:r>
      <w:r>
        <w:rPr>
          <w:rStyle w:val="cf01"/>
          <w:rFonts w:asciiTheme="minorHAnsi" w:hAnsiTheme="minorHAnsi" w:cstheme="minorHAnsi"/>
          <w:sz w:val="22"/>
          <w:szCs w:val="22"/>
        </w:rPr>
        <w:t xml:space="preserve"> J</w:t>
      </w:r>
      <w:r w:rsidRPr="001B6A62">
        <w:rPr>
          <w:rStyle w:val="cf01"/>
          <w:rFonts w:asciiTheme="minorHAnsi" w:hAnsiTheme="minorHAnsi" w:cstheme="minorHAnsi"/>
          <w:sz w:val="22"/>
          <w:szCs w:val="22"/>
        </w:rPr>
        <w:t>,</w:t>
      </w:r>
      <w:r>
        <w:rPr>
          <w:rStyle w:val="cf01"/>
          <w:rFonts w:asciiTheme="minorHAnsi" w:hAnsiTheme="minorHAnsi" w:cstheme="minorHAnsi"/>
          <w:sz w:val="22"/>
          <w:szCs w:val="22"/>
        </w:rPr>
        <w:t xml:space="preserve"> Willis C, </w:t>
      </w:r>
      <w:proofErr w:type="spellStart"/>
      <w:r>
        <w:rPr>
          <w:rStyle w:val="cf01"/>
          <w:rFonts w:asciiTheme="minorHAnsi" w:hAnsiTheme="minorHAnsi" w:cstheme="minorHAnsi"/>
          <w:sz w:val="22"/>
          <w:szCs w:val="22"/>
        </w:rPr>
        <w:t>Bitz</w:t>
      </w:r>
      <w:proofErr w:type="spellEnd"/>
      <w:r>
        <w:rPr>
          <w:rStyle w:val="cf01"/>
          <w:rFonts w:asciiTheme="minorHAnsi" w:hAnsiTheme="minorHAnsi" w:cstheme="minorHAnsi"/>
          <w:sz w:val="22"/>
          <w:szCs w:val="22"/>
        </w:rPr>
        <w:t xml:space="preserve"> J, Best A.</w:t>
      </w:r>
      <w:r w:rsidRPr="001B6A62">
        <w:rPr>
          <w:rStyle w:val="cf01"/>
          <w:rFonts w:asciiTheme="minorHAnsi" w:hAnsiTheme="minorHAnsi" w:cstheme="minorHAnsi"/>
          <w:sz w:val="22"/>
          <w:szCs w:val="22"/>
        </w:rPr>
        <w:t xml:space="preserve"> A time-responsive tool for informing policy </w:t>
      </w:r>
      <w:proofErr w:type="gramStart"/>
      <w:r w:rsidRPr="001B6A62">
        <w:rPr>
          <w:rStyle w:val="cf01"/>
          <w:rFonts w:asciiTheme="minorHAnsi" w:hAnsiTheme="minorHAnsi" w:cstheme="minorHAnsi"/>
          <w:sz w:val="22"/>
          <w:szCs w:val="22"/>
        </w:rPr>
        <w:t>making:</w:t>
      </w:r>
      <w:proofErr w:type="gramEnd"/>
      <w:r w:rsidRPr="001B6A62">
        <w:rPr>
          <w:rStyle w:val="cf01"/>
          <w:rFonts w:asciiTheme="minorHAnsi" w:hAnsiTheme="minorHAnsi" w:cstheme="minorHAnsi"/>
          <w:sz w:val="22"/>
          <w:szCs w:val="22"/>
        </w:rPr>
        <w:t xml:space="preserve"> rapid realist review. Implement Sci</w:t>
      </w:r>
      <w:r>
        <w:rPr>
          <w:rStyle w:val="cf01"/>
          <w:rFonts w:asciiTheme="minorHAnsi" w:hAnsiTheme="minorHAnsi" w:cstheme="minorHAnsi"/>
          <w:sz w:val="22"/>
          <w:szCs w:val="22"/>
        </w:rPr>
        <w:t xml:space="preserve"> 2013;</w:t>
      </w:r>
      <w:r w:rsidRPr="001B6A62">
        <w:rPr>
          <w:rStyle w:val="cf01"/>
          <w:rFonts w:asciiTheme="minorHAnsi" w:hAnsiTheme="minorHAnsi" w:cstheme="minorHAnsi"/>
          <w:sz w:val="22"/>
          <w:szCs w:val="22"/>
        </w:rPr>
        <w:t xml:space="preserve"> 8.1: 103.</w:t>
      </w:r>
    </w:p>
    <w:p w14:paraId="60A0C65C" w14:textId="43F286F7" w:rsidR="00D87C4F" w:rsidRPr="001B6A62" w:rsidRDefault="00D87C4F" w:rsidP="005840E5">
      <w:pPr>
        <w:pStyle w:val="pf0"/>
        <w:numPr>
          <w:ilvl w:val="0"/>
          <w:numId w:val="16"/>
        </w:numPr>
        <w:spacing w:before="120" w:beforeAutospacing="0" w:after="120" w:afterAutospacing="0"/>
        <w:rPr>
          <w:rStyle w:val="cf01"/>
          <w:rFonts w:asciiTheme="minorHAnsi" w:hAnsiTheme="minorHAnsi" w:cstheme="minorHAnsi"/>
          <w:sz w:val="22"/>
          <w:szCs w:val="22"/>
        </w:rPr>
      </w:pPr>
      <w:r w:rsidRPr="001B6A62">
        <w:rPr>
          <w:rStyle w:val="cf01"/>
          <w:rFonts w:asciiTheme="minorHAnsi" w:hAnsiTheme="minorHAnsi" w:cstheme="minorHAnsi"/>
          <w:sz w:val="22"/>
          <w:szCs w:val="22"/>
        </w:rPr>
        <w:t>Paskins</w:t>
      </w:r>
      <w:r>
        <w:rPr>
          <w:rStyle w:val="cf01"/>
          <w:rFonts w:asciiTheme="minorHAnsi" w:hAnsiTheme="minorHAnsi" w:cstheme="minorHAnsi"/>
          <w:sz w:val="22"/>
          <w:szCs w:val="22"/>
        </w:rPr>
        <w:t xml:space="preserve"> Z, Crawford-Manning F, Cottrell E</w:t>
      </w:r>
      <w:r w:rsidRPr="001B6A62">
        <w:rPr>
          <w:rStyle w:val="cf01"/>
          <w:rFonts w:asciiTheme="minorHAnsi" w:hAnsiTheme="minorHAnsi" w:cstheme="minorHAnsi"/>
          <w:sz w:val="22"/>
          <w:szCs w:val="22"/>
        </w:rPr>
        <w:t xml:space="preserve">, et al. Acceptability of bisphosphonates among patients, </w:t>
      </w:r>
      <w:proofErr w:type="gramStart"/>
      <w:r w:rsidRPr="001B6A62">
        <w:rPr>
          <w:rStyle w:val="cf01"/>
          <w:rFonts w:asciiTheme="minorHAnsi" w:hAnsiTheme="minorHAnsi" w:cstheme="minorHAnsi"/>
          <w:sz w:val="22"/>
          <w:szCs w:val="22"/>
        </w:rPr>
        <w:t>clinicians</w:t>
      </w:r>
      <w:proofErr w:type="gramEnd"/>
      <w:r w:rsidRPr="001B6A62">
        <w:rPr>
          <w:rStyle w:val="cf01"/>
          <w:rFonts w:asciiTheme="minorHAnsi" w:hAnsiTheme="minorHAnsi" w:cstheme="minorHAnsi"/>
          <w:sz w:val="22"/>
          <w:szCs w:val="22"/>
        </w:rPr>
        <w:t xml:space="preserve"> and managers: a systematic review and framework synthesis. BMJ open</w:t>
      </w:r>
      <w:r>
        <w:rPr>
          <w:rStyle w:val="cf01"/>
          <w:rFonts w:asciiTheme="minorHAnsi" w:hAnsiTheme="minorHAnsi" w:cstheme="minorHAnsi"/>
          <w:sz w:val="22"/>
          <w:szCs w:val="22"/>
        </w:rPr>
        <w:t xml:space="preserve"> 2020; </w:t>
      </w:r>
      <w:r w:rsidRPr="001B6A62">
        <w:rPr>
          <w:rStyle w:val="cf01"/>
          <w:rFonts w:asciiTheme="minorHAnsi" w:hAnsiTheme="minorHAnsi" w:cstheme="minorHAnsi"/>
          <w:sz w:val="22"/>
          <w:szCs w:val="22"/>
        </w:rPr>
        <w:t>10.11: e040634.</w:t>
      </w:r>
    </w:p>
    <w:p w14:paraId="12E6B2FB" w14:textId="77777777" w:rsidR="00D87C4F" w:rsidRPr="001B6A62" w:rsidRDefault="00D87C4F" w:rsidP="005840E5">
      <w:pPr>
        <w:pStyle w:val="pf0"/>
        <w:numPr>
          <w:ilvl w:val="0"/>
          <w:numId w:val="16"/>
        </w:numPr>
        <w:spacing w:before="120" w:beforeAutospacing="0" w:after="120" w:afterAutospacing="0"/>
        <w:rPr>
          <w:rStyle w:val="cf01"/>
          <w:rFonts w:asciiTheme="minorHAnsi" w:hAnsiTheme="minorHAnsi" w:cstheme="minorHAnsi"/>
          <w:sz w:val="22"/>
          <w:szCs w:val="22"/>
        </w:rPr>
      </w:pPr>
      <w:proofErr w:type="spellStart"/>
      <w:r w:rsidRPr="001B6A62">
        <w:rPr>
          <w:rStyle w:val="cf01"/>
          <w:rFonts w:asciiTheme="minorHAnsi" w:hAnsiTheme="minorHAnsi" w:cstheme="minorHAnsi"/>
          <w:sz w:val="22"/>
          <w:szCs w:val="22"/>
        </w:rPr>
        <w:t>Raybould</w:t>
      </w:r>
      <w:proofErr w:type="spellEnd"/>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G,</w:t>
      </w:r>
      <w:r>
        <w:rPr>
          <w:rStyle w:val="cf01"/>
          <w:rFonts w:asciiTheme="minorHAnsi" w:hAnsiTheme="minorHAnsi" w:cstheme="minorHAnsi"/>
          <w:sz w:val="22"/>
          <w:szCs w:val="22"/>
        </w:rPr>
        <w:t xml:space="preserve"> Babatunde O, Evans A,</w:t>
      </w:r>
      <w:r w:rsidRPr="001B6A62">
        <w:rPr>
          <w:rStyle w:val="cf01"/>
          <w:rFonts w:asciiTheme="minorHAnsi" w:hAnsiTheme="minorHAnsi" w:cstheme="minorHAnsi"/>
          <w:sz w:val="22"/>
          <w:szCs w:val="22"/>
        </w:rPr>
        <w:t xml:space="preserve"> et al. Expressed information needs of patients with osteoporosis and/or fragility fractures: a systematic review.</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Archives of osteoporosis</w:t>
      </w:r>
      <w:r>
        <w:rPr>
          <w:rStyle w:val="cf01"/>
          <w:rFonts w:asciiTheme="minorHAnsi" w:hAnsiTheme="minorHAnsi" w:cstheme="minorHAnsi"/>
          <w:sz w:val="22"/>
          <w:szCs w:val="22"/>
        </w:rPr>
        <w:t xml:space="preserve"> 2018;</w:t>
      </w:r>
      <w:r w:rsidRPr="001B6A62">
        <w:rPr>
          <w:rStyle w:val="cf01"/>
          <w:rFonts w:asciiTheme="minorHAnsi" w:hAnsiTheme="minorHAnsi" w:cstheme="minorHAnsi"/>
          <w:sz w:val="22"/>
          <w:szCs w:val="22"/>
        </w:rPr>
        <w:t xml:space="preserve"> 13.1: 55. </w:t>
      </w:r>
    </w:p>
    <w:p w14:paraId="123A461F" w14:textId="77777777" w:rsidR="00D87C4F" w:rsidRPr="001B6A62" w:rsidRDefault="00D87C4F" w:rsidP="00D72133">
      <w:pPr>
        <w:pStyle w:val="pf0"/>
        <w:spacing w:before="120" w:beforeAutospacing="0" w:after="120" w:afterAutospacing="0"/>
        <w:ind w:left="357"/>
        <w:rPr>
          <w:rStyle w:val="cf01"/>
          <w:rFonts w:asciiTheme="minorHAnsi" w:hAnsiTheme="minorHAnsi" w:cstheme="minorHAnsi"/>
          <w:sz w:val="22"/>
          <w:szCs w:val="22"/>
        </w:rPr>
      </w:pPr>
    </w:p>
    <w:p w14:paraId="4E195A98" w14:textId="547693E1" w:rsidR="00611F08" w:rsidRPr="00D72133" w:rsidRDefault="00611F08" w:rsidP="00D72133">
      <w:pPr>
        <w:pStyle w:val="pf0"/>
        <w:numPr>
          <w:ilvl w:val="0"/>
          <w:numId w:val="16"/>
        </w:numPr>
        <w:spacing w:before="120" w:beforeAutospacing="0" w:after="120" w:afterAutospacing="0"/>
        <w:rPr>
          <w:rStyle w:val="cf01"/>
          <w:rFonts w:asciiTheme="minorHAnsi" w:hAnsiTheme="minorHAnsi" w:cstheme="minorHAnsi"/>
          <w:sz w:val="22"/>
          <w:szCs w:val="22"/>
        </w:rPr>
      </w:pPr>
      <w:r w:rsidRPr="00D72133">
        <w:rPr>
          <w:rStyle w:val="cf01"/>
          <w:rFonts w:asciiTheme="minorHAnsi" w:hAnsiTheme="minorHAnsi" w:cstheme="minorHAnsi"/>
          <w:sz w:val="22"/>
          <w:szCs w:val="22"/>
        </w:rPr>
        <w:lastRenderedPageBreak/>
        <w:t>Maidment I, Lawson S, Wong G, et al. Medication management in older people: the MEMORABLE realist synthesis. Southampton (UK): NIHR Journals Library 2020; PMID: 32579319</w:t>
      </w:r>
    </w:p>
    <w:p w14:paraId="357551A8" w14:textId="77777777"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r w:rsidRPr="001B6A62">
        <w:rPr>
          <w:rStyle w:val="cf01"/>
          <w:rFonts w:asciiTheme="minorHAnsi" w:hAnsiTheme="minorHAnsi" w:cstheme="minorHAnsi"/>
          <w:sz w:val="22"/>
          <w:szCs w:val="22"/>
        </w:rPr>
        <w:t>Horne R</w:t>
      </w:r>
      <w:r>
        <w:rPr>
          <w:rStyle w:val="cf01"/>
          <w:rFonts w:asciiTheme="minorHAnsi" w:hAnsiTheme="minorHAnsi" w:cstheme="minorHAnsi"/>
          <w:sz w:val="22"/>
          <w:szCs w:val="22"/>
        </w:rPr>
        <w:t xml:space="preserve">, Weinman J, </w:t>
      </w:r>
      <w:proofErr w:type="spellStart"/>
      <w:r>
        <w:rPr>
          <w:rStyle w:val="cf01"/>
          <w:rFonts w:asciiTheme="minorHAnsi" w:hAnsiTheme="minorHAnsi" w:cstheme="minorHAnsi"/>
          <w:sz w:val="22"/>
          <w:szCs w:val="22"/>
        </w:rPr>
        <w:t>Barbr</w:t>
      </w:r>
      <w:proofErr w:type="spellEnd"/>
      <w:r>
        <w:rPr>
          <w:rStyle w:val="cf01"/>
          <w:rFonts w:asciiTheme="minorHAnsi" w:hAnsiTheme="minorHAnsi" w:cstheme="minorHAnsi"/>
          <w:sz w:val="22"/>
          <w:szCs w:val="22"/>
        </w:rPr>
        <w:t xml:space="preserve"> N et al. </w:t>
      </w:r>
      <w:r w:rsidRPr="001B6A62">
        <w:rPr>
          <w:rStyle w:val="cf01"/>
          <w:rFonts w:asciiTheme="minorHAnsi" w:hAnsiTheme="minorHAnsi" w:cstheme="minorHAnsi"/>
          <w:sz w:val="22"/>
          <w:szCs w:val="22"/>
        </w:rPr>
        <w:t>Concordance, adherence and compliance in medicine taking Report for the National Co-ordinating Centre for NHS Service Delivery and Organisation R &amp; D (NCCSDO)</w:t>
      </w:r>
      <w:r>
        <w:rPr>
          <w:rStyle w:val="cf01"/>
          <w:rFonts w:asciiTheme="minorHAnsi" w:hAnsiTheme="minorHAnsi" w:cstheme="minorHAnsi"/>
          <w:sz w:val="22"/>
          <w:szCs w:val="22"/>
        </w:rPr>
        <w:t xml:space="preserve"> 2005.</w:t>
      </w:r>
      <w:r w:rsidRPr="001B6A62">
        <w:rPr>
          <w:rStyle w:val="cf01"/>
          <w:rFonts w:asciiTheme="minorHAnsi" w:hAnsiTheme="minorHAnsi" w:cstheme="minorHAnsi"/>
          <w:sz w:val="22"/>
          <w:szCs w:val="22"/>
        </w:rPr>
        <w:t xml:space="preserve"> Available at </w:t>
      </w:r>
      <w:hyperlink r:id="rId11" w:history="1">
        <w:r w:rsidRPr="00374F3B">
          <w:rPr>
            <w:rStyle w:val="Hyperlink"/>
            <w:rFonts w:asciiTheme="minorHAnsi" w:hAnsiTheme="minorHAnsi" w:cstheme="minorHAnsi"/>
            <w:sz w:val="22"/>
            <w:szCs w:val="22"/>
          </w:rPr>
          <w:t>https://njl-admin.nihr.ac.uk/document/download/2027234</w:t>
        </w:r>
      </w:hyperlink>
      <w:r>
        <w:rPr>
          <w:rStyle w:val="cf01"/>
          <w:rFonts w:asciiTheme="minorHAnsi" w:hAnsiTheme="minorHAnsi" w:cstheme="minorHAnsi"/>
          <w:sz w:val="22"/>
          <w:szCs w:val="22"/>
        </w:rPr>
        <w:t xml:space="preserve"> Accessed 10th November 2021</w:t>
      </w:r>
    </w:p>
    <w:p w14:paraId="354A4BE2" w14:textId="6346F4EC" w:rsidR="0032272E" w:rsidRPr="00D72133" w:rsidRDefault="00127B45" w:rsidP="00D72133">
      <w:pPr>
        <w:pStyle w:val="pf0"/>
        <w:numPr>
          <w:ilvl w:val="0"/>
          <w:numId w:val="16"/>
        </w:numPr>
        <w:spacing w:before="120" w:beforeAutospacing="0" w:after="120" w:afterAutospacing="0"/>
        <w:rPr>
          <w:rStyle w:val="cf01"/>
          <w:rFonts w:asciiTheme="minorHAnsi" w:hAnsiTheme="minorHAnsi" w:cstheme="minorHAnsi"/>
          <w:sz w:val="22"/>
          <w:szCs w:val="22"/>
        </w:rPr>
      </w:pPr>
      <w:r w:rsidRPr="001B6A62">
        <w:rPr>
          <w:rStyle w:val="cf01"/>
          <w:rFonts w:asciiTheme="minorHAnsi" w:hAnsiTheme="minorHAnsi" w:cstheme="minorHAnsi"/>
          <w:sz w:val="22"/>
          <w:szCs w:val="22"/>
        </w:rPr>
        <w:t xml:space="preserve">Horne R, Cooper V, </w:t>
      </w:r>
      <w:proofErr w:type="spellStart"/>
      <w:r w:rsidRPr="001B6A62">
        <w:rPr>
          <w:rStyle w:val="cf01"/>
          <w:rFonts w:asciiTheme="minorHAnsi" w:hAnsiTheme="minorHAnsi" w:cstheme="minorHAnsi"/>
          <w:sz w:val="22"/>
          <w:szCs w:val="22"/>
        </w:rPr>
        <w:t>Wileman</w:t>
      </w:r>
      <w:proofErr w:type="spellEnd"/>
      <w:r w:rsidRPr="001B6A62">
        <w:rPr>
          <w:rStyle w:val="cf01"/>
          <w:rFonts w:asciiTheme="minorHAnsi" w:hAnsiTheme="minorHAnsi" w:cstheme="minorHAnsi"/>
          <w:sz w:val="22"/>
          <w:szCs w:val="22"/>
        </w:rPr>
        <w:t xml:space="preserve"> V, Chan A. Supporting adherence to medicines for long-term conditions. European Psychologist 2019</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 xml:space="preserve"> </w:t>
      </w:r>
      <w:r>
        <w:rPr>
          <w:rStyle w:val="cf01"/>
          <w:rFonts w:asciiTheme="minorHAnsi" w:hAnsiTheme="minorHAnsi" w:cstheme="minorHAnsi"/>
          <w:sz w:val="22"/>
          <w:szCs w:val="22"/>
        </w:rPr>
        <w:t>24: 82-96</w:t>
      </w:r>
    </w:p>
    <w:p w14:paraId="54E2EEF0" w14:textId="77777777" w:rsidR="00465DF5" w:rsidRPr="001B6A62" w:rsidRDefault="00465DF5" w:rsidP="00465DF5">
      <w:pPr>
        <w:pStyle w:val="pf0"/>
        <w:numPr>
          <w:ilvl w:val="0"/>
          <w:numId w:val="16"/>
        </w:numPr>
        <w:spacing w:before="120" w:beforeAutospacing="0" w:after="120" w:afterAutospacing="0"/>
        <w:rPr>
          <w:rStyle w:val="cf01"/>
          <w:rFonts w:asciiTheme="minorHAnsi" w:hAnsiTheme="minorHAnsi" w:cstheme="minorHAnsi"/>
          <w:sz w:val="22"/>
          <w:szCs w:val="22"/>
        </w:rPr>
      </w:pPr>
      <w:r w:rsidRPr="001B6A62">
        <w:rPr>
          <w:rStyle w:val="cf01"/>
          <w:rFonts w:asciiTheme="minorHAnsi" w:hAnsiTheme="minorHAnsi" w:cstheme="minorHAnsi"/>
          <w:sz w:val="22"/>
          <w:szCs w:val="22"/>
        </w:rPr>
        <w:t xml:space="preserve">Hayden J, </w:t>
      </w:r>
      <w:r>
        <w:rPr>
          <w:rStyle w:val="cf01"/>
          <w:rFonts w:asciiTheme="minorHAnsi" w:hAnsiTheme="minorHAnsi" w:cstheme="minorHAnsi"/>
          <w:sz w:val="22"/>
          <w:szCs w:val="22"/>
        </w:rPr>
        <w:t>V</w:t>
      </w:r>
      <w:r w:rsidRPr="001B6A62">
        <w:rPr>
          <w:rStyle w:val="cf01"/>
          <w:rFonts w:asciiTheme="minorHAnsi" w:hAnsiTheme="minorHAnsi" w:cstheme="minorHAnsi"/>
          <w:sz w:val="22"/>
          <w:szCs w:val="22"/>
        </w:rPr>
        <w:t xml:space="preserve">an der </w:t>
      </w:r>
      <w:proofErr w:type="spellStart"/>
      <w:r w:rsidRPr="001B6A62">
        <w:rPr>
          <w:rStyle w:val="cf01"/>
          <w:rFonts w:asciiTheme="minorHAnsi" w:hAnsiTheme="minorHAnsi" w:cstheme="minorHAnsi"/>
          <w:sz w:val="22"/>
          <w:szCs w:val="22"/>
        </w:rPr>
        <w:t>Windt</w:t>
      </w:r>
      <w:proofErr w:type="spellEnd"/>
      <w:r w:rsidRPr="001B6A62">
        <w:rPr>
          <w:rStyle w:val="cf01"/>
          <w:rFonts w:asciiTheme="minorHAnsi" w:hAnsiTheme="minorHAnsi" w:cstheme="minorHAnsi"/>
          <w:sz w:val="22"/>
          <w:szCs w:val="22"/>
        </w:rPr>
        <w:t xml:space="preserve"> D, Cartwright J,</w:t>
      </w:r>
      <w:r>
        <w:rPr>
          <w:rStyle w:val="cf01"/>
          <w:rFonts w:asciiTheme="minorHAnsi" w:hAnsiTheme="minorHAnsi" w:cstheme="minorHAnsi"/>
          <w:sz w:val="22"/>
          <w:szCs w:val="22"/>
        </w:rPr>
        <w:t xml:space="preserve"> et al. </w:t>
      </w:r>
      <w:r w:rsidRPr="001B6A62">
        <w:rPr>
          <w:rStyle w:val="cf01"/>
          <w:rFonts w:asciiTheme="minorHAnsi" w:hAnsiTheme="minorHAnsi" w:cstheme="minorHAnsi"/>
          <w:sz w:val="22"/>
          <w:szCs w:val="22"/>
        </w:rPr>
        <w:t>Assessing bias in studies of prognostic factors. Ann Intern Med</w:t>
      </w:r>
      <w:r>
        <w:rPr>
          <w:rStyle w:val="cf01"/>
          <w:rFonts w:asciiTheme="minorHAnsi" w:hAnsiTheme="minorHAnsi" w:cstheme="minorHAnsi"/>
          <w:sz w:val="22"/>
          <w:szCs w:val="22"/>
        </w:rPr>
        <w:t xml:space="preserve"> 2013;</w:t>
      </w:r>
      <w:r w:rsidRPr="001B6A62">
        <w:rPr>
          <w:rStyle w:val="cf01"/>
          <w:rFonts w:asciiTheme="minorHAnsi" w:hAnsiTheme="minorHAnsi" w:cstheme="minorHAnsi"/>
          <w:sz w:val="22"/>
          <w:szCs w:val="22"/>
        </w:rPr>
        <w:t xml:space="preserve"> 158(4):</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280–286.</w:t>
      </w:r>
    </w:p>
    <w:p w14:paraId="7EF2BB5A" w14:textId="1E9DE9DA" w:rsidR="00465DF5" w:rsidRPr="00D72133" w:rsidRDefault="00465DF5" w:rsidP="00D72133">
      <w:pPr>
        <w:pStyle w:val="pf0"/>
        <w:numPr>
          <w:ilvl w:val="0"/>
          <w:numId w:val="16"/>
        </w:numPr>
        <w:spacing w:before="120" w:beforeAutospacing="0" w:after="120" w:afterAutospacing="0"/>
        <w:rPr>
          <w:rStyle w:val="cf01"/>
          <w:rFonts w:asciiTheme="minorHAnsi" w:hAnsiTheme="minorHAnsi" w:cstheme="minorHAnsi"/>
          <w:sz w:val="22"/>
          <w:szCs w:val="22"/>
        </w:rPr>
      </w:pPr>
      <w:r w:rsidRPr="001B6A62">
        <w:rPr>
          <w:rStyle w:val="cf01"/>
          <w:rFonts w:asciiTheme="minorHAnsi" w:hAnsiTheme="minorHAnsi" w:cstheme="minorHAnsi"/>
          <w:sz w:val="22"/>
          <w:szCs w:val="22"/>
        </w:rPr>
        <w:t>Tsang J, Blakeman T, Hegarty J. et al. Understanding the implementation of interventions to improve the management of chronic kidney disease in primary care: a rapid realist review. Implementation Sci</w:t>
      </w:r>
      <w:r>
        <w:rPr>
          <w:rStyle w:val="cf01"/>
          <w:rFonts w:asciiTheme="minorHAnsi" w:hAnsiTheme="minorHAnsi" w:cstheme="minorHAnsi"/>
          <w:sz w:val="22"/>
          <w:szCs w:val="22"/>
        </w:rPr>
        <w:t xml:space="preserve"> 2015;</w:t>
      </w:r>
      <w:r w:rsidRPr="001B6A62">
        <w:rPr>
          <w:rStyle w:val="cf01"/>
          <w:rFonts w:asciiTheme="minorHAnsi" w:hAnsiTheme="minorHAnsi" w:cstheme="minorHAnsi"/>
          <w:sz w:val="22"/>
          <w:szCs w:val="22"/>
        </w:rPr>
        <w:t xml:space="preserve"> 11, 47</w:t>
      </w:r>
    </w:p>
    <w:p w14:paraId="14D787F7" w14:textId="061B10DD" w:rsidR="00D87C4F" w:rsidRPr="001B6A62" w:rsidRDefault="00D87C4F" w:rsidP="005840E5">
      <w:pPr>
        <w:pStyle w:val="pf0"/>
        <w:numPr>
          <w:ilvl w:val="0"/>
          <w:numId w:val="16"/>
        </w:numPr>
        <w:spacing w:before="120" w:beforeAutospacing="0" w:after="120" w:afterAutospacing="0"/>
        <w:rPr>
          <w:rStyle w:val="cf01"/>
          <w:rFonts w:asciiTheme="minorHAnsi" w:hAnsiTheme="minorHAnsi" w:cstheme="minorHAnsi"/>
          <w:sz w:val="22"/>
          <w:szCs w:val="22"/>
        </w:rPr>
      </w:pPr>
      <w:r w:rsidRPr="001B6A62">
        <w:rPr>
          <w:rStyle w:val="cf01"/>
          <w:rFonts w:asciiTheme="minorHAnsi" w:hAnsiTheme="minorHAnsi" w:cstheme="minorHAnsi"/>
          <w:sz w:val="22"/>
          <w:szCs w:val="22"/>
        </w:rPr>
        <w:t>Paskins</w:t>
      </w:r>
      <w:r>
        <w:rPr>
          <w:rStyle w:val="cf01"/>
          <w:rFonts w:asciiTheme="minorHAnsi" w:hAnsiTheme="minorHAnsi" w:cstheme="minorHAnsi"/>
          <w:sz w:val="22"/>
          <w:szCs w:val="22"/>
        </w:rPr>
        <w:t xml:space="preserve"> Z, Jinks C, Mahmood W</w:t>
      </w:r>
      <w:r w:rsidRPr="001B6A62">
        <w:rPr>
          <w:rStyle w:val="cf01"/>
          <w:rFonts w:asciiTheme="minorHAnsi" w:hAnsiTheme="minorHAnsi" w:cstheme="minorHAnsi"/>
          <w:sz w:val="22"/>
          <w:szCs w:val="22"/>
        </w:rPr>
        <w:t xml:space="preserve">, et al. </w:t>
      </w:r>
      <w:proofErr w:type="gramStart"/>
      <w:r w:rsidRPr="001B6A62">
        <w:rPr>
          <w:rStyle w:val="cf01"/>
          <w:rFonts w:asciiTheme="minorHAnsi" w:hAnsiTheme="minorHAnsi" w:cstheme="minorHAnsi"/>
          <w:sz w:val="22"/>
          <w:szCs w:val="22"/>
        </w:rPr>
        <w:t>Public</w:t>
      </w:r>
      <w:proofErr w:type="gramEnd"/>
      <w:r w:rsidRPr="001B6A62">
        <w:rPr>
          <w:rStyle w:val="cf01"/>
          <w:rFonts w:asciiTheme="minorHAnsi" w:hAnsiTheme="minorHAnsi" w:cstheme="minorHAnsi"/>
          <w:sz w:val="22"/>
          <w:szCs w:val="22"/>
        </w:rPr>
        <w:t xml:space="preserve"> priorities for osteoporosis and fracture research: results from a general population survey. Arch</w:t>
      </w:r>
      <w:r>
        <w:rPr>
          <w:rStyle w:val="cf01"/>
          <w:rFonts w:asciiTheme="minorHAnsi" w:hAnsiTheme="minorHAnsi" w:cstheme="minorHAnsi"/>
          <w:sz w:val="22"/>
          <w:szCs w:val="22"/>
        </w:rPr>
        <w:t xml:space="preserve"> </w:t>
      </w:r>
      <w:proofErr w:type="spellStart"/>
      <w:r w:rsidRPr="001B6A62">
        <w:rPr>
          <w:rStyle w:val="cf01"/>
          <w:rFonts w:asciiTheme="minorHAnsi" w:hAnsiTheme="minorHAnsi" w:cstheme="minorHAnsi"/>
          <w:sz w:val="22"/>
          <w:szCs w:val="22"/>
        </w:rPr>
        <w:t>osteoporos</w:t>
      </w:r>
      <w:proofErr w:type="spellEnd"/>
      <w:r>
        <w:rPr>
          <w:rStyle w:val="cf01"/>
          <w:rFonts w:asciiTheme="minorHAnsi" w:hAnsiTheme="minorHAnsi" w:cstheme="minorHAnsi"/>
          <w:sz w:val="22"/>
          <w:szCs w:val="22"/>
        </w:rPr>
        <w:t xml:space="preserve"> 2017; </w:t>
      </w:r>
      <w:r w:rsidRPr="001B6A62">
        <w:rPr>
          <w:rStyle w:val="cf01"/>
          <w:rFonts w:asciiTheme="minorHAnsi" w:hAnsiTheme="minorHAnsi" w:cstheme="minorHAnsi"/>
          <w:sz w:val="22"/>
          <w:szCs w:val="22"/>
        </w:rPr>
        <w:t xml:space="preserve">12.1: 45. </w:t>
      </w:r>
    </w:p>
    <w:p w14:paraId="2B87DD85" w14:textId="77777777" w:rsidR="00D87C4F" w:rsidRPr="001B6A62" w:rsidRDefault="00D87C4F" w:rsidP="005840E5">
      <w:pPr>
        <w:pStyle w:val="pf0"/>
        <w:numPr>
          <w:ilvl w:val="0"/>
          <w:numId w:val="16"/>
        </w:numPr>
        <w:spacing w:before="120" w:beforeAutospacing="0" w:after="120" w:afterAutospacing="0"/>
        <w:rPr>
          <w:rStyle w:val="cf01"/>
          <w:rFonts w:asciiTheme="minorHAnsi" w:hAnsiTheme="minorHAnsi" w:cstheme="minorHAnsi"/>
          <w:sz w:val="22"/>
          <w:szCs w:val="22"/>
        </w:rPr>
      </w:pPr>
      <w:r w:rsidRPr="001B6A62">
        <w:rPr>
          <w:rStyle w:val="cf01"/>
          <w:rFonts w:asciiTheme="minorHAnsi" w:hAnsiTheme="minorHAnsi" w:cstheme="minorHAnsi"/>
          <w:sz w:val="22"/>
          <w:szCs w:val="22"/>
        </w:rPr>
        <w:t>Hawarden</w:t>
      </w:r>
      <w:r>
        <w:rPr>
          <w:rStyle w:val="cf01"/>
          <w:rFonts w:asciiTheme="minorHAnsi" w:hAnsiTheme="minorHAnsi" w:cstheme="minorHAnsi"/>
          <w:sz w:val="22"/>
          <w:szCs w:val="22"/>
        </w:rPr>
        <w:t xml:space="preserve"> A</w:t>
      </w:r>
      <w:r w:rsidRPr="001B6A62">
        <w:rPr>
          <w:rStyle w:val="cf01"/>
          <w:rFonts w:asciiTheme="minorHAnsi" w:hAnsiTheme="minorHAnsi" w:cstheme="minorHAnsi"/>
          <w:sz w:val="22"/>
          <w:szCs w:val="22"/>
        </w:rPr>
        <w:t>,</w:t>
      </w:r>
      <w:r>
        <w:rPr>
          <w:rStyle w:val="cf01"/>
          <w:rFonts w:asciiTheme="minorHAnsi" w:hAnsiTheme="minorHAnsi" w:cstheme="minorHAnsi"/>
          <w:sz w:val="22"/>
          <w:szCs w:val="22"/>
        </w:rPr>
        <w:t xml:space="preserve"> Jinks C, Mahmood W</w:t>
      </w:r>
      <w:r w:rsidRPr="001B6A62">
        <w:rPr>
          <w:rStyle w:val="cf01"/>
          <w:rFonts w:asciiTheme="minorHAnsi" w:hAnsiTheme="minorHAnsi" w:cstheme="minorHAnsi"/>
          <w:sz w:val="22"/>
          <w:szCs w:val="22"/>
        </w:rPr>
        <w:t xml:space="preserve"> et al. </w:t>
      </w:r>
      <w:proofErr w:type="gramStart"/>
      <w:r w:rsidRPr="001B6A62">
        <w:rPr>
          <w:rStyle w:val="cf01"/>
          <w:rFonts w:asciiTheme="minorHAnsi" w:hAnsiTheme="minorHAnsi" w:cstheme="minorHAnsi"/>
          <w:sz w:val="22"/>
          <w:szCs w:val="22"/>
        </w:rPr>
        <w:t>Public</w:t>
      </w:r>
      <w:proofErr w:type="gramEnd"/>
      <w:r w:rsidRPr="001B6A62">
        <w:rPr>
          <w:rStyle w:val="cf01"/>
          <w:rFonts w:asciiTheme="minorHAnsi" w:hAnsiTheme="minorHAnsi" w:cstheme="minorHAnsi"/>
          <w:sz w:val="22"/>
          <w:szCs w:val="22"/>
        </w:rPr>
        <w:t xml:space="preserve"> priorities for osteoporosis and fracture research: results from a focus group study. Arch </w:t>
      </w:r>
      <w:proofErr w:type="spellStart"/>
      <w:r w:rsidRPr="001B6A62">
        <w:rPr>
          <w:rStyle w:val="cf01"/>
          <w:rFonts w:asciiTheme="minorHAnsi" w:hAnsiTheme="minorHAnsi" w:cstheme="minorHAnsi"/>
          <w:sz w:val="22"/>
          <w:szCs w:val="22"/>
        </w:rPr>
        <w:t>osteoporos</w:t>
      </w:r>
      <w:proofErr w:type="spellEnd"/>
      <w:r>
        <w:rPr>
          <w:rStyle w:val="cf01"/>
          <w:rFonts w:asciiTheme="minorHAnsi" w:hAnsiTheme="minorHAnsi" w:cstheme="minorHAnsi"/>
          <w:sz w:val="22"/>
          <w:szCs w:val="22"/>
        </w:rPr>
        <w:t xml:space="preserve"> 2020;</w:t>
      </w:r>
      <w:r w:rsidRPr="001B6A62">
        <w:rPr>
          <w:rStyle w:val="cf01"/>
          <w:rFonts w:asciiTheme="minorHAnsi" w:hAnsiTheme="minorHAnsi" w:cstheme="minorHAnsi"/>
          <w:sz w:val="22"/>
          <w:szCs w:val="22"/>
        </w:rPr>
        <w:t> 15.1: 1-10.</w:t>
      </w:r>
    </w:p>
    <w:p w14:paraId="386F7F6C" w14:textId="59BC1740"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r w:rsidRPr="001B6A62">
        <w:rPr>
          <w:rStyle w:val="cf01"/>
          <w:rFonts w:asciiTheme="minorHAnsi" w:hAnsiTheme="minorHAnsi" w:cstheme="minorHAnsi"/>
          <w:sz w:val="22"/>
          <w:szCs w:val="22"/>
        </w:rPr>
        <w:t xml:space="preserve">Bianchi M, </w:t>
      </w:r>
      <w:proofErr w:type="spellStart"/>
      <w:r w:rsidRPr="001B6A62">
        <w:rPr>
          <w:rStyle w:val="cf01"/>
          <w:rFonts w:asciiTheme="minorHAnsi" w:hAnsiTheme="minorHAnsi" w:cstheme="minorHAnsi"/>
          <w:sz w:val="22"/>
          <w:szCs w:val="22"/>
        </w:rPr>
        <w:t>Duca</w:t>
      </w:r>
      <w:proofErr w:type="spellEnd"/>
      <w:r w:rsidRPr="001B6A62">
        <w:rPr>
          <w:rStyle w:val="cf01"/>
          <w:rFonts w:asciiTheme="minorHAnsi" w:hAnsiTheme="minorHAnsi" w:cstheme="minorHAnsi"/>
          <w:sz w:val="22"/>
          <w:szCs w:val="22"/>
        </w:rPr>
        <w:t xml:space="preserve"> </w:t>
      </w:r>
      <w:r>
        <w:rPr>
          <w:rStyle w:val="cf01"/>
          <w:rFonts w:asciiTheme="minorHAnsi" w:hAnsiTheme="minorHAnsi" w:cstheme="minorHAnsi"/>
          <w:sz w:val="22"/>
          <w:szCs w:val="22"/>
        </w:rPr>
        <w:t>P,</w:t>
      </w:r>
      <w:r w:rsidRPr="001B6A62">
        <w:rPr>
          <w:rStyle w:val="cf01"/>
          <w:rFonts w:asciiTheme="minorHAnsi" w:hAnsiTheme="minorHAnsi" w:cstheme="minorHAnsi"/>
          <w:sz w:val="22"/>
          <w:szCs w:val="22"/>
        </w:rPr>
        <w:t xml:space="preserve"> </w:t>
      </w:r>
      <w:proofErr w:type="spellStart"/>
      <w:r w:rsidRPr="001B6A62">
        <w:rPr>
          <w:rStyle w:val="cf01"/>
          <w:rFonts w:asciiTheme="minorHAnsi" w:hAnsiTheme="minorHAnsi" w:cstheme="minorHAnsi"/>
          <w:sz w:val="22"/>
          <w:szCs w:val="22"/>
        </w:rPr>
        <w:t>Vai</w:t>
      </w:r>
      <w:proofErr w:type="spellEnd"/>
      <w:r>
        <w:rPr>
          <w:rStyle w:val="cf01"/>
          <w:rFonts w:asciiTheme="minorHAnsi" w:hAnsiTheme="minorHAnsi" w:cstheme="minorHAnsi"/>
          <w:sz w:val="22"/>
          <w:szCs w:val="22"/>
        </w:rPr>
        <w:t xml:space="preserve"> S</w:t>
      </w:r>
      <w:r w:rsidRPr="001B6A62">
        <w:rPr>
          <w:rStyle w:val="cf01"/>
          <w:rFonts w:asciiTheme="minorHAnsi" w:hAnsiTheme="minorHAnsi" w:cstheme="minorHAnsi"/>
          <w:sz w:val="22"/>
          <w:szCs w:val="22"/>
        </w:rPr>
        <w:t>, et al. Improving adherence to and persistence with oral therapy of osteoporosis. </w:t>
      </w:r>
      <w:proofErr w:type="spellStart"/>
      <w:r w:rsidRPr="001B6A62">
        <w:rPr>
          <w:rStyle w:val="cf01"/>
          <w:rFonts w:asciiTheme="minorHAnsi" w:hAnsiTheme="minorHAnsi" w:cstheme="minorHAnsi"/>
          <w:sz w:val="22"/>
          <w:szCs w:val="22"/>
        </w:rPr>
        <w:t>Osteoporos</w:t>
      </w:r>
      <w:proofErr w:type="spellEnd"/>
      <w:r w:rsidRPr="001B6A62">
        <w:rPr>
          <w:rStyle w:val="cf01"/>
          <w:rFonts w:asciiTheme="minorHAnsi" w:hAnsiTheme="minorHAnsi" w:cstheme="minorHAnsi"/>
          <w:sz w:val="22"/>
          <w:szCs w:val="22"/>
        </w:rPr>
        <w:t xml:space="preserve"> Int</w:t>
      </w:r>
      <w:r>
        <w:rPr>
          <w:rStyle w:val="cf01"/>
          <w:rFonts w:asciiTheme="minorHAnsi" w:hAnsiTheme="minorHAnsi" w:cstheme="minorHAnsi"/>
          <w:sz w:val="22"/>
          <w:szCs w:val="22"/>
        </w:rPr>
        <w:t xml:space="preserve"> 2015;</w:t>
      </w:r>
      <w:r w:rsidRPr="001B6A62">
        <w:rPr>
          <w:rStyle w:val="cf01"/>
          <w:rFonts w:asciiTheme="minorHAnsi" w:hAnsiTheme="minorHAnsi" w:cstheme="minorHAnsi"/>
          <w:sz w:val="22"/>
          <w:szCs w:val="22"/>
        </w:rPr>
        <w:t> 26</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5: 1629-1638.</w:t>
      </w:r>
    </w:p>
    <w:p w14:paraId="28782568" w14:textId="456F1472"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r w:rsidRPr="001B6A62">
        <w:rPr>
          <w:rStyle w:val="cf01"/>
          <w:rFonts w:asciiTheme="minorHAnsi" w:hAnsiTheme="minorHAnsi" w:cstheme="minorHAnsi"/>
          <w:sz w:val="22"/>
          <w:szCs w:val="22"/>
        </w:rPr>
        <w:t xml:space="preserve">Cram P, </w:t>
      </w:r>
      <w:proofErr w:type="spellStart"/>
      <w:r w:rsidRPr="001B6A62">
        <w:rPr>
          <w:rStyle w:val="cf01"/>
          <w:rFonts w:asciiTheme="minorHAnsi" w:hAnsiTheme="minorHAnsi" w:cstheme="minorHAnsi"/>
          <w:sz w:val="22"/>
          <w:szCs w:val="22"/>
        </w:rPr>
        <w:t>Wolinsky</w:t>
      </w:r>
      <w:proofErr w:type="spellEnd"/>
      <w:r>
        <w:rPr>
          <w:rStyle w:val="cf01"/>
          <w:rFonts w:asciiTheme="minorHAnsi" w:hAnsiTheme="minorHAnsi" w:cstheme="minorHAnsi"/>
          <w:sz w:val="22"/>
          <w:szCs w:val="22"/>
        </w:rPr>
        <w:t xml:space="preserve"> F</w:t>
      </w:r>
      <w:r w:rsidRPr="001B6A62">
        <w:rPr>
          <w:rStyle w:val="cf01"/>
          <w:rFonts w:asciiTheme="minorHAnsi" w:hAnsiTheme="minorHAnsi" w:cstheme="minorHAnsi"/>
          <w:sz w:val="22"/>
          <w:szCs w:val="22"/>
        </w:rPr>
        <w:t>, Lou</w:t>
      </w:r>
      <w:r>
        <w:rPr>
          <w:rStyle w:val="cf01"/>
          <w:rFonts w:asciiTheme="minorHAnsi" w:hAnsiTheme="minorHAnsi" w:cstheme="minorHAnsi"/>
          <w:sz w:val="22"/>
          <w:szCs w:val="22"/>
        </w:rPr>
        <w:t xml:space="preserve"> Y et al</w:t>
      </w:r>
      <w:r w:rsidRPr="001B6A62">
        <w:rPr>
          <w:rStyle w:val="cf01"/>
          <w:rFonts w:asciiTheme="minorHAnsi" w:hAnsiTheme="minorHAnsi" w:cstheme="minorHAnsi"/>
          <w:sz w:val="22"/>
          <w:szCs w:val="22"/>
        </w:rPr>
        <w:t>. Patient-activation and guideline-concordant pharmacological treatment after bone density testing: the PAADRN randomized controlled trial. </w:t>
      </w:r>
      <w:proofErr w:type="spellStart"/>
      <w:r w:rsidRPr="001B6A62">
        <w:rPr>
          <w:rStyle w:val="cf01"/>
          <w:rFonts w:asciiTheme="minorHAnsi" w:hAnsiTheme="minorHAnsi" w:cstheme="minorHAnsi"/>
          <w:sz w:val="22"/>
          <w:szCs w:val="22"/>
        </w:rPr>
        <w:t>Osteoporo</w:t>
      </w:r>
      <w:r>
        <w:rPr>
          <w:rStyle w:val="cf01"/>
          <w:rFonts w:asciiTheme="minorHAnsi" w:hAnsiTheme="minorHAnsi" w:cstheme="minorHAnsi"/>
          <w:sz w:val="22"/>
          <w:szCs w:val="22"/>
        </w:rPr>
        <w:t>s</w:t>
      </w:r>
      <w:proofErr w:type="spellEnd"/>
      <w:r w:rsidRPr="001B6A62">
        <w:rPr>
          <w:rStyle w:val="cf01"/>
          <w:rFonts w:asciiTheme="minorHAnsi" w:hAnsiTheme="minorHAnsi" w:cstheme="minorHAnsi"/>
          <w:sz w:val="22"/>
          <w:szCs w:val="22"/>
        </w:rPr>
        <w:t xml:space="preserve"> Int</w:t>
      </w:r>
      <w:r>
        <w:rPr>
          <w:rStyle w:val="cf01"/>
          <w:rFonts w:asciiTheme="minorHAnsi" w:hAnsiTheme="minorHAnsi" w:cstheme="minorHAnsi"/>
          <w:sz w:val="22"/>
          <w:szCs w:val="22"/>
        </w:rPr>
        <w:t xml:space="preserve"> 2016;</w:t>
      </w:r>
      <w:r w:rsidRPr="001B6A62">
        <w:rPr>
          <w:rStyle w:val="cf01"/>
          <w:rFonts w:asciiTheme="minorHAnsi" w:hAnsiTheme="minorHAnsi" w:cstheme="minorHAnsi"/>
          <w:sz w:val="22"/>
          <w:szCs w:val="22"/>
        </w:rPr>
        <w:t> 27</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12</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 xml:space="preserve"> 3513-3524.</w:t>
      </w:r>
    </w:p>
    <w:p w14:paraId="243FD216" w14:textId="77777777"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proofErr w:type="spellStart"/>
      <w:r w:rsidRPr="001B6A62">
        <w:rPr>
          <w:rStyle w:val="cf01"/>
          <w:rFonts w:asciiTheme="minorHAnsi" w:hAnsiTheme="minorHAnsi" w:cstheme="minorHAnsi"/>
          <w:sz w:val="22"/>
          <w:szCs w:val="22"/>
        </w:rPr>
        <w:t>Gonnelli</w:t>
      </w:r>
      <w:proofErr w:type="spellEnd"/>
      <w:r w:rsidRPr="001B6A62">
        <w:rPr>
          <w:rStyle w:val="cf01"/>
          <w:rFonts w:asciiTheme="minorHAnsi" w:hAnsiTheme="minorHAnsi" w:cstheme="minorHAnsi"/>
          <w:sz w:val="22"/>
          <w:szCs w:val="22"/>
        </w:rPr>
        <w:t xml:space="preserve"> S, </w:t>
      </w:r>
      <w:proofErr w:type="spellStart"/>
      <w:r w:rsidRPr="001B6A62">
        <w:rPr>
          <w:rStyle w:val="cf01"/>
          <w:rFonts w:asciiTheme="minorHAnsi" w:hAnsiTheme="minorHAnsi" w:cstheme="minorHAnsi"/>
          <w:sz w:val="22"/>
          <w:szCs w:val="22"/>
        </w:rPr>
        <w:t>Caffarelli</w:t>
      </w:r>
      <w:proofErr w:type="spellEnd"/>
      <w:r w:rsidRPr="001B6A62">
        <w:rPr>
          <w:rStyle w:val="cf01"/>
          <w:rFonts w:asciiTheme="minorHAnsi" w:hAnsiTheme="minorHAnsi" w:cstheme="minorHAnsi"/>
          <w:sz w:val="22"/>
          <w:szCs w:val="22"/>
        </w:rPr>
        <w:t xml:space="preserve"> C, Rossi S</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 et al. How the knowledge of fracture risk might influence adherence to oral therapy of osteoporosis in Italy: the ADEOST study. Aging Clin Exp Res </w:t>
      </w:r>
      <w:r>
        <w:rPr>
          <w:rStyle w:val="cf01"/>
          <w:rFonts w:asciiTheme="minorHAnsi" w:hAnsiTheme="minorHAnsi" w:cstheme="minorHAnsi"/>
          <w:sz w:val="22"/>
          <w:szCs w:val="22"/>
        </w:rPr>
        <w:t xml:space="preserve">2016; </w:t>
      </w:r>
      <w:r w:rsidRPr="001B6A62">
        <w:rPr>
          <w:rStyle w:val="cf01"/>
          <w:rFonts w:asciiTheme="minorHAnsi" w:hAnsiTheme="minorHAnsi" w:cstheme="minorHAnsi"/>
          <w:sz w:val="22"/>
          <w:szCs w:val="22"/>
        </w:rPr>
        <w:t>28</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459–468</w:t>
      </w:r>
    </w:p>
    <w:p w14:paraId="3F6B5E86" w14:textId="51702B16"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r w:rsidRPr="001B6A62">
        <w:rPr>
          <w:rStyle w:val="cf01"/>
          <w:rFonts w:asciiTheme="minorHAnsi" w:hAnsiTheme="minorHAnsi" w:cstheme="minorHAnsi"/>
          <w:sz w:val="22"/>
          <w:szCs w:val="22"/>
        </w:rPr>
        <w:t>Liu</w:t>
      </w:r>
      <w:r>
        <w:rPr>
          <w:rStyle w:val="cf01"/>
          <w:rFonts w:asciiTheme="minorHAnsi" w:hAnsiTheme="minorHAnsi" w:cstheme="minorHAnsi"/>
          <w:sz w:val="22"/>
          <w:szCs w:val="22"/>
        </w:rPr>
        <w:t xml:space="preserve"> C, </w:t>
      </w:r>
      <w:proofErr w:type="spellStart"/>
      <w:r>
        <w:rPr>
          <w:rStyle w:val="cf01"/>
          <w:rFonts w:asciiTheme="minorHAnsi" w:hAnsiTheme="minorHAnsi" w:cstheme="minorHAnsi"/>
          <w:sz w:val="22"/>
          <w:szCs w:val="22"/>
        </w:rPr>
        <w:t>Feasel</w:t>
      </w:r>
      <w:proofErr w:type="spellEnd"/>
      <w:r>
        <w:rPr>
          <w:rStyle w:val="cf01"/>
          <w:rFonts w:asciiTheme="minorHAnsi" w:hAnsiTheme="minorHAnsi" w:cstheme="minorHAnsi"/>
          <w:sz w:val="22"/>
          <w:szCs w:val="22"/>
        </w:rPr>
        <w:t xml:space="preserve"> A, Kline G, </w:t>
      </w:r>
      <w:proofErr w:type="spellStart"/>
      <w:r>
        <w:rPr>
          <w:rStyle w:val="cf01"/>
          <w:rFonts w:asciiTheme="minorHAnsi" w:hAnsiTheme="minorHAnsi" w:cstheme="minorHAnsi"/>
          <w:sz w:val="22"/>
          <w:szCs w:val="22"/>
        </w:rPr>
        <w:t>Billington</w:t>
      </w:r>
      <w:proofErr w:type="spellEnd"/>
      <w:r>
        <w:rPr>
          <w:rStyle w:val="cf01"/>
          <w:rFonts w:asciiTheme="minorHAnsi" w:hAnsiTheme="minorHAnsi" w:cstheme="minorHAnsi"/>
          <w:sz w:val="22"/>
          <w:szCs w:val="22"/>
        </w:rPr>
        <w:t xml:space="preserve"> E.</w:t>
      </w:r>
      <w:r w:rsidR="00493876">
        <w:rPr>
          <w:rStyle w:val="cf01"/>
          <w:rFonts w:asciiTheme="minorHAnsi" w:hAnsiTheme="minorHAnsi" w:cstheme="minorHAnsi"/>
          <w:sz w:val="22"/>
          <w:szCs w:val="22"/>
        </w:rPr>
        <w:t xml:space="preserve"> </w:t>
      </w:r>
      <w:r w:rsidRPr="00E97E01">
        <w:rPr>
          <w:rFonts w:asciiTheme="minorHAnsi" w:hAnsiTheme="minorHAnsi" w:cstheme="minorHAnsi"/>
          <w:sz w:val="22"/>
          <w:szCs w:val="22"/>
        </w:rPr>
        <w:t xml:space="preserve">Pharmacotherapy decisions among postmenopausal women attending a group medical consultation or a one-on-one specialist consultation at an osteoporosis </w:t>
      </w:r>
      <w:proofErr w:type="spellStart"/>
      <w:r w:rsidRPr="00E97E01">
        <w:rPr>
          <w:rFonts w:asciiTheme="minorHAnsi" w:hAnsiTheme="minorHAnsi" w:cstheme="minorHAnsi"/>
          <w:sz w:val="22"/>
          <w:szCs w:val="22"/>
        </w:rPr>
        <w:t>center</w:t>
      </w:r>
      <w:proofErr w:type="spellEnd"/>
      <w:r w:rsidRPr="00E97E01">
        <w:rPr>
          <w:rFonts w:asciiTheme="minorHAnsi" w:hAnsiTheme="minorHAnsi" w:cstheme="minorHAnsi"/>
          <w:sz w:val="22"/>
          <w:szCs w:val="22"/>
        </w:rPr>
        <w:t>: an observational cohort study</w:t>
      </w:r>
      <w:r>
        <w:rPr>
          <w:rFonts w:asciiTheme="minorHAnsi" w:hAnsiTheme="minorHAnsi" w:cstheme="minorHAnsi"/>
          <w:sz w:val="22"/>
          <w:szCs w:val="22"/>
        </w:rPr>
        <w:t xml:space="preserve">. </w:t>
      </w:r>
      <w:proofErr w:type="spellStart"/>
      <w:r>
        <w:rPr>
          <w:rFonts w:asciiTheme="minorHAnsi" w:hAnsiTheme="minorHAnsi" w:cstheme="minorHAnsi"/>
          <w:sz w:val="22"/>
          <w:szCs w:val="22"/>
        </w:rPr>
        <w:t>Osteoporos</w:t>
      </w:r>
      <w:proofErr w:type="spellEnd"/>
      <w:r>
        <w:rPr>
          <w:rFonts w:asciiTheme="minorHAnsi" w:hAnsiTheme="minorHAnsi" w:cstheme="minorHAnsi"/>
          <w:sz w:val="22"/>
          <w:szCs w:val="22"/>
        </w:rPr>
        <w:t xml:space="preserve"> Int 2021; 32:7; 1421-1427</w:t>
      </w:r>
    </w:p>
    <w:p w14:paraId="15160DEE" w14:textId="77777777" w:rsidR="00127B45"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r w:rsidRPr="00886384">
        <w:rPr>
          <w:rStyle w:val="cf01"/>
          <w:rFonts w:asciiTheme="minorHAnsi" w:hAnsiTheme="minorHAnsi" w:cstheme="minorHAnsi"/>
          <w:sz w:val="22"/>
          <w:szCs w:val="22"/>
        </w:rPr>
        <w:t xml:space="preserve">Oral A. </w:t>
      </w:r>
      <w:proofErr w:type="spellStart"/>
      <w:r w:rsidRPr="00886384">
        <w:rPr>
          <w:rStyle w:val="cf01"/>
          <w:rFonts w:asciiTheme="minorHAnsi" w:hAnsiTheme="minorHAnsi" w:cstheme="minorHAnsi"/>
          <w:sz w:val="22"/>
          <w:szCs w:val="22"/>
        </w:rPr>
        <w:t>Lorenc</w:t>
      </w:r>
      <w:proofErr w:type="spellEnd"/>
      <w:r w:rsidRPr="00886384">
        <w:rPr>
          <w:rStyle w:val="cf01"/>
          <w:rFonts w:asciiTheme="minorHAnsi" w:hAnsiTheme="minorHAnsi" w:cstheme="minorHAnsi"/>
          <w:sz w:val="22"/>
          <w:szCs w:val="22"/>
        </w:rPr>
        <w:t xml:space="preserve"> R.</w:t>
      </w:r>
      <w:r w:rsidRPr="00886384">
        <w:rPr>
          <w:rFonts w:asciiTheme="minorHAnsi" w:eastAsiaTheme="minorHAnsi" w:hAnsiTheme="minorHAnsi" w:cstheme="minorBidi"/>
          <w:sz w:val="22"/>
          <w:szCs w:val="22"/>
          <w:lang w:eastAsia="en-US"/>
        </w:rPr>
        <w:t xml:space="preserve"> </w:t>
      </w:r>
      <w:r w:rsidRPr="00886384">
        <w:rPr>
          <w:rFonts w:asciiTheme="minorHAnsi" w:hAnsiTheme="minorHAnsi" w:cstheme="minorHAnsi"/>
          <w:sz w:val="22"/>
          <w:szCs w:val="22"/>
        </w:rPr>
        <w:t xml:space="preserve">Compliance, persistence, and preference outcomes of postmenopausal osteoporotic women receiving a flexible or fixed regimen of daily risedronate: A </w:t>
      </w:r>
      <w:proofErr w:type="spellStart"/>
      <w:r w:rsidRPr="00886384">
        <w:rPr>
          <w:rFonts w:asciiTheme="minorHAnsi" w:hAnsiTheme="minorHAnsi" w:cstheme="minorHAnsi"/>
          <w:sz w:val="22"/>
          <w:szCs w:val="22"/>
        </w:rPr>
        <w:t>multicenter</w:t>
      </w:r>
      <w:proofErr w:type="spellEnd"/>
      <w:r w:rsidRPr="00886384">
        <w:rPr>
          <w:rFonts w:asciiTheme="minorHAnsi" w:hAnsiTheme="minorHAnsi" w:cstheme="minorHAnsi"/>
          <w:sz w:val="22"/>
          <w:szCs w:val="22"/>
        </w:rPr>
        <w:t>, prospective, parallel group study</w:t>
      </w:r>
      <w:r>
        <w:rPr>
          <w:rFonts w:asciiTheme="minorHAnsi" w:hAnsiTheme="minorHAnsi" w:cstheme="minorHAnsi"/>
          <w:sz w:val="22"/>
          <w:szCs w:val="22"/>
        </w:rPr>
        <w:t xml:space="preserve">. Acta </w:t>
      </w:r>
      <w:proofErr w:type="spellStart"/>
      <w:r>
        <w:rPr>
          <w:rFonts w:asciiTheme="minorHAnsi" w:hAnsiTheme="minorHAnsi" w:cstheme="minorHAnsi"/>
          <w:sz w:val="22"/>
          <w:szCs w:val="22"/>
        </w:rPr>
        <w:t>Orthop</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Traumatol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Turc</w:t>
      </w:r>
      <w:proofErr w:type="spellEnd"/>
      <w:r>
        <w:rPr>
          <w:rFonts w:asciiTheme="minorHAnsi" w:hAnsiTheme="minorHAnsi" w:cstheme="minorHAnsi"/>
          <w:sz w:val="22"/>
          <w:szCs w:val="22"/>
        </w:rPr>
        <w:t xml:space="preserve"> 2015; 49:1: 67-74</w:t>
      </w:r>
    </w:p>
    <w:p w14:paraId="0A210F5F" w14:textId="0FB19A8C" w:rsidR="00127B45" w:rsidRPr="00886384"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r w:rsidRPr="00886384">
        <w:rPr>
          <w:rStyle w:val="cf01"/>
          <w:rFonts w:asciiTheme="minorHAnsi" w:hAnsiTheme="minorHAnsi" w:cstheme="minorHAnsi"/>
          <w:sz w:val="22"/>
          <w:szCs w:val="22"/>
        </w:rPr>
        <w:t>Roux S, Beaulieu M, Beaulieu MC, et al. Priming primary care physicians to treat osteoporosis after a fragility fracture: an integrated multidisciplinary approach.</w:t>
      </w:r>
      <w:r w:rsidR="00493876">
        <w:rPr>
          <w:rStyle w:val="cf01"/>
          <w:rFonts w:asciiTheme="minorHAnsi" w:hAnsiTheme="minorHAnsi" w:cstheme="minorHAnsi"/>
          <w:sz w:val="22"/>
          <w:szCs w:val="22"/>
        </w:rPr>
        <w:t xml:space="preserve"> </w:t>
      </w:r>
      <w:r w:rsidRPr="00886384">
        <w:rPr>
          <w:rStyle w:val="cf01"/>
          <w:rFonts w:asciiTheme="minorHAnsi" w:hAnsiTheme="minorHAnsi" w:cstheme="minorHAnsi"/>
          <w:sz w:val="22"/>
          <w:szCs w:val="22"/>
        </w:rPr>
        <w:t xml:space="preserve">J </w:t>
      </w:r>
      <w:proofErr w:type="spellStart"/>
      <w:proofErr w:type="gramStart"/>
      <w:r w:rsidRPr="00886384">
        <w:rPr>
          <w:rStyle w:val="cf01"/>
          <w:rFonts w:asciiTheme="minorHAnsi" w:hAnsiTheme="minorHAnsi" w:cstheme="minorHAnsi"/>
          <w:sz w:val="22"/>
          <w:szCs w:val="22"/>
        </w:rPr>
        <w:t>Rheumatol</w:t>
      </w:r>
      <w:proofErr w:type="spellEnd"/>
      <w:r w:rsidRPr="00886384">
        <w:rPr>
          <w:rStyle w:val="cf01"/>
          <w:rFonts w:asciiTheme="minorHAnsi" w:hAnsiTheme="minorHAnsi" w:cstheme="minorHAnsi"/>
          <w:sz w:val="22"/>
          <w:szCs w:val="22"/>
        </w:rPr>
        <w:t xml:space="preserve">  2013</w:t>
      </w:r>
      <w:proofErr w:type="gramEnd"/>
      <w:r w:rsidRPr="00886384">
        <w:rPr>
          <w:rStyle w:val="cf01"/>
          <w:rFonts w:asciiTheme="minorHAnsi" w:hAnsiTheme="minorHAnsi" w:cstheme="minorHAnsi"/>
          <w:sz w:val="22"/>
          <w:szCs w:val="22"/>
        </w:rPr>
        <w:t>; 40:5: 703-711.</w:t>
      </w:r>
    </w:p>
    <w:p w14:paraId="4E61C880" w14:textId="6889A5B3" w:rsidR="00493876" w:rsidRPr="00493876" w:rsidRDefault="00127B45" w:rsidP="005840E5">
      <w:pPr>
        <w:pStyle w:val="pf0"/>
        <w:numPr>
          <w:ilvl w:val="0"/>
          <w:numId w:val="16"/>
        </w:numPr>
        <w:spacing w:before="120" w:after="120"/>
        <w:rPr>
          <w:rStyle w:val="cf01"/>
          <w:rFonts w:asciiTheme="minorHAnsi" w:hAnsiTheme="minorHAnsi" w:cstheme="minorHAnsi"/>
          <w:b/>
          <w:bCs/>
          <w:sz w:val="22"/>
          <w:szCs w:val="22"/>
        </w:rPr>
      </w:pPr>
      <w:proofErr w:type="spellStart"/>
      <w:r w:rsidRPr="001B6A62">
        <w:rPr>
          <w:rStyle w:val="cf01"/>
          <w:rFonts w:asciiTheme="minorHAnsi" w:hAnsiTheme="minorHAnsi" w:cstheme="minorHAnsi"/>
          <w:sz w:val="22"/>
          <w:szCs w:val="22"/>
        </w:rPr>
        <w:t>Sagalla</w:t>
      </w:r>
      <w:proofErr w:type="spellEnd"/>
      <w:r>
        <w:rPr>
          <w:rStyle w:val="cf01"/>
          <w:rFonts w:asciiTheme="minorHAnsi" w:hAnsiTheme="minorHAnsi" w:cstheme="minorHAnsi"/>
          <w:sz w:val="22"/>
          <w:szCs w:val="22"/>
        </w:rPr>
        <w:t xml:space="preserve"> N, Lee R, Lyles K et al. </w:t>
      </w:r>
      <w:r w:rsidRPr="00FD3DDA">
        <w:rPr>
          <w:rFonts w:asciiTheme="minorHAnsi" w:hAnsiTheme="minorHAnsi" w:cstheme="minorHAnsi"/>
          <w:sz w:val="22"/>
          <w:szCs w:val="22"/>
        </w:rPr>
        <w:t>Extent of and reasons for osteoporosis medication non-adherence among veterans and feasibility of a pilot text message reminder intervention</w:t>
      </w:r>
      <w:r>
        <w:rPr>
          <w:rFonts w:asciiTheme="minorHAnsi" w:hAnsiTheme="minorHAnsi" w:cstheme="minorHAnsi"/>
          <w:b/>
          <w:bCs/>
          <w:sz w:val="22"/>
          <w:szCs w:val="22"/>
        </w:rPr>
        <w:t xml:space="preserve">. </w:t>
      </w:r>
      <w:r w:rsidRPr="00885389">
        <w:rPr>
          <w:rFonts w:asciiTheme="minorHAnsi" w:hAnsiTheme="minorHAnsi" w:cstheme="minorHAnsi"/>
          <w:sz w:val="22"/>
          <w:szCs w:val="22"/>
        </w:rPr>
        <w:t xml:space="preserve">Arch </w:t>
      </w:r>
      <w:proofErr w:type="spellStart"/>
      <w:r w:rsidRPr="00885389">
        <w:rPr>
          <w:rFonts w:asciiTheme="minorHAnsi" w:hAnsiTheme="minorHAnsi" w:cstheme="minorHAnsi"/>
          <w:sz w:val="22"/>
          <w:szCs w:val="22"/>
        </w:rPr>
        <w:t>Osteoporos</w:t>
      </w:r>
      <w:proofErr w:type="spellEnd"/>
      <w:r w:rsidRPr="00885389">
        <w:rPr>
          <w:rFonts w:asciiTheme="minorHAnsi" w:hAnsiTheme="minorHAnsi" w:cstheme="minorHAnsi"/>
          <w:sz w:val="22"/>
          <w:szCs w:val="22"/>
        </w:rPr>
        <w:t xml:space="preserve"> </w:t>
      </w:r>
      <w:r w:rsidRPr="00885389">
        <w:rPr>
          <w:rStyle w:val="cf01"/>
          <w:rFonts w:asciiTheme="minorHAnsi" w:hAnsiTheme="minorHAnsi" w:cstheme="minorHAnsi"/>
          <w:sz w:val="22"/>
          <w:szCs w:val="22"/>
        </w:rPr>
        <w:t>2021</w:t>
      </w:r>
      <w:r>
        <w:rPr>
          <w:rStyle w:val="cf01"/>
          <w:rFonts w:asciiTheme="minorHAnsi" w:hAnsiTheme="minorHAnsi" w:cstheme="minorHAnsi"/>
          <w:sz w:val="22"/>
          <w:szCs w:val="22"/>
        </w:rPr>
        <w:t>; 2:16: 1:21</w:t>
      </w:r>
    </w:p>
    <w:p w14:paraId="0306F85C" w14:textId="77777777" w:rsidR="00127B45" w:rsidRPr="00751C79" w:rsidRDefault="00127B45" w:rsidP="005840E5">
      <w:pPr>
        <w:pStyle w:val="pf0"/>
        <w:numPr>
          <w:ilvl w:val="0"/>
          <w:numId w:val="16"/>
        </w:numPr>
        <w:spacing w:before="120" w:after="120"/>
        <w:rPr>
          <w:rStyle w:val="cf01"/>
          <w:rFonts w:asciiTheme="minorHAnsi" w:hAnsiTheme="minorHAnsi" w:cstheme="minorHAnsi"/>
          <w:sz w:val="22"/>
          <w:szCs w:val="22"/>
        </w:rPr>
      </w:pPr>
      <w:proofErr w:type="spellStart"/>
      <w:r w:rsidRPr="001B6A62">
        <w:rPr>
          <w:rStyle w:val="cf01"/>
          <w:rFonts w:asciiTheme="minorHAnsi" w:hAnsiTheme="minorHAnsi" w:cstheme="minorHAnsi"/>
          <w:sz w:val="22"/>
          <w:szCs w:val="22"/>
        </w:rPr>
        <w:t>Seuffert</w:t>
      </w:r>
      <w:proofErr w:type="spellEnd"/>
      <w:r w:rsidRPr="001B6A62">
        <w:rPr>
          <w:rStyle w:val="cf01"/>
          <w:rFonts w:asciiTheme="minorHAnsi" w:hAnsiTheme="minorHAnsi" w:cstheme="minorHAnsi"/>
          <w:sz w:val="22"/>
          <w:szCs w:val="22"/>
        </w:rPr>
        <w:t xml:space="preserve"> </w:t>
      </w:r>
      <w:r>
        <w:rPr>
          <w:rStyle w:val="cf01"/>
          <w:rFonts w:asciiTheme="minorHAnsi" w:hAnsiTheme="minorHAnsi" w:cstheme="minorHAnsi"/>
          <w:sz w:val="22"/>
          <w:szCs w:val="22"/>
        </w:rPr>
        <w:t xml:space="preserve">P, </w:t>
      </w:r>
      <w:proofErr w:type="spellStart"/>
      <w:r>
        <w:rPr>
          <w:rStyle w:val="cf01"/>
          <w:rFonts w:asciiTheme="minorHAnsi" w:hAnsiTheme="minorHAnsi" w:cstheme="minorHAnsi"/>
          <w:sz w:val="22"/>
          <w:szCs w:val="22"/>
        </w:rPr>
        <w:t>Sagebien</w:t>
      </w:r>
      <w:proofErr w:type="spellEnd"/>
      <w:r>
        <w:rPr>
          <w:rStyle w:val="cf01"/>
          <w:rFonts w:asciiTheme="minorHAnsi" w:hAnsiTheme="minorHAnsi" w:cstheme="minorHAnsi"/>
          <w:sz w:val="22"/>
          <w:szCs w:val="22"/>
        </w:rPr>
        <w:t xml:space="preserve"> C, McDonnell C, et al. </w:t>
      </w:r>
      <w:r w:rsidRPr="00751C79">
        <w:rPr>
          <w:rFonts w:asciiTheme="minorHAnsi" w:hAnsiTheme="minorHAnsi" w:cstheme="minorHAnsi"/>
          <w:sz w:val="22"/>
          <w:szCs w:val="22"/>
        </w:rPr>
        <w:t xml:space="preserve">Evaluation of osteoporosis risk and initiation of a nurse practitioner intervention program in an </w:t>
      </w:r>
      <w:proofErr w:type="spellStart"/>
      <w:r w:rsidRPr="00751C79">
        <w:rPr>
          <w:rFonts w:asciiTheme="minorHAnsi" w:hAnsiTheme="minorHAnsi" w:cstheme="minorHAnsi"/>
          <w:sz w:val="22"/>
          <w:szCs w:val="22"/>
        </w:rPr>
        <w:t>orthopedic</w:t>
      </w:r>
      <w:proofErr w:type="spellEnd"/>
      <w:r w:rsidRPr="00751C79">
        <w:rPr>
          <w:rFonts w:asciiTheme="minorHAnsi" w:hAnsiTheme="minorHAnsi" w:cstheme="minorHAnsi"/>
          <w:sz w:val="22"/>
          <w:szCs w:val="22"/>
        </w:rPr>
        <w:t xml:space="preserve"> practice</w:t>
      </w:r>
      <w:r>
        <w:rPr>
          <w:rFonts w:asciiTheme="minorHAnsi" w:hAnsiTheme="minorHAnsi" w:cstheme="minorHAnsi"/>
          <w:sz w:val="22"/>
          <w:szCs w:val="22"/>
        </w:rPr>
        <w:t xml:space="preserve">. Arch </w:t>
      </w:r>
      <w:proofErr w:type="spellStart"/>
      <w:r>
        <w:rPr>
          <w:rFonts w:asciiTheme="minorHAnsi" w:hAnsiTheme="minorHAnsi" w:cstheme="minorHAnsi"/>
          <w:sz w:val="22"/>
          <w:szCs w:val="22"/>
        </w:rPr>
        <w:t>Osteoporos</w:t>
      </w:r>
      <w:proofErr w:type="spellEnd"/>
      <w:r>
        <w:rPr>
          <w:rFonts w:asciiTheme="minorHAnsi" w:hAnsiTheme="minorHAnsi" w:cstheme="minorHAnsi"/>
          <w:sz w:val="22"/>
          <w:szCs w:val="22"/>
        </w:rPr>
        <w:t xml:space="preserve"> </w:t>
      </w:r>
      <w:r w:rsidRPr="00751C79">
        <w:rPr>
          <w:rStyle w:val="cf01"/>
          <w:rFonts w:asciiTheme="minorHAnsi" w:hAnsiTheme="minorHAnsi" w:cstheme="minorHAnsi"/>
          <w:sz w:val="22"/>
          <w:szCs w:val="22"/>
        </w:rPr>
        <w:t>2016</w:t>
      </w:r>
      <w:r>
        <w:rPr>
          <w:rStyle w:val="cf01"/>
          <w:rFonts w:asciiTheme="minorHAnsi" w:hAnsiTheme="minorHAnsi" w:cstheme="minorHAnsi"/>
          <w:sz w:val="22"/>
          <w:szCs w:val="22"/>
        </w:rPr>
        <w:t>; 11:1</w:t>
      </w:r>
    </w:p>
    <w:p w14:paraId="3D7289CF" w14:textId="77777777"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proofErr w:type="spellStart"/>
      <w:r w:rsidRPr="001B6A62">
        <w:rPr>
          <w:rStyle w:val="cf01"/>
          <w:rFonts w:asciiTheme="minorHAnsi" w:hAnsiTheme="minorHAnsi" w:cstheme="minorHAnsi"/>
          <w:sz w:val="22"/>
          <w:szCs w:val="22"/>
        </w:rPr>
        <w:t>Temachika</w:t>
      </w:r>
      <w:proofErr w:type="spellEnd"/>
      <w:r>
        <w:rPr>
          <w:rStyle w:val="cf01"/>
          <w:rFonts w:asciiTheme="minorHAnsi" w:hAnsiTheme="minorHAnsi" w:cstheme="minorHAnsi"/>
          <w:sz w:val="22"/>
          <w:szCs w:val="22"/>
        </w:rPr>
        <w:t xml:space="preserve"> S, Sasaki K, Hayami Y, </w:t>
      </w:r>
      <w:r w:rsidRPr="008E6B6E">
        <w:rPr>
          <w:rFonts w:asciiTheme="minorHAnsi" w:hAnsiTheme="minorHAnsi" w:cstheme="minorHAnsi"/>
          <w:sz w:val="22"/>
          <w:szCs w:val="22"/>
        </w:rPr>
        <w:t xml:space="preserve">Patient satisfaction and efficacy of switching from weekly bisphosphonates to monthly </w:t>
      </w:r>
      <w:proofErr w:type="spellStart"/>
      <w:r w:rsidRPr="008E6B6E">
        <w:rPr>
          <w:rFonts w:asciiTheme="minorHAnsi" w:hAnsiTheme="minorHAnsi" w:cstheme="minorHAnsi"/>
          <w:sz w:val="22"/>
          <w:szCs w:val="22"/>
        </w:rPr>
        <w:t>minodronate</w:t>
      </w:r>
      <w:proofErr w:type="spellEnd"/>
      <w:r w:rsidRPr="008E6B6E">
        <w:rPr>
          <w:rFonts w:asciiTheme="minorHAnsi" w:hAnsiTheme="minorHAnsi" w:cstheme="minorHAnsi"/>
          <w:sz w:val="22"/>
          <w:szCs w:val="22"/>
        </w:rPr>
        <w:t xml:space="preserve"> for treatment and prevention of glucocorticoid-induced osteoporosis in Japanese patients with systemic rheumatic diseases: a randomized, clinical tria</w:t>
      </w:r>
      <w:r>
        <w:rPr>
          <w:rFonts w:asciiTheme="minorHAnsi" w:hAnsiTheme="minorHAnsi" w:cstheme="minorHAnsi"/>
          <w:sz w:val="22"/>
          <w:szCs w:val="22"/>
        </w:rPr>
        <w:t xml:space="preserve">l. Arch </w:t>
      </w:r>
      <w:proofErr w:type="spellStart"/>
      <w:r>
        <w:rPr>
          <w:rFonts w:asciiTheme="minorHAnsi" w:hAnsiTheme="minorHAnsi" w:cstheme="minorHAnsi"/>
          <w:sz w:val="22"/>
          <w:szCs w:val="22"/>
        </w:rPr>
        <w:t>Osteoporos</w:t>
      </w:r>
      <w:proofErr w:type="spellEnd"/>
      <w:r>
        <w:rPr>
          <w:rFonts w:asciiTheme="minorHAnsi" w:hAnsiTheme="minorHAnsi" w:cstheme="minorHAnsi"/>
          <w:sz w:val="22"/>
          <w:szCs w:val="22"/>
        </w:rPr>
        <w:t xml:space="preserve"> 2018; 13:67 </w:t>
      </w:r>
    </w:p>
    <w:p w14:paraId="6E1DA05E" w14:textId="77777777" w:rsidR="00127B45" w:rsidRPr="008D14AD"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r w:rsidRPr="001B6A62">
        <w:rPr>
          <w:rStyle w:val="cf01"/>
          <w:rFonts w:asciiTheme="minorHAnsi" w:hAnsiTheme="minorHAnsi" w:cstheme="minorHAnsi"/>
          <w:sz w:val="22"/>
          <w:szCs w:val="22"/>
        </w:rPr>
        <w:lastRenderedPageBreak/>
        <w:t>Wi</w:t>
      </w:r>
      <w:r>
        <w:rPr>
          <w:rStyle w:val="cf01"/>
          <w:rFonts w:asciiTheme="minorHAnsi" w:hAnsiTheme="minorHAnsi" w:cstheme="minorHAnsi"/>
          <w:sz w:val="22"/>
          <w:szCs w:val="22"/>
        </w:rPr>
        <w:t>l</w:t>
      </w:r>
      <w:r w:rsidRPr="001B6A62">
        <w:rPr>
          <w:rStyle w:val="cf01"/>
          <w:rFonts w:asciiTheme="minorHAnsi" w:hAnsiTheme="minorHAnsi" w:cstheme="minorHAnsi"/>
          <w:sz w:val="22"/>
          <w:szCs w:val="22"/>
        </w:rPr>
        <w:t>ton</w:t>
      </w:r>
      <w:r>
        <w:rPr>
          <w:rStyle w:val="cf01"/>
          <w:rFonts w:asciiTheme="minorHAnsi" w:hAnsiTheme="minorHAnsi" w:cstheme="minorHAnsi"/>
          <w:sz w:val="22"/>
          <w:szCs w:val="22"/>
        </w:rPr>
        <w:t>-C</w:t>
      </w:r>
      <w:r w:rsidRPr="001B6A62">
        <w:rPr>
          <w:rStyle w:val="cf01"/>
          <w:rFonts w:asciiTheme="minorHAnsi" w:hAnsiTheme="minorHAnsi" w:cstheme="minorHAnsi"/>
          <w:sz w:val="22"/>
          <w:szCs w:val="22"/>
        </w:rPr>
        <w:t>lark</w:t>
      </w:r>
      <w:r>
        <w:rPr>
          <w:rStyle w:val="cf01"/>
          <w:rFonts w:asciiTheme="minorHAnsi" w:hAnsiTheme="minorHAnsi" w:cstheme="minorHAnsi"/>
          <w:sz w:val="22"/>
          <w:szCs w:val="22"/>
        </w:rPr>
        <w:t xml:space="preserve"> M, </w:t>
      </w:r>
      <w:proofErr w:type="spellStart"/>
      <w:r>
        <w:rPr>
          <w:rStyle w:val="cf01"/>
          <w:rFonts w:asciiTheme="minorHAnsi" w:hAnsiTheme="minorHAnsi" w:cstheme="minorHAnsi"/>
          <w:sz w:val="22"/>
          <w:szCs w:val="22"/>
        </w:rPr>
        <w:t>Feasel</w:t>
      </w:r>
      <w:proofErr w:type="spellEnd"/>
      <w:r>
        <w:rPr>
          <w:rStyle w:val="cf01"/>
          <w:rFonts w:asciiTheme="minorHAnsi" w:hAnsiTheme="minorHAnsi" w:cstheme="minorHAnsi"/>
          <w:sz w:val="22"/>
          <w:szCs w:val="22"/>
        </w:rPr>
        <w:t xml:space="preserve"> L, Kline G, </w:t>
      </w:r>
      <w:proofErr w:type="spellStart"/>
      <w:r>
        <w:rPr>
          <w:rStyle w:val="cf01"/>
          <w:rFonts w:asciiTheme="minorHAnsi" w:hAnsiTheme="minorHAnsi" w:cstheme="minorHAnsi"/>
          <w:sz w:val="22"/>
          <w:szCs w:val="22"/>
        </w:rPr>
        <w:t>O’Billington</w:t>
      </w:r>
      <w:proofErr w:type="spellEnd"/>
      <w:r>
        <w:rPr>
          <w:rStyle w:val="cf01"/>
          <w:rFonts w:asciiTheme="minorHAnsi" w:hAnsiTheme="minorHAnsi" w:cstheme="minorHAnsi"/>
          <w:sz w:val="22"/>
          <w:szCs w:val="22"/>
        </w:rPr>
        <w:t xml:space="preserve"> E. </w:t>
      </w:r>
      <w:r w:rsidRPr="008B53A1">
        <w:rPr>
          <w:rStyle w:val="cf01"/>
          <w:rFonts w:asciiTheme="minorHAnsi" w:hAnsiTheme="minorHAnsi" w:cstheme="minorHAnsi"/>
          <w:sz w:val="22"/>
          <w:szCs w:val="22"/>
        </w:rPr>
        <w:t xml:space="preserve">Autonomy begets adherence: decisions to start and persist with osteoporosis treatment after group medical consultation. Arch </w:t>
      </w:r>
      <w:proofErr w:type="spellStart"/>
      <w:r w:rsidRPr="008B53A1">
        <w:rPr>
          <w:rStyle w:val="cf01"/>
          <w:rFonts w:asciiTheme="minorHAnsi" w:hAnsiTheme="minorHAnsi" w:cstheme="minorHAnsi"/>
          <w:sz w:val="22"/>
          <w:szCs w:val="22"/>
        </w:rPr>
        <w:t>Osteoporos</w:t>
      </w:r>
      <w:proofErr w:type="spellEnd"/>
      <w:r w:rsidRPr="008B53A1">
        <w:rPr>
          <w:rStyle w:val="cf01"/>
          <w:rFonts w:asciiTheme="minorHAnsi" w:hAnsiTheme="minorHAnsi" w:cstheme="minorHAnsi"/>
          <w:sz w:val="22"/>
          <w:szCs w:val="22"/>
        </w:rPr>
        <w:t xml:space="preserve"> </w:t>
      </w:r>
      <w:r w:rsidRPr="008D14AD">
        <w:rPr>
          <w:rStyle w:val="cf01"/>
          <w:rFonts w:asciiTheme="minorHAnsi" w:hAnsiTheme="minorHAnsi" w:cstheme="minorHAnsi"/>
          <w:sz w:val="22"/>
          <w:szCs w:val="22"/>
        </w:rPr>
        <w:t>2020</w:t>
      </w:r>
      <w:r>
        <w:rPr>
          <w:rStyle w:val="cf01"/>
          <w:rFonts w:asciiTheme="minorHAnsi" w:hAnsiTheme="minorHAnsi" w:cstheme="minorHAnsi"/>
          <w:sz w:val="22"/>
          <w:szCs w:val="22"/>
        </w:rPr>
        <w:t xml:space="preserve">; 15;138  </w:t>
      </w:r>
    </w:p>
    <w:p w14:paraId="019E22A6" w14:textId="6E629B41"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r w:rsidRPr="001B6A62">
        <w:rPr>
          <w:rStyle w:val="cf01"/>
          <w:rFonts w:asciiTheme="minorHAnsi" w:hAnsiTheme="minorHAnsi" w:cstheme="minorHAnsi"/>
          <w:sz w:val="22"/>
          <w:szCs w:val="22"/>
        </w:rPr>
        <w:t>Beaton</w:t>
      </w:r>
      <w:r>
        <w:rPr>
          <w:rStyle w:val="cf01"/>
          <w:rFonts w:asciiTheme="minorHAnsi" w:hAnsiTheme="minorHAnsi" w:cstheme="minorHAnsi"/>
          <w:sz w:val="22"/>
          <w:szCs w:val="22"/>
        </w:rPr>
        <w:t xml:space="preserve"> D</w:t>
      </w:r>
      <w:r w:rsidRPr="001B6A62">
        <w:rPr>
          <w:rStyle w:val="cf01"/>
          <w:rFonts w:asciiTheme="minorHAnsi" w:hAnsiTheme="minorHAnsi" w:cstheme="minorHAnsi"/>
          <w:sz w:val="22"/>
          <w:szCs w:val="22"/>
        </w:rPr>
        <w:t>, Mamdani</w:t>
      </w:r>
      <w:r>
        <w:rPr>
          <w:rStyle w:val="cf01"/>
          <w:rFonts w:asciiTheme="minorHAnsi" w:hAnsiTheme="minorHAnsi" w:cstheme="minorHAnsi"/>
          <w:sz w:val="22"/>
          <w:szCs w:val="22"/>
        </w:rPr>
        <w:t xml:space="preserve"> M</w:t>
      </w:r>
      <w:r w:rsidRPr="001B6A62">
        <w:rPr>
          <w:rStyle w:val="cf01"/>
          <w:rFonts w:asciiTheme="minorHAnsi" w:hAnsiTheme="minorHAnsi" w:cstheme="minorHAnsi"/>
          <w:sz w:val="22"/>
          <w:szCs w:val="22"/>
        </w:rPr>
        <w:t>, Zheng</w:t>
      </w:r>
      <w:r>
        <w:rPr>
          <w:rStyle w:val="cf01"/>
          <w:rFonts w:asciiTheme="minorHAnsi" w:hAnsiTheme="minorHAnsi" w:cstheme="minorHAnsi"/>
          <w:sz w:val="22"/>
          <w:szCs w:val="22"/>
        </w:rPr>
        <w:t xml:space="preserve"> H</w:t>
      </w:r>
      <w:r w:rsidRPr="001B6A62">
        <w:rPr>
          <w:rStyle w:val="cf01"/>
          <w:rFonts w:asciiTheme="minorHAnsi" w:hAnsiTheme="minorHAnsi" w:cstheme="minorHAnsi"/>
          <w:sz w:val="22"/>
          <w:szCs w:val="22"/>
        </w:rPr>
        <w:t xml:space="preserve">, </w:t>
      </w:r>
      <w:r>
        <w:rPr>
          <w:rStyle w:val="cf01"/>
          <w:rFonts w:asciiTheme="minorHAnsi" w:hAnsiTheme="minorHAnsi" w:cstheme="minorHAnsi"/>
          <w:sz w:val="22"/>
          <w:szCs w:val="22"/>
        </w:rPr>
        <w:t xml:space="preserve">et al. </w:t>
      </w:r>
      <w:r w:rsidRPr="001B6A62">
        <w:rPr>
          <w:rStyle w:val="cf01"/>
          <w:rFonts w:asciiTheme="minorHAnsi" w:hAnsiTheme="minorHAnsi" w:cstheme="minorHAnsi"/>
          <w:sz w:val="22"/>
          <w:szCs w:val="22"/>
        </w:rPr>
        <w:t>Improvements in osteoporosis testing and care are found following the wide scale implementation of the Ontario Fracture Clinic Screening Program: an interrupted time series analysis. Medicine</w:t>
      </w:r>
      <w:r>
        <w:rPr>
          <w:rStyle w:val="cf01"/>
          <w:rFonts w:asciiTheme="minorHAnsi" w:hAnsiTheme="minorHAnsi" w:cstheme="minorHAnsi"/>
          <w:sz w:val="22"/>
          <w:szCs w:val="22"/>
        </w:rPr>
        <w:t xml:space="preserve"> 2017;</w:t>
      </w:r>
      <w:r w:rsidRPr="001B6A62">
        <w:rPr>
          <w:rStyle w:val="cf01"/>
          <w:rFonts w:asciiTheme="minorHAnsi" w:hAnsiTheme="minorHAnsi" w:cstheme="minorHAnsi"/>
          <w:sz w:val="22"/>
          <w:szCs w:val="22"/>
        </w:rPr>
        <w:t> 96</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48</w:t>
      </w:r>
    </w:p>
    <w:p w14:paraId="2AA3EE62" w14:textId="6AF0B25E"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proofErr w:type="spellStart"/>
      <w:r w:rsidRPr="001B6A62">
        <w:rPr>
          <w:rStyle w:val="cf01"/>
          <w:rFonts w:asciiTheme="minorHAnsi" w:hAnsiTheme="minorHAnsi" w:cstheme="minorHAnsi"/>
          <w:sz w:val="22"/>
          <w:szCs w:val="22"/>
        </w:rPr>
        <w:t>Ducoulombier</w:t>
      </w:r>
      <w:proofErr w:type="spellEnd"/>
      <w:r>
        <w:rPr>
          <w:rStyle w:val="cf01"/>
          <w:rFonts w:asciiTheme="minorHAnsi" w:hAnsiTheme="minorHAnsi" w:cstheme="minorHAnsi"/>
          <w:sz w:val="22"/>
          <w:szCs w:val="22"/>
        </w:rPr>
        <w:t xml:space="preserve"> V</w:t>
      </w:r>
      <w:r w:rsidRPr="001B6A62">
        <w:rPr>
          <w:rStyle w:val="cf01"/>
          <w:rFonts w:asciiTheme="minorHAnsi" w:hAnsiTheme="minorHAnsi" w:cstheme="minorHAnsi"/>
          <w:sz w:val="22"/>
          <w:szCs w:val="22"/>
        </w:rPr>
        <w:t xml:space="preserve">, </w:t>
      </w:r>
      <w:proofErr w:type="spellStart"/>
      <w:r w:rsidRPr="001B6A62">
        <w:rPr>
          <w:rStyle w:val="cf01"/>
          <w:rFonts w:asciiTheme="minorHAnsi" w:hAnsiTheme="minorHAnsi" w:cstheme="minorHAnsi"/>
          <w:sz w:val="22"/>
          <w:szCs w:val="22"/>
        </w:rPr>
        <w:t>Luraschi</w:t>
      </w:r>
      <w:proofErr w:type="spellEnd"/>
      <w:r>
        <w:rPr>
          <w:rStyle w:val="cf01"/>
          <w:rFonts w:asciiTheme="minorHAnsi" w:hAnsiTheme="minorHAnsi" w:cstheme="minorHAnsi"/>
          <w:sz w:val="22"/>
          <w:szCs w:val="22"/>
        </w:rPr>
        <w:t xml:space="preserve"> H</w:t>
      </w:r>
      <w:r w:rsidRPr="001B6A62">
        <w:rPr>
          <w:rStyle w:val="cf01"/>
          <w:rFonts w:asciiTheme="minorHAnsi" w:hAnsiTheme="minorHAnsi" w:cstheme="minorHAnsi"/>
          <w:sz w:val="22"/>
          <w:szCs w:val="22"/>
        </w:rPr>
        <w:t xml:space="preserve">, </w:t>
      </w:r>
      <w:proofErr w:type="spellStart"/>
      <w:r w:rsidRPr="001B6A62">
        <w:rPr>
          <w:rStyle w:val="cf01"/>
          <w:rFonts w:asciiTheme="minorHAnsi" w:hAnsiTheme="minorHAnsi" w:cstheme="minorHAnsi"/>
          <w:sz w:val="22"/>
          <w:szCs w:val="22"/>
        </w:rPr>
        <w:t>Forzy</w:t>
      </w:r>
      <w:proofErr w:type="spellEnd"/>
      <w:r>
        <w:rPr>
          <w:rStyle w:val="cf01"/>
          <w:rFonts w:asciiTheme="minorHAnsi" w:hAnsiTheme="minorHAnsi" w:cstheme="minorHAnsi"/>
          <w:sz w:val="22"/>
          <w:szCs w:val="22"/>
        </w:rPr>
        <w:t xml:space="preserve"> G</w:t>
      </w:r>
      <w:r w:rsidRPr="001B6A62">
        <w:rPr>
          <w:rStyle w:val="cf01"/>
          <w:rFonts w:asciiTheme="minorHAnsi" w:hAnsiTheme="minorHAnsi" w:cstheme="minorHAnsi"/>
          <w:sz w:val="22"/>
          <w:szCs w:val="22"/>
        </w:rPr>
        <w:t>,</w:t>
      </w:r>
      <w:r>
        <w:rPr>
          <w:rStyle w:val="cf01"/>
          <w:rFonts w:asciiTheme="minorHAnsi" w:hAnsiTheme="minorHAnsi" w:cstheme="minorHAnsi"/>
          <w:sz w:val="22"/>
          <w:szCs w:val="22"/>
        </w:rPr>
        <w:t xml:space="preserve"> et al</w:t>
      </w:r>
      <w:r w:rsidRPr="001B6A62">
        <w:rPr>
          <w:rStyle w:val="cf01"/>
          <w:rFonts w:asciiTheme="minorHAnsi" w:hAnsiTheme="minorHAnsi" w:cstheme="minorHAnsi"/>
          <w:sz w:val="22"/>
          <w:szCs w:val="22"/>
        </w:rPr>
        <w:t xml:space="preserve"> Contribution of phone follow-up to improved adherence to oral osteoporosis treatment. Am J Pharm Benefits</w:t>
      </w:r>
      <w:r>
        <w:rPr>
          <w:rStyle w:val="cf01"/>
          <w:rFonts w:asciiTheme="minorHAnsi" w:hAnsiTheme="minorHAnsi" w:cstheme="minorHAnsi"/>
          <w:sz w:val="22"/>
          <w:szCs w:val="22"/>
        </w:rPr>
        <w:t xml:space="preserve"> 2015;</w:t>
      </w:r>
      <w:r w:rsidRPr="001B6A62">
        <w:rPr>
          <w:rStyle w:val="cf01"/>
          <w:rFonts w:asciiTheme="minorHAnsi" w:hAnsiTheme="minorHAnsi" w:cstheme="minorHAnsi"/>
          <w:sz w:val="22"/>
          <w:szCs w:val="22"/>
        </w:rPr>
        <w:t> 7</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3</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 xml:space="preserve"> e81-e89.</w:t>
      </w:r>
    </w:p>
    <w:p w14:paraId="6DFCE24B" w14:textId="6D765E3C"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r w:rsidRPr="001B6A62">
        <w:rPr>
          <w:rStyle w:val="cf01"/>
          <w:rFonts w:asciiTheme="minorHAnsi" w:hAnsiTheme="minorHAnsi" w:cstheme="minorHAnsi"/>
          <w:sz w:val="22"/>
          <w:szCs w:val="22"/>
        </w:rPr>
        <w:t>Ganda K, Schaffer</w:t>
      </w:r>
      <w:r>
        <w:rPr>
          <w:rStyle w:val="cf01"/>
          <w:rFonts w:asciiTheme="minorHAnsi" w:hAnsiTheme="minorHAnsi" w:cstheme="minorHAnsi"/>
          <w:sz w:val="22"/>
          <w:szCs w:val="22"/>
        </w:rPr>
        <w:t xml:space="preserve"> A, </w:t>
      </w:r>
      <w:r w:rsidRPr="001B6A62">
        <w:rPr>
          <w:rStyle w:val="cf01"/>
          <w:rFonts w:asciiTheme="minorHAnsi" w:hAnsiTheme="minorHAnsi" w:cstheme="minorHAnsi"/>
          <w:sz w:val="22"/>
          <w:szCs w:val="22"/>
        </w:rPr>
        <w:t>Pearson</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Seibel</w:t>
      </w:r>
      <w:r>
        <w:rPr>
          <w:rStyle w:val="cf01"/>
          <w:rFonts w:asciiTheme="minorHAnsi" w:hAnsiTheme="minorHAnsi" w:cstheme="minorHAnsi"/>
          <w:sz w:val="22"/>
          <w:szCs w:val="22"/>
        </w:rPr>
        <w:t xml:space="preserve"> MJ</w:t>
      </w:r>
      <w:r w:rsidRPr="001B6A62">
        <w:rPr>
          <w:rStyle w:val="cf01"/>
          <w:rFonts w:asciiTheme="minorHAnsi" w:hAnsiTheme="minorHAnsi" w:cstheme="minorHAnsi"/>
          <w:sz w:val="22"/>
          <w:szCs w:val="22"/>
        </w:rPr>
        <w:t>. Compliance and persistence to oral bisphosphonate therapy following initiation within a secondary fracture prevention program: a randomised controlled trial of specialist vs. non-specialist management. </w:t>
      </w:r>
      <w:proofErr w:type="spellStart"/>
      <w:r w:rsidRPr="001B6A62">
        <w:rPr>
          <w:rStyle w:val="cf01"/>
          <w:rFonts w:asciiTheme="minorHAnsi" w:hAnsiTheme="minorHAnsi" w:cstheme="minorHAnsi"/>
          <w:sz w:val="22"/>
          <w:szCs w:val="22"/>
        </w:rPr>
        <w:t>Osteoporos</w:t>
      </w:r>
      <w:proofErr w:type="spellEnd"/>
      <w:r w:rsidRPr="001B6A62">
        <w:rPr>
          <w:rStyle w:val="cf01"/>
          <w:rFonts w:asciiTheme="minorHAnsi" w:hAnsiTheme="minorHAnsi" w:cstheme="minorHAnsi"/>
          <w:sz w:val="22"/>
          <w:szCs w:val="22"/>
        </w:rPr>
        <w:t xml:space="preserve"> Int</w:t>
      </w:r>
      <w:r>
        <w:rPr>
          <w:rStyle w:val="cf01"/>
          <w:rFonts w:asciiTheme="minorHAnsi" w:hAnsiTheme="minorHAnsi" w:cstheme="minorHAnsi"/>
          <w:sz w:val="22"/>
          <w:szCs w:val="22"/>
        </w:rPr>
        <w:t xml:space="preserve"> 2014;</w:t>
      </w:r>
      <w:r w:rsidRPr="001B6A62">
        <w:rPr>
          <w:rStyle w:val="cf01"/>
          <w:rFonts w:asciiTheme="minorHAnsi" w:hAnsiTheme="minorHAnsi" w:cstheme="minorHAnsi"/>
          <w:sz w:val="22"/>
          <w:szCs w:val="22"/>
        </w:rPr>
        <w:t> 25</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4: 1345-1355.</w:t>
      </w:r>
    </w:p>
    <w:p w14:paraId="19824189" w14:textId="77777777" w:rsidR="00127B45" w:rsidRPr="0051477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proofErr w:type="spellStart"/>
      <w:r w:rsidRPr="00514772">
        <w:rPr>
          <w:rStyle w:val="cf01"/>
          <w:rFonts w:asciiTheme="minorHAnsi" w:hAnsiTheme="minorHAnsi" w:cstheme="minorHAnsi"/>
          <w:sz w:val="22"/>
          <w:szCs w:val="22"/>
        </w:rPr>
        <w:t>Makras</w:t>
      </w:r>
      <w:proofErr w:type="spellEnd"/>
      <w:r w:rsidRPr="00514772">
        <w:rPr>
          <w:rStyle w:val="cf01"/>
          <w:rFonts w:asciiTheme="minorHAnsi" w:hAnsiTheme="minorHAnsi" w:cstheme="minorHAnsi"/>
          <w:sz w:val="22"/>
          <w:szCs w:val="22"/>
        </w:rPr>
        <w:t xml:space="preserve"> P, Babis G, </w:t>
      </w:r>
      <w:proofErr w:type="spellStart"/>
      <w:r w:rsidRPr="00514772">
        <w:rPr>
          <w:rStyle w:val="cf01"/>
          <w:rFonts w:asciiTheme="minorHAnsi" w:hAnsiTheme="minorHAnsi" w:cstheme="minorHAnsi"/>
          <w:sz w:val="22"/>
          <w:szCs w:val="22"/>
        </w:rPr>
        <w:t>Chronopoulos</w:t>
      </w:r>
      <w:proofErr w:type="spellEnd"/>
      <w:r w:rsidRPr="00514772">
        <w:rPr>
          <w:rStyle w:val="cf01"/>
          <w:rFonts w:asciiTheme="minorHAnsi" w:hAnsiTheme="minorHAnsi" w:cstheme="minorHAnsi"/>
          <w:sz w:val="22"/>
          <w:szCs w:val="22"/>
        </w:rPr>
        <w:t xml:space="preserve"> E, et al. Experience gained from the implementation of the fracture liaison service in Greece. Arch </w:t>
      </w:r>
      <w:proofErr w:type="spellStart"/>
      <w:r w:rsidRPr="00514772">
        <w:rPr>
          <w:rStyle w:val="cf01"/>
          <w:rFonts w:asciiTheme="minorHAnsi" w:hAnsiTheme="minorHAnsi" w:cstheme="minorHAnsi"/>
          <w:sz w:val="22"/>
          <w:szCs w:val="22"/>
        </w:rPr>
        <w:t>Osteoporos</w:t>
      </w:r>
      <w:proofErr w:type="spellEnd"/>
      <w:r w:rsidRPr="00514772">
        <w:rPr>
          <w:rStyle w:val="cf01"/>
          <w:rFonts w:asciiTheme="minorHAnsi" w:hAnsiTheme="minorHAnsi" w:cstheme="minorHAnsi"/>
          <w:sz w:val="22"/>
          <w:szCs w:val="22"/>
        </w:rPr>
        <w:t xml:space="preserve"> 2020; 15:12</w:t>
      </w:r>
    </w:p>
    <w:p w14:paraId="3518DE64" w14:textId="77777777"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r w:rsidRPr="001B6A62">
        <w:rPr>
          <w:rStyle w:val="cf01"/>
          <w:rFonts w:asciiTheme="minorHAnsi" w:hAnsiTheme="minorHAnsi" w:cstheme="minorHAnsi"/>
          <w:sz w:val="22"/>
          <w:szCs w:val="22"/>
        </w:rPr>
        <w:t>McAlister F, Ye</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C, Beaupre L</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 xml:space="preserve"> et al. Adherence to osteoporosis therapy after an upper extremity fracture: a pre-specified </w:t>
      </w:r>
      <w:proofErr w:type="spellStart"/>
      <w:r w:rsidRPr="001B6A62">
        <w:rPr>
          <w:rStyle w:val="cf01"/>
          <w:rFonts w:asciiTheme="minorHAnsi" w:hAnsiTheme="minorHAnsi" w:cstheme="minorHAnsi"/>
          <w:sz w:val="22"/>
          <w:szCs w:val="22"/>
        </w:rPr>
        <w:t>substudy</w:t>
      </w:r>
      <w:proofErr w:type="spellEnd"/>
      <w:r w:rsidRPr="001B6A62">
        <w:rPr>
          <w:rStyle w:val="cf01"/>
          <w:rFonts w:asciiTheme="minorHAnsi" w:hAnsiTheme="minorHAnsi" w:cstheme="minorHAnsi"/>
          <w:sz w:val="22"/>
          <w:szCs w:val="22"/>
        </w:rPr>
        <w:t xml:space="preserve"> of the C-STOP randomized controlled trial. </w:t>
      </w:r>
      <w:proofErr w:type="spellStart"/>
      <w:r w:rsidRPr="001B6A62">
        <w:rPr>
          <w:rStyle w:val="cf01"/>
          <w:rFonts w:asciiTheme="minorHAnsi" w:hAnsiTheme="minorHAnsi" w:cstheme="minorHAnsi"/>
          <w:sz w:val="22"/>
          <w:szCs w:val="22"/>
        </w:rPr>
        <w:t>Osteoporos</w:t>
      </w:r>
      <w:proofErr w:type="spellEnd"/>
      <w:r w:rsidRPr="001B6A62">
        <w:rPr>
          <w:rStyle w:val="cf01"/>
          <w:rFonts w:asciiTheme="minorHAnsi" w:hAnsiTheme="minorHAnsi" w:cstheme="minorHAnsi"/>
          <w:sz w:val="22"/>
          <w:szCs w:val="22"/>
        </w:rPr>
        <w:t xml:space="preserve"> Int</w:t>
      </w:r>
      <w:r>
        <w:rPr>
          <w:rStyle w:val="cf01"/>
          <w:rFonts w:asciiTheme="minorHAnsi" w:hAnsiTheme="minorHAnsi" w:cstheme="minorHAnsi"/>
          <w:sz w:val="22"/>
          <w:szCs w:val="22"/>
        </w:rPr>
        <w:t xml:space="preserve"> 2019;</w:t>
      </w:r>
      <w:r w:rsidRPr="001B6A62">
        <w:rPr>
          <w:rStyle w:val="cf01"/>
          <w:rFonts w:asciiTheme="minorHAnsi" w:hAnsiTheme="minorHAnsi" w:cstheme="minorHAnsi"/>
          <w:sz w:val="22"/>
          <w:szCs w:val="22"/>
        </w:rPr>
        <w:t xml:space="preserve"> 30</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127–134</w:t>
      </w:r>
    </w:p>
    <w:p w14:paraId="16186FF5" w14:textId="77777777" w:rsidR="00127B45" w:rsidRPr="0043083B"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r w:rsidRPr="0043083B">
        <w:rPr>
          <w:rStyle w:val="cf01"/>
          <w:rFonts w:asciiTheme="minorHAnsi" w:hAnsiTheme="minorHAnsi" w:cstheme="minorHAnsi"/>
          <w:sz w:val="22"/>
          <w:szCs w:val="22"/>
        </w:rPr>
        <w:t>Scholten D, Bray J, Wang K, et al. I</w:t>
      </w:r>
      <w:r w:rsidRPr="0043083B">
        <w:rPr>
          <w:rFonts w:asciiTheme="minorHAnsi" w:hAnsiTheme="minorHAnsi" w:cstheme="minorHAnsi"/>
          <w:sz w:val="22"/>
          <w:szCs w:val="22"/>
        </w:rPr>
        <w:t xml:space="preserve">mplementation of a fracture liaison service and its effects on osteoporosis treatment adherence and secondary fracture at a tertiary care academic health system. Arch </w:t>
      </w:r>
      <w:proofErr w:type="spellStart"/>
      <w:r w:rsidRPr="0043083B">
        <w:rPr>
          <w:rFonts w:asciiTheme="minorHAnsi" w:hAnsiTheme="minorHAnsi" w:cstheme="minorHAnsi"/>
          <w:sz w:val="22"/>
          <w:szCs w:val="22"/>
        </w:rPr>
        <w:t>Osteoporos</w:t>
      </w:r>
      <w:proofErr w:type="spellEnd"/>
      <w:r w:rsidRPr="0043083B">
        <w:rPr>
          <w:rFonts w:asciiTheme="minorHAnsi" w:hAnsiTheme="minorHAnsi" w:cstheme="minorHAnsi"/>
          <w:sz w:val="22"/>
          <w:szCs w:val="22"/>
        </w:rPr>
        <w:t xml:space="preserve"> 2020; 15:1: 80</w:t>
      </w:r>
    </w:p>
    <w:p w14:paraId="428BC460" w14:textId="2D058678"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proofErr w:type="spellStart"/>
      <w:r w:rsidRPr="001B6A62">
        <w:rPr>
          <w:rStyle w:val="cf01"/>
          <w:rFonts w:asciiTheme="minorHAnsi" w:hAnsiTheme="minorHAnsi" w:cstheme="minorHAnsi"/>
          <w:sz w:val="22"/>
          <w:szCs w:val="22"/>
        </w:rPr>
        <w:t>Senay</w:t>
      </w:r>
      <w:proofErr w:type="spellEnd"/>
      <w:r w:rsidRPr="001B6A62">
        <w:rPr>
          <w:rStyle w:val="cf01"/>
          <w:rFonts w:asciiTheme="minorHAnsi" w:hAnsiTheme="minorHAnsi" w:cstheme="minorHAnsi"/>
          <w:sz w:val="22"/>
          <w:szCs w:val="22"/>
        </w:rPr>
        <w:t xml:space="preserve"> A, Fernandes</w:t>
      </w:r>
      <w:r>
        <w:rPr>
          <w:rStyle w:val="cf01"/>
          <w:rFonts w:asciiTheme="minorHAnsi" w:hAnsiTheme="minorHAnsi" w:cstheme="minorHAnsi"/>
          <w:sz w:val="22"/>
          <w:szCs w:val="22"/>
        </w:rPr>
        <w:t xml:space="preserve"> J</w:t>
      </w:r>
      <w:r w:rsidRPr="001B6A62">
        <w:rPr>
          <w:rStyle w:val="cf01"/>
          <w:rFonts w:asciiTheme="minorHAnsi" w:hAnsiTheme="minorHAnsi" w:cstheme="minorHAnsi"/>
          <w:sz w:val="22"/>
          <w:szCs w:val="22"/>
        </w:rPr>
        <w:t>, Delisle</w:t>
      </w:r>
      <w:r>
        <w:rPr>
          <w:rStyle w:val="cf01"/>
          <w:rFonts w:asciiTheme="minorHAnsi" w:hAnsiTheme="minorHAnsi" w:cstheme="minorHAnsi"/>
          <w:sz w:val="22"/>
          <w:szCs w:val="22"/>
        </w:rPr>
        <w:t xml:space="preserve"> J, et al</w:t>
      </w:r>
      <w:r w:rsidRPr="001B6A62">
        <w:rPr>
          <w:rStyle w:val="cf01"/>
          <w:rFonts w:asciiTheme="minorHAnsi" w:hAnsiTheme="minorHAnsi" w:cstheme="minorHAnsi"/>
          <w:sz w:val="22"/>
          <w:szCs w:val="22"/>
        </w:rPr>
        <w:t xml:space="preserve">. Persistence and compliance to osteoporosis therapy in a fracture liaison service: a prospective cohort study. Arch of </w:t>
      </w:r>
      <w:proofErr w:type="spellStart"/>
      <w:r w:rsidRPr="001B6A62">
        <w:rPr>
          <w:rStyle w:val="cf01"/>
          <w:rFonts w:asciiTheme="minorHAnsi" w:hAnsiTheme="minorHAnsi" w:cstheme="minorHAnsi"/>
          <w:sz w:val="22"/>
          <w:szCs w:val="22"/>
        </w:rPr>
        <w:t>osteoporos</w:t>
      </w:r>
      <w:proofErr w:type="spellEnd"/>
      <w:r>
        <w:rPr>
          <w:rStyle w:val="cf01"/>
          <w:rFonts w:asciiTheme="minorHAnsi" w:hAnsiTheme="minorHAnsi" w:cstheme="minorHAnsi"/>
          <w:sz w:val="22"/>
          <w:szCs w:val="22"/>
        </w:rPr>
        <w:t xml:space="preserve"> 2019;</w:t>
      </w:r>
      <w:r w:rsidRPr="001B6A62">
        <w:rPr>
          <w:rStyle w:val="cf01"/>
          <w:rFonts w:asciiTheme="minorHAnsi" w:hAnsiTheme="minorHAnsi" w:cstheme="minorHAnsi"/>
          <w:sz w:val="22"/>
          <w:szCs w:val="22"/>
        </w:rPr>
        <w:t> 14</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1</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1-11.</w:t>
      </w:r>
    </w:p>
    <w:p w14:paraId="06F95D76" w14:textId="77777777"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r>
        <w:rPr>
          <w:rStyle w:val="cf01"/>
          <w:rFonts w:asciiTheme="minorHAnsi" w:hAnsiTheme="minorHAnsi" w:cstheme="minorHAnsi"/>
          <w:sz w:val="22"/>
          <w:szCs w:val="22"/>
        </w:rPr>
        <w:t>V</w:t>
      </w:r>
      <w:r w:rsidRPr="001B6A62">
        <w:rPr>
          <w:rStyle w:val="cf01"/>
          <w:rFonts w:asciiTheme="minorHAnsi" w:hAnsiTheme="minorHAnsi" w:cstheme="minorHAnsi"/>
          <w:sz w:val="22"/>
          <w:szCs w:val="22"/>
        </w:rPr>
        <w:t xml:space="preserve">an den Berg P; </w:t>
      </w:r>
      <w:r>
        <w:rPr>
          <w:rStyle w:val="cf01"/>
          <w:rFonts w:asciiTheme="minorHAnsi" w:hAnsiTheme="minorHAnsi" w:cstheme="minorHAnsi"/>
          <w:sz w:val="22"/>
          <w:szCs w:val="22"/>
        </w:rPr>
        <w:t>V</w:t>
      </w:r>
      <w:r w:rsidRPr="001B6A62">
        <w:rPr>
          <w:rStyle w:val="cf01"/>
          <w:rFonts w:asciiTheme="minorHAnsi" w:hAnsiTheme="minorHAnsi" w:cstheme="minorHAnsi"/>
          <w:sz w:val="22"/>
          <w:szCs w:val="22"/>
        </w:rPr>
        <w:t xml:space="preserve">an </w:t>
      </w:r>
      <w:proofErr w:type="spellStart"/>
      <w:r w:rsidRPr="001B6A62">
        <w:rPr>
          <w:rStyle w:val="cf01"/>
          <w:rFonts w:asciiTheme="minorHAnsi" w:hAnsiTheme="minorHAnsi" w:cstheme="minorHAnsi"/>
          <w:sz w:val="22"/>
          <w:szCs w:val="22"/>
        </w:rPr>
        <w:t>Haard</w:t>
      </w:r>
      <w:proofErr w:type="spellEnd"/>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P</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 xml:space="preserve"> </w:t>
      </w:r>
      <w:r>
        <w:rPr>
          <w:rStyle w:val="cf01"/>
          <w:rFonts w:asciiTheme="minorHAnsi" w:hAnsiTheme="minorHAnsi" w:cstheme="minorHAnsi"/>
          <w:sz w:val="22"/>
          <w:szCs w:val="22"/>
        </w:rPr>
        <w:t>V</w:t>
      </w:r>
      <w:r w:rsidRPr="001B6A62">
        <w:rPr>
          <w:rStyle w:val="cf01"/>
          <w:rFonts w:asciiTheme="minorHAnsi" w:hAnsiTheme="minorHAnsi" w:cstheme="minorHAnsi"/>
          <w:sz w:val="22"/>
          <w:szCs w:val="22"/>
        </w:rPr>
        <w:t>an der Veer E</w:t>
      </w:r>
      <w:r>
        <w:rPr>
          <w:rStyle w:val="cf01"/>
          <w:rFonts w:asciiTheme="minorHAnsi" w:hAnsiTheme="minorHAnsi" w:cstheme="minorHAnsi"/>
          <w:sz w:val="22"/>
          <w:szCs w:val="22"/>
        </w:rPr>
        <w:t xml:space="preserve">, et al. </w:t>
      </w:r>
      <w:r w:rsidRPr="001B6A62">
        <w:rPr>
          <w:rStyle w:val="cf01"/>
          <w:rFonts w:asciiTheme="minorHAnsi" w:hAnsiTheme="minorHAnsi" w:cstheme="minorHAnsi"/>
          <w:sz w:val="22"/>
          <w:szCs w:val="22"/>
        </w:rPr>
        <w:t>A dedicated Fracture Liaison Service telephone program and use of bone turnover markers for evaluating 1-year persistence with oral bisphosphonates</w:t>
      </w:r>
      <w:r>
        <w:rPr>
          <w:rStyle w:val="cf01"/>
          <w:rFonts w:asciiTheme="minorHAnsi" w:hAnsiTheme="minorHAnsi" w:cstheme="minorHAnsi"/>
          <w:sz w:val="22"/>
          <w:szCs w:val="22"/>
        </w:rPr>
        <w:t xml:space="preserve">. </w:t>
      </w:r>
      <w:proofErr w:type="spellStart"/>
      <w:r w:rsidRPr="001B6A62">
        <w:rPr>
          <w:rStyle w:val="cf01"/>
          <w:rFonts w:asciiTheme="minorHAnsi" w:hAnsiTheme="minorHAnsi" w:cstheme="minorHAnsi"/>
          <w:sz w:val="22"/>
          <w:szCs w:val="22"/>
        </w:rPr>
        <w:t>Osteoporos</w:t>
      </w:r>
      <w:proofErr w:type="spellEnd"/>
      <w:r w:rsidRPr="001B6A62">
        <w:rPr>
          <w:rStyle w:val="cf01"/>
          <w:rFonts w:asciiTheme="minorHAnsi" w:hAnsiTheme="minorHAnsi" w:cstheme="minorHAnsi"/>
          <w:sz w:val="22"/>
          <w:szCs w:val="22"/>
        </w:rPr>
        <w:t xml:space="preserve"> Int 2018</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 xml:space="preserve"> 29</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4 813-824</w:t>
      </w:r>
    </w:p>
    <w:p w14:paraId="27832F64" w14:textId="6F92123C"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r w:rsidRPr="001B6A62">
        <w:rPr>
          <w:rStyle w:val="cf01"/>
          <w:rFonts w:asciiTheme="minorHAnsi" w:hAnsiTheme="minorHAnsi" w:cstheme="minorHAnsi"/>
          <w:sz w:val="22"/>
          <w:szCs w:val="22"/>
        </w:rPr>
        <w:t>Danila M, Outman</w:t>
      </w:r>
      <w:r>
        <w:rPr>
          <w:rStyle w:val="cf01"/>
          <w:rFonts w:asciiTheme="minorHAnsi" w:hAnsiTheme="minorHAnsi" w:cstheme="minorHAnsi"/>
          <w:sz w:val="22"/>
          <w:szCs w:val="22"/>
        </w:rPr>
        <w:t xml:space="preserve"> R</w:t>
      </w:r>
      <w:r w:rsidRPr="001B6A62">
        <w:rPr>
          <w:rStyle w:val="cf01"/>
          <w:rFonts w:asciiTheme="minorHAnsi" w:hAnsiTheme="minorHAnsi" w:cstheme="minorHAnsi"/>
          <w:sz w:val="22"/>
          <w:szCs w:val="22"/>
        </w:rPr>
        <w:t xml:space="preserve">, </w:t>
      </w:r>
      <w:proofErr w:type="spellStart"/>
      <w:r w:rsidRPr="001B6A62">
        <w:rPr>
          <w:rStyle w:val="cf01"/>
          <w:rFonts w:asciiTheme="minorHAnsi" w:hAnsiTheme="minorHAnsi" w:cstheme="minorHAnsi"/>
          <w:sz w:val="22"/>
          <w:szCs w:val="22"/>
        </w:rPr>
        <w:t>Rahn</w:t>
      </w:r>
      <w:proofErr w:type="spellEnd"/>
      <w:r>
        <w:rPr>
          <w:rStyle w:val="cf01"/>
          <w:rFonts w:asciiTheme="minorHAnsi" w:hAnsiTheme="minorHAnsi" w:cstheme="minorHAnsi"/>
          <w:sz w:val="22"/>
          <w:szCs w:val="22"/>
        </w:rPr>
        <w:t xml:space="preserve"> E</w:t>
      </w:r>
      <w:r w:rsidRPr="001B6A62">
        <w:rPr>
          <w:rStyle w:val="cf01"/>
          <w:rFonts w:asciiTheme="minorHAnsi" w:hAnsiTheme="minorHAnsi" w:cstheme="minorHAnsi"/>
          <w:sz w:val="22"/>
          <w:szCs w:val="22"/>
        </w:rPr>
        <w:t>, et al. Evaluation of a multimodal, direct‐to‐patient educational intervention targeting barriers to osteoporosis care: a randomized clinical trial. </w:t>
      </w:r>
      <w:r>
        <w:rPr>
          <w:rStyle w:val="cf01"/>
          <w:rFonts w:asciiTheme="minorHAnsi" w:hAnsiTheme="minorHAnsi" w:cstheme="minorHAnsi"/>
          <w:sz w:val="22"/>
          <w:szCs w:val="22"/>
        </w:rPr>
        <w:t>J Bone Miner Res 2018:</w:t>
      </w:r>
      <w:r w:rsidRPr="001B6A62">
        <w:rPr>
          <w:rStyle w:val="cf01"/>
          <w:rFonts w:asciiTheme="minorHAnsi" w:hAnsiTheme="minorHAnsi" w:cstheme="minorHAnsi"/>
          <w:sz w:val="22"/>
          <w:szCs w:val="22"/>
        </w:rPr>
        <w:t> 33</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5</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763-772.</w:t>
      </w:r>
    </w:p>
    <w:p w14:paraId="6EBDD9A8" w14:textId="14BDF97E"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proofErr w:type="spellStart"/>
      <w:r w:rsidRPr="001B6A62">
        <w:rPr>
          <w:rStyle w:val="cf01"/>
          <w:rFonts w:asciiTheme="minorHAnsi" w:hAnsiTheme="minorHAnsi" w:cstheme="minorHAnsi"/>
          <w:sz w:val="22"/>
          <w:szCs w:val="22"/>
        </w:rPr>
        <w:t>Hitz</w:t>
      </w:r>
      <w:proofErr w:type="spellEnd"/>
      <w:r>
        <w:rPr>
          <w:rStyle w:val="cf01"/>
          <w:rFonts w:asciiTheme="minorHAnsi" w:hAnsiTheme="minorHAnsi" w:cstheme="minorHAnsi"/>
          <w:sz w:val="22"/>
          <w:szCs w:val="22"/>
        </w:rPr>
        <w:t xml:space="preserve"> M</w:t>
      </w:r>
      <w:r w:rsidRPr="001B6A62">
        <w:rPr>
          <w:rStyle w:val="cf01"/>
          <w:rFonts w:asciiTheme="minorHAnsi" w:hAnsiTheme="minorHAnsi" w:cstheme="minorHAnsi"/>
          <w:sz w:val="22"/>
          <w:szCs w:val="22"/>
        </w:rPr>
        <w:t>, Arup</w:t>
      </w:r>
      <w:r>
        <w:rPr>
          <w:rStyle w:val="cf01"/>
          <w:rFonts w:asciiTheme="minorHAnsi" w:hAnsiTheme="minorHAnsi" w:cstheme="minorHAnsi"/>
          <w:sz w:val="22"/>
          <w:szCs w:val="22"/>
        </w:rPr>
        <w:t xml:space="preserve"> S</w:t>
      </w:r>
      <w:r w:rsidRPr="001B6A62">
        <w:rPr>
          <w:rStyle w:val="cf01"/>
          <w:rFonts w:asciiTheme="minorHAnsi" w:hAnsiTheme="minorHAnsi" w:cstheme="minorHAnsi"/>
          <w:sz w:val="22"/>
          <w:szCs w:val="22"/>
        </w:rPr>
        <w:t>, Holm</w:t>
      </w:r>
      <w:r>
        <w:rPr>
          <w:rStyle w:val="cf01"/>
          <w:rFonts w:asciiTheme="minorHAnsi" w:hAnsiTheme="minorHAnsi" w:cstheme="minorHAnsi"/>
          <w:sz w:val="22"/>
          <w:szCs w:val="22"/>
        </w:rPr>
        <w:t xml:space="preserve"> J</w:t>
      </w:r>
      <w:r w:rsidRPr="001B6A62">
        <w:rPr>
          <w:rStyle w:val="cf01"/>
          <w:rFonts w:asciiTheme="minorHAnsi" w:hAnsiTheme="minorHAnsi" w:cstheme="minorHAnsi"/>
          <w:sz w:val="22"/>
          <w:szCs w:val="22"/>
        </w:rPr>
        <w:t>,</w:t>
      </w:r>
      <w:r>
        <w:rPr>
          <w:rStyle w:val="cf01"/>
          <w:rFonts w:asciiTheme="minorHAnsi" w:hAnsiTheme="minorHAnsi" w:cstheme="minorHAnsi"/>
          <w:sz w:val="22"/>
          <w:szCs w:val="22"/>
        </w:rPr>
        <w:t xml:space="preserve"> et al</w:t>
      </w:r>
      <w:r w:rsidRPr="001B6A62">
        <w:rPr>
          <w:rStyle w:val="cf01"/>
          <w:rFonts w:asciiTheme="minorHAnsi" w:hAnsiTheme="minorHAnsi" w:cstheme="minorHAnsi"/>
          <w:sz w:val="22"/>
          <w:szCs w:val="22"/>
        </w:rPr>
        <w:t xml:space="preserve">. Outcome of osteoporosis evaluation, treatment, and follow-up in patients referred to a specialized outpatient clinic compared to patients in care of general practitioners. Arch </w:t>
      </w:r>
      <w:proofErr w:type="spellStart"/>
      <w:r w:rsidRPr="001B6A62">
        <w:rPr>
          <w:rStyle w:val="cf01"/>
          <w:rFonts w:asciiTheme="minorHAnsi" w:hAnsiTheme="minorHAnsi" w:cstheme="minorHAnsi"/>
          <w:sz w:val="22"/>
          <w:szCs w:val="22"/>
        </w:rPr>
        <w:t>Osteoporos</w:t>
      </w:r>
      <w:proofErr w:type="spellEnd"/>
      <w:r>
        <w:rPr>
          <w:rStyle w:val="cf01"/>
          <w:rFonts w:asciiTheme="minorHAnsi" w:hAnsiTheme="minorHAnsi" w:cstheme="minorHAnsi"/>
          <w:sz w:val="22"/>
          <w:szCs w:val="22"/>
        </w:rPr>
        <w:t xml:space="preserve"> 2020: </w:t>
      </w:r>
      <w:r w:rsidRPr="001B6A62">
        <w:rPr>
          <w:rStyle w:val="cf01"/>
          <w:rFonts w:asciiTheme="minorHAnsi" w:hAnsiTheme="minorHAnsi" w:cstheme="minorHAnsi"/>
          <w:sz w:val="22"/>
          <w:szCs w:val="22"/>
        </w:rPr>
        <w:t>15</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1</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1-11.</w:t>
      </w:r>
    </w:p>
    <w:p w14:paraId="0453E311" w14:textId="7668EDE5"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r w:rsidRPr="001B6A62">
        <w:rPr>
          <w:rStyle w:val="cf01"/>
          <w:rFonts w:asciiTheme="minorHAnsi" w:hAnsiTheme="minorHAnsi" w:cstheme="minorHAnsi"/>
          <w:sz w:val="22"/>
          <w:szCs w:val="22"/>
        </w:rPr>
        <w:t>LeBlanc</w:t>
      </w:r>
      <w:r>
        <w:rPr>
          <w:rStyle w:val="cf01"/>
          <w:rFonts w:asciiTheme="minorHAnsi" w:hAnsiTheme="minorHAnsi" w:cstheme="minorHAnsi"/>
          <w:sz w:val="22"/>
          <w:szCs w:val="22"/>
        </w:rPr>
        <w:t xml:space="preserve"> A</w:t>
      </w:r>
      <w:r w:rsidRPr="001B6A62">
        <w:rPr>
          <w:rStyle w:val="cf01"/>
          <w:rFonts w:asciiTheme="minorHAnsi" w:hAnsiTheme="minorHAnsi" w:cstheme="minorHAnsi"/>
          <w:sz w:val="22"/>
          <w:szCs w:val="22"/>
        </w:rPr>
        <w:t>, Wang</w:t>
      </w:r>
      <w:r>
        <w:rPr>
          <w:rStyle w:val="cf01"/>
          <w:rFonts w:asciiTheme="minorHAnsi" w:hAnsiTheme="minorHAnsi" w:cstheme="minorHAnsi"/>
          <w:sz w:val="22"/>
          <w:szCs w:val="22"/>
        </w:rPr>
        <w:t xml:space="preserve"> T</w:t>
      </w:r>
      <w:r w:rsidRPr="001B6A62">
        <w:rPr>
          <w:rStyle w:val="cf01"/>
          <w:rFonts w:asciiTheme="minorHAnsi" w:hAnsiTheme="minorHAnsi" w:cstheme="minorHAnsi"/>
          <w:sz w:val="22"/>
          <w:szCs w:val="22"/>
        </w:rPr>
        <w:t>, Wyatt</w:t>
      </w:r>
      <w:r>
        <w:rPr>
          <w:rStyle w:val="cf01"/>
          <w:rFonts w:asciiTheme="minorHAnsi" w:hAnsiTheme="minorHAnsi" w:cstheme="minorHAnsi"/>
          <w:sz w:val="22"/>
          <w:szCs w:val="22"/>
        </w:rPr>
        <w:t xml:space="preserve"> K</w:t>
      </w:r>
      <w:r w:rsidRPr="001B6A62">
        <w:rPr>
          <w:rStyle w:val="cf01"/>
          <w:rFonts w:asciiTheme="minorHAnsi" w:hAnsiTheme="minorHAnsi" w:cstheme="minorHAnsi"/>
          <w:sz w:val="22"/>
          <w:szCs w:val="22"/>
        </w:rPr>
        <w:t xml:space="preserve">, </w:t>
      </w:r>
      <w:r>
        <w:rPr>
          <w:rStyle w:val="cf01"/>
          <w:rFonts w:asciiTheme="minorHAnsi" w:hAnsiTheme="minorHAnsi" w:cstheme="minorHAnsi"/>
          <w:sz w:val="22"/>
          <w:szCs w:val="22"/>
        </w:rPr>
        <w:t xml:space="preserve">et al. </w:t>
      </w:r>
      <w:r w:rsidRPr="001B6A62">
        <w:rPr>
          <w:rStyle w:val="cf01"/>
          <w:rFonts w:asciiTheme="minorHAnsi" w:hAnsiTheme="minorHAnsi" w:cstheme="minorHAnsi"/>
          <w:sz w:val="22"/>
          <w:szCs w:val="22"/>
        </w:rPr>
        <w:t>Encounter decision aid vs. clinical decision support or usual care to support patient-</w:t>
      </w:r>
      <w:proofErr w:type="spellStart"/>
      <w:r w:rsidRPr="001B6A62">
        <w:rPr>
          <w:rStyle w:val="cf01"/>
          <w:rFonts w:asciiTheme="minorHAnsi" w:hAnsiTheme="minorHAnsi" w:cstheme="minorHAnsi"/>
          <w:sz w:val="22"/>
          <w:szCs w:val="22"/>
        </w:rPr>
        <w:t>centered</w:t>
      </w:r>
      <w:proofErr w:type="spellEnd"/>
      <w:r w:rsidRPr="001B6A62">
        <w:rPr>
          <w:rStyle w:val="cf01"/>
          <w:rFonts w:asciiTheme="minorHAnsi" w:hAnsiTheme="minorHAnsi" w:cstheme="minorHAnsi"/>
          <w:sz w:val="22"/>
          <w:szCs w:val="22"/>
        </w:rPr>
        <w:t xml:space="preserve"> treatment decisions in osteoporosis: the osteoporosis choice randomized trial II. </w:t>
      </w:r>
      <w:proofErr w:type="spellStart"/>
      <w:r w:rsidRPr="001B6A62">
        <w:rPr>
          <w:rStyle w:val="cf01"/>
          <w:rFonts w:asciiTheme="minorHAnsi" w:hAnsiTheme="minorHAnsi" w:cstheme="minorHAnsi"/>
          <w:sz w:val="22"/>
          <w:szCs w:val="22"/>
        </w:rPr>
        <w:t>PloS</w:t>
      </w:r>
      <w:proofErr w:type="spellEnd"/>
      <w:r w:rsidRPr="001B6A62">
        <w:rPr>
          <w:rStyle w:val="cf01"/>
          <w:rFonts w:asciiTheme="minorHAnsi" w:hAnsiTheme="minorHAnsi" w:cstheme="minorHAnsi"/>
          <w:sz w:val="22"/>
          <w:szCs w:val="22"/>
        </w:rPr>
        <w:t xml:space="preserve"> one </w:t>
      </w:r>
      <w:r>
        <w:rPr>
          <w:rStyle w:val="cf01"/>
          <w:rFonts w:asciiTheme="minorHAnsi" w:hAnsiTheme="minorHAnsi" w:cstheme="minorHAnsi"/>
          <w:sz w:val="22"/>
          <w:szCs w:val="22"/>
        </w:rPr>
        <w:t xml:space="preserve">2015; </w:t>
      </w:r>
      <w:r w:rsidRPr="001B6A62">
        <w:rPr>
          <w:rStyle w:val="cf01"/>
          <w:rFonts w:asciiTheme="minorHAnsi" w:hAnsiTheme="minorHAnsi" w:cstheme="minorHAnsi"/>
          <w:sz w:val="22"/>
          <w:szCs w:val="22"/>
        </w:rPr>
        <w:t>10</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5: e0128063.</w:t>
      </w:r>
    </w:p>
    <w:p w14:paraId="213ABF58" w14:textId="40913A56"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r w:rsidRPr="001B6A62">
        <w:rPr>
          <w:rStyle w:val="cf01"/>
          <w:rFonts w:asciiTheme="minorHAnsi" w:hAnsiTheme="minorHAnsi" w:cstheme="minorHAnsi"/>
          <w:sz w:val="22"/>
          <w:szCs w:val="22"/>
        </w:rPr>
        <w:t>Leslie</w:t>
      </w:r>
      <w:r>
        <w:rPr>
          <w:rStyle w:val="cf01"/>
          <w:rFonts w:asciiTheme="minorHAnsi" w:hAnsiTheme="minorHAnsi" w:cstheme="minorHAnsi"/>
          <w:sz w:val="22"/>
          <w:szCs w:val="22"/>
        </w:rPr>
        <w:t xml:space="preserve"> </w:t>
      </w:r>
      <w:proofErr w:type="gramStart"/>
      <w:r>
        <w:rPr>
          <w:rStyle w:val="cf01"/>
          <w:rFonts w:asciiTheme="minorHAnsi" w:hAnsiTheme="minorHAnsi" w:cstheme="minorHAnsi"/>
          <w:sz w:val="22"/>
          <w:szCs w:val="22"/>
        </w:rPr>
        <w:t xml:space="preserve">W, </w:t>
      </w:r>
      <w:r w:rsidRPr="001B6A62">
        <w:rPr>
          <w:rStyle w:val="cf01"/>
          <w:rFonts w:asciiTheme="minorHAnsi" w:hAnsiTheme="minorHAnsi" w:cstheme="minorHAnsi"/>
          <w:sz w:val="22"/>
          <w:szCs w:val="22"/>
        </w:rPr>
        <w:t xml:space="preserve"> Morin</w:t>
      </w:r>
      <w:proofErr w:type="gramEnd"/>
      <w:r>
        <w:rPr>
          <w:rStyle w:val="cf01"/>
          <w:rFonts w:asciiTheme="minorHAnsi" w:hAnsiTheme="minorHAnsi" w:cstheme="minorHAnsi"/>
          <w:sz w:val="22"/>
          <w:szCs w:val="22"/>
        </w:rPr>
        <w:t xml:space="preserve"> S</w:t>
      </w:r>
      <w:r w:rsidRPr="001B6A62">
        <w:rPr>
          <w:rStyle w:val="cf01"/>
          <w:rFonts w:asciiTheme="minorHAnsi" w:hAnsiTheme="minorHAnsi" w:cstheme="minorHAnsi"/>
          <w:sz w:val="22"/>
          <w:szCs w:val="22"/>
        </w:rPr>
        <w:t>, Martineau</w:t>
      </w:r>
      <w:r>
        <w:rPr>
          <w:rStyle w:val="cf01"/>
          <w:rFonts w:asciiTheme="minorHAnsi" w:hAnsiTheme="minorHAnsi" w:cstheme="minorHAnsi"/>
          <w:sz w:val="22"/>
          <w:szCs w:val="22"/>
        </w:rPr>
        <w:t xml:space="preserve"> P, et al.</w:t>
      </w:r>
      <w:r w:rsidRPr="001B6A62">
        <w:rPr>
          <w:rStyle w:val="cf01"/>
          <w:rFonts w:asciiTheme="minorHAnsi" w:hAnsiTheme="minorHAnsi" w:cstheme="minorHAnsi"/>
          <w:sz w:val="22"/>
          <w:szCs w:val="22"/>
        </w:rPr>
        <w:t xml:space="preserve"> Association of Bone Density Monitoring in Routine Clinical Practice With Anti‐Osteoporosis Medication Use and Incident Fractures: A Matched Cohort Study. J</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Bone Miner Res</w:t>
      </w:r>
      <w:r>
        <w:rPr>
          <w:rStyle w:val="cf01"/>
          <w:rFonts w:asciiTheme="minorHAnsi" w:hAnsiTheme="minorHAnsi" w:cstheme="minorHAnsi"/>
          <w:sz w:val="22"/>
          <w:szCs w:val="22"/>
        </w:rPr>
        <w:t xml:space="preserve"> 2019; </w:t>
      </w:r>
      <w:r w:rsidRPr="001B6A62">
        <w:rPr>
          <w:rStyle w:val="cf01"/>
          <w:rFonts w:asciiTheme="minorHAnsi" w:hAnsiTheme="minorHAnsi" w:cstheme="minorHAnsi"/>
          <w:sz w:val="22"/>
          <w:szCs w:val="22"/>
        </w:rPr>
        <w:t>34</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10: 1808-1814.</w:t>
      </w:r>
    </w:p>
    <w:p w14:paraId="65CB6756" w14:textId="75EE432F"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r w:rsidRPr="001B6A62">
        <w:rPr>
          <w:rStyle w:val="cf01"/>
          <w:rFonts w:asciiTheme="minorHAnsi" w:hAnsiTheme="minorHAnsi" w:cstheme="minorHAnsi"/>
          <w:sz w:val="22"/>
          <w:szCs w:val="22"/>
        </w:rPr>
        <w:t>Parsons C, Harvey</w:t>
      </w:r>
      <w:r>
        <w:rPr>
          <w:rStyle w:val="cf01"/>
          <w:rFonts w:asciiTheme="minorHAnsi" w:hAnsiTheme="minorHAnsi" w:cstheme="minorHAnsi"/>
          <w:sz w:val="22"/>
          <w:szCs w:val="22"/>
        </w:rPr>
        <w:t xml:space="preserve"> N,</w:t>
      </w:r>
      <w:r w:rsidRPr="001B6A62">
        <w:rPr>
          <w:rStyle w:val="cf01"/>
          <w:rFonts w:asciiTheme="minorHAnsi" w:hAnsiTheme="minorHAnsi" w:cstheme="minorHAnsi"/>
          <w:sz w:val="22"/>
          <w:szCs w:val="22"/>
        </w:rPr>
        <w:t xml:space="preserve"> Shepstone</w:t>
      </w:r>
      <w:r>
        <w:rPr>
          <w:rStyle w:val="cf01"/>
          <w:rFonts w:asciiTheme="minorHAnsi" w:hAnsiTheme="minorHAnsi" w:cstheme="minorHAnsi"/>
          <w:sz w:val="22"/>
          <w:szCs w:val="22"/>
        </w:rPr>
        <w:t xml:space="preserve"> L</w:t>
      </w:r>
      <w:r w:rsidRPr="001B6A62">
        <w:rPr>
          <w:rStyle w:val="cf01"/>
          <w:rFonts w:asciiTheme="minorHAnsi" w:hAnsiTheme="minorHAnsi" w:cstheme="minorHAnsi"/>
          <w:sz w:val="22"/>
          <w:szCs w:val="22"/>
        </w:rPr>
        <w:t>, et al. Systematic screening using FRAX® leads to increased use of, and adherence to, anti-osteoporosis medications: an analysis of the UK SCOOP trial. </w:t>
      </w:r>
      <w:proofErr w:type="spellStart"/>
      <w:r w:rsidRPr="001B6A62">
        <w:rPr>
          <w:rStyle w:val="cf01"/>
          <w:rFonts w:asciiTheme="minorHAnsi" w:hAnsiTheme="minorHAnsi" w:cstheme="minorHAnsi"/>
          <w:sz w:val="22"/>
          <w:szCs w:val="22"/>
        </w:rPr>
        <w:t>Osteoporos</w:t>
      </w:r>
      <w:proofErr w:type="spellEnd"/>
      <w:r w:rsidRPr="001B6A62">
        <w:rPr>
          <w:rStyle w:val="cf01"/>
          <w:rFonts w:asciiTheme="minorHAnsi" w:hAnsiTheme="minorHAnsi" w:cstheme="minorHAnsi"/>
          <w:sz w:val="22"/>
          <w:szCs w:val="22"/>
        </w:rPr>
        <w:t xml:space="preserve"> Int</w:t>
      </w:r>
      <w:r>
        <w:rPr>
          <w:rStyle w:val="cf01"/>
          <w:rFonts w:asciiTheme="minorHAnsi" w:hAnsiTheme="minorHAnsi" w:cstheme="minorHAnsi"/>
          <w:sz w:val="22"/>
          <w:szCs w:val="22"/>
        </w:rPr>
        <w:t xml:space="preserve"> 2020; </w:t>
      </w:r>
      <w:r w:rsidRPr="001B6A62">
        <w:rPr>
          <w:rStyle w:val="cf01"/>
          <w:rFonts w:asciiTheme="minorHAnsi" w:hAnsiTheme="minorHAnsi" w:cstheme="minorHAnsi"/>
          <w:sz w:val="22"/>
          <w:szCs w:val="22"/>
        </w:rPr>
        <w:t>31</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1: 67-75.</w:t>
      </w:r>
    </w:p>
    <w:p w14:paraId="47483C50" w14:textId="6800EA29"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r w:rsidRPr="001B6A62">
        <w:rPr>
          <w:rStyle w:val="cf01"/>
          <w:rFonts w:asciiTheme="minorHAnsi" w:hAnsiTheme="minorHAnsi" w:cstheme="minorHAnsi"/>
          <w:sz w:val="22"/>
          <w:szCs w:val="22"/>
        </w:rPr>
        <w:t>Stuurman-</w:t>
      </w:r>
      <w:proofErr w:type="spellStart"/>
      <w:r w:rsidRPr="001B6A62">
        <w:rPr>
          <w:rStyle w:val="cf01"/>
          <w:rFonts w:asciiTheme="minorHAnsi" w:hAnsiTheme="minorHAnsi" w:cstheme="minorHAnsi"/>
          <w:sz w:val="22"/>
          <w:szCs w:val="22"/>
        </w:rPr>
        <w:t>Bieze</w:t>
      </w:r>
      <w:proofErr w:type="spellEnd"/>
      <w:r>
        <w:rPr>
          <w:rStyle w:val="cf01"/>
          <w:rFonts w:asciiTheme="minorHAnsi" w:hAnsiTheme="minorHAnsi" w:cstheme="minorHAnsi"/>
          <w:sz w:val="22"/>
          <w:szCs w:val="22"/>
        </w:rPr>
        <w:t xml:space="preserve"> A</w:t>
      </w:r>
      <w:r w:rsidRPr="001B6A62">
        <w:rPr>
          <w:rStyle w:val="cf01"/>
          <w:rFonts w:asciiTheme="minorHAnsi" w:hAnsiTheme="minorHAnsi" w:cstheme="minorHAnsi"/>
          <w:sz w:val="22"/>
          <w:szCs w:val="22"/>
        </w:rPr>
        <w:t>, Hiddink</w:t>
      </w:r>
      <w:r>
        <w:rPr>
          <w:rStyle w:val="cf01"/>
          <w:rFonts w:asciiTheme="minorHAnsi" w:hAnsiTheme="minorHAnsi" w:cstheme="minorHAnsi"/>
          <w:sz w:val="22"/>
          <w:szCs w:val="22"/>
        </w:rPr>
        <w:t xml:space="preserve"> E</w:t>
      </w:r>
      <w:r w:rsidRPr="001B6A62">
        <w:rPr>
          <w:rStyle w:val="cf01"/>
          <w:rFonts w:asciiTheme="minorHAnsi" w:hAnsiTheme="minorHAnsi" w:cstheme="minorHAnsi"/>
          <w:sz w:val="22"/>
          <w:szCs w:val="22"/>
        </w:rPr>
        <w:t>,</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Van Boven</w:t>
      </w:r>
      <w:r>
        <w:rPr>
          <w:rStyle w:val="cf01"/>
          <w:rFonts w:asciiTheme="minorHAnsi" w:hAnsiTheme="minorHAnsi" w:cstheme="minorHAnsi"/>
          <w:sz w:val="22"/>
          <w:szCs w:val="22"/>
        </w:rPr>
        <w:t xml:space="preserve"> J</w:t>
      </w:r>
      <w:r w:rsidRPr="001B6A62">
        <w:rPr>
          <w:rStyle w:val="cf01"/>
          <w:rFonts w:asciiTheme="minorHAnsi" w:hAnsiTheme="minorHAnsi" w:cstheme="minorHAnsi"/>
          <w:sz w:val="22"/>
          <w:szCs w:val="22"/>
        </w:rPr>
        <w:t xml:space="preserve">, </w:t>
      </w:r>
      <w:proofErr w:type="spellStart"/>
      <w:r w:rsidRPr="001B6A62">
        <w:rPr>
          <w:rStyle w:val="cf01"/>
          <w:rFonts w:asciiTheme="minorHAnsi" w:hAnsiTheme="minorHAnsi" w:cstheme="minorHAnsi"/>
          <w:sz w:val="22"/>
          <w:szCs w:val="22"/>
        </w:rPr>
        <w:t>Vegter</w:t>
      </w:r>
      <w:r>
        <w:rPr>
          <w:rStyle w:val="cf01"/>
          <w:rFonts w:asciiTheme="minorHAnsi" w:hAnsiTheme="minorHAnsi" w:cstheme="minorHAnsi"/>
          <w:sz w:val="22"/>
          <w:szCs w:val="22"/>
        </w:rPr>
        <w:t>S</w:t>
      </w:r>
      <w:proofErr w:type="spellEnd"/>
      <w:r w:rsidRPr="001B6A62">
        <w:rPr>
          <w:rStyle w:val="cf01"/>
          <w:rFonts w:asciiTheme="minorHAnsi" w:hAnsiTheme="minorHAnsi" w:cstheme="minorHAnsi"/>
          <w:sz w:val="22"/>
          <w:szCs w:val="22"/>
        </w:rPr>
        <w:t>. Proactive pharmaceutical care interventions decrease patients’ nonadherence to osteoporosis medication. </w:t>
      </w:r>
      <w:proofErr w:type="spellStart"/>
      <w:r w:rsidRPr="001B6A62">
        <w:rPr>
          <w:rStyle w:val="cf01"/>
          <w:rFonts w:asciiTheme="minorHAnsi" w:hAnsiTheme="minorHAnsi" w:cstheme="minorHAnsi"/>
          <w:sz w:val="22"/>
          <w:szCs w:val="22"/>
        </w:rPr>
        <w:t>Osteoporos</w:t>
      </w:r>
      <w:proofErr w:type="spellEnd"/>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Int</w:t>
      </w:r>
      <w:r>
        <w:rPr>
          <w:rStyle w:val="cf01"/>
          <w:rFonts w:asciiTheme="minorHAnsi" w:hAnsiTheme="minorHAnsi" w:cstheme="minorHAnsi"/>
          <w:sz w:val="22"/>
          <w:szCs w:val="22"/>
        </w:rPr>
        <w:t xml:space="preserve"> 2014; </w:t>
      </w:r>
      <w:r w:rsidRPr="001B6A62">
        <w:rPr>
          <w:rStyle w:val="cf01"/>
          <w:rFonts w:asciiTheme="minorHAnsi" w:hAnsiTheme="minorHAnsi" w:cstheme="minorHAnsi"/>
          <w:sz w:val="22"/>
          <w:szCs w:val="22"/>
        </w:rPr>
        <w:t>25</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6</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 xml:space="preserve"> 1807-1812.</w:t>
      </w:r>
    </w:p>
    <w:p w14:paraId="393E9C62" w14:textId="3198774D"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proofErr w:type="spellStart"/>
      <w:r w:rsidRPr="001B6A62">
        <w:rPr>
          <w:rStyle w:val="cf01"/>
          <w:rFonts w:asciiTheme="minorHAnsi" w:hAnsiTheme="minorHAnsi" w:cstheme="minorHAnsi"/>
          <w:sz w:val="22"/>
          <w:szCs w:val="22"/>
        </w:rPr>
        <w:lastRenderedPageBreak/>
        <w:t>Tüzün</w:t>
      </w:r>
      <w:proofErr w:type="spellEnd"/>
      <w:r w:rsidRPr="001B6A62">
        <w:rPr>
          <w:rStyle w:val="cf01"/>
          <w:rFonts w:asciiTheme="minorHAnsi" w:hAnsiTheme="minorHAnsi" w:cstheme="minorHAnsi"/>
          <w:sz w:val="22"/>
          <w:szCs w:val="22"/>
        </w:rPr>
        <w:t xml:space="preserve"> Ş, </w:t>
      </w:r>
      <w:proofErr w:type="spellStart"/>
      <w:r w:rsidRPr="001B6A62">
        <w:rPr>
          <w:rStyle w:val="cf01"/>
          <w:rFonts w:asciiTheme="minorHAnsi" w:hAnsiTheme="minorHAnsi" w:cstheme="minorHAnsi"/>
          <w:sz w:val="22"/>
          <w:szCs w:val="22"/>
        </w:rPr>
        <w:t>Akyüz</w:t>
      </w:r>
      <w:proofErr w:type="spellEnd"/>
      <w:r>
        <w:rPr>
          <w:rStyle w:val="cf01"/>
          <w:rFonts w:asciiTheme="minorHAnsi" w:hAnsiTheme="minorHAnsi" w:cstheme="minorHAnsi"/>
          <w:sz w:val="22"/>
          <w:szCs w:val="22"/>
        </w:rPr>
        <w:t xml:space="preserve"> G</w:t>
      </w:r>
      <w:r w:rsidRPr="001B6A62">
        <w:rPr>
          <w:rStyle w:val="cf01"/>
          <w:rFonts w:asciiTheme="minorHAnsi" w:hAnsiTheme="minorHAnsi" w:cstheme="minorHAnsi"/>
          <w:sz w:val="22"/>
          <w:szCs w:val="22"/>
        </w:rPr>
        <w:t xml:space="preserve">, </w:t>
      </w:r>
      <w:proofErr w:type="spellStart"/>
      <w:r w:rsidRPr="001B6A62">
        <w:rPr>
          <w:rStyle w:val="cf01"/>
          <w:rFonts w:asciiTheme="minorHAnsi" w:hAnsiTheme="minorHAnsi" w:cstheme="minorHAnsi"/>
          <w:sz w:val="22"/>
          <w:szCs w:val="22"/>
        </w:rPr>
        <w:t>Eskiyurt</w:t>
      </w:r>
      <w:proofErr w:type="spellEnd"/>
      <w:r>
        <w:rPr>
          <w:rStyle w:val="cf01"/>
          <w:rFonts w:asciiTheme="minorHAnsi" w:hAnsiTheme="minorHAnsi" w:cstheme="minorHAnsi"/>
          <w:sz w:val="22"/>
          <w:szCs w:val="22"/>
        </w:rPr>
        <w:t xml:space="preserve"> N</w:t>
      </w:r>
      <w:r w:rsidRPr="001B6A62">
        <w:rPr>
          <w:rStyle w:val="cf01"/>
          <w:rFonts w:asciiTheme="minorHAnsi" w:hAnsiTheme="minorHAnsi" w:cstheme="minorHAnsi"/>
          <w:sz w:val="22"/>
          <w:szCs w:val="22"/>
        </w:rPr>
        <w:t>, et al. Impact of the training on the compliance and persistence of weekly bisphosphonate treatment in postmenopausal osteoporosis: a randomized controlled study. </w:t>
      </w:r>
      <w:r>
        <w:rPr>
          <w:rStyle w:val="cf01"/>
          <w:rFonts w:asciiTheme="minorHAnsi" w:hAnsiTheme="minorHAnsi" w:cstheme="minorHAnsi"/>
          <w:sz w:val="22"/>
          <w:szCs w:val="22"/>
        </w:rPr>
        <w:t>Int J Med Sci 2013;</w:t>
      </w:r>
      <w:r w:rsidRPr="001B6A62">
        <w:rPr>
          <w:rStyle w:val="cf01"/>
          <w:rFonts w:asciiTheme="minorHAnsi" w:hAnsiTheme="minorHAnsi" w:cstheme="minorHAnsi"/>
          <w:sz w:val="22"/>
          <w:szCs w:val="22"/>
        </w:rPr>
        <w:t xml:space="preserve"> 10</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13: 1880.</w:t>
      </w:r>
    </w:p>
    <w:p w14:paraId="320234D8" w14:textId="5A89CBE6"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r w:rsidRPr="001B6A62">
        <w:rPr>
          <w:rStyle w:val="cf01"/>
          <w:rFonts w:asciiTheme="minorHAnsi" w:hAnsiTheme="minorHAnsi" w:cstheme="minorHAnsi"/>
          <w:sz w:val="22"/>
          <w:szCs w:val="22"/>
        </w:rPr>
        <w:t>Van Maren</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 xml:space="preserve">M, </w:t>
      </w:r>
      <w:proofErr w:type="spellStart"/>
      <w:r w:rsidRPr="001B6A62">
        <w:rPr>
          <w:rStyle w:val="cf01"/>
          <w:rFonts w:asciiTheme="minorHAnsi" w:hAnsiTheme="minorHAnsi" w:cstheme="minorHAnsi"/>
          <w:sz w:val="22"/>
          <w:szCs w:val="22"/>
        </w:rPr>
        <w:t>Wyers</w:t>
      </w:r>
      <w:proofErr w:type="spellEnd"/>
      <w:r>
        <w:rPr>
          <w:rStyle w:val="cf01"/>
          <w:rFonts w:asciiTheme="minorHAnsi" w:hAnsiTheme="minorHAnsi" w:cstheme="minorHAnsi"/>
          <w:sz w:val="22"/>
          <w:szCs w:val="22"/>
        </w:rPr>
        <w:t xml:space="preserve"> C</w:t>
      </w:r>
      <w:r w:rsidRPr="001B6A62">
        <w:rPr>
          <w:rStyle w:val="cf01"/>
          <w:rFonts w:asciiTheme="minorHAnsi" w:hAnsiTheme="minorHAnsi" w:cstheme="minorHAnsi"/>
          <w:sz w:val="22"/>
          <w:szCs w:val="22"/>
        </w:rPr>
        <w:t>, Driessen</w:t>
      </w:r>
      <w:r>
        <w:rPr>
          <w:rStyle w:val="cf01"/>
          <w:rFonts w:asciiTheme="minorHAnsi" w:hAnsiTheme="minorHAnsi" w:cstheme="minorHAnsi"/>
          <w:sz w:val="22"/>
          <w:szCs w:val="22"/>
        </w:rPr>
        <w:t xml:space="preserve"> J</w:t>
      </w:r>
      <w:r w:rsidRPr="001B6A62">
        <w:rPr>
          <w:rStyle w:val="cf01"/>
          <w:rFonts w:asciiTheme="minorHAnsi" w:hAnsiTheme="minorHAnsi" w:cstheme="minorHAnsi"/>
          <w:sz w:val="22"/>
          <w:szCs w:val="22"/>
        </w:rPr>
        <w:t xml:space="preserve">, </w:t>
      </w:r>
      <w:r>
        <w:rPr>
          <w:rStyle w:val="cf01"/>
          <w:rFonts w:asciiTheme="minorHAnsi" w:hAnsiTheme="minorHAnsi" w:cstheme="minorHAnsi"/>
          <w:sz w:val="22"/>
          <w:szCs w:val="22"/>
        </w:rPr>
        <w:t xml:space="preserve">et al. </w:t>
      </w:r>
      <w:r w:rsidRPr="001B6A62">
        <w:rPr>
          <w:rStyle w:val="cf01"/>
          <w:rFonts w:asciiTheme="minorHAnsi" w:hAnsiTheme="minorHAnsi" w:cstheme="minorHAnsi"/>
          <w:sz w:val="22"/>
          <w:szCs w:val="22"/>
        </w:rPr>
        <w:t>Two-year persistence with teriparatide improved significantly after introduction of an educational and motivational support program. </w:t>
      </w:r>
      <w:proofErr w:type="spellStart"/>
      <w:r w:rsidRPr="001B6A62">
        <w:rPr>
          <w:rStyle w:val="cf01"/>
          <w:rFonts w:asciiTheme="minorHAnsi" w:hAnsiTheme="minorHAnsi" w:cstheme="minorHAnsi"/>
          <w:sz w:val="22"/>
          <w:szCs w:val="22"/>
        </w:rPr>
        <w:t>Osteoporos</w:t>
      </w:r>
      <w:proofErr w:type="spellEnd"/>
      <w:r w:rsidRPr="001B6A62">
        <w:rPr>
          <w:rStyle w:val="cf01"/>
          <w:rFonts w:asciiTheme="minorHAnsi" w:hAnsiTheme="minorHAnsi" w:cstheme="minorHAnsi"/>
          <w:sz w:val="22"/>
          <w:szCs w:val="22"/>
        </w:rPr>
        <w:t xml:space="preserve"> Int</w:t>
      </w:r>
      <w:r>
        <w:rPr>
          <w:rStyle w:val="cf01"/>
          <w:rFonts w:asciiTheme="minorHAnsi" w:hAnsiTheme="minorHAnsi" w:cstheme="minorHAnsi"/>
          <w:sz w:val="22"/>
          <w:szCs w:val="22"/>
        </w:rPr>
        <w:t xml:space="preserve"> 2019;</w:t>
      </w:r>
      <w:r w:rsidRPr="001B6A62">
        <w:rPr>
          <w:rStyle w:val="cf01"/>
          <w:rFonts w:asciiTheme="minorHAnsi" w:hAnsiTheme="minorHAnsi" w:cstheme="minorHAnsi"/>
          <w:sz w:val="22"/>
          <w:szCs w:val="22"/>
        </w:rPr>
        <w:t> 30</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9: 1837-1844.</w:t>
      </w:r>
    </w:p>
    <w:p w14:paraId="5D20A078" w14:textId="4872D814"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proofErr w:type="spellStart"/>
      <w:r w:rsidRPr="001B6A62">
        <w:rPr>
          <w:rStyle w:val="cf01"/>
          <w:rFonts w:asciiTheme="minorHAnsi" w:hAnsiTheme="minorHAnsi" w:cstheme="minorHAnsi"/>
          <w:sz w:val="22"/>
          <w:szCs w:val="22"/>
        </w:rPr>
        <w:t>Montori</w:t>
      </w:r>
      <w:proofErr w:type="spellEnd"/>
      <w:r>
        <w:rPr>
          <w:rStyle w:val="cf01"/>
          <w:rFonts w:asciiTheme="minorHAnsi" w:hAnsiTheme="minorHAnsi" w:cstheme="minorHAnsi"/>
          <w:sz w:val="22"/>
          <w:szCs w:val="22"/>
        </w:rPr>
        <w:t xml:space="preserve"> V</w:t>
      </w:r>
      <w:r w:rsidRPr="001B6A62">
        <w:rPr>
          <w:rStyle w:val="cf01"/>
          <w:rFonts w:asciiTheme="minorHAnsi" w:hAnsiTheme="minorHAnsi" w:cstheme="minorHAnsi"/>
          <w:sz w:val="22"/>
          <w:szCs w:val="22"/>
        </w:rPr>
        <w:t>, Shah</w:t>
      </w:r>
      <w:r>
        <w:rPr>
          <w:rStyle w:val="cf01"/>
          <w:rFonts w:asciiTheme="minorHAnsi" w:hAnsiTheme="minorHAnsi" w:cstheme="minorHAnsi"/>
          <w:sz w:val="22"/>
          <w:szCs w:val="22"/>
        </w:rPr>
        <w:t xml:space="preserve"> N</w:t>
      </w:r>
      <w:r w:rsidRPr="001B6A62">
        <w:rPr>
          <w:rStyle w:val="cf01"/>
          <w:rFonts w:asciiTheme="minorHAnsi" w:hAnsiTheme="minorHAnsi" w:cstheme="minorHAnsi"/>
          <w:sz w:val="22"/>
          <w:szCs w:val="22"/>
        </w:rPr>
        <w:t xml:space="preserve">, </w:t>
      </w:r>
      <w:proofErr w:type="spellStart"/>
      <w:r w:rsidRPr="001B6A62">
        <w:rPr>
          <w:rStyle w:val="cf01"/>
          <w:rFonts w:asciiTheme="minorHAnsi" w:hAnsiTheme="minorHAnsi" w:cstheme="minorHAnsi"/>
          <w:sz w:val="22"/>
          <w:szCs w:val="22"/>
        </w:rPr>
        <w:t>Pencille</w:t>
      </w:r>
      <w:proofErr w:type="spellEnd"/>
      <w:r>
        <w:rPr>
          <w:rStyle w:val="cf01"/>
          <w:rFonts w:asciiTheme="minorHAnsi" w:hAnsiTheme="minorHAnsi" w:cstheme="minorHAnsi"/>
          <w:sz w:val="22"/>
          <w:szCs w:val="22"/>
        </w:rPr>
        <w:t xml:space="preserve"> L</w:t>
      </w:r>
      <w:r w:rsidRPr="001B6A62">
        <w:rPr>
          <w:rStyle w:val="cf01"/>
          <w:rFonts w:asciiTheme="minorHAnsi" w:hAnsiTheme="minorHAnsi" w:cstheme="minorHAnsi"/>
          <w:sz w:val="22"/>
          <w:szCs w:val="22"/>
        </w:rPr>
        <w:t>, et al. Use of a decision aid to improve treatment decisions in osteoporosis: the osteoporosis choice randomized trial. </w:t>
      </w:r>
      <w:r>
        <w:rPr>
          <w:rStyle w:val="cf01"/>
          <w:rFonts w:asciiTheme="minorHAnsi" w:hAnsiTheme="minorHAnsi" w:cstheme="minorHAnsi"/>
          <w:sz w:val="22"/>
          <w:szCs w:val="22"/>
        </w:rPr>
        <w:t xml:space="preserve">Am J med 2011; </w:t>
      </w:r>
      <w:r w:rsidRPr="001B6A62">
        <w:rPr>
          <w:rStyle w:val="cf01"/>
          <w:rFonts w:asciiTheme="minorHAnsi" w:hAnsiTheme="minorHAnsi" w:cstheme="minorHAnsi"/>
          <w:sz w:val="22"/>
          <w:szCs w:val="22"/>
        </w:rPr>
        <w:t>124</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6</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549-556.</w:t>
      </w:r>
    </w:p>
    <w:p w14:paraId="47B90D2F" w14:textId="77777777"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proofErr w:type="spellStart"/>
      <w:r w:rsidRPr="001B6A62">
        <w:rPr>
          <w:rStyle w:val="cf01"/>
          <w:rFonts w:asciiTheme="minorHAnsi" w:hAnsiTheme="minorHAnsi" w:cstheme="minorHAnsi"/>
          <w:sz w:val="22"/>
          <w:szCs w:val="22"/>
        </w:rPr>
        <w:t>Baqir</w:t>
      </w:r>
      <w:proofErr w:type="spellEnd"/>
      <w:r w:rsidRPr="001B6A62">
        <w:rPr>
          <w:rStyle w:val="cf01"/>
          <w:rFonts w:asciiTheme="minorHAnsi" w:hAnsiTheme="minorHAnsi" w:cstheme="minorHAnsi"/>
          <w:sz w:val="22"/>
          <w:szCs w:val="22"/>
        </w:rPr>
        <w:t xml:space="preserve"> W.</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Gray</w:t>
      </w:r>
      <w:r>
        <w:rPr>
          <w:rStyle w:val="cf01"/>
          <w:rFonts w:asciiTheme="minorHAnsi" w:hAnsiTheme="minorHAnsi" w:cstheme="minorHAnsi"/>
          <w:sz w:val="22"/>
          <w:szCs w:val="22"/>
        </w:rPr>
        <w:t xml:space="preserve"> W</w:t>
      </w:r>
      <w:r w:rsidRPr="001B6A62">
        <w:rPr>
          <w:rStyle w:val="cf01"/>
          <w:rFonts w:asciiTheme="minorHAnsi" w:hAnsiTheme="minorHAnsi" w:cstheme="minorHAnsi"/>
          <w:sz w:val="22"/>
          <w:szCs w:val="22"/>
        </w:rPr>
        <w:t>, Blair A</w:t>
      </w:r>
      <w:r>
        <w:rPr>
          <w:rStyle w:val="cf01"/>
          <w:rFonts w:asciiTheme="minorHAnsi" w:hAnsiTheme="minorHAnsi" w:cstheme="minorHAnsi"/>
          <w:sz w:val="22"/>
          <w:szCs w:val="22"/>
        </w:rPr>
        <w:t>, et al</w:t>
      </w:r>
      <w:r w:rsidRPr="001B6A62">
        <w:rPr>
          <w:rStyle w:val="cf01"/>
          <w:rFonts w:asciiTheme="minorHAnsi" w:hAnsiTheme="minorHAnsi" w:cstheme="minorHAnsi"/>
          <w:sz w:val="22"/>
          <w:szCs w:val="22"/>
        </w:rPr>
        <w:t>. Osteoporosis group consultations are as effective as usual care: results from a non‐inferiority randomized trial. Lifestyle Medicine</w:t>
      </w:r>
      <w:r>
        <w:rPr>
          <w:rStyle w:val="cf01"/>
          <w:rFonts w:asciiTheme="minorHAnsi" w:hAnsiTheme="minorHAnsi" w:cstheme="minorHAnsi"/>
          <w:sz w:val="22"/>
          <w:szCs w:val="22"/>
        </w:rPr>
        <w:t xml:space="preserve"> 2020;</w:t>
      </w:r>
      <w:r w:rsidRPr="001B6A62">
        <w:rPr>
          <w:rStyle w:val="cf01"/>
          <w:rFonts w:asciiTheme="minorHAnsi" w:hAnsiTheme="minorHAnsi" w:cstheme="minorHAnsi"/>
          <w:sz w:val="22"/>
          <w:szCs w:val="22"/>
        </w:rPr>
        <w:t> 1</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1</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 xml:space="preserve"> e3</w:t>
      </w:r>
    </w:p>
    <w:p w14:paraId="213BAC01" w14:textId="77777777" w:rsidR="00127B45" w:rsidRPr="006A46D5"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r w:rsidRPr="006A46D5">
        <w:rPr>
          <w:rStyle w:val="cf01"/>
          <w:rFonts w:asciiTheme="minorHAnsi" w:hAnsiTheme="minorHAnsi" w:cstheme="minorHAnsi"/>
          <w:sz w:val="22"/>
          <w:szCs w:val="22"/>
        </w:rPr>
        <w:t xml:space="preserve">Salter C, McDaid L, Bhattacharya D et al. Abandoned acid? Understanding adherence to bisphosphonate medications for the prevention of osteoporosis among older women: a qualitative longitudinal study. </w:t>
      </w:r>
      <w:proofErr w:type="spellStart"/>
      <w:r w:rsidRPr="006A46D5">
        <w:rPr>
          <w:rStyle w:val="cf01"/>
          <w:rFonts w:asciiTheme="minorHAnsi" w:hAnsiTheme="minorHAnsi" w:cstheme="minorHAnsi"/>
          <w:sz w:val="22"/>
          <w:szCs w:val="22"/>
        </w:rPr>
        <w:t>PLoS</w:t>
      </w:r>
      <w:proofErr w:type="spellEnd"/>
      <w:r w:rsidRPr="006A46D5">
        <w:rPr>
          <w:rStyle w:val="cf01"/>
          <w:rFonts w:asciiTheme="minorHAnsi" w:hAnsiTheme="minorHAnsi" w:cstheme="minorHAnsi"/>
          <w:sz w:val="22"/>
          <w:szCs w:val="22"/>
        </w:rPr>
        <w:t xml:space="preserve"> One 2014; 2:9: 1</w:t>
      </w:r>
    </w:p>
    <w:p w14:paraId="0942535F" w14:textId="77777777"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r w:rsidRPr="001B6A62">
        <w:rPr>
          <w:rStyle w:val="cf01"/>
          <w:rFonts w:asciiTheme="minorHAnsi" w:hAnsiTheme="minorHAnsi" w:cstheme="minorHAnsi"/>
          <w:sz w:val="22"/>
          <w:szCs w:val="22"/>
        </w:rPr>
        <w:t xml:space="preserve">Shepstone L., </w:t>
      </w:r>
      <w:proofErr w:type="spellStart"/>
      <w:r w:rsidRPr="001B6A62">
        <w:rPr>
          <w:rStyle w:val="cf01"/>
          <w:rFonts w:asciiTheme="minorHAnsi" w:hAnsiTheme="minorHAnsi" w:cstheme="minorHAnsi"/>
          <w:sz w:val="22"/>
          <w:szCs w:val="22"/>
        </w:rPr>
        <w:t>Lenaghan</w:t>
      </w:r>
      <w:proofErr w:type="spellEnd"/>
      <w:r w:rsidRPr="001B6A62">
        <w:rPr>
          <w:rStyle w:val="cf01"/>
          <w:rFonts w:asciiTheme="minorHAnsi" w:hAnsiTheme="minorHAnsi" w:cstheme="minorHAnsi"/>
          <w:sz w:val="22"/>
          <w:szCs w:val="22"/>
        </w:rPr>
        <w:t xml:space="preserve"> E</w:t>
      </w:r>
      <w:r>
        <w:rPr>
          <w:rStyle w:val="cf01"/>
          <w:rFonts w:asciiTheme="minorHAnsi" w:hAnsiTheme="minorHAnsi" w:cstheme="minorHAnsi"/>
          <w:sz w:val="22"/>
          <w:szCs w:val="22"/>
        </w:rPr>
        <w:t xml:space="preserve">, </w:t>
      </w:r>
      <w:proofErr w:type="spellStart"/>
      <w:r w:rsidRPr="001B6A62">
        <w:rPr>
          <w:rStyle w:val="cf01"/>
          <w:rFonts w:asciiTheme="minorHAnsi" w:hAnsiTheme="minorHAnsi" w:cstheme="minorHAnsi"/>
          <w:sz w:val="22"/>
          <w:szCs w:val="22"/>
        </w:rPr>
        <w:t>CooperC</w:t>
      </w:r>
      <w:proofErr w:type="spellEnd"/>
      <w:r>
        <w:rPr>
          <w:rStyle w:val="cf01"/>
          <w:rFonts w:asciiTheme="minorHAnsi" w:hAnsiTheme="minorHAnsi" w:cstheme="minorHAnsi"/>
          <w:sz w:val="22"/>
          <w:szCs w:val="22"/>
        </w:rPr>
        <w:t xml:space="preserve">, et al. </w:t>
      </w:r>
      <w:r w:rsidRPr="001B6A62">
        <w:rPr>
          <w:rStyle w:val="cf01"/>
          <w:rFonts w:asciiTheme="minorHAnsi" w:hAnsiTheme="minorHAnsi" w:cstheme="minorHAnsi"/>
          <w:sz w:val="22"/>
          <w:szCs w:val="22"/>
        </w:rPr>
        <w:t>Screening in the community to reduce fractures in older women (SCOOP): a randomised controlled trial. The Lancet</w:t>
      </w:r>
      <w:r>
        <w:rPr>
          <w:rStyle w:val="cf01"/>
          <w:rFonts w:asciiTheme="minorHAnsi" w:hAnsiTheme="minorHAnsi" w:cstheme="minorHAnsi"/>
          <w:sz w:val="22"/>
          <w:szCs w:val="22"/>
        </w:rPr>
        <w:t xml:space="preserve"> 2018;</w:t>
      </w:r>
      <w:r w:rsidRPr="001B6A62">
        <w:rPr>
          <w:rStyle w:val="cf01"/>
          <w:rFonts w:asciiTheme="minorHAnsi" w:hAnsiTheme="minorHAnsi" w:cstheme="minorHAnsi"/>
          <w:sz w:val="22"/>
          <w:szCs w:val="22"/>
        </w:rPr>
        <w:t> 39</w:t>
      </w:r>
      <w:r>
        <w:rPr>
          <w:rStyle w:val="cf01"/>
          <w:rFonts w:asciiTheme="minorHAnsi" w:hAnsiTheme="minorHAnsi" w:cstheme="minorHAnsi"/>
          <w:sz w:val="22"/>
          <w:szCs w:val="22"/>
        </w:rPr>
        <w:t>1:</w:t>
      </w:r>
      <w:r w:rsidRPr="001B6A62">
        <w:rPr>
          <w:rStyle w:val="cf01"/>
          <w:rFonts w:asciiTheme="minorHAnsi" w:hAnsiTheme="minorHAnsi" w:cstheme="minorHAnsi"/>
          <w:sz w:val="22"/>
          <w:szCs w:val="22"/>
        </w:rPr>
        <w:t>10122</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 xml:space="preserve"> 741-747.</w:t>
      </w:r>
    </w:p>
    <w:p w14:paraId="50850F0B" w14:textId="77777777"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proofErr w:type="spellStart"/>
      <w:r w:rsidRPr="001B6A62">
        <w:rPr>
          <w:rStyle w:val="cf01"/>
          <w:rFonts w:asciiTheme="minorHAnsi" w:hAnsiTheme="minorHAnsi" w:cstheme="minorHAnsi"/>
          <w:sz w:val="22"/>
          <w:szCs w:val="22"/>
        </w:rPr>
        <w:t>Cizmic</w:t>
      </w:r>
      <w:proofErr w:type="spellEnd"/>
      <w:r w:rsidRPr="001B6A62">
        <w:rPr>
          <w:rStyle w:val="cf01"/>
          <w:rFonts w:asciiTheme="minorHAnsi" w:hAnsiTheme="minorHAnsi" w:cstheme="minorHAnsi"/>
          <w:sz w:val="22"/>
          <w:szCs w:val="22"/>
        </w:rPr>
        <w:t xml:space="preserve"> A, </w:t>
      </w:r>
      <w:proofErr w:type="spellStart"/>
      <w:r w:rsidRPr="001B6A62">
        <w:rPr>
          <w:rStyle w:val="cf01"/>
          <w:rFonts w:asciiTheme="minorHAnsi" w:hAnsiTheme="minorHAnsi" w:cstheme="minorHAnsi"/>
          <w:sz w:val="22"/>
          <w:szCs w:val="22"/>
        </w:rPr>
        <w:t>Heilmann</w:t>
      </w:r>
      <w:proofErr w:type="spellEnd"/>
      <w:r w:rsidRPr="001B6A62">
        <w:rPr>
          <w:rStyle w:val="cf01"/>
          <w:rFonts w:asciiTheme="minorHAnsi" w:hAnsiTheme="minorHAnsi" w:cstheme="minorHAnsi"/>
          <w:sz w:val="22"/>
          <w:szCs w:val="22"/>
        </w:rPr>
        <w:t xml:space="preserve"> R, </w:t>
      </w:r>
      <w:proofErr w:type="spellStart"/>
      <w:r w:rsidRPr="001B6A62">
        <w:rPr>
          <w:rStyle w:val="cf01"/>
          <w:rFonts w:asciiTheme="minorHAnsi" w:hAnsiTheme="minorHAnsi" w:cstheme="minorHAnsi"/>
          <w:sz w:val="22"/>
          <w:szCs w:val="22"/>
        </w:rPr>
        <w:t>Milchak</w:t>
      </w:r>
      <w:proofErr w:type="spellEnd"/>
      <w:r w:rsidRPr="001B6A62">
        <w:rPr>
          <w:rStyle w:val="cf01"/>
          <w:rFonts w:asciiTheme="minorHAnsi" w:hAnsiTheme="minorHAnsi" w:cstheme="minorHAnsi"/>
          <w:sz w:val="22"/>
          <w:szCs w:val="22"/>
        </w:rPr>
        <w:t xml:space="preserve"> J</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 et al. Impact of interactive voice response technology on primary adherence to bisphosphonate therapy: a randomized controlled trial. </w:t>
      </w:r>
      <w:proofErr w:type="spellStart"/>
      <w:r w:rsidRPr="001B6A62">
        <w:rPr>
          <w:rStyle w:val="cf01"/>
          <w:rFonts w:asciiTheme="minorHAnsi" w:hAnsiTheme="minorHAnsi" w:cstheme="minorHAnsi"/>
          <w:sz w:val="22"/>
          <w:szCs w:val="22"/>
        </w:rPr>
        <w:t>Osteoporos</w:t>
      </w:r>
      <w:proofErr w:type="spellEnd"/>
      <w:r w:rsidRPr="001B6A62">
        <w:rPr>
          <w:rStyle w:val="cf01"/>
          <w:rFonts w:asciiTheme="minorHAnsi" w:hAnsiTheme="minorHAnsi" w:cstheme="minorHAnsi"/>
          <w:sz w:val="22"/>
          <w:szCs w:val="22"/>
        </w:rPr>
        <w:t xml:space="preserve"> Int</w:t>
      </w:r>
      <w:r>
        <w:rPr>
          <w:rStyle w:val="cf01"/>
          <w:rFonts w:asciiTheme="minorHAnsi" w:hAnsiTheme="minorHAnsi" w:cstheme="minorHAnsi"/>
          <w:sz w:val="22"/>
          <w:szCs w:val="22"/>
        </w:rPr>
        <w:t xml:space="preserve"> 2015;</w:t>
      </w:r>
      <w:r w:rsidRPr="001B6A62">
        <w:rPr>
          <w:rStyle w:val="cf01"/>
          <w:rFonts w:asciiTheme="minorHAnsi" w:hAnsiTheme="minorHAnsi" w:cstheme="minorHAnsi"/>
          <w:sz w:val="22"/>
          <w:szCs w:val="22"/>
        </w:rPr>
        <w:t> 26</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2131–2136</w:t>
      </w:r>
    </w:p>
    <w:p w14:paraId="1B9F074B" w14:textId="77777777"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r w:rsidRPr="001B6A62">
        <w:rPr>
          <w:rStyle w:val="cf01"/>
          <w:rFonts w:asciiTheme="minorHAnsi" w:hAnsiTheme="minorHAnsi" w:cstheme="minorHAnsi"/>
          <w:sz w:val="22"/>
          <w:szCs w:val="22"/>
        </w:rPr>
        <w:t>Spence</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M</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 xml:space="preserve"> </w:t>
      </w:r>
      <w:proofErr w:type="spellStart"/>
      <w:r w:rsidRPr="001B6A62">
        <w:rPr>
          <w:rStyle w:val="cf01"/>
          <w:rFonts w:asciiTheme="minorHAnsi" w:hAnsiTheme="minorHAnsi" w:cstheme="minorHAnsi"/>
          <w:sz w:val="22"/>
          <w:szCs w:val="22"/>
        </w:rPr>
        <w:t>Makarem</w:t>
      </w:r>
      <w:proofErr w:type="spellEnd"/>
      <w:r w:rsidRPr="001B6A62">
        <w:rPr>
          <w:rStyle w:val="cf01"/>
          <w:rFonts w:asciiTheme="minorHAnsi" w:hAnsiTheme="minorHAnsi" w:cstheme="minorHAnsi"/>
          <w:sz w:val="22"/>
          <w:szCs w:val="22"/>
        </w:rPr>
        <w:t xml:space="preserve"> A, Reyes S</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 xml:space="preserve"> Nguyen C; Evaluation of an Outpatient Pharmacy Clinical Services Program on Adherence and Fractures among Patients with Osteoporosis. </w:t>
      </w:r>
      <w:r w:rsidRPr="001B6A62">
        <w:rPr>
          <w:rStyle w:val="cf01"/>
          <w:rFonts w:asciiTheme="minorHAnsi" w:hAnsiTheme="minorHAnsi" w:cstheme="minorHAnsi"/>
          <w:i/>
          <w:iCs/>
          <w:sz w:val="22"/>
          <w:szCs w:val="22"/>
        </w:rPr>
        <w:t>Journal of Contemporary Pharmacy Practice</w:t>
      </w:r>
      <w:r>
        <w:rPr>
          <w:rStyle w:val="cf01"/>
          <w:rFonts w:asciiTheme="minorHAnsi" w:hAnsiTheme="minorHAnsi" w:cstheme="minorHAnsi"/>
          <w:i/>
          <w:iCs/>
          <w:sz w:val="22"/>
          <w:szCs w:val="22"/>
        </w:rPr>
        <w:t xml:space="preserve"> 2017;</w:t>
      </w:r>
      <w:r w:rsidRPr="001B6A62">
        <w:rPr>
          <w:rStyle w:val="cf01"/>
          <w:rFonts w:asciiTheme="minorHAnsi" w:hAnsiTheme="minorHAnsi" w:cstheme="minorHAnsi"/>
          <w:sz w:val="22"/>
          <w:szCs w:val="22"/>
        </w:rPr>
        <w:t xml:space="preserve"> 64</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3: 8–14</w:t>
      </w:r>
    </w:p>
    <w:p w14:paraId="3EE78A1C" w14:textId="77777777"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proofErr w:type="spellStart"/>
      <w:r w:rsidRPr="001B6A62">
        <w:rPr>
          <w:rStyle w:val="cf01"/>
          <w:rFonts w:asciiTheme="minorHAnsi" w:hAnsiTheme="minorHAnsi" w:cstheme="minorHAnsi"/>
          <w:sz w:val="22"/>
          <w:szCs w:val="22"/>
        </w:rPr>
        <w:t>Nho</w:t>
      </w:r>
      <w:proofErr w:type="spellEnd"/>
      <w:r w:rsidRPr="001B6A62">
        <w:rPr>
          <w:rStyle w:val="cf01"/>
          <w:rFonts w:asciiTheme="minorHAnsi" w:hAnsiTheme="minorHAnsi" w:cstheme="minorHAnsi"/>
          <w:sz w:val="22"/>
          <w:szCs w:val="22"/>
        </w:rPr>
        <w:t xml:space="preserve"> J</w:t>
      </w:r>
      <w:r>
        <w:rPr>
          <w:rStyle w:val="cf01"/>
          <w:rFonts w:asciiTheme="minorHAnsi" w:hAnsiTheme="minorHAnsi" w:cstheme="minorHAnsi"/>
          <w:sz w:val="22"/>
          <w:szCs w:val="22"/>
        </w:rPr>
        <w:t>H</w:t>
      </w:r>
      <w:r w:rsidRPr="001B6A62">
        <w:rPr>
          <w:rStyle w:val="cf01"/>
          <w:rFonts w:asciiTheme="minorHAnsi" w:hAnsiTheme="minorHAnsi" w:cstheme="minorHAnsi"/>
          <w:sz w:val="22"/>
          <w:szCs w:val="22"/>
        </w:rPr>
        <w:t xml:space="preserve">, Lee YK, Ha YC, et al. Can Alarming Improve Compliance with Weekly Bisphosphonate in Patients with </w:t>
      </w:r>
      <w:proofErr w:type="spellStart"/>
      <w:proofErr w:type="gramStart"/>
      <w:r w:rsidRPr="001B6A62">
        <w:rPr>
          <w:rStyle w:val="cf01"/>
          <w:rFonts w:asciiTheme="minorHAnsi" w:hAnsiTheme="minorHAnsi" w:cstheme="minorHAnsi"/>
          <w:sz w:val="22"/>
          <w:szCs w:val="22"/>
        </w:rPr>
        <w:t>Osteoporosis?</w:t>
      </w:r>
      <w:r>
        <w:rPr>
          <w:rStyle w:val="cf01"/>
          <w:rFonts w:asciiTheme="minorHAnsi" w:hAnsiTheme="minorHAnsi" w:cstheme="minorHAnsi"/>
          <w:sz w:val="22"/>
          <w:szCs w:val="22"/>
        </w:rPr>
        <w:t>J</w:t>
      </w:r>
      <w:proofErr w:type="spellEnd"/>
      <w:proofErr w:type="gramEnd"/>
      <w:r>
        <w:rPr>
          <w:rStyle w:val="cf01"/>
          <w:rFonts w:asciiTheme="minorHAnsi" w:hAnsiTheme="minorHAnsi" w:cstheme="minorHAnsi"/>
          <w:sz w:val="22"/>
          <w:szCs w:val="22"/>
        </w:rPr>
        <w:t xml:space="preserve"> Bone </w:t>
      </w:r>
      <w:proofErr w:type="spellStart"/>
      <w:r>
        <w:rPr>
          <w:rStyle w:val="cf01"/>
          <w:rFonts w:asciiTheme="minorHAnsi" w:hAnsiTheme="minorHAnsi" w:cstheme="minorHAnsi"/>
          <w:sz w:val="22"/>
          <w:szCs w:val="22"/>
        </w:rPr>
        <w:t>Metab</w:t>
      </w:r>
      <w:proofErr w:type="spellEnd"/>
      <w:r w:rsidRPr="001B6A62">
        <w:rPr>
          <w:rStyle w:val="cf01"/>
          <w:rFonts w:asciiTheme="minorHAnsi" w:hAnsiTheme="minorHAnsi" w:cstheme="minorHAnsi"/>
          <w:sz w:val="22"/>
          <w:szCs w:val="22"/>
        </w:rPr>
        <w:t xml:space="preserve"> 2016</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23(2):51-54</w:t>
      </w:r>
    </w:p>
    <w:p w14:paraId="53AA210C" w14:textId="77777777"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r w:rsidRPr="001B6A62">
        <w:rPr>
          <w:rStyle w:val="cf01"/>
          <w:rFonts w:asciiTheme="minorHAnsi" w:hAnsiTheme="minorHAnsi" w:cstheme="minorHAnsi"/>
          <w:sz w:val="22"/>
          <w:szCs w:val="22"/>
        </w:rPr>
        <w:t>Delmas P</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 xml:space="preserve"> </w:t>
      </w:r>
      <w:proofErr w:type="spellStart"/>
      <w:r w:rsidRPr="001B6A62">
        <w:rPr>
          <w:rStyle w:val="cf01"/>
          <w:rFonts w:asciiTheme="minorHAnsi" w:hAnsiTheme="minorHAnsi" w:cstheme="minorHAnsi"/>
          <w:sz w:val="22"/>
          <w:szCs w:val="22"/>
        </w:rPr>
        <w:t>Vrijens</w:t>
      </w:r>
      <w:proofErr w:type="spellEnd"/>
      <w:r w:rsidRPr="001B6A62">
        <w:rPr>
          <w:rStyle w:val="cf01"/>
          <w:rFonts w:asciiTheme="minorHAnsi" w:hAnsiTheme="minorHAnsi" w:cstheme="minorHAnsi"/>
          <w:sz w:val="22"/>
          <w:szCs w:val="22"/>
        </w:rPr>
        <w:t xml:space="preserve"> B, </w:t>
      </w:r>
      <w:proofErr w:type="spellStart"/>
      <w:r w:rsidRPr="001B6A62">
        <w:rPr>
          <w:rStyle w:val="cf01"/>
          <w:rFonts w:asciiTheme="minorHAnsi" w:hAnsiTheme="minorHAnsi" w:cstheme="minorHAnsi"/>
          <w:sz w:val="22"/>
          <w:szCs w:val="22"/>
        </w:rPr>
        <w:t>Eastell</w:t>
      </w:r>
      <w:proofErr w:type="spellEnd"/>
      <w:r w:rsidRPr="001B6A62">
        <w:rPr>
          <w:rStyle w:val="cf01"/>
          <w:rFonts w:asciiTheme="minorHAnsi" w:hAnsiTheme="minorHAnsi" w:cstheme="minorHAnsi"/>
          <w:sz w:val="22"/>
          <w:szCs w:val="22"/>
        </w:rPr>
        <w:t xml:space="preserve"> R</w:t>
      </w:r>
      <w:r>
        <w:rPr>
          <w:rStyle w:val="cf01"/>
          <w:rFonts w:asciiTheme="minorHAnsi" w:hAnsiTheme="minorHAnsi" w:cstheme="minorHAnsi"/>
          <w:sz w:val="22"/>
          <w:szCs w:val="22"/>
        </w:rPr>
        <w:t xml:space="preserve">, et al. </w:t>
      </w:r>
      <w:r w:rsidRPr="001B6A62">
        <w:rPr>
          <w:rStyle w:val="cf01"/>
          <w:rFonts w:asciiTheme="minorHAnsi" w:hAnsiTheme="minorHAnsi" w:cstheme="minorHAnsi"/>
          <w:sz w:val="22"/>
          <w:szCs w:val="22"/>
        </w:rPr>
        <w:t>Effect of monitoring bone turnover markers on persistence with risedronate treatment of postmenopausal osteoporosis</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 xml:space="preserve"> J Clin Endocrinol. </w:t>
      </w:r>
      <w:proofErr w:type="spellStart"/>
      <w:r w:rsidRPr="001B6A62">
        <w:rPr>
          <w:rStyle w:val="cf01"/>
          <w:rFonts w:asciiTheme="minorHAnsi" w:hAnsiTheme="minorHAnsi" w:cstheme="minorHAnsi"/>
          <w:sz w:val="22"/>
          <w:szCs w:val="22"/>
        </w:rPr>
        <w:t>Metab</w:t>
      </w:r>
      <w:proofErr w:type="spellEnd"/>
      <w:r>
        <w:rPr>
          <w:rStyle w:val="cf01"/>
          <w:rFonts w:asciiTheme="minorHAnsi" w:hAnsiTheme="minorHAnsi" w:cstheme="minorHAnsi"/>
          <w:sz w:val="22"/>
          <w:szCs w:val="22"/>
        </w:rPr>
        <w:t xml:space="preserve"> 2007; </w:t>
      </w:r>
      <w:r w:rsidRPr="001B6A62">
        <w:rPr>
          <w:rStyle w:val="cf01"/>
          <w:rFonts w:asciiTheme="minorHAnsi" w:hAnsiTheme="minorHAnsi" w:cstheme="minorHAnsi"/>
          <w:sz w:val="22"/>
          <w:szCs w:val="22"/>
        </w:rPr>
        <w:t>92</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1296-1304</w:t>
      </w:r>
    </w:p>
    <w:p w14:paraId="40C2B123" w14:textId="77777777"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r w:rsidRPr="001B6A62">
        <w:rPr>
          <w:rStyle w:val="cf01"/>
          <w:rFonts w:asciiTheme="minorHAnsi" w:hAnsiTheme="minorHAnsi" w:cstheme="minorHAnsi"/>
          <w:sz w:val="22"/>
          <w:szCs w:val="22"/>
        </w:rPr>
        <w:t>Clowes J, Peel</w:t>
      </w:r>
      <w:r>
        <w:rPr>
          <w:rStyle w:val="cf01"/>
          <w:rFonts w:asciiTheme="minorHAnsi" w:hAnsiTheme="minorHAnsi" w:cstheme="minorHAnsi"/>
          <w:sz w:val="22"/>
          <w:szCs w:val="22"/>
        </w:rPr>
        <w:t xml:space="preserve"> N, </w:t>
      </w:r>
      <w:proofErr w:type="spellStart"/>
      <w:r w:rsidRPr="001B6A62">
        <w:rPr>
          <w:rStyle w:val="cf01"/>
          <w:rFonts w:asciiTheme="minorHAnsi" w:hAnsiTheme="minorHAnsi" w:cstheme="minorHAnsi"/>
          <w:sz w:val="22"/>
          <w:szCs w:val="22"/>
        </w:rPr>
        <w:t>Eastell</w:t>
      </w:r>
      <w:proofErr w:type="spellEnd"/>
      <w:r w:rsidRPr="001B6A62">
        <w:rPr>
          <w:rStyle w:val="cf01"/>
          <w:rFonts w:asciiTheme="minorHAnsi" w:hAnsiTheme="minorHAnsi" w:cstheme="minorHAnsi"/>
          <w:sz w:val="22"/>
          <w:szCs w:val="22"/>
        </w:rPr>
        <w:t xml:space="preserve"> R</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 xml:space="preserve"> The impact of monitoring on adherence and persistence with antiresorptive treatment for postmenopausal osteoporosis: a randomized controlled trial</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 xml:space="preserve"> J. Clin. Endocrinol. </w:t>
      </w:r>
      <w:proofErr w:type="spellStart"/>
      <w:r w:rsidRPr="001B6A62">
        <w:rPr>
          <w:rStyle w:val="cf01"/>
          <w:rFonts w:asciiTheme="minorHAnsi" w:hAnsiTheme="minorHAnsi" w:cstheme="minorHAnsi"/>
          <w:sz w:val="22"/>
          <w:szCs w:val="22"/>
        </w:rPr>
        <w:t>Metab</w:t>
      </w:r>
      <w:proofErr w:type="spellEnd"/>
      <w:r>
        <w:rPr>
          <w:rStyle w:val="cf01"/>
          <w:rFonts w:asciiTheme="minorHAnsi" w:hAnsiTheme="minorHAnsi" w:cstheme="minorHAnsi"/>
          <w:sz w:val="22"/>
          <w:szCs w:val="22"/>
        </w:rPr>
        <w:t xml:space="preserve"> 2004; </w:t>
      </w:r>
      <w:r w:rsidRPr="001B6A62">
        <w:rPr>
          <w:rStyle w:val="cf01"/>
          <w:rFonts w:asciiTheme="minorHAnsi" w:hAnsiTheme="minorHAnsi" w:cstheme="minorHAnsi"/>
          <w:sz w:val="22"/>
          <w:szCs w:val="22"/>
        </w:rPr>
        <w:t>89</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1117-1123</w:t>
      </w:r>
    </w:p>
    <w:p w14:paraId="08125526" w14:textId="77777777"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proofErr w:type="gramStart"/>
      <w:r w:rsidRPr="001B6A62">
        <w:rPr>
          <w:rStyle w:val="cf01"/>
          <w:rFonts w:asciiTheme="minorHAnsi" w:hAnsiTheme="minorHAnsi" w:cstheme="minorHAnsi"/>
          <w:sz w:val="22"/>
          <w:szCs w:val="22"/>
        </w:rPr>
        <w:t>Silverman</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 xml:space="preserve"> S</w:t>
      </w:r>
      <w:proofErr w:type="gramEnd"/>
      <w:r w:rsidRPr="001B6A62">
        <w:rPr>
          <w:rStyle w:val="cf01"/>
          <w:rFonts w:asciiTheme="minorHAnsi" w:hAnsiTheme="minorHAnsi" w:cstheme="minorHAnsi"/>
          <w:sz w:val="22"/>
          <w:szCs w:val="22"/>
        </w:rPr>
        <w:t xml:space="preserve">, Nasser K, </w:t>
      </w:r>
      <w:proofErr w:type="spellStart"/>
      <w:r w:rsidRPr="001B6A62">
        <w:rPr>
          <w:rStyle w:val="cf01"/>
          <w:rFonts w:asciiTheme="minorHAnsi" w:hAnsiTheme="minorHAnsi" w:cstheme="minorHAnsi"/>
          <w:sz w:val="22"/>
          <w:szCs w:val="22"/>
        </w:rPr>
        <w:t>Nattrass</w:t>
      </w:r>
      <w:proofErr w:type="spellEnd"/>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S</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 et al. Impact of bone turnover markers and/or educational information on persistence to oral bisphosphonate therapy: a community setting-based trial. </w:t>
      </w:r>
      <w:proofErr w:type="spellStart"/>
      <w:r w:rsidRPr="001B6A62">
        <w:rPr>
          <w:rStyle w:val="cf01"/>
          <w:rFonts w:asciiTheme="minorHAnsi" w:hAnsiTheme="minorHAnsi" w:cstheme="minorHAnsi"/>
          <w:sz w:val="22"/>
          <w:szCs w:val="22"/>
        </w:rPr>
        <w:t>Osteoporos</w:t>
      </w:r>
      <w:proofErr w:type="spellEnd"/>
      <w:r w:rsidRPr="001B6A62">
        <w:rPr>
          <w:rStyle w:val="cf01"/>
          <w:rFonts w:asciiTheme="minorHAnsi" w:hAnsiTheme="minorHAnsi" w:cstheme="minorHAnsi"/>
          <w:sz w:val="22"/>
          <w:szCs w:val="22"/>
        </w:rPr>
        <w:t xml:space="preserve"> Int</w:t>
      </w:r>
      <w:r>
        <w:rPr>
          <w:rStyle w:val="cf01"/>
          <w:rFonts w:asciiTheme="minorHAnsi" w:hAnsiTheme="minorHAnsi" w:cstheme="minorHAnsi"/>
          <w:sz w:val="22"/>
          <w:szCs w:val="22"/>
        </w:rPr>
        <w:t xml:space="preserve"> 2012;</w:t>
      </w:r>
      <w:r w:rsidRPr="001B6A62">
        <w:rPr>
          <w:rStyle w:val="cf01"/>
          <w:rFonts w:asciiTheme="minorHAnsi" w:hAnsiTheme="minorHAnsi" w:cstheme="minorHAnsi"/>
          <w:sz w:val="22"/>
          <w:szCs w:val="22"/>
        </w:rPr>
        <w:t> 23</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1069–1074</w:t>
      </w:r>
    </w:p>
    <w:p w14:paraId="42594695" w14:textId="77777777"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proofErr w:type="spellStart"/>
      <w:r w:rsidRPr="001B6A62">
        <w:rPr>
          <w:rStyle w:val="cf01"/>
          <w:rFonts w:asciiTheme="minorHAnsi" w:hAnsiTheme="minorHAnsi" w:cstheme="minorHAnsi"/>
          <w:sz w:val="22"/>
          <w:szCs w:val="22"/>
        </w:rPr>
        <w:t>Iglay</w:t>
      </w:r>
      <w:proofErr w:type="spellEnd"/>
      <w:r w:rsidRPr="001B6A62">
        <w:rPr>
          <w:rStyle w:val="cf01"/>
          <w:rFonts w:asciiTheme="minorHAnsi" w:hAnsiTheme="minorHAnsi" w:cstheme="minorHAnsi"/>
          <w:sz w:val="22"/>
          <w:szCs w:val="22"/>
        </w:rPr>
        <w:t xml:space="preserve"> K, Cao X, </w:t>
      </w:r>
      <w:proofErr w:type="spellStart"/>
      <w:r w:rsidRPr="001B6A62">
        <w:rPr>
          <w:rStyle w:val="cf01"/>
          <w:rFonts w:asciiTheme="minorHAnsi" w:hAnsiTheme="minorHAnsi" w:cstheme="minorHAnsi"/>
          <w:sz w:val="22"/>
          <w:szCs w:val="22"/>
        </w:rPr>
        <w:t>Mavros</w:t>
      </w:r>
      <w:proofErr w:type="spellEnd"/>
      <w:r w:rsidRPr="001B6A62">
        <w:rPr>
          <w:rStyle w:val="cf01"/>
          <w:rFonts w:asciiTheme="minorHAnsi" w:hAnsiTheme="minorHAnsi" w:cstheme="minorHAnsi"/>
          <w:sz w:val="22"/>
          <w:szCs w:val="22"/>
        </w:rPr>
        <w:t xml:space="preserve"> P,</w:t>
      </w:r>
      <w:r>
        <w:rPr>
          <w:rStyle w:val="cf01"/>
          <w:rFonts w:asciiTheme="minorHAnsi" w:hAnsiTheme="minorHAnsi" w:cstheme="minorHAnsi"/>
          <w:sz w:val="22"/>
          <w:szCs w:val="22"/>
        </w:rPr>
        <w:t xml:space="preserve"> et al. </w:t>
      </w:r>
      <w:r w:rsidRPr="001B6A62">
        <w:rPr>
          <w:rStyle w:val="cf01"/>
          <w:rFonts w:asciiTheme="minorHAnsi" w:hAnsiTheme="minorHAnsi" w:cstheme="minorHAnsi"/>
          <w:sz w:val="22"/>
          <w:szCs w:val="22"/>
        </w:rPr>
        <w:t xml:space="preserve">Systematic Literature Review and Meta-analysis of Medication Adherence </w:t>
      </w:r>
      <w:proofErr w:type="gramStart"/>
      <w:r w:rsidRPr="001B6A62">
        <w:rPr>
          <w:rStyle w:val="cf01"/>
          <w:rFonts w:asciiTheme="minorHAnsi" w:hAnsiTheme="minorHAnsi" w:cstheme="minorHAnsi"/>
          <w:sz w:val="22"/>
          <w:szCs w:val="22"/>
        </w:rPr>
        <w:t>With</w:t>
      </w:r>
      <w:proofErr w:type="gramEnd"/>
      <w:r w:rsidRPr="001B6A62">
        <w:rPr>
          <w:rStyle w:val="cf01"/>
          <w:rFonts w:asciiTheme="minorHAnsi" w:hAnsiTheme="minorHAnsi" w:cstheme="minorHAnsi"/>
          <w:sz w:val="22"/>
          <w:szCs w:val="22"/>
        </w:rPr>
        <w:t xml:space="preserve"> Once-weekly Versus Once-daily Therapy. Clin </w:t>
      </w:r>
      <w:proofErr w:type="spellStart"/>
      <w:r w:rsidRPr="001B6A62">
        <w:rPr>
          <w:rStyle w:val="cf01"/>
          <w:rFonts w:asciiTheme="minorHAnsi" w:hAnsiTheme="minorHAnsi" w:cstheme="minorHAnsi"/>
          <w:sz w:val="22"/>
          <w:szCs w:val="22"/>
        </w:rPr>
        <w:t>Ther</w:t>
      </w:r>
      <w:proofErr w:type="spellEnd"/>
      <w:r w:rsidRPr="001B6A62">
        <w:rPr>
          <w:rStyle w:val="cf01"/>
          <w:rFonts w:asciiTheme="minorHAnsi" w:hAnsiTheme="minorHAnsi" w:cstheme="minorHAnsi"/>
          <w:sz w:val="22"/>
          <w:szCs w:val="22"/>
        </w:rPr>
        <w:t xml:space="preserve"> 2015</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 xml:space="preserve"> 37</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8:</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1813-21</w:t>
      </w:r>
    </w:p>
    <w:p w14:paraId="75F5894F" w14:textId="77777777"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r>
        <w:rPr>
          <w:rStyle w:val="cf01"/>
          <w:rFonts w:asciiTheme="minorHAnsi" w:hAnsiTheme="minorHAnsi" w:cstheme="minorHAnsi"/>
          <w:sz w:val="22"/>
          <w:szCs w:val="22"/>
        </w:rPr>
        <w:t>V</w:t>
      </w:r>
      <w:r w:rsidRPr="001B6A62">
        <w:rPr>
          <w:rStyle w:val="cf01"/>
          <w:rFonts w:asciiTheme="minorHAnsi" w:hAnsiTheme="minorHAnsi" w:cstheme="minorHAnsi"/>
          <w:sz w:val="22"/>
          <w:szCs w:val="22"/>
        </w:rPr>
        <w:t>an Boven</w:t>
      </w:r>
      <w:r>
        <w:rPr>
          <w:rStyle w:val="cf01"/>
          <w:rFonts w:asciiTheme="minorHAnsi" w:hAnsiTheme="minorHAnsi" w:cstheme="minorHAnsi"/>
          <w:sz w:val="22"/>
          <w:szCs w:val="22"/>
        </w:rPr>
        <w:t xml:space="preserve"> J</w:t>
      </w:r>
      <w:r w:rsidRPr="001B6A62">
        <w:rPr>
          <w:rStyle w:val="cf01"/>
          <w:rFonts w:asciiTheme="minorHAnsi" w:hAnsiTheme="minorHAnsi" w:cstheme="minorHAnsi"/>
          <w:sz w:val="22"/>
          <w:szCs w:val="22"/>
        </w:rPr>
        <w:t>, Stuurman-</w:t>
      </w:r>
      <w:proofErr w:type="spellStart"/>
      <w:r w:rsidRPr="001B6A62">
        <w:rPr>
          <w:rStyle w:val="cf01"/>
          <w:rFonts w:asciiTheme="minorHAnsi" w:hAnsiTheme="minorHAnsi" w:cstheme="minorHAnsi"/>
          <w:sz w:val="22"/>
          <w:szCs w:val="22"/>
        </w:rPr>
        <w:t>Bieze</w:t>
      </w:r>
      <w:proofErr w:type="spellEnd"/>
      <w:r>
        <w:rPr>
          <w:rStyle w:val="cf01"/>
          <w:rFonts w:asciiTheme="minorHAnsi" w:hAnsiTheme="minorHAnsi" w:cstheme="minorHAnsi"/>
          <w:sz w:val="22"/>
          <w:szCs w:val="22"/>
        </w:rPr>
        <w:t xml:space="preserve"> A</w:t>
      </w:r>
      <w:r w:rsidRPr="001B6A62">
        <w:rPr>
          <w:rStyle w:val="cf01"/>
          <w:rFonts w:asciiTheme="minorHAnsi" w:hAnsiTheme="minorHAnsi" w:cstheme="minorHAnsi"/>
          <w:sz w:val="22"/>
          <w:szCs w:val="22"/>
        </w:rPr>
        <w:t>, Hiddink</w:t>
      </w:r>
      <w:r>
        <w:rPr>
          <w:rStyle w:val="cf01"/>
          <w:rFonts w:asciiTheme="minorHAnsi" w:hAnsiTheme="minorHAnsi" w:cstheme="minorHAnsi"/>
          <w:sz w:val="22"/>
          <w:szCs w:val="22"/>
        </w:rPr>
        <w:t xml:space="preserve"> E</w:t>
      </w:r>
      <w:r w:rsidRPr="001B6A62">
        <w:rPr>
          <w:rStyle w:val="cf01"/>
          <w:rFonts w:asciiTheme="minorHAnsi" w:hAnsiTheme="minorHAnsi" w:cstheme="minorHAnsi"/>
          <w:sz w:val="22"/>
          <w:szCs w:val="22"/>
        </w:rPr>
        <w:t>, </w:t>
      </w:r>
      <w:r>
        <w:rPr>
          <w:rStyle w:val="cf01"/>
          <w:rFonts w:asciiTheme="minorHAnsi" w:hAnsiTheme="minorHAnsi" w:cstheme="minorHAnsi"/>
          <w:sz w:val="22"/>
          <w:szCs w:val="22"/>
        </w:rPr>
        <w:t>et al.</w:t>
      </w:r>
      <w:r w:rsidRPr="001B6A62">
        <w:rPr>
          <w:rStyle w:val="cf01"/>
          <w:rFonts w:asciiTheme="minorHAnsi" w:hAnsiTheme="minorHAnsi" w:cstheme="minorHAnsi"/>
          <w:sz w:val="22"/>
          <w:szCs w:val="22"/>
        </w:rPr>
        <w:t xml:space="preserve"> Medication Monitoring and Optimization: A Targeted Pharmacist Program for Effective and Cost-Effective Improvement of Chronic Therapy Adherence</w:t>
      </w:r>
      <w:r>
        <w:rPr>
          <w:rStyle w:val="cf01"/>
          <w:rFonts w:asciiTheme="minorHAnsi" w:hAnsiTheme="minorHAnsi" w:cstheme="minorHAnsi"/>
          <w:sz w:val="22"/>
          <w:szCs w:val="22"/>
        </w:rPr>
        <w:t xml:space="preserve">. J </w:t>
      </w:r>
      <w:proofErr w:type="spellStart"/>
      <w:r>
        <w:rPr>
          <w:rStyle w:val="cf01"/>
          <w:rFonts w:asciiTheme="minorHAnsi" w:hAnsiTheme="minorHAnsi" w:cstheme="minorHAnsi"/>
          <w:sz w:val="22"/>
          <w:szCs w:val="22"/>
        </w:rPr>
        <w:t>Manag</w:t>
      </w:r>
      <w:proofErr w:type="spellEnd"/>
      <w:r>
        <w:rPr>
          <w:rStyle w:val="cf01"/>
          <w:rFonts w:asciiTheme="minorHAnsi" w:hAnsiTheme="minorHAnsi" w:cstheme="minorHAnsi"/>
          <w:sz w:val="22"/>
          <w:szCs w:val="22"/>
        </w:rPr>
        <w:t xml:space="preserve"> Care Spec Pharm</w:t>
      </w:r>
      <w:r w:rsidRPr="001B6A62">
        <w:rPr>
          <w:rStyle w:val="cf01"/>
          <w:rFonts w:asciiTheme="minorHAnsi" w:hAnsiTheme="minorHAnsi" w:cstheme="minorHAnsi"/>
          <w:sz w:val="22"/>
          <w:szCs w:val="22"/>
        </w:rPr>
        <w:t> 2014</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 20:8</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 786-792</w:t>
      </w:r>
    </w:p>
    <w:p w14:paraId="67A18AF7" w14:textId="77777777" w:rsidR="00127B45"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r w:rsidRPr="00EB3199">
        <w:rPr>
          <w:rStyle w:val="cf01"/>
          <w:rFonts w:asciiTheme="minorHAnsi" w:hAnsiTheme="minorHAnsi" w:cstheme="minorHAnsi"/>
          <w:sz w:val="22"/>
          <w:szCs w:val="22"/>
        </w:rPr>
        <w:t xml:space="preserve">Hui N, Fraser S, Wong P. Patients discharged from a fracture liaison service still require follow-up and bone health advice. Arch </w:t>
      </w:r>
      <w:proofErr w:type="spellStart"/>
      <w:r w:rsidRPr="00EB3199">
        <w:rPr>
          <w:rStyle w:val="cf01"/>
          <w:rFonts w:asciiTheme="minorHAnsi" w:hAnsiTheme="minorHAnsi" w:cstheme="minorHAnsi"/>
          <w:sz w:val="22"/>
          <w:szCs w:val="22"/>
        </w:rPr>
        <w:t>Osteoporos</w:t>
      </w:r>
      <w:proofErr w:type="spellEnd"/>
      <w:r w:rsidRPr="00EB3199">
        <w:rPr>
          <w:rStyle w:val="cf01"/>
          <w:rFonts w:asciiTheme="minorHAnsi" w:hAnsiTheme="minorHAnsi" w:cstheme="minorHAnsi"/>
          <w:sz w:val="22"/>
          <w:szCs w:val="22"/>
        </w:rPr>
        <w:t xml:space="preserve"> 2020; 15:118</w:t>
      </w:r>
    </w:p>
    <w:p w14:paraId="3B5D1BE5" w14:textId="77777777" w:rsidR="00127B45" w:rsidRPr="00EB3199"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proofErr w:type="spellStart"/>
      <w:r w:rsidRPr="00EB3199">
        <w:rPr>
          <w:rStyle w:val="cf01"/>
          <w:rFonts w:asciiTheme="minorHAnsi" w:hAnsiTheme="minorHAnsi" w:cstheme="minorHAnsi"/>
          <w:sz w:val="22"/>
          <w:szCs w:val="22"/>
        </w:rPr>
        <w:t>Emmel</w:t>
      </w:r>
      <w:proofErr w:type="spellEnd"/>
      <w:r w:rsidRPr="00EB3199">
        <w:rPr>
          <w:rStyle w:val="cf01"/>
          <w:rFonts w:asciiTheme="minorHAnsi" w:hAnsiTheme="minorHAnsi" w:cstheme="minorHAnsi"/>
          <w:sz w:val="22"/>
          <w:szCs w:val="22"/>
        </w:rPr>
        <w:t xml:space="preserve"> N, Greenhalgh</w:t>
      </w:r>
      <w:r>
        <w:rPr>
          <w:rStyle w:val="cf01"/>
          <w:rFonts w:asciiTheme="minorHAnsi" w:hAnsiTheme="minorHAnsi" w:cstheme="minorHAnsi"/>
          <w:sz w:val="22"/>
          <w:szCs w:val="22"/>
        </w:rPr>
        <w:t xml:space="preserve"> J</w:t>
      </w:r>
      <w:r w:rsidRPr="00EB3199">
        <w:rPr>
          <w:rStyle w:val="cf01"/>
          <w:rFonts w:asciiTheme="minorHAnsi" w:hAnsiTheme="minorHAnsi" w:cstheme="minorHAnsi"/>
          <w:sz w:val="22"/>
          <w:szCs w:val="22"/>
        </w:rPr>
        <w:t>, Manzano</w:t>
      </w:r>
      <w:r>
        <w:rPr>
          <w:rStyle w:val="cf01"/>
          <w:rFonts w:asciiTheme="minorHAnsi" w:hAnsiTheme="minorHAnsi" w:cstheme="minorHAnsi"/>
          <w:sz w:val="22"/>
          <w:szCs w:val="22"/>
        </w:rPr>
        <w:t xml:space="preserve"> A</w:t>
      </w:r>
      <w:r w:rsidRPr="00EB3199">
        <w:rPr>
          <w:rStyle w:val="cf01"/>
          <w:rFonts w:asciiTheme="minorHAnsi" w:hAnsiTheme="minorHAnsi" w:cstheme="minorHAnsi"/>
          <w:sz w:val="22"/>
          <w:szCs w:val="22"/>
        </w:rPr>
        <w:t xml:space="preserve">, </w:t>
      </w:r>
      <w:r>
        <w:rPr>
          <w:rStyle w:val="cf01"/>
          <w:rFonts w:asciiTheme="minorHAnsi" w:hAnsiTheme="minorHAnsi" w:cstheme="minorHAnsi"/>
          <w:sz w:val="22"/>
          <w:szCs w:val="22"/>
        </w:rPr>
        <w:t>et al.</w:t>
      </w:r>
      <w:r w:rsidRPr="00EB3199">
        <w:rPr>
          <w:rStyle w:val="cf01"/>
          <w:rFonts w:asciiTheme="minorHAnsi" w:hAnsiTheme="minorHAnsi" w:cstheme="minorHAnsi"/>
          <w:sz w:val="22"/>
          <w:szCs w:val="22"/>
        </w:rPr>
        <w:t xml:space="preserve"> eds. Doing realist research. Sage, 2018.</w:t>
      </w:r>
    </w:p>
    <w:p w14:paraId="7E03E4D2" w14:textId="77777777"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r w:rsidRPr="001B6A62">
        <w:rPr>
          <w:rStyle w:val="cf01"/>
          <w:rFonts w:asciiTheme="minorHAnsi" w:hAnsiTheme="minorHAnsi" w:cstheme="minorHAnsi"/>
          <w:sz w:val="22"/>
          <w:szCs w:val="22"/>
        </w:rPr>
        <w:t xml:space="preserve">Thakkar J, </w:t>
      </w:r>
      <w:proofErr w:type="spellStart"/>
      <w:r w:rsidRPr="001B6A62">
        <w:rPr>
          <w:rStyle w:val="cf01"/>
          <w:rFonts w:asciiTheme="minorHAnsi" w:hAnsiTheme="minorHAnsi" w:cstheme="minorHAnsi"/>
          <w:sz w:val="22"/>
          <w:szCs w:val="22"/>
        </w:rPr>
        <w:t>Kurup</w:t>
      </w:r>
      <w:proofErr w:type="spellEnd"/>
      <w:r w:rsidRPr="001B6A62">
        <w:rPr>
          <w:rStyle w:val="cf01"/>
          <w:rFonts w:asciiTheme="minorHAnsi" w:hAnsiTheme="minorHAnsi" w:cstheme="minorHAnsi"/>
          <w:sz w:val="22"/>
          <w:szCs w:val="22"/>
        </w:rPr>
        <w:t xml:space="preserve"> R, </w:t>
      </w:r>
      <w:proofErr w:type="spellStart"/>
      <w:r w:rsidRPr="001B6A62">
        <w:rPr>
          <w:rStyle w:val="cf01"/>
          <w:rFonts w:asciiTheme="minorHAnsi" w:hAnsiTheme="minorHAnsi" w:cstheme="minorHAnsi"/>
          <w:sz w:val="22"/>
          <w:szCs w:val="22"/>
        </w:rPr>
        <w:t>Laba</w:t>
      </w:r>
      <w:proofErr w:type="spellEnd"/>
      <w:r w:rsidRPr="001B6A62">
        <w:rPr>
          <w:rStyle w:val="cf01"/>
          <w:rFonts w:asciiTheme="minorHAnsi" w:hAnsiTheme="minorHAnsi" w:cstheme="minorHAnsi"/>
          <w:sz w:val="22"/>
          <w:szCs w:val="22"/>
        </w:rPr>
        <w:t xml:space="preserve"> T, et al. Mobile Telephone Text Messaging for Medication Adherence in Chronic Disease: A Meta-analysis. </w:t>
      </w:r>
      <w:r w:rsidRPr="007B6EF6">
        <w:rPr>
          <w:rStyle w:val="cf01"/>
          <w:rFonts w:asciiTheme="minorHAnsi" w:hAnsiTheme="minorHAnsi" w:cstheme="minorHAnsi"/>
          <w:sz w:val="22"/>
          <w:szCs w:val="22"/>
        </w:rPr>
        <w:t>JAMA Intern Med</w:t>
      </w:r>
      <w:r>
        <w:rPr>
          <w:rStyle w:val="cf01"/>
          <w:rFonts w:asciiTheme="minorHAnsi" w:hAnsiTheme="minorHAnsi" w:cstheme="minorHAnsi"/>
          <w:i/>
          <w:iCs/>
          <w:sz w:val="22"/>
          <w:szCs w:val="22"/>
        </w:rPr>
        <w:t xml:space="preserve"> 2016; </w:t>
      </w:r>
      <w:r w:rsidRPr="001B6A62">
        <w:rPr>
          <w:rStyle w:val="cf01"/>
          <w:rFonts w:asciiTheme="minorHAnsi" w:hAnsiTheme="minorHAnsi" w:cstheme="minorHAnsi"/>
          <w:sz w:val="22"/>
          <w:szCs w:val="22"/>
        </w:rPr>
        <w:t>176</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3:</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 xml:space="preserve">340–349. </w:t>
      </w:r>
    </w:p>
    <w:p w14:paraId="766E5B2D" w14:textId="253A6C29"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r w:rsidRPr="001B6A62">
        <w:rPr>
          <w:rStyle w:val="cf01"/>
          <w:rFonts w:asciiTheme="minorHAnsi" w:hAnsiTheme="minorHAnsi" w:cstheme="minorHAnsi"/>
          <w:sz w:val="22"/>
          <w:szCs w:val="22"/>
        </w:rPr>
        <w:t>Berkman</w:t>
      </w:r>
      <w:r>
        <w:rPr>
          <w:rStyle w:val="cf01"/>
          <w:rFonts w:asciiTheme="minorHAnsi" w:hAnsiTheme="minorHAnsi" w:cstheme="minorHAnsi"/>
          <w:sz w:val="22"/>
          <w:szCs w:val="22"/>
        </w:rPr>
        <w:t xml:space="preserve"> N</w:t>
      </w:r>
      <w:r w:rsidRPr="001B6A62">
        <w:rPr>
          <w:rStyle w:val="cf01"/>
          <w:rFonts w:asciiTheme="minorHAnsi" w:hAnsiTheme="minorHAnsi" w:cstheme="minorHAnsi"/>
          <w:sz w:val="22"/>
          <w:szCs w:val="22"/>
        </w:rPr>
        <w:t>, Sheridan</w:t>
      </w:r>
      <w:r>
        <w:rPr>
          <w:rStyle w:val="cf01"/>
          <w:rFonts w:asciiTheme="minorHAnsi" w:hAnsiTheme="minorHAnsi" w:cstheme="minorHAnsi"/>
          <w:sz w:val="22"/>
          <w:szCs w:val="22"/>
        </w:rPr>
        <w:t xml:space="preserve"> S</w:t>
      </w:r>
      <w:r w:rsidRPr="001B6A62">
        <w:rPr>
          <w:rStyle w:val="cf01"/>
          <w:rFonts w:asciiTheme="minorHAnsi" w:hAnsiTheme="minorHAnsi" w:cstheme="minorHAnsi"/>
          <w:sz w:val="22"/>
          <w:szCs w:val="22"/>
        </w:rPr>
        <w:t>, Donahue</w:t>
      </w:r>
      <w:r>
        <w:rPr>
          <w:rStyle w:val="cf01"/>
          <w:rFonts w:asciiTheme="minorHAnsi" w:hAnsiTheme="minorHAnsi" w:cstheme="minorHAnsi"/>
          <w:sz w:val="22"/>
          <w:szCs w:val="22"/>
        </w:rPr>
        <w:t xml:space="preserve"> K et al. </w:t>
      </w:r>
      <w:r w:rsidRPr="001B6A62">
        <w:rPr>
          <w:rStyle w:val="cf01"/>
          <w:rFonts w:asciiTheme="minorHAnsi" w:hAnsiTheme="minorHAnsi" w:cstheme="minorHAnsi"/>
          <w:sz w:val="22"/>
          <w:szCs w:val="22"/>
        </w:rPr>
        <w:t>Low health literacy and health outcomes: an updated systematic review. Annals of internal medicine</w:t>
      </w:r>
      <w:r>
        <w:rPr>
          <w:rStyle w:val="cf01"/>
          <w:rFonts w:asciiTheme="minorHAnsi" w:hAnsiTheme="minorHAnsi" w:cstheme="minorHAnsi"/>
          <w:sz w:val="22"/>
          <w:szCs w:val="22"/>
        </w:rPr>
        <w:t xml:space="preserve"> 2011;</w:t>
      </w:r>
      <w:r w:rsidRPr="001B6A62">
        <w:rPr>
          <w:rStyle w:val="cf01"/>
          <w:rFonts w:asciiTheme="minorHAnsi" w:hAnsiTheme="minorHAnsi" w:cstheme="minorHAnsi"/>
          <w:sz w:val="22"/>
          <w:szCs w:val="22"/>
        </w:rPr>
        <w:t> 155</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2: 97-107</w:t>
      </w:r>
    </w:p>
    <w:p w14:paraId="02ACB62D" w14:textId="77777777"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r w:rsidRPr="001B6A62">
        <w:rPr>
          <w:rStyle w:val="cf01"/>
          <w:rFonts w:asciiTheme="minorHAnsi" w:hAnsiTheme="minorHAnsi" w:cstheme="minorHAnsi"/>
          <w:sz w:val="22"/>
          <w:szCs w:val="22"/>
        </w:rPr>
        <w:lastRenderedPageBreak/>
        <w:t>Majumdar</w:t>
      </w:r>
      <w:r>
        <w:rPr>
          <w:rStyle w:val="cf01"/>
          <w:rFonts w:asciiTheme="minorHAnsi" w:hAnsiTheme="minorHAnsi" w:cstheme="minorHAnsi"/>
          <w:sz w:val="22"/>
          <w:szCs w:val="22"/>
        </w:rPr>
        <w:t xml:space="preserve"> S, Lier D, McAlister F et al.</w:t>
      </w:r>
      <w:r w:rsidRPr="001B6A62">
        <w:rPr>
          <w:rStyle w:val="cf01"/>
          <w:rFonts w:asciiTheme="minorHAnsi" w:hAnsiTheme="minorHAnsi" w:cstheme="minorHAnsi"/>
          <w:sz w:val="22"/>
          <w:szCs w:val="22"/>
        </w:rPr>
        <w:t xml:space="preserve"> Cost‐Effectiveness of Osteoporosis Interventions to Improve Quality of Care After Upper Extremity Fracture: Results </w:t>
      </w:r>
      <w:proofErr w:type="gramStart"/>
      <w:r w:rsidRPr="001B6A62">
        <w:rPr>
          <w:rStyle w:val="cf01"/>
          <w:rFonts w:asciiTheme="minorHAnsi" w:hAnsiTheme="minorHAnsi" w:cstheme="minorHAnsi"/>
          <w:sz w:val="22"/>
          <w:szCs w:val="22"/>
        </w:rPr>
        <w:t>From</w:t>
      </w:r>
      <w:proofErr w:type="gramEnd"/>
      <w:r w:rsidRPr="001B6A62">
        <w:rPr>
          <w:rStyle w:val="cf01"/>
          <w:rFonts w:asciiTheme="minorHAnsi" w:hAnsiTheme="minorHAnsi" w:cstheme="minorHAnsi"/>
          <w:sz w:val="22"/>
          <w:szCs w:val="22"/>
        </w:rPr>
        <w:t xml:space="preserve"> a Randomized Trial (C‐STOP Trial</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J</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Bone Miner Res</w:t>
      </w:r>
      <w:r>
        <w:rPr>
          <w:rStyle w:val="cf01"/>
          <w:rFonts w:asciiTheme="minorHAnsi" w:hAnsiTheme="minorHAnsi" w:cstheme="minorHAnsi"/>
          <w:sz w:val="22"/>
          <w:szCs w:val="22"/>
        </w:rPr>
        <w:t xml:space="preserve"> 2019; </w:t>
      </w:r>
      <w:r w:rsidRPr="001B6A62">
        <w:rPr>
          <w:rStyle w:val="cf01"/>
          <w:rFonts w:asciiTheme="minorHAnsi" w:hAnsiTheme="minorHAnsi" w:cstheme="minorHAnsi"/>
          <w:sz w:val="22"/>
          <w:szCs w:val="22"/>
        </w:rPr>
        <w:t>34</w:t>
      </w:r>
      <w:r>
        <w:rPr>
          <w:rStyle w:val="cf01"/>
          <w:rFonts w:asciiTheme="minorHAnsi" w:hAnsiTheme="minorHAnsi" w:cstheme="minorHAnsi"/>
          <w:sz w:val="22"/>
          <w:szCs w:val="22"/>
        </w:rPr>
        <w:t>:</w:t>
      </w:r>
      <w:r w:rsidRPr="001B6A62">
        <w:rPr>
          <w:rStyle w:val="cf01"/>
          <w:rFonts w:asciiTheme="minorHAnsi" w:hAnsiTheme="minorHAnsi" w:cstheme="minorHAnsi"/>
          <w:sz w:val="22"/>
          <w:szCs w:val="22"/>
        </w:rPr>
        <w:t>7</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1220-1228</w:t>
      </w:r>
    </w:p>
    <w:p w14:paraId="3AA7DB91" w14:textId="77777777" w:rsidR="00127B45" w:rsidRPr="003446E1"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r w:rsidRPr="003446E1">
        <w:rPr>
          <w:rStyle w:val="cf01"/>
          <w:rFonts w:asciiTheme="minorHAnsi" w:hAnsiTheme="minorHAnsi" w:cstheme="minorHAnsi"/>
          <w:sz w:val="22"/>
          <w:szCs w:val="22"/>
        </w:rPr>
        <w:t>NICE. Shared Decision Making. London: National Institute for Health and Care Excellence, 2</w:t>
      </w:r>
      <w:r>
        <w:rPr>
          <w:rStyle w:val="cf01"/>
          <w:rFonts w:asciiTheme="minorHAnsi" w:hAnsiTheme="minorHAnsi" w:cstheme="minorHAnsi"/>
          <w:sz w:val="22"/>
          <w:szCs w:val="22"/>
        </w:rPr>
        <w:t>021</w:t>
      </w:r>
      <w:r w:rsidRPr="003446E1">
        <w:rPr>
          <w:rStyle w:val="cf01"/>
          <w:rFonts w:asciiTheme="minorHAnsi" w:hAnsiTheme="minorHAnsi" w:cstheme="minorHAnsi"/>
          <w:sz w:val="22"/>
          <w:szCs w:val="22"/>
        </w:rPr>
        <w:t>.</w:t>
      </w:r>
    </w:p>
    <w:p w14:paraId="549F28FC" w14:textId="77777777" w:rsidR="00127B45" w:rsidRPr="001B6A62" w:rsidRDefault="00127B45" w:rsidP="005840E5">
      <w:pPr>
        <w:pStyle w:val="pf0"/>
        <w:numPr>
          <w:ilvl w:val="0"/>
          <w:numId w:val="16"/>
        </w:numPr>
        <w:spacing w:before="120" w:beforeAutospacing="0" w:after="120" w:afterAutospacing="0"/>
        <w:rPr>
          <w:rStyle w:val="cf01"/>
          <w:rFonts w:asciiTheme="minorHAnsi" w:hAnsiTheme="minorHAnsi" w:cstheme="minorHAnsi"/>
          <w:sz w:val="22"/>
          <w:szCs w:val="22"/>
        </w:rPr>
      </w:pPr>
      <w:r w:rsidRPr="001B6A62">
        <w:rPr>
          <w:rStyle w:val="cf01"/>
          <w:rFonts w:asciiTheme="minorHAnsi" w:hAnsiTheme="minorHAnsi" w:cstheme="minorHAnsi"/>
          <w:sz w:val="22"/>
          <w:szCs w:val="22"/>
        </w:rPr>
        <w:t xml:space="preserve">Hoffmann T, </w:t>
      </w:r>
      <w:proofErr w:type="spellStart"/>
      <w:r w:rsidRPr="001B6A62">
        <w:rPr>
          <w:rStyle w:val="cf01"/>
          <w:rFonts w:asciiTheme="minorHAnsi" w:hAnsiTheme="minorHAnsi" w:cstheme="minorHAnsi"/>
          <w:sz w:val="22"/>
          <w:szCs w:val="22"/>
        </w:rPr>
        <w:t>Glasziou</w:t>
      </w:r>
      <w:proofErr w:type="spellEnd"/>
      <w:r w:rsidRPr="001B6A62">
        <w:rPr>
          <w:rStyle w:val="cf01"/>
          <w:rFonts w:asciiTheme="minorHAnsi" w:hAnsiTheme="minorHAnsi" w:cstheme="minorHAnsi"/>
          <w:sz w:val="22"/>
          <w:szCs w:val="22"/>
        </w:rPr>
        <w:t xml:space="preserve"> P, </w:t>
      </w:r>
      <w:proofErr w:type="spellStart"/>
      <w:r w:rsidRPr="001B6A62">
        <w:rPr>
          <w:rStyle w:val="cf01"/>
          <w:rFonts w:asciiTheme="minorHAnsi" w:hAnsiTheme="minorHAnsi" w:cstheme="minorHAnsi"/>
          <w:sz w:val="22"/>
          <w:szCs w:val="22"/>
        </w:rPr>
        <w:t>Boutron</w:t>
      </w:r>
      <w:proofErr w:type="spellEnd"/>
      <w:r w:rsidRPr="001B6A62">
        <w:rPr>
          <w:rStyle w:val="cf01"/>
          <w:rFonts w:asciiTheme="minorHAnsi" w:hAnsiTheme="minorHAnsi" w:cstheme="minorHAnsi"/>
          <w:sz w:val="22"/>
          <w:szCs w:val="22"/>
        </w:rPr>
        <w:t xml:space="preserve"> I, et al. </w:t>
      </w:r>
      <w:proofErr w:type="gramStart"/>
      <w:r w:rsidRPr="001B6A62">
        <w:rPr>
          <w:rStyle w:val="cf01"/>
          <w:rFonts w:asciiTheme="minorHAnsi" w:hAnsiTheme="minorHAnsi" w:cstheme="minorHAnsi"/>
          <w:sz w:val="22"/>
          <w:szCs w:val="22"/>
        </w:rPr>
        <w:t>Better</w:t>
      </w:r>
      <w:proofErr w:type="gramEnd"/>
      <w:r w:rsidRPr="001B6A62">
        <w:rPr>
          <w:rStyle w:val="cf01"/>
          <w:rFonts w:asciiTheme="minorHAnsi" w:hAnsiTheme="minorHAnsi" w:cstheme="minorHAnsi"/>
          <w:sz w:val="22"/>
          <w:szCs w:val="22"/>
        </w:rPr>
        <w:t xml:space="preserve"> reporting of interventions: template for intervention description and replication (</w:t>
      </w:r>
      <w:proofErr w:type="spellStart"/>
      <w:r w:rsidRPr="001B6A62">
        <w:rPr>
          <w:rStyle w:val="cf01"/>
          <w:rFonts w:asciiTheme="minorHAnsi" w:hAnsiTheme="minorHAnsi" w:cstheme="minorHAnsi"/>
          <w:sz w:val="22"/>
          <w:szCs w:val="22"/>
        </w:rPr>
        <w:t>TIDieR</w:t>
      </w:r>
      <w:proofErr w:type="spellEnd"/>
      <w:r w:rsidRPr="001B6A62">
        <w:rPr>
          <w:rStyle w:val="cf01"/>
          <w:rFonts w:asciiTheme="minorHAnsi" w:hAnsiTheme="minorHAnsi" w:cstheme="minorHAnsi"/>
          <w:sz w:val="22"/>
          <w:szCs w:val="22"/>
        </w:rPr>
        <w:t>) checklist and guide. BMJ</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2014;</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348:</w:t>
      </w:r>
      <w:r>
        <w:rPr>
          <w:rStyle w:val="cf01"/>
          <w:rFonts w:asciiTheme="minorHAnsi" w:hAnsiTheme="minorHAnsi" w:cstheme="minorHAnsi"/>
          <w:sz w:val="22"/>
          <w:szCs w:val="22"/>
        </w:rPr>
        <w:t xml:space="preserve"> </w:t>
      </w:r>
      <w:r w:rsidRPr="001B6A62">
        <w:rPr>
          <w:rStyle w:val="cf01"/>
          <w:rFonts w:asciiTheme="minorHAnsi" w:hAnsiTheme="minorHAnsi" w:cstheme="minorHAnsi"/>
          <w:sz w:val="22"/>
          <w:szCs w:val="22"/>
        </w:rPr>
        <w:t>g1687.</w:t>
      </w:r>
    </w:p>
    <w:p w14:paraId="3A021576" w14:textId="77777777" w:rsidR="0041203D" w:rsidRDefault="0041203D" w:rsidP="00D0614C"/>
    <w:p w14:paraId="4E9875AB" w14:textId="49E6F09F" w:rsidR="0041203D" w:rsidRDefault="0041203D" w:rsidP="00D0614C"/>
    <w:p w14:paraId="3BA9D2E3" w14:textId="77777777" w:rsidR="0041203D" w:rsidRDefault="0041203D" w:rsidP="00D0614C"/>
    <w:p w14:paraId="6E02E5B0" w14:textId="029D2285" w:rsidR="00497899" w:rsidRPr="002E3178" w:rsidRDefault="0041203D" w:rsidP="002E3178">
      <w:pPr>
        <w:rPr>
          <w:rFonts w:cstheme="minorHAnsi"/>
          <w:b/>
        </w:rPr>
        <w:sectPr w:rsidR="00497899" w:rsidRPr="002E3178" w:rsidSect="006C20B3">
          <w:footerReference w:type="default" r:id="rId12"/>
          <w:pgSz w:w="11906" w:h="16838"/>
          <w:pgMar w:top="1440" w:right="1440" w:bottom="1440" w:left="1440" w:header="708" w:footer="708" w:gutter="0"/>
          <w:cols w:space="708"/>
          <w:docGrid w:linePitch="360"/>
        </w:sectPr>
      </w:pPr>
      <w:r>
        <w:rPr>
          <w:rFonts w:cstheme="minorHAnsi"/>
          <w:b/>
        </w:rPr>
        <w:br w:type="page"/>
      </w:r>
    </w:p>
    <w:p w14:paraId="72F85A8E" w14:textId="77777777" w:rsidR="00C11F68" w:rsidRDefault="00C11F68" w:rsidP="00EA4FED">
      <w:pPr>
        <w:pStyle w:val="Caption"/>
        <w:keepNext/>
        <w:sectPr w:rsidR="00C11F68" w:rsidSect="000D2B1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702D2569" w14:textId="06E3F9F2" w:rsidR="00EA4FED" w:rsidRDefault="00EA4FED" w:rsidP="00EA4FED">
      <w:pPr>
        <w:pStyle w:val="Caption"/>
        <w:keepNext/>
      </w:pPr>
      <w:r>
        <w:lastRenderedPageBreak/>
        <w:t xml:space="preserve">Table </w:t>
      </w:r>
      <w:fldSimple w:instr=" SEQ Table \* ARABIC ">
        <w:r>
          <w:rPr>
            <w:noProof/>
          </w:rPr>
          <w:t>1</w:t>
        </w:r>
      </w:fldSimple>
      <w:r>
        <w:t xml:space="preserve"> - </w:t>
      </w:r>
      <w:r w:rsidRPr="00B6378D">
        <w:t>Characteristics of included studies in primary search</w:t>
      </w:r>
    </w:p>
    <w:tbl>
      <w:tblPr>
        <w:tblStyle w:val="GridTable1Light"/>
        <w:tblW w:w="15730" w:type="dxa"/>
        <w:tblLayout w:type="fixed"/>
        <w:tblLook w:val="04A0" w:firstRow="1" w:lastRow="0" w:firstColumn="1" w:lastColumn="0" w:noHBand="0" w:noVBand="1"/>
      </w:tblPr>
      <w:tblGrid>
        <w:gridCol w:w="1838"/>
        <w:gridCol w:w="1019"/>
        <w:gridCol w:w="6494"/>
        <w:gridCol w:w="1417"/>
        <w:gridCol w:w="1134"/>
        <w:gridCol w:w="2835"/>
        <w:gridCol w:w="993"/>
      </w:tblGrid>
      <w:tr w:rsidR="006E7EE3" w:rsidRPr="00E473B3" w14:paraId="41050412" w14:textId="77777777" w:rsidTr="0001776A">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838" w:type="dxa"/>
            <w:hideMark/>
          </w:tcPr>
          <w:p w14:paraId="2A81B73E" w14:textId="767D0279" w:rsidR="006E7EE3" w:rsidRPr="00E473B3" w:rsidRDefault="006E7EE3" w:rsidP="00BF54BD">
            <w:pPr>
              <w:spacing w:after="120"/>
              <w:rPr>
                <w:rFonts w:eastAsia="Times New Roman" w:cstheme="minorHAnsi"/>
                <w:color w:val="FFFFFF"/>
                <w:sz w:val="20"/>
                <w:szCs w:val="20"/>
                <w:lang w:eastAsia="en-GB"/>
              </w:rPr>
            </w:pPr>
            <w:r w:rsidRPr="00E473B3">
              <w:rPr>
                <w:rFonts w:eastAsia="Times New Roman" w:cstheme="minorHAnsi"/>
                <w:sz w:val="20"/>
                <w:szCs w:val="20"/>
                <w:lang w:eastAsia="en-GB"/>
              </w:rPr>
              <w:t>First Author Publication</w:t>
            </w:r>
            <w:r w:rsidR="00BD4FC2" w:rsidRPr="00E473B3">
              <w:rPr>
                <w:rFonts w:eastAsia="Times New Roman" w:cstheme="minorHAnsi"/>
                <w:sz w:val="20"/>
                <w:szCs w:val="20"/>
                <w:lang w:eastAsia="en-GB"/>
              </w:rPr>
              <w:t xml:space="preserve"> </w:t>
            </w:r>
            <w:r w:rsidRPr="00E473B3">
              <w:rPr>
                <w:rFonts w:eastAsia="Times New Roman" w:cstheme="minorHAnsi"/>
                <w:sz w:val="20"/>
                <w:szCs w:val="20"/>
                <w:lang w:eastAsia="en-GB"/>
              </w:rPr>
              <w:t>year</w:t>
            </w:r>
          </w:p>
        </w:tc>
        <w:tc>
          <w:tcPr>
            <w:tcW w:w="1019" w:type="dxa"/>
            <w:hideMark/>
          </w:tcPr>
          <w:p w14:paraId="4D5F9F4A" w14:textId="77777777" w:rsidR="006E7EE3" w:rsidRPr="00E473B3" w:rsidRDefault="006E7EE3" w:rsidP="00BF54BD">
            <w:pPr>
              <w:spacing w:after="120"/>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E473B3">
              <w:rPr>
                <w:rFonts w:eastAsia="Times New Roman" w:cstheme="minorHAnsi"/>
                <w:sz w:val="20"/>
                <w:szCs w:val="20"/>
                <w:lang w:eastAsia="en-GB"/>
              </w:rPr>
              <w:t xml:space="preserve">Country </w:t>
            </w:r>
          </w:p>
        </w:tc>
        <w:tc>
          <w:tcPr>
            <w:tcW w:w="6494" w:type="dxa"/>
            <w:hideMark/>
          </w:tcPr>
          <w:p w14:paraId="686EB2F8" w14:textId="77777777" w:rsidR="006E7EE3" w:rsidRPr="00E473B3" w:rsidRDefault="006E7EE3" w:rsidP="00BF54BD">
            <w:pPr>
              <w:spacing w:after="120"/>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E473B3">
              <w:rPr>
                <w:rFonts w:eastAsia="Times New Roman" w:cstheme="minorHAnsi"/>
                <w:sz w:val="20"/>
                <w:szCs w:val="20"/>
                <w:lang w:eastAsia="en-GB"/>
              </w:rPr>
              <w:t>Brief study aim(s)</w:t>
            </w:r>
          </w:p>
        </w:tc>
        <w:tc>
          <w:tcPr>
            <w:tcW w:w="1417" w:type="dxa"/>
            <w:hideMark/>
          </w:tcPr>
          <w:p w14:paraId="79D4D32B" w14:textId="2DAF32F0" w:rsidR="006E7EE3" w:rsidRPr="00E473B3" w:rsidRDefault="006E7EE3" w:rsidP="00BF54BD">
            <w:pPr>
              <w:spacing w:after="120"/>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E473B3">
              <w:rPr>
                <w:rFonts w:eastAsia="Times New Roman" w:cstheme="minorHAnsi"/>
                <w:sz w:val="20"/>
                <w:szCs w:val="20"/>
                <w:lang w:eastAsia="en-GB"/>
              </w:rPr>
              <w:t>Study design</w:t>
            </w:r>
          </w:p>
        </w:tc>
        <w:tc>
          <w:tcPr>
            <w:tcW w:w="1134" w:type="dxa"/>
            <w:hideMark/>
          </w:tcPr>
          <w:p w14:paraId="74B61B38" w14:textId="77777777" w:rsidR="006E7EE3" w:rsidRPr="00E473B3" w:rsidRDefault="006E7EE3" w:rsidP="00BF54BD">
            <w:pPr>
              <w:spacing w:after="120"/>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E473B3">
              <w:rPr>
                <w:rFonts w:eastAsia="Times New Roman" w:cstheme="minorHAnsi"/>
                <w:sz w:val="20"/>
                <w:szCs w:val="20"/>
                <w:lang w:eastAsia="en-GB"/>
              </w:rPr>
              <w:t xml:space="preserve">Study settings </w:t>
            </w:r>
          </w:p>
        </w:tc>
        <w:tc>
          <w:tcPr>
            <w:tcW w:w="2835" w:type="dxa"/>
            <w:hideMark/>
          </w:tcPr>
          <w:p w14:paraId="12DCDFF9" w14:textId="69C9EBBB" w:rsidR="006E7EE3" w:rsidRPr="00E473B3" w:rsidRDefault="006E7EE3" w:rsidP="00BF54BD">
            <w:pPr>
              <w:spacing w:after="120"/>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E473B3">
              <w:rPr>
                <w:rFonts w:eastAsia="Times New Roman" w:cstheme="minorHAnsi"/>
                <w:sz w:val="20"/>
                <w:szCs w:val="20"/>
                <w:lang w:eastAsia="en-GB"/>
              </w:rPr>
              <w:t xml:space="preserve">Participants </w:t>
            </w:r>
          </w:p>
        </w:tc>
        <w:tc>
          <w:tcPr>
            <w:tcW w:w="993" w:type="dxa"/>
            <w:hideMark/>
          </w:tcPr>
          <w:p w14:paraId="3E891DDC" w14:textId="77777777" w:rsidR="006E7EE3" w:rsidRPr="00E473B3" w:rsidRDefault="006E7EE3" w:rsidP="00BF54BD">
            <w:pPr>
              <w:spacing w:after="120"/>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E473B3">
              <w:rPr>
                <w:rFonts w:eastAsia="Times New Roman" w:cstheme="minorHAnsi"/>
                <w:b w:val="0"/>
                <w:bCs w:val="0"/>
                <w:sz w:val="20"/>
                <w:szCs w:val="20"/>
                <w:lang w:eastAsia="en-GB"/>
              </w:rPr>
              <w:t xml:space="preserve">Study </w:t>
            </w:r>
            <w:r w:rsidRPr="00E473B3">
              <w:rPr>
                <w:rFonts w:eastAsia="Times New Roman" w:cstheme="minorHAnsi"/>
                <w:sz w:val="20"/>
                <w:szCs w:val="20"/>
                <w:lang w:eastAsia="en-GB"/>
              </w:rPr>
              <w:t xml:space="preserve">Quality </w:t>
            </w:r>
          </w:p>
        </w:tc>
      </w:tr>
      <w:tr w:rsidR="006E7EE3" w:rsidRPr="00E473B3" w14:paraId="11D96543" w14:textId="77777777" w:rsidTr="0001776A">
        <w:trPr>
          <w:trHeight w:val="120"/>
        </w:trPr>
        <w:tc>
          <w:tcPr>
            <w:cnfStyle w:val="001000000000" w:firstRow="0" w:lastRow="0" w:firstColumn="1" w:lastColumn="0" w:oddVBand="0" w:evenVBand="0" w:oddHBand="0" w:evenHBand="0" w:firstRowFirstColumn="0" w:firstRowLastColumn="0" w:lastRowFirstColumn="0" w:lastRowLastColumn="0"/>
            <w:tcW w:w="1838" w:type="dxa"/>
            <w:noWrap/>
          </w:tcPr>
          <w:p w14:paraId="7879F450" w14:textId="77777777" w:rsidR="006E7EE3" w:rsidRPr="00E473B3" w:rsidRDefault="006E7EE3" w:rsidP="00BF54BD">
            <w:pPr>
              <w:spacing w:after="120"/>
              <w:rPr>
                <w:rFonts w:eastAsia="Times New Roman" w:cstheme="minorHAnsi"/>
                <w:color w:val="000000"/>
                <w:sz w:val="20"/>
                <w:szCs w:val="20"/>
                <w:lang w:eastAsia="en-GB"/>
              </w:rPr>
            </w:pPr>
            <w:r w:rsidRPr="00E473B3">
              <w:rPr>
                <w:rFonts w:eastAsia="Times New Roman" w:cstheme="minorHAnsi"/>
                <w:color w:val="000000"/>
                <w:sz w:val="20"/>
                <w:szCs w:val="20"/>
                <w:lang w:eastAsia="en-GB"/>
              </w:rPr>
              <w:t>Bianchi et al. 2015 [22]</w:t>
            </w:r>
          </w:p>
        </w:tc>
        <w:tc>
          <w:tcPr>
            <w:tcW w:w="1019" w:type="dxa"/>
          </w:tcPr>
          <w:p w14:paraId="799E8FBA"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Italy</w:t>
            </w:r>
          </w:p>
        </w:tc>
        <w:tc>
          <w:tcPr>
            <w:tcW w:w="6494" w:type="dxa"/>
          </w:tcPr>
          <w:p w14:paraId="52FCDDB6"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To evaluate efficacy of interventions for improving adherence and persistence through greater patient involvement, compared with standard clinical practice.</w:t>
            </w:r>
          </w:p>
        </w:tc>
        <w:tc>
          <w:tcPr>
            <w:tcW w:w="1417" w:type="dxa"/>
          </w:tcPr>
          <w:p w14:paraId="49D274CB" w14:textId="2E99B0A2"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RCT</w:t>
            </w:r>
          </w:p>
        </w:tc>
        <w:tc>
          <w:tcPr>
            <w:tcW w:w="1134" w:type="dxa"/>
          </w:tcPr>
          <w:p w14:paraId="29D77C3E"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Outpatient</w:t>
            </w:r>
          </w:p>
        </w:tc>
        <w:tc>
          <w:tcPr>
            <w:tcW w:w="2835" w:type="dxa"/>
          </w:tcPr>
          <w:p w14:paraId="35BB7E05" w14:textId="584A0C80"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 xml:space="preserve">344 females, first prescription for medication. </w:t>
            </w:r>
          </w:p>
        </w:tc>
        <w:tc>
          <w:tcPr>
            <w:tcW w:w="993" w:type="dxa"/>
          </w:tcPr>
          <w:p w14:paraId="74DE5709"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73B3">
              <w:rPr>
                <w:rFonts w:cstheme="minorHAnsi"/>
                <w:sz w:val="20"/>
                <w:szCs w:val="20"/>
              </w:rPr>
              <w:t>Concerns</w:t>
            </w:r>
          </w:p>
        </w:tc>
      </w:tr>
      <w:tr w:rsidR="006E7EE3" w:rsidRPr="00E473B3" w14:paraId="5F25AAC9" w14:textId="77777777" w:rsidTr="0001776A">
        <w:trPr>
          <w:trHeight w:val="120"/>
        </w:trPr>
        <w:tc>
          <w:tcPr>
            <w:cnfStyle w:val="001000000000" w:firstRow="0" w:lastRow="0" w:firstColumn="1" w:lastColumn="0" w:oddVBand="0" w:evenVBand="0" w:oddHBand="0" w:evenHBand="0" w:firstRowFirstColumn="0" w:firstRowLastColumn="0" w:lastRowFirstColumn="0" w:lastRowLastColumn="0"/>
            <w:tcW w:w="1838" w:type="dxa"/>
            <w:noWrap/>
          </w:tcPr>
          <w:p w14:paraId="5C0E72EF" w14:textId="77777777" w:rsidR="006E7EE3" w:rsidRPr="00E473B3" w:rsidRDefault="006E7EE3" w:rsidP="00BF54BD">
            <w:pPr>
              <w:spacing w:after="120"/>
              <w:rPr>
                <w:rFonts w:eastAsia="Times New Roman" w:cstheme="minorHAnsi"/>
                <w:color w:val="000000"/>
                <w:sz w:val="20"/>
                <w:szCs w:val="20"/>
                <w:lang w:eastAsia="en-GB"/>
              </w:rPr>
            </w:pPr>
            <w:r w:rsidRPr="00E473B3">
              <w:rPr>
                <w:rFonts w:eastAsia="Times New Roman" w:cstheme="minorHAnsi"/>
                <w:color w:val="000000"/>
                <w:sz w:val="20"/>
                <w:szCs w:val="20"/>
                <w:lang w:eastAsia="en-GB"/>
              </w:rPr>
              <w:t>Cram et al. 2016 [23]</w:t>
            </w:r>
          </w:p>
        </w:tc>
        <w:tc>
          <w:tcPr>
            <w:tcW w:w="1019" w:type="dxa"/>
          </w:tcPr>
          <w:p w14:paraId="315C327C"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USA</w:t>
            </w:r>
          </w:p>
        </w:tc>
        <w:tc>
          <w:tcPr>
            <w:tcW w:w="6494" w:type="dxa"/>
          </w:tcPr>
          <w:p w14:paraId="39099BF5"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To test if usual care augmented by a tailored patient-activation DXA result letter accompanied by an educational brochure would improve guideline-concordant pharmacological treatment compared to usual care only.</w:t>
            </w:r>
          </w:p>
        </w:tc>
        <w:tc>
          <w:tcPr>
            <w:tcW w:w="1417" w:type="dxa"/>
          </w:tcPr>
          <w:p w14:paraId="40B0E8D6" w14:textId="556725D9"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Cluster RCT</w:t>
            </w:r>
          </w:p>
        </w:tc>
        <w:tc>
          <w:tcPr>
            <w:tcW w:w="1134" w:type="dxa"/>
          </w:tcPr>
          <w:p w14:paraId="5DE1239F"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Outpatient</w:t>
            </w:r>
          </w:p>
        </w:tc>
        <w:tc>
          <w:tcPr>
            <w:tcW w:w="2835" w:type="dxa"/>
          </w:tcPr>
          <w:p w14:paraId="5D2FEA52" w14:textId="5081C821"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7749. Mean age 66.6 years, 83.8 % were women, and 75.3 % were non-Hispanic whites.</w:t>
            </w:r>
          </w:p>
        </w:tc>
        <w:tc>
          <w:tcPr>
            <w:tcW w:w="993" w:type="dxa"/>
          </w:tcPr>
          <w:p w14:paraId="123D2CD3"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73B3">
              <w:rPr>
                <w:rFonts w:cstheme="minorHAnsi"/>
                <w:sz w:val="20"/>
                <w:szCs w:val="20"/>
              </w:rPr>
              <w:t>Low</w:t>
            </w:r>
          </w:p>
        </w:tc>
      </w:tr>
      <w:tr w:rsidR="006E7EE3" w:rsidRPr="00E473B3" w14:paraId="3577282B" w14:textId="77777777" w:rsidTr="0001776A">
        <w:trPr>
          <w:trHeight w:val="589"/>
        </w:trPr>
        <w:tc>
          <w:tcPr>
            <w:cnfStyle w:val="001000000000" w:firstRow="0" w:lastRow="0" w:firstColumn="1" w:lastColumn="0" w:oddVBand="0" w:evenVBand="0" w:oddHBand="0" w:evenHBand="0" w:firstRowFirstColumn="0" w:firstRowLastColumn="0" w:lastRowFirstColumn="0" w:lastRowLastColumn="0"/>
            <w:tcW w:w="1838" w:type="dxa"/>
            <w:noWrap/>
          </w:tcPr>
          <w:p w14:paraId="4315D336" w14:textId="77777777" w:rsidR="006E7EE3" w:rsidRPr="00E473B3" w:rsidRDefault="006E7EE3" w:rsidP="00BF54BD">
            <w:pPr>
              <w:spacing w:after="120"/>
              <w:rPr>
                <w:rFonts w:eastAsia="Times New Roman" w:cstheme="minorHAnsi"/>
                <w:color w:val="000000"/>
                <w:sz w:val="20"/>
                <w:szCs w:val="20"/>
                <w:lang w:eastAsia="en-GB"/>
              </w:rPr>
            </w:pPr>
            <w:proofErr w:type="spellStart"/>
            <w:r w:rsidRPr="00E473B3">
              <w:rPr>
                <w:rFonts w:eastAsia="Times New Roman" w:cstheme="minorHAnsi"/>
                <w:color w:val="000000"/>
                <w:sz w:val="20"/>
                <w:szCs w:val="20"/>
                <w:lang w:eastAsia="en-GB"/>
              </w:rPr>
              <w:t>Gonnelli</w:t>
            </w:r>
            <w:proofErr w:type="spellEnd"/>
            <w:r w:rsidRPr="00E473B3">
              <w:rPr>
                <w:rFonts w:eastAsia="Times New Roman" w:cstheme="minorHAnsi"/>
                <w:color w:val="000000"/>
                <w:sz w:val="20"/>
                <w:szCs w:val="20"/>
                <w:lang w:eastAsia="en-GB"/>
              </w:rPr>
              <w:t xml:space="preserve"> et al. 2016 [24]</w:t>
            </w:r>
          </w:p>
        </w:tc>
        <w:tc>
          <w:tcPr>
            <w:tcW w:w="1019" w:type="dxa"/>
          </w:tcPr>
          <w:p w14:paraId="37549190"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Italy</w:t>
            </w:r>
          </w:p>
        </w:tc>
        <w:tc>
          <w:tcPr>
            <w:tcW w:w="6494" w:type="dxa"/>
          </w:tcPr>
          <w:p w14:paraId="42611E13" w14:textId="7B8CA21C"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(1) Analyse persistence and compliance with oral OP meds and (2) evaluate whether individualised information on fracture risk improves adherence</w:t>
            </w:r>
          </w:p>
        </w:tc>
        <w:tc>
          <w:tcPr>
            <w:tcW w:w="1417" w:type="dxa"/>
          </w:tcPr>
          <w:p w14:paraId="22CB93CC" w14:textId="2315D47D"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 xml:space="preserve">Mixed </w:t>
            </w:r>
          </w:p>
        </w:tc>
        <w:tc>
          <w:tcPr>
            <w:tcW w:w="1134" w:type="dxa"/>
          </w:tcPr>
          <w:p w14:paraId="76F1CB3A"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O</w:t>
            </w:r>
            <w:r w:rsidRPr="00E473B3">
              <w:rPr>
                <w:rFonts w:eastAsia="Times New Roman" w:cstheme="minorHAnsi"/>
                <w:sz w:val="20"/>
                <w:szCs w:val="20"/>
                <w:lang w:eastAsia="en-GB"/>
              </w:rPr>
              <w:t>utpatient</w:t>
            </w:r>
          </w:p>
        </w:tc>
        <w:tc>
          <w:tcPr>
            <w:tcW w:w="2835" w:type="dxa"/>
          </w:tcPr>
          <w:p w14:paraId="044BCD56" w14:textId="7C484504"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 xml:space="preserve">3379. (816 in RCT) Mostly female, median age 68/69 years </w:t>
            </w:r>
          </w:p>
        </w:tc>
        <w:tc>
          <w:tcPr>
            <w:tcW w:w="993" w:type="dxa"/>
          </w:tcPr>
          <w:p w14:paraId="6B110EF7"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cstheme="minorHAnsi"/>
                <w:sz w:val="20"/>
                <w:szCs w:val="20"/>
              </w:rPr>
              <w:t>High</w:t>
            </w:r>
          </w:p>
        </w:tc>
      </w:tr>
      <w:tr w:rsidR="006E7EE3" w:rsidRPr="00E473B3" w14:paraId="1C4644D1" w14:textId="77777777" w:rsidTr="0001776A">
        <w:trPr>
          <w:trHeight w:val="641"/>
        </w:trPr>
        <w:tc>
          <w:tcPr>
            <w:cnfStyle w:val="001000000000" w:firstRow="0" w:lastRow="0" w:firstColumn="1" w:lastColumn="0" w:oddVBand="0" w:evenVBand="0" w:oddHBand="0" w:evenHBand="0" w:firstRowFirstColumn="0" w:firstRowLastColumn="0" w:lastRowFirstColumn="0" w:lastRowLastColumn="0"/>
            <w:tcW w:w="1838" w:type="dxa"/>
            <w:noWrap/>
            <w:hideMark/>
          </w:tcPr>
          <w:p w14:paraId="374CC23B" w14:textId="77777777" w:rsidR="006E7EE3" w:rsidRPr="00E473B3" w:rsidRDefault="006E7EE3" w:rsidP="00BF54BD">
            <w:pPr>
              <w:spacing w:after="120"/>
              <w:rPr>
                <w:rFonts w:eastAsia="Times New Roman" w:cstheme="minorHAnsi"/>
                <w:color w:val="000000"/>
                <w:sz w:val="20"/>
                <w:szCs w:val="20"/>
                <w:lang w:eastAsia="en-GB"/>
              </w:rPr>
            </w:pPr>
            <w:r w:rsidRPr="00E473B3">
              <w:rPr>
                <w:rFonts w:eastAsia="Times New Roman" w:cstheme="minorHAnsi"/>
                <w:color w:val="000000"/>
                <w:sz w:val="20"/>
                <w:szCs w:val="20"/>
                <w:lang w:eastAsia="en-GB"/>
              </w:rPr>
              <w:t>Liu 2021 [25]</w:t>
            </w:r>
          </w:p>
        </w:tc>
        <w:tc>
          <w:tcPr>
            <w:tcW w:w="1019" w:type="dxa"/>
            <w:hideMark/>
          </w:tcPr>
          <w:p w14:paraId="16C41C4A"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Canada</w:t>
            </w:r>
          </w:p>
        </w:tc>
        <w:tc>
          <w:tcPr>
            <w:tcW w:w="6494" w:type="dxa"/>
            <w:hideMark/>
          </w:tcPr>
          <w:p w14:paraId="7C7E07F7" w14:textId="6F9119F1"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Comparison of shared medical appointments (SMA) Vs usual care in decision to initiate treatment</w:t>
            </w:r>
          </w:p>
        </w:tc>
        <w:tc>
          <w:tcPr>
            <w:tcW w:w="1417" w:type="dxa"/>
            <w:hideMark/>
          </w:tcPr>
          <w:p w14:paraId="0A047AB5"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Others</w:t>
            </w:r>
          </w:p>
        </w:tc>
        <w:tc>
          <w:tcPr>
            <w:tcW w:w="1134" w:type="dxa"/>
            <w:hideMark/>
          </w:tcPr>
          <w:p w14:paraId="68E41B7D"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Outpatient</w:t>
            </w:r>
          </w:p>
        </w:tc>
        <w:tc>
          <w:tcPr>
            <w:tcW w:w="2835" w:type="dxa"/>
            <w:hideMark/>
          </w:tcPr>
          <w:p w14:paraId="66985364" w14:textId="5784F02B"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208 Women, median age 63 years</w:t>
            </w:r>
          </w:p>
        </w:tc>
        <w:tc>
          <w:tcPr>
            <w:tcW w:w="993" w:type="dxa"/>
            <w:hideMark/>
          </w:tcPr>
          <w:p w14:paraId="7CC412E5"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cstheme="minorHAnsi"/>
                <w:sz w:val="20"/>
                <w:szCs w:val="20"/>
              </w:rPr>
              <w:t>Low</w:t>
            </w:r>
          </w:p>
        </w:tc>
      </w:tr>
      <w:tr w:rsidR="006E7EE3" w:rsidRPr="00E473B3" w14:paraId="24715428" w14:textId="77777777" w:rsidTr="00B46CCA">
        <w:trPr>
          <w:trHeight w:val="621"/>
        </w:trPr>
        <w:tc>
          <w:tcPr>
            <w:cnfStyle w:val="001000000000" w:firstRow="0" w:lastRow="0" w:firstColumn="1" w:lastColumn="0" w:oddVBand="0" w:evenVBand="0" w:oddHBand="0" w:evenHBand="0" w:firstRowFirstColumn="0" w:firstRowLastColumn="0" w:lastRowFirstColumn="0" w:lastRowLastColumn="0"/>
            <w:tcW w:w="1838" w:type="dxa"/>
          </w:tcPr>
          <w:p w14:paraId="4ECAB4AE" w14:textId="77777777" w:rsidR="006E7EE3" w:rsidRPr="00E473B3" w:rsidRDefault="006E7EE3" w:rsidP="00BF54BD">
            <w:pPr>
              <w:spacing w:after="120"/>
              <w:rPr>
                <w:rFonts w:eastAsia="Times New Roman" w:cstheme="minorHAnsi"/>
                <w:color w:val="000000"/>
                <w:sz w:val="20"/>
                <w:szCs w:val="20"/>
                <w:lang w:eastAsia="en-GB"/>
              </w:rPr>
            </w:pPr>
            <w:r w:rsidRPr="00E473B3">
              <w:rPr>
                <w:rFonts w:eastAsia="Times New Roman" w:cstheme="minorHAnsi"/>
                <w:color w:val="000000"/>
                <w:sz w:val="20"/>
                <w:szCs w:val="20"/>
                <w:lang w:eastAsia="en-GB"/>
              </w:rPr>
              <w:t>Oral et al. 2015 [26]</w:t>
            </w:r>
          </w:p>
        </w:tc>
        <w:tc>
          <w:tcPr>
            <w:tcW w:w="1019" w:type="dxa"/>
          </w:tcPr>
          <w:p w14:paraId="51825E3D" w14:textId="6E0E262F"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Turkey Poland</w:t>
            </w:r>
          </w:p>
        </w:tc>
        <w:tc>
          <w:tcPr>
            <w:tcW w:w="6494" w:type="dxa"/>
          </w:tcPr>
          <w:p w14:paraId="11661AA3" w14:textId="614D504B"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 xml:space="preserve">Examine the compliance, </w:t>
            </w:r>
            <w:proofErr w:type="gramStart"/>
            <w:r w:rsidRPr="00E473B3">
              <w:rPr>
                <w:rFonts w:eastAsia="Times New Roman" w:cstheme="minorHAnsi"/>
                <w:color w:val="000000"/>
                <w:sz w:val="20"/>
                <w:szCs w:val="20"/>
                <w:lang w:eastAsia="en-GB"/>
              </w:rPr>
              <w:t>persistence</w:t>
            </w:r>
            <w:proofErr w:type="gramEnd"/>
            <w:r w:rsidRPr="00E473B3">
              <w:rPr>
                <w:rFonts w:eastAsia="Times New Roman" w:cstheme="minorHAnsi"/>
                <w:color w:val="000000"/>
                <w:sz w:val="20"/>
                <w:szCs w:val="20"/>
                <w:lang w:eastAsia="en-GB"/>
              </w:rPr>
              <w:t xml:space="preserve"> and preference between a fixed or flexible dosing regimen of daily risedronate </w:t>
            </w:r>
          </w:p>
        </w:tc>
        <w:tc>
          <w:tcPr>
            <w:tcW w:w="1417" w:type="dxa"/>
          </w:tcPr>
          <w:p w14:paraId="151895D7" w14:textId="178595CE"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 xml:space="preserve">Mixed </w:t>
            </w:r>
          </w:p>
        </w:tc>
        <w:tc>
          <w:tcPr>
            <w:tcW w:w="1134" w:type="dxa"/>
          </w:tcPr>
          <w:p w14:paraId="6B391C8A"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Outpatient</w:t>
            </w:r>
          </w:p>
        </w:tc>
        <w:tc>
          <w:tcPr>
            <w:tcW w:w="2835" w:type="dxa"/>
          </w:tcPr>
          <w:p w14:paraId="196F7D93" w14:textId="7D42F660"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448</w:t>
            </w:r>
            <w:r w:rsidR="00B46CCA">
              <w:rPr>
                <w:rFonts w:eastAsia="Times New Roman" w:cstheme="minorHAnsi"/>
                <w:color w:val="000000"/>
                <w:sz w:val="20"/>
                <w:szCs w:val="20"/>
                <w:lang w:eastAsia="en-GB"/>
              </w:rPr>
              <w:t xml:space="preserve"> postmenopausal</w:t>
            </w:r>
            <w:r w:rsidRPr="00E473B3">
              <w:rPr>
                <w:rFonts w:eastAsia="Times New Roman" w:cstheme="minorHAnsi"/>
                <w:color w:val="000000"/>
                <w:sz w:val="20"/>
                <w:szCs w:val="20"/>
                <w:lang w:eastAsia="en-GB"/>
              </w:rPr>
              <w:t xml:space="preserve"> females. 55–</w:t>
            </w:r>
            <w:proofErr w:type="gramStart"/>
            <w:r w:rsidRPr="00E473B3">
              <w:rPr>
                <w:rFonts w:eastAsia="Times New Roman" w:cstheme="minorHAnsi"/>
                <w:color w:val="000000"/>
                <w:sz w:val="20"/>
                <w:szCs w:val="20"/>
                <w:lang w:eastAsia="en-GB"/>
              </w:rPr>
              <w:t>85 year-old</w:t>
            </w:r>
            <w:proofErr w:type="gramEnd"/>
            <w:r w:rsidRPr="00E473B3">
              <w:rPr>
                <w:rFonts w:eastAsia="Times New Roman" w:cstheme="minorHAnsi"/>
                <w:color w:val="000000"/>
                <w:sz w:val="20"/>
                <w:szCs w:val="20"/>
                <w:lang w:eastAsia="en-GB"/>
              </w:rPr>
              <w:t xml:space="preserve">, </w:t>
            </w:r>
          </w:p>
        </w:tc>
        <w:tc>
          <w:tcPr>
            <w:tcW w:w="993" w:type="dxa"/>
          </w:tcPr>
          <w:p w14:paraId="653122D4"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cstheme="minorHAnsi"/>
                <w:sz w:val="20"/>
                <w:szCs w:val="20"/>
              </w:rPr>
              <w:t>Low</w:t>
            </w:r>
          </w:p>
        </w:tc>
      </w:tr>
      <w:tr w:rsidR="006E7EE3" w:rsidRPr="00E473B3" w14:paraId="42867189" w14:textId="77777777" w:rsidTr="0001776A">
        <w:trPr>
          <w:trHeight w:val="486"/>
        </w:trPr>
        <w:tc>
          <w:tcPr>
            <w:cnfStyle w:val="001000000000" w:firstRow="0" w:lastRow="0" w:firstColumn="1" w:lastColumn="0" w:oddVBand="0" w:evenVBand="0" w:oddHBand="0" w:evenHBand="0" w:firstRowFirstColumn="0" w:firstRowLastColumn="0" w:lastRowFirstColumn="0" w:lastRowLastColumn="0"/>
            <w:tcW w:w="1838" w:type="dxa"/>
          </w:tcPr>
          <w:p w14:paraId="2AB6593A" w14:textId="77777777" w:rsidR="006E7EE3" w:rsidRPr="00E473B3" w:rsidRDefault="006E7EE3" w:rsidP="00BF54BD">
            <w:pPr>
              <w:spacing w:after="120"/>
              <w:rPr>
                <w:rFonts w:eastAsia="Times New Roman" w:cstheme="minorHAnsi"/>
                <w:color w:val="000000"/>
                <w:sz w:val="20"/>
                <w:szCs w:val="20"/>
                <w:lang w:eastAsia="en-GB"/>
              </w:rPr>
            </w:pPr>
            <w:r w:rsidRPr="00E473B3">
              <w:rPr>
                <w:rFonts w:eastAsia="Times New Roman" w:cstheme="minorHAnsi"/>
                <w:color w:val="000000"/>
                <w:sz w:val="20"/>
                <w:szCs w:val="20"/>
                <w:lang w:eastAsia="en-GB"/>
              </w:rPr>
              <w:t>Roux et al. 2013 [27]</w:t>
            </w:r>
          </w:p>
        </w:tc>
        <w:tc>
          <w:tcPr>
            <w:tcW w:w="1019" w:type="dxa"/>
          </w:tcPr>
          <w:p w14:paraId="3089BF9E"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Canada</w:t>
            </w:r>
          </w:p>
        </w:tc>
        <w:tc>
          <w:tcPr>
            <w:tcW w:w="6494" w:type="dxa"/>
          </w:tcPr>
          <w:p w14:paraId="2F88D70F"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Evaluate 2 types of education intervention designed to increase initiation of treatment</w:t>
            </w:r>
          </w:p>
        </w:tc>
        <w:tc>
          <w:tcPr>
            <w:tcW w:w="1417" w:type="dxa"/>
          </w:tcPr>
          <w:p w14:paraId="2FAF18F1" w14:textId="04C07839"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Cluster RCT</w:t>
            </w:r>
          </w:p>
        </w:tc>
        <w:tc>
          <w:tcPr>
            <w:tcW w:w="1134" w:type="dxa"/>
          </w:tcPr>
          <w:p w14:paraId="6B5C9BC2"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Outpatient</w:t>
            </w:r>
          </w:p>
        </w:tc>
        <w:tc>
          <w:tcPr>
            <w:tcW w:w="2835" w:type="dxa"/>
          </w:tcPr>
          <w:p w14:paraId="3754B36E" w14:textId="58A33A32"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881 over 50 men and women</w:t>
            </w:r>
          </w:p>
        </w:tc>
        <w:tc>
          <w:tcPr>
            <w:tcW w:w="993" w:type="dxa"/>
          </w:tcPr>
          <w:p w14:paraId="477450AA"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cstheme="minorHAnsi"/>
                <w:sz w:val="20"/>
                <w:szCs w:val="20"/>
              </w:rPr>
              <w:t>Concerns</w:t>
            </w:r>
          </w:p>
        </w:tc>
      </w:tr>
      <w:tr w:rsidR="006E7EE3" w:rsidRPr="00E473B3" w14:paraId="6F227083" w14:textId="77777777" w:rsidTr="0001776A">
        <w:trPr>
          <w:trHeight w:val="779"/>
        </w:trPr>
        <w:tc>
          <w:tcPr>
            <w:cnfStyle w:val="001000000000" w:firstRow="0" w:lastRow="0" w:firstColumn="1" w:lastColumn="0" w:oddVBand="0" w:evenVBand="0" w:oddHBand="0" w:evenHBand="0" w:firstRowFirstColumn="0" w:firstRowLastColumn="0" w:lastRowFirstColumn="0" w:lastRowLastColumn="0"/>
            <w:tcW w:w="1838" w:type="dxa"/>
          </w:tcPr>
          <w:p w14:paraId="3ABE5A3B" w14:textId="77777777" w:rsidR="006E7EE3" w:rsidRPr="00E473B3" w:rsidRDefault="006E7EE3" w:rsidP="00BF54BD">
            <w:pPr>
              <w:spacing w:after="120"/>
              <w:rPr>
                <w:rFonts w:eastAsia="Times New Roman" w:cstheme="minorHAnsi"/>
                <w:color w:val="000000"/>
                <w:sz w:val="20"/>
                <w:szCs w:val="20"/>
                <w:lang w:eastAsia="en-GB"/>
              </w:rPr>
            </w:pPr>
            <w:proofErr w:type="spellStart"/>
            <w:r w:rsidRPr="00E473B3">
              <w:rPr>
                <w:rFonts w:eastAsia="Times New Roman" w:cstheme="minorHAnsi"/>
                <w:color w:val="000000"/>
                <w:sz w:val="20"/>
                <w:szCs w:val="20"/>
                <w:lang w:eastAsia="en-GB"/>
              </w:rPr>
              <w:t>Sagalla</w:t>
            </w:r>
            <w:proofErr w:type="spellEnd"/>
            <w:r w:rsidRPr="00E473B3">
              <w:rPr>
                <w:rFonts w:eastAsia="Times New Roman" w:cstheme="minorHAnsi"/>
                <w:color w:val="000000"/>
                <w:sz w:val="20"/>
                <w:szCs w:val="20"/>
                <w:lang w:eastAsia="en-GB"/>
              </w:rPr>
              <w:t xml:space="preserve"> 2021 [28]</w:t>
            </w:r>
          </w:p>
        </w:tc>
        <w:tc>
          <w:tcPr>
            <w:tcW w:w="1019" w:type="dxa"/>
          </w:tcPr>
          <w:p w14:paraId="33984B85"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USA</w:t>
            </w:r>
          </w:p>
        </w:tc>
        <w:tc>
          <w:tcPr>
            <w:tcW w:w="6494" w:type="dxa"/>
          </w:tcPr>
          <w:p w14:paraId="74960F18" w14:textId="627D1BD9"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To evaluate the extent of and reasons for non-adherence to oral bisphosphonates among veterans and to assess the</w:t>
            </w:r>
            <w:r w:rsidRPr="00E473B3">
              <w:rPr>
                <w:rFonts w:eastAsia="Times New Roman" w:cstheme="minorHAnsi"/>
                <w:color w:val="000000"/>
                <w:sz w:val="20"/>
                <w:szCs w:val="20"/>
                <w:lang w:eastAsia="en-GB"/>
              </w:rPr>
              <w:br/>
              <w:t>acceptability and feasibility of a pilot text message reminder</w:t>
            </w:r>
          </w:p>
        </w:tc>
        <w:tc>
          <w:tcPr>
            <w:tcW w:w="1417" w:type="dxa"/>
          </w:tcPr>
          <w:p w14:paraId="3BCE0D7F" w14:textId="73C9E559"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Cross-sectional survey</w:t>
            </w:r>
          </w:p>
        </w:tc>
        <w:tc>
          <w:tcPr>
            <w:tcW w:w="1134" w:type="dxa"/>
          </w:tcPr>
          <w:p w14:paraId="6AE88BB0"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Outpatient</w:t>
            </w:r>
          </w:p>
        </w:tc>
        <w:tc>
          <w:tcPr>
            <w:tcW w:w="2835" w:type="dxa"/>
          </w:tcPr>
          <w:p w14:paraId="790F68EF" w14:textId="33BD8644"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105 veterans 50 years and older men and women</w:t>
            </w:r>
          </w:p>
        </w:tc>
        <w:tc>
          <w:tcPr>
            <w:tcW w:w="993" w:type="dxa"/>
          </w:tcPr>
          <w:p w14:paraId="5F397F2D"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cstheme="minorHAnsi"/>
                <w:sz w:val="20"/>
                <w:szCs w:val="20"/>
              </w:rPr>
              <w:t>Concerns</w:t>
            </w:r>
          </w:p>
        </w:tc>
      </w:tr>
      <w:tr w:rsidR="006E7EE3" w:rsidRPr="00E473B3" w14:paraId="558B12F5" w14:textId="77777777" w:rsidTr="0001776A">
        <w:trPr>
          <w:trHeight w:val="616"/>
        </w:trPr>
        <w:tc>
          <w:tcPr>
            <w:cnfStyle w:val="001000000000" w:firstRow="0" w:lastRow="0" w:firstColumn="1" w:lastColumn="0" w:oddVBand="0" w:evenVBand="0" w:oddHBand="0" w:evenHBand="0" w:firstRowFirstColumn="0" w:firstRowLastColumn="0" w:lastRowFirstColumn="0" w:lastRowLastColumn="0"/>
            <w:tcW w:w="1838" w:type="dxa"/>
          </w:tcPr>
          <w:p w14:paraId="17434881" w14:textId="77777777" w:rsidR="006E7EE3" w:rsidRPr="00E473B3" w:rsidRDefault="006E7EE3" w:rsidP="00BF54BD">
            <w:pPr>
              <w:spacing w:after="120"/>
              <w:rPr>
                <w:rFonts w:eastAsia="Times New Roman" w:cstheme="minorHAnsi"/>
                <w:color w:val="000000"/>
                <w:sz w:val="20"/>
                <w:szCs w:val="20"/>
                <w:lang w:eastAsia="en-GB"/>
              </w:rPr>
            </w:pPr>
            <w:proofErr w:type="spellStart"/>
            <w:r w:rsidRPr="00E473B3">
              <w:rPr>
                <w:rFonts w:eastAsia="Times New Roman" w:cstheme="minorHAnsi"/>
                <w:color w:val="000000"/>
                <w:sz w:val="20"/>
                <w:szCs w:val="20"/>
                <w:lang w:eastAsia="en-GB"/>
              </w:rPr>
              <w:t>Seuffert</w:t>
            </w:r>
            <w:proofErr w:type="spellEnd"/>
            <w:r w:rsidRPr="00E473B3">
              <w:rPr>
                <w:rFonts w:eastAsia="Times New Roman" w:cstheme="minorHAnsi"/>
                <w:color w:val="000000"/>
                <w:sz w:val="20"/>
                <w:szCs w:val="20"/>
                <w:lang w:eastAsia="en-GB"/>
              </w:rPr>
              <w:t xml:space="preserve"> et al. 2016 [29]</w:t>
            </w:r>
          </w:p>
        </w:tc>
        <w:tc>
          <w:tcPr>
            <w:tcW w:w="1019" w:type="dxa"/>
          </w:tcPr>
          <w:p w14:paraId="0B413A88"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USA</w:t>
            </w:r>
          </w:p>
        </w:tc>
        <w:tc>
          <w:tcPr>
            <w:tcW w:w="6494" w:type="dxa"/>
          </w:tcPr>
          <w:p w14:paraId="606F39B0" w14:textId="6274FB39"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Assess whether education and referral by a nurse practitioner could improve treatment adherence in patients with low bone mineral density</w:t>
            </w:r>
          </w:p>
        </w:tc>
        <w:tc>
          <w:tcPr>
            <w:tcW w:w="1417" w:type="dxa"/>
          </w:tcPr>
          <w:p w14:paraId="2604FD51" w14:textId="2DE171F8"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Cluster RCT</w:t>
            </w:r>
          </w:p>
        </w:tc>
        <w:tc>
          <w:tcPr>
            <w:tcW w:w="1134" w:type="dxa"/>
          </w:tcPr>
          <w:p w14:paraId="2876C0E1"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Outpatient</w:t>
            </w:r>
          </w:p>
        </w:tc>
        <w:tc>
          <w:tcPr>
            <w:tcW w:w="2835" w:type="dxa"/>
          </w:tcPr>
          <w:p w14:paraId="10B085E7" w14:textId="59B6EF1B"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794 men and women</w:t>
            </w:r>
          </w:p>
        </w:tc>
        <w:tc>
          <w:tcPr>
            <w:tcW w:w="993" w:type="dxa"/>
          </w:tcPr>
          <w:p w14:paraId="5F0D9AD3"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cstheme="minorHAnsi"/>
                <w:sz w:val="20"/>
                <w:szCs w:val="20"/>
              </w:rPr>
              <w:t>Concerns</w:t>
            </w:r>
          </w:p>
        </w:tc>
      </w:tr>
      <w:tr w:rsidR="006E7EE3" w:rsidRPr="00E473B3" w14:paraId="0AF359D0" w14:textId="77777777" w:rsidTr="00C11F68">
        <w:trPr>
          <w:trHeight w:val="452"/>
        </w:trPr>
        <w:tc>
          <w:tcPr>
            <w:cnfStyle w:val="001000000000" w:firstRow="0" w:lastRow="0" w:firstColumn="1" w:lastColumn="0" w:oddVBand="0" w:evenVBand="0" w:oddHBand="0" w:evenHBand="0" w:firstRowFirstColumn="0" w:firstRowLastColumn="0" w:lastRowFirstColumn="0" w:lastRowLastColumn="0"/>
            <w:tcW w:w="1838" w:type="dxa"/>
            <w:noWrap/>
          </w:tcPr>
          <w:p w14:paraId="53632482" w14:textId="77777777" w:rsidR="006E7EE3" w:rsidRPr="00E473B3" w:rsidRDefault="006E7EE3" w:rsidP="00BF54BD">
            <w:pPr>
              <w:spacing w:after="120"/>
              <w:rPr>
                <w:rFonts w:eastAsia="Times New Roman" w:cstheme="minorHAnsi"/>
                <w:color w:val="000000"/>
                <w:sz w:val="20"/>
                <w:szCs w:val="20"/>
                <w:lang w:eastAsia="en-GB"/>
              </w:rPr>
            </w:pPr>
            <w:proofErr w:type="spellStart"/>
            <w:r w:rsidRPr="00E473B3">
              <w:rPr>
                <w:rFonts w:eastAsia="Times New Roman" w:cstheme="minorHAnsi"/>
                <w:color w:val="000000"/>
                <w:sz w:val="20"/>
                <w:szCs w:val="20"/>
                <w:lang w:eastAsia="en-GB"/>
              </w:rPr>
              <w:t>Tamechika</w:t>
            </w:r>
            <w:proofErr w:type="spellEnd"/>
            <w:r w:rsidRPr="00E473B3">
              <w:rPr>
                <w:rFonts w:eastAsia="Times New Roman" w:cstheme="minorHAnsi"/>
                <w:color w:val="000000"/>
                <w:sz w:val="20"/>
                <w:szCs w:val="20"/>
                <w:lang w:eastAsia="en-GB"/>
              </w:rPr>
              <w:t xml:space="preserve"> et al. 2018 [30]</w:t>
            </w:r>
          </w:p>
        </w:tc>
        <w:tc>
          <w:tcPr>
            <w:tcW w:w="1019" w:type="dxa"/>
          </w:tcPr>
          <w:p w14:paraId="1D7C7176"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Japan</w:t>
            </w:r>
          </w:p>
        </w:tc>
        <w:tc>
          <w:tcPr>
            <w:tcW w:w="6494" w:type="dxa"/>
          </w:tcPr>
          <w:p w14:paraId="4A19745D" w14:textId="3522679B"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 xml:space="preserve">To compare the usefulness and efficacy of monthly </w:t>
            </w:r>
            <w:proofErr w:type="spellStart"/>
            <w:r w:rsidRPr="00E473B3">
              <w:rPr>
                <w:rFonts w:eastAsia="Times New Roman" w:cstheme="minorHAnsi"/>
                <w:color w:val="000000"/>
                <w:sz w:val="20"/>
                <w:szCs w:val="20"/>
                <w:lang w:eastAsia="en-GB"/>
              </w:rPr>
              <w:t>minodronate</w:t>
            </w:r>
            <w:proofErr w:type="spellEnd"/>
            <w:r w:rsidRPr="00E473B3">
              <w:rPr>
                <w:rFonts w:eastAsia="Times New Roman" w:cstheme="minorHAnsi"/>
                <w:color w:val="000000"/>
                <w:sz w:val="20"/>
                <w:szCs w:val="20"/>
                <w:lang w:eastAsia="en-GB"/>
              </w:rPr>
              <w:t xml:space="preserve"> and weekly alendronate/risedronate for GIOP</w:t>
            </w:r>
          </w:p>
        </w:tc>
        <w:tc>
          <w:tcPr>
            <w:tcW w:w="1417" w:type="dxa"/>
          </w:tcPr>
          <w:p w14:paraId="4D91EBFA" w14:textId="2A73BE15"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Quasi-experimental</w:t>
            </w:r>
          </w:p>
        </w:tc>
        <w:tc>
          <w:tcPr>
            <w:tcW w:w="1134" w:type="dxa"/>
          </w:tcPr>
          <w:p w14:paraId="7216A7A4"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sz w:val="20"/>
                <w:szCs w:val="20"/>
                <w:lang w:eastAsia="en-GB"/>
              </w:rPr>
              <w:t>Outpatient</w:t>
            </w:r>
          </w:p>
        </w:tc>
        <w:tc>
          <w:tcPr>
            <w:tcW w:w="2835" w:type="dxa"/>
          </w:tcPr>
          <w:p w14:paraId="1D430C14" w14:textId="0D2C5AEA"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sz w:val="20"/>
                <w:szCs w:val="20"/>
                <w:lang w:eastAsia="en-GB"/>
              </w:rPr>
              <w:t xml:space="preserve">145 (102 females) 57.2 </w:t>
            </w:r>
            <w:proofErr w:type="spellStart"/>
            <w:r w:rsidRPr="00E473B3">
              <w:rPr>
                <w:rFonts w:eastAsia="Times New Roman" w:cstheme="minorHAnsi"/>
                <w:sz w:val="20"/>
                <w:szCs w:val="20"/>
                <w:lang w:eastAsia="en-GB"/>
              </w:rPr>
              <w:t>yrs</w:t>
            </w:r>
            <w:proofErr w:type="spellEnd"/>
            <w:r w:rsidRPr="00E473B3">
              <w:rPr>
                <w:rFonts w:eastAsia="Times New Roman" w:cstheme="minorHAnsi"/>
                <w:sz w:val="20"/>
                <w:szCs w:val="20"/>
                <w:lang w:eastAsia="en-GB"/>
              </w:rPr>
              <w:t xml:space="preserve"> [28.0, 83.0]; 54.2yrs [24.0,82.0]. </w:t>
            </w:r>
          </w:p>
        </w:tc>
        <w:tc>
          <w:tcPr>
            <w:tcW w:w="993" w:type="dxa"/>
          </w:tcPr>
          <w:p w14:paraId="30331C3B"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73B3">
              <w:rPr>
                <w:rFonts w:cstheme="minorHAnsi"/>
                <w:sz w:val="20"/>
                <w:szCs w:val="20"/>
              </w:rPr>
              <w:t>Concerns</w:t>
            </w:r>
          </w:p>
        </w:tc>
      </w:tr>
      <w:tr w:rsidR="006E7EE3" w:rsidRPr="00E473B3" w14:paraId="63AD571E" w14:textId="77777777" w:rsidTr="0001776A">
        <w:trPr>
          <w:trHeight w:val="636"/>
        </w:trPr>
        <w:tc>
          <w:tcPr>
            <w:cnfStyle w:val="001000000000" w:firstRow="0" w:lastRow="0" w:firstColumn="1" w:lastColumn="0" w:oddVBand="0" w:evenVBand="0" w:oddHBand="0" w:evenHBand="0" w:firstRowFirstColumn="0" w:firstRowLastColumn="0" w:lastRowFirstColumn="0" w:lastRowLastColumn="0"/>
            <w:tcW w:w="1838" w:type="dxa"/>
            <w:noWrap/>
          </w:tcPr>
          <w:p w14:paraId="34C9383C" w14:textId="77777777" w:rsidR="006E7EE3" w:rsidRPr="00E473B3" w:rsidRDefault="006E7EE3" w:rsidP="00BF54BD">
            <w:pPr>
              <w:spacing w:after="120"/>
              <w:rPr>
                <w:rFonts w:eastAsia="Times New Roman" w:cstheme="minorHAnsi"/>
                <w:color w:val="000000"/>
                <w:sz w:val="20"/>
                <w:szCs w:val="20"/>
                <w:lang w:eastAsia="en-GB"/>
              </w:rPr>
            </w:pPr>
            <w:r w:rsidRPr="00E473B3">
              <w:rPr>
                <w:rFonts w:eastAsia="Times New Roman" w:cstheme="minorHAnsi"/>
                <w:color w:val="000000"/>
                <w:sz w:val="20"/>
                <w:szCs w:val="20"/>
                <w:lang w:eastAsia="en-GB"/>
              </w:rPr>
              <w:t>Wilton-Clark 2020 [31]</w:t>
            </w:r>
          </w:p>
        </w:tc>
        <w:tc>
          <w:tcPr>
            <w:tcW w:w="1019" w:type="dxa"/>
          </w:tcPr>
          <w:p w14:paraId="267F2E10"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Canada</w:t>
            </w:r>
          </w:p>
        </w:tc>
        <w:tc>
          <w:tcPr>
            <w:tcW w:w="6494" w:type="dxa"/>
          </w:tcPr>
          <w:p w14:paraId="7816F499" w14:textId="0F88434C"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Evaluating the impact of autonomous treatment decisions after group consultations on adherence</w:t>
            </w:r>
          </w:p>
        </w:tc>
        <w:tc>
          <w:tcPr>
            <w:tcW w:w="1417" w:type="dxa"/>
          </w:tcPr>
          <w:p w14:paraId="23B29B27" w14:textId="5545B3EF"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Cohort</w:t>
            </w:r>
          </w:p>
        </w:tc>
        <w:tc>
          <w:tcPr>
            <w:tcW w:w="1134" w:type="dxa"/>
          </w:tcPr>
          <w:p w14:paraId="15F6ED87"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Outpatient</w:t>
            </w:r>
          </w:p>
        </w:tc>
        <w:tc>
          <w:tcPr>
            <w:tcW w:w="2835" w:type="dxa"/>
          </w:tcPr>
          <w:p w14:paraId="4FEE5BEB" w14:textId="4700945B"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101 Postmenopausal women, mean age 62.7</w:t>
            </w:r>
          </w:p>
        </w:tc>
        <w:tc>
          <w:tcPr>
            <w:tcW w:w="993" w:type="dxa"/>
          </w:tcPr>
          <w:p w14:paraId="06493365"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73B3">
              <w:rPr>
                <w:rFonts w:cstheme="minorHAnsi"/>
                <w:sz w:val="20"/>
                <w:szCs w:val="20"/>
              </w:rPr>
              <w:t>Low</w:t>
            </w:r>
          </w:p>
        </w:tc>
      </w:tr>
      <w:tr w:rsidR="006E7EE3" w:rsidRPr="00E473B3" w14:paraId="04C0A566" w14:textId="77777777" w:rsidTr="008D1748">
        <w:trPr>
          <w:trHeight w:val="794"/>
        </w:trPr>
        <w:tc>
          <w:tcPr>
            <w:cnfStyle w:val="001000000000" w:firstRow="0" w:lastRow="0" w:firstColumn="1" w:lastColumn="0" w:oddVBand="0" w:evenVBand="0" w:oddHBand="0" w:evenHBand="0" w:firstRowFirstColumn="0" w:firstRowLastColumn="0" w:lastRowFirstColumn="0" w:lastRowLastColumn="0"/>
            <w:tcW w:w="1838" w:type="dxa"/>
            <w:noWrap/>
          </w:tcPr>
          <w:p w14:paraId="0BF414EF" w14:textId="77777777" w:rsidR="006E7EE3" w:rsidRPr="00E473B3" w:rsidRDefault="006E7EE3" w:rsidP="00BF54BD">
            <w:pPr>
              <w:spacing w:after="120"/>
              <w:rPr>
                <w:rFonts w:eastAsia="Times New Roman" w:cstheme="minorHAnsi"/>
                <w:color w:val="000000"/>
                <w:sz w:val="20"/>
                <w:szCs w:val="20"/>
                <w:lang w:eastAsia="en-GB"/>
              </w:rPr>
            </w:pPr>
            <w:r w:rsidRPr="00E473B3">
              <w:rPr>
                <w:rFonts w:eastAsia="Times New Roman" w:cstheme="minorHAnsi"/>
                <w:color w:val="000000"/>
                <w:sz w:val="20"/>
                <w:szCs w:val="20"/>
                <w:lang w:eastAsia="en-GB"/>
              </w:rPr>
              <w:t>Beaton et al. 2017 [32]</w:t>
            </w:r>
          </w:p>
        </w:tc>
        <w:tc>
          <w:tcPr>
            <w:tcW w:w="1019" w:type="dxa"/>
          </w:tcPr>
          <w:p w14:paraId="2DD3DD82"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Canada</w:t>
            </w:r>
          </w:p>
        </w:tc>
        <w:tc>
          <w:tcPr>
            <w:tcW w:w="6494" w:type="dxa"/>
          </w:tcPr>
          <w:p w14:paraId="33E57F0C" w14:textId="4D2A051F"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To evaluate the impact of the implementation of the Fracture Clinic Screening Program on bone mineral density (BMD) testing, medication initiation, and medication persistence in the year after a fragility fracture.</w:t>
            </w:r>
          </w:p>
        </w:tc>
        <w:tc>
          <w:tcPr>
            <w:tcW w:w="1417" w:type="dxa"/>
          </w:tcPr>
          <w:p w14:paraId="0647B964" w14:textId="1347506D"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Quasi-experimental</w:t>
            </w:r>
          </w:p>
        </w:tc>
        <w:tc>
          <w:tcPr>
            <w:tcW w:w="1134" w:type="dxa"/>
          </w:tcPr>
          <w:p w14:paraId="089FF67E" w14:textId="5549CCD4"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FLS</w:t>
            </w:r>
          </w:p>
        </w:tc>
        <w:tc>
          <w:tcPr>
            <w:tcW w:w="2835" w:type="dxa"/>
          </w:tcPr>
          <w:p w14:paraId="3431938D" w14:textId="66CBE143"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 xml:space="preserve">147,071, &gt;50% females, main sample over 50s. </w:t>
            </w:r>
          </w:p>
        </w:tc>
        <w:tc>
          <w:tcPr>
            <w:tcW w:w="993" w:type="dxa"/>
          </w:tcPr>
          <w:p w14:paraId="6CF667D4"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73B3">
              <w:rPr>
                <w:rFonts w:cstheme="minorHAnsi"/>
                <w:sz w:val="20"/>
                <w:szCs w:val="20"/>
              </w:rPr>
              <w:t>Low</w:t>
            </w:r>
          </w:p>
        </w:tc>
      </w:tr>
      <w:tr w:rsidR="006E7EE3" w:rsidRPr="00E473B3" w14:paraId="10F95C51" w14:textId="77777777" w:rsidTr="0001776A">
        <w:trPr>
          <w:trHeight w:val="693"/>
        </w:trPr>
        <w:tc>
          <w:tcPr>
            <w:cnfStyle w:val="001000000000" w:firstRow="0" w:lastRow="0" w:firstColumn="1" w:lastColumn="0" w:oddVBand="0" w:evenVBand="0" w:oddHBand="0" w:evenHBand="0" w:firstRowFirstColumn="0" w:firstRowLastColumn="0" w:lastRowFirstColumn="0" w:lastRowLastColumn="0"/>
            <w:tcW w:w="1838" w:type="dxa"/>
            <w:noWrap/>
          </w:tcPr>
          <w:p w14:paraId="6D95FF36" w14:textId="77777777" w:rsidR="006E7EE3" w:rsidRPr="00E473B3" w:rsidRDefault="006E7EE3" w:rsidP="00BF54BD">
            <w:pPr>
              <w:spacing w:after="120"/>
              <w:rPr>
                <w:rFonts w:eastAsia="Times New Roman" w:cstheme="minorHAnsi"/>
                <w:color w:val="000000"/>
                <w:sz w:val="20"/>
                <w:szCs w:val="20"/>
                <w:lang w:eastAsia="en-GB"/>
              </w:rPr>
            </w:pPr>
            <w:proofErr w:type="spellStart"/>
            <w:r w:rsidRPr="00E473B3">
              <w:rPr>
                <w:rFonts w:eastAsia="Times New Roman" w:cstheme="minorHAnsi"/>
                <w:color w:val="000000"/>
                <w:sz w:val="20"/>
                <w:szCs w:val="20"/>
                <w:lang w:eastAsia="en-GB"/>
              </w:rPr>
              <w:t>Ducoulombier</w:t>
            </w:r>
            <w:proofErr w:type="spellEnd"/>
            <w:r w:rsidRPr="00E473B3">
              <w:rPr>
                <w:rFonts w:eastAsia="Times New Roman" w:cstheme="minorHAnsi"/>
                <w:color w:val="000000"/>
                <w:sz w:val="20"/>
                <w:szCs w:val="20"/>
                <w:lang w:eastAsia="en-GB"/>
              </w:rPr>
              <w:t xml:space="preserve"> et al. 2015 [33]</w:t>
            </w:r>
          </w:p>
        </w:tc>
        <w:tc>
          <w:tcPr>
            <w:tcW w:w="1019" w:type="dxa"/>
          </w:tcPr>
          <w:p w14:paraId="2E6CAD8F"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France</w:t>
            </w:r>
          </w:p>
        </w:tc>
        <w:tc>
          <w:tcPr>
            <w:tcW w:w="6494" w:type="dxa"/>
          </w:tcPr>
          <w:p w14:paraId="1A4B1301" w14:textId="7A3C44FE"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To evaluate the contribution of phone follow-up to improve adherence to antiosteoporosis treatment among post-menopausal women with fractures.</w:t>
            </w:r>
          </w:p>
        </w:tc>
        <w:tc>
          <w:tcPr>
            <w:tcW w:w="1417" w:type="dxa"/>
          </w:tcPr>
          <w:p w14:paraId="4D24CEDA" w14:textId="1BBAD8EF"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RCT</w:t>
            </w:r>
          </w:p>
        </w:tc>
        <w:tc>
          <w:tcPr>
            <w:tcW w:w="1134" w:type="dxa"/>
          </w:tcPr>
          <w:p w14:paraId="18205199" w14:textId="1FC29E11"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FLS</w:t>
            </w:r>
          </w:p>
        </w:tc>
        <w:tc>
          <w:tcPr>
            <w:tcW w:w="2835" w:type="dxa"/>
          </w:tcPr>
          <w:p w14:paraId="6AC9913A" w14:textId="0497AE75"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164 females, mean age: 70.4 years</w:t>
            </w:r>
          </w:p>
        </w:tc>
        <w:tc>
          <w:tcPr>
            <w:tcW w:w="993" w:type="dxa"/>
          </w:tcPr>
          <w:p w14:paraId="51D53FB3"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73B3">
              <w:rPr>
                <w:rFonts w:cstheme="minorHAnsi"/>
                <w:sz w:val="20"/>
                <w:szCs w:val="20"/>
              </w:rPr>
              <w:t>Concerns</w:t>
            </w:r>
          </w:p>
        </w:tc>
      </w:tr>
      <w:tr w:rsidR="006E7EE3" w:rsidRPr="00E473B3" w14:paraId="0CC23459" w14:textId="77777777" w:rsidTr="00613727">
        <w:trPr>
          <w:trHeight w:val="832"/>
        </w:trPr>
        <w:tc>
          <w:tcPr>
            <w:cnfStyle w:val="001000000000" w:firstRow="0" w:lastRow="0" w:firstColumn="1" w:lastColumn="0" w:oddVBand="0" w:evenVBand="0" w:oddHBand="0" w:evenHBand="0" w:firstRowFirstColumn="0" w:firstRowLastColumn="0" w:lastRowFirstColumn="0" w:lastRowLastColumn="0"/>
            <w:tcW w:w="1838" w:type="dxa"/>
            <w:noWrap/>
          </w:tcPr>
          <w:p w14:paraId="49575A47" w14:textId="77777777" w:rsidR="006E7EE3" w:rsidRPr="00E473B3" w:rsidRDefault="006E7EE3" w:rsidP="00BF54BD">
            <w:pPr>
              <w:spacing w:after="120"/>
              <w:rPr>
                <w:rFonts w:eastAsia="Times New Roman" w:cstheme="minorHAnsi"/>
                <w:color w:val="000000"/>
                <w:sz w:val="20"/>
                <w:szCs w:val="20"/>
                <w:lang w:eastAsia="en-GB"/>
              </w:rPr>
            </w:pPr>
            <w:r w:rsidRPr="00E473B3">
              <w:rPr>
                <w:rFonts w:eastAsia="Times New Roman" w:cstheme="minorHAnsi"/>
                <w:color w:val="000000"/>
                <w:sz w:val="20"/>
                <w:szCs w:val="20"/>
                <w:lang w:eastAsia="en-GB"/>
              </w:rPr>
              <w:lastRenderedPageBreak/>
              <w:t>Ganda et al. 2014 [34]</w:t>
            </w:r>
          </w:p>
        </w:tc>
        <w:tc>
          <w:tcPr>
            <w:tcW w:w="1019" w:type="dxa"/>
          </w:tcPr>
          <w:p w14:paraId="372F413E"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Australia</w:t>
            </w:r>
          </w:p>
        </w:tc>
        <w:tc>
          <w:tcPr>
            <w:tcW w:w="6494" w:type="dxa"/>
          </w:tcPr>
          <w:p w14:paraId="2AE6AD22" w14:textId="197DD4BF"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To determine whether management by a secondary fracture prevention (SFP) program results in better compliance and persistence to OP medication than follow-up by the primary care physician, after an SFP program.</w:t>
            </w:r>
          </w:p>
        </w:tc>
        <w:tc>
          <w:tcPr>
            <w:tcW w:w="1417" w:type="dxa"/>
          </w:tcPr>
          <w:p w14:paraId="6E8CC15F" w14:textId="65B6756B"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RCT</w:t>
            </w:r>
          </w:p>
        </w:tc>
        <w:tc>
          <w:tcPr>
            <w:tcW w:w="1134" w:type="dxa"/>
          </w:tcPr>
          <w:p w14:paraId="28E3596B" w14:textId="333E8C30"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FLS</w:t>
            </w:r>
          </w:p>
        </w:tc>
        <w:tc>
          <w:tcPr>
            <w:tcW w:w="2835" w:type="dxa"/>
          </w:tcPr>
          <w:p w14:paraId="279F1D41" w14:textId="71A0F9FF"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 xml:space="preserve">94, &gt;80% females; mean age 67.5 (11.3)/65.9 (9.9) </w:t>
            </w:r>
            <w:proofErr w:type="spellStart"/>
            <w:r w:rsidRPr="00E473B3">
              <w:rPr>
                <w:rFonts w:eastAsia="Times New Roman" w:cstheme="minorHAnsi"/>
                <w:color w:val="000000"/>
                <w:sz w:val="20"/>
                <w:szCs w:val="20"/>
                <w:lang w:eastAsia="en-GB"/>
              </w:rPr>
              <w:t>yrs</w:t>
            </w:r>
            <w:proofErr w:type="spellEnd"/>
          </w:p>
        </w:tc>
        <w:tc>
          <w:tcPr>
            <w:tcW w:w="993" w:type="dxa"/>
          </w:tcPr>
          <w:p w14:paraId="1E3220D4"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73B3">
              <w:rPr>
                <w:rFonts w:cstheme="minorHAnsi"/>
                <w:sz w:val="20"/>
                <w:szCs w:val="20"/>
              </w:rPr>
              <w:t>Low</w:t>
            </w:r>
          </w:p>
        </w:tc>
      </w:tr>
      <w:tr w:rsidR="006E7EE3" w:rsidRPr="00E473B3" w14:paraId="3C089720" w14:textId="77777777" w:rsidTr="0001776A">
        <w:trPr>
          <w:trHeight w:val="438"/>
        </w:trPr>
        <w:tc>
          <w:tcPr>
            <w:cnfStyle w:val="001000000000" w:firstRow="0" w:lastRow="0" w:firstColumn="1" w:lastColumn="0" w:oddVBand="0" w:evenVBand="0" w:oddHBand="0" w:evenHBand="0" w:firstRowFirstColumn="0" w:firstRowLastColumn="0" w:lastRowFirstColumn="0" w:lastRowLastColumn="0"/>
            <w:tcW w:w="1838" w:type="dxa"/>
            <w:noWrap/>
          </w:tcPr>
          <w:p w14:paraId="115F038A" w14:textId="77777777" w:rsidR="006E7EE3" w:rsidRPr="00E473B3" w:rsidRDefault="006E7EE3" w:rsidP="00BF54BD">
            <w:pPr>
              <w:spacing w:after="120"/>
              <w:rPr>
                <w:rFonts w:eastAsia="Times New Roman" w:cstheme="minorHAnsi"/>
                <w:color w:val="000000"/>
                <w:sz w:val="20"/>
                <w:szCs w:val="20"/>
                <w:lang w:eastAsia="en-GB"/>
              </w:rPr>
            </w:pPr>
            <w:proofErr w:type="spellStart"/>
            <w:r w:rsidRPr="00E473B3">
              <w:rPr>
                <w:rFonts w:eastAsia="Times New Roman" w:cstheme="minorHAnsi"/>
                <w:color w:val="000000"/>
                <w:sz w:val="20"/>
                <w:szCs w:val="20"/>
                <w:lang w:eastAsia="en-GB"/>
              </w:rPr>
              <w:t>Makras</w:t>
            </w:r>
            <w:proofErr w:type="spellEnd"/>
            <w:r w:rsidRPr="00E473B3">
              <w:rPr>
                <w:rFonts w:eastAsia="Times New Roman" w:cstheme="minorHAnsi"/>
                <w:color w:val="000000"/>
                <w:sz w:val="20"/>
                <w:szCs w:val="20"/>
                <w:lang w:eastAsia="en-GB"/>
              </w:rPr>
              <w:t xml:space="preserve"> 2020 [35]</w:t>
            </w:r>
          </w:p>
        </w:tc>
        <w:tc>
          <w:tcPr>
            <w:tcW w:w="1019" w:type="dxa"/>
          </w:tcPr>
          <w:p w14:paraId="05178A5F"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Greece</w:t>
            </w:r>
          </w:p>
        </w:tc>
        <w:tc>
          <w:tcPr>
            <w:tcW w:w="6494" w:type="dxa"/>
          </w:tcPr>
          <w:p w14:paraId="73240BB1"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Participation rates in FLS in Greece following fracture.</w:t>
            </w:r>
          </w:p>
        </w:tc>
        <w:tc>
          <w:tcPr>
            <w:tcW w:w="1417" w:type="dxa"/>
          </w:tcPr>
          <w:p w14:paraId="48E17372" w14:textId="4D44175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Other</w:t>
            </w:r>
          </w:p>
        </w:tc>
        <w:tc>
          <w:tcPr>
            <w:tcW w:w="1134" w:type="dxa"/>
          </w:tcPr>
          <w:p w14:paraId="0C16B6DB" w14:textId="44BF0B6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FLS</w:t>
            </w:r>
          </w:p>
        </w:tc>
        <w:tc>
          <w:tcPr>
            <w:tcW w:w="2835" w:type="dxa"/>
          </w:tcPr>
          <w:p w14:paraId="2EF7147E" w14:textId="695AD36A"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1350</w:t>
            </w:r>
          </w:p>
        </w:tc>
        <w:tc>
          <w:tcPr>
            <w:tcW w:w="993" w:type="dxa"/>
          </w:tcPr>
          <w:p w14:paraId="57D9FBB7"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73B3">
              <w:rPr>
                <w:rFonts w:cstheme="minorHAnsi"/>
                <w:sz w:val="20"/>
                <w:szCs w:val="20"/>
              </w:rPr>
              <w:t>high</w:t>
            </w:r>
          </w:p>
        </w:tc>
      </w:tr>
      <w:tr w:rsidR="006E7EE3" w:rsidRPr="00E473B3" w14:paraId="26151BA6" w14:textId="77777777" w:rsidTr="0001776A">
        <w:trPr>
          <w:trHeight w:val="497"/>
        </w:trPr>
        <w:tc>
          <w:tcPr>
            <w:cnfStyle w:val="001000000000" w:firstRow="0" w:lastRow="0" w:firstColumn="1" w:lastColumn="0" w:oddVBand="0" w:evenVBand="0" w:oddHBand="0" w:evenHBand="0" w:firstRowFirstColumn="0" w:firstRowLastColumn="0" w:lastRowFirstColumn="0" w:lastRowLastColumn="0"/>
            <w:tcW w:w="1838" w:type="dxa"/>
            <w:noWrap/>
          </w:tcPr>
          <w:p w14:paraId="309A69B0" w14:textId="77777777" w:rsidR="006E7EE3" w:rsidRPr="00E473B3" w:rsidRDefault="006E7EE3" w:rsidP="00BF54BD">
            <w:pPr>
              <w:spacing w:after="120"/>
              <w:rPr>
                <w:rFonts w:eastAsia="Times New Roman" w:cstheme="minorHAnsi"/>
                <w:color w:val="000000"/>
                <w:sz w:val="20"/>
                <w:szCs w:val="20"/>
                <w:lang w:eastAsia="en-GB"/>
              </w:rPr>
            </w:pPr>
            <w:r w:rsidRPr="00E473B3">
              <w:rPr>
                <w:rFonts w:eastAsia="Times New Roman" w:cstheme="minorHAnsi"/>
                <w:color w:val="000000"/>
                <w:sz w:val="20"/>
                <w:szCs w:val="20"/>
                <w:lang w:eastAsia="en-GB"/>
              </w:rPr>
              <w:t>McAlister 2019 [36]</w:t>
            </w:r>
          </w:p>
        </w:tc>
        <w:tc>
          <w:tcPr>
            <w:tcW w:w="1019" w:type="dxa"/>
          </w:tcPr>
          <w:p w14:paraId="2ED54E38"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Canada</w:t>
            </w:r>
          </w:p>
        </w:tc>
        <w:tc>
          <w:tcPr>
            <w:tcW w:w="6494" w:type="dxa"/>
          </w:tcPr>
          <w:p w14:paraId="4826868C"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Compare patient/physician educational intervention Vs nurse led case manager</w:t>
            </w:r>
          </w:p>
        </w:tc>
        <w:tc>
          <w:tcPr>
            <w:tcW w:w="1417" w:type="dxa"/>
          </w:tcPr>
          <w:p w14:paraId="09047849" w14:textId="684C2C15"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RCT</w:t>
            </w:r>
          </w:p>
        </w:tc>
        <w:tc>
          <w:tcPr>
            <w:tcW w:w="1134" w:type="dxa"/>
          </w:tcPr>
          <w:p w14:paraId="0B8750AE" w14:textId="03F17BA5"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FLS</w:t>
            </w:r>
          </w:p>
        </w:tc>
        <w:tc>
          <w:tcPr>
            <w:tcW w:w="2835" w:type="dxa"/>
          </w:tcPr>
          <w:p w14:paraId="2C24178C" w14:textId="2D5694D2"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361, Mostly female, with history of fracture</w:t>
            </w:r>
          </w:p>
        </w:tc>
        <w:tc>
          <w:tcPr>
            <w:tcW w:w="993" w:type="dxa"/>
          </w:tcPr>
          <w:p w14:paraId="7FA814B8"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73B3">
              <w:rPr>
                <w:rFonts w:cstheme="minorHAnsi"/>
                <w:sz w:val="20"/>
                <w:szCs w:val="20"/>
              </w:rPr>
              <w:t>Low</w:t>
            </w:r>
          </w:p>
        </w:tc>
      </w:tr>
      <w:tr w:rsidR="006E7EE3" w:rsidRPr="00E473B3" w14:paraId="7A70E7C7" w14:textId="77777777" w:rsidTr="0001776A">
        <w:trPr>
          <w:trHeight w:val="711"/>
        </w:trPr>
        <w:tc>
          <w:tcPr>
            <w:cnfStyle w:val="001000000000" w:firstRow="0" w:lastRow="0" w:firstColumn="1" w:lastColumn="0" w:oddVBand="0" w:evenVBand="0" w:oddHBand="0" w:evenHBand="0" w:firstRowFirstColumn="0" w:firstRowLastColumn="0" w:lastRowFirstColumn="0" w:lastRowLastColumn="0"/>
            <w:tcW w:w="1838" w:type="dxa"/>
            <w:noWrap/>
          </w:tcPr>
          <w:p w14:paraId="12D285B3" w14:textId="77777777" w:rsidR="006E7EE3" w:rsidRPr="00E473B3" w:rsidRDefault="006E7EE3" w:rsidP="00BF54BD">
            <w:pPr>
              <w:spacing w:after="120"/>
              <w:rPr>
                <w:rFonts w:eastAsia="Times New Roman" w:cstheme="minorHAnsi"/>
                <w:color w:val="000000"/>
                <w:sz w:val="20"/>
                <w:szCs w:val="20"/>
                <w:lang w:eastAsia="en-GB"/>
              </w:rPr>
            </w:pPr>
            <w:proofErr w:type="spellStart"/>
            <w:r w:rsidRPr="00E473B3">
              <w:rPr>
                <w:rFonts w:eastAsia="Times New Roman" w:cstheme="minorHAnsi"/>
                <w:color w:val="000000"/>
                <w:sz w:val="20"/>
                <w:szCs w:val="20"/>
                <w:lang w:eastAsia="en-GB"/>
              </w:rPr>
              <w:t>ScholtenDJ</w:t>
            </w:r>
            <w:proofErr w:type="spellEnd"/>
            <w:r w:rsidRPr="00E473B3">
              <w:rPr>
                <w:rFonts w:eastAsia="Times New Roman" w:cstheme="minorHAnsi"/>
                <w:color w:val="000000"/>
                <w:sz w:val="20"/>
                <w:szCs w:val="20"/>
                <w:lang w:eastAsia="en-GB"/>
              </w:rPr>
              <w:t xml:space="preserve"> 2020 [37]</w:t>
            </w:r>
          </w:p>
        </w:tc>
        <w:tc>
          <w:tcPr>
            <w:tcW w:w="1019" w:type="dxa"/>
          </w:tcPr>
          <w:p w14:paraId="315FE810"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USA</w:t>
            </w:r>
          </w:p>
        </w:tc>
        <w:tc>
          <w:tcPr>
            <w:tcW w:w="6494" w:type="dxa"/>
          </w:tcPr>
          <w:p w14:paraId="475684F4" w14:textId="5782B5A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To assess the effects of implementation of a FLS at a tertiary care academic medical centre on osteoporosis treatment adherence and secondary fracture rates.</w:t>
            </w:r>
          </w:p>
        </w:tc>
        <w:tc>
          <w:tcPr>
            <w:tcW w:w="1417" w:type="dxa"/>
          </w:tcPr>
          <w:p w14:paraId="5D3767FE"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Others</w:t>
            </w:r>
          </w:p>
        </w:tc>
        <w:tc>
          <w:tcPr>
            <w:tcW w:w="1134" w:type="dxa"/>
          </w:tcPr>
          <w:p w14:paraId="319D75EF" w14:textId="292F9EDC"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FLS</w:t>
            </w:r>
          </w:p>
        </w:tc>
        <w:tc>
          <w:tcPr>
            <w:tcW w:w="2835" w:type="dxa"/>
          </w:tcPr>
          <w:p w14:paraId="6036C5FA" w14:textId="6F092F8E"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6178, 50 years above men and women</w:t>
            </w:r>
          </w:p>
        </w:tc>
        <w:tc>
          <w:tcPr>
            <w:tcW w:w="993" w:type="dxa"/>
          </w:tcPr>
          <w:p w14:paraId="3055FD7F"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73B3">
              <w:rPr>
                <w:rFonts w:cstheme="minorHAnsi"/>
                <w:sz w:val="20"/>
                <w:szCs w:val="20"/>
              </w:rPr>
              <w:t>Concerns</w:t>
            </w:r>
          </w:p>
        </w:tc>
      </w:tr>
      <w:tr w:rsidR="006E7EE3" w:rsidRPr="00E473B3" w14:paraId="231784AD" w14:textId="77777777" w:rsidTr="00613727">
        <w:trPr>
          <w:trHeight w:val="420"/>
        </w:trPr>
        <w:tc>
          <w:tcPr>
            <w:cnfStyle w:val="001000000000" w:firstRow="0" w:lastRow="0" w:firstColumn="1" w:lastColumn="0" w:oddVBand="0" w:evenVBand="0" w:oddHBand="0" w:evenHBand="0" w:firstRowFirstColumn="0" w:firstRowLastColumn="0" w:lastRowFirstColumn="0" w:lastRowLastColumn="0"/>
            <w:tcW w:w="1838" w:type="dxa"/>
            <w:noWrap/>
          </w:tcPr>
          <w:p w14:paraId="5878ACC9" w14:textId="77777777" w:rsidR="006E7EE3" w:rsidRPr="00E473B3" w:rsidRDefault="006E7EE3" w:rsidP="00BF54BD">
            <w:pPr>
              <w:spacing w:after="120"/>
              <w:rPr>
                <w:rFonts w:eastAsia="Times New Roman" w:cstheme="minorHAnsi"/>
                <w:color w:val="000000"/>
                <w:sz w:val="20"/>
                <w:szCs w:val="20"/>
                <w:lang w:eastAsia="en-GB"/>
              </w:rPr>
            </w:pPr>
            <w:proofErr w:type="spellStart"/>
            <w:r w:rsidRPr="00E473B3">
              <w:rPr>
                <w:rFonts w:eastAsia="Times New Roman" w:cstheme="minorHAnsi"/>
                <w:color w:val="000000"/>
                <w:sz w:val="20"/>
                <w:szCs w:val="20"/>
                <w:lang w:eastAsia="en-GB"/>
              </w:rPr>
              <w:t>Senay</w:t>
            </w:r>
            <w:proofErr w:type="spellEnd"/>
            <w:r w:rsidRPr="00E473B3">
              <w:rPr>
                <w:rFonts w:eastAsia="Times New Roman" w:cstheme="minorHAnsi"/>
                <w:color w:val="000000"/>
                <w:sz w:val="20"/>
                <w:szCs w:val="20"/>
                <w:lang w:eastAsia="en-GB"/>
              </w:rPr>
              <w:t xml:space="preserve"> 2019 [38]</w:t>
            </w:r>
          </w:p>
        </w:tc>
        <w:tc>
          <w:tcPr>
            <w:tcW w:w="1019" w:type="dxa"/>
          </w:tcPr>
          <w:p w14:paraId="28897FA6"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Canada</w:t>
            </w:r>
          </w:p>
        </w:tc>
        <w:tc>
          <w:tcPr>
            <w:tcW w:w="6494" w:type="dxa"/>
          </w:tcPr>
          <w:p w14:paraId="3DF2DAF9" w14:textId="4E66117F"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Aimed to assess patterns of drug use in a high-level intervention FLS.</w:t>
            </w:r>
          </w:p>
        </w:tc>
        <w:tc>
          <w:tcPr>
            <w:tcW w:w="1417" w:type="dxa"/>
          </w:tcPr>
          <w:p w14:paraId="28C749DE" w14:textId="016D2008"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Cohort</w:t>
            </w:r>
          </w:p>
        </w:tc>
        <w:tc>
          <w:tcPr>
            <w:tcW w:w="1134" w:type="dxa"/>
          </w:tcPr>
          <w:p w14:paraId="00698119" w14:textId="432A5DFD"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FLS</w:t>
            </w:r>
          </w:p>
        </w:tc>
        <w:tc>
          <w:tcPr>
            <w:tcW w:w="2835" w:type="dxa"/>
          </w:tcPr>
          <w:p w14:paraId="122A565C" w14:textId="43D332D5"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332, &gt;40 years men and women</w:t>
            </w:r>
          </w:p>
        </w:tc>
        <w:tc>
          <w:tcPr>
            <w:tcW w:w="993" w:type="dxa"/>
          </w:tcPr>
          <w:p w14:paraId="7D3FD38C"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73B3">
              <w:rPr>
                <w:rFonts w:cstheme="minorHAnsi"/>
                <w:sz w:val="20"/>
                <w:szCs w:val="20"/>
              </w:rPr>
              <w:t>Concerns</w:t>
            </w:r>
          </w:p>
        </w:tc>
      </w:tr>
      <w:tr w:rsidR="006E7EE3" w:rsidRPr="00E473B3" w14:paraId="09F3E4DF" w14:textId="77777777" w:rsidTr="0001776A">
        <w:trPr>
          <w:trHeight w:val="470"/>
        </w:trPr>
        <w:tc>
          <w:tcPr>
            <w:cnfStyle w:val="001000000000" w:firstRow="0" w:lastRow="0" w:firstColumn="1" w:lastColumn="0" w:oddVBand="0" w:evenVBand="0" w:oddHBand="0" w:evenHBand="0" w:firstRowFirstColumn="0" w:firstRowLastColumn="0" w:lastRowFirstColumn="0" w:lastRowLastColumn="0"/>
            <w:tcW w:w="1838" w:type="dxa"/>
            <w:noWrap/>
          </w:tcPr>
          <w:p w14:paraId="5849A0C3" w14:textId="6F6CD193" w:rsidR="006E7EE3" w:rsidRPr="00E473B3" w:rsidRDefault="006E7EE3" w:rsidP="00BF54BD">
            <w:pPr>
              <w:spacing w:after="120"/>
              <w:rPr>
                <w:rFonts w:eastAsia="Times New Roman" w:cstheme="minorHAnsi"/>
                <w:color w:val="000000"/>
                <w:sz w:val="20"/>
                <w:szCs w:val="20"/>
                <w:lang w:eastAsia="en-GB"/>
              </w:rPr>
            </w:pPr>
            <w:r w:rsidRPr="00E473B3">
              <w:rPr>
                <w:rFonts w:eastAsia="Times New Roman" w:cstheme="minorHAnsi"/>
                <w:color w:val="000000"/>
                <w:sz w:val="20"/>
                <w:szCs w:val="20"/>
                <w:lang w:eastAsia="en-GB"/>
              </w:rPr>
              <w:t>van den Berg et al. 2018[39]</w:t>
            </w:r>
          </w:p>
        </w:tc>
        <w:tc>
          <w:tcPr>
            <w:tcW w:w="1019" w:type="dxa"/>
          </w:tcPr>
          <w:p w14:paraId="1BA9305C"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Netherlands</w:t>
            </w:r>
          </w:p>
        </w:tc>
        <w:tc>
          <w:tcPr>
            <w:tcW w:w="6494" w:type="dxa"/>
          </w:tcPr>
          <w:p w14:paraId="44B0F2E4"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Compare the effect of phone calls vs no phone calls on adherence</w:t>
            </w:r>
          </w:p>
        </w:tc>
        <w:tc>
          <w:tcPr>
            <w:tcW w:w="1417" w:type="dxa"/>
          </w:tcPr>
          <w:p w14:paraId="5362FAE1" w14:textId="14A15274"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RCT</w:t>
            </w:r>
          </w:p>
        </w:tc>
        <w:tc>
          <w:tcPr>
            <w:tcW w:w="1134" w:type="dxa"/>
          </w:tcPr>
          <w:p w14:paraId="173F72B7" w14:textId="6A2542AE"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FLS</w:t>
            </w:r>
          </w:p>
        </w:tc>
        <w:tc>
          <w:tcPr>
            <w:tcW w:w="2835" w:type="dxa"/>
          </w:tcPr>
          <w:p w14:paraId="7391F6EE" w14:textId="254AC0A4" w:rsidR="006E7EE3" w:rsidRPr="00E473B3" w:rsidRDefault="006E7EE3" w:rsidP="00EA4FE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 xml:space="preserve">93 </w:t>
            </w:r>
            <w:proofErr w:type="gramStart"/>
            <w:r w:rsidRPr="00E473B3">
              <w:rPr>
                <w:rFonts w:eastAsia="Times New Roman" w:cstheme="minorHAnsi"/>
                <w:color w:val="000000"/>
                <w:sz w:val="20"/>
                <w:szCs w:val="20"/>
                <w:lang w:eastAsia="en-GB"/>
              </w:rPr>
              <w:t>female</w:t>
            </w:r>
            <w:proofErr w:type="gramEnd"/>
            <w:r w:rsidRPr="00E473B3">
              <w:rPr>
                <w:rFonts w:eastAsia="Times New Roman" w:cstheme="minorHAnsi"/>
                <w:color w:val="000000"/>
                <w:sz w:val="20"/>
                <w:szCs w:val="20"/>
                <w:lang w:eastAsia="en-GB"/>
              </w:rPr>
              <w:t>, mean age 67.9; 55–78 mean age 69.4; 53</w:t>
            </w:r>
            <w:r w:rsidR="00F860C9" w:rsidRPr="00E473B3">
              <w:rPr>
                <w:rFonts w:eastAsia="Times New Roman" w:cstheme="minorHAnsi"/>
                <w:color w:val="000000"/>
                <w:sz w:val="20"/>
                <w:szCs w:val="20"/>
                <w:lang w:eastAsia="en-GB"/>
              </w:rPr>
              <w:t>-</w:t>
            </w:r>
            <w:r w:rsidRPr="00E473B3">
              <w:rPr>
                <w:rFonts w:eastAsia="Times New Roman" w:cstheme="minorHAnsi"/>
                <w:color w:val="000000"/>
                <w:sz w:val="20"/>
                <w:szCs w:val="20"/>
                <w:lang w:eastAsia="en-GB"/>
              </w:rPr>
              <w:t xml:space="preserve">86 </w:t>
            </w:r>
          </w:p>
        </w:tc>
        <w:tc>
          <w:tcPr>
            <w:tcW w:w="993" w:type="dxa"/>
          </w:tcPr>
          <w:p w14:paraId="41BB0A29"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73B3">
              <w:rPr>
                <w:rFonts w:cstheme="minorHAnsi"/>
                <w:sz w:val="20"/>
                <w:szCs w:val="20"/>
              </w:rPr>
              <w:t>Concerns</w:t>
            </w:r>
          </w:p>
        </w:tc>
      </w:tr>
      <w:tr w:rsidR="006E7EE3" w:rsidRPr="00E473B3" w14:paraId="28C50BA6" w14:textId="77777777" w:rsidTr="0001776A">
        <w:trPr>
          <w:trHeight w:val="889"/>
        </w:trPr>
        <w:tc>
          <w:tcPr>
            <w:cnfStyle w:val="001000000000" w:firstRow="0" w:lastRow="0" w:firstColumn="1" w:lastColumn="0" w:oddVBand="0" w:evenVBand="0" w:oddHBand="0" w:evenHBand="0" w:firstRowFirstColumn="0" w:firstRowLastColumn="0" w:lastRowFirstColumn="0" w:lastRowLastColumn="0"/>
            <w:tcW w:w="1838" w:type="dxa"/>
            <w:noWrap/>
            <w:hideMark/>
          </w:tcPr>
          <w:p w14:paraId="6C9FEB24" w14:textId="77777777" w:rsidR="006E7EE3" w:rsidRPr="00E473B3" w:rsidRDefault="006E7EE3" w:rsidP="00BF54BD">
            <w:pPr>
              <w:spacing w:after="120"/>
              <w:rPr>
                <w:rFonts w:eastAsia="Times New Roman" w:cstheme="minorHAnsi"/>
                <w:color w:val="000000"/>
                <w:sz w:val="20"/>
                <w:szCs w:val="20"/>
                <w:lang w:eastAsia="en-GB"/>
              </w:rPr>
            </w:pPr>
            <w:r w:rsidRPr="00E473B3">
              <w:rPr>
                <w:rFonts w:eastAsia="Times New Roman" w:cstheme="minorHAnsi"/>
                <w:color w:val="000000"/>
                <w:sz w:val="20"/>
                <w:szCs w:val="20"/>
                <w:lang w:eastAsia="en-GB"/>
              </w:rPr>
              <w:t>Danila et al. 2018 [40]</w:t>
            </w:r>
          </w:p>
        </w:tc>
        <w:tc>
          <w:tcPr>
            <w:tcW w:w="1019" w:type="dxa"/>
            <w:hideMark/>
          </w:tcPr>
          <w:p w14:paraId="4E0CC3C1"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USA</w:t>
            </w:r>
          </w:p>
        </w:tc>
        <w:tc>
          <w:tcPr>
            <w:tcW w:w="6494" w:type="dxa"/>
            <w:hideMark/>
          </w:tcPr>
          <w:p w14:paraId="5ABEB0BB" w14:textId="4BABFE29"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To improve rates of osteoporosis treatment among a high-risk population who previously reported a fracture but currently were not using osteoporosis therapies</w:t>
            </w:r>
          </w:p>
        </w:tc>
        <w:tc>
          <w:tcPr>
            <w:tcW w:w="1417" w:type="dxa"/>
            <w:hideMark/>
          </w:tcPr>
          <w:p w14:paraId="608EEC2B" w14:textId="01DAD8CC"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RCT</w:t>
            </w:r>
          </w:p>
        </w:tc>
        <w:tc>
          <w:tcPr>
            <w:tcW w:w="1134" w:type="dxa"/>
            <w:hideMark/>
          </w:tcPr>
          <w:p w14:paraId="66071F96"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Primary care</w:t>
            </w:r>
          </w:p>
        </w:tc>
        <w:tc>
          <w:tcPr>
            <w:tcW w:w="2835" w:type="dxa"/>
            <w:hideMark/>
          </w:tcPr>
          <w:p w14:paraId="26637233" w14:textId="5D7C3AFD"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2684 females. participants predominately Caucasian, mean age: 74.9.</w:t>
            </w:r>
          </w:p>
        </w:tc>
        <w:tc>
          <w:tcPr>
            <w:tcW w:w="993" w:type="dxa"/>
            <w:hideMark/>
          </w:tcPr>
          <w:p w14:paraId="5020C4DA"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cstheme="minorHAnsi"/>
                <w:sz w:val="20"/>
                <w:szCs w:val="20"/>
              </w:rPr>
              <w:t>Low</w:t>
            </w:r>
          </w:p>
        </w:tc>
      </w:tr>
      <w:tr w:rsidR="006E7EE3" w:rsidRPr="00E473B3" w14:paraId="47341053" w14:textId="77777777" w:rsidTr="0001776A">
        <w:trPr>
          <w:trHeight w:val="450"/>
        </w:trPr>
        <w:tc>
          <w:tcPr>
            <w:cnfStyle w:val="001000000000" w:firstRow="0" w:lastRow="0" w:firstColumn="1" w:lastColumn="0" w:oddVBand="0" w:evenVBand="0" w:oddHBand="0" w:evenHBand="0" w:firstRowFirstColumn="0" w:firstRowLastColumn="0" w:lastRowFirstColumn="0" w:lastRowLastColumn="0"/>
            <w:tcW w:w="1838" w:type="dxa"/>
            <w:noWrap/>
          </w:tcPr>
          <w:p w14:paraId="2A5CB879" w14:textId="77777777" w:rsidR="006E7EE3" w:rsidRPr="00E473B3" w:rsidRDefault="006E7EE3" w:rsidP="00BF54BD">
            <w:pPr>
              <w:spacing w:after="120"/>
              <w:rPr>
                <w:rFonts w:eastAsia="Times New Roman" w:cstheme="minorHAnsi"/>
                <w:color w:val="000000"/>
                <w:sz w:val="20"/>
                <w:szCs w:val="20"/>
                <w:lang w:eastAsia="en-GB"/>
              </w:rPr>
            </w:pPr>
            <w:proofErr w:type="spellStart"/>
            <w:r w:rsidRPr="00E473B3">
              <w:rPr>
                <w:rFonts w:eastAsia="Times New Roman" w:cstheme="minorHAnsi"/>
                <w:color w:val="000000"/>
                <w:sz w:val="20"/>
                <w:szCs w:val="20"/>
                <w:lang w:eastAsia="en-GB"/>
              </w:rPr>
              <w:t>Hitz</w:t>
            </w:r>
            <w:proofErr w:type="spellEnd"/>
            <w:r w:rsidRPr="00E473B3">
              <w:rPr>
                <w:rFonts w:eastAsia="Times New Roman" w:cstheme="minorHAnsi"/>
                <w:color w:val="000000"/>
                <w:sz w:val="20"/>
                <w:szCs w:val="20"/>
                <w:lang w:eastAsia="en-GB"/>
              </w:rPr>
              <w:t xml:space="preserve"> 2021 [41]</w:t>
            </w:r>
          </w:p>
        </w:tc>
        <w:tc>
          <w:tcPr>
            <w:tcW w:w="1019" w:type="dxa"/>
          </w:tcPr>
          <w:p w14:paraId="421DB347"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Denmark</w:t>
            </w:r>
          </w:p>
        </w:tc>
        <w:tc>
          <w:tcPr>
            <w:tcW w:w="6494" w:type="dxa"/>
          </w:tcPr>
          <w:p w14:paraId="087382EA" w14:textId="70544AAE"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(1) to compare treatment by GPs Vs</w:t>
            </w:r>
            <w:r w:rsidRPr="00E473B3">
              <w:rPr>
                <w:rFonts w:eastAsia="Times New Roman" w:cstheme="minorHAnsi"/>
                <w:sz w:val="20"/>
                <w:szCs w:val="20"/>
                <w:lang w:eastAsia="en-GB"/>
              </w:rPr>
              <w:t xml:space="preserve"> </w:t>
            </w:r>
            <w:r w:rsidRPr="00E473B3">
              <w:rPr>
                <w:rFonts w:eastAsia="Times New Roman" w:cstheme="minorHAnsi"/>
                <w:color w:val="000000"/>
                <w:sz w:val="20"/>
                <w:szCs w:val="20"/>
                <w:lang w:eastAsia="en-GB"/>
              </w:rPr>
              <w:t xml:space="preserve">OP specialists on adherence to OP meds </w:t>
            </w:r>
          </w:p>
        </w:tc>
        <w:tc>
          <w:tcPr>
            <w:tcW w:w="1417" w:type="dxa"/>
          </w:tcPr>
          <w:p w14:paraId="5271EF7F" w14:textId="53612531"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Cohort</w:t>
            </w:r>
          </w:p>
        </w:tc>
        <w:tc>
          <w:tcPr>
            <w:tcW w:w="1134" w:type="dxa"/>
          </w:tcPr>
          <w:p w14:paraId="77FDC695"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P</w:t>
            </w:r>
            <w:r w:rsidRPr="00E473B3">
              <w:rPr>
                <w:rFonts w:eastAsia="Times New Roman" w:cstheme="minorHAnsi"/>
                <w:sz w:val="20"/>
                <w:szCs w:val="20"/>
                <w:lang w:eastAsia="en-GB"/>
              </w:rPr>
              <w:t>rimary care</w:t>
            </w:r>
          </w:p>
        </w:tc>
        <w:tc>
          <w:tcPr>
            <w:tcW w:w="2835" w:type="dxa"/>
          </w:tcPr>
          <w:p w14:paraId="4CA39401" w14:textId="5149B1E2"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3685, Mostly female &gt; 50 years</w:t>
            </w:r>
            <w:r w:rsidR="00F80735" w:rsidRPr="00E473B3">
              <w:rPr>
                <w:rFonts w:eastAsia="Times New Roman" w:cstheme="minorHAnsi"/>
                <w:color w:val="000000"/>
                <w:sz w:val="20"/>
                <w:szCs w:val="20"/>
                <w:lang w:eastAsia="en-GB"/>
              </w:rPr>
              <w:t xml:space="preserve">, </w:t>
            </w:r>
            <w:r w:rsidR="00843C9B" w:rsidRPr="00E473B3">
              <w:rPr>
                <w:rFonts w:eastAsia="Times New Roman" w:cstheme="minorHAnsi"/>
                <w:color w:val="000000"/>
                <w:sz w:val="20"/>
                <w:szCs w:val="20"/>
                <w:lang w:eastAsia="en-GB"/>
              </w:rPr>
              <w:t>m</w:t>
            </w:r>
            <w:r w:rsidRPr="00E473B3">
              <w:rPr>
                <w:rFonts w:eastAsia="Times New Roman" w:cstheme="minorHAnsi"/>
                <w:color w:val="000000"/>
                <w:sz w:val="20"/>
                <w:szCs w:val="20"/>
                <w:lang w:eastAsia="en-GB"/>
              </w:rPr>
              <w:t xml:space="preserve">ore men in GP </w:t>
            </w:r>
            <w:r w:rsidR="00F80735" w:rsidRPr="00E473B3">
              <w:rPr>
                <w:rFonts w:eastAsia="Times New Roman" w:cstheme="minorHAnsi"/>
                <w:color w:val="000000"/>
                <w:sz w:val="20"/>
                <w:szCs w:val="20"/>
                <w:lang w:eastAsia="en-GB"/>
              </w:rPr>
              <w:t>g</w:t>
            </w:r>
            <w:r w:rsidRPr="00E473B3">
              <w:rPr>
                <w:rFonts w:eastAsia="Times New Roman" w:cstheme="minorHAnsi"/>
                <w:color w:val="000000"/>
                <w:sz w:val="20"/>
                <w:szCs w:val="20"/>
                <w:lang w:eastAsia="en-GB"/>
              </w:rPr>
              <w:t xml:space="preserve">rp </w:t>
            </w:r>
          </w:p>
        </w:tc>
        <w:tc>
          <w:tcPr>
            <w:tcW w:w="993" w:type="dxa"/>
          </w:tcPr>
          <w:p w14:paraId="3A71C268"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cstheme="minorHAnsi"/>
                <w:sz w:val="20"/>
                <w:szCs w:val="20"/>
              </w:rPr>
              <w:t>Concerns</w:t>
            </w:r>
          </w:p>
        </w:tc>
      </w:tr>
      <w:tr w:rsidR="006E7EE3" w:rsidRPr="00E473B3" w14:paraId="1B1BA62E" w14:textId="77777777" w:rsidTr="0001776A">
        <w:trPr>
          <w:trHeight w:val="606"/>
        </w:trPr>
        <w:tc>
          <w:tcPr>
            <w:cnfStyle w:val="001000000000" w:firstRow="0" w:lastRow="0" w:firstColumn="1" w:lastColumn="0" w:oddVBand="0" w:evenVBand="0" w:oddHBand="0" w:evenHBand="0" w:firstRowFirstColumn="0" w:firstRowLastColumn="0" w:lastRowFirstColumn="0" w:lastRowLastColumn="0"/>
            <w:tcW w:w="1838" w:type="dxa"/>
            <w:noWrap/>
          </w:tcPr>
          <w:p w14:paraId="33632BC0" w14:textId="77777777" w:rsidR="006E7EE3" w:rsidRPr="00E473B3" w:rsidRDefault="006E7EE3" w:rsidP="00BF54BD">
            <w:pPr>
              <w:spacing w:after="120"/>
              <w:rPr>
                <w:rFonts w:eastAsia="Times New Roman" w:cstheme="minorHAnsi"/>
                <w:color w:val="000000"/>
                <w:sz w:val="20"/>
                <w:szCs w:val="20"/>
                <w:lang w:eastAsia="en-GB"/>
              </w:rPr>
            </w:pPr>
            <w:r w:rsidRPr="00E473B3">
              <w:rPr>
                <w:rFonts w:eastAsia="Times New Roman" w:cstheme="minorHAnsi"/>
                <w:color w:val="000000"/>
                <w:sz w:val="20"/>
                <w:szCs w:val="20"/>
                <w:lang w:eastAsia="en-GB"/>
              </w:rPr>
              <w:t>LeBlanc et al. 2016 [42]</w:t>
            </w:r>
          </w:p>
        </w:tc>
        <w:tc>
          <w:tcPr>
            <w:tcW w:w="1019" w:type="dxa"/>
          </w:tcPr>
          <w:p w14:paraId="7E92384B"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USA</w:t>
            </w:r>
          </w:p>
        </w:tc>
        <w:tc>
          <w:tcPr>
            <w:tcW w:w="6494" w:type="dxa"/>
          </w:tcPr>
          <w:p w14:paraId="4A868364" w14:textId="11B09FBF"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 xml:space="preserve">Analyse effects of the </w:t>
            </w:r>
            <w:r w:rsidRPr="00E473B3">
              <w:rPr>
                <w:rFonts w:eastAsia="Times New Roman" w:cstheme="minorHAnsi"/>
                <w:sz w:val="20"/>
                <w:szCs w:val="20"/>
                <w:lang w:eastAsia="en-GB"/>
              </w:rPr>
              <w:t>osteoporosis</w:t>
            </w:r>
            <w:r w:rsidRPr="00E473B3">
              <w:rPr>
                <w:rFonts w:eastAsia="Times New Roman" w:cstheme="minorHAnsi"/>
                <w:color w:val="000000"/>
                <w:sz w:val="20"/>
                <w:szCs w:val="20"/>
                <w:lang w:eastAsia="en-GB"/>
              </w:rPr>
              <w:t xml:space="preserve"> choice decision aid compared to usual care with and without FRAX risk calculator on knowledge, involvement in decision making process, </w:t>
            </w:r>
            <w:proofErr w:type="gramStart"/>
            <w:r w:rsidRPr="00E473B3">
              <w:rPr>
                <w:rFonts w:eastAsia="Times New Roman" w:cstheme="minorHAnsi"/>
                <w:color w:val="000000"/>
                <w:sz w:val="20"/>
                <w:szCs w:val="20"/>
                <w:lang w:eastAsia="en-GB"/>
              </w:rPr>
              <w:t>initiation</w:t>
            </w:r>
            <w:proofErr w:type="gramEnd"/>
            <w:r w:rsidRPr="00E473B3">
              <w:rPr>
                <w:rFonts w:eastAsia="Times New Roman" w:cstheme="minorHAnsi"/>
                <w:color w:val="000000"/>
                <w:sz w:val="20"/>
                <w:szCs w:val="20"/>
                <w:lang w:eastAsia="en-GB"/>
              </w:rPr>
              <w:t xml:space="preserve"> and adherence to o</w:t>
            </w:r>
            <w:r w:rsidRPr="00E473B3">
              <w:rPr>
                <w:rFonts w:eastAsia="Times New Roman" w:cstheme="minorHAnsi"/>
                <w:sz w:val="20"/>
                <w:szCs w:val="20"/>
                <w:lang w:eastAsia="en-GB"/>
              </w:rPr>
              <w:t xml:space="preserve">ral bisphosphonates </w:t>
            </w:r>
          </w:p>
        </w:tc>
        <w:tc>
          <w:tcPr>
            <w:tcW w:w="1417" w:type="dxa"/>
          </w:tcPr>
          <w:p w14:paraId="256B6DC5" w14:textId="4445C75C"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RCT</w:t>
            </w:r>
          </w:p>
        </w:tc>
        <w:tc>
          <w:tcPr>
            <w:tcW w:w="1134" w:type="dxa"/>
          </w:tcPr>
          <w:p w14:paraId="255EDB43"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P</w:t>
            </w:r>
            <w:r w:rsidRPr="00E473B3">
              <w:rPr>
                <w:rFonts w:eastAsia="Times New Roman" w:cstheme="minorHAnsi"/>
                <w:sz w:val="20"/>
                <w:szCs w:val="20"/>
                <w:lang w:eastAsia="en-GB"/>
              </w:rPr>
              <w:t>rimary care</w:t>
            </w:r>
          </w:p>
        </w:tc>
        <w:tc>
          <w:tcPr>
            <w:tcW w:w="2835" w:type="dxa"/>
          </w:tcPr>
          <w:p w14:paraId="5DDB76C1" w14:textId="2768CAB5"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79 women over age 50</w:t>
            </w:r>
          </w:p>
        </w:tc>
        <w:tc>
          <w:tcPr>
            <w:tcW w:w="993" w:type="dxa"/>
          </w:tcPr>
          <w:p w14:paraId="4767B111"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cstheme="minorHAnsi"/>
                <w:sz w:val="20"/>
                <w:szCs w:val="20"/>
              </w:rPr>
              <w:t>Low</w:t>
            </w:r>
          </w:p>
        </w:tc>
      </w:tr>
      <w:tr w:rsidR="006E7EE3" w:rsidRPr="00E473B3" w14:paraId="41C618CB" w14:textId="77777777" w:rsidTr="0001776A">
        <w:trPr>
          <w:trHeight w:val="474"/>
        </w:trPr>
        <w:tc>
          <w:tcPr>
            <w:cnfStyle w:val="001000000000" w:firstRow="0" w:lastRow="0" w:firstColumn="1" w:lastColumn="0" w:oddVBand="0" w:evenVBand="0" w:oddHBand="0" w:evenHBand="0" w:firstRowFirstColumn="0" w:firstRowLastColumn="0" w:lastRowFirstColumn="0" w:lastRowLastColumn="0"/>
            <w:tcW w:w="1838" w:type="dxa"/>
            <w:noWrap/>
          </w:tcPr>
          <w:p w14:paraId="0EC301EA" w14:textId="77777777" w:rsidR="006E7EE3" w:rsidRPr="00E473B3" w:rsidRDefault="006E7EE3" w:rsidP="00BF54BD">
            <w:pPr>
              <w:spacing w:after="120"/>
              <w:rPr>
                <w:rFonts w:eastAsia="Times New Roman" w:cstheme="minorHAnsi"/>
                <w:color w:val="000000"/>
                <w:sz w:val="20"/>
                <w:szCs w:val="20"/>
                <w:lang w:eastAsia="en-GB"/>
              </w:rPr>
            </w:pPr>
            <w:r w:rsidRPr="00E473B3">
              <w:rPr>
                <w:rFonts w:eastAsia="Times New Roman" w:cstheme="minorHAnsi"/>
                <w:color w:val="000000"/>
                <w:sz w:val="20"/>
                <w:szCs w:val="20"/>
                <w:lang w:eastAsia="en-GB"/>
              </w:rPr>
              <w:t>Leslie 2019 [43]</w:t>
            </w:r>
          </w:p>
        </w:tc>
        <w:tc>
          <w:tcPr>
            <w:tcW w:w="1019" w:type="dxa"/>
          </w:tcPr>
          <w:p w14:paraId="6A2D2142"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Canada</w:t>
            </w:r>
          </w:p>
        </w:tc>
        <w:tc>
          <w:tcPr>
            <w:tcW w:w="6494" w:type="dxa"/>
          </w:tcPr>
          <w:p w14:paraId="6061C41B"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Comparison of regular BMD monitoring on adherence and fracture outcomes</w:t>
            </w:r>
          </w:p>
        </w:tc>
        <w:tc>
          <w:tcPr>
            <w:tcW w:w="1417" w:type="dxa"/>
          </w:tcPr>
          <w:p w14:paraId="21AD2590" w14:textId="113DB153"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Cohort</w:t>
            </w:r>
          </w:p>
        </w:tc>
        <w:tc>
          <w:tcPr>
            <w:tcW w:w="1134" w:type="dxa"/>
          </w:tcPr>
          <w:p w14:paraId="0A86D26B"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Primary care</w:t>
            </w:r>
          </w:p>
        </w:tc>
        <w:tc>
          <w:tcPr>
            <w:tcW w:w="2835" w:type="dxa"/>
          </w:tcPr>
          <w:p w14:paraId="799DCCF7" w14:textId="239D2134"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9118 women, mean age of 68.0 and 68.1 years</w:t>
            </w:r>
          </w:p>
        </w:tc>
        <w:tc>
          <w:tcPr>
            <w:tcW w:w="993" w:type="dxa"/>
          </w:tcPr>
          <w:p w14:paraId="35CD09AE"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cstheme="minorHAnsi"/>
                <w:sz w:val="20"/>
                <w:szCs w:val="20"/>
              </w:rPr>
              <w:t>Low</w:t>
            </w:r>
          </w:p>
        </w:tc>
      </w:tr>
      <w:tr w:rsidR="006E7EE3" w:rsidRPr="00E473B3" w14:paraId="3E822343" w14:textId="77777777" w:rsidTr="0001776A">
        <w:trPr>
          <w:trHeight w:val="641"/>
        </w:trPr>
        <w:tc>
          <w:tcPr>
            <w:cnfStyle w:val="001000000000" w:firstRow="0" w:lastRow="0" w:firstColumn="1" w:lastColumn="0" w:oddVBand="0" w:evenVBand="0" w:oddHBand="0" w:evenHBand="0" w:firstRowFirstColumn="0" w:firstRowLastColumn="0" w:lastRowFirstColumn="0" w:lastRowLastColumn="0"/>
            <w:tcW w:w="1838" w:type="dxa"/>
            <w:noWrap/>
          </w:tcPr>
          <w:p w14:paraId="67B1EE86" w14:textId="77777777" w:rsidR="006E7EE3" w:rsidRPr="00E473B3" w:rsidRDefault="006E7EE3" w:rsidP="00BF54BD">
            <w:pPr>
              <w:spacing w:after="120"/>
              <w:rPr>
                <w:rFonts w:eastAsia="Times New Roman" w:cstheme="minorHAnsi"/>
                <w:color w:val="000000"/>
                <w:sz w:val="20"/>
                <w:szCs w:val="20"/>
                <w:lang w:eastAsia="en-GB"/>
              </w:rPr>
            </w:pPr>
            <w:r w:rsidRPr="00E473B3">
              <w:rPr>
                <w:rFonts w:eastAsia="Times New Roman" w:cstheme="minorHAnsi"/>
                <w:color w:val="000000"/>
                <w:sz w:val="20"/>
                <w:szCs w:val="20"/>
                <w:lang w:eastAsia="en-GB"/>
              </w:rPr>
              <w:t>Parsons 2020 [44]</w:t>
            </w:r>
          </w:p>
        </w:tc>
        <w:tc>
          <w:tcPr>
            <w:tcW w:w="1019" w:type="dxa"/>
          </w:tcPr>
          <w:p w14:paraId="30186F29"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UK</w:t>
            </w:r>
          </w:p>
        </w:tc>
        <w:tc>
          <w:tcPr>
            <w:tcW w:w="6494" w:type="dxa"/>
          </w:tcPr>
          <w:p w14:paraId="346D41A0"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Investigated effect of screening intervention (FRAX) on osteoporosis meds adherence</w:t>
            </w:r>
          </w:p>
        </w:tc>
        <w:tc>
          <w:tcPr>
            <w:tcW w:w="1417" w:type="dxa"/>
          </w:tcPr>
          <w:p w14:paraId="5E7B66C6" w14:textId="42225C43"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RCT</w:t>
            </w:r>
          </w:p>
        </w:tc>
        <w:tc>
          <w:tcPr>
            <w:tcW w:w="1134" w:type="dxa"/>
          </w:tcPr>
          <w:p w14:paraId="3F2296FE"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Primary care</w:t>
            </w:r>
          </w:p>
        </w:tc>
        <w:tc>
          <w:tcPr>
            <w:tcW w:w="2835" w:type="dxa"/>
          </w:tcPr>
          <w:p w14:paraId="2A7C7F2B" w14:textId="4510F8EF"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 xml:space="preserve">12483 females, mean age 75.6 </w:t>
            </w:r>
          </w:p>
        </w:tc>
        <w:tc>
          <w:tcPr>
            <w:tcW w:w="993" w:type="dxa"/>
          </w:tcPr>
          <w:p w14:paraId="05276267" w14:textId="60551CFA" w:rsidR="006E7EE3" w:rsidRPr="00E473B3" w:rsidRDefault="00E473B3" w:rsidP="00E473B3">
            <w:pPr>
              <w:spacing w:after="120"/>
              <w:ind w:right="-104"/>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cstheme="minorHAnsi"/>
                <w:sz w:val="20"/>
                <w:szCs w:val="20"/>
              </w:rPr>
              <w:t>C</w:t>
            </w:r>
            <w:r w:rsidR="006E7EE3" w:rsidRPr="00E473B3">
              <w:rPr>
                <w:rFonts w:cstheme="minorHAnsi"/>
                <w:sz w:val="20"/>
                <w:szCs w:val="20"/>
              </w:rPr>
              <w:t>oncerns</w:t>
            </w:r>
          </w:p>
        </w:tc>
      </w:tr>
      <w:tr w:rsidR="006E7EE3" w:rsidRPr="00E473B3" w14:paraId="5EC6F3DB" w14:textId="77777777" w:rsidTr="00AF30EF">
        <w:trPr>
          <w:trHeight w:val="567"/>
        </w:trPr>
        <w:tc>
          <w:tcPr>
            <w:cnfStyle w:val="001000000000" w:firstRow="0" w:lastRow="0" w:firstColumn="1" w:lastColumn="0" w:oddVBand="0" w:evenVBand="0" w:oddHBand="0" w:evenHBand="0" w:firstRowFirstColumn="0" w:firstRowLastColumn="0" w:lastRowFirstColumn="0" w:lastRowLastColumn="0"/>
            <w:tcW w:w="1838" w:type="dxa"/>
          </w:tcPr>
          <w:p w14:paraId="218F84A1" w14:textId="77777777" w:rsidR="006E7EE3" w:rsidRPr="00E473B3" w:rsidRDefault="006E7EE3" w:rsidP="00BF54BD">
            <w:pPr>
              <w:spacing w:after="120"/>
              <w:rPr>
                <w:rFonts w:eastAsia="Times New Roman" w:cstheme="minorHAnsi"/>
                <w:color w:val="000000"/>
                <w:sz w:val="20"/>
                <w:szCs w:val="20"/>
                <w:lang w:eastAsia="en-GB"/>
              </w:rPr>
            </w:pPr>
            <w:r w:rsidRPr="00E473B3">
              <w:rPr>
                <w:rFonts w:eastAsia="Times New Roman" w:cstheme="minorHAnsi"/>
                <w:color w:val="000000"/>
                <w:sz w:val="20"/>
                <w:szCs w:val="20"/>
                <w:lang w:eastAsia="en-GB"/>
              </w:rPr>
              <w:t>Stuurman-</w:t>
            </w:r>
            <w:proofErr w:type="spellStart"/>
            <w:r w:rsidRPr="00E473B3">
              <w:rPr>
                <w:rFonts w:eastAsia="Times New Roman" w:cstheme="minorHAnsi"/>
                <w:color w:val="000000"/>
                <w:sz w:val="20"/>
                <w:szCs w:val="20"/>
                <w:lang w:eastAsia="en-GB"/>
              </w:rPr>
              <w:t>Bieze</w:t>
            </w:r>
            <w:proofErr w:type="spellEnd"/>
            <w:r w:rsidRPr="00E473B3">
              <w:rPr>
                <w:rFonts w:eastAsia="Times New Roman" w:cstheme="minorHAnsi"/>
                <w:color w:val="000000"/>
                <w:sz w:val="20"/>
                <w:szCs w:val="20"/>
                <w:lang w:eastAsia="en-GB"/>
              </w:rPr>
              <w:t xml:space="preserve"> et al. 2014 [45]</w:t>
            </w:r>
          </w:p>
        </w:tc>
        <w:tc>
          <w:tcPr>
            <w:tcW w:w="1019" w:type="dxa"/>
          </w:tcPr>
          <w:p w14:paraId="19DFCC50"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Netherlands</w:t>
            </w:r>
          </w:p>
        </w:tc>
        <w:tc>
          <w:tcPr>
            <w:tcW w:w="6494" w:type="dxa"/>
          </w:tcPr>
          <w:p w14:paraId="39ADD8E7" w14:textId="1464C110"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 xml:space="preserve">Provide proactive pharmaceutical care </w:t>
            </w:r>
          </w:p>
        </w:tc>
        <w:tc>
          <w:tcPr>
            <w:tcW w:w="1417" w:type="dxa"/>
          </w:tcPr>
          <w:p w14:paraId="5D66E677" w14:textId="1570CF8E"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Quasi</w:t>
            </w:r>
            <w:r w:rsidR="00843C9B" w:rsidRPr="00E473B3">
              <w:rPr>
                <w:rFonts w:eastAsia="Times New Roman" w:cstheme="minorHAnsi"/>
                <w:color w:val="000000"/>
                <w:sz w:val="20"/>
                <w:szCs w:val="20"/>
                <w:lang w:eastAsia="en-GB"/>
              </w:rPr>
              <w:t>-</w:t>
            </w:r>
            <w:r w:rsidRPr="00E473B3">
              <w:rPr>
                <w:rFonts w:eastAsia="Times New Roman" w:cstheme="minorHAnsi"/>
                <w:color w:val="000000"/>
                <w:sz w:val="20"/>
                <w:szCs w:val="20"/>
                <w:lang w:eastAsia="en-GB"/>
              </w:rPr>
              <w:t>experimental</w:t>
            </w:r>
          </w:p>
        </w:tc>
        <w:tc>
          <w:tcPr>
            <w:tcW w:w="1134" w:type="dxa"/>
          </w:tcPr>
          <w:p w14:paraId="4FA4472F" w14:textId="4D1A867B" w:rsidR="006E7EE3" w:rsidRPr="00E473B3" w:rsidRDefault="00F748AD"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Community</w:t>
            </w:r>
          </w:p>
        </w:tc>
        <w:tc>
          <w:tcPr>
            <w:tcW w:w="2835" w:type="dxa"/>
          </w:tcPr>
          <w:p w14:paraId="1F2CC854" w14:textId="58830E1C"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 xml:space="preserve">495, 78.5% female mean age 67.0 (13.9) </w:t>
            </w:r>
          </w:p>
        </w:tc>
        <w:tc>
          <w:tcPr>
            <w:tcW w:w="993" w:type="dxa"/>
          </w:tcPr>
          <w:p w14:paraId="140DFB36"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cstheme="minorHAnsi"/>
                <w:sz w:val="20"/>
                <w:szCs w:val="20"/>
              </w:rPr>
              <w:t>High</w:t>
            </w:r>
          </w:p>
        </w:tc>
      </w:tr>
      <w:tr w:rsidR="006E7EE3" w:rsidRPr="00E473B3" w14:paraId="11840B8B" w14:textId="77777777" w:rsidTr="00AF30EF">
        <w:trPr>
          <w:trHeight w:val="680"/>
        </w:trPr>
        <w:tc>
          <w:tcPr>
            <w:cnfStyle w:val="001000000000" w:firstRow="0" w:lastRow="0" w:firstColumn="1" w:lastColumn="0" w:oddVBand="0" w:evenVBand="0" w:oddHBand="0" w:evenHBand="0" w:firstRowFirstColumn="0" w:firstRowLastColumn="0" w:lastRowFirstColumn="0" w:lastRowLastColumn="0"/>
            <w:tcW w:w="1838" w:type="dxa"/>
          </w:tcPr>
          <w:p w14:paraId="1185EE81" w14:textId="77777777" w:rsidR="006E7EE3" w:rsidRPr="00E473B3" w:rsidRDefault="006E7EE3" w:rsidP="00BF54BD">
            <w:pPr>
              <w:spacing w:after="120"/>
              <w:rPr>
                <w:rFonts w:eastAsia="Times New Roman" w:cstheme="minorHAnsi"/>
                <w:color w:val="000000"/>
                <w:sz w:val="20"/>
                <w:szCs w:val="20"/>
                <w:lang w:eastAsia="en-GB"/>
              </w:rPr>
            </w:pPr>
            <w:proofErr w:type="spellStart"/>
            <w:r w:rsidRPr="00E473B3">
              <w:rPr>
                <w:rFonts w:eastAsia="Times New Roman" w:cstheme="minorHAnsi"/>
                <w:color w:val="000000"/>
                <w:sz w:val="20"/>
                <w:szCs w:val="20"/>
                <w:lang w:eastAsia="en-GB"/>
              </w:rPr>
              <w:t>Tüzün</w:t>
            </w:r>
            <w:proofErr w:type="spellEnd"/>
            <w:r w:rsidRPr="00E473B3">
              <w:rPr>
                <w:rFonts w:eastAsia="Times New Roman" w:cstheme="minorHAnsi"/>
                <w:color w:val="000000"/>
                <w:sz w:val="20"/>
                <w:szCs w:val="20"/>
                <w:lang w:eastAsia="en-GB"/>
              </w:rPr>
              <w:t xml:space="preserve"> et al. 2013 [46]</w:t>
            </w:r>
          </w:p>
        </w:tc>
        <w:tc>
          <w:tcPr>
            <w:tcW w:w="1019" w:type="dxa"/>
          </w:tcPr>
          <w:p w14:paraId="5A1B8B73"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Turkey</w:t>
            </w:r>
          </w:p>
        </w:tc>
        <w:tc>
          <w:tcPr>
            <w:tcW w:w="6494" w:type="dxa"/>
          </w:tcPr>
          <w:p w14:paraId="6DC1AAA5" w14:textId="14216CB1"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To assess the impact of active patient training on treatment compliance and persistence in patients with postmenopausal osteoporosis.</w:t>
            </w:r>
          </w:p>
        </w:tc>
        <w:tc>
          <w:tcPr>
            <w:tcW w:w="1417" w:type="dxa"/>
          </w:tcPr>
          <w:p w14:paraId="39BC5D0D" w14:textId="78CC7FA0"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RCT</w:t>
            </w:r>
          </w:p>
        </w:tc>
        <w:tc>
          <w:tcPr>
            <w:tcW w:w="1134" w:type="dxa"/>
          </w:tcPr>
          <w:p w14:paraId="0122CD9D" w14:textId="77777777" w:rsidR="00E473B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Others/</w:t>
            </w:r>
          </w:p>
          <w:p w14:paraId="0A4A7EC9" w14:textId="5C032EAF"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unclear</w:t>
            </w:r>
          </w:p>
        </w:tc>
        <w:tc>
          <w:tcPr>
            <w:tcW w:w="2835" w:type="dxa"/>
          </w:tcPr>
          <w:p w14:paraId="24659916" w14:textId="7ABA0315"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 xml:space="preserve">448 </w:t>
            </w:r>
            <w:proofErr w:type="gramStart"/>
            <w:r w:rsidRPr="00E473B3">
              <w:rPr>
                <w:rFonts w:eastAsia="Times New Roman" w:cstheme="minorHAnsi"/>
                <w:color w:val="000000"/>
                <w:sz w:val="20"/>
                <w:szCs w:val="20"/>
                <w:lang w:eastAsia="en-GB"/>
              </w:rPr>
              <w:t>female</w:t>
            </w:r>
            <w:proofErr w:type="gramEnd"/>
            <w:r w:rsidRPr="00E473B3">
              <w:rPr>
                <w:rFonts w:eastAsia="Times New Roman" w:cstheme="minorHAnsi"/>
                <w:color w:val="000000"/>
                <w:sz w:val="20"/>
                <w:szCs w:val="20"/>
                <w:lang w:eastAsia="en-GB"/>
              </w:rPr>
              <w:t>, mean age 62.4±7.7 years</w:t>
            </w:r>
          </w:p>
        </w:tc>
        <w:tc>
          <w:tcPr>
            <w:tcW w:w="993" w:type="dxa"/>
          </w:tcPr>
          <w:p w14:paraId="68AEB7C2"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cstheme="minorHAnsi"/>
                <w:sz w:val="20"/>
                <w:szCs w:val="20"/>
              </w:rPr>
              <w:t>High</w:t>
            </w:r>
          </w:p>
        </w:tc>
      </w:tr>
      <w:tr w:rsidR="006E7EE3" w:rsidRPr="00E473B3" w14:paraId="5F44D877" w14:textId="77777777" w:rsidTr="0001776A">
        <w:trPr>
          <w:trHeight w:val="783"/>
        </w:trPr>
        <w:tc>
          <w:tcPr>
            <w:cnfStyle w:val="001000000000" w:firstRow="0" w:lastRow="0" w:firstColumn="1" w:lastColumn="0" w:oddVBand="0" w:evenVBand="0" w:oddHBand="0" w:evenHBand="0" w:firstRowFirstColumn="0" w:firstRowLastColumn="0" w:lastRowFirstColumn="0" w:lastRowLastColumn="0"/>
            <w:tcW w:w="1838" w:type="dxa"/>
          </w:tcPr>
          <w:p w14:paraId="11BB80E8" w14:textId="77777777" w:rsidR="006E7EE3" w:rsidRPr="00E473B3" w:rsidRDefault="006E7EE3" w:rsidP="00BF54BD">
            <w:pPr>
              <w:spacing w:after="120"/>
              <w:rPr>
                <w:rFonts w:eastAsia="Times New Roman" w:cstheme="minorHAnsi"/>
                <w:color w:val="000000"/>
                <w:sz w:val="20"/>
                <w:szCs w:val="20"/>
                <w:lang w:eastAsia="en-GB"/>
              </w:rPr>
            </w:pPr>
            <w:proofErr w:type="spellStart"/>
            <w:r w:rsidRPr="00E473B3">
              <w:rPr>
                <w:rFonts w:eastAsia="Times New Roman" w:cstheme="minorHAnsi"/>
                <w:color w:val="000000"/>
                <w:sz w:val="20"/>
                <w:szCs w:val="20"/>
                <w:lang w:eastAsia="en-GB"/>
              </w:rPr>
              <w:t>vanMaren</w:t>
            </w:r>
            <w:proofErr w:type="spellEnd"/>
            <w:r w:rsidRPr="00E473B3">
              <w:rPr>
                <w:rFonts w:eastAsia="Times New Roman" w:cstheme="minorHAnsi"/>
                <w:color w:val="000000"/>
                <w:sz w:val="20"/>
                <w:szCs w:val="20"/>
                <w:lang w:eastAsia="en-GB"/>
              </w:rPr>
              <w:t xml:space="preserve"> 2019 [47]</w:t>
            </w:r>
          </w:p>
        </w:tc>
        <w:tc>
          <w:tcPr>
            <w:tcW w:w="1019" w:type="dxa"/>
          </w:tcPr>
          <w:p w14:paraId="614CFA9A"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Netherlands</w:t>
            </w:r>
          </w:p>
        </w:tc>
        <w:tc>
          <w:tcPr>
            <w:tcW w:w="6494" w:type="dxa"/>
          </w:tcPr>
          <w:p w14:paraId="6136DA3B" w14:textId="5CC5835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Effect of educational and motivational support programme on adherence</w:t>
            </w:r>
          </w:p>
        </w:tc>
        <w:tc>
          <w:tcPr>
            <w:tcW w:w="1417" w:type="dxa"/>
          </w:tcPr>
          <w:p w14:paraId="105F060B" w14:textId="3847B476"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Quasi-experimental</w:t>
            </w:r>
          </w:p>
        </w:tc>
        <w:tc>
          <w:tcPr>
            <w:tcW w:w="1134" w:type="dxa"/>
          </w:tcPr>
          <w:p w14:paraId="28778A19" w14:textId="2823E184" w:rsidR="006E7EE3" w:rsidRPr="00E473B3" w:rsidRDefault="00F748AD"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Community</w:t>
            </w:r>
          </w:p>
        </w:tc>
        <w:tc>
          <w:tcPr>
            <w:tcW w:w="2835" w:type="dxa"/>
          </w:tcPr>
          <w:p w14:paraId="4A83600F" w14:textId="63C7133C"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eastAsia="Times New Roman" w:cstheme="minorHAnsi"/>
                <w:color w:val="000000"/>
                <w:sz w:val="20"/>
                <w:szCs w:val="20"/>
                <w:lang w:eastAsia="en-GB"/>
              </w:rPr>
              <w:t>1573, 87.5 % women, mean age 72</w:t>
            </w:r>
          </w:p>
        </w:tc>
        <w:tc>
          <w:tcPr>
            <w:tcW w:w="993" w:type="dxa"/>
          </w:tcPr>
          <w:p w14:paraId="2D090966" w14:textId="77777777" w:rsidR="006E7EE3" w:rsidRPr="00E473B3" w:rsidRDefault="006E7EE3" w:rsidP="00BF54BD">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E473B3">
              <w:rPr>
                <w:rFonts w:cstheme="minorHAnsi"/>
                <w:sz w:val="20"/>
                <w:szCs w:val="20"/>
              </w:rPr>
              <w:t>Low</w:t>
            </w:r>
          </w:p>
        </w:tc>
      </w:tr>
    </w:tbl>
    <w:p w14:paraId="6F3145A3" w14:textId="77777777" w:rsidR="00497899" w:rsidRDefault="00497899" w:rsidP="00497899"/>
    <w:p w14:paraId="584FC275" w14:textId="77777777" w:rsidR="00C11F68" w:rsidRDefault="00497899" w:rsidP="000D2B1A">
      <w:pPr>
        <w:rPr>
          <w:b/>
        </w:rPr>
        <w:sectPr w:rsidR="00C11F68" w:rsidSect="00C11F68">
          <w:pgSz w:w="16838" w:h="11906" w:orient="landscape"/>
          <w:pgMar w:top="720" w:right="720" w:bottom="397" w:left="720" w:header="709" w:footer="709" w:gutter="0"/>
          <w:cols w:space="708"/>
          <w:docGrid w:linePitch="360"/>
        </w:sectPr>
      </w:pPr>
      <w:r>
        <w:rPr>
          <w:b/>
        </w:rPr>
        <w:br w:type="page"/>
      </w:r>
    </w:p>
    <w:p w14:paraId="5C09A97A" w14:textId="4B495BB3" w:rsidR="000D2B1A" w:rsidRPr="000D2B1A" w:rsidRDefault="00457023" w:rsidP="000D2B1A">
      <w:pPr>
        <w:rPr>
          <w:b/>
          <w:bCs/>
          <w:sz w:val="24"/>
          <w:szCs w:val="24"/>
        </w:rPr>
      </w:pPr>
      <w:r w:rsidRPr="000D2B1A">
        <w:rPr>
          <w:b/>
          <w:bCs/>
          <w:sz w:val="24"/>
          <w:szCs w:val="24"/>
        </w:rPr>
        <w:lastRenderedPageBreak/>
        <w:t xml:space="preserve">Figure </w:t>
      </w:r>
      <w:r w:rsidRPr="000D2B1A">
        <w:rPr>
          <w:b/>
          <w:bCs/>
          <w:sz w:val="24"/>
          <w:szCs w:val="24"/>
        </w:rPr>
        <w:fldChar w:fldCharType="begin"/>
      </w:r>
      <w:r w:rsidRPr="000D2B1A">
        <w:rPr>
          <w:b/>
          <w:bCs/>
          <w:sz w:val="24"/>
          <w:szCs w:val="24"/>
        </w:rPr>
        <w:instrText xml:space="preserve"> SEQ Figure \* ARABIC </w:instrText>
      </w:r>
      <w:r w:rsidRPr="000D2B1A">
        <w:rPr>
          <w:b/>
          <w:bCs/>
          <w:sz w:val="24"/>
          <w:szCs w:val="24"/>
        </w:rPr>
        <w:fldChar w:fldCharType="separate"/>
      </w:r>
      <w:r w:rsidRPr="000D2B1A">
        <w:rPr>
          <w:b/>
          <w:bCs/>
          <w:noProof/>
          <w:sz w:val="24"/>
          <w:szCs w:val="24"/>
        </w:rPr>
        <w:t>1</w:t>
      </w:r>
      <w:r w:rsidRPr="000D2B1A">
        <w:rPr>
          <w:b/>
          <w:bCs/>
          <w:noProof/>
          <w:sz w:val="24"/>
          <w:szCs w:val="24"/>
        </w:rPr>
        <w:fldChar w:fldCharType="end"/>
      </w:r>
      <w:r w:rsidRPr="000D2B1A">
        <w:rPr>
          <w:b/>
          <w:bCs/>
          <w:sz w:val="24"/>
          <w:szCs w:val="24"/>
        </w:rPr>
        <w:t xml:space="preserve">: Five stages of medicine optimisation, adapted from MEMORABLE (adapted, with permission from Maidment et al, </w:t>
      </w:r>
      <w:proofErr w:type="gramStart"/>
      <w:r w:rsidRPr="000D2B1A">
        <w:rPr>
          <w:b/>
          <w:bCs/>
          <w:sz w:val="24"/>
          <w:szCs w:val="24"/>
        </w:rPr>
        <w:t>2020)</w:t>
      </w:r>
      <w:r w:rsidR="00662164" w:rsidRPr="000D2B1A">
        <w:rPr>
          <w:b/>
          <w:bCs/>
          <w:sz w:val="24"/>
          <w:szCs w:val="24"/>
        </w:rPr>
        <w:t>[</w:t>
      </w:r>
      <w:proofErr w:type="gramEnd"/>
      <w:r w:rsidR="00662164" w:rsidRPr="000D2B1A">
        <w:rPr>
          <w:b/>
          <w:bCs/>
          <w:sz w:val="24"/>
          <w:szCs w:val="24"/>
        </w:rPr>
        <w:t>20</w:t>
      </w:r>
      <w:r w:rsidR="00BC0C3F" w:rsidRPr="000D2B1A">
        <w:rPr>
          <w:b/>
          <w:bCs/>
          <w:sz w:val="24"/>
          <w:szCs w:val="24"/>
        </w:rPr>
        <w:t>]</w:t>
      </w:r>
    </w:p>
    <w:p w14:paraId="643E2992" w14:textId="4DB2B655" w:rsidR="00457023" w:rsidRPr="000D2B1A" w:rsidRDefault="00457023" w:rsidP="00BC0C3F">
      <w:pPr>
        <w:pStyle w:val="Caption"/>
        <w:keepNext/>
        <w:rPr>
          <w:b/>
          <w:bCs/>
          <w:i w:val="0"/>
          <w:iCs w:val="0"/>
          <w:color w:val="auto"/>
          <w:sz w:val="24"/>
          <w:szCs w:val="24"/>
        </w:rPr>
      </w:pPr>
      <w:r w:rsidRPr="000D2B1A">
        <w:rPr>
          <w:b/>
          <w:bCs/>
          <w:i w:val="0"/>
          <w:iCs w:val="0"/>
          <w:color w:val="auto"/>
          <w:sz w:val="24"/>
          <w:szCs w:val="24"/>
        </w:rPr>
        <w:t xml:space="preserve">Figure 2: Groups of mechanisms that contribute to medicines optimisation in osteoporosis </w:t>
      </w:r>
    </w:p>
    <w:p w14:paraId="320232E7" w14:textId="4AF7E7B5" w:rsidR="006D7FF4" w:rsidRPr="007D4F1D" w:rsidRDefault="006D7FF4" w:rsidP="002E530B">
      <w:pPr>
        <w:rPr>
          <w:rFonts w:cstheme="minorHAnsi"/>
        </w:rPr>
      </w:pPr>
    </w:p>
    <w:sectPr w:rsidR="006D7FF4" w:rsidRPr="007D4F1D" w:rsidSect="00C11F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CE98D" w14:textId="77777777" w:rsidR="00821664" w:rsidRDefault="00821664" w:rsidP="004A6B1D">
      <w:pPr>
        <w:spacing w:after="0" w:line="240" w:lineRule="auto"/>
      </w:pPr>
      <w:r>
        <w:separator/>
      </w:r>
    </w:p>
  </w:endnote>
  <w:endnote w:type="continuationSeparator" w:id="0">
    <w:p w14:paraId="1FC73CA9" w14:textId="77777777" w:rsidR="00821664" w:rsidRDefault="00821664" w:rsidP="004A6B1D">
      <w:pPr>
        <w:spacing w:after="0" w:line="240" w:lineRule="auto"/>
      </w:pPr>
      <w:r>
        <w:continuationSeparator/>
      </w:r>
    </w:p>
  </w:endnote>
  <w:endnote w:type="continuationNotice" w:id="1">
    <w:p w14:paraId="705C6FFA" w14:textId="77777777" w:rsidR="00821664" w:rsidRDefault="008216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171998"/>
      <w:docPartObj>
        <w:docPartGallery w:val="Page Numbers (Bottom of Page)"/>
        <w:docPartUnique/>
      </w:docPartObj>
    </w:sdtPr>
    <w:sdtEndPr>
      <w:rPr>
        <w:noProof/>
      </w:rPr>
    </w:sdtEndPr>
    <w:sdtContent>
      <w:p w14:paraId="6472A22A" w14:textId="2A2EC4F1" w:rsidR="004C75FC" w:rsidRDefault="004C75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53F8A7" w14:textId="562992C9" w:rsidR="00457023" w:rsidRDefault="00457023" w:rsidP="006C20B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597341"/>
      <w:docPartObj>
        <w:docPartGallery w:val="Page Numbers (Bottom of Page)"/>
        <w:docPartUnique/>
      </w:docPartObj>
    </w:sdtPr>
    <w:sdtEndPr>
      <w:rPr>
        <w:noProof/>
      </w:rPr>
    </w:sdtEndPr>
    <w:sdtContent>
      <w:p w14:paraId="68844BBB" w14:textId="3B473000" w:rsidR="00026EE2" w:rsidRDefault="00026E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36A51E" w14:textId="77777777" w:rsidR="009632AA" w:rsidRDefault="009632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0F13" w14:textId="77777777" w:rsidR="00CC7A21" w:rsidRDefault="00CC7A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83A8" w14:textId="087C8E25" w:rsidR="00495E9A" w:rsidRDefault="00495E9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A3242E">
      <w:rPr>
        <w:caps/>
        <w:noProof/>
        <w:color w:val="4472C4" w:themeColor="accent1"/>
      </w:rPr>
      <w:t>20</w:t>
    </w:r>
    <w:r>
      <w:rPr>
        <w:caps/>
        <w:noProof/>
        <w:color w:val="4472C4" w:themeColor="accent1"/>
      </w:rPr>
      <w:fldChar w:fldCharType="end"/>
    </w:r>
  </w:p>
  <w:p w14:paraId="495A5EDA" w14:textId="77777777" w:rsidR="00495E9A" w:rsidRDefault="00495E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7782" w14:textId="77777777" w:rsidR="00CC7A21" w:rsidRDefault="00CC7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F07DE" w14:textId="77777777" w:rsidR="00821664" w:rsidRDefault="00821664" w:rsidP="004A6B1D">
      <w:pPr>
        <w:spacing w:after="0" w:line="240" w:lineRule="auto"/>
      </w:pPr>
      <w:r>
        <w:separator/>
      </w:r>
    </w:p>
  </w:footnote>
  <w:footnote w:type="continuationSeparator" w:id="0">
    <w:p w14:paraId="12C9A98D" w14:textId="77777777" w:rsidR="00821664" w:rsidRDefault="00821664" w:rsidP="004A6B1D">
      <w:pPr>
        <w:spacing w:after="0" w:line="240" w:lineRule="auto"/>
      </w:pPr>
      <w:r>
        <w:continuationSeparator/>
      </w:r>
    </w:p>
  </w:footnote>
  <w:footnote w:type="continuationNotice" w:id="1">
    <w:p w14:paraId="346EE06D" w14:textId="77777777" w:rsidR="00821664" w:rsidRDefault="008216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1664" w14:textId="77777777" w:rsidR="00CC7A21" w:rsidRDefault="00CC7A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E1AC" w14:textId="2D71EB5C" w:rsidR="00CC7A21" w:rsidRDefault="00CC7A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A3F9" w14:textId="77777777" w:rsidR="00CC7A21" w:rsidRDefault="00CC7A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789D"/>
    <w:multiLevelType w:val="hybridMultilevel"/>
    <w:tmpl w:val="DFA6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D4FDF"/>
    <w:multiLevelType w:val="hybridMultilevel"/>
    <w:tmpl w:val="2BF80F1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C6435"/>
    <w:multiLevelType w:val="hybridMultilevel"/>
    <w:tmpl w:val="E2A42D64"/>
    <w:lvl w:ilvl="0" w:tplc="523AD104">
      <w:start w:val="1"/>
      <w:numFmt w:val="decimal"/>
      <w:lvlText w:val="%1."/>
      <w:lvlJc w:val="left"/>
      <w:pPr>
        <w:ind w:left="720" w:hanging="360"/>
      </w:pPr>
      <w:rPr>
        <w:rFonts w:ascii="Segoe UI" w:hAnsi="Segoe UI" w:cs="Segoe UI" w:hint="default"/>
        <w:b w:val="0"/>
        <w:bCs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2470F"/>
    <w:multiLevelType w:val="hybridMultilevel"/>
    <w:tmpl w:val="7902B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16730"/>
    <w:multiLevelType w:val="hybridMultilevel"/>
    <w:tmpl w:val="49F800E2"/>
    <w:lvl w:ilvl="0" w:tplc="523AD104">
      <w:start w:val="1"/>
      <w:numFmt w:val="decimal"/>
      <w:lvlText w:val="%1."/>
      <w:lvlJc w:val="left"/>
      <w:pPr>
        <w:ind w:left="720" w:hanging="360"/>
      </w:pPr>
      <w:rPr>
        <w:rFonts w:ascii="Segoe UI" w:hAnsi="Segoe UI" w:cs="Segoe UI" w:hint="default"/>
        <w:b w:val="0"/>
        <w:bCs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273D8F"/>
    <w:multiLevelType w:val="hybridMultilevel"/>
    <w:tmpl w:val="219E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2F4128"/>
    <w:multiLevelType w:val="hybridMultilevel"/>
    <w:tmpl w:val="B734E4BA"/>
    <w:lvl w:ilvl="0" w:tplc="3FE83BB8">
      <w:start w:val="1"/>
      <w:numFmt w:val="bullet"/>
      <w:lvlText w:val="•"/>
      <w:lvlJc w:val="left"/>
      <w:pPr>
        <w:tabs>
          <w:tab w:val="num" w:pos="720"/>
        </w:tabs>
        <w:ind w:left="720" w:hanging="360"/>
      </w:pPr>
      <w:rPr>
        <w:rFonts w:ascii="Arial" w:hAnsi="Arial" w:hint="default"/>
      </w:rPr>
    </w:lvl>
    <w:lvl w:ilvl="1" w:tplc="77928E98">
      <w:start w:val="17582"/>
      <w:numFmt w:val="bullet"/>
      <w:lvlText w:val="•"/>
      <w:lvlJc w:val="left"/>
      <w:pPr>
        <w:tabs>
          <w:tab w:val="num" w:pos="1440"/>
        </w:tabs>
        <w:ind w:left="1440" w:hanging="360"/>
      </w:pPr>
      <w:rPr>
        <w:rFonts w:ascii="Arial" w:hAnsi="Arial" w:hint="default"/>
      </w:rPr>
    </w:lvl>
    <w:lvl w:ilvl="2" w:tplc="FC920288" w:tentative="1">
      <w:start w:val="1"/>
      <w:numFmt w:val="bullet"/>
      <w:lvlText w:val="•"/>
      <w:lvlJc w:val="left"/>
      <w:pPr>
        <w:tabs>
          <w:tab w:val="num" w:pos="2160"/>
        </w:tabs>
        <w:ind w:left="2160" w:hanging="360"/>
      </w:pPr>
      <w:rPr>
        <w:rFonts w:ascii="Arial" w:hAnsi="Arial" w:hint="default"/>
      </w:rPr>
    </w:lvl>
    <w:lvl w:ilvl="3" w:tplc="63624110" w:tentative="1">
      <w:start w:val="1"/>
      <w:numFmt w:val="bullet"/>
      <w:lvlText w:val="•"/>
      <w:lvlJc w:val="left"/>
      <w:pPr>
        <w:tabs>
          <w:tab w:val="num" w:pos="2880"/>
        </w:tabs>
        <w:ind w:left="2880" w:hanging="360"/>
      </w:pPr>
      <w:rPr>
        <w:rFonts w:ascii="Arial" w:hAnsi="Arial" w:hint="default"/>
      </w:rPr>
    </w:lvl>
    <w:lvl w:ilvl="4" w:tplc="4E3CBD16" w:tentative="1">
      <w:start w:val="1"/>
      <w:numFmt w:val="bullet"/>
      <w:lvlText w:val="•"/>
      <w:lvlJc w:val="left"/>
      <w:pPr>
        <w:tabs>
          <w:tab w:val="num" w:pos="3600"/>
        </w:tabs>
        <w:ind w:left="3600" w:hanging="360"/>
      </w:pPr>
      <w:rPr>
        <w:rFonts w:ascii="Arial" w:hAnsi="Arial" w:hint="default"/>
      </w:rPr>
    </w:lvl>
    <w:lvl w:ilvl="5" w:tplc="8D7C59BC" w:tentative="1">
      <w:start w:val="1"/>
      <w:numFmt w:val="bullet"/>
      <w:lvlText w:val="•"/>
      <w:lvlJc w:val="left"/>
      <w:pPr>
        <w:tabs>
          <w:tab w:val="num" w:pos="4320"/>
        </w:tabs>
        <w:ind w:left="4320" w:hanging="360"/>
      </w:pPr>
      <w:rPr>
        <w:rFonts w:ascii="Arial" w:hAnsi="Arial" w:hint="default"/>
      </w:rPr>
    </w:lvl>
    <w:lvl w:ilvl="6" w:tplc="F5EE324C" w:tentative="1">
      <w:start w:val="1"/>
      <w:numFmt w:val="bullet"/>
      <w:lvlText w:val="•"/>
      <w:lvlJc w:val="left"/>
      <w:pPr>
        <w:tabs>
          <w:tab w:val="num" w:pos="5040"/>
        </w:tabs>
        <w:ind w:left="5040" w:hanging="360"/>
      </w:pPr>
      <w:rPr>
        <w:rFonts w:ascii="Arial" w:hAnsi="Arial" w:hint="default"/>
      </w:rPr>
    </w:lvl>
    <w:lvl w:ilvl="7" w:tplc="1E3EB48A" w:tentative="1">
      <w:start w:val="1"/>
      <w:numFmt w:val="bullet"/>
      <w:lvlText w:val="•"/>
      <w:lvlJc w:val="left"/>
      <w:pPr>
        <w:tabs>
          <w:tab w:val="num" w:pos="5760"/>
        </w:tabs>
        <w:ind w:left="5760" w:hanging="360"/>
      </w:pPr>
      <w:rPr>
        <w:rFonts w:ascii="Arial" w:hAnsi="Arial" w:hint="default"/>
      </w:rPr>
    </w:lvl>
    <w:lvl w:ilvl="8" w:tplc="96F833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13538F"/>
    <w:multiLevelType w:val="hybridMultilevel"/>
    <w:tmpl w:val="8CA29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FC4E2B"/>
    <w:multiLevelType w:val="hybridMultilevel"/>
    <w:tmpl w:val="2796F5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AC1516"/>
    <w:multiLevelType w:val="hybridMultilevel"/>
    <w:tmpl w:val="48344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F32B02"/>
    <w:multiLevelType w:val="hybridMultilevel"/>
    <w:tmpl w:val="8CA29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535811"/>
    <w:multiLevelType w:val="hybridMultilevel"/>
    <w:tmpl w:val="715A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B540CF"/>
    <w:multiLevelType w:val="hybridMultilevel"/>
    <w:tmpl w:val="2ACE97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D27003"/>
    <w:multiLevelType w:val="hybridMultilevel"/>
    <w:tmpl w:val="EA846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D6530"/>
    <w:multiLevelType w:val="hybridMultilevel"/>
    <w:tmpl w:val="76DAF33E"/>
    <w:lvl w:ilvl="0" w:tplc="2C508202">
      <w:start w:val="1"/>
      <w:numFmt w:val="bullet"/>
      <w:lvlText w:val="•"/>
      <w:lvlJc w:val="left"/>
      <w:pPr>
        <w:tabs>
          <w:tab w:val="num" w:pos="720"/>
        </w:tabs>
        <w:ind w:left="720" w:hanging="360"/>
      </w:pPr>
      <w:rPr>
        <w:rFonts w:ascii="Arial" w:hAnsi="Arial" w:hint="default"/>
      </w:rPr>
    </w:lvl>
    <w:lvl w:ilvl="1" w:tplc="12E4225A" w:tentative="1">
      <w:start w:val="1"/>
      <w:numFmt w:val="bullet"/>
      <w:lvlText w:val="•"/>
      <w:lvlJc w:val="left"/>
      <w:pPr>
        <w:tabs>
          <w:tab w:val="num" w:pos="1440"/>
        </w:tabs>
        <w:ind w:left="1440" w:hanging="360"/>
      </w:pPr>
      <w:rPr>
        <w:rFonts w:ascii="Arial" w:hAnsi="Arial" w:hint="default"/>
      </w:rPr>
    </w:lvl>
    <w:lvl w:ilvl="2" w:tplc="53E28BFA" w:tentative="1">
      <w:start w:val="1"/>
      <w:numFmt w:val="bullet"/>
      <w:lvlText w:val="•"/>
      <w:lvlJc w:val="left"/>
      <w:pPr>
        <w:tabs>
          <w:tab w:val="num" w:pos="2160"/>
        </w:tabs>
        <w:ind w:left="2160" w:hanging="360"/>
      </w:pPr>
      <w:rPr>
        <w:rFonts w:ascii="Arial" w:hAnsi="Arial" w:hint="default"/>
      </w:rPr>
    </w:lvl>
    <w:lvl w:ilvl="3" w:tplc="6C50C372" w:tentative="1">
      <w:start w:val="1"/>
      <w:numFmt w:val="bullet"/>
      <w:lvlText w:val="•"/>
      <w:lvlJc w:val="left"/>
      <w:pPr>
        <w:tabs>
          <w:tab w:val="num" w:pos="2880"/>
        </w:tabs>
        <w:ind w:left="2880" w:hanging="360"/>
      </w:pPr>
      <w:rPr>
        <w:rFonts w:ascii="Arial" w:hAnsi="Arial" w:hint="default"/>
      </w:rPr>
    </w:lvl>
    <w:lvl w:ilvl="4" w:tplc="A40AB606" w:tentative="1">
      <w:start w:val="1"/>
      <w:numFmt w:val="bullet"/>
      <w:lvlText w:val="•"/>
      <w:lvlJc w:val="left"/>
      <w:pPr>
        <w:tabs>
          <w:tab w:val="num" w:pos="3600"/>
        </w:tabs>
        <w:ind w:left="3600" w:hanging="360"/>
      </w:pPr>
      <w:rPr>
        <w:rFonts w:ascii="Arial" w:hAnsi="Arial" w:hint="default"/>
      </w:rPr>
    </w:lvl>
    <w:lvl w:ilvl="5" w:tplc="9C20F20C" w:tentative="1">
      <w:start w:val="1"/>
      <w:numFmt w:val="bullet"/>
      <w:lvlText w:val="•"/>
      <w:lvlJc w:val="left"/>
      <w:pPr>
        <w:tabs>
          <w:tab w:val="num" w:pos="4320"/>
        </w:tabs>
        <w:ind w:left="4320" w:hanging="360"/>
      </w:pPr>
      <w:rPr>
        <w:rFonts w:ascii="Arial" w:hAnsi="Arial" w:hint="default"/>
      </w:rPr>
    </w:lvl>
    <w:lvl w:ilvl="6" w:tplc="7946EAF8" w:tentative="1">
      <w:start w:val="1"/>
      <w:numFmt w:val="bullet"/>
      <w:lvlText w:val="•"/>
      <w:lvlJc w:val="left"/>
      <w:pPr>
        <w:tabs>
          <w:tab w:val="num" w:pos="5040"/>
        </w:tabs>
        <w:ind w:left="5040" w:hanging="360"/>
      </w:pPr>
      <w:rPr>
        <w:rFonts w:ascii="Arial" w:hAnsi="Arial" w:hint="default"/>
      </w:rPr>
    </w:lvl>
    <w:lvl w:ilvl="7" w:tplc="E10E50D6" w:tentative="1">
      <w:start w:val="1"/>
      <w:numFmt w:val="bullet"/>
      <w:lvlText w:val="•"/>
      <w:lvlJc w:val="left"/>
      <w:pPr>
        <w:tabs>
          <w:tab w:val="num" w:pos="5760"/>
        </w:tabs>
        <w:ind w:left="5760" w:hanging="360"/>
      </w:pPr>
      <w:rPr>
        <w:rFonts w:ascii="Arial" w:hAnsi="Arial" w:hint="default"/>
      </w:rPr>
    </w:lvl>
    <w:lvl w:ilvl="8" w:tplc="A330F2B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DC51D47"/>
    <w:multiLevelType w:val="hybridMultilevel"/>
    <w:tmpl w:val="ABC07F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5C7A0F"/>
    <w:multiLevelType w:val="hybridMultilevel"/>
    <w:tmpl w:val="EC3C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10"/>
  </w:num>
  <w:num w:numId="4">
    <w:abstractNumId w:val="7"/>
  </w:num>
  <w:num w:numId="5">
    <w:abstractNumId w:val="5"/>
  </w:num>
  <w:num w:numId="6">
    <w:abstractNumId w:val="1"/>
  </w:num>
  <w:num w:numId="7">
    <w:abstractNumId w:val="9"/>
  </w:num>
  <w:num w:numId="8">
    <w:abstractNumId w:val="14"/>
  </w:num>
  <w:num w:numId="9">
    <w:abstractNumId w:val="6"/>
  </w:num>
  <w:num w:numId="10">
    <w:abstractNumId w:val="12"/>
  </w:num>
  <w:num w:numId="11">
    <w:abstractNumId w:val="3"/>
  </w:num>
  <w:num w:numId="12">
    <w:abstractNumId w:val="13"/>
  </w:num>
  <w:num w:numId="13">
    <w:abstractNumId w:val="16"/>
  </w:num>
  <w:num w:numId="14">
    <w:abstractNumId w:val="15"/>
  </w:num>
  <w:num w:numId="15">
    <w:abstractNumId w:val="8"/>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4097"/>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D85"/>
    <w:rsid w:val="000015D8"/>
    <w:rsid w:val="0000210D"/>
    <w:rsid w:val="0000312C"/>
    <w:rsid w:val="0000337B"/>
    <w:rsid w:val="0000458F"/>
    <w:rsid w:val="00004EB3"/>
    <w:rsid w:val="0000554D"/>
    <w:rsid w:val="00006B44"/>
    <w:rsid w:val="000077E7"/>
    <w:rsid w:val="00010EA5"/>
    <w:rsid w:val="000115A9"/>
    <w:rsid w:val="00011E3A"/>
    <w:rsid w:val="000146F4"/>
    <w:rsid w:val="00014EAF"/>
    <w:rsid w:val="00015238"/>
    <w:rsid w:val="000162CF"/>
    <w:rsid w:val="0001696D"/>
    <w:rsid w:val="0001776A"/>
    <w:rsid w:val="000178FF"/>
    <w:rsid w:val="000221B2"/>
    <w:rsid w:val="00023D14"/>
    <w:rsid w:val="00023DF7"/>
    <w:rsid w:val="000240AA"/>
    <w:rsid w:val="0002614E"/>
    <w:rsid w:val="00026EE2"/>
    <w:rsid w:val="000279BC"/>
    <w:rsid w:val="00031662"/>
    <w:rsid w:val="00032BC9"/>
    <w:rsid w:val="0003513C"/>
    <w:rsid w:val="0003632C"/>
    <w:rsid w:val="00040D6A"/>
    <w:rsid w:val="00040D96"/>
    <w:rsid w:val="00041AC8"/>
    <w:rsid w:val="000421C8"/>
    <w:rsid w:val="000426D2"/>
    <w:rsid w:val="00042AE7"/>
    <w:rsid w:val="00042BAF"/>
    <w:rsid w:val="00043798"/>
    <w:rsid w:val="00044DFF"/>
    <w:rsid w:val="000463C6"/>
    <w:rsid w:val="000473DD"/>
    <w:rsid w:val="00050141"/>
    <w:rsid w:val="000519B3"/>
    <w:rsid w:val="00051F32"/>
    <w:rsid w:val="00052E81"/>
    <w:rsid w:val="00053E84"/>
    <w:rsid w:val="00057737"/>
    <w:rsid w:val="00062C07"/>
    <w:rsid w:val="0006395B"/>
    <w:rsid w:val="000664A9"/>
    <w:rsid w:val="00066EB5"/>
    <w:rsid w:val="00067085"/>
    <w:rsid w:val="00067EDC"/>
    <w:rsid w:val="00070676"/>
    <w:rsid w:val="000709D4"/>
    <w:rsid w:val="00071CCE"/>
    <w:rsid w:val="00073AB4"/>
    <w:rsid w:val="00073E8D"/>
    <w:rsid w:val="00074055"/>
    <w:rsid w:val="00075E2F"/>
    <w:rsid w:val="00076218"/>
    <w:rsid w:val="00076245"/>
    <w:rsid w:val="00076B66"/>
    <w:rsid w:val="00077E4A"/>
    <w:rsid w:val="00081B2F"/>
    <w:rsid w:val="00081E45"/>
    <w:rsid w:val="00083733"/>
    <w:rsid w:val="00085D04"/>
    <w:rsid w:val="00087E0C"/>
    <w:rsid w:val="00091DD9"/>
    <w:rsid w:val="00092275"/>
    <w:rsid w:val="00093593"/>
    <w:rsid w:val="0009642A"/>
    <w:rsid w:val="000A19F7"/>
    <w:rsid w:val="000A352E"/>
    <w:rsid w:val="000A4368"/>
    <w:rsid w:val="000A4A82"/>
    <w:rsid w:val="000A63C9"/>
    <w:rsid w:val="000A6AD6"/>
    <w:rsid w:val="000B03E0"/>
    <w:rsid w:val="000B061D"/>
    <w:rsid w:val="000B1B78"/>
    <w:rsid w:val="000B212F"/>
    <w:rsid w:val="000B2E47"/>
    <w:rsid w:val="000B3370"/>
    <w:rsid w:val="000B4809"/>
    <w:rsid w:val="000B4DE7"/>
    <w:rsid w:val="000C1B17"/>
    <w:rsid w:val="000C2590"/>
    <w:rsid w:val="000C261B"/>
    <w:rsid w:val="000C2FC9"/>
    <w:rsid w:val="000C4288"/>
    <w:rsid w:val="000C43C6"/>
    <w:rsid w:val="000C6E2C"/>
    <w:rsid w:val="000C6F06"/>
    <w:rsid w:val="000C7599"/>
    <w:rsid w:val="000C7973"/>
    <w:rsid w:val="000C7988"/>
    <w:rsid w:val="000D0FD7"/>
    <w:rsid w:val="000D155B"/>
    <w:rsid w:val="000D1D64"/>
    <w:rsid w:val="000D24E7"/>
    <w:rsid w:val="000D2B1A"/>
    <w:rsid w:val="000D2C37"/>
    <w:rsid w:val="000D2E6C"/>
    <w:rsid w:val="000D33E3"/>
    <w:rsid w:val="000D3D18"/>
    <w:rsid w:val="000D3F78"/>
    <w:rsid w:val="000D6701"/>
    <w:rsid w:val="000D6EC4"/>
    <w:rsid w:val="000D6EE2"/>
    <w:rsid w:val="000E2363"/>
    <w:rsid w:val="000E2C42"/>
    <w:rsid w:val="000E3942"/>
    <w:rsid w:val="000E3DF7"/>
    <w:rsid w:val="000E4EC8"/>
    <w:rsid w:val="000E6704"/>
    <w:rsid w:val="000F19A5"/>
    <w:rsid w:val="000F1AE8"/>
    <w:rsid w:val="000F43DB"/>
    <w:rsid w:val="001005CC"/>
    <w:rsid w:val="00101410"/>
    <w:rsid w:val="00102599"/>
    <w:rsid w:val="00103055"/>
    <w:rsid w:val="0010322F"/>
    <w:rsid w:val="0010373C"/>
    <w:rsid w:val="00110AFF"/>
    <w:rsid w:val="00111870"/>
    <w:rsid w:val="00111A7B"/>
    <w:rsid w:val="00111E51"/>
    <w:rsid w:val="00113E4A"/>
    <w:rsid w:val="00114757"/>
    <w:rsid w:val="00115A0C"/>
    <w:rsid w:val="00115C1A"/>
    <w:rsid w:val="00116A7E"/>
    <w:rsid w:val="001207D8"/>
    <w:rsid w:val="00120BE5"/>
    <w:rsid w:val="0012325E"/>
    <w:rsid w:val="0012577B"/>
    <w:rsid w:val="0012697C"/>
    <w:rsid w:val="00127715"/>
    <w:rsid w:val="00127B45"/>
    <w:rsid w:val="00132C59"/>
    <w:rsid w:val="0013671D"/>
    <w:rsid w:val="00141192"/>
    <w:rsid w:val="00141E59"/>
    <w:rsid w:val="00142FC1"/>
    <w:rsid w:val="00143584"/>
    <w:rsid w:val="00143C1A"/>
    <w:rsid w:val="001444B8"/>
    <w:rsid w:val="001453B9"/>
    <w:rsid w:val="001456AC"/>
    <w:rsid w:val="001465EC"/>
    <w:rsid w:val="00146859"/>
    <w:rsid w:val="0014769D"/>
    <w:rsid w:val="00147C59"/>
    <w:rsid w:val="001529F0"/>
    <w:rsid w:val="00152A73"/>
    <w:rsid w:val="00153262"/>
    <w:rsid w:val="00153BC6"/>
    <w:rsid w:val="00154BE3"/>
    <w:rsid w:val="00154F5E"/>
    <w:rsid w:val="001564CD"/>
    <w:rsid w:val="00156D22"/>
    <w:rsid w:val="00157171"/>
    <w:rsid w:val="001604F0"/>
    <w:rsid w:val="00161EF7"/>
    <w:rsid w:val="00162006"/>
    <w:rsid w:val="001632F8"/>
    <w:rsid w:val="0016398D"/>
    <w:rsid w:val="0016527A"/>
    <w:rsid w:val="00167879"/>
    <w:rsid w:val="00170822"/>
    <w:rsid w:val="00170BCD"/>
    <w:rsid w:val="0017192F"/>
    <w:rsid w:val="00171CDD"/>
    <w:rsid w:val="00174AF1"/>
    <w:rsid w:val="001755F4"/>
    <w:rsid w:val="00183D9B"/>
    <w:rsid w:val="001845FB"/>
    <w:rsid w:val="0018474F"/>
    <w:rsid w:val="0018535A"/>
    <w:rsid w:val="0018627F"/>
    <w:rsid w:val="00186435"/>
    <w:rsid w:val="00186D05"/>
    <w:rsid w:val="00187091"/>
    <w:rsid w:val="00191B42"/>
    <w:rsid w:val="00193F23"/>
    <w:rsid w:val="0019402E"/>
    <w:rsid w:val="00195195"/>
    <w:rsid w:val="00196C92"/>
    <w:rsid w:val="001972DB"/>
    <w:rsid w:val="001A2872"/>
    <w:rsid w:val="001A2FAA"/>
    <w:rsid w:val="001A3830"/>
    <w:rsid w:val="001A3C8F"/>
    <w:rsid w:val="001A55D9"/>
    <w:rsid w:val="001A6251"/>
    <w:rsid w:val="001A6E31"/>
    <w:rsid w:val="001A7384"/>
    <w:rsid w:val="001A759E"/>
    <w:rsid w:val="001B0697"/>
    <w:rsid w:val="001B0A29"/>
    <w:rsid w:val="001B1A05"/>
    <w:rsid w:val="001B410E"/>
    <w:rsid w:val="001B4391"/>
    <w:rsid w:val="001B47C5"/>
    <w:rsid w:val="001B4B73"/>
    <w:rsid w:val="001C1335"/>
    <w:rsid w:val="001C1607"/>
    <w:rsid w:val="001C2F74"/>
    <w:rsid w:val="001C3051"/>
    <w:rsid w:val="001C3136"/>
    <w:rsid w:val="001C3C92"/>
    <w:rsid w:val="001C3D5A"/>
    <w:rsid w:val="001C40A4"/>
    <w:rsid w:val="001C58FB"/>
    <w:rsid w:val="001C594F"/>
    <w:rsid w:val="001C6F7C"/>
    <w:rsid w:val="001C716B"/>
    <w:rsid w:val="001C7A9B"/>
    <w:rsid w:val="001D1316"/>
    <w:rsid w:val="001D2082"/>
    <w:rsid w:val="001D20C6"/>
    <w:rsid w:val="001D3B56"/>
    <w:rsid w:val="001D55AD"/>
    <w:rsid w:val="001D6372"/>
    <w:rsid w:val="001D64F4"/>
    <w:rsid w:val="001D6D42"/>
    <w:rsid w:val="001E7271"/>
    <w:rsid w:val="001F099D"/>
    <w:rsid w:val="001F15AD"/>
    <w:rsid w:val="001F25DC"/>
    <w:rsid w:val="001F2F5A"/>
    <w:rsid w:val="001F368E"/>
    <w:rsid w:val="001F424B"/>
    <w:rsid w:val="001F4C66"/>
    <w:rsid w:val="001F50B0"/>
    <w:rsid w:val="001F6820"/>
    <w:rsid w:val="0020066C"/>
    <w:rsid w:val="00200DB0"/>
    <w:rsid w:val="00201426"/>
    <w:rsid w:val="00204B71"/>
    <w:rsid w:val="00205F2B"/>
    <w:rsid w:val="002101E5"/>
    <w:rsid w:val="00210464"/>
    <w:rsid w:val="00210689"/>
    <w:rsid w:val="002112BA"/>
    <w:rsid w:val="002115E4"/>
    <w:rsid w:val="00212DF0"/>
    <w:rsid w:val="00213FEA"/>
    <w:rsid w:val="00214416"/>
    <w:rsid w:val="0021579B"/>
    <w:rsid w:val="00215E58"/>
    <w:rsid w:val="00216469"/>
    <w:rsid w:val="00217701"/>
    <w:rsid w:val="00220230"/>
    <w:rsid w:val="002208D1"/>
    <w:rsid w:val="00224280"/>
    <w:rsid w:val="00224B06"/>
    <w:rsid w:val="00224C68"/>
    <w:rsid w:val="00224E4A"/>
    <w:rsid w:val="002258BE"/>
    <w:rsid w:val="00227E0D"/>
    <w:rsid w:val="0023094E"/>
    <w:rsid w:val="00231D97"/>
    <w:rsid w:val="00233672"/>
    <w:rsid w:val="00234732"/>
    <w:rsid w:val="002353AA"/>
    <w:rsid w:val="002370C5"/>
    <w:rsid w:val="00241BE6"/>
    <w:rsid w:val="00241F7F"/>
    <w:rsid w:val="002427A3"/>
    <w:rsid w:val="00243293"/>
    <w:rsid w:val="00247710"/>
    <w:rsid w:val="00250372"/>
    <w:rsid w:val="0025255F"/>
    <w:rsid w:val="00253306"/>
    <w:rsid w:val="002547FE"/>
    <w:rsid w:val="00255CF6"/>
    <w:rsid w:val="0026151E"/>
    <w:rsid w:val="00262153"/>
    <w:rsid w:val="00262C9E"/>
    <w:rsid w:val="00266559"/>
    <w:rsid w:val="00266A3E"/>
    <w:rsid w:val="00267F5B"/>
    <w:rsid w:val="00270C59"/>
    <w:rsid w:val="002719E1"/>
    <w:rsid w:val="00273262"/>
    <w:rsid w:val="0027344C"/>
    <w:rsid w:val="002737F1"/>
    <w:rsid w:val="0027471B"/>
    <w:rsid w:val="00274BFB"/>
    <w:rsid w:val="00275ED9"/>
    <w:rsid w:val="002763B4"/>
    <w:rsid w:val="0027693E"/>
    <w:rsid w:val="00280DDD"/>
    <w:rsid w:val="002870D1"/>
    <w:rsid w:val="00287895"/>
    <w:rsid w:val="00287F03"/>
    <w:rsid w:val="002912F4"/>
    <w:rsid w:val="00291359"/>
    <w:rsid w:val="002915B0"/>
    <w:rsid w:val="00291FC2"/>
    <w:rsid w:val="0029279F"/>
    <w:rsid w:val="002933A6"/>
    <w:rsid w:val="00294277"/>
    <w:rsid w:val="00295C42"/>
    <w:rsid w:val="00296B27"/>
    <w:rsid w:val="002A009C"/>
    <w:rsid w:val="002A1726"/>
    <w:rsid w:val="002A19BF"/>
    <w:rsid w:val="002A37FD"/>
    <w:rsid w:val="002A6241"/>
    <w:rsid w:val="002A6879"/>
    <w:rsid w:val="002A6FEA"/>
    <w:rsid w:val="002A7FA3"/>
    <w:rsid w:val="002B27ED"/>
    <w:rsid w:val="002B2EFC"/>
    <w:rsid w:val="002B4173"/>
    <w:rsid w:val="002B4301"/>
    <w:rsid w:val="002B5333"/>
    <w:rsid w:val="002B53B8"/>
    <w:rsid w:val="002B5B5A"/>
    <w:rsid w:val="002B649E"/>
    <w:rsid w:val="002B6B6B"/>
    <w:rsid w:val="002B73E2"/>
    <w:rsid w:val="002C1114"/>
    <w:rsid w:val="002C147D"/>
    <w:rsid w:val="002C15CB"/>
    <w:rsid w:val="002C2419"/>
    <w:rsid w:val="002C3538"/>
    <w:rsid w:val="002C468A"/>
    <w:rsid w:val="002C6CDB"/>
    <w:rsid w:val="002D0489"/>
    <w:rsid w:val="002D098F"/>
    <w:rsid w:val="002D196C"/>
    <w:rsid w:val="002D3C5C"/>
    <w:rsid w:val="002D4DFD"/>
    <w:rsid w:val="002D56AD"/>
    <w:rsid w:val="002D6520"/>
    <w:rsid w:val="002D65FA"/>
    <w:rsid w:val="002D6FCB"/>
    <w:rsid w:val="002D7C01"/>
    <w:rsid w:val="002E0A1B"/>
    <w:rsid w:val="002E2055"/>
    <w:rsid w:val="002E2482"/>
    <w:rsid w:val="002E2E31"/>
    <w:rsid w:val="002E3178"/>
    <w:rsid w:val="002E530B"/>
    <w:rsid w:val="002E6C8A"/>
    <w:rsid w:val="002F0188"/>
    <w:rsid w:val="002F06A2"/>
    <w:rsid w:val="002F0CB9"/>
    <w:rsid w:val="002F1519"/>
    <w:rsid w:val="002F17F7"/>
    <w:rsid w:val="002F1981"/>
    <w:rsid w:val="002F19AE"/>
    <w:rsid w:val="002F36F7"/>
    <w:rsid w:val="002F3921"/>
    <w:rsid w:val="002F3C1A"/>
    <w:rsid w:val="002F408D"/>
    <w:rsid w:val="002F4753"/>
    <w:rsid w:val="002F5393"/>
    <w:rsid w:val="002F59AA"/>
    <w:rsid w:val="002F705B"/>
    <w:rsid w:val="002F7B0F"/>
    <w:rsid w:val="003008D1"/>
    <w:rsid w:val="00301EB1"/>
    <w:rsid w:val="00302178"/>
    <w:rsid w:val="00302423"/>
    <w:rsid w:val="003028A4"/>
    <w:rsid w:val="00302CF4"/>
    <w:rsid w:val="00304AB5"/>
    <w:rsid w:val="00304D03"/>
    <w:rsid w:val="00305675"/>
    <w:rsid w:val="00305C7C"/>
    <w:rsid w:val="00311113"/>
    <w:rsid w:val="0031199F"/>
    <w:rsid w:val="003122D9"/>
    <w:rsid w:val="003131DA"/>
    <w:rsid w:val="00316BF0"/>
    <w:rsid w:val="00317AD0"/>
    <w:rsid w:val="00317EEA"/>
    <w:rsid w:val="00320F12"/>
    <w:rsid w:val="0032190F"/>
    <w:rsid w:val="0032272E"/>
    <w:rsid w:val="003232A3"/>
    <w:rsid w:val="00326DD1"/>
    <w:rsid w:val="00330E54"/>
    <w:rsid w:val="00330F56"/>
    <w:rsid w:val="00331C06"/>
    <w:rsid w:val="00331DDE"/>
    <w:rsid w:val="0033356B"/>
    <w:rsid w:val="00333E3E"/>
    <w:rsid w:val="00333E65"/>
    <w:rsid w:val="00336BD1"/>
    <w:rsid w:val="00336C14"/>
    <w:rsid w:val="00336DC4"/>
    <w:rsid w:val="003374CB"/>
    <w:rsid w:val="00341899"/>
    <w:rsid w:val="00341913"/>
    <w:rsid w:val="00341B55"/>
    <w:rsid w:val="0034229C"/>
    <w:rsid w:val="00343541"/>
    <w:rsid w:val="00343B61"/>
    <w:rsid w:val="00345031"/>
    <w:rsid w:val="003451A2"/>
    <w:rsid w:val="003464F1"/>
    <w:rsid w:val="00346620"/>
    <w:rsid w:val="00351E4E"/>
    <w:rsid w:val="00353532"/>
    <w:rsid w:val="003549CD"/>
    <w:rsid w:val="00354B3D"/>
    <w:rsid w:val="003569CE"/>
    <w:rsid w:val="00356CA5"/>
    <w:rsid w:val="0036056F"/>
    <w:rsid w:val="00360597"/>
    <w:rsid w:val="00362401"/>
    <w:rsid w:val="00362ACF"/>
    <w:rsid w:val="00363BED"/>
    <w:rsid w:val="003642CE"/>
    <w:rsid w:val="00364C50"/>
    <w:rsid w:val="00365DCD"/>
    <w:rsid w:val="003663E5"/>
    <w:rsid w:val="00366669"/>
    <w:rsid w:val="00367529"/>
    <w:rsid w:val="003707E8"/>
    <w:rsid w:val="003732A4"/>
    <w:rsid w:val="0037338A"/>
    <w:rsid w:val="00373FBC"/>
    <w:rsid w:val="0037487B"/>
    <w:rsid w:val="00375EC8"/>
    <w:rsid w:val="0037681A"/>
    <w:rsid w:val="003800E9"/>
    <w:rsid w:val="00381363"/>
    <w:rsid w:val="00383E3F"/>
    <w:rsid w:val="00385745"/>
    <w:rsid w:val="003867F2"/>
    <w:rsid w:val="00386BB4"/>
    <w:rsid w:val="00390908"/>
    <w:rsid w:val="00392D28"/>
    <w:rsid w:val="00395627"/>
    <w:rsid w:val="00397A3A"/>
    <w:rsid w:val="00397B59"/>
    <w:rsid w:val="00397ECA"/>
    <w:rsid w:val="00397F4B"/>
    <w:rsid w:val="003A1FB2"/>
    <w:rsid w:val="003A2333"/>
    <w:rsid w:val="003A2719"/>
    <w:rsid w:val="003A30B2"/>
    <w:rsid w:val="003A3927"/>
    <w:rsid w:val="003A50FB"/>
    <w:rsid w:val="003A6DCE"/>
    <w:rsid w:val="003A7A58"/>
    <w:rsid w:val="003B06EF"/>
    <w:rsid w:val="003B1B14"/>
    <w:rsid w:val="003B1C27"/>
    <w:rsid w:val="003B2A17"/>
    <w:rsid w:val="003B425B"/>
    <w:rsid w:val="003B4696"/>
    <w:rsid w:val="003B66A8"/>
    <w:rsid w:val="003B75DC"/>
    <w:rsid w:val="003B79A2"/>
    <w:rsid w:val="003B7E26"/>
    <w:rsid w:val="003C00D5"/>
    <w:rsid w:val="003C1208"/>
    <w:rsid w:val="003C404E"/>
    <w:rsid w:val="003C40B7"/>
    <w:rsid w:val="003C534D"/>
    <w:rsid w:val="003C5F0E"/>
    <w:rsid w:val="003C5F22"/>
    <w:rsid w:val="003C673C"/>
    <w:rsid w:val="003C67F4"/>
    <w:rsid w:val="003D0FB7"/>
    <w:rsid w:val="003D13B3"/>
    <w:rsid w:val="003D1432"/>
    <w:rsid w:val="003D2ADA"/>
    <w:rsid w:val="003D58EB"/>
    <w:rsid w:val="003D66C9"/>
    <w:rsid w:val="003D73CE"/>
    <w:rsid w:val="003D78A7"/>
    <w:rsid w:val="003E187F"/>
    <w:rsid w:val="003E1ACF"/>
    <w:rsid w:val="003E242D"/>
    <w:rsid w:val="003E7728"/>
    <w:rsid w:val="003F0877"/>
    <w:rsid w:val="003F2269"/>
    <w:rsid w:val="003F6C5A"/>
    <w:rsid w:val="00400035"/>
    <w:rsid w:val="00401D02"/>
    <w:rsid w:val="004028C8"/>
    <w:rsid w:val="0040473A"/>
    <w:rsid w:val="00405F2B"/>
    <w:rsid w:val="00410922"/>
    <w:rsid w:val="004118C1"/>
    <w:rsid w:val="00411ABB"/>
    <w:rsid w:val="0041203D"/>
    <w:rsid w:val="00413F42"/>
    <w:rsid w:val="004145DB"/>
    <w:rsid w:val="004154A0"/>
    <w:rsid w:val="0041601B"/>
    <w:rsid w:val="00417161"/>
    <w:rsid w:val="00417A16"/>
    <w:rsid w:val="00422A9B"/>
    <w:rsid w:val="00423482"/>
    <w:rsid w:val="00423614"/>
    <w:rsid w:val="004239C2"/>
    <w:rsid w:val="00423CB6"/>
    <w:rsid w:val="00424ACC"/>
    <w:rsid w:val="00425313"/>
    <w:rsid w:val="00425CCD"/>
    <w:rsid w:val="004265FC"/>
    <w:rsid w:val="00426BCE"/>
    <w:rsid w:val="00430A24"/>
    <w:rsid w:val="0043162A"/>
    <w:rsid w:val="00431982"/>
    <w:rsid w:val="004327C4"/>
    <w:rsid w:val="004340CC"/>
    <w:rsid w:val="00434D85"/>
    <w:rsid w:val="004357C3"/>
    <w:rsid w:val="004372CF"/>
    <w:rsid w:val="00440A9E"/>
    <w:rsid w:val="00440E2B"/>
    <w:rsid w:val="004410CC"/>
    <w:rsid w:val="004416DE"/>
    <w:rsid w:val="00441716"/>
    <w:rsid w:val="0044277F"/>
    <w:rsid w:val="00443596"/>
    <w:rsid w:val="00445C7C"/>
    <w:rsid w:val="00446367"/>
    <w:rsid w:val="00446795"/>
    <w:rsid w:val="00446D18"/>
    <w:rsid w:val="00452AE8"/>
    <w:rsid w:val="004541BA"/>
    <w:rsid w:val="004546A9"/>
    <w:rsid w:val="00457023"/>
    <w:rsid w:val="0045778F"/>
    <w:rsid w:val="00460033"/>
    <w:rsid w:val="0046180A"/>
    <w:rsid w:val="00461D6B"/>
    <w:rsid w:val="004630EA"/>
    <w:rsid w:val="004644F4"/>
    <w:rsid w:val="00464986"/>
    <w:rsid w:val="00465400"/>
    <w:rsid w:val="00465DF5"/>
    <w:rsid w:val="004678D7"/>
    <w:rsid w:val="00467ED3"/>
    <w:rsid w:val="00467EE1"/>
    <w:rsid w:val="00470E9B"/>
    <w:rsid w:val="00473481"/>
    <w:rsid w:val="00476C68"/>
    <w:rsid w:val="004777AE"/>
    <w:rsid w:val="00480844"/>
    <w:rsid w:val="00480A47"/>
    <w:rsid w:val="00480EAA"/>
    <w:rsid w:val="0048149E"/>
    <w:rsid w:val="00481B7B"/>
    <w:rsid w:val="00483855"/>
    <w:rsid w:val="0048425F"/>
    <w:rsid w:val="00485573"/>
    <w:rsid w:val="00485ACF"/>
    <w:rsid w:val="004863A1"/>
    <w:rsid w:val="00486C39"/>
    <w:rsid w:val="004925D7"/>
    <w:rsid w:val="004927A4"/>
    <w:rsid w:val="00492FE9"/>
    <w:rsid w:val="00493876"/>
    <w:rsid w:val="00495E9A"/>
    <w:rsid w:val="00497899"/>
    <w:rsid w:val="004978CF"/>
    <w:rsid w:val="004A07D8"/>
    <w:rsid w:val="004A0EDB"/>
    <w:rsid w:val="004A5813"/>
    <w:rsid w:val="004A5F1D"/>
    <w:rsid w:val="004A6AF5"/>
    <w:rsid w:val="004A6B1D"/>
    <w:rsid w:val="004A7192"/>
    <w:rsid w:val="004A772C"/>
    <w:rsid w:val="004B0713"/>
    <w:rsid w:val="004B1E77"/>
    <w:rsid w:val="004B3BB0"/>
    <w:rsid w:val="004B58A8"/>
    <w:rsid w:val="004B62AF"/>
    <w:rsid w:val="004B62B9"/>
    <w:rsid w:val="004B7927"/>
    <w:rsid w:val="004C1DC2"/>
    <w:rsid w:val="004C37AB"/>
    <w:rsid w:val="004C44F0"/>
    <w:rsid w:val="004C48A4"/>
    <w:rsid w:val="004C4FC4"/>
    <w:rsid w:val="004C5897"/>
    <w:rsid w:val="004C75FC"/>
    <w:rsid w:val="004D19B3"/>
    <w:rsid w:val="004D21D4"/>
    <w:rsid w:val="004D2C55"/>
    <w:rsid w:val="004D344C"/>
    <w:rsid w:val="004D3613"/>
    <w:rsid w:val="004D3823"/>
    <w:rsid w:val="004D46DE"/>
    <w:rsid w:val="004D5D19"/>
    <w:rsid w:val="004D6CC7"/>
    <w:rsid w:val="004D6EFC"/>
    <w:rsid w:val="004D7840"/>
    <w:rsid w:val="004E2341"/>
    <w:rsid w:val="004E3067"/>
    <w:rsid w:val="004E3676"/>
    <w:rsid w:val="004E4FDB"/>
    <w:rsid w:val="004E72C5"/>
    <w:rsid w:val="004F06AB"/>
    <w:rsid w:val="004F0ED8"/>
    <w:rsid w:val="004F2176"/>
    <w:rsid w:val="004F2650"/>
    <w:rsid w:val="004F2E4F"/>
    <w:rsid w:val="004F7EC8"/>
    <w:rsid w:val="00500277"/>
    <w:rsid w:val="005004D2"/>
    <w:rsid w:val="00502FAB"/>
    <w:rsid w:val="00505B07"/>
    <w:rsid w:val="005064DC"/>
    <w:rsid w:val="005077DA"/>
    <w:rsid w:val="005079BF"/>
    <w:rsid w:val="005114D3"/>
    <w:rsid w:val="0051287A"/>
    <w:rsid w:val="00512EB5"/>
    <w:rsid w:val="005141DE"/>
    <w:rsid w:val="00515836"/>
    <w:rsid w:val="005164C0"/>
    <w:rsid w:val="00516826"/>
    <w:rsid w:val="00516C1A"/>
    <w:rsid w:val="00517C26"/>
    <w:rsid w:val="0052210C"/>
    <w:rsid w:val="00522496"/>
    <w:rsid w:val="005232AF"/>
    <w:rsid w:val="00525C81"/>
    <w:rsid w:val="005261C5"/>
    <w:rsid w:val="00526439"/>
    <w:rsid w:val="00530AA5"/>
    <w:rsid w:val="00530F6E"/>
    <w:rsid w:val="00530F81"/>
    <w:rsid w:val="005318E7"/>
    <w:rsid w:val="00532332"/>
    <w:rsid w:val="00532E61"/>
    <w:rsid w:val="005339FE"/>
    <w:rsid w:val="00536630"/>
    <w:rsid w:val="005366F3"/>
    <w:rsid w:val="00537017"/>
    <w:rsid w:val="00537254"/>
    <w:rsid w:val="005373BC"/>
    <w:rsid w:val="00540C57"/>
    <w:rsid w:val="0054100B"/>
    <w:rsid w:val="00542274"/>
    <w:rsid w:val="00542E42"/>
    <w:rsid w:val="005432A6"/>
    <w:rsid w:val="0054512C"/>
    <w:rsid w:val="0054759B"/>
    <w:rsid w:val="00551276"/>
    <w:rsid w:val="00551DA5"/>
    <w:rsid w:val="0055398D"/>
    <w:rsid w:val="005556BB"/>
    <w:rsid w:val="00555AEF"/>
    <w:rsid w:val="00556521"/>
    <w:rsid w:val="0055719C"/>
    <w:rsid w:val="00562524"/>
    <w:rsid w:val="005631F1"/>
    <w:rsid w:val="005635CE"/>
    <w:rsid w:val="005636F4"/>
    <w:rsid w:val="00565FA8"/>
    <w:rsid w:val="00567C36"/>
    <w:rsid w:val="00567FAB"/>
    <w:rsid w:val="0057021C"/>
    <w:rsid w:val="0057037A"/>
    <w:rsid w:val="00571A98"/>
    <w:rsid w:val="0057389F"/>
    <w:rsid w:val="00573D4F"/>
    <w:rsid w:val="005757DB"/>
    <w:rsid w:val="005758DB"/>
    <w:rsid w:val="00577AD4"/>
    <w:rsid w:val="00582D2A"/>
    <w:rsid w:val="005839A5"/>
    <w:rsid w:val="005840E5"/>
    <w:rsid w:val="00584105"/>
    <w:rsid w:val="005841D7"/>
    <w:rsid w:val="00585CF7"/>
    <w:rsid w:val="00585EC5"/>
    <w:rsid w:val="00586D21"/>
    <w:rsid w:val="005870D1"/>
    <w:rsid w:val="005916EC"/>
    <w:rsid w:val="00595227"/>
    <w:rsid w:val="00595E7D"/>
    <w:rsid w:val="005962B9"/>
    <w:rsid w:val="005A1D39"/>
    <w:rsid w:val="005A4B93"/>
    <w:rsid w:val="005A512A"/>
    <w:rsid w:val="005A6E40"/>
    <w:rsid w:val="005A79B0"/>
    <w:rsid w:val="005B19B8"/>
    <w:rsid w:val="005B3EB0"/>
    <w:rsid w:val="005B6640"/>
    <w:rsid w:val="005B6A3E"/>
    <w:rsid w:val="005C1300"/>
    <w:rsid w:val="005C16FB"/>
    <w:rsid w:val="005C279D"/>
    <w:rsid w:val="005C2D26"/>
    <w:rsid w:val="005C3530"/>
    <w:rsid w:val="005C7AB0"/>
    <w:rsid w:val="005D1170"/>
    <w:rsid w:val="005D355D"/>
    <w:rsid w:val="005D36CE"/>
    <w:rsid w:val="005D3FEE"/>
    <w:rsid w:val="005D4742"/>
    <w:rsid w:val="005D64F5"/>
    <w:rsid w:val="005D7C8E"/>
    <w:rsid w:val="005D7CAD"/>
    <w:rsid w:val="005E1206"/>
    <w:rsid w:val="005E17C9"/>
    <w:rsid w:val="005E23FF"/>
    <w:rsid w:val="005E357B"/>
    <w:rsid w:val="005E456A"/>
    <w:rsid w:val="005E5553"/>
    <w:rsid w:val="005E5652"/>
    <w:rsid w:val="005E71A7"/>
    <w:rsid w:val="005F1DB0"/>
    <w:rsid w:val="005F2498"/>
    <w:rsid w:val="005F31FE"/>
    <w:rsid w:val="005F3D16"/>
    <w:rsid w:val="005F4766"/>
    <w:rsid w:val="00600573"/>
    <w:rsid w:val="006026F6"/>
    <w:rsid w:val="006066C6"/>
    <w:rsid w:val="0060713F"/>
    <w:rsid w:val="006079AD"/>
    <w:rsid w:val="00611AE3"/>
    <w:rsid w:val="00611F08"/>
    <w:rsid w:val="00611F91"/>
    <w:rsid w:val="00612081"/>
    <w:rsid w:val="006120B2"/>
    <w:rsid w:val="00613727"/>
    <w:rsid w:val="00614C9A"/>
    <w:rsid w:val="00615FE8"/>
    <w:rsid w:val="00616945"/>
    <w:rsid w:val="00617176"/>
    <w:rsid w:val="006214D7"/>
    <w:rsid w:val="006216DD"/>
    <w:rsid w:val="00621771"/>
    <w:rsid w:val="00621FD3"/>
    <w:rsid w:val="006236FE"/>
    <w:rsid w:val="0062421B"/>
    <w:rsid w:val="00625BBD"/>
    <w:rsid w:val="00625E6F"/>
    <w:rsid w:val="00627291"/>
    <w:rsid w:val="00627862"/>
    <w:rsid w:val="006279A1"/>
    <w:rsid w:val="00630017"/>
    <w:rsid w:val="00632B0B"/>
    <w:rsid w:val="00633AB6"/>
    <w:rsid w:val="0063743E"/>
    <w:rsid w:val="00642C50"/>
    <w:rsid w:val="00643C6F"/>
    <w:rsid w:val="00643E48"/>
    <w:rsid w:val="00647F2C"/>
    <w:rsid w:val="00652A4D"/>
    <w:rsid w:val="006540F5"/>
    <w:rsid w:val="0065454F"/>
    <w:rsid w:val="00654620"/>
    <w:rsid w:val="00655334"/>
    <w:rsid w:val="006560AA"/>
    <w:rsid w:val="00656F7D"/>
    <w:rsid w:val="0065707D"/>
    <w:rsid w:val="00657278"/>
    <w:rsid w:val="00660AF9"/>
    <w:rsid w:val="00661B6B"/>
    <w:rsid w:val="00661C20"/>
    <w:rsid w:val="00662164"/>
    <w:rsid w:val="006641C1"/>
    <w:rsid w:val="0066479B"/>
    <w:rsid w:val="00666447"/>
    <w:rsid w:val="00666681"/>
    <w:rsid w:val="006723EF"/>
    <w:rsid w:val="00672FE6"/>
    <w:rsid w:val="00673D8F"/>
    <w:rsid w:val="00677682"/>
    <w:rsid w:val="00680561"/>
    <w:rsid w:val="00680694"/>
    <w:rsid w:val="0068077E"/>
    <w:rsid w:val="00680E1D"/>
    <w:rsid w:val="006813B7"/>
    <w:rsid w:val="00681E23"/>
    <w:rsid w:val="00684325"/>
    <w:rsid w:val="00684792"/>
    <w:rsid w:val="00684AAA"/>
    <w:rsid w:val="00686428"/>
    <w:rsid w:val="006924F7"/>
    <w:rsid w:val="00692CFB"/>
    <w:rsid w:val="0069313C"/>
    <w:rsid w:val="00695893"/>
    <w:rsid w:val="00695D7E"/>
    <w:rsid w:val="00696370"/>
    <w:rsid w:val="0069662B"/>
    <w:rsid w:val="00696833"/>
    <w:rsid w:val="00697718"/>
    <w:rsid w:val="00697B8D"/>
    <w:rsid w:val="00697C74"/>
    <w:rsid w:val="006A2056"/>
    <w:rsid w:val="006A3B69"/>
    <w:rsid w:val="006A434B"/>
    <w:rsid w:val="006A6710"/>
    <w:rsid w:val="006A6BD4"/>
    <w:rsid w:val="006A7141"/>
    <w:rsid w:val="006A7995"/>
    <w:rsid w:val="006B10B3"/>
    <w:rsid w:val="006B6957"/>
    <w:rsid w:val="006B7682"/>
    <w:rsid w:val="006C20B3"/>
    <w:rsid w:val="006C2386"/>
    <w:rsid w:val="006C2E4B"/>
    <w:rsid w:val="006C4AC2"/>
    <w:rsid w:val="006C5B6E"/>
    <w:rsid w:val="006C5CF5"/>
    <w:rsid w:val="006C631C"/>
    <w:rsid w:val="006C6594"/>
    <w:rsid w:val="006C6EF7"/>
    <w:rsid w:val="006C7846"/>
    <w:rsid w:val="006C7DBC"/>
    <w:rsid w:val="006D0C4C"/>
    <w:rsid w:val="006D132C"/>
    <w:rsid w:val="006D21DA"/>
    <w:rsid w:val="006D2811"/>
    <w:rsid w:val="006D50A4"/>
    <w:rsid w:val="006D5A94"/>
    <w:rsid w:val="006D7FF4"/>
    <w:rsid w:val="006E12FC"/>
    <w:rsid w:val="006E1477"/>
    <w:rsid w:val="006E254C"/>
    <w:rsid w:val="006E52D4"/>
    <w:rsid w:val="006E7370"/>
    <w:rsid w:val="006E7621"/>
    <w:rsid w:val="006E77D1"/>
    <w:rsid w:val="006E7EE3"/>
    <w:rsid w:val="006E7F75"/>
    <w:rsid w:val="006F0241"/>
    <w:rsid w:val="006F06FB"/>
    <w:rsid w:val="006F1C89"/>
    <w:rsid w:val="006F1CE4"/>
    <w:rsid w:val="006F2F6C"/>
    <w:rsid w:val="006F44DE"/>
    <w:rsid w:val="006F4693"/>
    <w:rsid w:val="006F53F3"/>
    <w:rsid w:val="00701FF3"/>
    <w:rsid w:val="00704AB1"/>
    <w:rsid w:val="00706815"/>
    <w:rsid w:val="0070702B"/>
    <w:rsid w:val="00707E59"/>
    <w:rsid w:val="00710B40"/>
    <w:rsid w:val="00710C74"/>
    <w:rsid w:val="007123D3"/>
    <w:rsid w:val="0071422A"/>
    <w:rsid w:val="007170C5"/>
    <w:rsid w:val="00720FB7"/>
    <w:rsid w:val="00722D6E"/>
    <w:rsid w:val="00723530"/>
    <w:rsid w:val="00724268"/>
    <w:rsid w:val="00724A32"/>
    <w:rsid w:val="00727FC8"/>
    <w:rsid w:val="007304D4"/>
    <w:rsid w:val="00731868"/>
    <w:rsid w:val="00731919"/>
    <w:rsid w:val="00731952"/>
    <w:rsid w:val="007337FF"/>
    <w:rsid w:val="007338FA"/>
    <w:rsid w:val="007346B9"/>
    <w:rsid w:val="00734880"/>
    <w:rsid w:val="007363C5"/>
    <w:rsid w:val="00737241"/>
    <w:rsid w:val="00740E41"/>
    <w:rsid w:val="0074115A"/>
    <w:rsid w:val="00741B3D"/>
    <w:rsid w:val="00741BB6"/>
    <w:rsid w:val="00743EA9"/>
    <w:rsid w:val="00746F92"/>
    <w:rsid w:val="007473F3"/>
    <w:rsid w:val="00747A84"/>
    <w:rsid w:val="00747BAF"/>
    <w:rsid w:val="0075075A"/>
    <w:rsid w:val="0075076D"/>
    <w:rsid w:val="007510D4"/>
    <w:rsid w:val="0075119E"/>
    <w:rsid w:val="007528F5"/>
    <w:rsid w:val="00752D8B"/>
    <w:rsid w:val="00753D32"/>
    <w:rsid w:val="007552D4"/>
    <w:rsid w:val="007579E9"/>
    <w:rsid w:val="00761309"/>
    <w:rsid w:val="00761903"/>
    <w:rsid w:val="00762B71"/>
    <w:rsid w:val="00762F31"/>
    <w:rsid w:val="007631C4"/>
    <w:rsid w:val="00763D81"/>
    <w:rsid w:val="00764FCD"/>
    <w:rsid w:val="00766F5D"/>
    <w:rsid w:val="007672FA"/>
    <w:rsid w:val="00770794"/>
    <w:rsid w:val="00770D7E"/>
    <w:rsid w:val="0077226D"/>
    <w:rsid w:val="00772BF6"/>
    <w:rsid w:val="00773992"/>
    <w:rsid w:val="0077428A"/>
    <w:rsid w:val="00775A49"/>
    <w:rsid w:val="00776769"/>
    <w:rsid w:val="00776E89"/>
    <w:rsid w:val="00781422"/>
    <w:rsid w:val="00781BC3"/>
    <w:rsid w:val="007822A4"/>
    <w:rsid w:val="00784473"/>
    <w:rsid w:val="00785843"/>
    <w:rsid w:val="007863D5"/>
    <w:rsid w:val="007866AF"/>
    <w:rsid w:val="00790629"/>
    <w:rsid w:val="00791427"/>
    <w:rsid w:val="00792699"/>
    <w:rsid w:val="007949AD"/>
    <w:rsid w:val="007954D0"/>
    <w:rsid w:val="00797BCE"/>
    <w:rsid w:val="007A0BE0"/>
    <w:rsid w:val="007A24AE"/>
    <w:rsid w:val="007A27BD"/>
    <w:rsid w:val="007A2BC7"/>
    <w:rsid w:val="007A2DDA"/>
    <w:rsid w:val="007A32B8"/>
    <w:rsid w:val="007A566B"/>
    <w:rsid w:val="007A5A37"/>
    <w:rsid w:val="007A5B34"/>
    <w:rsid w:val="007A5C50"/>
    <w:rsid w:val="007A622A"/>
    <w:rsid w:val="007A6550"/>
    <w:rsid w:val="007A6589"/>
    <w:rsid w:val="007B023E"/>
    <w:rsid w:val="007B0FD3"/>
    <w:rsid w:val="007B1021"/>
    <w:rsid w:val="007B142B"/>
    <w:rsid w:val="007B1FD0"/>
    <w:rsid w:val="007B28BB"/>
    <w:rsid w:val="007B340F"/>
    <w:rsid w:val="007B3791"/>
    <w:rsid w:val="007B6AAA"/>
    <w:rsid w:val="007C0931"/>
    <w:rsid w:val="007C0BC9"/>
    <w:rsid w:val="007C104A"/>
    <w:rsid w:val="007C1BFA"/>
    <w:rsid w:val="007C1D28"/>
    <w:rsid w:val="007C2729"/>
    <w:rsid w:val="007C28DD"/>
    <w:rsid w:val="007C3BF8"/>
    <w:rsid w:val="007C40A0"/>
    <w:rsid w:val="007C48EC"/>
    <w:rsid w:val="007C4ABC"/>
    <w:rsid w:val="007C4B2D"/>
    <w:rsid w:val="007C574A"/>
    <w:rsid w:val="007C6301"/>
    <w:rsid w:val="007D1C31"/>
    <w:rsid w:val="007D200E"/>
    <w:rsid w:val="007D2482"/>
    <w:rsid w:val="007D32C9"/>
    <w:rsid w:val="007D337F"/>
    <w:rsid w:val="007D40E7"/>
    <w:rsid w:val="007D49A4"/>
    <w:rsid w:val="007D4C8E"/>
    <w:rsid w:val="007D4F1D"/>
    <w:rsid w:val="007D63B1"/>
    <w:rsid w:val="007D6A18"/>
    <w:rsid w:val="007E065B"/>
    <w:rsid w:val="007E08FF"/>
    <w:rsid w:val="007E0EB2"/>
    <w:rsid w:val="007E2446"/>
    <w:rsid w:val="007E2D08"/>
    <w:rsid w:val="007E3389"/>
    <w:rsid w:val="007E3CBA"/>
    <w:rsid w:val="007F215C"/>
    <w:rsid w:val="007F2E46"/>
    <w:rsid w:val="007F4A51"/>
    <w:rsid w:val="007F52A5"/>
    <w:rsid w:val="007F6242"/>
    <w:rsid w:val="007F643A"/>
    <w:rsid w:val="007F6F0C"/>
    <w:rsid w:val="007F6F59"/>
    <w:rsid w:val="007F7249"/>
    <w:rsid w:val="00804884"/>
    <w:rsid w:val="00804AD5"/>
    <w:rsid w:val="00805704"/>
    <w:rsid w:val="008062A5"/>
    <w:rsid w:val="00806689"/>
    <w:rsid w:val="00806A2A"/>
    <w:rsid w:val="00807068"/>
    <w:rsid w:val="008102FD"/>
    <w:rsid w:val="008104F3"/>
    <w:rsid w:val="008108F3"/>
    <w:rsid w:val="00810930"/>
    <w:rsid w:val="0081111C"/>
    <w:rsid w:val="008119E3"/>
    <w:rsid w:val="008121BC"/>
    <w:rsid w:val="008156F0"/>
    <w:rsid w:val="008203C4"/>
    <w:rsid w:val="00820732"/>
    <w:rsid w:val="00821664"/>
    <w:rsid w:val="00822707"/>
    <w:rsid w:val="0082301B"/>
    <w:rsid w:val="00823C6E"/>
    <w:rsid w:val="008251A5"/>
    <w:rsid w:val="008259AA"/>
    <w:rsid w:val="00826767"/>
    <w:rsid w:val="008304CD"/>
    <w:rsid w:val="00832021"/>
    <w:rsid w:val="0083248C"/>
    <w:rsid w:val="0083368F"/>
    <w:rsid w:val="00834468"/>
    <w:rsid w:val="008349B6"/>
    <w:rsid w:val="00834E31"/>
    <w:rsid w:val="00836797"/>
    <w:rsid w:val="008376EC"/>
    <w:rsid w:val="00837A3D"/>
    <w:rsid w:val="00840F5E"/>
    <w:rsid w:val="00843C9B"/>
    <w:rsid w:val="00851743"/>
    <w:rsid w:val="0085242D"/>
    <w:rsid w:val="00853944"/>
    <w:rsid w:val="00854948"/>
    <w:rsid w:val="00854DDF"/>
    <w:rsid w:val="00854EBA"/>
    <w:rsid w:val="00855A58"/>
    <w:rsid w:val="00857B80"/>
    <w:rsid w:val="00857D8C"/>
    <w:rsid w:val="00857E30"/>
    <w:rsid w:val="0086018F"/>
    <w:rsid w:val="008617B0"/>
    <w:rsid w:val="008629B6"/>
    <w:rsid w:val="00866691"/>
    <w:rsid w:val="00870149"/>
    <w:rsid w:val="00870468"/>
    <w:rsid w:val="00870A11"/>
    <w:rsid w:val="00870C8C"/>
    <w:rsid w:val="00870EDD"/>
    <w:rsid w:val="0087197F"/>
    <w:rsid w:val="00872040"/>
    <w:rsid w:val="008729A8"/>
    <w:rsid w:val="00872B4A"/>
    <w:rsid w:val="00872CAE"/>
    <w:rsid w:val="0087329F"/>
    <w:rsid w:val="00874369"/>
    <w:rsid w:val="00876A77"/>
    <w:rsid w:val="008779E5"/>
    <w:rsid w:val="008824F6"/>
    <w:rsid w:val="00882A33"/>
    <w:rsid w:val="008836D0"/>
    <w:rsid w:val="0088606D"/>
    <w:rsid w:val="00890D2A"/>
    <w:rsid w:val="0089158D"/>
    <w:rsid w:val="00892311"/>
    <w:rsid w:val="00892EDA"/>
    <w:rsid w:val="0089530A"/>
    <w:rsid w:val="00895E9C"/>
    <w:rsid w:val="008974F5"/>
    <w:rsid w:val="008978ED"/>
    <w:rsid w:val="008A0674"/>
    <w:rsid w:val="008A198B"/>
    <w:rsid w:val="008A25A4"/>
    <w:rsid w:val="008A27CB"/>
    <w:rsid w:val="008A2D7E"/>
    <w:rsid w:val="008A2F40"/>
    <w:rsid w:val="008A4803"/>
    <w:rsid w:val="008A4874"/>
    <w:rsid w:val="008B1FB8"/>
    <w:rsid w:val="008B2E28"/>
    <w:rsid w:val="008B3A50"/>
    <w:rsid w:val="008B40EA"/>
    <w:rsid w:val="008B45F8"/>
    <w:rsid w:val="008B4FD0"/>
    <w:rsid w:val="008B52D4"/>
    <w:rsid w:val="008B5BA0"/>
    <w:rsid w:val="008B66C6"/>
    <w:rsid w:val="008B6CE7"/>
    <w:rsid w:val="008B74C3"/>
    <w:rsid w:val="008C0E24"/>
    <w:rsid w:val="008C15CC"/>
    <w:rsid w:val="008C15E0"/>
    <w:rsid w:val="008C178E"/>
    <w:rsid w:val="008C1C9C"/>
    <w:rsid w:val="008C2828"/>
    <w:rsid w:val="008C2B07"/>
    <w:rsid w:val="008C2ECF"/>
    <w:rsid w:val="008C31F4"/>
    <w:rsid w:val="008C3E71"/>
    <w:rsid w:val="008C3FE1"/>
    <w:rsid w:val="008C5108"/>
    <w:rsid w:val="008C6E84"/>
    <w:rsid w:val="008C7DA3"/>
    <w:rsid w:val="008D1748"/>
    <w:rsid w:val="008D3460"/>
    <w:rsid w:val="008D56D3"/>
    <w:rsid w:val="008D6A75"/>
    <w:rsid w:val="008D762B"/>
    <w:rsid w:val="008E303B"/>
    <w:rsid w:val="008E335E"/>
    <w:rsid w:val="008E642E"/>
    <w:rsid w:val="008E69F0"/>
    <w:rsid w:val="008E7155"/>
    <w:rsid w:val="008E7525"/>
    <w:rsid w:val="008F0CB6"/>
    <w:rsid w:val="008F191C"/>
    <w:rsid w:val="008F4823"/>
    <w:rsid w:val="009013D4"/>
    <w:rsid w:val="00901421"/>
    <w:rsid w:val="00904F5E"/>
    <w:rsid w:val="009113E7"/>
    <w:rsid w:val="00911667"/>
    <w:rsid w:val="0091251F"/>
    <w:rsid w:val="00913069"/>
    <w:rsid w:val="009132CD"/>
    <w:rsid w:val="00913ACB"/>
    <w:rsid w:val="009167AB"/>
    <w:rsid w:val="00916E53"/>
    <w:rsid w:val="00920C40"/>
    <w:rsid w:val="00921A20"/>
    <w:rsid w:val="00921BD4"/>
    <w:rsid w:val="009227F5"/>
    <w:rsid w:val="00922FAB"/>
    <w:rsid w:val="0092586D"/>
    <w:rsid w:val="009279D4"/>
    <w:rsid w:val="009308E1"/>
    <w:rsid w:val="00931389"/>
    <w:rsid w:val="0093528F"/>
    <w:rsid w:val="009353D1"/>
    <w:rsid w:val="00935CCE"/>
    <w:rsid w:val="00937B90"/>
    <w:rsid w:val="009416D1"/>
    <w:rsid w:val="00941FC4"/>
    <w:rsid w:val="009441D6"/>
    <w:rsid w:val="00946E8C"/>
    <w:rsid w:val="00947C65"/>
    <w:rsid w:val="00950231"/>
    <w:rsid w:val="00950A3C"/>
    <w:rsid w:val="009522DC"/>
    <w:rsid w:val="00953411"/>
    <w:rsid w:val="009538BF"/>
    <w:rsid w:val="00954004"/>
    <w:rsid w:val="009573BE"/>
    <w:rsid w:val="00957DD6"/>
    <w:rsid w:val="00957E20"/>
    <w:rsid w:val="009614FE"/>
    <w:rsid w:val="00962A30"/>
    <w:rsid w:val="009630BD"/>
    <w:rsid w:val="009632AA"/>
    <w:rsid w:val="00963BC1"/>
    <w:rsid w:val="0096431A"/>
    <w:rsid w:val="00964364"/>
    <w:rsid w:val="0096655A"/>
    <w:rsid w:val="00966851"/>
    <w:rsid w:val="00970513"/>
    <w:rsid w:val="00971414"/>
    <w:rsid w:val="00973330"/>
    <w:rsid w:val="0097471E"/>
    <w:rsid w:val="009750C8"/>
    <w:rsid w:val="00977B6F"/>
    <w:rsid w:val="009819DA"/>
    <w:rsid w:val="00981A07"/>
    <w:rsid w:val="00982155"/>
    <w:rsid w:val="009829BE"/>
    <w:rsid w:val="009858E7"/>
    <w:rsid w:val="00985E50"/>
    <w:rsid w:val="009870DB"/>
    <w:rsid w:val="009871CB"/>
    <w:rsid w:val="0098783A"/>
    <w:rsid w:val="0099041D"/>
    <w:rsid w:val="009920FE"/>
    <w:rsid w:val="009927C6"/>
    <w:rsid w:val="00993AAB"/>
    <w:rsid w:val="00994D52"/>
    <w:rsid w:val="00997324"/>
    <w:rsid w:val="009A08B0"/>
    <w:rsid w:val="009A2D9F"/>
    <w:rsid w:val="009A2E3F"/>
    <w:rsid w:val="009A301F"/>
    <w:rsid w:val="009A3CEB"/>
    <w:rsid w:val="009A3D9D"/>
    <w:rsid w:val="009A4076"/>
    <w:rsid w:val="009A40B5"/>
    <w:rsid w:val="009A417A"/>
    <w:rsid w:val="009A5A58"/>
    <w:rsid w:val="009A5CE6"/>
    <w:rsid w:val="009B0426"/>
    <w:rsid w:val="009B0DF0"/>
    <w:rsid w:val="009B1810"/>
    <w:rsid w:val="009B3CAB"/>
    <w:rsid w:val="009B44E5"/>
    <w:rsid w:val="009B66C1"/>
    <w:rsid w:val="009B680E"/>
    <w:rsid w:val="009B7500"/>
    <w:rsid w:val="009C0DDC"/>
    <w:rsid w:val="009C19FB"/>
    <w:rsid w:val="009C211A"/>
    <w:rsid w:val="009C366A"/>
    <w:rsid w:val="009C56AB"/>
    <w:rsid w:val="009C6318"/>
    <w:rsid w:val="009D3E0C"/>
    <w:rsid w:val="009D4B57"/>
    <w:rsid w:val="009D646D"/>
    <w:rsid w:val="009D717B"/>
    <w:rsid w:val="009E05F3"/>
    <w:rsid w:val="009E0755"/>
    <w:rsid w:val="009E0AF6"/>
    <w:rsid w:val="009E183A"/>
    <w:rsid w:val="009E1D8A"/>
    <w:rsid w:val="009E2F64"/>
    <w:rsid w:val="009E460D"/>
    <w:rsid w:val="009E4B10"/>
    <w:rsid w:val="009E4C3A"/>
    <w:rsid w:val="009E501D"/>
    <w:rsid w:val="009E77C6"/>
    <w:rsid w:val="009E78C0"/>
    <w:rsid w:val="009F261F"/>
    <w:rsid w:val="009F26E6"/>
    <w:rsid w:val="009F27B3"/>
    <w:rsid w:val="009F3703"/>
    <w:rsid w:val="009F53DC"/>
    <w:rsid w:val="009F7DB9"/>
    <w:rsid w:val="00A003D7"/>
    <w:rsid w:val="00A0071C"/>
    <w:rsid w:val="00A0386D"/>
    <w:rsid w:val="00A03FA1"/>
    <w:rsid w:val="00A04366"/>
    <w:rsid w:val="00A04947"/>
    <w:rsid w:val="00A04A9C"/>
    <w:rsid w:val="00A04D37"/>
    <w:rsid w:val="00A04D8C"/>
    <w:rsid w:val="00A05CA4"/>
    <w:rsid w:val="00A10CBA"/>
    <w:rsid w:val="00A10CFF"/>
    <w:rsid w:val="00A126BE"/>
    <w:rsid w:val="00A12E88"/>
    <w:rsid w:val="00A13CD3"/>
    <w:rsid w:val="00A14FD5"/>
    <w:rsid w:val="00A1548C"/>
    <w:rsid w:val="00A1708D"/>
    <w:rsid w:val="00A17DF1"/>
    <w:rsid w:val="00A20427"/>
    <w:rsid w:val="00A20782"/>
    <w:rsid w:val="00A20911"/>
    <w:rsid w:val="00A22DB8"/>
    <w:rsid w:val="00A24C46"/>
    <w:rsid w:val="00A25215"/>
    <w:rsid w:val="00A25459"/>
    <w:rsid w:val="00A26239"/>
    <w:rsid w:val="00A30C34"/>
    <w:rsid w:val="00A3141B"/>
    <w:rsid w:val="00A3242E"/>
    <w:rsid w:val="00A37558"/>
    <w:rsid w:val="00A43FD9"/>
    <w:rsid w:val="00A45B5C"/>
    <w:rsid w:val="00A46446"/>
    <w:rsid w:val="00A52856"/>
    <w:rsid w:val="00A52B81"/>
    <w:rsid w:val="00A537EA"/>
    <w:rsid w:val="00A53EEB"/>
    <w:rsid w:val="00A54F5D"/>
    <w:rsid w:val="00A56F0F"/>
    <w:rsid w:val="00A57114"/>
    <w:rsid w:val="00A60617"/>
    <w:rsid w:val="00A60901"/>
    <w:rsid w:val="00A637C1"/>
    <w:rsid w:val="00A6610F"/>
    <w:rsid w:val="00A671BA"/>
    <w:rsid w:val="00A703D9"/>
    <w:rsid w:val="00A70540"/>
    <w:rsid w:val="00A7159B"/>
    <w:rsid w:val="00A72632"/>
    <w:rsid w:val="00A72D96"/>
    <w:rsid w:val="00A733D3"/>
    <w:rsid w:val="00A742D5"/>
    <w:rsid w:val="00A7486A"/>
    <w:rsid w:val="00A74B78"/>
    <w:rsid w:val="00A75867"/>
    <w:rsid w:val="00A75A9F"/>
    <w:rsid w:val="00A76065"/>
    <w:rsid w:val="00A76074"/>
    <w:rsid w:val="00A76F2F"/>
    <w:rsid w:val="00A80818"/>
    <w:rsid w:val="00A81669"/>
    <w:rsid w:val="00A81709"/>
    <w:rsid w:val="00A81CC8"/>
    <w:rsid w:val="00A81FDB"/>
    <w:rsid w:val="00A83015"/>
    <w:rsid w:val="00A830E9"/>
    <w:rsid w:val="00A83FE5"/>
    <w:rsid w:val="00A84099"/>
    <w:rsid w:val="00A853F4"/>
    <w:rsid w:val="00A859A5"/>
    <w:rsid w:val="00A85BA1"/>
    <w:rsid w:val="00A900CA"/>
    <w:rsid w:val="00A904ED"/>
    <w:rsid w:val="00A91F6A"/>
    <w:rsid w:val="00A946C0"/>
    <w:rsid w:val="00A9554A"/>
    <w:rsid w:val="00A9656F"/>
    <w:rsid w:val="00A97526"/>
    <w:rsid w:val="00AA195B"/>
    <w:rsid w:val="00AA28D3"/>
    <w:rsid w:val="00AA2CFC"/>
    <w:rsid w:val="00AA3A5D"/>
    <w:rsid w:val="00AA46F2"/>
    <w:rsid w:val="00AA5F11"/>
    <w:rsid w:val="00AA750B"/>
    <w:rsid w:val="00AB1574"/>
    <w:rsid w:val="00AB391E"/>
    <w:rsid w:val="00AB43E6"/>
    <w:rsid w:val="00AB4999"/>
    <w:rsid w:val="00AB4FC4"/>
    <w:rsid w:val="00AB66FD"/>
    <w:rsid w:val="00AB7B34"/>
    <w:rsid w:val="00AC181F"/>
    <w:rsid w:val="00AC207C"/>
    <w:rsid w:val="00AC4404"/>
    <w:rsid w:val="00AC5426"/>
    <w:rsid w:val="00AC545D"/>
    <w:rsid w:val="00AC64C9"/>
    <w:rsid w:val="00AD0ABD"/>
    <w:rsid w:val="00AD1838"/>
    <w:rsid w:val="00AD1D2A"/>
    <w:rsid w:val="00AD396F"/>
    <w:rsid w:val="00AD4444"/>
    <w:rsid w:val="00AD484D"/>
    <w:rsid w:val="00AD49AF"/>
    <w:rsid w:val="00AD71BF"/>
    <w:rsid w:val="00AD7444"/>
    <w:rsid w:val="00AE0DC0"/>
    <w:rsid w:val="00AE1A5D"/>
    <w:rsid w:val="00AE1E4A"/>
    <w:rsid w:val="00AE248D"/>
    <w:rsid w:val="00AE28A9"/>
    <w:rsid w:val="00AE2B29"/>
    <w:rsid w:val="00AE3387"/>
    <w:rsid w:val="00AE3BEF"/>
    <w:rsid w:val="00AE3D08"/>
    <w:rsid w:val="00AE5427"/>
    <w:rsid w:val="00AE6D52"/>
    <w:rsid w:val="00AF14FF"/>
    <w:rsid w:val="00AF21AA"/>
    <w:rsid w:val="00AF30EF"/>
    <w:rsid w:val="00AF3C96"/>
    <w:rsid w:val="00AF4784"/>
    <w:rsid w:val="00AF4E79"/>
    <w:rsid w:val="00AF5581"/>
    <w:rsid w:val="00AF7C3C"/>
    <w:rsid w:val="00B00AD4"/>
    <w:rsid w:val="00B01657"/>
    <w:rsid w:val="00B017E2"/>
    <w:rsid w:val="00B035C9"/>
    <w:rsid w:val="00B065D7"/>
    <w:rsid w:val="00B146B7"/>
    <w:rsid w:val="00B1659F"/>
    <w:rsid w:val="00B16FC5"/>
    <w:rsid w:val="00B17478"/>
    <w:rsid w:val="00B1767C"/>
    <w:rsid w:val="00B17C53"/>
    <w:rsid w:val="00B22002"/>
    <w:rsid w:val="00B27B49"/>
    <w:rsid w:val="00B30760"/>
    <w:rsid w:val="00B31C43"/>
    <w:rsid w:val="00B3212B"/>
    <w:rsid w:val="00B32575"/>
    <w:rsid w:val="00B35667"/>
    <w:rsid w:val="00B35722"/>
    <w:rsid w:val="00B35A7E"/>
    <w:rsid w:val="00B41DCA"/>
    <w:rsid w:val="00B46A3D"/>
    <w:rsid w:val="00B46CCA"/>
    <w:rsid w:val="00B47C61"/>
    <w:rsid w:val="00B47CD0"/>
    <w:rsid w:val="00B500DC"/>
    <w:rsid w:val="00B5045E"/>
    <w:rsid w:val="00B523D8"/>
    <w:rsid w:val="00B53354"/>
    <w:rsid w:val="00B55937"/>
    <w:rsid w:val="00B5770B"/>
    <w:rsid w:val="00B57893"/>
    <w:rsid w:val="00B61CA4"/>
    <w:rsid w:val="00B62AA0"/>
    <w:rsid w:val="00B62B67"/>
    <w:rsid w:val="00B62BD4"/>
    <w:rsid w:val="00B63D90"/>
    <w:rsid w:val="00B6538E"/>
    <w:rsid w:val="00B65964"/>
    <w:rsid w:val="00B65F70"/>
    <w:rsid w:val="00B7063C"/>
    <w:rsid w:val="00B71177"/>
    <w:rsid w:val="00B7175D"/>
    <w:rsid w:val="00B71C19"/>
    <w:rsid w:val="00B73E39"/>
    <w:rsid w:val="00B74476"/>
    <w:rsid w:val="00B74CB4"/>
    <w:rsid w:val="00B75B1F"/>
    <w:rsid w:val="00B75CAA"/>
    <w:rsid w:val="00B76BC1"/>
    <w:rsid w:val="00B776C8"/>
    <w:rsid w:val="00B77C38"/>
    <w:rsid w:val="00B8155E"/>
    <w:rsid w:val="00B82661"/>
    <w:rsid w:val="00B83FB0"/>
    <w:rsid w:val="00B84306"/>
    <w:rsid w:val="00B85641"/>
    <w:rsid w:val="00B8620B"/>
    <w:rsid w:val="00B86A55"/>
    <w:rsid w:val="00B87B49"/>
    <w:rsid w:val="00B9268D"/>
    <w:rsid w:val="00B94A01"/>
    <w:rsid w:val="00B951A3"/>
    <w:rsid w:val="00B96021"/>
    <w:rsid w:val="00BA0318"/>
    <w:rsid w:val="00BA096E"/>
    <w:rsid w:val="00BA1365"/>
    <w:rsid w:val="00BA3654"/>
    <w:rsid w:val="00BA431E"/>
    <w:rsid w:val="00BA67F5"/>
    <w:rsid w:val="00BA6E12"/>
    <w:rsid w:val="00BB1FF1"/>
    <w:rsid w:val="00BB2509"/>
    <w:rsid w:val="00BB2808"/>
    <w:rsid w:val="00BB2F70"/>
    <w:rsid w:val="00BB4F43"/>
    <w:rsid w:val="00BC0974"/>
    <w:rsid w:val="00BC0C3F"/>
    <w:rsid w:val="00BC1A35"/>
    <w:rsid w:val="00BC1AE4"/>
    <w:rsid w:val="00BC1EF3"/>
    <w:rsid w:val="00BC2344"/>
    <w:rsid w:val="00BC2E03"/>
    <w:rsid w:val="00BC3858"/>
    <w:rsid w:val="00BC557A"/>
    <w:rsid w:val="00BC5E5D"/>
    <w:rsid w:val="00BD4FC2"/>
    <w:rsid w:val="00BD55B4"/>
    <w:rsid w:val="00BD6D19"/>
    <w:rsid w:val="00BD7AD2"/>
    <w:rsid w:val="00BE22B1"/>
    <w:rsid w:val="00BE44F4"/>
    <w:rsid w:val="00BE6726"/>
    <w:rsid w:val="00BE6B16"/>
    <w:rsid w:val="00BE7973"/>
    <w:rsid w:val="00BF2412"/>
    <w:rsid w:val="00BF2B7D"/>
    <w:rsid w:val="00BF31C9"/>
    <w:rsid w:val="00BF51CA"/>
    <w:rsid w:val="00C01178"/>
    <w:rsid w:val="00C01E55"/>
    <w:rsid w:val="00C03A94"/>
    <w:rsid w:val="00C03B40"/>
    <w:rsid w:val="00C03E0F"/>
    <w:rsid w:val="00C03F11"/>
    <w:rsid w:val="00C05C74"/>
    <w:rsid w:val="00C06C3B"/>
    <w:rsid w:val="00C076EB"/>
    <w:rsid w:val="00C07789"/>
    <w:rsid w:val="00C07D07"/>
    <w:rsid w:val="00C111F2"/>
    <w:rsid w:val="00C11F68"/>
    <w:rsid w:val="00C120EA"/>
    <w:rsid w:val="00C13286"/>
    <w:rsid w:val="00C1386D"/>
    <w:rsid w:val="00C154DA"/>
    <w:rsid w:val="00C17C1B"/>
    <w:rsid w:val="00C20003"/>
    <w:rsid w:val="00C206F1"/>
    <w:rsid w:val="00C21A5E"/>
    <w:rsid w:val="00C21E82"/>
    <w:rsid w:val="00C2573B"/>
    <w:rsid w:val="00C25F1F"/>
    <w:rsid w:val="00C26749"/>
    <w:rsid w:val="00C279AB"/>
    <w:rsid w:val="00C27E46"/>
    <w:rsid w:val="00C30D3F"/>
    <w:rsid w:val="00C31CFD"/>
    <w:rsid w:val="00C32F0C"/>
    <w:rsid w:val="00C35836"/>
    <w:rsid w:val="00C365BC"/>
    <w:rsid w:val="00C36ED1"/>
    <w:rsid w:val="00C42955"/>
    <w:rsid w:val="00C42D2A"/>
    <w:rsid w:val="00C448EC"/>
    <w:rsid w:val="00C4641E"/>
    <w:rsid w:val="00C46A9F"/>
    <w:rsid w:val="00C50A88"/>
    <w:rsid w:val="00C52655"/>
    <w:rsid w:val="00C535BF"/>
    <w:rsid w:val="00C53F29"/>
    <w:rsid w:val="00C54F69"/>
    <w:rsid w:val="00C55F04"/>
    <w:rsid w:val="00C56523"/>
    <w:rsid w:val="00C56A7A"/>
    <w:rsid w:val="00C576C6"/>
    <w:rsid w:val="00C5781D"/>
    <w:rsid w:val="00C57CD1"/>
    <w:rsid w:val="00C6112D"/>
    <w:rsid w:val="00C616BB"/>
    <w:rsid w:val="00C630BB"/>
    <w:rsid w:val="00C63D41"/>
    <w:rsid w:val="00C64B5B"/>
    <w:rsid w:val="00C64DE4"/>
    <w:rsid w:val="00C6505E"/>
    <w:rsid w:val="00C70B03"/>
    <w:rsid w:val="00C71333"/>
    <w:rsid w:val="00C71E42"/>
    <w:rsid w:val="00C725DB"/>
    <w:rsid w:val="00C72F98"/>
    <w:rsid w:val="00C73126"/>
    <w:rsid w:val="00C73375"/>
    <w:rsid w:val="00C737D8"/>
    <w:rsid w:val="00C73C1B"/>
    <w:rsid w:val="00C73D8D"/>
    <w:rsid w:val="00C7522F"/>
    <w:rsid w:val="00C776D4"/>
    <w:rsid w:val="00C777BC"/>
    <w:rsid w:val="00C777F0"/>
    <w:rsid w:val="00C80BBD"/>
    <w:rsid w:val="00C81CA5"/>
    <w:rsid w:val="00C83D08"/>
    <w:rsid w:val="00C84CF2"/>
    <w:rsid w:val="00C8624E"/>
    <w:rsid w:val="00C86E24"/>
    <w:rsid w:val="00C8740A"/>
    <w:rsid w:val="00C87A15"/>
    <w:rsid w:val="00C909CB"/>
    <w:rsid w:val="00C9181B"/>
    <w:rsid w:val="00C92BB5"/>
    <w:rsid w:val="00C9597D"/>
    <w:rsid w:val="00C9665E"/>
    <w:rsid w:val="00C974C9"/>
    <w:rsid w:val="00CA08C5"/>
    <w:rsid w:val="00CA0E95"/>
    <w:rsid w:val="00CA4201"/>
    <w:rsid w:val="00CA44DA"/>
    <w:rsid w:val="00CA507A"/>
    <w:rsid w:val="00CB198F"/>
    <w:rsid w:val="00CB2CA5"/>
    <w:rsid w:val="00CB2E78"/>
    <w:rsid w:val="00CB2FDA"/>
    <w:rsid w:val="00CB509B"/>
    <w:rsid w:val="00CB5524"/>
    <w:rsid w:val="00CB6D1E"/>
    <w:rsid w:val="00CC01A5"/>
    <w:rsid w:val="00CC057C"/>
    <w:rsid w:val="00CC484D"/>
    <w:rsid w:val="00CC5270"/>
    <w:rsid w:val="00CC57C1"/>
    <w:rsid w:val="00CC58E1"/>
    <w:rsid w:val="00CC5CA1"/>
    <w:rsid w:val="00CC6A8B"/>
    <w:rsid w:val="00CC6E1C"/>
    <w:rsid w:val="00CC7A21"/>
    <w:rsid w:val="00CD2836"/>
    <w:rsid w:val="00CD37E7"/>
    <w:rsid w:val="00CD3D63"/>
    <w:rsid w:val="00CD4402"/>
    <w:rsid w:val="00CD58C0"/>
    <w:rsid w:val="00CD7048"/>
    <w:rsid w:val="00CD70CE"/>
    <w:rsid w:val="00CE0388"/>
    <w:rsid w:val="00CE08F4"/>
    <w:rsid w:val="00CE0EDA"/>
    <w:rsid w:val="00CE4B88"/>
    <w:rsid w:val="00CE4DEA"/>
    <w:rsid w:val="00CE534C"/>
    <w:rsid w:val="00CE6A02"/>
    <w:rsid w:val="00CF0D8C"/>
    <w:rsid w:val="00CF16C1"/>
    <w:rsid w:val="00CF1CDB"/>
    <w:rsid w:val="00CF32D7"/>
    <w:rsid w:val="00CF60C2"/>
    <w:rsid w:val="00D00C26"/>
    <w:rsid w:val="00D01C8F"/>
    <w:rsid w:val="00D01E65"/>
    <w:rsid w:val="00D02054"/>
    <w:rsid w:val="00D03201"/>
    <w:rsid w:val="00D048F6"/>
    <w:rsid w:val="00D0507D"/>
    <w:rsid w:val="00D05477"/>
    <w:rsid w:val="00D0614C"/>
    <w:rsid w:val="00D066D0"/>
    <w:rsid w:val="00D10D21"/>
    <w:rsid w:val="00D11DB1"/>
    <w:rsid w:val="00D12FF7"/>
    <w:rsid w:val="00D14707"/>
    <w:rsid w:val="00D151FA"/>
    <w:rsid w:val="00D15271"/>
    <w:rsid w:val="00D1533D"/>
    <w:rsid w:val="00D15732"/>
    <w:rsid w:val="00D16313"/>
    <w:rsid w:val="00D17CD5"/>
    <w:rsid w:val="00D17EB8"/>
    <w:rsid w:val="00D20D0D"/>
    <w:rsid w:val="00D20D0E"/>
    <w:rsid w:val="00D22309"/>
    <w:rsid w:val="00D2238A"/>
    <w:rsid w:val="00D22B72"/>
    <w:rsid w:val="00D2388D"/>
    <w:rsid w:val="00D25E4C"/>
    <w:rsid w:val="00D273C6"/>
    <w:rsid w:val="00D31599"/>
    <w:rsid w:val="00D32162"/>
    <w:rsid w:val="00D32774"/>
    <w:rsid w:val="00D34608"/>
    <w:rsid w:val="00D35804"/>
    <w:rsid w:val="00D3644D"/>
    <w:rsid w:val="00D3754F"/>
    <w:rsid w:val="00D3761B"/>
    <w:rsid w:val="00D41685"/>
    <w:rsid w:val="00D42B4B"/>
    <w:rsid w:val="00D433B4"/>
    <w:rsid w:val="00D434F3"/>
    <w:rsid w:val="00D43601"/>
    <w:rsid w:val="00D437D6"/>
    <w:rsid w:val="00D44237"/>
    <w:rsid w:val="00D44864"/>
    <w:rsid w:val="00D44F04"/>
    <w:rsid w:val="00D4720B"/>
    <w:rsid w:val="00D478B8"/>
    <w:rsid w:val="00D50474"/>
    <w:rsid w:val="00D51BA7"/>
    <w:rsid w:val="00D51C71"/>
    <w:rsid w:val="00D52731"/>
    <w:rsid w:val="00D5310C"/>
    <w:rsid w:val="00D531D0"/>
    <w:rsid w:val="00D533B2"/>
    <w:rsid w:val="00D537B0"/>
    <w:rsid w:val="00D546C0"/>
    <w:rsid w:val="00D55ABD"/>
    <w:rsid w:val="00D5696F"/>
    <w:rsid w:val="00D57428"/>
    <w:rsid w:val="00D600E6"/>
    <w:rsid w:val="00D6350B"/>
    <w:rsid w:val="00D65833"/>
    <w:rsid w:val="00D67688"/>
    <w:rsid w:val="00D72133"/>
    <w:rsid w:val="00D7254F"/>
    <w:rsid w:val="00D7323F"/>
    <w:rsid w:val="00D7374C"/>
    <w:rsid w:val="00D74986"/>
    <w:rsid w:val="00D75B94"/>
    <w:rsid w:val="00D77B88"/>
    <w:rsid w:val="00D806A1"/>
    <w:rsid w:val="00D80EDA"/>
    <w:rsid w:val="00D813B9"/>
    <w:rsid w:val="00D82673"/>
    <w:rsid w:val="00D827BE"/>
    <w:rsid w:val="00D830E9"/>
    <w:rsid w:val="00D85D9C"/>
    <w:rsid w:val="00D86D3F"/>
    <w:rsid w:val="00D87098"/>
    <w:rsid w:val="00D87C4F"/>
    <w:rsid w:val="00D903AD"/>
    <w:rsid w:val="00D904B3"/>
    <w:rsid w:val="00D90A20"/>
    <w:rsid w:val="00D94E76"/>
    <w:rsid w:val="00D96DB1"/>
    <w:rsid w:val="00D96E70"/>
    <w:rsid w:val="00DA0E24"/>
    <w:rsid w:val="00DA1082"/>
    <w:rsid w:val="00DA13AE"/>
    <w:rsid w:val="00DA2909"/>
    <w:rsid w:val="00DA2966"/>
    <w:rsid w:val="00DA385F"/>
    <w:rsid w:val="00DA3D20"/>
    <w:rsid w:val="00DA4455"/>
    <w:rsid w:val="00DA4FB3"/>
    <w:rsid w:val="00DA5949"/>
    <w:rsid w:val="00DA6443"/>
    <w:rsid w:val="00DB0505"/>
    <w:rsid w:val="00DB1C78"/>
    <w:rsid w:val="00DB61EE"/>
    <w:rsid w:val="00DB654D"/>
    <w:rsid w:val="00DB7481"/>
    <w:rsid w:val="00DC1110"/>
    <w:rsid w:val="00DC3122"/>
    <w:rsid w:val="00DC374D"/>
    <w:rsid w:val="00DC4AF3"/>
    <w:rsid w:val="00DC6A9A"/>
    <w:rsid w:val="00DC7A75"/>
    <w:rsid w:val="00DD00CA"/>
    <w:rsid w:val="00DD21FD"/>
    <w:rsid w:val="00DD35C1"/>
    <w:rsid w:val="00DD46F0"/>
    <w:rsid w:val="00DD481B"/>
    <w:rsid w:val="00DD6B19"/>
    <w:rsid w:val="00DD6F26"/>
    <w:rsid w:val="00DD710A"/>
    <w:rsid w:val="00DD73A2"/>
    <w:rsid w:val="00DD76CE"/>
    <w:rsid w:val="00DE105D"/>
    <w:rsid w:val="00DE11F4"/>
    <w:rsid w:val="00DE1F8A"/>
    <w:rsid w:val="00DE1F91"/>
    <w:rsid w:val="00DE27A4"/>
    <w:rsid w:val="00DE51B3"/>
    <w:rsid w:val="00DE53E3"/>
    <w:rsid w:val="00DE6AFC"/>
    <w:rsid w:val="00DE6CA8"/>
    <w:rsid w:val="00DF0482"/>
    <w:rsid w:val="00DF0A18"/>
    <w:rsid w:val="00DF0D8A"/>
    <w:rsid w:val="00DF13FB"/>
    <w:rsid w:val="00DF1C1E"/>
    <w:rsid w:val="00DF2030"/>
    <w:rsid w:val="00DF2A88"/>
    <w:rsid w:val="00DF4251"/>
    <w:rsid w:val="00DF7004"/>
    <w:rsid w:val="00DF71DA"/>
    <w:rsid w:val="00DF76B4"/>
    <w:rsid w:val="00DF7747"/>
    <w:rsid w:val="00DF7EAC"/>
    <w:rsid w:val="00E00D80"/>
    <w:rsid w:val="00E01B49"/>
    <w:rsid w:val="00E02BF6"/>
    <w:rsid w:val="00E02E90"/>
    <w:rsid w:val="00E0431B"/>
    <w:rsid w:val="00E04925"/>
    <w:rsid w:val="00E04938"/>
    <w:rsid w:val="00E0667F"/>
    <w:rsid w:val="00E0679F"/>
    <w:rsid w:val="00E101AC"/>
    <w:rsid w:val="00E12313"/>
    <w:rsid w:val="00E132AA"/>
    <w:rsid w:val="00E14198"/>
    <w:rsid w:val="00E14847"/>
    <w:rsid w:val="00E15686"/>
    <w:rsid w:val="00E16799"/>
    <w:rsid w:val="00E20468"/>
    <w:rsid w:val="00E20867"/>
    <w:rsid w:val="00E21DBD"/>
    <w:rsid w:val="00E21FEB"/>
    <w:rsid w:val="00E25211"/>
    <w:rsid w:val="00E27892"/>
    <w:rsid w:val="00E303C3"/>
    <w:rsid w:val="00E31689"/>
    <w:rsid w:val="00E34347"/>
    <w:rsid w:val="00E40100"/>
    <w:rsid w:val="00E42951"/>
    <w:rsid w:val="00E433C4"/>
    <w:rsid w:val="00E45777"/>
    <w:rsid w:val="00E45ACE"/>
    <w:rsid w:val="00E45F70"/>
    <w:rsid w:val="00E473B3"/>
    <w:rsid w:val="00E50B72"/>
    <w:rsid w:val="00E51D6A"/>
    <w:rsid w:val="00E527BB"/>
    <w:rsid w:val="00E52B68"/>
    <w:rsid w:val="00E5320F"/>
    <w:rsid w:val="00E54779"/>
    <w:rsid w:val="00E5491C"/>
    <w:rsid w:val="00E54E97"/>
    <w:rsid w:val="00E55972"/>
    <w:rsid w:val="00E56B19"/>
    <w:rsid w:val="00E56B22"/>
    <w:rsid w:val="00E60149"/>
    <w:rsid w:val="00E60D6D"/>
    <w:rsid w:val="00E6259B"/>
    <w:rsid w:val="00E62928"/>
    <w:rsid w:val="00E64601"/>
    <w:rsid w:val="00E652AE"/>
    <w:rsid w:val="00E66559"/>
    <w:rsid w:val="00E66C5D"/>
    <w:rsid w:val="00E677FC"/>
    <w:rsid w:val="00E7087C"/>
    <w:rsid w:val="00E71D4A"/>
    <w:rsid w:val="00E73B3F"/>
    <w:rsid w:val="00E73FDE"/>
    <w:rsid w:val="00E7551A"/>
    <w:rsid w:val="00E757EF"/>
    <w:rsid w:val="00E75C2B"/>
    <w:rsid w:val="00E7682F"/>
    <w:rsid w:val="00E77C35"/>
    <w:rsid w:val="00E82381"/>
    <w:rsid w:val="00E82FC4"/>
    <w:rsid w:val="00E835A5"/>
    <w:rsid w:val="00E836D9"/>
    <w:rsid w:val="00E84DCD"/>
    <w:rsid w:val="00E877D3"/>
    <w:rsid w:val="00E926E6"/>
    <w:rsid w:val="00E931C1"/>
    <w:rsid w:val="00E933AE"/>
    <w:rsid w:val="00E95A6B"/>
    <w:rsid w:val="00E96CA0"/>
    <w:rsid w:val="00EA11A9"/>
    <w:rsid w:val="00EA1249"/>
    <w:rsid w:val="00EA192F"/>
    <w:rsid w:val="00EA3258"/>
    <w:rsid w:val="00EA354E"/>
    <w:rsid w:val="00EA3BEF"/>
    <w:rsid w:val="00EA4FED"/>
    <w:rsid w:val="00EA69C7"/>
    <w:rsid w:val="00EA7A71"/>
    <w:rsid w:val="00EB06B0"/>
    <w:rsid w:val="00EB11AC"/>
    <w:rsid w:val="00EB309E"/>
    <w:rsid w:val="00EB3768"/>
    <w:rsid w:val="00EB3D0F"/>
    <w:rsid w:val="00EC0382"/>
    <w:rsid w:val="00EC0391"/>
    <w:rsid w:val="00EC0E49"/>
    <w:rsid w:val="00EC156A"/>
    <w:rsid w:val="00EC1BB9"/>
    <w:rsid w:val="00EC34CE"/>
    <w:rsid w:val="00EC5931"/>
    <w:rsid w:val="00EC77CB"/>
    <w:rsid w:val="00ED3B2E"/>
    <w:rsid w:val="00ED41F2"/>
    <w:rsid w:val="00ED4C5F"/>
    <w:rsid w:val="00ED5553"/>
    <w:rsid w:val="00ED6715"/>
    <w:rsid w:val="00ED7F71"/>
    <w:rsid w:val="00EE30F0"/>
    <w:rsid w:val="00EE4E49"/>
    <w:rsid w:val="00EE5E62"/>
    <w:rsid w:val="00EE78E8"/>
    <w:rsid w:val="00EF104D"/>
    <w:rsid w:val="00EF26A2"/>
    <w:rsid w:val="00EF2DF0"/>
    <w:rsid w:val="00EF50CB"/>
    <w:rsid w:val="00F0099B"/>
    <w:rsid w:val="00F00E0C"/>
    <w:rsid w:val="00F0434F"/>
    <w:rsid w:val="00F04352"/>
    <w:rsid w:val="00F046D9"/>
    <w:rsid w:val="00F06231"/>
    <w:rsid w:val="00F07460"/>
    <w:rsid w:val="00F10D53"/>
    <w:rsid w:val="00F135F1"/>
    <w:rsid w:val="00F15B0E"/>
    <w:rsid w:val="00F15EF5"/>
    <w:rsid w:val="00F22673"/>
    <w:rsid w:val="00F23464"/>
    <w:rsid w:val="00F24287"/>
    <w:rsid w:val="00F24870"/>
    <w:rsid w:val="00F248F5"/>
    <w:rsid w:val="00F2490C"/>
    <w:rsid w:val="00F25956"/>
    <w:rsid w:val="00F264DB"/>
    <w:rsid w:val="00F31109"/>
    <w:rsid w:val="00F32E9B"/>
    <w:rsid w:val="00F34353"/>
    <w:rsid w:val="00F355AF"/>
    <w:rsid w:val="00F365D3"/>
    <w:rsid w:val="00F37ECE"/>
    <w:rsid w:val="00F4020B"/>
    <w:rsid w:val="00F42636"/>
    <w:rsid w:val="00F4423F"/>
    <w:rsid w:val="00F45C8B"/>
    <w:rsid w:val="00F46DFD"/>
    <w:rsid w:val="00F50633"/>
    <w:rsid w:val="00F510A1"/>
    <w:rsid w:val="00F51138"/>
    <w:rsid w:val="00F525E0"/>
    <w:rsid w:val="00F53EB1"/>
    <w:rsid w:val="00F54138"/>
    <w:rsid w:val="00F5735B"/>
    <w:rsid w:val="00F57FF4"/>
    <w:rsid w:val="00F612BF"/>
    <w:rsid w:val="00F62461"/>
    <w:rsid w:val="00F659C0"/>
    <w:rsid w:val="00F66056"/>
    <w:rsid w:val="00F67089"/>
    <w:rsid w:val="00F7022F"/>
    <w:rsid w:val="00F7171B"/>
    <w:rsid w:val="00F722B4"/>
    <w:rsid w:val="00F748AD"/>
    <w:rsid w:val="00F758FD"/>
    <w:rsid w:val="00F800B1"/>
    <w:rsid w:val="00F801D0"/>
    <w:rsid w:val="00F80735"/>
    <w:rsid w:val="00F82CC0"/>
    <w:rsid w:val="00F85AF2"/>
    <w:rsid w:val="00F85F23"/>
    <w:rsid w:val="00F860C9"/>
    <w:rsid w:val="00F86B08"/>
    <w:rsid w:val="00F87E2C"/>
    <w:rsid w:val="00F919D1"/>
    <w:rsid w:val="00F9213E"/>
    <w:rsid w:val="00F92B49"/>
    <w:rsid w:val="00F941EA"/>
    <w:rsid w:val="00F9479F"/>
    <w:rsid w:val="00F9585D"/>
    <w:rsid w:val="00F95D41"/>
    <w:rsid w:val="00F97FB9"/>
    <w:rsid w:val="00FA0603"/>
    <w:rsid w:val="00FA2263"/>
    <w:rsid w:val="00FA2C9F"/>
    <w:rsid w:val="00FA3369"/>
    <w:rsid w:val="00FA3D51"/>
    <w:rsid w:val="00FA5BE7"/>
    <w:rsid w:val="00FB444E"/>
    <w:rsid w:val="00FB4EBA"/>
    <w:rsid w:val="00FB532A"/>
    <w:rsid w:val="00FB7068"/>
    <w:rsid w:val="00FC0722"/>
    <w:rsid w:val="00FC2AD2"/>
    <w:rsid w:val="00FC2D86"/>
    <w:rsid w:val="00FC54E3"/>
    <w:rsid w:val="00FC57B8"/>
    <w:rsid w:val="00FC59F3"/>
    <w:rsid w:val="00FC6909"/>
    <w:rsid w:val="00FC692C"/>
    <w:rsid w:val="00FC6F1C"/>
    <w:rsid w:val="00FD123C"/>
    <w:rsid w:val="00FD43C8"/>
    <w:rsid w:val="00FD5ADE"/>
    <w:rsid w:val="00FD68E0"/>
    <w:rsid w:val="00FE0FE6"/>
    <w:rsid w:val="00FE1290"/>
    <w:rsid w:val="00FE241E"/>
    <w:rsid w:val="00FE31C9"/>
    <w:rsid w:val="00FE3CE0"/>
    <w:rsid w:val="00FE42EB"/>
    <w:rsid w:val="00FE66FD"/>
    <w:rsid w:val="00FE7CA6"/>
    <w:rsid w:val="00FF24D4"/>
    <w:rsid w:val="00FF40AF"/>
    <w:rsid w:val="00FF4531"/>
    <w:rsid w:val="00FF4E2A"/>
    <w:rsid w:val="00FF685A"/>
    <w:rsid w:val="00FF7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50AF05"/>
  <w15:chartTrackingRefBased/>
  <w15:docId w15:val="{43B6474A-FEFF-48B6-BF79-44240F0C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347"/>
    <w:pPr>
      <w:ind w:left="720"/>
      <w:contextualSpacing/>
    </w:pPr>
  </w:style>
  <w:style w:type="character" w:styleId="CommentReference">
    <w:name w:val="annotation reference"/>
    <w:basedOn w:val="DefaultParagraphFont"/>
    <w:uiPriority w:val="99"/>
    <w:semiHidden/>
    <w:unhideWhenUsed/>
    <w:rsid w:val="004E72C5"/>
    <w:rPr>
      <w:sz w:val="16"/>
      <w:szCs w:val="16"/>
    </w:rPr>
  </w:style>
  <w:style w:type="paragraph" w:styleId="CommentText">
    <w:name w:val="annotation text"/>
    <w:basedOn w:val="Normal"/>
    <w:link w:val="CommentTextChar"/>
    <w:uiPriority w:val="99"/>
    <w:unhideWhenUsed/>
    <w:rsid w:val="004E72C5"/>
    <w:pPr>
      <w:spacing w:line="240" w:lineRule="auto"/>
    </w:pPr>
    <w:rPr>
      <w:sz w:val="20"/>
      <w:szCs w:val="20"/>
    </w:rPr>
  </w:style>
  <w:style w:type="character" w:customStyle="1" w:styleId="CommentTextChar">
    <w:name w:val="Comment Text Char"/>
    <w:basedOn w:val="DefaultParagraphFont"/>
    <w:link w:val="CommentText"/>
    <w:uiPriority w:val="99"/>
    <w:rsid w:val="004E72C5"/>
    <w:rPr>
      <w:sz w:val="20"/>
      <w:szCs w:val="20"/>
    </w:rPr>
  </w:style>
  <w:style w:type="paragraph" w:styleId="CommentSubject">
    <w:name w:val="annotation subject"/>
    <w:basedOn w:val="CommentText"/>
    <w:next w:val="CommentText"/>
    <w:link w:val="CommentSubjectChar"/>
    <w:uiPriority w:val="99"/>
    <w:semiHidden/>
    <w:unhideWhenUsed/>
    <w:rsid w:val="004E72C5"/>
    <w:rPr>
      <w:b/>
      <w:bCs/>
    </w:rPr>
  </w:style>
  <w:style w:type="character" w:customStyle="1" w:styleId="CommentSubjectChar">
    <w:name w:val="Comment Subject Char"/>
    <w:basedOn w:val="CommentTextChar"/>
    <w:link w:val="CommentSubject"/>
    <w:uiPriority w:val="99"/>
    <w:semiHidden/>
    <w:rsid w:val="004E72C5"/>
    <w:rPr>
      <w:b/>
      <w:bCs/>
      <w:sz w:val="20"/>
      <w:szCs w:val="20"/>
    </w:rPr>
  </w:style>
  <w:style w:type="character" w:styleId="Hyperlink">
    <w:name w:val="Hyperlink"/>
    <w:basedOn w:val="DefaultParagraphFont"/>
    <w:uiPriority w:val="99"/>
    <w:unhideWhenUsed/>
    <w:rsid w:val="00C46A9F"/>
    <w:rPr>
      <w:color w:val="0563C1" w:themeColor="hyperlink"/>
      <w:u w:val="single"/>
    </w:rPr>
  </w:style>
  <w:style w:type="character" w:customStyle="1" w:styleId="UnresolvedMention1">
    <w:name w:val="Unresolved Mention1"/>
    <w:basedOn w:val="DefaultParagraphFont"/>
    <w:uiPriority w:val="99"/>
    <w:semiHidden/>
    <w:unhideWhenUsed/>
    <w:rsid w:val="00C46A9F"/>
    <w:rPr>
      <w:color w:val="605E5C"/>
      <w:shd w:val="clear" w:color="auto" w:fill="E1DFDD"/>
    </w:rPr>
  </w:style>
  <w:style w:type="character" w:styleId="FollowedHyperlink">
    <w:name w:val="FollowedHyperlink"/>
    <w:basedOn w:val="DefaultParagraphFont"/>
    <w:uiPriority w:val="99"/>
    <w:semiHidden/>
    <w:unhideWhenUsed/>
    <w:rsid w:val="00C46A9F"/>
    <w:rPr>
      <w:color w:val="954F72" w:themeColor="followedHyperlink"/>
      <w:u w:val="single"/>
    </w:rPr>
  </w:style>
  <w:style w:type="character" w:styleId="Strong">
    <w:name w:val="Strong"/>
    <w:basedOn w:val="DefaultParagraphFont"/>
    <w:uiPriority w:val="22"/>
    <w:qFormat/>
    <w:rsid w:val="005839A5"/>
    <w:rPr>
      <w:b/>
      <w:bCs/>
    </w:rPr>
  </w:style>
  <w:style w:type="character" w:customStyle="1" w:styleId="markrzxsjl5ko">
    <w:name w:val="markrzxsjl5ko"/>
    <w:basedOn w:val="DefaultParagraphFont"/>
    <w:rsid w:val="00BE6726"/>
  </w:style>
  <w:style w:type="table" w:styleId="TableGrid">
    <w:name w:val="Table Grid"/>
    <w:basedOn w:val="TableNormal"/>
    <w:uiPriority w:val="39"/>
    <w:rsid w:val="00425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9041D"/>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4A6B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6B1D"/>
    <w:rPr>
      <w:sz w:val="20"/>
      <w:szCs w:val="20"/>
    </w:rPr>
  </w:style>
  <w:style w:type="character" w:styleId="FootnoteReference">
    <w:name w:val="footnote reference"/>
    <w:basedOn w:val="DefaultParagraphFont"/>
    <w:uiPriority w:val="99"/>
    <w:semiHidden/>
    <w:unhideWhenUsed/>
    <w:rsid w:val="004A6B1D"/>
    <w:rPr>
      <w:vertAlign w:val="superscript"/>
    </w:rPr>
  </w:style>
  <w:style w:type="paragraph" w:styleId="EndnoteText">
    <w:name w:val="endnote text"/>
    <w:basedOn w:val="Normal"/>
    <w:link w:val="EndnoteTextChar"/>
    <w:uiPriority w:val="99"/>
    <w:semiHidden/>
    <w:unhideWhenUsed/>
    <w:rsid w:val="004A6B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6B1D"/>
    <w:rPr>
      <w:sz w:val="20"/>
      <w:szCs w:val="20"/>
    </w:rPr>
  </w:style>
  <w:style w:type="character" w:styleId="EndnoteReference">
    <w:name w:val="endnote reference"/>
    <w:basedOn w:val="DefaultParagraphFont"/>
    <w:uiPriority w:val="99"/>
    <w:semiHidden/>
    <w:unhideWhenUsed/>
    <w:rsid w:val="004A6B1D"/>
    <w:rPr>
      <w:vertAlign w:val="superscript"/>
    </w:rPr>
  </w:style>
  <w:style w:type="paragraph" w:styleId="NormalWeb">
    <w:name w:val="Normal (Web)"/>
    <w:basedOn w:val="Normal"/>
    <w:uiPriority w:val="99"/>
    <w:semiHidden/>
    <w:unhideWhenUsed/>
    <w:rsid w:val="00D51B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41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AC8"/>
    <w:rPr>
      <w:rFonts w:ascii="Segoe UI" w:hAnsi="Segoe UI" w:cs="Segoe UI"/>
      <w:sz w:val="18"/>
      <w:szCs w:val="18"/>
    </w:rPr>
  </w:style>
  <w:style w:type="paragraph" w:styleId="Header">
    <w:name w:val="header"/>
    <w:basedOn w:val="Normal"/>
    <w:link w:val="HeaderChar"/>
    <w:uiPriority w:val="99"/>
    <w:unhideWhenUsed/>
    <w:rsid w:val="00485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573"/>
  </w:style>
  <w:style w:type="paragraph" w:styleId="Footer">
    <w:name w:val="footer"/>
    <w:basedOn w:val="Normal"/>
    <w:link w:val="FooterChar"/>
    <w:uiPriority w:val="99"/>
    <w:unhideWhenUsed/>
    <w:rsid w:val="00485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573"/>
  </w:style>
  <w:style w:type="paragraph" w:styleId="Revision">
    <w:name w:val="Revision"/>
    <w:hidden/>
    <w:uiPriority w:val="99"/>
    <w:semiHidden/>
    <w:rsid w:val="00411ABB"/>
    <w:pPr>
      <w:spacing w:after="0" w:line="240" w:lineRule="auto"/>
    </w:pPr>
  </w:style>
  <w:style w:type="character" w:customStyle="1" w:styleId="UnresolvedMention2">
    <w:name w:val="Unresolved Mention2"/>
    <w:basedOn w:val="DefaultParagraphFont"/>
    <w:uiPriority w:val="99"/>
    <w:semiHidden/>
    <w:unhideWhenUsed/>
    <w:rsid w:val="00857E30"/>
    <w:rPr>
      <w:color w:val="605E5C"/>
      <w:shd w:val="clear" w:color="auto" w:fill="E1DFDD"/>
    </w:rPr>
  </w:style>
  <w:style w:type="character" w:customStyle="1" w:styleId="Subtitle1">
    <w:name w:val="Subtitle1"/>
    <w:basedOn w:val="DefaultParagraphFont"/>
    <w:rsid w:val="00FE31C9"/>
  </w:style>
  <w:style w:type="character" w:customStyle="1" w:styleId="colon-for-citation-subtitle">
    <w:name w:val="colon-for-citation-subtitle"/>
    <w:basedOn w:val="DefaultParagraphFont"/>
    <w:rsid w:val="00FE31C9"/>
  </w:style>
  <w:style w:type="character" w:styleId="Emphasis">
    <w:name w:val="Emphasis"/>
    <w:basedOn w:val="DefaultParagraphFont"/>
    <w:uiPriority w:val="20"/>
    <w:qFormat/>
    <w:rsid w:val="00FE31C9"/>
    <w:rPr>
      <w:i/>
      <w:iCs/>
    </w:rPr>
  </w:style>
  <w:style w:type="character" w:customStyle="1" w:styleId="nlmstring-name">
    <w:name w:val="nlm_string-name"/>
    <w:basedOn w:val="DefaultParagraphFont"/>
    <w:rsid w:val="007123D3"/>
  </w:style>
  <w:style w:type="character" w:customStyle="1" w:styleId="journalname">
    <w:name w:val="journalname"/>
    <w:basedOn w:val="DefaultParagraphFont"/>
    <w:rsid w:val="007123D3"/>
  </w:style>
  <w:style w:type="character" w:customStyle="1" w:styleId="year">
    <w:name w:val="year"/>
    <w:basedOn w:val="DefaultParagraphFont"/>
    <w:rsid w:val="007123D3"/>
  </w:style>
  <w:style w:type="character" w:customStyle="1" w:styleId="volume">
    <w:name w:val="volume"/>
    <w:basedOn w:val="DefaultParagraphFont"/>
    <w:rsid w:val="007123D3"/>
  </w:style>
  <w:style w:type="character" w:customStyle="1" w:styleId="issue">
    <w:name w:val="issue"/>
    <w:basedOn w:val="DefaultParagraphFont"/>
    <w:rsid w:val="007123D3"/>
  </w:style>
  <w:style w:type="character" w:customStyle="1" w:styleId="page">
    <w:name w:val="page"/>
    <w:basedOn w:val="DefaultParagraphFont"/>
    <w:rsid w:val="007123D3"/>
  </w:style>
  <w:style w:type="character" w:styleId="UnresolvedMention">
    <w:name w:val="Unresolved Mention"/>
    <w:basedOn w:val="DefaultParagraphFont"/>
    <w:uiPriority w:val="99"/>
    <w:semiHidden/>
    <w:unhideWhenUsed/>
    <w:rsid w:val="00B76BC1"/>
    <w:rPr>
      <w:color w:val="605E5C"/>
      <w:shd w:val="clear" w:color="auto" w:fill="E1DFDD"/>
    </w:rPr>
  </w:style>
  <w:style w:type="character" w:customStyle="1" w:styleId="normaltextrun">
    <w:name w:val="normaltextrun"/>
    <w:basedOn w:val="DefaultParagraphFont"/>
    <w:rsid w:val="00023D14"/>
  </w:style>
  <w:style w:type="character" w:customStyle="1" w:styleId="eop">
    <w:name w:val="eop"/>
    <w:basedOn w:val="DefaultParagraphFont"/>
    <w:rsid w:val="00023D14"/>
  </w:style>
  <w:style w:type="paragraph" w:customStyle="1" w:styleId="pf0">
    <w:name w:val="pf0"/>
    <w:basedOn w:val="Normal"/>
    <w:rsid w:val="003707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707E8"/>
    <w:rPr>
      <w:rFonts w:ascii="Segoe UI" w:hAnsi="Segoe UI" w:cs="Segoe UI" w:hint="default"/>
      <w:sz w:val="18"/>
      <w:szCs w:val="18"/>
    </w:rPr>
  </w:style>
  <w:style w:type="table" w:styleId="GridTable1Light">
    <w:name w:val="Grid Table 1 Light"/>
    <w:basedOn w:val="TableNormal"/>
    <w:uiPriority w:val="46"/>
    <w:rsid w:val="009632A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6970">
      <w:bodyDiv w:val="1"/>
      <w:marLeft w:val="0"/>
      <w:marRight w:val="0"/>
      <w:marTop w:val="0"/>
      <w:marBottom w:val="0"/>
      <w:divBdr>
        <w:top w:val="none" w:sz="0" w:space="0" w:color="auto"/>
        <w:left w:val="none" w:sz="0" w:space="0" w:color="auto"/>
        <w:bottom w:val="none" w:sz="0" w:space="0" w:color="auto"/>
        <w:right w:val="none" w:sz="0" w:space="0" w:color="auto"/>
      </w:divBdr>
      <w:divsChild>
        <w:div w:id="1081291519">
          <w:marLeft w:val="360"/>
          <w:marRight w:val="0"/>
          <w:marTop w:val="200"/>
          <w:marBottom w:val="0"/>
          <w:divBdr>
            <w:top w:val="none" w:sz="0" w:space="0" w:color="auto"/>
            <w:left w:val="none" w:sz="0" w:space="0" w:color="auto"/>
            <w:bottom w:val="none" w:sz="0" w:space="0" w:color="auto"/>
            <w:right w:val="none" w:sz="0" w:space="0" w:color="auto"/>
          </w:divBdr>
        </w:div>
      </w:divsChild>
    </w:div>
    <w:div w:id="89933220">
      <w:bodyDiv w:val="1"/>
      <w:marLeft w:val="0"/>
      <w:marRight w:val="0"/>
      <w:marTop w:val="0"/>
      <w:marBottom w:val="0"/>
      <w:divBdr>
        <w:top w:val="none" w:sz="0" w:space="0" w:color="auto"/>
        <w:left w:val="none" w:sz="0" w:space="0" w:color="auto"/>
        <w:bottom w:val="none" w:sz="0" w:space="0" w:color="auto"/>
        <w:right w:val="none" w:sz="0" w:space="0" w:color="auto"/>
      </w:divBdr>
      <w:divsChild>
        <w:div w:id="287051951">
          <w:marLeft w:val="360"/>
          <w:marRight w:val="0"/>
          <w:marTop w:val="200"/>
          <w:marBottom w:val="0"/>
          <w:divBdr>
            <w:top w:val="none" w:sz="0" w:space="0" w:color="auto"/>
            <w:left w:val="none" w:sz="0" w:space="0" w:color="auto"/>
            <w:bottom w:val="none" w:sz="0" w:space="0" w:color="auto"/>
            <w:right w:val="none" w:sz="0" w:space="0" w:color="auto"/>
          </w:divBdr>
        </w:div>
      </w:divsChild>
    </w:div>
    <w:div w:id="110707330">
      <w:bodyDiv w:val="1"/>
      <w:marLeft w:val="0"/>
      <w:marRight w:val="0"/>
      <w:marTop w:val="0"/>
      <w:marBottom w:val="0"/>
      <w:divBdr>
        <w:top w:val="none" w:sz="0" w:space="0" w:color="auto"/>
        <w:left w:val="none" w:sz="0" w:space="0" w:color="auto"/>
        <w:bottom w:val="none" w:sz="0" w:space="0" w:color="auto"/>
        <w:right w:val="none" w:sz="0" w:space="0" w:color="auto"/>
      </w:divBdr>
      <w:divsChild>
        <w:div w:id="481627422">
          <w:marLeft w:val="360"/>
          <w:marRight w:val="0"/>
          <w:marTop w:val="200"/>
          <w:marBottom w:val="0"/>
          <w:divBdr>
            <w:top w:val="none" w:sz="0" w:space="0" w:color="auto"/>
            <w:left w:val="none" w:sz="0" w:space="0" w:color="auto"/>
            <w:bottom w:val="none" w:sz="0" w:space="0" w:color="auto"/>
            <w:right w:val="none" w:sz="0" w:space="0" w:color="auto"/>
          </w:divBdr>
        </w:div>
        <w:div w:id="1722746149">
          <w:marLeft w:val="360"/>
          <w:marRight w:val="0"/>
          <w:marTop w:val="200"/>
          <w:marBottom w:val="0"/>
          <w:divBdr>
            <w:top w:val="none" w:sz="0" w:space="0" w:color="auto"/>
            <w:left w:val="none" w:sz="0" w:space="0" w:color="auto"/>
            <w:bottom w:val="none" w:sz="0" w:space="0" w:color="auto"/>
            <w:right w:val="none" w:sz="0" w:space="0" w:color="auto"/>
          </w:divBdr>
        </w:div>
        <w:div w:id="624385812">
          <w:marLeft w:val="1080"/>
          <w:marRight w:val="0"/>
          <w:marTop w:val="100"/>
          <w:marBottom w:val="0"/>
          <w:divBdr>
            <w:top w:val="none" w:sz="0" w:space="0" w:color="auto"/>
            <w:left w:val="none" w:sz="0" w:space="0" w:color="auto"/>
            <w:bottom w:val="none" w:sz="0" w:space="0" w:color="auto"/>
            <w:right w:val="none" w:sz="0" w:space="0" w:color="auto"/>
          </w:divBdr>
        </w:div>
        <w:div w:id="1484002754">
          <w:marLeft w:val="1080"/>
          <w:marRight w:val="0"/>
          <w:marTop w:val="100"/>
          <w:marBottom w:val="0"/>
          <w:divBdr>
            <w:top w:val="none" w:sz="0" w:space="0" w:color="auto"/>
            <w:left w:val="none" w:sz="0" w:space="0" w:color="auto"/>
            <w:bottom w:val="none" w:sz="0" w:space="0" w:color="auto"/>
            <w:right w:val="none" w:sz="0" w:space="0" w:color="auto"/>
          </w:divBdr>
        </w:div>
        <w:div w:id="1664890046">
          <w:marLeft w:val="1080"/>
          <w:marRight w:val="0"/>
          <w:marTop w:val="100"/>
          <w:marBottom w:val="0"/>
          <w:divBdr>
            <w:top w:val="none" w:sz="0" w:space="0" w:color="auto"/>
            <w:left w:val="none" w:sz="0" w:space="0" w:color="auto"/>
            <w:bottom w:val="none" w:sz="0" w:space="0" w:color="auto"/>
            <w:right w:val="none" w:sz="0" w:space="0" w:color="auto"/>
          </w:divBdr>
        </w:div>
        <w:div w:id="1739522382">
          <w:marLeft w:val="360"/>
          <w:marRight w:val="0"/>
          <w:marTop w:val="200"/>
          <w:marBottom w:val="0"/>
          <w:divBdr>
            <w:top w:val="none" w:sz="0" w:space="0" w:color="auto"/>
            <w:left w:val="none" w:sz="0" w:space="0" w:color="auto"/>
            <w:bottom w:val="none" w:sz="0" w:space="0" w:color="auto"/>
            <w:right w:val="none" w:sz="0" w:space="0" w:color="auto"/>
          </w:divBdr>
        </w:div>
        <w:div w:id="767584594">
          <w:marLeft w:val="360"/>
          <w:marRight w:val="0"/>
          <w:marTop w:val="200"/>
          <w:marBottom w:val="0"/>
          <w:divBdr>
            <w:top w:val="none" w:sz="0" w:space="0" w:color="auto"/>
            <w:left w:val="none" w:sz="0" w:space="0" w:color="auto"/>
            <w:bottom w:val="none" w:sz="0" w:space="0" w:color="auto"/>
            <w:right w:val="none" w:sz="0" w:space="0" w:color="auto"/>
          </w:divBdr>
        </w:div>
        <w:div w:id="1755275135">
          <w:marLeft w:val="1080"/>
          <w:marRight w:val="0"/>
          <w:marTop w:val="100"/>
          <w:marBottom w:val="0"/>
          <w:divBdr>
            <w:top w:val="none" w:sz="0" w:space="0" w:color="auto"/>
            <w:left w:val="none" w:sz="0" w:space="0" w:color="auto"/>
            <w:bottom w:val="none" w:sz="0" w:space="0" w:color="auto"/>
            <w:right w:val="none" w:sz="0" w:space="0" w:color="auto"/>
          </w:divBdr>
        </w:div>
        <w:div w:id="741558518">
          <w:marLeft w:val="1080"/>
          <w:marRight w:val="0"/>
          <w:marTop w:val="100"/>
          <w:marBottom w:val="0"/>
          <w:divBdr>
            <w:top w:val="none" w:sz="0" w:space="0" w:color="auto"/>
            <w:left w:val="none" w:sz="0" w:space="0" w:color="auto"/>
            <w:bottom w:val="none" w:sz="0" w:space="0" w:color="auto"/>
            <w:right w:val="none" w:sz="0" w:space="0" w:color="auto"/>
          </w:divBdr>
        </w:div>
        <w:div w:id="369183299">
          <w:marLeft w:val="360"/>
          <w:marRight w:val="0"/>
          <w:marTop w:val="200"/>
          <w:marBottom w:val="0"/>
          <w:divBdr>
            <w:top w:val="none" w:sz="0" w:space="0" w:color="auto"/>
            <w:left w:val="none" w:sz="0" w:space="0" w:color="auto"/>
            <w:bottom w:val="none" w:sz="0" w:space="0" w:color="auto"/>
            <w:right w:val="none" w:sz="0" w:space="0" w:color="auto"/>
          </w:divBdr>
        </w:div>
      </w:divsChild>
    </w:div>
    <w:div w:id="609169531">
      <w:bodyDiv w:val="1"/>
      <w:marLeft w:val="0"/>
      <w:marRight w:val="0"/>
      <w:marTop w:val="0"/>
      <w:marBottom w:val="0"/>
      <w:divBdr>
        <w:top w:val="none" w:sz="0" w:space="0" w:color="auto"/>
        <w:left w:val="none" w:sz="0" w:space="0" w:color="auto"/>
        <w:bottom w:val="none" w:sz="0" w:space="0" w:color="auto"/>
        <w:right w:val="none" w:sz="0" w:space="0" w:color="auto"/>
      </w:divBdr>
      <w:divsChild>
        <w:div w:id="1633442454">
          <w:marLeft w:val="360"/>
          <w:marRight w:val="0"/>
          <w:marTop w:val="200"/>
          <w:marBottom w:val="0"/>
          <w:divBdr>
            <w:top w:val="none" w:sz="0" w:space="0" w:color="auto"/>
            <w:left w:val="none" w:sz="0" w:space="0" w:color="auto"/>
            <w:bottom w:val="none" w:sz="0" w:space="0" w:color="auto"/>
            <w:right w:val="none" w:sz="0" w:space="0" w:color="auto"/>
          </w:divBdr>
        </w:div>
        <w:div w:id="1197768226">
          <w:marLeft w:val="360"/>
          <w:marRight w:val="0"/>
          <w:marTop w:val="200"/>
          <w:marBottom w:val="0"/>
          <w:divBdr>
            <w:top w:val="none" w:sz="0" w:space="0" w:color="auto"/>
            <w:left w:val="none" w:sz="0" w:space="0" w:color="auto"/>
            <w:bottom w:val="none" w:sz="0" w:space="0" w:color="auto"/>
            <w:right w:val="none" w:sz="0" w:space="0" w:color="auto"/>
          </w:divBdr>
        </w:div>
        <w:div w:id="366416688">
          <w:marLeft w:val="360"/>
          <w:marRight w:val="0"/>
          <w:marTop w:val="200"/>
          <w:marBottom w:val="0"/>
          <w:divBdr>
            <w:top w:val="none" w:sz="0" w:space="0" w:color="auto"/>
            <w:left w:val="none" w:sz="0" w:space="0" w:color="auto"/>
            <w:bottom w:val="none" w:sz="0" w:space="0" w:color="auto"/>
            <w:right w:val="none" w:sz="0" w:space="0" w:color="auto"/>
          </w:divBdr>
        </w:div>
      </w:divsChild>
    </w:div>
    <w:div w:id="656105641">
      <w:bodyDiv w:val="1"/>
      <w:marLeft w:val="0"/>
      <w:marRight w:val="0"/>
      <w:marTop w:val="0"/>
      <w:marBottom w:val="0"/>
      <w:divBdr>
        <w:top w:val="none" w:sz="0" w:space="0" w:color="auto"/>
        <w:left w:val="none" w:sz="0" w:space="0" w:color="auto"/>
        <w:bottom w:val="none" w:sz="0" w:space="0" w:color="auto"/>
        <w:right w:val="none" w:sz="0" w:space="0" w:color="auto"/>
      </w:divBdr>
    </w:div>
    <w:div w:id="842083794">
      <w:bodyDiv w:val="1"/>
      <w:marLeft w:val="0"/>
      <w:marRight w:val="0"/>
      <w:marTop w:val="0"/>
      <w:marBottom w:val="0"/>
      <w:divBdr>
        <w:top w:val="none" w:sz="0" w:space="0" w:color="auto"/>
        <w:left w:val="none" w:sz="0" w:space="0" w:color="auto"/>
        <w:bottom w:val="none" w:sz="0" w:space="0" w:color="auto"/>
        <w:right w:val="none" w:sz="0" w:space="0" w:color="auto"/>
      </w:divBdr>
      <w:divsChild>
        <w:div w:id="1773477366">
          <w:marLeft w:val="360"/>
          <w:marRight w:val="0"/>
          <w:marTop w:val="200"/>
          <w:marBottom w:val="160"/>
          <w:divBdr>
            <w:top w:val="none" w:sz="0" w:space="0" w:color="auto"/>
            <w:left w:val="none" w:sz="0" w:space="0" w:color="auto"/>
            <w:bottom w:val="none" w:sz="0" w:space="0" w:color="auto"/>
            <w:right w:val="none" w:sz="0" w:space="0" w:color="auto"/>
          </w:divBdr>
        </w:div>
        <w:div w:id="1748652181">
          <w:marLeft w:val="360"/>
          <w:marRight w:val="0"/>
          <w:marTop w:val="200"/>
          <w:marBottom w:val="160"/>
          <w:divBdr>
            <w:top w:val="none" w:sz="0" w:space="0" w:color="auto"/>
            <w:left w:val="none" w:sz="0" w:space="0" w:color="auto"/>
            <w:bottom w:val="none" w:sz="0" w:space="0" w:color="auto"/>
            <w:right w:val="none" w:sz="0" w:space="0" w:color="auto"/>
          </w:divBdr>
        </w:div>
        <w:div w:id="1724451515">
          <w:marLeft w:val="360"/>
          <w:marRight w:val="0"/>
          <w:marTop w:val="200"/>
          <w:marBottom w:val="160"/>
          <w:divBdr>
            <w:top w:val="none" w:sz="0" w:space="0" w:color="auto"/>
            <w:left w:val="none" w:sz="0" w:space="0" w:color="auto"/>
            <w:bottom w:val="none" w:sz="0" w:space="0" w:color="auto"/>
            <w:right w:val="none" w:sz="0" w:space="0" w:color="auto"/>
          </w:divBdr>
        </w:div>
        <w:div w:id="626279537">
          <w:marLeft w:val="360"/>
          <w:marRight w:val="0"/>
          <w:marTop w:val="200"/>
          <w:marBottom w:val="160"/>
          <w:divBdr>
            <w:top w:val="none" w:sz="0" w:space="0" w:color="auto"/>
            <w:left w:val="none" w:sz="0" w:space="0" w:color="auto"/>
            <w:bottom w:val="none" w:sz="0" w:space="0" w:color="auto"/>
            <w:right w:val="none" w:sz="0" w:space="0" w:color="auto"/>
          </w:divBdr>
        </w:div>
      </w:divsChild>
    </w:div>
    <w:div w:id="1232888175">
      <w:bodyDiv w:val="1"/>
      <w:marLeft w:val="0"/>
      <w:marRight w:val="0"/>
      <w:marTop w:val="0"/>
      <w:marBottom w:val="0"/>
      <w:divBdr>
        <w:top w:val="none" w:sz="0" w:space="0" w:color="auto"/>
        <w:left w:val="none" w:sz="0" w:space="0" w:color="auto"/>
        <w:bottom w:val="none" w:sz="0" w:space="0" w:color="auto"/>
        <w:right w:val="none" w:sz="0" w:space="0" w:color="auto"/>
      </w:divBdr>
    </w:div>
    <w:div w:id="1440637579">
      <w:bodyDiv w:val="1"/>
      <w:marLeft w:val="0"/>
      <w:marRight w:val="0"/>
      <w:marTop w:val="0"/>
      <w:marBottom w:val="0"/>
      <w:divBdr>
        <w:top w:val="none" w:sz="0" w:space="0" w:color="auto"/>
        <w:left w:val="none" w:sz="0" w:space="0" w:color="auto"/>
        <w:bottom w:val="none" w:sz="0" w:space="0" w:color="auto"/>
        <w:right w:val="none" w:sz="0" w:space="0" w:color="auto"/>
      </w:divBdr>
    </w:div>
    <w:div w:id="1450705114">
      <w:bodyDiv w:val="1"/>
      <w:marLeft w:val="0"/>
      <w:marRight w:val="0"/>
      <w:marTop w:val="0"/>
      <w:marBottom w:val="0"/>
      <w:divBdr>
        <w:top w:val="none" w:sz="0" w:space="0" w:color="auto"/>
        <w:left w:val="none" w:sz="0" w:space="0" w:color="auto"/>
        <w:bottom w:val="none" w:sz="0" w:space="0" w:color="auto"/>
        <w:right w:val="none" w:sz="0" w:space="0" w:color="auto"/>
      </w:divBdr>
    </w:div>
    <w:div w:id="1592659471">
      <w:bodyDiv w:val="1"/>
      <w:marLeft w:val="0"/>
      <w:marRight w:val="0"/>
      <w:marTop w:val="0"/>
      <w:marBottom w:val="0"/>
      <w:divBdr>
        <w:top w:val="none" w:sz="0" w:space="0" w:color="auto"/>
        <w:left w:val="none" w:sz="0" w:space="0" w:color="auto"/>
        <w:bottom w:val="none" w:sz="0" w:space="0" w:color="auto"/>
        <w:right w:val="none" w:sz="0" w:space="0" w:color="auto"/>
      </w:divBdr>
      <w:divsChild>
        <w:div w:id="488138361">
          <w:marLeft w:val="0"/>
          <w:marRight w:val="0"/>
          <w:marTop w:val="0"/>
          <w:marBottom w:val="0"/>
          <w:divBdr>
            <w:top w:val="none" w:sz="0" w:space="0" w:color="auto"/>
            <w:left w:val="none" w:sz="0" w:space="0" w:color="auto"/>
            <w:bottom w:val="none" w:sz="0" w:space="0" w:color="auto"/>
            <w:right w:val="none" w:sz="0" w:space="0" w:color="auto"/>
          </w:divBdr>
        </w:div>
        <w:div w:id="1699236151">
          <w:marLeft w:val="0"/>
          <w:marRight w:val="0"/>
          <w:marTop w:val="0"/>
          <w:marBottom w:val="0"/>
          <w:divBdr>
            <w:top w:val="none" w:sz="0" w:space="0" w:color="auto"/>
            <w:left w:val="none" w:sz="0" w:space="0" w:color="auto"/>
            <w:bottom w:val="none" w:sz="0" w:space="0" w:color="auto"/>
            <w:right w:val="none" w:sz="0" w:space="0" w:color="auto"/>
          </w:divBdr>
        </w:div>
      </w:divsChild>
    </w:div>
    <w:div w:id="1600872657">
      <w:bodyDiv w:val="1"/>
      <w:marLeft w:val="0"/>
      <w:marRight w:val="0"/>
      <w:marTop w:val="0"/>
      <w:marBottom w:val="0"/>
      <w:divBdr>
        <w:top w:val="none" w:sz="0" w:space="0" w:color="auto"/>
        <w:left w:val="none" w:sz="0" w:space="0" w:color="auto"/>
        <w:bottom w:val="none" w:sz="0" w:space="0" w:color="auto"/>
        <w:right w:val="none" w:sz="0" w:space="0" w:color="auto"/>
      </w:divBdr>
    </w:div>
    <w:div w:id="1850824137">
      <w:bodyDiv w:val="1"/>
      <w:marLeft w:val="0"/>
      <w:marRight w:val="0"/>
      <w:marTop w:val="0"/>
      <w:marBottom w:val="0"/>
      <w:divBdr>
        <w:top w:val="none" w:sz="0" w:space="0" w:color="auto"/>
        <w:left w:val="none" w:sz="0" w:space="0" w:color="auto"/>
        <w:bottom w:val="none" w:sz="0" w:space="0" w:color="auto"/>
        <w:right w:val="none" w:sz="0" w:space="0" w:color="auto"/>
      </w:divBdr>
    </w:div>
    <w:div w:id="1858499174">
      <w:bodyDiv w:val="1"/>
      <w:marLeft w:val="0"/>
      <w:marRight w:val="0"/>
      <w:marTop w:val="0"/>
      <w:marBottom w:val="0"/>
      <w:divBdr>
        <w:top w:val="none" w:sz="0" w:space="0" w:color="auto"/>
        <w:left w:val="none" w:sz="0" w:space="0" w:color="auto"/>
        <w:bottom w:val="none" w:sz="0" w:space="0" w:color="auto"/>
        <w:right w:val="none" w:sz="0" w:space="0" w:color="auto"/>
      </w:divBdr>
    </w:div>
    <w:div w:id="1970893321">
      <w:bodyDiv w:val="1"/>
      <w:marLeft w:val="0"/>
      <w:marRight w:val="0"/>
      <w:marTop w:val="0"/>
      <w:marBottom w:val="0"/>
      <w:divBdr>
        <w:top w:val="none" w:sz="0" w:space="0" w:color="auto"/>
        <w:left w:val="none" w:sz="0" w:space="0" w:color="auto"/>
        <w:bottom w:val="none" w:sz="0" w:space="0" w:color="auto"/>
        <w:right w:val="none" w:sz="0" w:space="0" w:color="auto"/>
      </w:divBdr>
      <w:divsChild>
        <w:div w:id="627468492">
          <w:marLeft w:val="360"/>
          <w:marRight w:val="0"/>
          <w:marTop w:val="200"/>
          <w:marBottom w:val="0"/>
          <w:divBdr>
            <w:top w:val="none" w:sz="0" w:space="0" w:color="auto"/>
            <w:left w:val="none" w:sz="0" w:space="0" w:color="auto"/>
            <w:bottom w:val="none" w:sz="0" w:space="0" w:color="auto"/>
            <w:right w:val="none" w:sz="0" w:space="0" w:color="auto"/>
          </w:divBdr>
        </w:div>
      </w:divsChild>
    </w:div>
    <w:div w:id="1992447090">
      <w:bodyDiv w:val="1"/>
      <w:marLeft w:val="0"/>
      <w:marRight w:val="0"/>
      <w:marTop w:val="0"/>
      <w:marBottom w:val="0"/>
      <w:divBdr>
        <w:top w:val="none" w:sz="0" w:space="0" w:color="auto"/>
        <w:left w:val="none" w:sz="0" w:space="0" w:color="auto"/>
        <w:bottom w:val="none" w:sz="0" w:space="0" w:color="auto"/>
        <w:right w:val="none" w:sz="0" w:space="0" w:color="auto"/>
      </w:divBdr>
      <w:divsChild>
        <w:div w:id="1393386453">
          <w:marLeft w:val="0"/>
          <w:marRight w:val="0"/>
          <w:marTop w:val="0"/>
          <w:marBottom w:val="0"/>
          <w:divBdr>
            <w:top w:val="none" w:sz="0" w:space="0" w:color="auto"/>
            <w:left w:val="none" w:sz="0" w:space="0" w:color="auto"/>
            <w:bottom w:val="none" w:sz="0" w:space="0" w:color="auto"/>
            <w:right w:val="none" w:sz="0" w:space="0" w:color="auto"/>
          </w:divBdr>
          <w:divsChild>
            <w:div w:id="1866871387">
              <w:marLeft w:val="0"/>
              <w:marRight w:val="0"/>
              <w:marTop w:val="0"/>
              <w:marBottom w:val="0"/>
              <w:divBdr>
                <w:top w:val="none" w:sz="0" w:space="0" w:color="auto"/>
                <w:left w:val="none" w:sz="0" w:space="0" w:color="auto"/>
                <w:bottom w:val="none" w:sz="0" w:space="0" w:color="auto"/>
                <w:right w:val="none" w:sz="0" w:space="0" w:color="auto"/>
              </w:divBdr>
            </w:div>
          </w:divsChild>
        </w:div>
        <w:div w:id="173346978">
          <w:marLeft w:val="0"/>
          <w:marRight w:val="0"/>
          <w:marTop w:val="0"/>
          <w:marBottom w:val="0"/>
          <w:divBdr>
            <w:top w:val="none" w:sz="0" w:space="0" w:color="auto"/>
            <w:left w:val="none" w:sz="0" w:space="0" w:color="auto"/>
            <w:bottom w:val="none" w:sz="0" w:space="0" w:color="auto"/>
            <w:right w:val="none" w:sz="0" w:space="0" w:color="auto"/>
          </w:divBdr>
        </w:div>
        <w:div w:id="437527135">
          <w:marLeft w:val="0"/>
          <w:marRight w:val="0"/>
          <w:marTop w:val="0"/>
          <w:marBottom w:val="0"/>
          <w:divBdr>
            <w:top w:val="none" w:sz="0" w:space="0" w:color="auto"/>
            <w:left w:val="none" w:sz="0" w:space="0" w:color="auto"/>
            <w:bottom w:val="none" w:sz="0" w:space="0" w:color="auto"/>
            <w:right w:val="none" w:sz="0" w:space="0" w:color="auto"/>
          </w:divBdr>
        </w:div>
        <w:div w:id="1940336279">
          <w:marLeft w:val="0"/>
          <w:marRight w:val="0"/>
          <w:marTop w:val="0"/>
          <w:marBottom w:val="0"/>
          <w:divBdr>
            <w:top w:val="none" w:sz="0" w:space="0" w:color="auto"/>
            <w:left w:val="none" w:sz="0" w:space="0" w:color="auto"/>
            <w:bottom w:val="none" w:sz="0" w:space="0" w:color="auto"/>
            <w:right w:val="none" w:sz="0" w:space="0" w:color="auto"/>
          </w:divBdr>
          <w:divsChild>
            <w:div w:id="809635520">
              <w:marLeft w:val="0"/>
              <w:marRight w:val="0"/>
              <w:marTop w:val="0"/>
              <w:marBottom w:val="0"/>
              <w:divBdr>
                <w:top w:val="none" w:sz="0" w:space="0" w:color="auto"/>
                <w:left w:val="none" w:sz="0" w:space="0" w:color="auto"/>
                <w:bottom w:val="none" w:sz="0" w:space="0" w:color="auto"/>
                <w:right w:val="none" w:sz="0" w:space="0" w:color="auto"/>
              </w:divBdr>
            </w:div>
          </w:divsChild>
        </w:div>
        <w:div w:id="1667436260">
          <w:marLeft w:val="0"/>
          <w:marRight w:val="0"/>
          <w:marTop w:val="0"/>
          <w:marBottom w:val="0"/>
          <w:divBdr>
            <w:top w:val="none" w:sz="0" w:space="0" w:color="auto"/>
            <w:left w:val="none" w:sz="0" w:space="0" w:color="auto"/>
            <w:bottom w:val="none" w:sz="0" w:space="0" w:color="auto"/>
            <w:right w:val="none" w:sz="0" w:space="0" w:color="auto"/>
          </w:divBdr>
        </w:div>
        <w:div w:id="1469662024">
          <w:marLeft w:val="0"/>
          <w:marRight w:val="0"/>
          <w:marTop w:val="0"/>
          <w:marBottom w:val="0"/>
          <w:divBdr>
            <w:top w:val="none" w:sz="0" w:space="0" w:color="auto"/>
            <w:left w:val="none" w:sz="0" w:space="0" w:color="auto"/>
            <w:bottom w:val="none" w:sz="0" w:space="0" w:color="auto"/>
            <w:right w:val="none" w:sz="0" w:space="0" w:color="auto"/>
          </w:divBdr>
        </w:div>
        <w:div w:id="47993717">
          <w:marLeft w:val="0"/>
          <w:marRight w:val="0"/>
          <w:marTop w:val="0"/>
          <w:marBottom w:val="0"/>
          <w:divBdr>
            <w:top w:val="none" w:sz="0" w:space="0" w:color="auto"/>
            <w:left w:val="none" w:sz="0" w:space="0" w:color="auto"/>
            <w:bottom w:val="none" w:sz="0" w:space="0" w:color="auto"/>
            <w:right w:val="none" w:sz="0" w:space="0" w:color="auto"/>
          </w:divBdr>
          <w:divsChild>
            <w:div w:id="1093628689">
              <w:marLeft w:val="0"/>
              <w:marRight w:val="0"/>
              <w:marTop w:val="0"/>
              <w:marBottom w:val="0"/>
              <w:divBdr>
                <w:top w:val="none" w:sz="0" w:space="0" w:color="auto"/>
                <w:left w:val="none" w:sz="0" w:space="0" w:color="auto"/>
                <w:bottom w:val="none" w:sz="0" w:space="0" w:color="auto"/>
                <w:right w:val="none" w:sz="0" w:space="0" w:color="auto"/>
              </w:divBdr>
            </w:div>
          </w:divsChild>
        </w:div>
        <w:div w:id="1485122274">
          <w:marLeft w:val="0"/>
          <w:marRight w:val="0"/>
          <w:marTop w:val="0"/>
          <w:marBottom w:val="0"/>
          <w:divBdr>
            <w:top w:val="none" w:sz="0" w:space="0" w:color="auto"/>
            <w:left w:val="none" w:sz="0" w:space="0" w:color="auto"/>
            <w:bottom w:val="none" w:sz="0" w:space="0" w:color="auto"/>
            <w:right w:val="none" w:sz="0" w:space="0" w:color="auto"/>
          </w:divBdr>
        </w:div>
        <w:div w:id="1170409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askins@keele.ac.uk" TargetMode="Externa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jl-admin.nihr.ac.uk/document/download/2027234"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doi.org/10.1007/s00198-006-0294-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88250-1770-45F2-81B5-84DCA5244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8224</Words>
  <Characters>46879</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54994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Paskins</dc:creator>
  <cp:keywords/>
  <dc:description/>
  <cp:lastModifiedBy>Zoe Paskins</cp:lastModifiedBy>
  <cp:revision>3</cp:revision>
  <dcterms:created xsi:type="dcterms:W3CDTF">2022-05-23T08:03:00Z</dcterms:created>
  <dcterms:modified xsi:type="dcterms:W3CDTF">2022-05-23T08:04:00Z</dcterms:modified>
</cp:coreProperties>
</file>