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502D" w14:textId="089FF82E" w:rsidR="006D58A6" w:rsidRPr="008A39AD" w:rsidRDefault="006D58A6" w:rsidP="00CC7F93">
      <w:pPr>
        <w:spacing w:line="480" w:lineRule="auto"/>
        <w:rPr>
          <w:rFonts w:ascii="Arial" w:hAnsi="Arial" w:cs="Arial"/>
          <w:b/>
        </w:rPr>
      </w:pPr>
      <w:r w:rsidRPr="008A39AD">
        <w:rPr>
          <w:rFonts w:ascii="Arial" w:hAnsi="Arial" w:cs="Arial"/>
          <w:b/>
        </w:rPr>
        <w:t>Variation in Peritoneal Dialysis Time on Therapy</w:t>
      </w:r>
      <w:r w:rsidR="00072C2F" w:rsidRPr="008A39AD">
        <w:rPr>
          <w:rFonts w:ascii="Arial" w:hAnsi="Arial" w:cs="Arial"/>
          <w:b/>
        </w:rPr>
        <w:t xml:space="preserve"> by Country: Results from The Peritoneal Dialysis Outcomes and Practice Patterns Study</w:t>
      </w:r>
    </w:p>
    <w:p w14:paraId="38E87AEE" w14:textId="0A41F088" w:rsidR="006D58A6" w:rsidRPr="008A39AD" w:rsidRDefault="004E23FA" w:rsidP="00CA6D15">
      <w:pPr>
        <w:spacing w:line="240" w:lineRule="auto"/>
        <w:rPr>
          <w:rFonts w:ascii="Arial" w:hAnsi="Arial" w:cs="Arial"/>
        </w:rPr>
      </w:pPr>
      <w:r w:rsidRPr="008A39AD">
        <w:rPr>
          <w:rFonts w:ascii="Arial" w:hAnsi="Arial" w:cs="Arial"/>
          <w:bCs/>
        </w:rPr>
        <w:t>Mark Lambie</w:t>
      </w:r>
      <w:r w:rsidR="00601AF8" w:rsidRPr="008A39AD">
        <w:rPr>
          <w:rFonts w:ascii="Arial" w:hAnsi="Arial" w:cs="Arial"/>
          <w:bCs/>
        </w:rPr>
        <w:t>, MD</w:t>
      </w:r>
      <w:r w:rsidR="00E5392F" w:rsidRPr="008A39AD">
        <w:rPr>
          <w:rFonts w:ascii="Arial" w:hAnsi="Arial" w:cs="Arial"/>
          <w:vertAlign w:val="superscript"/>
        </w:rPr>
        <w:t>1</w:t>
      </w:r>
      <w:r w:rsidRPr="008A39AD">
        <w:rPr>
          <w:rFonts w:ascii="Arial" w:hAnsi="Arial" w:cs="Arial"/>
          <w:bCs/>
        </w:rPr>
        <w:t xml:space="preserve">, </w:t>
      </w:r>
      <w:r w:rsidR="006D58A6" w:rsidRPr="008A39AD">
        <w:rPr>
          <w:rFonts w:ascii="Arial" w:hAnsi="Arial" w:cs="Arial"/>
          <w:bCs/>
        </w:rPr>
        <w:t>Junhui Zhao</w:t>
      </w:r>
      <w:r w:rsidR="00601AF8" w:rsidRPr="008A39AD">
        <w:rPr>
          <w:rFonts w:ascii="Arial" w:hAnsi="Arial" w:cs="Arial"/>
          <w:bCs/>
        </w:rPr>
        <w:t>, PhD</w:t>
      </w:r>
      <w:r w:rsidR="006D58A6" w:rsidRPr="008A39AD">
        <w:rPr>
          <w:rFonts w:ascii="Arial" w:hAnsi="Arial" w:cs="Arial"/>
          <w:bCs/>
          <w:vertAlign w:val="superscript"/>
        </w:rPr>
        <w:t>2</w:t>
      </w:r>
      <w:r w:rsidR="006D58A6" w:rsidRPr="008A39AD">
        <w:rPr>
          <w:rFonts w:ascii="Arial" w:hAnsi="Arial" w:cs="Arial"/>
          <w:bCs/>
        </w:rPr>
        <w:t>, Keith McCullough</w:t>
      </w:r>
      <w:r w:rsidR="00601AF8" w:rsidRPr="008A39AD">
        <w:rPr>
          <w:rFonts w:ascii="Arial" w:hAnsi="Arial" w:cs="Arial"/>
          <w:bCs/>
        </w:rPr>
        <w:t>, PhD</w:t>
      </w:r>
      <w:r w:rsidR="006D58A6" w:rsidRPr="008A39AD">
        <w:rPr>
          <w:rFonts w:ascii="Arial" w:hAnsi="Arial" w:cs="Arial"/>
          <w:bCs/>
          <w:vertAlign w:val="superscript"/>
        </w:rPr>
        <w:t>2</w:t>
      </w:r>
      <w:r w:rsidR="006D58A6" w:rsidRPr="008A39AD">
        <w:rPr>
          <w:rFonts w:ascii="Arial" w:hAnsi="Arial" w:cs="Arial"/>
          <w:bCs/>
        </w:rPr>
        <w:t>, Simon J. Davies</w:t>
      </w:r>
      <w:r w:rsidR="00601AF8" w:rsidRPr="008A39AD">
        <w:rPr>
          <w:rFonts w:ascii="Arial" w:hAnsi="Arial" w:cs="Arial"/>
          <w:bCs/>
        </w:rPr>
        <w:t>, MD</w:t>
      </w:r>
      <w:r w:rsidR="00E5392F" w:rsidRPr="008A39AD">
        <w:rPr>
          <w:rFonts w:ascii="Arial" w:hAnsi="Arial" w:cs="Arial"/>
          <w:bCs/>
          <w:vertAlign w:val="superscript"/>
        </w:rPr>
        <w:t>1</w:t>
      </w:r>
      <w:r w:rsidR="006D58A6" w:rsidRPr="008A39AD">
        <w:rPr>
          <w:rFonts w:ascii="Arial" w:hAnsi="Arial" w:cs="Arial"/>
          <w:bCs/>
        </w:rPr>
        <w:t>, Hideki Kawanishi</w:t>
      </w:r>
      <w:r w:rsidR="00601AF8" w:rsidRPr="008A39AD">
        <w:rPr>
          <w:rFonts w:ascii="Arial" w:hAnsi="Arial" w:cs="Arial"/>
          <w:bCs/>
        </w:rPr>
        <w:t>, MD</w:t>
      </w:r>
      <w:r w:rsidR="00E5392F" w:rsidRPr="008A39AD">
        <w:rPr>
          <w:rFonts w:ascii="Arial" w:hAnsi="Arial" w:cs="Arial"/>
          <w:bCs/>
          <w:vertAlign w:val="superscript"/>
        </w:rPr>
        <w:t>3</w:t>
      </w:r>
      <w:r w:rsidR="006D58A6" w:rsidRPr="008A39AD">
        <w:rPr>
          <w:rFonts w:ascii="Arial" w:hAnsi="Arial" w:cs="Arial"/>
          <w:bCs/>
        </w:rPr>
        <w:t>, David W. Johnson</w:t>
      </w:r>
      <w:r w:rsidR="00601AF8" w:rsidRPr="008A39AD">
        <w:rPr>
          <w:rFonts w:ascii="Arial" w:hAnsi="Arial" w:cs="Arial"/>
          <w:bCs/>
        </w:rPr>
        <w:t>, MD</w:t>
      </w:r>
      <w:r w:rsidR="00E5392F" w:rsidRPr="008A39AD">
        <w:rPr>
          <w:rFonts w:ascii="Arial" w:hAnsi="Arial" w:cs="Arial"/>
          <w:bCs/>
          <w:vertAlign w:val="superscript"/>
        </w:rPr>
        <w:t>4</w:t>
      </w:r>
      <w:r w:rsidR="007D7C88" w:rsidRPr="008A39AD">
        <w:rPr>
          <w:rFonts w:ascii="Arial" w:hAnsi="Arial" w:cs="Arial"/>
          <w:bCs/>
          <w:vertAlign w:val="superscript"/>
        </w:rPr>
        <w:t>,</w:t>
      </w:r>
      <w:r w:rsidR="00E5392F" w:rsidRPr="008A39AD">
        <w:rPr>
          <w:rFonts w:ascii="Arial" w:hAnsi="Arial" w:cs="Arial"/>
          <w:bCs/>
          <w:vertAlign w:val="superscript"/>
        </w:rPr>
        <w:t>4</w:t>
      </w:r>
      <w:r w:rsidR="007D7C88" w:rsidRPr="008A39AD">
        <w:rPr>
          <w:rFonts w:ascii="Arial" w:hAnsi="Arial" w:cs="Arial"/>
          <w:bCs/>
          <w:vertAlign w:val="superscript"/>
        </w:rPr>
        <w:t>a</w:t>
      </w:r>
      <w:r w:rsidR="006D58A6" w:rsidRPr="008A39AD">
        <w:rPr>
          <w:rFonts w:ascii="Arial" w:hAnsi="Arial" w:cs="Arial"/>
          <w:bCs/>
        </w:rPr>
        <w:t>, James A. Sloand</w:t>
      </w:r>
      <w:r w:rsidR="00601AF8" w:rsidRPr="008A39AD">
        <w:rPr>
          <w:rFonts w:ascii="Arial" w:hAnsi="Arial" w:cs="Arial"/>
          <w:bCs/>
        </w:rPr>
        <w:t>, MD</w:t>
      </w:r>
      <w:r w:rsidR="00E5392F" w:rsidRPr="008A39AD">
        <w:rPr>
          <w:rFonts w:ascii="Arial" w:hAnsi="Arial" w:cs="Arial"/>
          <w:bCs/>
          <w:vertAlign w:val="superscript"/>
        </w:rPr>
        <w:t>5</w:t>
      </w:r>
      <w:r w:rsidR="00CC7F93" w:rsidRPr="008A39AD">
        <w:rPr>
          <w:rFonts w:ascii="Arial" w:hAnsi="Arial" w:cs="Arial"/>
          <w:bCs/>
          <w:vertAlign w:val="superscript"/>
        </w:rPr>
        <w:t>,</w:t>
      </w:r>
      <w:r w:rsidR="00FF2D4C" w:rsidRPr="008A39AD">
        <w:rPr>
          <w:rFonts w:ascii="Arial" w:hAnsi="Arial" w:cs="Arial"/>
          <w:bCs/>
          <w:vertAlign w:val="superscript"/>
        </w:rPr>
        <w:t>5</w:t>
      </w:r>
      <w:r w:rsidR="00CC7F93" w:rsidRPr="008A39AD">
        <w:rPr>
          <w:rFonts w:ascii="Arial" w:hAnsi="Arial" w:cs="Arial"/>
          <w:bCs/>
          <w:vertAlign w:val="superscript"/>
        </w:rPr>
        <w:t>a</w:t>
      </w:r>
      <w:r w:rsidR="006D58A6" w:rsidRPr="008A39AD">
        <w:rPr>
          <w:rFonts w:ascii="Arial" w:hAnsi="Arial" w:cs="Arial"/>
          <w:bCs/>
        </w:rPr>
        <w:t>, Mauricio Sanabria</w:t>
      </w:r>
      <w:r w:rsidR="00601AF8" w:rsidRPr="008A39AD">
        <w:rPr>
          <w:rFonts w:ascii="Arial" w:hAnsi="Arial" w:cs="Arial"/>
          <w:bCs/>
        </w:rPr>
        <w:t>, MD</w:t>
      </w:r>
      <w:r w:rsidR="00FF2D4C" w:rsidRPr="008A39AD">
        <w:rPr>
          <w:rFonts w:ascii="Arial" w:hAnsi="Arial" w:cs="Arial"/>
          <w:bCs/>
          <w:vertAlign w:val="superscript"/>
        </w:rPr>
        <w:t>6</w:t>
      </w:r>
      <w:r w:rsidR="006D58A6" w:rsidRPr="008A39AD">
        <w:rPr>
          <w:rFonts w:ascii="Arial" w:hAnsi="Arial" w:cs="Arial"/>
          <w:bCs/>
        </w:rPr>
        <w:t xml:space="preserve">, </w:t>
      </w:r>
      <w:proofErr w:type="spellStart"/>
      <w:r w:rsidR="006D58A6" w:rsidRPr="008A39AD">
        <w:rPr>
          <w:rFonts w:ascii="Arial" w:hAnsi="Arial" w:cs="Arial"/>
          <w:bCs/>
        </w:rPr>
        <w:t>Talerngsak</w:t>
      </w:r>
      <w:proofErr w:type="spellEnd"/>
      <w:r w:rsidR="006D58A6" w:rsidRPr="008A39AD">
        <w:rPr>
          <w:rFonts w:ascii="Arial" w:hAnsi="Arial" w:cs="Arial"/>
          <w:bCs/>
        </w:rPr>
        <w:t xml:space="preserve"> </w:t>
      </w:r>
      <w:proofErr w:type="spellStart"/>
      <w:r w:rsidR="006D58A6" w:rsidRPr="008A39AD">
        <w:rPr>
          <w:rFonts w:ascii="Arial" w:hAnsi="Arial" w:cs="Arial"/>
          <w:bCs/>
        </w:rPr>
        <w:t>Kanjanabuch</w:t>
      </w:r>
      <w:proofErr w:type="spellEnd"/>
      <w:r w:rsidR="00601AF8" w:rsidRPr="008A39AD">
        <w:rPr>
          <w:rFonts w:ascii="Arial" w:hAnsi="Arial" w:cs="Arial"/>
          <w:bCs/>
        </w:rPr>
        <w:t>, MD</w:t>
      </w:r>
      <w:r w:rsidR="00FF2D4C" w:rsidRPr="008A39AD">
        <w:rPr>
          <w:rFonts w:ascii="Arial" w:hAnsi="Arial" w:cs="Arial"/>
          <w:bCs/>
          <w:vertAlign w:val="superscript"/>
        </w:rPr>
        <w:t>7</w:t>
      </w:r>
      <w:r w:rsidR="00C90C6D" w:rsidRPr="008A39AD">
        <w:rPr>
          <w:rFonts w:ascii="Arial" w:hAnsi="Arial" w:cs="Arial"/>
          <w:bCs/>
          <w:vertAlign w:val="superscript"/>
        </w:rPr>
        <w:t>,</w:t>
      </w:r>
      <w:r w:rsidR="00FF2D4C" w:rsidRPr="008A39AD">
        <w:rPr>
          <w:rFonts w:ascii="Arial" w:hAnsi="Arial" w:cs="Arial"/>
          <w:bCs/>
          <w:vertAlign w:val="superscript"/>
        </w:rPr>
        <w:t>7</w:t>
      </w:r>
      <w:r w:rsidR="00C90C6D" w:rsidRPr="008A39AD">
        <w:rPr>
          <w:rFonts w:ascii="Arial" w:hAnsi="Arial" w:cs="Arial"/>
          <w:bCs/>
          <w:vertAlign w:val="superscript"/>
        </w:rPr>
        <w:t>a</w:t>
      </w:r>
      <w:r w:rsidR="006D58A6" w:rsidRPr="008A39AD">
        <w:rPr>
          <w:rFonts w:ascii="Arial" w:hAnsi="Arial" w:cs="Arial"/>
          <w:bCs/>
        </w:rPr>
        <w:t>, Yong-Lim Kim</w:t>
      </w:r>
      <w:r w:rsidR="00601AF8" w:rsidRPr="008A39AD">
        <w:rPr>
          <w:rFonts w:ascii="Arial" w:hAnsi="Arial" w:cs="Arial"/>
          <w:bCs/>
        </w:rPr>
        <w:t>, MD</w:t>
      </w:r>
      <w:r w:rsidR="00FF2D4C" w:rsidRPr="008A39AD">
        <w:rPr>
          <w:rFonts w:ascii="Arial" w:hAnsi="Arial" w:cs="Arial"/>
          <w:bCs/>
          <w:vertAlign w:val="superscript"/>
        </w:rPr>
        <w:t>8</w:t>
      </w:r>
      <w:r w:rsidR="006D58A6" w:rsidRPr="008A39AD">
        <w:rPr>
          <w:rFonts w:ascii="Arial" w:hAnsi="Arial" w:cs="Arial"/>
          <w:bCs/>
        </w:rPr>
        <w:t>, Jenny I. Shen</w:t>
      </w:r>
      <w:r w:rsidR="00601AF8" w:rsidRPr="008A39AD">
        <w:rPr>
          <w:rFonts w:ascii="Arial" w:hAnsi="Arial" w:cs="Arial"/>
          <w:bCs/>
        </w:rPr>
        <w:t>, MD</w:t>
      </w:r>
      <w:r w:rsidR="00FF2D4C" w:rsidRPr="008A39AD">
        <w:rPr>
          <w:rFonts w:ascii="Arial" w:hAnsi="Arial" w:cs="Arial"/>
          <w:bCs/>
          <w:vertAlign w:val="superscript"/>
        </w:rPr>
        <w:t>9</w:t>
      </w:r>
      <w:r w:rsidR="006D58A6" w:rsidRPr="008A39AD">
        <w:rPr>
          <w:rFonts w:ascii="Arial" w:hAnsi="Arial" w:cs="Arial"/>
          <w:bCs/>
        </w:rPr>
        <w:t>, Ronald L. Pisoni</w:t>
      </w:r>
      <w:r w:rsidR="00601AF8" w:rsidRPr="008A39AD">
        <w:rPr>
          <w:rFonts w:ascii="Arial" w:hAnsi="Arial" w:cs="Arial"/>
          <w:bCs/>
        </w:rPr>
        <w:t>, PhD</w:t>
      </w:r>
      <w:r w:rsidR="006D58A6" w:rsidRPr="008A39AD">
        <w:rPr>
          <w:rFonts w:ascii="Arial" w:hAnsi="Arial" w:cs="Arial"/>
          <w:bCs/>
          <w:vertAlign w:val="superscript"/>
        </w:rPr>
        <w:t>2</w:t>
      </w:r>
      <w:r w:rsidR="006D58A6" w:rsidRPr="008A39AD">
        <w:rPr>
          <w:rFonts w:ascii="Arial" w:hAnsi="Arial" w:cs="Arial"/>
          <w:bCs/>
        </w:rPr>
        <w:t>, Bruce M. Robinson</w:t>
      </w:r>
      <w:r w:rsidR="00601AF8" w:rsidRPr="008A39AD">
        <w:rPr>
          <w:rFonts w:ascii="Arial" w:hAnsi="Arial" w:cs="Arial"/>
          <w:bCs/>
        </w:rPr>
        <w:t>, MD</w:t>
      </w:r>
      <w:r w:rsidR="006D58A6" w:rsidRPr="008A39AD">
        <w:rPr>
          <w:rFonts w:ascii="Arial" w:hAnsi="Arial" w:cs="Arial"/>
          <w:bCs/>
          <w:vertAlign w:val="superscript"/>
        </w:rPr>
        <w:t>2</w:t>
      </w:r>
      <w:r w:rsidRPr="008A39AD">
        <w:rPr>
          <w:rFonts w:ascii="Arial" w:hAnsi="Arial" w:cs="Arial"/>
          <w:bCs/>
        </w:rPr>
        <w:t>, and Jeffrey Perl</w:t>
      </w:r>
      <w:r w:rsidR="00601AF8" w:rsidRPr="008A39AD">
        <w:rPr>
          <w:rFonts w:ascii="Arial" w:hAnsi="Arial" w:cs="Arial"/>
          <w:bCs/>
        </w:rPr>
        <w:t>, MD</w:t>
      </w:r>
      <w:r w:rsidRPr="008A39AD">
        <w:rPr>
          <w:rFonts w:ascii="Arial" w:hAnsi="Arial" w:cs="Arial"/>
          <w:bCs/>
          <w:vertAlign w:val="superscript"/>
        </w:rPr>
        <w:t>1</w:t>
      </w:r>
      <w:r w:rsidR="00FF2D4C" w:rsidRPr="008A39AD">
        <w:rPr>
          <w:rFonts w:ascii="Arial" w:hAnsi="Arial" w:cs="Arial"/>
          <w:bCs/>
          <w:vertAlign w:val="superscript"/>
        </w:rPr>
        <w:t>0</w:t>
      </w:r>
    </w:p>
    <w:p w14:paraId="1BDFDF3F" w14:textId="22E7B587" w:rsidR="00E5392F" w:rsidRPr="008A39AD" w:rsidRDefault="00E5392F" w:rsidP="00E5392F">
      <w:pPr>
        <w:spacing w:after="0" w:line="240" w:lineRule="auto"/>
        <w:rPr>
          <w:rFonts w:ascii="Arial" w:hAnsi="Arial" w:cs="Arial"/>
        </w:rPr>
      </w:pPr>
      <w:r w:rsidRPr="008A39AD">
        <w:rPr>
          <w:rFonts w:ascii="Arial" w:hAnsi="Arial" w:cs="Arial"/>
          <w:vertAlign w:val="superscript"/>
        </w:rPr>
        <w:t xml:space="preserve">1 </w:t>
      </w:r>
      <w:r w:rsidRPr="008A39AD">
        <w:rPr>
          <w:rFonts w:ascii="Arial" w:hAnsi="Arial" w:cs="Arial"/>
        </w:rPr>
        <w:t xml:space="preserve">Faculty of Medicine and Health Sciences, Keele University, Keele, United Kingdom; </w:t>
      </w:r>
    </w:p>
    <w:p w14:paraId="60BE8951" w14:textId="77777777" w:rsidR="00E5392F" w:rsidRPr="008A39AD" w:rsidRDefault="00E5392F" w:rsidP="00E5392F">
      <w:pPr>
        <w:spacing w:after="0" w:line="240" w:lineRule="auto"/>
        <w:rPr>
          <w:rFonts w:ascii="Arial" w:hAnsi="Arial" w:cs="Arial"/>
        </w:rPr>
      </w:pPr>
      <w:r w:rsidRPr="008A39AD">
        <w:rPr>
          <w:rFonts w:ascii="Arial" w:hAnsi="Arial" w:cs="Arial"/>
          <w:vertAlign w:val="superscript"/>
        </w:rPr>
        <w:t>2</w:t>
      </w:r>
      <w:r w:rsidRPr="008A39AD">
        <w:rPr>
          <w:rFonts w:ascii="Arial" w:hAnsi="Arial" w:cs="Arial"/>
        </w:rPr>
        <w:t xml:space="preserve">Arbor Research Collaborative for Health, Ann Arbor, MI, United States; </w:t>
      </w:r>
    </w:p>
    <w:p w14:paraId="49C0D939" w14:textId="745A8F66" w:rsidR="006D58A6" w:rsidRPr="008A39AD" w:rsidRDefault="00E5392F" w:rsidP="00CA6D15">
      <w:pPr>
        <w:spacing w:after="0" w:line="240" w:lineRule="auto"/>
        <w:rPr>
          <w:rFonts w:ascii="Arial" w:hAnsi="Arial" w:cs="Arial"/>
        </w:rPr>
      </w:pPr>
      <w:r w:rsidRPr="008A39AD">
        <w:rPr>
          <w:rFonts w:ascii="Arial" w:hAnsi="Arial" w:cs="Arial"/>
          <w:vertAlign w:val="superscript"/>
        </w:rPr>
        <w:t>3</w:t>
      </w:r>
      <w:r w:rsidRPr="008A39AD">
        <w:rPr>
          <w:rFonts w:ascii="Arial" w:hAnsi="Arial" w:cs="Arial"/>
        </w:rPr>
        <w:t xml:space="preserve">Tsuchiya General Hospital, Hiroshima, Japan; </w:t>
      </w:r>
    </w:p>
    <w:p w14:paraId="179D0DF4" w14:textId="4B8A2C6D" w:rsidR="006D58A6" w:rsidRPr="008A39AD" w:rsidRDefault="00E5392F" w:rsidP="00CA6D15">
      <w:pPr>
        <w:spacing w:after="0" w:line="240" w:lineRule="auto"/>
        <w:rPr>
          <w:rFonts w:ascii="Arial" w:hAnsi="Arial" w:cs="Arial"/>
        </w:rPr>
      </w:pPr>
      <w:r w:rsidRPr="008A39AD">
        <w:rPr>
          <w:rFonts w:ascii="Arial" w:hAnsi="Arial" w:cs="Arial"/>
          <w:vertAlign w:val="superscript"/>
        </w:rPr>
        <w:t>4</w:t>
      </w:r>
      <w:r w:rsidR="006D58A6" w:rsidRPr="008A39AD">
        <w:rPr>
          <w:rFonts w:ascii="Arial" w:hAnsi="Arial" w:cs="Arial"/>
        </w:rPr>
        <w:t xml:space="preserve">Princess Alexandra Hospital, Brisbane, QLD, Australia; </w:t>
      </w:r>
    </w:p>
    <w:p w14:paraId="6B4ADBFA" w14:textId="6E03AC5E" w:rsidR="007D7C88" w:rsidRPr="008A39AD" w:rsidRDefault="00E5392F" w:rsidP="00CA6D15">
      <w:pPr>
        <w:spacing w:after="0" w:line="240" w:lineRule="auto"/>
        <w:rPr>
          <w:rFonts w:ascii="Arial" w:hAnsi="Arial" w:cs="Arial"/>
        </w:rPr>
      </w:pPr>
      <w:r w:rsidRPr="008A39AD">
        <w:rPr>
          <w:rFonts w:ascii="Arial" w:hAnsi="Arial" w:cs="Arial"/>
          <w:vertAlign w:val="superscript"/>
        </w:rPr>
        <w:t>4</w:t>
      </w:r>
      <w:r w:rsidR="007D7C88" w:rsidRPr="008A39AD">
        <w:rPr>
          <w:rFonts w:ascii="Arial" w:hAnsi="Arial" w:cs="Arial"/>
          <w:vertAlign w:val="superscript"/>
        </w:rPr>
        <w:t>a</w:t>
      </w:r>
      <w:r w:rsidR="007D7C88" w:rsidRPr="008A39AD">
        <w:rPr>
          <w:rFonts w:ascii="Arial" w:hAnsi="Arial" w:cs="Arial"/>
        </w:rPr>
        <w:t>Australasian Kidney Trials Network, University of Queensland, Brisbane, QLD, Australia;</w:t>
      </w:r>
    </w:p>
    <w:p w14:paraId="69A7B8FA" w14:textId="5E69D43A" w:rsidR="00CC7F93" w:rsidRPr="008A39AD" w:rsidRDefault="00E5392F" w:rsidP="00CA6D15">
      <w:pPr>
        <w:spacing w:after="0" w:line="240" w:lineRule="auto"/>
        <w:rPr>
          <w:rFonts w:ascii="Arial" w:hAnsi="Arial" w:cs="Arial"/>
        </w:rPr>
      </w:pPr>
      <w:r w:rsidRPr="008A39AD">
        <w:rPr>
          <w:rFonts w:ascii="Arial" w:hAnsi="Arial" w:cs="Arial"/>
          <w:vertAlign w:val="superscript"/>
        </w:rPr>
        <w:t>5</w:t>
      </w:r>
      <w:r w:rsidR="00F30235" w:rsidRPr="008A39AD">
        <w:rPr>
          <w:rFonts w:ascii="Arial" w:hAnsi="Arial" w:cs="Arial"/>
        </w:rPr>
        <w:t>JAS Renaissance, Chicago, IL, United States</w:t>
      </w:r>
      <w:r w:rsidRPr="008A39AD">
        <w:rPr>
          <w:rFonts w:ascii="Arial" w:hAnsi="Arial" w:cs="Arial"/>
          <w:vertAlign w:val="superscript"/>
        </w:rPr>
        <w:t>5</w:t>
      </w:r>
      <w:r w:rsidR="00CC7F93" w:rsidRPr="008A39AD">
        <w:rPr>
          <w:rFonts w:ascii="Arial" w:hAnsi="Arial" w:cs="Arial"/>
          <w:vertAlign w:val="superscript"/>
        </w:rPr>
        <w:t>a</w:t>
      </w:r>
      <w:r w:rsidR="00CC7F93" w:rsidRPr="008A39AD">
        <w:rPr>
          <w:rFonts w:ascii="Arial" w:hAnsi="Arial" w:cs="Arial"/>
        </w:rPr>
        <w:t>George Washington University, Washington, DC, USA</w:t>
      </w:r>
    </w:p>
    <w:p w14:paraId="7FF0CBC9" w14:textId="36549F45" w:rsidR="006D58A6" w:rsidRPr="008A39AD" w:rsidRDefault="00FF2D4C" w:rsidP="00CA6D15">
      <w:pPr>
        <w:spacing w:after="0" w:line="240" w:lineRule="auto"/>
        <w:rPr>
          <w:rFonts w:ascii="Arial" w:hAnsi="Arial" w:cs="Arial"/>
        </w:rPr>
      </w:pPr>
      <w:r w:rsidRPr="008A39AD">
        <w:rPr>
          <w:rFonts w:ascii="Arial" w:hAnsi="Arial" w:cs="Arial"/>
          <w:vertAlign w:val="superscript"/>
        </w:rPr>
        <w:t>6</w:t>
      </w:r>
      <w:r w:rsidR="006D58A6" w:rsidRPr="008A39AD">
        <w:rPr>
          <w:rFonts w:ascii="Arial" w:hAnsi="Arial" w:cs="Arial"/>
        </w:rPr>
        <w:t xml:space="preserve">RTS Baxter, Bogota, Colombia. </w:t>
      </w:r>
    </w:p>
    <w:p w14:paraId="53C6DCB9" w14:textId="58CE1D23" w:rsidR="006D58A6" w:rsidRPr="008A39AD" w:rsidRDefault="00FF2D4C" w:rsidP="00CA6D15">
      <w:pPr>
        <w:spacing w:after="0" w:line="240" w:lineRule="auto"/>
        <w:rPr>
          <w:rFonts w:ascii="Arial" w:hAnsi="Arial" w:cs="Arial"/>
        </w:rPr>
      </w:pPr>
      <w:r w:rsidRPr="008A39AD">
        <w:rPr>
          <w:rFonts w:ascii="Arial" w:hAnsi="Arial" w:cs="Arial"/>
          <w:vertAlign w:val="superscript"/>
        </w:rPr>
        <w:t>7</w:t>
      </w:r>
      <w:r w:rsidR="00C90C6D" w:rsidRPr="008A39AD">
        <w:rPr>
          <w:rFonts w:ascii="Arial" w:hAnsi="Arial" w:cs="Arial"/>
        </w:rPr>
        <w:t xml:space="preserve">Division of Nephrology, Department of Medicine, </w:t>
      </w:r>
      <w:r w:rsidRPr="008A39AD">
        <w:rPr>
          <w:rFonts w:ascii="Arial" w:hAnsi="Arial" w:cs="Cordia New"/>
          <w:szCs w:val="28"/>
          <w:vertAlign w:val="superscript"/>
          <w:lang w:bidi="th-TH"/>
        </w:rPr>
        <w:t>7</w:t>
      </w:r>
      <w:r w:rsidR="00C90C6D" w:rsidRPr="008A39AD">
        <w:rPr>
          <w:rFonts w:ascii="Arial" w:hAnsi="Arial" w:cs="Cordia New"/>
          <w:szCs w:val="28"/>
          <w:vertAlign w:val="superscript"/>
          <w:lang w:bidi="th-TH"/>
        </w:rPr>
        <w:t>a</w:t>
      </w:r>
      <w:r w:rsidR="00C90C6D" w:rsidRPr="008A39AD">
        <w:rPr>
          <w:rFonts w:ascii="Arial" w:hAnsi="Arial" w:cs="Arial"/>
        </w:rPr>
        <w:t xml:space="preserve">Center of Excellence in Kidney Metabolic Disorders, Faculty of Medicine, </w:t>
      </w:r>
      <w:r w:rsidR="006D58A6" w:rsidRPr="008A39AD">
        <w:rPr>
          <w:rFonts w:ascii="Arial" w:hAnsi="Arial" w:cs="Arial"/>
        </w:rPr>
        <w:t xml:space="preserve">Chulalongkorn University, Bangkok, Thailand; </w:t>
      </w:r>
    </w:p>
    <w:p w14:paraId="0F0E850B" w14:textId="4BF7E680" w:rsidR="006D58A6" w:rsidRPr="008A39AD" w:rsidRDefault="00FF2D4C" w:rsidP="00CA6D15">
      <w:pPr>
        <w:spacing w:after="0" w:line="240" w:lineRule="auto"/>
        <w:rPr>
          <w:rFonts w:ascii="Arial" w:hAnsi="Arial" w:cs="Arial"/>
        </w:rPr>
      </w:pPr>
      <w:r w:rsidRPr="008A39AD">
        <w:rPr>
          <w:rFonts w:ascii="Arial" w:hAnsi="Arial" w:cs="Arial"/>
          <w:vertAlign w:val="superscript"/>
        </w:rPr>
        <w:t>8</w:t>
      </w:r>
      <w:r w:rsidR="006D58A6" w:rsidRPr="008A39AD">
        <w:rPr>
          <w:rFonts w:ascii="Arial" w:hAnsi="Arial" w:cs="Arial"/>
        </w:rPr>
        <w:t xml:space="preserve">School of Medicine, Kyungpook National University Hospital, Daegu, Korea (the Republic of); </w:t>
      </w:r>
      <w:r w:rsidRPr="008A39AD">
        <w:rPr>
          <w:rFonts w:ascii="Arial" w:hAnsi="Arial" w:cs="Arial"/>
          <w:vertAlign w:val="superscript"/>
        </w:rPr>
        <w:t>9</w:t>
      </w:r>
      <w:r w:rsidR="00925BE8" w:rsidRPr="008A39AD">
        <w:rPr>
          <w:rFonts w:ascii="Arial" w:hAnsi="Arial" w:cs="Arial"/>
        </w:rPr>
        <w:t xml:space="preserve">The Lundquist Institute </w:t>
      </w:r>
      <w:r w:rsidR="006D58A6" w:rsidRPr="008A39AD">
        <w:rPr>
          <w:rFonts w:ascii="Arial" w:hAnsi="Arial" w:cs="Arial"/>
        </w:rPr>
        <w:t>at Harbor-UCLA</w:t>
      </w:r>
      <w:r w:rsidR="00925BE8" w:rsidRPr="008A39AD">
        <w:rPr>
          <w:rFonts w:ascii="Arial" w:hAnsi="Arial" w:cs="Arial"/>
        </w:rPr>
        <w:t xml:space="preserve"> Medical Center</w:t>
      </w:r>
      <w:r w:rsidR="006D58A6" w:rsidRPr="008A39AD">
        <w:rPr>
          <w:rFonts w:ascii="Arial" w:hAnsi="Arial" w:cs="Arial"/>
        </w:rPr>
        <w:t>, Torrance, CA, United States.</w:t>
      </w:r>
    </w:p>
    <w:p w14:paraId="3B12B6B0" w14:textId="5BCA20D6" w:rsidR="006D58A6" w:rsidRPr="008A39AD" w:rsidRDefault="00E5392F" w:rsidP="00CC7F93">
      <w:pPr>
        <w:spacing w:line="480" w:lineRule="auto"/>
        <w:rPr>
          <w:rFonts w:ascii="Arial" w:hAnsi="Arial" w:cs="Arial"/>
        </w:rPr>
      </w:pPr>
      <w:r w:rsidRPr="008A39AD">
        <w:rPr>
          <w:rFonts w:ascii="Arial" w:hAnsi="Arial" w:cs="Arial"/>
          <w:vertAlign w:val="superscript"/>
        </w:rPr>
        <w:t>1</w:t>
      </w:r>
      <w:r w:rsidR="00FF2D4C" w:rsidRPr="008A39AD">
        <w:rPr>
          <w:rFonts w:ascii="Arial" w:hAnsi="Arial" w:cs="Arial"/>
          <w:vertAlign w:val="superscript"/>
        </w:rPr>
        <w:t>0</w:t>
      </w:r>
      <w:r w:rsidRPr="008A39AD">
        <w:rPr>
          <w:rFonts w:ascii="Arial" w:hAnsi="Arial" w:cs="Arial"/>
        </w:rPr>
        <w:t>St. Michael's Hospital, Toronto, ON, Canada;</w:t>
      </w:r>
    </w:p>
    <w:p w14:paraId="05CE871A" w14:textId="4B342F82" w:rsidR="00E0068A" w:rsidRPr="008A39AD" w:rsidRDefault="00E0068A">
      <w:pPr>
        <w:rPr>
          <w:rFonts w:ascii="Arial" w:hAnsi="Arial" w:cs="Arial"/>
          <w:b/>
        </w:rPr>
      </w:pPr>
      <w:r w:rsidRPr="008A39AD">
        <w:rPr>
          <w:rFonts w:ascii="Arial" w:hAnsi="Arial" w:cs="Arial"/>
          <w:b/>
        </w:rPr>
        <w:t>Corresponding Author</w:t>
      </w:r>
    </w:p>
    <w:p w14:paraId="2C0F5AE1" w14:textId="1DA95CCB" w:rsidR="00F348FD" w:rsidRPr="008A39AD" w:rsidRDefault="00F348FD" w:rsidP="00CA6D15">
      <w:pPr>
        <w:spacing w:after="0" w:line="240" w:lineRule="auto"/>
        <w:rPr>
          <w:rFonts w:ascii="Arial" w:hAnsi="Arial" w:cs="Arial"/>
          <w:bCs/>
        </w:rPr>
      </w:pPr>
      <w:r w:rsidRPr="008A39AD">
        <w:rPr>
          <w:rFonts w:ascii="Arial" w:hAnsi="Arial" w:cs="Arial"/>
          <w:bCs/>
        </w:rPr>
        <w:t xml:space="preserve">Jeffrey Perl </w:t>
      </w:r>
    </w:p>
    <w:p w14:paraId="063B537F" w14:textId="77777777" w:rsidR="00F348FD" w:rsidRPr="008A39AD" w:rsidRDefault="00F348FD" w:rsidP="00CA6D15">
      <w:pPr>
        <w:spacing w:after="0" w:line="240" w:lineRule="auto"/>
        <w:rPr>
          <w:rFonts w:ascii="Arial" w:hAnsi="Arial" w:cs="Arial"/>
          <w:bCs/>
        </w:rPr>
      </w:pPr>
      <w:r w:rsidRPr="008A39AD">
        <w:rPr>
          <w:rFonts w:ascii="Arial" w:hAnsi="Arial" w:cs="Arial"/>
          <w:bCs/>
        </w:rPr>
        <w:t xml:space="preserve">3-060 </w:t>
      </w:r>
      <w:proofErr w:type="spellStart"/>
      <w:r w:rsidRPr="008A39AD">
        <w:rPr>
          <w:rFonts w:ascii="Arial" w:hAnsi="Arial" w:cs="Arial"/>
          <w:bCs/>
        </w:rPr>
        <w:t>Shuter</w:t>
      </w:r>
      <w:proofErr w:type="spellEnd"/>
      <w:r w:rsidRPr="008A39AD">
        <w:rPr>
          <w:rFonts w:ascii="Arial" w:hAnsi="Arial" w:cs="Arial"/>
          <w:bCs/>
        </w:rPr>
        <w:t xml:space="preserve"> Wing</w:t>
      </w:r>
    </w:p>
    <w:p w14:paraId="055989F4" w14:textId="2CDBC5AD" w:rsidR="00F348FD" w:rsidRPr="008A39AD" w:rsidRDefault="00F348FD" w:rsidP="00CA6D15">
      <w:pPr>
        <w:spacing w:after="0" w:line="240" w:lineRule="auto"/>
        <w:rPr>
          <w:rFonts w:ascii="Arial" w:hAnsi="Arial" w:cs="Arial"/>
          <w:bCs/>
        </w:rPr>
      </w:pPr>
      <w:r w:rsidRPr="008A39AD">
        <w:rPr>
          <w:rFonts w:ascii="Arial" w:hAnsi="Arial" w:cs="Arial"/>
          <w:bCs/>
        </w:rPr>
        <w:t>30 Bond Street</w:t>
      </w:r>
    </w:p>
    <w:p w14:paraId="2AB52680" w14:textId="1C86AAA7" w:rsidR="00F348FD" w:rsidRPr="008A39AD" w:rsidRDefault="00F348FD" w:rsidP="00CA6D15">
      <w:pPr>
        <w:spacing w:after="0" w:line="240" w:lineRule="auto"/>
        <w:rPr>
          <w:rFonts w:ascii="Arial" w:hAnsi="Arial" w:cs="Arial"/>
          <w:bCs/>
        </w:rPr>
      </w:pPr>
      <w:r w:rsidRPr="008A39AD">
        <w:rPr>
          <w:rFonts w:ascii="Arial" w:hAnsi="Arial" w:cs="Arial"/>
          <w:bCs/>
        </w:rPr>
        <w:t>Toronto, ON</w:t>
      </w:r>
    </w:p>
    <w:p w14:paraId="754D86B5" w14:textId="0816F67C" w:rsidR="00F348FD" w:rsidRPr="008A39AD" w:rsidRDefault="00F348FD" w:rsidP="00CA6D15">
      <w:pPr>
        <w:spacing w:after="0" w:line="240" w:lineRule="auto"/>
        <w:rPr>
          <w:rFonts w:ascii="Arial" w:hAnsi="Arial" w:cs="Arial"/>
          <w:bCs/>
        </w:rPr>
      </w:pPr>
      <w:r w:rsidRPr="008A39AD">
        <w:rPr>
          <w:rFonts w:ascii="Arial" w:hAnsi="Arial" w:cs="Arial"/>
          <w:bCs/>
        </w:rPr>
        <w:t>M5B 1W8</w:t>
      </w:r>
    </w:p>
    <w:p w14:paraId="7AE283DE" w14:textId="0B1DB367" w:rsidR="00F348FD" w:rsidRPr="008A39AD" w:rsidRDefault="00F348FD" w:rsidP="00CA6D15">
      <w:pPr>
        <w:spacing w:after="0" w:line="240" w:lineRule="auto"/>
        <w:rPr>
          <w:rFonts w:ascii="Arial" w:hAnsi="Arial" w:cs="Arial"/>
          <w:bCs/>
        </w:rPr>
      </w:pPr>
      <w:r w:rsidRPr="008A39AD">
        <w:rPr>
          <w:rFonts w:ascii="Arial" w:hAnsi="Arial" w:cs="Arial"/>
          <w:bCs/>
        </w:rPr>
        <w:t>Phone: 416-864-6016 Fax: 416-488-1048</w:t>
      </w:r>
    </w:p>
    <w:p w14:paraId="0D783B35" w14:textId="65810D78" w:rsidR="00F348FD" w:rsidRPr="008A39AD" w:rsidRDefault="002E3FC4" w:rsidP="0083749B">
      <w:pPr>
        <w:spacing w:after="0" w:line="240" w:lineRule="auto"/>
        <w:rPr>
          <w:rFonts w:ascii="Arial" w:hAnsi="Arial" w:cs="Arial"/>
          <w:bCs/>
        </w:rPr>
      </w:pPr>
      <w:hyperlink r:id="rId8" w:history="1">
        <w:r w:rsidR="00F348FD" w:rsidRPr="008A39AD">
          <w:rPr>
            <w:rStyle w:val="Hyperlink"/>
            <w:rFonts w:ascii="Arial" w:hAnsi="Arial" w:cs="Arial"/>
            <w:bCs/>
          </w:rPr>
          <w:t>Jeffrey.perl@unityhealth.to</w:t>
        </w:r>
      </w:hyperlink>
    </w:p>
    <w:p w14:paraId="22EE9208" w14:textId="77777777" w:rsidR="0083749B" w:rsidRPr="008A39AD" w:rsidRDefault="0083749B" w:rsidP="00CA6D15">
      <w:pPr>
        <w:spacing w:after="0" w:line="240" w:lineRule="auto"/>
        <w:rPr>
          <w:rFonts w:ascii="Arial" w:hAnsi="Arial" w:cs="Arial"/>
          <w:bCs/>
        </w:rPr>
      </w:pPr>
    </w:p>
    <w:p w14:paraId="05E8330F" w14:textId="288B2A6F" w:rsidR="00601AF8" w:rsidRPr="008A39AD" w:rsidRDefault="00E0068A">
      <w:pPr>
        <w:rPr>
          <w:rFonts w:ascii="Arial" w:hAnsi="Arial" w:cs="Arial"/>
          <w:b/>
        </w:rPr>
      </w:pPr>
      <w:r w:rsidRPr="008A39AD">
        <w:rPr>
          <w:rFonts w:ascii="Arial" w:hAnsi="Arial" w:cs="Arial"/>
          <w:b/>
        </w:rPr>
        <w:t>Running Title</w:t>
      </w:r>
      <w:r w:rsidR="0083749B" w:rsidRPr="008A39AD">
        <w:rPr>
          <w:rFonts w:ascii="Arial" w:hAnsi="Arial" w:cs="Arial"/>
          <w:b/>
        </w:rPr>
        <w:t>:</w:t>
      </w:r>
      <w:r w:rsidR="00F348FD" w:rsidRPr="008A39AD">
        <w:rPr>
          <w:rFonts w:ascii="Arial" w:hAnsi="Arial" w:cs="Arial"/>
          <w:b/>
        </w:rPr>
        <w:t xml:space="preserve"> </w:t>
      </w:r>
      <w:r w:rsidR="00F348FD" w:rsidRPr="008A39AD">
        <w:rPr>
          <w:rFonts w:ascii="Arial" w:hAnsi="Arial" w:cs="Arial"/>
          <w:bCs/>
        </w:rPr>
        <w:t xml:space="preserve">Global Variation in </w:t>
      </w:r>
      <w:r w:rsidR="00E5392F" w:rsidRPr="008A39AD">
        <w:rPr>
          <w:rFonts w:ascii="Arial" w:hAnsi="Arial" w:cs="Arial"/>
          <w:bCs/>
        </w:rPr>
        <w:t>PD</w:t>
      </w:r>
      <w:r w:rsidR="00F348FD" w:rsidRPr="008A39AD">
        <w:rPr>
          <w:rFonts w:ascii="Arial" w:hAnsi="Arial" w:cs="Arial"/>
          <w:bCs/>
        </w:rPr>
        <w:t xml:space="preserve"> Time on Therapy</w:t>
      </w:r>
      <w:r w:rsidR="00F348FD" w:rsidRPr="008A39AD">
        <w:rPr>
          <w:rFonts w:ascii="Arial" w:hAnsi="Arial" w:cs="Arial"/>
          <w:b/>
        </w:rPr>
        <w:t xml:space="preserve"> </w:t>
      </w:r>
    </w:p>
    <w:p w14:paraId="7DE7A98E" w14:textId="6689D25A" w:rsidR="009C0C05" w:rsidRPr="008A39AD" w:rsidRDefault="009C0C05">
      <w:pPr>
        <w:rPr>
          <w:rFonts w:ascii="Arial" w:hAnsi="Arial" w:cs="Arial"/>
          <w:b/>
        </w:rPr>
      </w:pPr>
      <w:r w:rsidRPr="008A39AD">
        <w:rPr>
          <w:rFonts w:ascii="Arial" w:hAnsi="Arial" w:cs="Arial"/>
          <w:b/>
        </w:rPr>
        <w:t xml:space="preserve">Word counts: </w:t>
      </w:r>
      <w:r w:rsidRPr="008A39AD">
        <w:rPr>
          <w:rFonts w:ascii="Arial" w:hAnsi="Arial" w:cs="Arial"/>
          <w:bCs/>
        </w:rPr>
        <w:t xml:space="preserve">Abstract: </w:t>
      </w:r>
      <w:r w:rsidR="001709E2" w:rsidRPr="008A39AD">
        <w:rPr>
          <w:rFonts w:ascii="Arial" w:hAnsi="Arial" w:cs="Arial"/>
          <w:bCs/>
        </w:rPr>
        <w:t xml:space="preserve">232 </w:t>
      </w:r>
      <w:r w:rsidRPr="008A39AD">
        <w:rPr>
          <w:rFonts w:ascii="Arial" w:hAnsi="Arial" w:cs="Arial"/>
          <w:bCs/>
        </w:rPr>
        <w:t xml:space="preserve">Body: </w:t>
      </w:r>
      <w:r w:rsidR="001709E2" w:rsidRPr="008A39AD">
        <w:rPr>
          <w:rFonts w:ascii="Arial" w:hAnsi="Arial" w:cs="Arial"/>
          <w:bCs/>
        </w:rPr>
        <w:t xml:space="preserve">3327 </w:t>
      </w:r>
      <w:r w:rsidRPr="008A39AD">
        <w:rPr>
          <w:rFonts w:ascii="Arial" w:hAnsi="Arial" w:cs="Arial"/>
          <w:bCs/>
        </w:rPr>
        <w:t xml:space="preserve">Figures: </w:t>
      </w:r>
      <w:r w:rsidR="001709E2" w:rsidRPr="008A39AD">
        <w:rPr>
          <w:rFonts w:ascii="Arial" w:hAnsi="Arial" w:cs="Arial"/>
          <w:bCs/>
        </w:rPr>
        <w:t xml:space="preserve">4 </w:t>
      </w:r>
      <w:r w:rsidRPr="008A39AD">
        <w:rPr>
          <w:rFonts w:ascii="Arial" w:hAnsi="Arial" w:cs="Arial"/>
          <w:bCs/>
        </w:rPr>
        <w:t xml:space="preserve">Tables: </w:t>
      </w:r>
      <w:r w:rsidR="001709E2" w:rsidRPr="008A39AD">
        <w:rPr>
          <w:rFonts w:ascii="Arial" w:hAnsi="Arial" w:cs="Arial"/>
          <w:bCs/>
        </w:rPr>
        <w:t>1</w:t>
      </w:r>
    </w:p>
    <w:p w14:paraId="205DA766" w14:textId="4B165DA0" w:rsidR="00CC3409" w:rsidRPr="008A39AD" w:rsidRDefault="00F14A3F" w:rsidP="004E2AD9">
      <w:pPr>
        <w:rPr>
          <w:rFonts w:ascii="Arial" w:hAnsi="Arial" w:cs="Arial"/>
          <w:b/>
        </w:rPr>
      </w:pPr>
      <w:r w:rsidRPr="008A39AD">
        <w:rPr>
          <w:rFonts w:ascii="Arial" w:hAnsi="Arial" w:cs="Arial"/>
          <w:b/>
        </w:rPr>
        <w:br w:type="page"/>
      </w:r>
      <w:r w:rsidR="00CC3409" w:rsidRPr="008A39AD">
        <w:rPr>
          <w:rFonts w:ascii="Arial" w:hAnsi="Arial" w:cs="Arial"/>
          <w:b/>
        </w:rPr>
        <w:lastRenderedPageBreak/>
        <w:t>ABSTRACT</w:t>
      </w:r>
    </w:p>
    <w:p w14:paraId="138ECB57" w14:textId="77777777" w:rsidR="00687070" w:rsidRPr="008A39AD" w:rsidRDefault="00687070" w:rsidP="004E2AD9">
      <w:pPr>
        <w:spacing w:line="480" w:lineRule="auto"/>
        <w:rPr>
          <w:rFonts w:ascii="Arial" w:hAnsi="Arial" w:cs="Arial"/>
          <w:b/>
          <w:bCs/>
          <w:color w:val="000000" w:themeColor="text1"/>
        </w:rPr>
      </w:pPr>
    </w:p>
    <w:p w14:paraId="4D8695E0" w14:textId="77777777" w:rsidR="001439AE" w:rsidRPr="008A39AD" w:rsidRDefault="001439AE" w:rsidP="001439AE">
      <w:pPr>
        <w:spacing w:line="480" w:lineRule="auto"/>
        <w:rPr>
          <w:rFonts w:ascii="Arial" w:hAnsi="Arial" w:cs="Arial"/>
          <w:color w:val="000000" w:themeColor="text1"/>
        </w:rPr>
      </w:pPr>
      <w:r w:rsidRPr="008A39AD">
        <w:rPr>
          <w:rFonts w:ascii="Arial" w:hAnsi="Arial" w:cs="Arial"/>
          <w:b/>
          <w:bCs/>
          <w:color w:val="000000" w:themeColor="text1"/>
        </w:rPr>
        <w:t>Background and Objectives:</w:t>
      </w:r>
      <w:r w:rsidRPr="008A39AD">
        <w:rPr>
          <w:rFonts w:ascii="Arial" w:hAnsi="Arial" w:cs="Arial"/>
          <w:color w:val="000000" w:themeColor="text1"/>
        </w:rPr>
        <w:t xml:space="preserve"> Quantifying contemporary peritoneal dialysis (PD) time on therapy is important for patients and providers. We describe time on PD in the context of outcomes of hemodialysis (HD) transfer, death, and kidney transplantation based on the multinational observational PDOPPS from 2014-2017. </w:t>
      </w:r>
    </w:p>
    <w:p w14:paraId="3F30828C" w14:textId="77777777" w:rsidR="001439AE" w:rsidRPr="008A39AD" w:rsidRDefault="001439AE" w:rsidP="001439AE">
      <w:pPr>
        <w:spacing w:line="480" w:lineRule="auto"/>
        <w:rPr>
          <w:rFonts w:ascii="Arial" w:hAnsi="Arial" w:cs="Arial"/>
        </w:rPr>
      </w:pPr>
      <w:r w:rsidRPr="008A39AD">
        <w:rPr>
          <w:rFonts w:ascii="Arial" w:hAnsi="Arial" w:cs="Arial"/>
          <w:b/>
          <w:bCs/>
          <w:color w:val="000000" w:themeColor="text1"/>
        </w:rPr>
        <w:t>Design, setting, participants and measurements:</w:t>
      </w:r>
      <w:r w:rsidRPr="008A39AD">
        <w:rPr>
          <w:rFonts w:ascii="Arial" w:hAnsi="Arial" w:cs="Arial"/>
          <w:color w:val="000000" w:themeColor="text1"/>
        </w:rPr>
        <w:t xml:space="preserve"> Among 218 randomly selected PD facilities (7121 patients) in PDOPPS from Australia/</w:t>
      </w:r>
      <w:r w:rsidRPr="008A39AD">
        <w:rPr>
          <w:rFonts w:ascii="Arial" w:hAnsi="Arial" w:cs="Arial"/>
        </w:rPr>
        <w:t>New Zealand, Canada, Japan, Thailand, UK, and US, we calculated the cumulative incidence from PD start to HD transfer, death, or kidney transplantation over 5 years, and adjusted hazard ratios for patient and facility factors associated with death and hemodialysis transfer.</w:t>
      </w:r>
    </w:p>
    <w:p w14:paraId="430D1C56" w14:textId="4B72451A" w:rsidR="001439AE" w:rsidRPr="008A39AD" w:rsidRDefault="001439AE" w:rsidP="001439AE">
      <w:pPr>
        <w:spacing w:line="480" w:lineRule="auto"/>
        <w:rPr>
          <w:rFonts w:ascii="Arial" w:hAnsi="Arial" w:cs="Arial"/>
        </w:rPr>
      </w:pPr>
      <w:r w:rsidRPr="008A39AD">
        <w:rPr>
          <w:rFonts w:ascii="Arial" w:hAnsi="Arial" w:cs="Arial"/>
          <w:b/>
          <w:bCs/>
        </w:rPr>
        <w:t>Results:</w:t>
      </w:r>
      <w:r w:rsidRPr="008A39AD">
        <w:rPr>
          <w:rFonts w:ascii="Arial" w:hAnsi="Arial" w:cs="Arial"/>
        </w:rPr>
        <w:t xml:space="preserve"> Median time on PD ranged from 1.7 [IQR 0.8-2.9] (UK) to 3.2 [IQR 1.5-6.0] (Japan) years and was longer with lower kidney transplantation rates [range: 32% (UK) to 2% (Japan, Thailand) over 3 years]. Adjusted HD transfer risk was lowest in Thailand, but death risk was higher in Thailand and the US compared to most countries. Infection was the leading cause of HD transfer, with higher HD transfer risks seen in patients having psychiatric disorder history or elevated BMI. </w:t>
      </w:r>
      <w:r w:rsidR="00CB32B1" w:rsidRPr="008A39AD">
        <w:rPr>
          <w:rFonts w:ascii="Arial" w:hAnsi="Arial" w:cs="Arial"/>
        </w:rPr>
        <w:t>The</w:t>
      </w:r>
      <w:r w:rsidRPr="008A39AD">
        <w:rPr>
          <w:rFonts w:ascii="Arial" w:hAnsi="Arial" w:cs="Arial"/>
        </w:rPr>
        <w:t xml:space="preserve"> proportion of patients with total weekly Kt/V ≥1.7 </w:t>
      </w:r>
      <w:r w:rsidR="00CB32B1" w:rsidRPr="008A39AD">
        <w:rPr>
          <w:rFonts w:ascii="Arial" w:hAnsi="Arial" w:cs="Arial"/>
        </w:rPr>
        <w:t xml:space="preserve">at a facility </w:t>
      </w:r>
      <w:r w:rsidRPr="008A39AD">
        <w:rPr>
          <w:rFonts w:ascii="Arial" w:hAnsi="Arial" w:cs="Arial"/>
        </w:rPr>
        <w:t>w</w:t>
      </w:r>
      <w:r w:rsidR="00CB32B1" w:rsidRPr="008A39AD">
        <w:rPr>
          <w:rFonts w:ascii="Arial" w:hAnsi="Arial" w:cs="Arial"/>
        </w:rPr>
        <w:t>as</w:t>
      </w:r>
      <w:r w:rsidRPr="008A39AD">
        <w:rPr>
          <w:rFonts w:ascii="Arial" w:hAnsi="Arial" w:cs="Arial"/>
        </w:rPr>
        <w:t xml:space="preserve"> not associated with death or HD transfer. </w:t>
      </w:r>
    </w:p>
    <w:p w14:paraId="6904E329" w14:textId="7C00A0E6" w:rsidR="001439AE" w:rsidRPr="008A39AD" w:rsidRDefault="001439AE" w:rsidP="001439AE">
      <w:pPr>
        <w:spacing w:line="480" w:lineRule="auto"/>
        <w:rPr>
          <w:rFonts w:ascii="Arial" w:hAnsi="Arial" w:cs="Arial"/>
          <w:color w:val="000000" w:themeColor="text1"/>
        </w:rPr>
      </w:pPr>
      <w:r w:rsidRPr="008A39AD">
        <w:rPr>
          <w:rFonts w:ascii="Arial" w:hAnsi="Arial" w:cs="Arial"/>
          <w:b/>
          <w:bCs/>
        </w:rPr>
        <w:t>Conclusions:</w:t>
      </w:r>
      <w:r w:rsidRPr="008A39AD">
        <w:rPr>
          <w:rFonts w:ascii="Arial" w:hAnsi="Arial" w:cs="Arial"/>
        </w:rPr>
        <w:t xml:space="preserve"> </w:t>
      </w:r>
      <w:r w:rsidRPr="008A39AD">
        <w:rPr>
          <w:rFonts w:ascii="Arial" w:hAnsi="Arial" w:cs="Arial"/>
          <w:color w:val="000000" w:themeColor="text1"/>
        </w:rPr>
        <w:t>Variation in time on PD across PDOPPS countries should be interpreted considering differential death and kidney transplantation rates. Identification of infection as a leading cause of HD transfer and patient and facility factors associated with risk of HD transfer can facilitate interventions to reduce these events.</w:t>
      </w:r>
    </w:p>
    <w:p w14:paraId="376503F2" w14:textId="0767A82E" w:rsidR="004E2AD9" w:rsidRPr="008A39AD" w:rsidRDefault="00601AF8" w:rsidP="00601AF8">
      <w:pPr>
        <w:rPr>
          <w:rFonts w:ascii="Arial" w:hAnsi="Arial" w:cs="Arial"/>
          <w:b/>
        </w:rPr>
      </w:pPr>
      <w:r w:rsidRPr="008A39AD">
        <w:rPr>
          <w:rFonts w:ascii="Arial" w:hAnsi="Arial" w:cs="Arial"/>
          <w:b/>
        </w:rPr>
        <w:t xml:space="preserve">Keywords:  </w:t>
      </w:r>
      <w:r w:rsidRPr="008A39AD">
        <w:rPr>
          <w:rFonts w:ascii="Arial" w:hAnsi="Arial" w:cs="Arial"/>
          <w:bCs/>
        </w:rPr>
        <w:t>Hemodialysis Transfer, Peritoneal Dialysis, Patient Survival, Technique Survival, Kidney Transplantation</w:t>
      </w:r>
      <w:r w:rsidRPr="008A39AD">
        <w:rPr>
          <w:rFonts w:ascii="Arial" w:hAnsi="Arial" w:cs="Arial"/>
          <w:b/>
        </w:rPr>
        <w:t xml:space="preserve"> </w:t>
      </w:r>
    </w:p>
    <w:p w14:paraId="3B8C2654" w14:textId="77777777" w:rsidR="001439AE" w:rsidRPr="008A39AD" w:rsidRDefault="001439AE">
      <w:pPr>
        <w:rPr>
          <w:rFonts w:ascii="Arial" w:hAnsi="Arial" w:cs="Arial"/>
          <w:b/>
        </w:rPr>
      </w:pPr>
    </w:p>
    <w:p w14:paraId="47399721" w14:textId="7BE1F26A" w:rsidR="004E2AD9" w:rsidRPr="008A39AD" w:rsidRDefault="004E2AD9" w:rsidP="00601AF8">
      <w:pPr>
        <w:rPr>
          <w:rFonts w:ascii="Arial" w:hAnsi="Arial" w:cs="Arial"/>
          <w:b/>
        </w:rPr>
      </w:pPr>
    </w:p>
    <w:p w14:paraId="09157798" w14:textId="72E3D541" w:rsidR="003206E8" w:rsidRPr="008A39AD" w:rsidRDefault="003206E8" w:rsidP="00C06E04">
      <w:pPr>
        <w:rPr>
          <w:rFonts w:ascii="Arial" w:hAnsi="Arial" w:cs="Arial"/>
          <w:b/>
          <w:bCs/>
        </w:rPr>
      </w:pPr>
      <w:r w:rsidRPr="008A39AD">
        <w:rPr>
          <w:rStyle w:val="msoins0"/>
          <w:rFonts w:ascii="Arial" w:eastAsia="Times New Roman" w:hAnsi="Arial" w:cs="Arial"/>
          <w:b/>
          <w:bCs/>
        </w:rPr>
        <w:t xml:space="preserve">INTRODUCTION </w:t>
      </w:r>
    </w:p>
    <w:p w14:paraId="1799A61D" w14:textId="77777777" w:rsidR="003206E8" w:rsidRPr="008A39AD" w:rsidRDefault="003206E8" w:rsidP="003206E8">
      <w:pPr>
        <w:spacing w:line="480" w:lineRule="auto"/>
        <w:rPr>
          <w:rFonts w:ascii="Arial" w:eastAsia="Times New Roman" w:hAnsi="Arial" w:cs="Arial"/>
        </w:rPr>
      </w:pPr>
      <w:r w:rsidRPr="008A39AD">
        <w:rPr>
          <w:rFonts w:ascii="Arial" w:eastAsia="Times New Roman" w:hAnsi="Arial" w:cs="Arial"/>
          <w:lang w:val="en-GB"/>
        </w:rPr>
        <w:t> </w:t>
      </w:r>
    </w:p>
    <w:p w14:paraId="49409660" w14:textId="249F9637" w:rsidR="003206E8" w:rsidRPr="008A39AD" w:rsidRDefault="003206E8" w:rsidP="003206E8">
      <w:pPr>
        <w:spacing w:line="480" w:lineRule="auto"/>
        <w:rPr>
          <w:rFonts w:ascii="Arial" w:hAnsi="Arial" w:cs="Arial"/>
          <w:lang w:val="en-CA"/>
        </w:rPr>
      </w:pPr>
      <w:r w:rsidRPr="008A39AD">
        <w:rPr>
          <w:rFonts w:ascii="Arial" w:hAnsi="Arial" w:cs="Arial"/>
          <w:lang w:val="en-GB"/>
        </w:rPr>
        <w:t xml:space="preserve">Worldwide, among </w:t>
      </w:r>
      <w:r w:rsidR="00555A4C" w:rsidRPr="008A39AD">
        <w:rPr>
          <w:rFonts w:ascii="Arial" w:hAnsi="Arial" w:cs="Arial"/>
          <w:lang w:val="en-GB"/>
        </w:rPr>
        <w:t>those receiving dialysis</w:t>
      </w:r>
      <w:r w:rsidRPr="008A39AD">
        <w:rPr>
          <w:rFonts w:ascii="Arial" w:hAnsi="Arial" w:cs="Arial"/>
          <w:lang w:val="en-GB"/>
        </w:rPr>
        <w:t xml:space="preserve">, only 11% receive treatment with peritoneal dialysis (PD) </w:t>
      </w:r>
      <w:r w:rsidR="00555A4C" w:rsidRPr="008A39AD">
        <w:rPr>
          <w:rFonts w:ascii="Arial" w:hAnsi="Arial" w:cs="Arial"/>
          <w:lang w:val="en-GB"/>
        </w:rPr>
        <w:t>with the majority</w:t>
      </w:r>
      <w:r w:rsidRPr="008A39AD">
        <w:rPr>
          <w:rFonts w:ascii="Arial" w:hAnsi="Arial" w:cs="Arial"/>
          <w:lang w:val="en-GB"/>
        </w:rPr>
        <w:t xml:space="preserve"> treated with facility-based </w:t>
      </w:r>
      <w:proofErr w:type="spellStart"/>
      <w:r w:rsidRPr="008A39AD">
        <w:rPr>
          <w:rFonts w:ascii="Arial" w:hAnsi="Arial" w:cs="Arial"/>
          <w:lang w:val="en-GB"/>
        </w:rPr>
        <w:t>hemodialysis</w:t>
      </w:r>
      <w:proofErr w:type="spellEnd"/>
      <w:r w:rsidRPr="008A39AD">
        <w:rPr>
          <w:rFonts w:ascii="Arial" w:hAnsi="Arial" w:cs="Arial"/>
          <w:lang w:val="en-GB"/>
        </w:rPr>
        <w:t xml:space="preserve"> (HD)</w:t>
      </w:r>
      <w:r w:rsidR="005774EB" w:rsidRPr="008A39AD">
        <w:rPr>
          <w:rFonts w:ascii="Arial" w:hAnsi="Arial" w:cs="Arial"/>
          <w:color w:val="000000"/>
          <w:sz w:val="20"/>
          <w:szCs w:val="20"/>
          <w:shd w:val="clear" w:color="auto" w:fill="FFFFFF"/>
          <w:vertAlign w:val="superscript"/>
        </w:rPr>
        <w:t>1-2</w:t>
      </w:r>
      <w:r w:rsidRPr="008A39AD">
        <w:rPr>
          <w:rFonts w:ascii="Arial" w:hAnsi="Arial" w:cs="Arial"/>
          <w:lang w:val="en-GB"/>
        </w:rPr>
        <w:t>.</w:t>
      </w:r>
      <w:r w:rsidR="00214801" w:rsidRPr="008A39AD">
        <w:rPr>
          <w:rFonts w:ascii="Arial" w:hAnsi="Arial" w:cs="Arial"/>
          <w:lang w:val="en-GB"/>
        </w:rPr>
        <w:t xml:space="preserve"> </w:t>
      </w:r>
      <w:r w:rsidRPr="008A39AD">
        <w:rPr>
          <w:rFonts w:ascii="Arial" w:hAnsi="Arial" w:cs="Arial"/>
        </w:rPr>
        <w:t>PD is associated with similar survival compared to facility-based HD</w:t>
      </w:r>
      <w:r w:rsidR="00362259" w:rsidRPr="008A39AD">
        <w:rPr>
          <w:rFonts w:ascii="Arial" w:hAnsi="Arial" w:cs="Arial"/>
        </w:rPr>
        <w:t xml:space="preserve"> </w:t>
      </w:r>
      <w:r w:rsidR="005774EB" w:rsidRPr="008A39AD">
        <w:rPr>
          <w:rFonts w:ascii="Arial" w:hAnsi="Arial" w:cs="Arial"/>
          <w:vertAlign w:val="superscript"/>
        </w:rPr>
        <w:t>3-6</w:t>
      </w:r>
      <w:r w:rsidRPr="008A39AD">
        <w:rPr>
          <w:rFonts w:ascii="Arial" w:hAnsi="Arial" w:cs="Arial"/>
        </w:rPr>
        <w:t xml:space="preserve">. Compared to HD patients, patients receiving PD experience superior treatment satisfaction, longer preservation of residual kidney function, and </w:t>
      </w:r>
      <w:r w:rsidR="00F52524" w:rsidRPr="008A39AD">
        <w:rPr>
          <w:rFonts w:ascii="Arial" w:hAnsi="Arial" w:cs="Arial"/>
        </w:rPr>
        <w:t>often</w:t>
      </w:r>
      <w:r w:rsidRPr="008A39AD">
        <w:rPr>
          <w:rFonts w:ascii="Arial" w:hAnsi="Arial" w:cs="Arial"/>
        </w:rPr>
        <w:t xml:space="preserve"> lower annualized treatment costs</w:t>
      </w:r>
      <w:r w:rsidR="00362259" w:rsidRPr="008A39AD">
        <w:rPr>
          <w:rFonts w:ascii="Arial" w:hAnsi="Arial" w:cs="Arial"/>
        </w:rPr>
        <w:t xml:space="preserve"> </w:t>
      </w:r>
      <w:r w:rsidR="005774EB" w:rsidRPr="008A39AD">
        <w:rPr>
          <w:rFonts w:ascii="Arial" w:hAnsi="Arial" w:cs="Arial"/>
          <w:vertAlign w:val="superscript"/>
          <w:lang w:val="en-CA"/>
        </w:rPr>
        <w:t>7-11</w:t>
      </w:r>
      <w:r w:rsidRPr="008A39AD">
        <w:rPr>
          <w:rFonts w:ascii="Arial" w:hAnsi="Arial" w:cs="Arial"/>
        </w:rPr>
        <w:t>.</w:t>
      </w:r>
      <w:r w:rsidR="00214801" w:rsidRPr="008A39AD">
        <w:rPr>
          <w:rFonts w:ascii="Arial" w:hAnsi="Arial" w:cs="Arial"/>
        </w:rPr>
        <w:t xml:space="preserve"> </w:t>
      </w:r>
      <w:r w:rsidRPr="008A39AD">
        <w:rPr>
          <w:rFonts w:ascii="Arial" w:hAnsi="Arial" w:cs="Arial"/>
        </w:rPr>
        <w:t>As a result, PD increase in low and middle</w:t>
      </w:r>
      <w:r w:rsidR="00E53FE2" w:rsidRPr="008A39AD">
        <w:rPr>
          <w:rFonts w:ascii="Arial" w:hAnsi="Arial" w:cs="Arial"/>
        </w:rPr>
        <w:t>-</w:t>
      </w:r>
      <w:r w:rsidRPr="008A39AD">
        <w:rPr>
          <w:rFonts w:ascii="Arial" w:hAnsi="Arial" w:cs="Arial"/>
        </w:rPr>
        <w:t xml:space="preserve">income countries </w:t>
      </w:r>
      <w:r w:rsidR="00693448" w:rsidRPr="008A39AD">
        <w:rPr>
          <w:rFonts w:ascii="Arial" w:hAnsi="Arial" w:cs="Arial"/>
        </w:rPr>
        <w:t>may</w:t>
      </w:r>
      <w:r w:rsidRPr="008A39AD">
        <w:rPr>
          <w:rFonts w:ascii="Arial" w:hAnsi="Arial" w:cs="Arial"/>
        </w:rPr>
        <w:t xml:space="preserve"> contain growing </w:t>
      </w:r>
      <w:r w:rsidR="00A617FF" w:rsidRPr="008A39AD">
        <w:rPr>
          <w:rFonts w:ascii="Arial" w:hAnsi="Arial" w:cs="Arial"/>
        </w:rPr>
        <w:t>kidney failure</w:t>
      </w:r>
      <w:r w:rsidRPr="008A39AD">
        <w:rPr>
          <w:rFonts w:ascii="Arial" w:hAnsi="Arial" w:cs="Arial"/>
        </w:rPr>
        <w:t>-associated cost</w:t>
      </w:r>
      <w:r w:rsidR="006946CE" w:rsidRPr="008A39AD">
        <w:rPr>
          <w:rFonts w:ascii="Arial" w:hAnsi="Arial" w:cs="Arial"/>
        </w:rPr>
        <w:t>s</w:t>
      </w:r>
      <w:r w:rsidR="00E53FE2" w:rsidRPr="008A39AD">
        <w:rPr>
          <w:rFonts w:ascii="Arial" w:hAnsi="Arial" w:cs="Arial"/>
        </w:rPr>
        <w:t xml:space="preserve"> with </w:t>
      </w:r>
      <w:r w:rsidRPr="008A39AD">
        <w:rPr>
          <w:rFonts w:ascii="Arial" w:hAnsi="Arial" w:cs="Arial"/>
        </w:rPr>
        <w:t>countries</w:t>
      </w:r>
      <w:r w:rsidR="00A617FF" w:rsidRPr="008A39AD">
        <w:rPr>
          <w:rFonts w:ascii="Arial" w:hAnsi="Arial" w:cs="Arial"/>
        </w:rPr>
        <w:t>,</w:t>
      </w:r>
      <w:r w:rsidRPr="008A39AD">
        <w:rPr>
          <w:rFonts w:ascii="Arial" w:hAnsi="Arial" w:cs="Arial"/>
        </w:rPr>
        <w:t xml:space="preserve"> such as Thailand</w:t>
      </w:r>
      <w:r w:rsidR="00A617FF" w:rsidRPr="008A39AD">
        <w:rPr>
          <w:rFonts w:ascii="Arial" w:hAnsi="Arial" w:cs="Arial"/>
        </w:rPr>
        <w:t>,</w:t>
      </w:r>
      <w:r w:rsidRPr="008A39AD">
        <w:rPr>
          <w:rFonts w:ascii="Arial" w:hAnsi="Arial" w:cs="Arial"/>
        </w:rPr>
        <w:t xml:space="preserve"> </w:t>
      </w:r>
      <w:r w:rsidR="00E53FE2" w:rsidRPr="008A39AD">
        <w:rPr>
          <w:rFonts w:ascii="Arial" w:hAnsi="Arial" w:cs="Arial"/>
        </w:rPr>
        <w:t xml:space="preserve">employing a </w:t>
      </w:r>
      <w:r w:rsidRPr="008A39AD">
        <w:rPr>
          <w:rFonts w:ascii="Arial" w:hAnsi="Arial" w:cs="Arial"/>
        </w:rPr>
        <w:t>PD-first policy</w:t>
      </w:r>
      <w:r w:rsidR="00214801" w:rsidRPr="008A39AD">
        <w:rPr>
          <w:rFonts w:ascii="Arial" w:hAnsi="Arial" w:cs="Arial"/>
        </w:rPr>
        <w:t xml:space="preserve"> </w:t>
      </w:r>
      <w:r w:rsidR="005774EB" w:rsidRPr="008A39AD">
        <w:rPr>
          <w:rFonts w:ascii="Arial" w:hAnsi="Arial" w:cs="Arial"/>
          <w:vertAlign w:val="superscript"/>
        </w:rPr>
        <w:t>12</w:t>
      </w:r>
      <w:r w:rsidRPr="008A39AD">
        <w:rPr>
          <w:rFonts w:ascii="Arial" w:hAnsi="Arial" w:cs="Arial"/>
        </w:rPr>
        <w:t>.</w:t>
      </w:r>
      <w:r w:rsidR="00214801" w:rsidRPr="008A39AD">
        <w:rPr>
          <w:rFonts w:ascii="Arial" w:hAnsi="Arial" w:cs="Arial"/>
        </w:rPr>
        <w:t xml:space="preserve"> </w:t>
      </w:r>
      <w:r w:rsidR="00F52524" w:rsidRPr="008A39AD">
        <w:rPr>
          <w:rFonts w:ascii="Arial" w:hAnsi="Arial" w:cs="Arial"/>
        </w:rPr>
        <w:t>C</w:t>
      </w:r>
      <w:r w:rsidRPr="008A39AD">
        <w:rPr>
          <w:rFonts w:ascii="Arial" w:hAnsi="Arial" w:cs="Arial"/>
        </w:rPr>
        <w:t xml:space="preserve">hanges in dialysis reimbursement have </w:t>
      </w:r>
      <w:r w:rsidR="00F820E8" w:rsidRPr="008A39AD">
        <w:rPr>
          <w:rFonts w:ascii="Arial" w:hAnsi="Arial" w:cs="Arial"/>
        </w:rPr>
        <w:t>led to</w:t>
      </w:r>
      <w:r w:rsidR="00693448" w:rsidRPr="008A39AD">
        <w:rPr>
          <w:rFonts w:ascii="Arial" w:hAnsi="Arial" w:cs="Arial"/>
        </w:rPr>
        <w:t xml:space="preserve"> recent</w:t>
      </w:r>
      <w:r w:rsidR="00F820E8" w:rsidRPr="008A39AD">
        <w:rPr>
          <w:rFonts w:ascii="Arial" w:hAnsi="Arial" w:cs="Arial"/>
        </w:rPr>
        <w:t xml:space="preserve"> </w:t>
      </w:r>
      <w:r w:rsidRPr="008A39AD">
        <w:rPr>
          <w:rFonts w:ascii="Arial" w:hAnsi="Arial" w:cs="Arial"/>
        </w:rPr>
        <w:t>PD utilization</w:t>
      </w:r>
      <w:r w:rsidR="00693448" w:rsidRPr="008A39AD">
        <w:rPr>
          <w:rFonts w:ascii="Arial" w:hAnsi="Arial" w:cs="Arial"/>
        </w:rPr>
        <w:t xml:space="preserve"> increases</w:t>
      </w:r>
      <w:r w:rsidRPr="008A39AD">
        <w:rPr>
          <w:rFonts w:ascii="Arial" w:hAnsi="Arial" w:cs="Arial"/>
        </w:rPr>
        <w:t xml:space="preserve"> in </w:t>
      </w:r>
      <w:r w:rsidR="00A24E2F" w:rsidRPr="008A39AD">
        <w:rPr>
          <w:rFonts w:ascii="Arial" w:hAnsi="Arial" w:cs="Arial"/>
        </w:rPr>
        <w:t>t</w:t>
      </w:r>
      <w:r w:rsidRPr="008A39AD">
        <w:rPr>
          <w:rFonts w:ascii="Arial" w:hAnsi="Arial" w:cs="Arial"/>
        </w:rPr>
        <w:t>he United States</w:t>
      </w:r>
      <w:r w:rsidR="00362259" w:rsidRPr="008A39AD">
        <w:rPr>
          <w:rFonts w:ascii="Arial" w:hAnsi="Arial" w:cs="Arial"/>
        </w:rPr>
        <w:t xml:space="preserve"> </w:t>
      </w:r>
      <w:r w:rsidR="005774EB" w:rsidRPr="008A39AD">
        <w:rPr>
          <w:rFonts w:ascii="Arial" w:hAnsi="Arial" w:cs="Arial"/>
          <w:vertAlign w:val="superscript"/>
        </w:rPr>
        <w:t>13</w:t>
      </w:r>
      <w:r w:rsidRPr="008A39AD">
        <w:rPr>
          <w:rFonts w:ascii="Arial" w:hAnsi="Arial" w:cs="Arial"/>
        </w:rPr>
        <w:t>.</w:t>
      </w:r>
    </w:p>
    <w:p w14:paraId="19802624" w14:textId="359B7A86" w:rsidR="003206E8" w:rsidRPr="008A39AD" w:rsidRDefault="003206E8" w:rsidP="00B41DFB">
      <w:pPr>
        <w:autoSpaceDE w:val="0"/>
        <w:autoSpaceDN w:val="0"/>
        <w:adjustRightInd w:val="0"/>
        <w:spacing w:before="100" w:beforeAutospacing="1" w:line="480" w:lineRule="auto"/>
        <w:rPr>
          <w:rFonts w:ascii="Arial" w:eastAsiaTheme="minorHAnsi" w:hAnsi="Arial" w:cs="Arial"/>
        </w:rPr>
      </w:pPr>
      <w:r w:rsidRPr="008A39AD">
        <w:rPr>
          <w:rFonts w:ascii="Arial" w:hAnsi="Arial" w:cs="Arial"/>
        </w:rPr>
        <w:t>Efforts to increase PD utilization are limited by the shortened treatment time on PD as compared to facility-based HD.</w:t>
      </w:r>
      <w:r w:rsidR="00214801" w:rsidRPr="008A39AD">
        <w:rPr>
          <w:rFonts w:ascii="Arial" w:hAnsi="Arial" w:cs="Arial"/>
        </w:rPr>
        <w:t xml:space="preserve"> </w:t>
      </w:r>
      <w:r w:rsidRPr="008A39AD">
        <w:rPr>
          <w:rFonts w:ascii="Arial" w:hAnsi="Arial" w:cs="Arial"/>
        </w:rPr>
        <w:t xml:space="preserve">A transition </w:t>
      </w:r>
      <w:r w:rsidR="00A617FF" w:rsidRPr="008A39AD">
        <w:rPr>
          <w:rFonts w:ascii="Arial" w:hAnsi="Arial" w:cs="Arial"/>
        </w:rPr>
        <w:t xml:space="preserve">from </w:t>
      </w:r>
      <w:r w:rsidRPr="008A39AD">
        <w:rPr>
          <w:rFonts w:ascii="Arial" w:hAnsi="Arial" w:cs="Arial"/>
        </w:rPr>
        <w:t xml:space="preserve">PD to </w:t>
      </w:r>
      <w:r w:rsidR="00F34DB7" w:rsidRPr="008A39AD">
        <w:rPr>
          <w:rFonts w:ascii="Arial" w:hAnsi="Arial" w:cs="Arial"/>
        </w:rPr>
        <w:t>hemodialysis (HD)</w:t>
      </w:r>
      <w:r w:rsidRPr="008A39AD">
        <w:rPr>
          <w:rFonts w:ascii="Arial" w:hAnsi="Arial" w:cs="Arial"/>
        </w:rPr>
        <w:t xml:space="preserve"> </w:t>
      </w:r>
      <w:r w:rsidR="00B41DFB" w:rsidRPr="008A39AD">
        <w:rPr>
          <w:rFonts w:ascii="Arial" w:eastAsiaTheme="minorHAnsi" w:hAnsi="Arial" w:cs="Arial"/>
        </w:rPr>
        <w:t>i</w:t>
      </w:r>
      <w:r w:rsidRPr="008A39AD">
        <w:rPr>
          <w:rFonts w:ascii="Arial" w:hAnsi="Arial" w:cs="Arial"/>
        </w:rPr>
        <w:t xml:space="preserve">s </w:t>
      </w:r>
      <w:r w:rsidR="00693448" w:rsidRPr="008A39AD">
        <w:rPr>
          <w:rFonts w:ascii="Arial" w:hAnsi="Arial" w:cs="Arial"/>
        </w:rPr>
        <w:t>costly</w:t>
      </w:r>
      <w:r w:rsidRPr="008A39AD">
        <w:rPr>
          <w:rFonts w:ascii="Arial" w:hAnsi="Arial" w:cs="Arial"/>
        </w:rPr>
        <w:t xml:space="preserve">, </w:t>
      </w:r>
      <w:r w:rsidR="00DF0096" w:rsidRPr="008A39AD">
        <w:rPr>
          <w:rFonts w:ascii="Arial" w:hAnsi="Arial" w:cs="Arial"/>
        </w:rPr>
        <w:t xml:space="preserve">is </w:t>
      </w:r>
      <w:r w:rsidRPr="008A39AD">
        <w:rPr>
          <w:rFonts w:ascii="Arial" w:hAnsi="Arial" w:cs="Arial"/>
        </w:rPr>
        <w:t xml:space="preserve">a period of high morbidity, </w:t>
      </w:r>
      <w:r w:rsidR="00A617FF" w:rsidRPr="008A39AD">
        <w:rPr>
          <w:rFonts w:ascii="Arial" w:hAnsi="Arial" w:cs="Arial"/>
        </w:rPr>
        <w:t xml:space="preserve">and </w:t>
      </w:r>
      <w:r w:rsidR="00DF0096" w:rsidRPr="008A39AD">
        <w:rPr>
          <w:rFonts w:ascii="Arial" w:hAnsi="Arial" w:cs="Arial"/>
        </w:rPr>
        <w:t xml:space="preserve">has </w:t>
      </w:r>
      <w:r w:rsidR="00A617FF" w:rsidRPr="008A39AD">
        <w:rPr>
          <w:rFonts w:ascii="Arial" w:hAnsi="Arial" w:cs="Arial"/>
        </w:rPr>
        <w:t>worsened</w:t>
      </w:r>
      <w:r w:rsidRPr="008A39AD">
        <w:rPr>
          <w:rFonts w:ascii="Arial" w:hAnsi="Arial" w:cs="Arial"/>
        </w:rPr>
        <w:t xml:space="preserve"> quality of life</w:t>
      </w:r>
      <w:r w:rsidR="00362259" w:rsidRPr="008A39AD">
        <w:rPr>
          <w:rFonts w:ascii="Arial" w:hAnsi="Arial" w:cs="Arial"/>
        </w:rPr>
        <w:t xml:space="preserve"> </w:t>
      </w:r>
      <w:bookmarkStart w:id="0" w:name="_Hlk83280829"/>
      <w:r w:rsidR="00560C6A" w:rsidRPr="008A39AD">
        <w:rPr>
          <w:rFonts w:ascii="Arial" w:hAnsi="Arial" w:cs="Arial"/>
          <w:vertAlign w:val="superscript"/>
        </w:rPr>
        <w:t>1</w:t>
      </w:r>
      <w:r w:rsidR="00220D47" w:rsidRPr="008A39AD">
        <w:rPr>
          <w:rFonts w:ascii="Arial" w:hAnsi="Arial" w:cs="Arial"/>
          <w:vertAlign w:val="superscript"/>
        </w:rPr>
        <w:t>4</w:t>
      </w:r>
      <w:r w:rsidR="00560C6A" w:rsidRPr="008A39AD">
        <w:rPr>
          <w:rFonts w:ascii="Arial" w:hAnsi="Arial" w:cs="Arial"/>
          <w:vertAlign w:val="superscript"/>
        </w:rPr>
        <w:t>-1</w:t>
      </w:r>
      <w:r w:rsidR="00220D47" w:rsidRPr="008A39AD">
        <w:rPr>
          <w:rFonts w:ascii="Arial" w:hAnsi="Arial" w:cs="Arial"/>
          <w:vertAlign w:val="superscript"/>
        </w:rPr>
        <w:t>5</w:t>
      </w:r>
      <w:bookmarkEnd w:id="0"/>
      <w:r w:rsidR="00CC3409" w:rsidRPr="008A39AD">
        <w:rPr>
          <w:rFonts w:ascii="Arial" w:hAnsi="Arial" w:cs="Arial"/>
        </w:rPr>
        <w:t xml:space="preserve">. </w:t>
      </w:r>
      <w:r w:rsidRPr="008A39AD">
        <w:rPr>
          <w:rStyle w:val="apple-converted-space"/>
          <w:rFonts w:ascii="Arial" w:eastAsia="Times New Roman" w:hAnsi="Arial" w:cs="Arial"/>
          <w:shd w:val="clear" w:color="auto" w:fill="FFFFFF"/>
        </w:rPr>
        <w:t xml:space="preserve">The </w:t>
      </w:r>
      <w:r w:rsidRPr="008A39AD">
        <w:rPr>
          <w:rFonts w:ascii="Arial" w:eastAsia="Times New Roman" w:hAnsi="Arial" w:cs="Arial"/>
          <w:shd w:val="clear" w:color="auto" w:fill="FFFFFF"/>
          <w:lang w:val="en-CA"/>
        </w:rPr>
        <w:t>Standardi</w:t>
      </w:r>
      <w:r w:rsidR="00CC3409" w:rsidRPr="008A39AD">
        <w:rPr>
          <w:rFonts w:ascii="Arial" w:eastAsia="Times New Roman" w:hAnsi="Arial" w:cs="Arial"/>
          <w:shd w:val="clear" w:color="auto" w:fill="FFFFFF"/>
          <w:lang w:val="en-CA"/>
        </w:rPr>
        <w:t>z</w:t>
      </w:r>
      <w:r w:rsidRPr="008A39AD">
        <w:rPr>
          <w:rFonts w:ascii="Arial" w:eastAsia="Times New Roman" w:hAnsi="Arial" w:cs="Arial"/>
          <w:shd w:val="clear" w:color="auto" w:fill="FFFFFF"/>
          <w:lang w:val="en-CA"/>
        </w:rPr>
        <w:t xml:space="preserve">ed Outcomes in Nephrology-Peritoneal Dialysis (SONG-PD) study established </w:t>
      </w:r>
      <w:r w:rsidR="00693448" w:rsidRPr="008A39AD">
        <w:rPr>
          <w:rFonts w:ascii="Arial" w:eastAsia="Times New Roman" w:hAnsi="Arial" w:cs="Arial"/>
          <w:shd w:val="clear" w:color="auto" w:fill="FFFFFF"/>
          <w:lang w:val="en-CA"/>
        </w:rPr>
        <w:t>P</w:t>
      </w:r>
      <w:r w:rsidRPr="008A39AD">
        <w:rPr>
          <w:rFonts w:ascii="Arial" w:eastAsia="Times New Roman" w:hAnsi="Arial" w:cs="Arial"/>
          <w:shd w:val="clear" w:color="auto" w:fill="FFFFFF"/>
          <w:lang w:val="en-CA"/>
        </w:rPr>
        <w:t xml:space="preserve">D treatment failure as </w:t>
      </w:r>
      <w:r w:rsidR="00706DDE" w:rsidRPr="008A39AD">
        <w:rPr>
          <w:rFonts w:ascii="Arial" w:eastAsia="Times New Roman" w:hAnsi="Arial" w:cs="Arial"/>
          <w:shd w:val="clear" w:color="auto" w:fill="FFFFFF"/>
          <w:lang w:val="en-CA"/>
        </w:rPr>
        <w:t xml:space="preserve">one of the </w:t>
      </w:r>
      <w:r w:rsidRPr="008A39AD">
        <w:rPr>
          <w:rFonts w:ascii="Arial" w:eastAsia="Times New Roman" w:hAnsi="Arial" w:cs="Arial"/>
          <w:shd w:val="clear" w:color="auto" w:fill="FFFFFF"/>
          <w:lang w:val="en-CA"/>
        </w:rPr>
        <w:t>core outcome</w:t>
      </w:r>
      <w:r w:rsidR="00706DDE" w:rsidRPr="008A39AD">
        <w:rPr>
          <w:rFonts w:ascii="Arial" w:eastAsia="Times New Roman" w:hAnsi="Arial" w:cs="Arial"/>
          <w:shd w:val="clear" w:color="auto" w:fill="FFFFFF"/>
          <w:lang w:val="en-CA"/>
        </w:rPr>
        <w:t>s</w:t>
      </w:r>
      <w:r w:rsidRPr="008A39AD">
        <w:rPr>
          <w:rFonts w:ascii="Arial" w:eastAsia="Times New Roman" w:hAnsi="Arial" w:cs="Arial"/>
          <w:shd w:val="clear" w:color="auto" w:fill="FFFFFF"/>
          <w:lang w:val="en-CA"/>
        </w:rPr>
        <w:t xml:space="preserve"> of importance to stakeholders</w:t>
      </w:r>
      <w:r w:rsidR="00A07069" w:rsidRPr="008A39AD">
        <w:rPr>
          <w:rFonts w:ascii="Arial" w:eastAsia="Times New Roman" w:hAnsi="Arial" w:cs="Arial"/>
          <w:shd w:val="clear" w:color="auto" w:fill="FFFFFF"/>
          <w:lang w:val="en-CA"/>
        </w:rPr>
        <w:t xml:space="preserve"> </w:t>
      </w:r>
      <w:r w:rsidR="002863D7" w:rsidRPr="008A39AD">
        <w:rPr>
          <w:rFonts w:ascii="Arial" w:eastAsia="Times New Roman" w:hAnsi="Arial" w:cs="Arial"/>
          <w:shd w:val="clear" w:color="auto" w:fill="FFFFFF"/>
          <w:vertAlign w:val="superscript"/>
          <w:lang w:val="en-CA"/>
        </w:rPr>
        <w:t>1</w:t>
      </w:r>
      <w:r w:rsidR="00220D47" w:rsidRPr="008A39AD">
        <w:rPr>
          <w:rFonts w:ascii="Arial" w:eastAsia="Times New Roman" w:hAnsi="Arial" w:cs="Arial"/>
          <w:shd w:val="clear" w:color="auto" w:fill="FFFFFF"/>
          <w:vertAlign w:val="superscript"/>
          <w:lang w:val="en-CA"/>
        </w:rPr>
        <w:t>6</w:t>
      </w:r>
      <w:r w:rsidRPr="008A39AD">
        <w:rPr>
          <w:rFonts w:ascii="Arial" w:eastAsia="Times New Roman" w:hAnsi="Arial" w:cs="Arial"/>
          <w:shd w:val="clear" w:color="auto" w:fill="FFFFFF"/>
          <w:lang w:val="en-CA"/>
        </w:rPr>
        <w:t xml:space="preserve">. </w:t>
      </w:r>
      <w:r w:rsidR="00693448" w:rsidRPr="008A39AD">
        <w:rPr>
          <w:rFonts w:ascii="Arial" w:eastAsia="Times New Roman" w:hAnsi="Arial" w:cs="Arial"/>
          <w:shd w:val="clear" w:color="auto" w:fill="FFFFFF"/>
        </w:rPr>
        <w:t>I</w:t>
      </w:r>
      <w:r w:rsidRPr="008A39AD">
        <w:rPr>
          <w:rFonts w:ascii="Arial" w:eastAsia="Times New Roman" w:hAnsi="Arial" w:cs="Arial"/>
          <w:shd w:val="clear" w:color="auto" w:fill="FFFFFF"/>
        </w:rPr>
        <w:t>n collaboration with the International Society for Peritoneal Dialysis (ISPD)</w:t>
      </w:r>
      <w:r w:rsidR="00F820E8" w:rsidRPr="008A39AD">
        <w:rPr>
          <w:rFonts w:ascii="Arial" w:eastAsia="Times New Roman" w:hAnsi="Arial" w:cs="Arial"/>
          <w:shd w:val="clear" w:color="auto" w:fill="FFFFFF"/>
        </w:rPr>
        <w:t xml:space="preserve">, </w:t>
      </w:r>
      <w:r w:rsidR="006946CE" w:rsidRPr="008A39AD">
        <w:rPr>
          <w:rFonts w:ascii="Arial" w:eastAsia="Times New Roman" w:hAnsi="Arial" w:cs="Arial"/>
          <w:shd w:val="clear" w:color="auto" w:fill="FFFFFF"/>
        </w:rPr>
        <w:t>T</w:t>
      </w:r>
      <w:r w:rsidRPr="008A39AD">
        <w:rPr>
          <w:rFonts w:ascii="Arial" w:eastAsia="Times New Roman" w:hAnsi="Arial" w:cs="Arial"/>
          <w:shd w:val="clear" w:color="auto" w:fill="FFFFFF"/>
        </w:rPr>
        <w:t>he Peritoneal Dialysis Outcomes and Practice Patterns Study (PDOPPS) is a multicenter, international observational cohort study designed to identify modifiable practices associated with patient and technique survival among PD</w:t>
      </w:r>
      <w:r w:rsidR="00693448" w:rsidRPr="008A39AD">
        <w:rPr>
          <w:rFonts w:ascii="Arial" w:eastAsia="Times New Roman" w:hAnsi="Arial" w:cs="Arial"/>
          <w:shd w:val="clear" w:color="auto" w:fill="FFFFFF"/>
        </w:rPr>
        <w:t xml:space="preserve"> patients</w:t>
      </w:r>
      <w:r w:rsidR="00362259" w:rsidRPr="008A39AD">
        <w:rPr>
          <w:rFonts w:ascii="Arial" w:eastAsia="Times New Roman" w:hAnsi="Arial" w:cs="Arial"/>
          <w:shd w:val="clear" w:color="auto" w:fill="FFFFFF"/>
        </w:rPr>
        <w:t xml:space="preserve"> </w:t>
      </w:r>
      <w:r w:rsidR="002863D7" w:rsidRPr="008A39AD">
        <w:rPr>
          <w:rFonts w:ascii="Arial" w:eastAsia="Times New Roman" w:hAnsi="Arial" w:cs="Arial"/>
          <w:shd w:val="clear" w:color="auto" w:fill="FFFFFF"/>
          <w:vertAlign w:val="superscript"/>
        </w:rPr>
        <w:t>1</w:t>
      </w:r>
      <w:r w:rsidR="00220D47" w:rsidRPr="008A39AD">
        <w:rPr>
          <w:rFonts w:ascii="Arial" w:eastAsia="Times New Roman" w:hAnsi="Arial" w:cs="Arial"/>
          <w:shd w:val="clear" w:color="auto" w:fill="FFFFFF"/>
          <w:vertAlign w:val="superscript"/>
        </w:rPr>
        <w:t>7</w:t>
      </w:r>
      <w:r w:rsidRPr="008A39AD">
        <w:rPr>
          <w:rFonts w:ascii="Arial" w:eastAsia="Times New Roman" w:hAnsi="Arial" w:cs="Arial"/>
          <w:shd w:val="clear" w:color="auto" w:fill="FFFFFF"/>
        </w:rPr>
        <w:t xml:space="preserve">. </w:t>
      </w:r>
      <w:r w:rsidRPr="008A39AD">
        <w:rPr>
          <w:rFonts w:ascii="Arial" w:hAnsi="Arial" w:cs="Arial"/>
        </w:rPr>
        <w:t xml:space="preserve">The primary objective of this investigation was to </w:t>
      </w:r>
      <w:r w:rsidR="00E53FE2" w:rsidRPr="008A39AD">
        <w:rPr>
          <w:rFonts w:ascii="Arial" w:hAnsi="Arial" w:cs="Arial"/>
        </w:rPr>
        <w:t xml:space="preserve">quantify </w:t>
      </w:r>
      <w:r w:rsidR="00362259" w:rsidRPr="008A39AD">
        <w:rPr>
          <w:rFonts w:ascii="Arial" w:hAnsi="Arial" w:cs="Arial"/>
        </w:rPr>
        <w:t xml:space="preserve">PD </w:t>
      </w:r>
      <w:r w:rsidR="00DF0096" w:rsidRPr="008A39AD">
        <w:rPr>
          <w:rFonts w:ascii="Arial" w:hAnsi="Arial" w:cs="Arial"/>
          <w:color w:val="000000" w:themeColor="text1"/>
        </w:rPr>
        <w:t xml:space="preserve">time on therapy </w:t>
      </w:r>
      <w:r w:rsidR="00362259" w:rsidRPr="008A39AD">
        <w:rPr>
          <w:rFonts w:ascii="Arial" w:hAnsi="Arial" w:cs="Arial"/>
        </w:rPr>
        <w:t xml:space="preserve">across countries </w:t>
      </w:r>
      <w:r w:rsidR="00273D3E" w:rsidRPr="008A39AD">
        <w:rPr>
          <w:rFonts w:ascii="Arial" w:hAnsi="Arial" w:cs="Arial"/>
        </w:rPr>
        <w:t xml:space="preserve">employing </w:t>
      </w:r>
      <w:r w:rsidR="00CC3409" w:rsidRPr="008A39AD">
        <w:rPr>
          <w:rFonts w:ascii="Arial" w:hAnsi="Arial" w:cs="Arial"/>
        </w:rPr>
        <w:t>a standard definition of transition to HD</w:t>
      </w:r>
      <w:r w:rsidR="00362259" w:rsidRPr="008A39AD">
        <w:rPr>
          <w:rFonts w:ascii="Arial" w:hAnsi="Arial" w:cs="Arial"/>
        </w:rPr>
        <w:t xml:space="preserve">. </w:t>
      </w:r>
      <w:r w:rsidR="00706DDE" w:rsidRPr="008A39AD">
        <w:rPr>
          <w:rFonts w:ascii="Arial" w:hAnsi="Arial" w:cs="Arial"/>
        </w:rPr>
        <w:t>S</w:t>
      </w:r>
      <w:r w:rsidRPr="008A39AD">
        <w:rPr>
          <w:rFonts w:ascii="Arial" w:hAnsi="Arial" w:cs="Arial"/>
        </w:rPr>
        <w:t xml:space="preserve">econdary </w:t>
      </w:r>
      <w:r w:rsidRPr="008A39AD">
        <w:rPr>
          <w:rFonts w:ascii="Arial" w:hAnsi="Arial" w:cs="Arial"/>
          <w:szCs w:val="18"/>
        </w:rPr>
        <w:t>objectives were to explore</w:t>
      </w:r>
      <w:r w:rsidR="00362259" w:rsidRPr="008A39AD">
        <w:rPr>
          <w:rFonts w:ascii="Arial" w:hAnsi="Arial" w:cs="Arial"/>
          <w:szCs w:val="18"/>
        </w:rPr>
        <w:t xml:space="preserve"> differences by country in causes of </w:t>
      </w:r>
      <w:r w:rsidR="00043585" w:rsidRPr="008A39AD">
        <w:rPr>
          <w:rFonts w:ascii="Arial" w:hAnsi="Arial" w:cs="Arial"/>
          <w:szCs w:val="18"/>
        </w:rPr>
        <w:t xml:space="preserve">HD </w:t>
      </w:r>
      <w:r w:rsidR="003D2CEE" w:rsidRPr="008A39AD">
        <w:rPr>
          <w:rFonts w:ascii="Arial" w:hAnsi="Arial" w:cs="Arial"/>
        </w:rPr>
        <w:t>transfer</w:t>
      </w:r>
      <w:r w:rsidR="00687070" w:rsidRPr="008A39AD">
        <w:rPr>
          <w:rFonts w:ascii="Arial" w:hAnsi="Arial" w:cs="Arial"/>
          <w:szCs w:val="18"/>
        </w:rPr>
        <w:t xml:space="preserve"> identifying </w:t>
      </w:r>
      <w:r w:rsidRPr="008A39AD">
        <w:rPr>
          <w:rFonts w:ascii="Arial" w:hAnsi="Arial" w:cs="Arial"/>
          <w:szCs w:val="18"/>
        </w:rPr>
        <w:t>patient and facility factors associated with lower risk</w:t>
      </w:r>
      <w:r w:rsidR="00CC3409" w:rsidRPr="008A39AD">
        <w:rPr>
          <w:rFonts w:ascii="Arial" w:hAnsi="Arial" w:cs="Arial"/>
          <w:szCs w:val="18"/>
        </w:rPr>
        <w:t>s</w:t>
      </w:r>
      <w:r w:rsidRPr="008A39AD">
        <w:rPr>
          <w:rFonts w:ascii="Arial" w:hAnsi="Arial" w:cs="Arial"/>
          <w:szCs w:val="18"/>
        </w:rPr>
        <w:t xml:space="preserve"> of death and </w:t>
      </w:r>
      <w:r w:rsidR="00043585" w:rsidRPr="008A39AD">
        <w:rPr>
          <w:rFonts w:ascii="Arial" w:hAnsi="Arial" w:cs="Arial"/>
          <w:szCs w:val="18"/>
        </w:rPr>
        <w:t xml:space="preserve">HD </w:t>
      </w:r>
      <w:r w:rsidR="003D2CEE" w:rsidRPr="008A39AD">
        <w:rPr>
          <w:rFonts w:ascii="Arial" w:hAnsi="Arial" w:cs="Arial"/>
        </w:rPr>
        <w:t>transfer</w:t>
      </w:r>
      <w:r w:rsidRPr="008A39AD">
        <w:rPr>
          <w:rFonts w:ascii="Arial" w:hAnsi="Arial" w:cs="Arial"/>
          <w:szCs w:val="18"/>
        </w:rPr>
        <w:t>. </w:t>
      </w:r>
    </w:p>
    <w:p w14:paraId="311EAD68" w14:textId="77777777" w:rsidR="006D58A6" w:rsidRPr="008A39AD" w:rsidRDefault="006D58A6">
      <w:pPr>
        <w:rPr>
          <w:rFonts w:ascii="Arial" w:hAnsi="Arial" w:cs="Arial"/>
        </w:rPr>
      </w:pPr>
    </w:p>
    <w:p w14:paraId="00EF3538" w14:textId="22DF38CD" w:rsidR="006D58A6" w:rsidRPr="008A39AD" w:rsidRDefault="006D58A6" w:rsidP="006D58A6">
      <w:pPr>
        <w:pStyle w:val="Heading1"/>
        <w:rPr>
          <w:rFonts w:ascii="Arial" w:hAnsi="Arial" w:cs="Arial"/>
        </w:rPr>
      </w:pPr>
      <w:r w:rsidRPr="008A39AD">
        <w:rPr>
          <w:rFonts w:ascii="Arial" w:hAnsi="Arial" w:cs="Arial"/>
        </w:rPr>
        <w:lastRenderedPageBreak/>
        <w:t>METHODS</w:t>
      </w:r>
    </w:p>
    <w:p w14:paraId="73D94EED" w14:textId="77777777" w:rsidR="006D58A6" w:rsidRPr="008A39AD" w:rsidRDefault="006D58A6" w:rsidP="006D58A6">
      <w:pPr>
        <w:pStyle w:val="Heading2"/>
        <w:spacing w:after="200" w:line="360" w:lineRule="auto"/>
        <w:rPr>
          <w:rFonts w:ascii="Arial" w:hAnsi="Arial" w:cs="Arial"/>
          <w:b/>
          <w:i/>
          <w:color w:val="000000" w:themeColor="text1"/>
          <w:sz w:val="24"/>
          <w:szCs w:val="24"/>
        </w:rPr>
      </w:pPr>
      <w:r w:rsidRPr="008A39AD">
        <w:rPr>
          <w:rFonts w:ascii="Arial" w:hAnsi="Arial" w:cs="Arial"/>
          <w:b/>
          <w:i/>
          <w:color w:val="000000" w:themeColor="text1"/>
          <w:sz w:val="24"/>
          <w:szCs w:val="24"/>
        </w:rPr>
        <w:t xml:space="preserve">Study Design and Data Source </w:t>
      </w:r>
    </w:p>
    <w:p w14:paraId="72B5D308" w14:textId="2138CC46" w:rsidR="007508CF" w:rsidRPr="008A39AD" w:rsidRDefault="00B31A34" w:rsidP="007508CF">
      <w:pPr>
        <w:spacing w:after="200" w:line="480" w:lineRule="auto"/>
        <w:rPr>
          <w:rFonts w:ascii="Arial" w:hAnsi="Arial" w:cs="Arial"/>
        </w:rPr>
      </w:pPr>
      <w:r w:rsidRPr="008A39AD">
        <w:rPr>
          <w:rFonts w:ascii="Arial" w:hAnsi="Arial" w:cs="Arial"/>
        </w:rPr>
        <w:t>Maintenance PD p</w:t>
      </w:r>
      <w:r w:rsidR="006D58A6" w:rsidRPr="008A39AD">
        <w:rPr>
          <w:rFonts w:ascii="Arial" w:hAnsi="Arial" w:cs="Arial"/>
        </w:rPr>
        <w:t xml:space="preserve">atients ≥18 years were enrolled randomly from national samples of randomly selected PD facilities treating </w:t>
      </w:r>
      <w:r w:rsidR="00C260FE" w:rsidRPr="008A39AD">
        <w:rPr>
          <w:rFonts w:ascii="Arial" w:hAnsi="Arial" w:cs="Arial"/>
        </w:rPr>
        <w:t>at least</w:t>
      </w:r>
      <w:r w:rsidR="006D58A6" w:rsidRPr="008A39AD">
        <w:rPr>
          <w:rFonts w:ascii="Arial" w:hAnsi="Arial" w:cs="Arial"/>
        </w:rPr>
        <w:t xml:space="preserve"> 20 PD patients at selection</w:t>
      </w:r>
      <w:r w:rsidR="00455BEF" w:rsidRPr="008A39AD">
        <w:rPr>
          <w:rFonts w:ascii="Arial" w:hAnsi="Arial" w:cs="Arial"/>
        </w:rPr>
        <w:t xml:space="preserve">, </w:t>
      </w:r>
      <w:r w:rsidR="009C7CF9" w:rsidRPr="008A39AD">
        <w:rPr>
          <w:rFonts w:ascii="Arial" w:hAnsi="Arial" w:cs="Arial"/>
        </w:rPr>
        <w:t xml:space="preserve">and </w:t>
      </w:r>
      <w:r w:rsidR="00455BEF" w:rsidRPr="008A39AD">
        <w:rPr>
          <w:rFonts w:ascii="Arial" w:hAnsi="Arial" w:cs="Arial"/>
        </w:rPr>
        <w:t xml:space="preserve">stratified by geographic region </w:t>
      </w:r>
      <w:r w:rsidRPr="008A39AD">
        <w:rPr>
          <w:rFonts w:ascii="Arial" w:hAnsi="Arial" w:cs="Arial"/>
        </w:rPr>
        <w:t>and</w:t>
      </w:r>
      <w:r w:rsidR="00455BEF" w:rsidRPr="008A39AD">
        <w:rPr>
          <w:rFonts w:ascii="Arial" w:hAnsi="Arial" w:cs="Arial"/>
        </w:rPr>
        <w:t xml:space="preserve"> center size</w:t>
      </w:r>
      <w:r w:rsidRPr="008A39AD">
        <w:rPr>
          <w:rFonts w:ascii="Arial" w:hAnsi="Arial" w:cs="Arial"/>
        </w:rPr>
        <w:t xml:space="preserve"> within countries.</w:t>
      </w:r>
      <w:r w:rsidR="006D58A6" w:rsidRPr="008A39AD">
        <w:rPr>
          <w:rFonts w:ascii="Arial" w:hAnsi="Arial" w:cs="Arial"/>
        </w:rPr>
        <w:t xml:space="preserve"> </w:t>
      </w:r>
      <w:r w:rsidRPr="008A39AD">
        <w:rPr>
          <w:rFonts w:ascii="Arial" w:hAnsi="Arial" w:cs="Arial"/>
        </w:rPr>
        <w:t>We</w:t>
      </w:r>
      <w:r w:rsidR="006D58A6" w:rsidRPr="008A39AD">
        <w:rPr>
          <w:rFonts w:ascii="Arial" w:hAnsi="Arial" w:cs="Arial"/>
        </w:rPr>
        <w:t xml:space="preserve"> included </w:t>
      </w:r>
      <w:r w:rsidR="003A5A1E" w:rsidRPr="008A39AD">
        <w:rPr>
          <w:rFonts w:ascii="Arial" w:hAnsi="Arial" w:cs="Arial"/>
        </w:rPr>
        <w:t>2014-</w:t>
      </w:r>
      <w:r w:rsidR="00F30235" w:rsidRPr="008A39AD">
        <w:rPr>
          <w:rFonts w:ascii="Arial" w:hAnsi="Arial" w:cs="Arial"/>
        </w:rPr>
        <w:t>2017</w:t>
      </w:r>
      <w:r w:rsidR="003A5A1E" w:rsidRPr="008A39AD">
        <w:rPr>
          <w:rFonts w:ascii="Arial" w:hAnsi="Arial" w:cs="Arial"/>
        </w:rPr>
        <w:t xml:space="preserve"> </w:t>
      </w:r>
      <w:r w:rsidR="006D58A6" w:rsidRPr="008A39AD">
        <w:rPr>
          <w:rFonts w:ascii="Arial" w:hAnsi="Arial" w:cs="Arial"/>
        </w:rPr>
        <w:t>data from Australia/New Zealand, Canada, Japan, Thailand, the United Kingdom (UK), and the United States (US)</w:t>
      </w:r>
      <w:r w:rsidR="003A5A1E" w:rsidRPr="008A39AD">
        <w:rPr>
          <w:rFonts w:ascii="Arial" w:hAnsi="Arial" w:cs="Arial"/>
        </w:rPr>
        <w:t>.</w:t>
      </w:r>
      <w:r w:rsidR="00C260FE" w:rsidRPr="008A39AD">
        <w:rPr>
          <w:rFonts w:ascii="Arial" w:hAnsi="Arial" w:cs="Arial"/>
        </w:rPr>
        <w:t xml:space="preserve"> </w:t>
      </w:r>
      <w:r w:rsidR="006D58A6" w:rsidRPr="008A39AD">
        <w:rPr>
          <w:rFonts w:ascii="Arial" w:hAnsi="Arial" w:cs="Arial"/>
        </w:rPr>
        <w:t>Study details are provided at</w:t>
      </w:r>
      <w:r w:rsidR="006D58A6" w:rsidRPr="008A39AD">
        <w:rPr>
          <w:rStyle w:val="Hyperlink"/>
          <w:rFonts w:ascii="Arial" w:hAnsi="Arial" w:cs="Arial"/>
        </w:rPr>
        <w:t xml:space="preserve"> </w:t>
      </w:r>
      <w:hyperlink r:id="rId9" w:history="1">
        <w:r w:rsidR="006D58A6" w:rsidRPr="008A39AD">
          <w:rPr>
            <w:rStyle w:val="Hyperlink"/>
            <w:rFonts w:ascii="Arial" w:hAnsi="Arial" w:cs="Arial"/>
          </w:rPr>
          <w:t>https://www.dopps.org/OurStudies/PeritonealDialysisPDOPPS.aspx</w:t>
        </w:r>
      </w:hyperlink>
      <w:r w:rsidR="006D58A6" w:rsidRPr="008A39AD">
        <w:rPr>
          <w:rStyle w:val="Hyperlink"/>
          <w:rFonts w:ascii="Arial" w:hAnsi="Arial" w:cs="Arial"/>
        </w:rPr>
        <w:t>.</w:t>
      </w:r>
      <w:r w:rsidR="00214801" w:rsidRPr="008A39AD">
        <w:rPr>
          <w:rStyle w:val="Hyperlink"/>
          <w:rFonts w:ascii="Arial" w:hAnsi="Arial" w:cs="Arial"/>
        </w:rPr>
        <w:t xml:space="preserve"> </w:t>
      </w:r>
    </w:p>
    <w:p w14:paraId="42475918" w14:textId="175B5A66" w:rsidR="006D58A6" w:rsidRPr="008A39AD" w:rsidRDefault="006D58A6" w:rsidP="006D58A6">
      <w:pPr>
        <w:spacing w:after="200" w:line="480" w:lineRule="auto"/>
        <w:rPr>
          <w:rFonts w:ascii="Arial" w:hAnsi="Arial" w:cs="Arial"/>
        </w:rPr>
      </w:pPr>
      <w:r w:rsidRPr="008A39AD">
        <w:rPr>
          <w:rFonts w:ascii="Arial" w:hAnsi="Arial" w:cs="Arial"/>
        </w:rPr>
        <w:t>Patient demographics</w:t>
      </w:r>
      <w:r w:rsidR="009013F0" w:rsidRPr="008A39AD">
        <w:rPr>
          <w:rFonts w:ascii="Arial" w:hAnsi="Arial" w:cs="Arial"/>
        </w:rPr>
        <w:t xml:space="preserve">, </w:t>
      </w:r>
      <w:r w:rsidRPr="008A39AD">
        <w:rPr>
          <w:rFonts w:ascii="Arial" w:hAnsi="Arial" w:cs="Arial"/>
        </w:rPr>
        <w:t>comorbidities</w:t>
      </w:r>
      <w:r w:rsidR="009013F0" w:rsidRPr="008A39AD">
        <w:rPr>
          <w:rFonts w:ascii="Arial" w:hAnsi="Arial" w:cs="Arial"/>
        </w:rPr>
        <w:t>, and laboratory data</w:t>
      </w:r>
      <w:r w:rsidRPr="008A39AD">
        <w:rPr>
          <w:rFonts w:ascii="Arial" w:hAnsi="Arial" w:cs="Arial"/>
        </w:rPr>
        <w:t xml:space="preserve"> were captured at study enrollment</w:t>
      </w:r>
      <w:r w:rsidR="00EB1CED" w:rsidRPr="008A39AD">
        <w:rPr>
          <w:rFonts w:ascii="Arial" w:hAnsi="Arial" w:cs="Arial"/>
        </w:rPr>
        <w:t xml:space="preserve"> (Table 1</w:t>
      </w:r>
      <w:r w:rsidR="005779B8" w:rsidRPr="008A39AD">
        <w:rPr>
          <w:rFonts w:ascii="Arial" w:hAnsi="Arial" w:cs="Arial"/>
        </w:rPr>
        <w:t>A</w:t>
      </w:r>
      <w:r w:rsidR="00EB1CED" w:rsidRPr="008A39AD">
        <w:rPr>
          <w:rFonts w:ascii="Arial" w:hAnsi="Arial" w:cs="Arial"/>
        </w:rPr>
        <w:t>)</w:t>
      </w:r>
      <w:r w:rsidRPr="008A39AD">
        <w:rPr>
          <w:rFonts w:ascii="Arial" w:hAnsi="Arial" w:cs="Arial"/>
        </w:rPr>
        <w:t xml:space="preserve">. Data from US patients receiving care at large dialysis organization (LDO) </w:t>
      </w:r>
      <w:r w:rsidR="00B424D0" w:rsidRPr="008A39AD">
        <w:rPr>
          <w:rFonts w:ascii="Arial" w:hAnsi="Arial" w:cs="Arial"/>
        </w:rPr>
        <w:t>facilities</w:t>
      </w:r>
      <w:r w:rsidRPr="008A39AD">
        <w:rPr>
          <w:rFonts w:ascii="Arial" w:hAnsi="Arial" w:cs="Arial"/>
        </w:rPr>
        <w:t xml:space="preserve"> were imported from electronic health records</w:t>
      </w:r>
      <w:r w:rsidR="00CC3409" w:rsidRPr="008A39AD">
        <w:rPr>
          <w:rFonts w:ascii="Arial" w:hAnsi="Arial" w:cs="Arial"/>
        </w:rPr>
        <w:t>.</w:t>
      </w:r>
      <w:r w:rsidRPr="008A39AD">
        <w:rPr>
          <w:rFonts w:ascii="Arial" w:hAnsi="Arial" w:cs="Arial"/>
        </w:rPr>
        <w:t xml:space="preserve"> </w:t>
      </w:r>
      <w:r w:rsidR="00B31A34" w:rsidRPr="008A39AD">
        <w:rPr>
          <w:rFonts w:ascii="Arial" w:hAnsi="Arial" w:cs="Arial"/>
        </w:rPr>
        <w:t xml:space="preserve">All other data </w:t>
      </w:r>
      <w:r w:rsidR="009C7CF9" w:rsidRPr="008A39AD">
        <w:rPr>
          <w:rFonts w:ascii="Arial" w:hAnsi="Arial" w:cs="Arial"/>
        </w:rPr>
        <w:t>were</w:t>
      </w:r>
      <w:r w:rsidRPr="008A39AD">
        <w:rPr>
          <w:rFonts w:ascii="Arial" w:hAnsi="Arial" w:cs="Arial"/>
        </w:rPr>
        <w:t xml:space="preserve"> obtained by abstraction of medical charts</w:t>
      </w:r>
      <w:r w:rsidR="00CB1AE1" w:rsidRPr="008A39AD">
        <w:rPr>
          <w:rFonts w:ascii="Arial" w:hAnsi="Arial" w:cs="Arial"/>
        </w:rPr>
        <w:t xml:space="preserve"> and</w:t>
      </w:r>
      <w:r w:rsidRPr="008A39AD">
        <w:rPr>
          <w:rFonts w:ascii="Arial" w:hAnsi="Arial" w:cs="Arial"/>
        </w:rPr>
        <w:t xml:space="preserve"> entered into a web-based data collection tool. PDOPPS </w:t>
      </w:r>
      <w:r w:rsidR="00B31A34" w:rsidRPr="008A39AD">
        <w:rPr>
          <w:rFonts w:ascii="Arial" w:hAnsi="Arial" w:cs="Arial"/>
        </w:rPr>
        <w:t xml:space="preserve">obtained </w:t>
      </w:r>
      <w:r w:rsidRPr="008A39AD">
        <w:rPr>
          <w:rFonts w:ascii="Arial" w:hAnsi="Arial" w:cs="Arial"/>
        </w:rPr>
        <w:t xml:space="preserve">IRB study approval and patient consent </w:t>
      </w:r>
      <w:r w:rsidR="009C7CF9" w:rsidRPr="008A39AD">
        <w:rPr>
          <w:rFonts w:ascii="Arial" w:hAnsi="Arial" w:cs="Arial"/>
        </w:rPr>
        <w:t xml:space="preserve">was </w:t>
      </w:r>
      <w:r w:rsidRPr="008A39AD">
        <w:rPr>
          <w:rFonts w:ascii="Arial" w:hAnsi="Arial" w:cs="Arial"/>
        </w:rPr>
        <w:t>obtained to meet national and local ethics regulations.</w:t>
      </w:r>
    </w:p>
    <w:p w14:paraId="4631D678" w14:textId="3AF09952" w:rsidR="006D58A6" w:rsidRPr="008A39AD" w:rsidRDefault="006D58A6" w:rsidP="006D58A6">
      <w:pPr>
        <w:spacing w:line="480" w:lineRule="auto"/>
        <w:outlineLvl w:val="1"/>
        <w:rPr>
          <w:rFonts w:ascii="Arial" w:hAnsi="Arial" w:cs="Arial"/>
          <w:b/>
          <w:i/>
        </w:rPr>
      </w:pPr>
      <w:r w:rsidRPr="008A39AD">
        <w:rPr>
          <w:rFonts w:ascii="Arial" w:hAnsi="Arial" w:cs="Arial"/>
          <w:b/>
          <w:i/>
        </w:rPr>
        <w:t xml:space="preserve">Clinical Outcomes </w:t>
      </w:r>
    </w:p>
    <w:p w14:paraId="00FD90E4" w14:textId="5E62947D" w:rsidR="007508CF" w:rsidRPr="008A39AD" w:rsidRDefault="00B31A34" w:rsidP="007508CF">
      <w:pPr>
        <w:spacing w:after="200" w:line="480" w:lineRule="auto"/>
        <w:rPr>
          <w:rFonts w:ascii="Arial" w:hAnsi="Arial" w:cs="Arial"/>
        </w:rPr>
      </w:pPr>
      <w:r w:rsidRPr="008A39AD">
        <w:rPr>
          <w:rFonts w:ascii="Arial" w:hAnsi="Arial" w:cs="Arial"/>
        </w:rPr>
        <w:t>F</w:t>
      </w:r>
      <w:r w:rsidR="007508CF" w:rsidRPr="008A39AD">
        <w:rPr>
          <w:rFonts w:ascii="Arial" w:hAnsi="Arial" w:cs="Arial"/>
        </w:rPr>
        <w:t>ollow-up started at study enro</w:t>
      </w:r>
      <w:r w:rsidR="008539C5" w:rsidRPr="008A39AD">
        <w:rPr>
          <w:rFonts w:ascii="Arial" w:hAnsi="Arial" w:cs="Arial"/>
        </w:rPr>
        <w:t>l</w:t>
      </w:r>
      <w:r w:rsidR="007508CF" w:rsidRPr="008A39AD">
        <w:rPr>
          <w:rFonts w:ascii="Arial" w:hAnsi="Arial" w:cs="Arial"/>
        </w:rPr>
        <w:t xml:space="preserve">lment, </w:t>
      </w:r>
      <w:r w:rsidR="00B424D0" w:rsidRPr="008A39AD">
        <w:rPr>
          <w:rFonts w:ascii="Arial" w:hAnsi="Arial" w:cs="Arial"/>
        </w:rPr>
        <w:t xml:space="preserve">and </w:t>
      </w:r>
      <w:r w:rsidR="007508CF" w:rsidRPr="008A39AD">
        <w:rPr>
          <w:rFonts w:ascii="Arial" w:hAnsi="Arial" w:cs="Arial"/>
        </w:rPr>
        <w:t xml:space="preserve">ended </w:t>
      </w:r>
      <w:r w:rsidR="00C260FE" w:rsidRPr="008A39AD">
        <w:rPr>
          <w:rFonts w:ascii="Arial" w:hAnsi="Arial" w:cs="Arial"/>
        </w:rPr>
        <w:t>with first of either</w:t>
      </w:r>
      <w:r w:rsidR="007508CF" w:rsidRPr="008A39AD">
        <w:rPr>
          <w:rFonts w:ascii="Arial" w:hAnsi="Arial" w:cs="Arial"/>
        </w:rPr>
        <w:t xml:space="preserve">: death, 7 days after </w:t>
      </w:r>
      <w:r w:rsidR="00CC7F93" w:rsidRPr="008A39AD">
        <w:rPr>
          <w:rFonts w:ascii="Arial" w:hAnsi="Arial" w:cs="Arial"/>
        </w:rPr>
        <w:t xml:space="preserve">permanent </w:t>
      </w:r>
      <w:r w:rsidR="007508CF" w:rsidRPr="008A39AD">
        <w:rPr>
          <w:rFonts w:ascii="Arial" w:hAnsi="Arial" w:cs="Arial"/>
        </w:rPr>
        <w:t xml:space="preserve">change in </w:t>
      </w:r>
      <w:r w:rsidRPr="008A39AD">
        <w:rPr>
          <w:rFonts w:ascii="Arial" w:hAnsi="Arial" w:cs="Arial"/>
        </w:rPr>
        <w:t>dialysis</w:t>
      </w:r>
      <w:r w:rsidR="007508CF" w:rsidRPr="008A39AD">
        <w:rPr>
          <w:rFonts w:ascii="Arial" w:hAnsi="Arial" w:cs="Arial"/>
        </w:rPr>
        <w:t xml:space="preserve"> modality, loss to follow-up, </w:t>
      </w:r>
      <w:r w:rsidR="00E875D4" w:rsidRPr="008A39AD">
        <w:rPr>
          <w:rFonts w:ascii="Arial" w:hAnsi="Arial" w:cs="Arial"/>
        </w:rPr>
        <w:t xml:space="preserve">kidney </w:t>
      </w:r>
      <w:r w:rsidR="007508CF" w:rsidRPr="008A39AD">
        <w:rPr>
          <w:rFonts w:ascii="Arial" w:hAnsi="Arial" w:cs="Arial"/>
        </w:rPr>
        <w:t xml:space="preserve">transplantation, end of study phase, or the most recent date of </w:t>
      </w:r>
      <w:r w:rsidR="00B424D0" w:rsidRPr="008A39AD">
        <w:rPr>
          <w:rFonts w:ascii="Arial" w:hAnsi="Arial" w:cs="Arial"/>
        </w:rPr>
        <w:t xml:space="preserve">available </w:t>
      </w:r>
      <w:r w:rsidR="007508CF" w:rsidRPr="008A39AD">
        <w:rPr>
          <w:rFonts w:ascii="Arial" w:hAnsi="Arial" w:cs="Arial"/>
        </w:rPr>
        <w:t>data. Permanent</w:t>
      </w:r>
      <w:r w:rsidR="008539C5" w:rsidRPr="008A39AD">
        <w:rPr>
          <w:rFonts w:ascii="Arial" w:hAnsi="Arial" w:cs="Arial"/>
        </w:rPr>
        <w:t xml:space="preserve"> </w:t>
      </w:r>
      <w:r w:rsidR="00043585" w:rsidRPr="008A39AD">
        <w:rPr>
          <w:rFonts w:ascii="Arial" w:hAnsi="Arial" w:cs="Arial"/>
        </w:rPr>
        <w:t xml:space="preserve">HD </w:t>
      </w:r>
      <w:r w:rsidR="003D2CEE" w:rsidRPr="008A39AD">
        <w:rPr>
          <w:rFonts w:ascii="Arial" w:hAnsi="Arial" w:cs="Arial"/>
        </w:rPr>
        <w:t>transfer</w:t>
      </w:r>
      <w:r w:rsidR="00914D45" w:rsidRPr="008A39AD">
        <w:rPr>
          <w:rFonts w:ascii="Arial" w:hAnsi="Arial" w:cs="Arial"/>
        </w:rPr>
        <w:t xml:space="preserve"> </w:t>
      </w:r>
      <w:r w:rsidR="007508CF" w:rsidRPr="008A39AD">
        <w:rPr>
          <w:rFonts w:ascii="Arial" w:hAnsi="Arial" w:cs="Arial"/>
        </w:rPr>
        <w:t xml:space="preserve">was defined as </w:t>
      </w:r>
      <w:r w:rsidR="00BA2A1B" w:rsidRPr="008A39AD">
        <w:rPr>
          <w:rFonts w:ascii="Arial" w:hAnsi="Arial" w:cs="Arial"/>
        </w:rPr>
        <w:t xml:space="preserve">either a </w:t>
      </w:r>
      <w:r w:rsidR="007508CF" w:rsidRPr="008A39AD">
        <w:rPr>
          <w:rFonts w:ascii="Arial" w:hAnsi="Arial" w:cs="Arial"/>
        </w:rPr>
        <w:t>modality switch</w:t>
      </w:r>
      <w:r w:rsidR="00BA2A1B" w:rsidRPr="008A39AD">
        <w:rPr>
          <w:rFonts w:ascii="Arial" w:hAnsi="Arial" w:cs="Arial"/>
        </w:rPr>
        <w:t xml:space="preserve"> to HD identified as permanent</w:t>
      </w:r>
      <w:r w:rsidR="007508CF" w:rsidRPr="008A39AD">
        <w:rPr>
          <w:rFonts w:ascii="Arial" w:hAnsi="Arial" w:cs="Arial"/>
        </w:rPr>
        <w:t xml:space="preserve">, </w:t>
      </w:r>
      <w:r w:rsidR="00F30235" w:rsidRPr="008A39AD">
        <w:rPr>
          <w:rFonts w:ascii="Arial" w:hAnsi="Arial" w:cs="Arial"/>
        </w:rPr>
        <w:t xml:space="preserve">or temporary </w:t>
      </w:r>
      <w:r w:rsidR="00043585" w:rsidRPr="008A39AD">
        <w:rPr>
          <w:rFonts w:ascii="Arial" w:hAnsi="Arial" w:cs="Arial"/>
        </w:rPr>
        <w:t>transfer</w:t>
      </w:r>
      <w:r w:rsidR="00F30235" w:rsidRPr="008A39AD">
        <w:rPr>
          <w:rFonts w:ascii="Arial" w:hAnsi="Arial" w:cs="Arial"/>
        </w:rPr>
        <w:t xml:space="preserve">s from PD to HD </w:t>
      </w:r>
      <w:r w:rsidR="00C260FE" w:rsidRPr="008A39AD">
        <w:rPr>
          <w:rFonts w:ascii="Arial" w:hAnsi="Arial" w:cs="Arial"/>
        </w:rPr>
        <w:t>lasting</w:t>
      </w:r>
      <w:r w:rsidR="00BA2A1B" w:rsidRPr="008A39AD">
        <w:rPr>
          <w:rFonts w:ascii="Arial" w:hAnsi="Arial" w:cs="Arial"/>
        </w:rPr>
        <w:t xml:space="preserve"> </w:t>
      </w:r>
      <w:r w:rsidR="008539C5" w:rsidRPr="008A39AD">
        <w:rPr>
          <w:rFonts w:ascii="Arial" w:hAnsi="Arial" w:cs="Arial"/>
        </w:rPr>
        <w:t xml:space="preserve">at </w:t>
      </w:r>
      <w:r w:rsidR="00BA2A1B" w:rsidRPr="008A39AD">
        <w:rPr>
          <w:rFonts w:ascii="Arial" w:hAnsi="Arial" w:cs="Arial"/>
        </w:rPr>
        <w:t>least</w:t>
      </w:r>
      <w:r w:rsidR="00F30235" w:rsidRPr="008A39AD">
        <w:rPr>
          <w:rFonts w:ascii="Arial" w:hAnsi="Arial" w:cs="Arial"/>
        </w:rPr>
        <w:t xml:space="preserve"> 12 weeks (84 days)</w:t>
      </w:r>
      <w:r w:rsidR="00257E47" w:rsidRPr="008A39AD">
        <w:rPr>
          <w:rFonts w:ascii="Arial" w:hAnsi="Arial" w:cs="Arial"/>
        </w:rPr>
        <w:t>.</w:t>
      </w:r>
      <w:r w:rsidR="007508CF" w:rsidRPr="008A39AD">
        <w:rPr>
          <w:rFonts w:ascii="Arial" w:hAnsi="Arial" w:cs="Arial"/>
        </w:rPr>
        <w:t xml:space="preserve"> </w:t>
      </w:r>
      <w:r w:rsidR="00D8055A" w:rsidRPr="008A39AD">
        <w:rPr>
          <w:rFonts w:ascii="Arial" w:hAnsi="Arial" w:cs="Arial"/>
        </w:rPr>
        <w:t>In primary analys</w:t>
      </w:r>
      <w:r w:rsidR="008364A3" w:rsidRPr="008A39AD">
        <w:rPr>
          <w:rFonts w:ascii="Arial" w:hAnsi="Arial" w:cs="Arial"/>
        </w:rPr>
        <w:t>e</w:t>
      </w:r>
      <w:r w:rsidR="00D8055A" w:rsidRPr="008A39AD">
        <w:rPr>
          <w:rFonts w:ascii="Arial" w:hAnsi="Arial" w:cs="Arial"/>
        </w:rPr>
        <w:t>s, hybrid</w:t>
      </w:r>
      <w:r w:rsidR="00362259" w:rsidRPr="008A39AD">
        <w:rPr>
          <w:rFonts w:ascii="Arial" w:hAnsi="Arial" w:cs="Arial"/>
        </w:rPr>
        <w:t xml:space="preserve"> </w:t>
      </w:r>
      <w:r w:rsidR="00D8055A" w:rsidRPr="008A39AD">
        <w:rPr>
          <w:rFonts w:ascii="Arial" w:hAnsi="Arial" w:cs="Arial"/>
        </w:rPr>
        <w:t>therapy</w:t>
      </w:r>
      <w:r w:rsidR="00C260FE" w:rsidRPr="008A39AD">
        <w:rPr>
          <w:rFonts w:ascii="Arial" w:hAnsi="Arial" w:cs="Arial"/>
        </w:rPr>
        <w:t xml:space="preserve"> switches</w:t>
      </w:r>
      <w:r w:rsidR="0097010D" w:rsidRPr="008A39AD">
        <w:rPr>
          <w:rFonts w:ascii="Arial" w:hAnsi="Arial" w:cs="Arial"/>
        </w:rPr>
        <w:t xml:space="preserve"> (</w:t>
      </w:r>
      <w:r w:rsidR="00362259" w:rsidRPr="008A39AD">
        <w:rPr>
          <w:rFonts w:ascii="Arial" w:hAnsi="Arial" w:cs="Arial"/>
        </w:rPr>
        <w:t xml:space="preserve">addition of any HD to </w:t>
      </w:r>
      <w:r w:rsidR="006946CE" w:rsidRPr="008A39AD">
        <w:rPr>
          <w:rFonts w:ascii="Arial" w:hAnsi="Arial" w:cs="Arial"/>
        </w:rPr>
        <w:t xml:space="preserve">continued </w:t>
      </w:r>
      <w:r w:rsidR="00362259" w:rsidRPr="008A39AD">
        <w:rPr>
          <w:rFonts w:ascii="Arial" w:hAnsi="Arial" w:cs="Arial"/>
        </w:rPr>
        <w:t>PD therapy</w:t>
      </w:r>
      <w:r w:rsidR="0097010D" w:rsidRPr="008A39AD">
        <w:rPr>
          <w:rFonts w:ascii="Arial" w:hAnsi="Arial" w:cs="Arial"/>
        </w:rPr>
        <w:t>)</w:t>
      </w:r>
      <w:r w:rsidR="00D8055A" w:rsidRPr="008A39AD">
        <w:rPr>
          <w:rFonts w:ascii="Arial" w:hAnsi="Arial" w:cs="Arial"/>
        </w:rPr>
        <w:t xml:space="preserve"> were counted as </w:t>
      </w:r>
      <w:r w:rsidR="00043585" w:rsidRPr="008A39AD">
        <w:rPr>
          <w:rFonts w:ascii="Arial" w:hAnsi="Arial" w:cs="Arial"/>
        </w:rPr>
        <w:t xml:space="preserve">HD </w:t>
      </w:r>
      <w:r w:rsidR="00435C98" w:rsidRPr="008A39AD">
        <w:rPr>
          <w:rFonts w:ascii="Arial" w:hAnsi="Arial" w:cs="Arial"/>
        </w:rPr>
        <w:t>transfer</w:t>
      </w:r>
      <w:r w:rsidR="00D8055A" w:rsidRPr="008A39AD">
        <w:rPr>
          <w:rFonts w:ascii="Arial" w:hAnsi="Arial" w:cs="Arial"/>
        </w:rPr>
        <w:t xml:space="preserve"> event. </w:t>
      </w:r>
      <w:r w:rsidR="009F7372" w:rsidRPr="008A39AD">
        <w:rPr>
          <w:rFonts w:ascii="Arial" w:hAnsi="Arial" w:cs="Arial"/>
        </w:rPr>
        <w:t>D</w:t>
      </w:r>
      <w:r w:rsidR="00B41DFB" w:rsidRPr="008A39AD">
        <w:rPr>
          <w:rFonts w:ascii="Arial" w:hAnsi="Arial" w:cs="Arial"/>
        </w:rPr>
        <w:t>eaths</w:t>
      </w:r>
      <w:r w:rsidR="00EF4000" w:rsidRPr="008A39AD">
        <w:rPr>
          <w:rFonts w:ascii="Arial" w:hAnsi="Arial" w:cs="Arial"/>
        </w:rPr>
        <w:t>,</w:t>
      </w:r>
      <w:r w:rsidR="00B41DFB" w:rsidRPr="008A39AD">
        <w:rPr>
          <w:rFonts w:ascii="Arial" w:hAnsi="Arial" w:cs="Arial"/>
        </w:rPr>
        <w:t xml:space="preserve"> includ</w:t>
      </w:r>
      <w:r w:rsidRPr="008A39AD">
        <w:rPr>
          <w:rFonts w:ascii="Arial" w:hAnsi="Arial" w:cs="Arial"/>
        </w:rPr>
        <w:t xml:space="preserve">ing </w:t>
      </w:r>
      <w:r w:rsidR="00C260FE" w:rsidRPr="008A39AD">
        <w:rPr>
          <w:rFonts w:ascii="Arial" w:hAnsi="Arial" w:cs="Arial"/>
        </w:rPr>
        <w:t>within</w:t>
      </w:r>
      <w:r w:rsidR="007508CF" w:rsidRPr="008A39AD">
        <w:rPr>
          <w:rFonts w:ascii="Arial" w:hAnsi="Arial" w:cs="Arial"/>
        </w:rPr>
        <w:t xml:space="preserve"> seven days of permanent </w:t>
      </w:r>
      <w:r w:rsidR="00043585" w:rsidRPr="008A39AD">
        <w:rPr>
          <w:rFonts w:ascii="Arial" w:hAnsi="Arial" w:cs="Arial"/>
        </w:rPr>
        <w:t>transfer</w:t>
      </w:r>
      <w:r w:rsidR="007508CF" w:rsidRPr="008A39AD">
        <w:rPr>
          <w:rFonts w:ascii="Arial" w:hAnsi="Arial" w:cs="Arial"/>
        </w:rPr>
        <w:t xml:space="preserve"> to HD</w:t>
      </w:r>
      <w:r w:rsidR="00EF4000" w:rsidRPr="008A39AD">
        <w:rPr>
          <w:rFonts w:ascii="Arial" w:hAnsi="Arial" w:cs="Arial"/>
        </w:rPr>
        <w:t>,</w:t>
      </w:r>
      <w:r w:rsidR="007508CF" w:rsidRPr="008A39AD">
        <w:rPr>
          <w:rFonts w:ascii="Arial" w:hAnsi="Arial" w:cs="Arial"/>
        </w:rPr>
        <w:t xml:space="preserve"> </w:t>
      </w:r>
      <w:r w:rsidR="00B41DFB" w:rsidRPr="008A39AD">
        <w:rPr>
          <w:rFonts w:ascii="Arial" w:hAnsi="Arial" w:cs="Arial"/>
        </w:rPr>
        <w:t xml:space="preserve">were </w:t>
      </w:r>
      <w:r w:rsidR="007508CF" w:rsidRPr="008A39AD">
        <w:rPr>
          <w:rFonts w:ascii="Arial" w:hAnsi="Arial" w:cs="Arial"/>
        </w:rPr>
        <w:t xml:space="preserve">not </w:t>
      </w:r>
      <w:r w:rsidR="00B41DFB" w:rsidRPr="008A39AD">
        <w:rPr>
          <w:rFonts w:ascii="Arial" w:hAnsi="Arial" w:cs="Arial"/>
        </w:rPr>
        <w:t xml:space="preserve">included as </w:t>
      </w:r>
      <w:r w:rsidR="00043585" w:rsidRPr="008A39AD">
        <w:rPr>
          <w:rFonts w:ascii="Arial" w:hAnsi="Arial" w:cs="Arial"/>
        </w:rPr>
        <w:t xml:space="preserve">HD </w:t>
      </w:r>
      <w:r w:rsidR="003D2CEE" w:rsidRPr="008A39AD">
        <w:rPr>
          <w:rFonts w:ascii="Arial" w:hAnsi="Arial" w:cs="Arial"/>
        </w:rPr>
        <w:t>transfer</w:t>
      </w:r>
      <w:r w:rsidR="00B41DFB" w:rsidRPr="008A39AD">
        <w:rPr>
          <w:rFonts w:ascii="Arial" w:hAnsi="Arial" w:cs="Arial"/>
        </w:rPr>
        <w:t xml:space="preserve"> </w:t>
      </w:r>
      <w:r w:rsidR="00F30235" w:rsidRPr="008A39AD">
        <w:rPr>
          <w:rFonts w:ascii="Arial" w:hAnsi="Arial" w:cs="Arial"/>
        </w:rPr>
        <w:t>events</w:t>
      </w:r>
      <w:r w:rsidR="001C03B3" w:rsidRPr="008A39AD">
        <w:rPr>
          <w:rFonts w:ascii="Arial" w:hAnsi="Arial" w:cs="Arial"/>
        </w:rPr>
        <w:t xml:space="preserve">. </w:t>
      </w:r>
    </w:p>
    <w:p w14:paraId="157D9040" w14:textId="67E5D636" w:rsidR="00D8055A" w:rsidRPr="008A39AD" w:rsidRDefault="00F169CA" w:rsidP="007508CF">
      <w:pPr>
        <w:spacing w:after="200" w:line="480" w:lineRule="auto"/>
        <w:rPr>
          <w:rFonts w:ascii="Arial" w:hAnsi="Arial" w:cs="Arial"/>
        </w:rPr>
      </w:pPr>
      <w:r w:rsidRPr="008A39AD">
        <w:rPr>
          <w:rFonts w:ascii="Arial" w:hAnsi="Arial" w:cs="Arial"/>
        </w:rPr>
        <w:t xml:space="preserve">The </w:t>
      </w:r>
      <w:r w:rsidR="00D8055A" w:rsidRPr="008A39AD">
        <w:rPr>
          <w:rFonts w:ascii="Arial" w:hAnsi="Arial" w:cs="Arial"/>
        </w:rPr>
        <w:t>Fine and Gray competing risks model was used to generate cumulative inciden</w:t>
      </w:r>
      <w:r w:rsidR="00BC3720" w:rsidRPr="008A39AD">
        <w:rPr>
          <w:rFonts w:ascii="Arial" w:hAnsi="Arial" w:cs="Arial"/>
        </w:rPr>
        <w:t xml:space="preserve">ce </w:t>
      </w:r>
      <w:r w:rsidR="00D8055A" w:rsidRPr="008A39AD">
        <w:rPr>
          <w:rFonts w:ascii="Arial" w:hAnsi="Arial" w:cs="Arial"/>
        </w:rPr>
        <w:t>curve</w:t>
      </w:r>
      <w:r w:rsidR="00BC3720" w:rsidRPr="008A39AD">
        <w:rPr>
          <w:rFonts w:ascii="Arial" w:hAnsi="Arial" w:cs="Arial"/>
        </w:rPr>
        <w:t>s</w:t>
      </w:r>
      <w:r w:rsidR="00D8055A" w:rsidRPr="008A39AD">
        <w:rPr>
          <w:rFonts w:ascii="Arial" w:hAnsi="Arial" w:cs="Arial"/>
        </w:rPr>
        <w:t xml:space="preserve"> </w:t>
      </w:r>
      <w:r w:rsidR="00BC3720" w:rsidRPr="008A39AD">
        <w:rPr>
          <w:rFonts w:ascii="Arial" w:hAnsi="Arial" w:cs="Arial"/>
        </w:rPr>
        <w:t>for</w:t>
      </w:r>
      <w:r w:rsidR="00D8055A" w:rsidRPr="008A39AD">
        <w:rPr>
          <w:rFonts w:ascii="Arial" w:hAnsi="Arial" w:cs="Arial"/>
        </w:rPr>
        <w:t xml:space="preserve"> death, </w:t>
      </w:r>
      <w:r w:rsidR="00043585" w:rsidRPr="008A39AD">
        <w:rPr>
          <w:rFonts w:ascii="Arial" w:hAnsi="Arial" w:cs="Arial"/>
        </w:rPr>
        <w:t xml:space="preserve">HD </w:t>
      </w:r>
      <w:r w:rsidR="003D2CEE" w:rsidRPr="008A39AD">
        <w:rPr>
          <w:rFonts w:ascii="Arial" w:hAnsi="Arial" w:cs="Arial"/>
        </w:rPr>
        <w:t>transfer</w:t>
      </w:r>
      <w:r w:rsidR="00D8055A" w:rsidRPr="008A39AD">
        <w:rPr>
          <w:rFonts w:ascii="Arial" w:hAnsi="Arial" w:cs="Arial"/>
        </w:rPr>
        <w:t xml:space="preserve">, and </w:t>
      </w:r>
      <w:r w:rsidR="00273D3E" w:rsidRPr="008A39AD">
        <w:rPr>
          <w:rFonts w:ascii="Arial" w:hAnsi="Arial" w:cs="Arial"/>
        </w:rPr>
        <w:t xml:space="preserve">kidney </w:t>
      </w:r>
      <w:r w:rsidR="00D8055A" w:rsidRPr="008A39AD">
        <w:rPr>
          <w:rFonts w:ascii="Arial" w:hAnsi="Arial" w:cs="Arial"/>
        </w:rPr>
        <w:t>transplant</w:t>
      </w:r>
      <w:r w:rsidR="00273D3E" w:rsidRPr="008A39AD">
        <w:rPr>
          <w:rFonts w:ascii="Arial" w:hAnsi="Arial" w:cs="Arial"/>
        </w:rPr>
        <w:t>ation</w:t>
      </w:r>
      <w:r w:rsidR="00D8055A" w:rsidRPr="008A39AD">
        <w:rPr>
          <w:rFonts w:ascii="Arial" w:hAnsi="Arial" w:cs="Arial"/>
        </w:rPr>
        <w:t>, separately for each country</w:t>
      </w:r>
      <w:r w:rsidR="00362259" w:rsidRPr="008A39AD">
        <w:rPr>
          <w:rFonts w:ascii="Arial" w:hAnsi="Arial" w:cs="Arial"/>
        </w:rPr>
        <w:t xml:space="preserve"> </w:t>
      </w:r>
      <w:r w:rsidR="00220D47" w:rsidRPr="008A39AD">
        <w:rPr>
          <w:rFonts w:ascii="Arial" w:hAnsi="Arial" w:cs="Arial"/>
          <w:vertAlign w:val="superscript"/>
        </w:rPr>
        <w:t>18</w:t>
      </w:r>
      <w:r w:rsidR="00EF4000" w:rsidRPr="008A39AD">
        <w:rPr>
          <w:rFonts w:ascii="Arial" w:hAnsi="Arial" w:cs="Arial"/>
        </w:rPr>
        <w:t>,</w:t>
      </w:r>
      <w:r w:rsidR="00EF4000" w:rsidRPr="008A39AD">
        <w:rPr>
          <w:rFonts w:ascii="Arial" w:hAnsi="Arial" w:cs="Arial"/>
          <w:vertAlign w:val="superscript"/>
        </w:rPr>
        <w:t xml:space="preserve"> </w:t>
      </w:r>
      <w:r w:rsidR="00B31A34" w:rsidRPr="008A39AD">
        <w:rPr>
          <w:rFonts w:ascii="Arial" w:hAnsi="Arial" w:cs="Arial"/>
        </w:rPr>
        <w:t>and</w:t>
      </w:r>
      <w:r w:rsidR="00F9454D" w:rsidRPr="008A39AD">
        <w:rPr>
          <w:rFonts w:ascii="Arial" w:hAnsi="Arial" w:cs="Arial"/>
        </w:rPr>
        <w:t xml:space="preserve"> to determine median </w:t>
      </w:r>
      <w:r w:rsidR="00622AD1" w:rsidRPr="008A39AD">
        <w:rPr>
          <w:rFonts w:ascii="Arial" w:hAnsi="Arial" w:cs="Arial"/>
        </w:rPr>
        <w:t>t</w:t>
      </w:r>
      <w:r w:rsidR="003D2CEE" w:rsidRPr="008A39AD">
        <w:rPr>
          <w:rFonts w:ascii="Arial" w:hAnsi="Arial" w:cs="Arial"/>
        </w:rPr>
        <w:t>ime on PD</w:t>
      </w:r>
      <w:r w:rsidR="00CB1AE1" w:rsidRPr="008A39AD">
        <w:rPr>
          <w:rFonts w:ascii="Arial" w:hAnsi="Arial" w:cs="Arial"/>
        </w:rPr>
        <w:t xml:space="preserve"> </w:t>
      </w:r>
      <w:r w:rsidR="00B31A34" w:rsidRPr="008A39AD">
        <w:rPr>
          <w:rFonts w:ascii="Arial" w:hAnsi="Arial" w:cs="Arial"/>
        </w:rPr>
        <w:t>by</w:t>
      </w:r>
      <w:r w:rsidR="00F9454D" w:rsidRPr="008A39AD">
        <w:rPr>
          <w:rFonts w:ascii="Arial" w:hAnsi="Arial" w:cs="Arial"/>
        </w:rPr>
        <w:t xml:space="preserve"> country</w:t>
      </w:r>
      <w:r w:rsidR="00091AF2" w:rsidRPr="008A39AD">
        <w:rPr>
          <w:rFonts w:ascii="Arial" w:hAnsi="Arial" w:cs="Arial"/>
        </w:rPr>
        <w:t xml:space="preserve"> and</w:t>
      </w:r>
      <w:r w:rsidR="00B31A34" w:rsidRPr="008A39AD">
        <w:rPr>
          <w:rFonts w:ascii="Arial" w:hAnsi="Arial" w:cs="Arial"/>
        </w:rPr>
        <w:t xml:space="preserve"> </w:t>
      </w:r>
      <w:r w:rsidR="00091AF2" w:rsidRPr="008A39AD">
        <w:rPr>
          <w:rFonts w:ascii="Arial" w:hAnsi="Arial" w:cs="Arial"/>
        </w:rPr>
        <w:t>outcome</w:t>
      </w:r>
      <w:r w:rsidR="00B31A34" w:rsidRPr="008A39AD">
        <w:rPr>
          <w:rFonts w:ascii="Arial" w:hAnsi="Arial" w:cs="Arial"/>
        </w:rPr>
        <w:t xml:space="preserve"> proportions</w:t>
      </w:r>
      <w:r w:rsidR="00091AF2" w:rsidRPr="008A39AD">
        <w:rPr>
          <w:rFonts w:ascii="Arial" w:hAnsi="Arial" w:cs="Arial"/>
        </w:rPr>
        <w:t xml:space="preserve"> </w:t>
      </w:r>
      <w:r w:rsidR="00B31A34" w:rsidRPr="008A39AD">
        <w:rPr>
          <w:rFonts w:ascii="Arial" w:hAnsi="Arial" w:cs="Arial"/>
        </w:rPr>
        <w:t>at</w:t>
      </w:r>
      <w:r w:rsidR="00091AF2" w:rsidRPr="008A39AD">
        <w:rPr>
          <w:rFonts w:ascii="Arial" w:hAnsi="Arial" w:cs="Arial"/>
        </w:rPr>
        <w:t xml:space="preserve"> 3 years</w:t>
      </w:r>
      <w:r w:rsidR="00F9454D" w:rsidRPr="008A39AD">
        <w:rPr>
          <w:rFonts w:ascii="Arial" w:hAnsi="Arial" w:cs="Arial"/>
        </w:rPr>
        <w:t>.</w:t>
      </w:r>
    </w:p>
    <w:p w14:paraId="095DE1E0" w14:textId="7E87B868" w:rsidR="00306D8A" w:rsidRPr="008A39AD" w:rsidRDefault="006D58A6" w:rsidP="006D58A6">
      <w:pPr>
        <w:spacing w:after="200" w:line="480" w:lineRule="auto"/>
        <w:rPr>
          <w:rFonts w:ascii="Arial" w:hAnsi="Arial" w:cs="Arial"/>
        </w:rPr>
      </w:pPr>
      <w:r w:rsidRPr="008A39AD">
        <w:rPr>
          <w:rFonts w:ascii="Arial" w:hAnsi="Arial" w:cs="Arial"/>
        </w:rPr>
        <w:lastRenderedPageBreak/>
        <w:t xml:space="preserve">Cox regressions were used to investigate the association between </w:t>
      </w:r>
      <w:r w:rsidR="00764747" w:rsidRPr="008A39AD">
        <w:rPr>
          <w:rFonts w:ascii="Arial" w:hAnsi="Arial" w:cs="Arial"/>
        </w:rPr>
        <w:t>country</w:t>
      </w:r>
      <w:r w:rsidRPr="008A39AD">
        <w:rPr>
          <w:rFonts w:ascii="Arial" w:hAnsi="Arial" w:cs="Arial"/>
        </w:rPr>
        <w:t xml:space="preserve"> and </w:t>
      </w:r>
      <w:r w:rsidR="00043585" w:rsidRPr="008A39AD">
        <w:rPr>
          <w:rFonts w:ascii="Arial" w:hAnsi="Arial" w:cs="Arial"/>
        </w:rPr>
        <w:t xml:space="preserve">HD </w:t>
      </w:r>
      <w:r w:rsidR="003D2CEE" w:rsidRPr="008A39AD">
        <w:rPr>
          <w:rFonts w:ascii="Arial" w:hAnsi="Arial" w:cs="Arial"/>
        </w:rPr>
        <w:t>transfer</w:t>
      </w:r>
      <w:r w:rsidRPr="008A39AD">
        <w:rPr>
          <w:rFonts w:ascii="Arial" w:hAnsi="Arial" w:cs="Arial"/>
        </w:rPr>
        <w:t>, all-cause mortality</w:t>
      </w:r>
      <w:r w:rsidR="007508CF" w:rsidRPr="008A39AD">
        <w:rPr>
          <w:rFonts w:ascii="Arial" w:hAnsi="Arial" w:cs="Arial"/>
        </w:rPr>
        <w:t>, the composite of both</w:t>
      </w:r>
      <w:r w:rsidR="00F46DDB" w:rsidRPr="008A39AD">
        <w:rPr>
          <w:rFonts w:ascii="Arial" w:hAnsi="Arial" w:cs="Arial"/>
        </w:rPr>
        <w:t xml:space="preserve">, and </w:t>
      </w:r>
      <w:r w:rsidR="006946CE" w:rsidRPr="008A39AD">
        <w:rPr>
          <w:rFonts w:ascii="Arial" w:hAnsi="Arial" w:cs="Arial"/>
        </w:rPr>
        <w:t xml:space="preserve">kidney </w:t>
      </w:r>
      <w:r w:rsidR="00F46DDB" w:rsidRPr="008A39AD">
        <w:rPr>
          <w:rFonts w:ascii="Arial" w:hAnsi="Arial" w:cs="Arial"/>
        </w:rPr>
        <w:t>transplantation</w:t>
      </w:r>
      <w:r w:rsidRPr="008A39AD">
        <w:rPr>
          <w:rFonts w:ascii="Arial" w:hAnsi="Arial" w:cs="Arial"/>
        </w:rPr>
        <w:t xml:space="preserve">. </w:t>
      </w:r>
      <w:r w:rsidR="00306D8A" w:rsidRPr="008A39AD">
        <w:rPr>
          <w:rFonts w:ascii="Arial" w:hAnsi="Arial" w:cs="Arial"/>
        </w:rPr>
        <w:t xml:space="preserve">Models were left truncated </w:t>
      </w:r>
      <w:r w:rsidR="001F6B05" w:rsidRPr="008A39AD">
        <w:rPr>
          <w:rFonts w:ascii="Arial" w:hAnsi="Arial" w:cs="Arial"/>
        </w:rPr>
        <w:t xml:space="preserve">to account for </w:t>
      </w:r>
      <w:r w:rsidR="00306D8A" w:rsidRPr="008A39AD">
        <w:rPr>
          <w:rFonts w:ascii="Arial" w:hAnsi="Arial" w:cs="Arial"/>
        </w:rPr>
        <w:t>PD vintage</w:t>
      </w:r>
      <w:r w:rsidR="001F6B05" w:rsidRPr="008A39AD">
        <w:rPr>
          <w:rFonts w:ascii="Arial" w:hAnsi="Arial" w:cs="Arial"/>
        </w:rPr>
        <w:t xml:space="preserve"> at study enrollment</w:t>
      </w:r>
      <w:r w:rsidR="00D314A8" w:rsidRPr="008A39AD">
        <w:rPr>
          <w:rFonts w:ascii="Arial" w:hAnsi="Arial" w:cs="Arial"/>
        </w:rPr>
        <w:t xml:space="preserve">. </w:t>
      </w:r>
      <w:r w:rsidR="00D33934" w:rsidRPr="008A39AD">
        <w:rPr>
          <w:rFonts w:ascii="Arial" w:hAnsi="Arial" w:cs="Arial"/>
        </w:rPr>
        <w:t>All m</w:t>
      </w:r>
      <w:r w:rsidR="00D314A8" w:rsidRPr="008A39AD">
        <w:rPr>
          <w:rFonts w:ascii="Arial" w:hAnsi="Arial" w:cs="Arial"/>
        </w:rPr>
        <w:t xml:space="preserve">odels </w:t>
      </w:r>
      <w:r w:rsidR="001F6B05" w:rsidRPr="008A39AD">
        <w:rPr>
          <w:rFonts w:ascii="Arial" w:hAnsi="Arial" w:cs="Arial"/>
        </w:rPr>
        <w:t xml:space="preserve">accounted </w:t>
      </w:r>
      <w:r w:rsidR="00306D8A" w:rsidRPr="008A39AD">
        <w:rPr>
          <w:rFonts w:ascii="Arial" w:hAnsi="Arial" w:cs="Arial"/>
        </w:rPr>
        <w:t xml:space="preserve">for patient clustering </w:t>
      </w:r>
      <w:r w:rsidR="00764747" w:rsidRPr="008A39AD">
        <w:rPr>
          <w:rFonts w:ascii="Arial" w:hAnsi="Arial" w:cs="Arial"/>
        </w:rPr>
        <w:t xml:space="preserve">within facilities </w:t>
      </w:r>
      <w:r w:rsidR="00306D8A" w:rsidRPr="008A39AD">
        <w:rPr>
          <w:rFonts w:ascii="Arial" w:hAnsi="Arial" w:cs="Arial"/>
        </w:rPr>
        <w:t>using robust sandwich-type covariance estimators</w:t>
      </w:r>
      <w:r w:rsidR="00D314A8" w:rsidRPr="008A39AD">
        <w:rPr>
          <w:rFonts w:ascii="Arial" w:hAnsi="Arial" w:cs="Arial"/>
        </w:rPr>
        <w:t>, and</w:t>
      </w:r>
      <w:r w:rsidR="00306D8A" w:rsidRPr="008A39AD">
        <w:rPr>
          <w:rFonts w:ascii="Arial" w:hAnsi="Arial" w:cs="Arial"/>
        </w:rPr>
        <w:t xml:space="preserve"> </w:t>
      </w:r>
      <w:r w:rsidR="00B31A34" w:rsidRPr="008A39AD">
        <w:rPr>
          <w:rFonts w:ascii="Arial" w:hAnsi="Arial" w:cs="Arial"/>
        </w:rPr>
        <w:t xml:space="preserve">where appropriate </w:t>
      </w:r>
      <w:r w:rsidR="00306D8A" w:rsidRPr="008A39AD">
        <w:rPr>
          <w:rFonts w:ascii="Arial" w:hAnsi="Arial" w:cs="Arial"/>
        </w:rPr>
        <w:t xml:space="preserve">stratified by country. </w:t>
      </w:r>
      <w:r w:rsidR="005F3EB4" w:rsidRPr="008A39AD">
        <w:rPr>
          <w:rFonts w:ascii="Arial" w:hAnsi="Arial" w:cs="Arial"/>
        </w:rPr>
        <w:t>Analyses were conducted on death</w:t>
      </w:r>
      <w:r w:rsidR="00091AF2" w:rsidRPr="008A39AD">
        <w:rPr>
          <w:rFonts w:ascii="Arial" w:hAnsi="Arial" w:cs="Arial"/>
        </w:rPr>
        <w:t>,</w:t>
      </w:r>
      <w:r w:rsidR="005F3EB4" w:rsidRPr="008A39AD">
        <w:rPr>
          <w:rFonts w:ascii="Arial" w:hAnsi="Arial" w:cs="Arial"/>
        </w:rPr>
        <w:t xml:space="preserve"> </w:t>
      </w:r>
      <w:r w:rsidR="00043585" w:rsidRPr="008A39AD">
        <w:rPr>
          <w:rFonts w:ascii="Arial" w:hAnsi="Arial" w:cs="Arial"/>
        </w:rPr>
        <w:t xml:space="preserve">HD </w:t>
      </w:r>
      <w:r w:rsidR="003D2CEE" w:rsidRPr="008A39AD">
        <w:rPr>
          <w:rFonts w:ascii="Arial" w:hAnsi="Arial" w:cs="Arial"/>
        </w:rPr>
        <w:t>transfer</w:t>
      </w:r>
      <w:r w:rsidR="00091AF2" w:rsidRPr="008A39AD">
        <w:rPr>
          <w:rFonts w:ascii="Arial" w:hAnsi="Arial" w:cs="Arial"/>
        </w:rPr>
        <w:t xml:space="preserve">, and transplant </w:t>
      </w:r>
      <w:r w:rsidR="005F3EB4" w:rsidRPr="008A39AD">
        <w:rPr>
          <w:rFonts w:ascii="Arial" w:hAnsi="Arial" w:cs="Arial"/>
        </w:rPr>
        <w:t>using cause-specific models, as recommended for etiological analyses</w:t>
      </w:r>
      <w:r w:rsidR="001C03B3" w:rsidRPr="008A39AD">
        <w:rPr>
          <w:rFonts w:ascii="Arial" w:hAnsi="Arial" w:cs="Arial"/>
        </w:rPr>
        <w:t xml:space="preserve"> </w:t>
      </w:r>
      <w:r w:rsidR="00220D47" w:rsidRPr="008A39AD">
        <w:rPr>
          <w:rFonts w:ascii="Arial" w:hAnsi="Arial" w:cs="Arial"/>
          <w:vertAlign w:val="superscript"/>
        </w:rPr>
        <w:t>19</w:t>
      </w:r>
      <w:r w:rsidR="005F3EB4" w:rsidRPr="008A39AD">
        <w:rPr>
          <w:rFonts w:ascii="Arial" w:hAnsi="Arial" w:cs="Arial"/>
        </w:rPr>
        <w:t xml:space="preserve">. The composite outcome </w:t>
      </w:r>
      <w:r w:rsidR="00CC3409" w:rsidRPr="008A39AD">
        <w:rPr>
          <w:rFonts w:ascii="Arial" w:hAnsi="Arial" w:cs="Arial"/>
        </w:rPr>
        <w:t>wa</w:t>
      </w:r>
      <w:r w:rsidR="005F3EB4" w:rsidRPr="008A39AD">
        <w:rPr>
          <w:rFonts w:ascii="Arial" w:hAnsi="Arial" w:cs="Arial"/>
        </w:rPr>
        <w:t>s included</w:t>
      </w:r>
      <w:r w:rsidR="00B31A34" w:rsidRPr="008A39AD">
        <w:rPr>
          <w:rFonts w:ascii="Arial" w:hAnsi="Arial" w:cs="Arial"/>
        </w:rPr>
        <w:t>.</w:t>
      </w:r>
    </w:p>
    <w:p w14:paraId="78DB60EF" w14:textId="77777777" w:rsidR="00FE14B2" w:rsidRPr="008A39AD" w:rsidRDefault="005730F5" w:rsidP="000A45DF">
      <w:pPr>
        <w:spacing w:line="480" w:lineRule="auto"/>
        <w:outlineLvl w:val="1"/>
        <w:rPr>
          <w:i/>
          <w:iCs/>
        </w:rPr>
      </w:pPr>
      <w:r w:rsidRPr="008A39AD">
        <w:rPr>
          <w:rFonts w:ascii="Arial" w:hAnsi="Arial" w:cs="Arial"/>
        </w:rPr>
        <w:t>The crude event rates within each PD vintage time period were estimated as the number of events per 100 patient-years at risk within that time period. In this analysis, each patient who had follow-up in PDOPPS during the corresponding period (e.g., &lt;6 months on dialysis) contributed time at risk to that period and, potentially, an event during that period.</w:t>
      </w:r>
      <w:r w:rsidRPr="008A39AD">
        <w:rPr>
          <w:i/>
          <w:iCs/>
        </w:rPr>
        <w:t xml:space="preserve"> </w:t>
      </w:r>
    </w:p>
    <w:p w14:paraId="4C0F4214" w14:textId="06E77760" w:rsidR="000A45DF" w:rsidRPr="008A39AD" w:rsidRDefault="00743FBF" w:rsidP="000A45DF">
      <w:pPr>
        <w:spacing w:line="480" w:lineRule="auto"/>
        <w:outlineLvl w:val="1"/>
        <w:rPr>
          <w:rFonts w:ascii="Arial" w:hAnsi="Arial" w:cs="Arial"/>
          <w:b/>
          <w:i/>
        </w:rPr>
      </w:pPr>
      <w:r w:rsidRPr="008A39AD">
        <w:rPr>
          <w:rFonts w:ascii="Arial" w:hAnsi="Arial" w:cs="Arial"/>
          <w:b/>
          <w:i/>
        </w:rPr>
        <w:t>Patient and f</w:t>
      </w:r>
      <w:r w:rsidR="000A45DF" w:rsidRPr="008A39AD">
        <w:rPr>
          <w:rFonts w:ascii="Arial" w:hAnsi="Arial" w:cs="Arial"/>
          <w:b/>
          <w:i/>
        </w:rPr>
        <w:t>acility factors as predictors of clinical outcomes</w:t>
      </w:r>
    </w:p>
    <w:p w14:paraId="1D66FF6C" w14:textId="22148F62" w:rsidR="002D44B6" w:rsidRPr="008A39AD" w:rsidRDefault="00CB1AE1" w:rsidP="00B32F61">
      <w:pPr>
        <w:spacing w:after="200" w:line="480" w:lineRule="auto"/>
        <w:rPr>
          <w:rFonts w:ascii="Arial" w:hAnsi="Arial" w:cs="Arial"/>
        </w:rPr>
      </w:pPr>
      <w:r w:rsidRPr="008A39AD">
        <w:rPr>
          <w:rFonts w:ascii="Arial" w:hAnsi="Arial" w:cs="Arial"/>
        </w:rPr>
        <w:t>P</w:t>
      </w:r>
      <w:r w:rsidR="00743FBF" w:rsidRPr="008A39AD">
        <w:rPr>
          <w:rFonts w:ascii="Arial" w:hAnsi="Arial" w:cs="Arial"/>
        </w:rPr>
        <w:t xml:space="preserve">atient factors evaluated </w:t>
      </w:r>
      <w:r w:rsidR="00450986" w:rsidRPr="008A39AD">
        <w:rPr>
          <w:rFonts w:ascii="Arial" w:hAnsi="Arial" w:cs="Arial"/>
        </w:rPr>
        <w:t xml:space="preserve">included </w:t>
      </w:r>
      <w:r w:rsidR="00743FBF" w:rsidRPr="008A39AD">
        <w:rPr>
          <w:rFonts w:ascii="Arial" w:hAnsi="Arial" w:cs="Arial"/>
        </w:rPr>
        <w:t xml:space="preserve">age, sex, cardiovascular disease, diabetes, </w:t>
      </w:r>
      <w:r w:rsidR="00914D45" w:rsidRPr="008A39AD">
        <w:rPr>
          <w:rFonts w:ascii="Arial" w:hAnsi="Arial" w:cs="Arial"/>
        </w:rPr>
        <w:t xml:space="preserve">prior HD experience, caregiver involvement, psychiatric disorder, </w:t>
      </w:r>
      <w:r w:rsidR="008364A3" w:rsidRPr="008A39AD">
        <w:rPr>
          <w:rFonts w:ascii="Arial" w:hAnsi="Arial" w:cs="Arial"/>
        </w:rPr>
        <w:t>body mass index (</w:t>
      </w:r>
      <w:r w:rsidR="00914D45" w:rsidRPr="008A39AD">
        <w:rPr>
          <w:rFonts w:ascii="Arial" w:hAnsi="Arial" w:cs="Arial"/>
        </w:rPr>
        <w:t>BMI</w:t>
      </w:r>
      <w:r w:rsidR="008364A3" w:rsidRPr="008A39AD">
        <w:rPr>
          <w:rFonts w:ascii="Arial" w:hAnsi="Arial" w:cs="Arial"/>
        </w:rPr>
        <w:t>)</w:t>
      </w:r>
      <w:r w:rsidR="00914D45" w:rsidRPr="008A39AD">
        <w:rPr>
          <w:rFonts w:ascii="Arial" w:hAnsi="Arial" w:cs="Arial"/>
        </w:rPr>
        <w:t xml:space="preserve">, black race, </w:t>
      </w:r>
      <w:r w:rsidR="00743FBF" w:rsidRPr="008A39AD">
        <w:rPr>
          <w:rFonts w:ascii="Arial" w:hAnsi="Arial" w:cs="Arial"/>
        </w:rPr>
        <w:t xml:space="preserve">urine volume, </w:t>
      </w:r>
      <w:r w:rsidR="00CC3409" w:rsidRPr="008A39AD">
        <w:rPr>
          <w:rFonts w:ascii="Arial" w:hAnsi="Arial" w:cs="Arial"/>
        </w:rPr>
        <w:t xml:space="preserve">serum </w:t>
      </w:r>
      <w:r w:rsidR="00743FBF" w:rsidRPr="008A39AD">
        <w:rPr>
          <w:rFonts w:ascii="Arial" w:hAnsi="Arial" w:cs="Arial"/>
        </w:rPr>
        <w:t>albumin, and transplant wait</w:t>
      </w:r>
      <w:r w:rsidR="00F169CA" w:rsidRPr="008A39AD">
        <w:rPr>
          <w:rFonts w:ascii="Arial" w:hAnsi="Arial" w:cs="Arial"/>
        </w:rPr>
        <w:t xml:space="preserve">ing </w:t>
      </w:r>
      <w:r w:rsidR="00743FBF" w:rsidRPr="008A39AD">
        <w:rPr>
          <w:rFonts w:ascii="Arial" w:hAnsi="Arial" w:cs="Arial"/>
        </w:rPr>
        <w:t>list status</w:t>
      </w:r>
      <w:r w:rsidR="002D44B6" w:rsidRPr="008A39AD">
        <w:rPr>
          <w:rFonts w:ascii="Arial" w:hAnsi="Arial" w:cs="Arial"/>
        </w:rPr>
        <w:t xml:space="preserve">. </w:t>
      </w:r>
    </w:p>
    <w:p w14:paraId="44A46EDB" w14:textId="68E89708" w:rsidR="000A45DF" w:rsidRPr="008A39AD" w:rsidRDefault="00CB1AE1" w:rsidP="00B32F61">
      <w:pPr>
        <w:spacing w:after="200" w:line="480" w:lineRule="auto"/>
        <w:rPr>
          <w:rFonts w:ascii="Arial" w:hAnsi="Arial" w:cs="Arial"/>
        </w:rPr>
      </w:pPr>
      <w:r w:rsidRPr="008A39AD">
        <w:rPr>
          <w:rFonts w:ascii="Arial" w:hAnsi="Arial" w:cs="Arial"/>
        </w:rPr>
        <w:t>F</w:t>
      </w:r>
      <w:r w:rsidR="000A45DF" w:rsidRPr="008A39AD">
        <w:rPr>
          <w:rFonts w:ascii="Arial" w:hAnsi="Arial" w:cs="Arial"/>
        </w:rPr>
        <w:t xml:space="preserve">acility factors evaluated </w:t>
      </w:r>
      <w:r w:rsidR="00B32F61" w:rsidRPr="008A39AD">
        <w:rPr>
          <w:rFonts w:ascii="Arial" w:hAnsi="Arial" w:cs="Arial"/>
        </w:rPr>
        <w:t>includ</w:t>
      </w:r>
      <w:r w:rsidR="00362FF0" w:rsidRPr="008A39AD">
        <w:rPr>
          <w:rFonts w:ascii="Arial" w:hAnsi="Arial" w:cs="Arial"/>
        </w:rPr>
        <w:t>ed</w:t>
      </w:r>
      <w:r w:rsidR="000A45DF" w:rsidRPr="008A39AD">
        <w:rPr>
          <w:rFonts w:ascii="Arial" w:hAnsi="Arial" w:cs="Arial"/>
        </w:rPr>
        <w:t xml:space="preserve"> </w:t>
      </w:r>
      <w:r w:rsidR="00E053F9" w:rsidRPr="008A39AD">
        <w:rPr>
          <w:rFonts w:ascii="Arial" w:hAnsi="Arial" w:cs="Arial"/>
        </w:rPr>
        <w:t xml:space="preserve">facility size, </w:t>
      </w:r>
      <w:r w:rsidR="00F30235" w:rsidRPr="008A39AD">
        <w:rPr>
          <w:rFonts w:ascii="Arial" w:hAnsi="Arial" w:cs="Arial"/>
        </w:rPr>
        <w:t>PD facility age</w:t>
      </w:r>
      <w:r w:rsidR="00CC7F93" w:rsidRPr="008A39AD">
        <w:rPr>
          <w:rFonts w:ascii="Arial" w:hAnsi="Arial" w:cs="Arial"/>
        </w:rPr>
        <w:t xml:space="preserve"> (years since facility first start</w:t>
      </w:r>
      <w:r w:rsidR="00F169CA" w:rsidRPr="008A39AD">
        <w:rPr>
          <w:rFonts w:ascii="Arial" w:hAnsi="Arial" w:cs="Arial"/>
        </w:rPr>
        <w:t>ed</w:t>
      </w:r>
      <w:r w:rsidR="00CC7F93" w:rsidRPr="008A39AD">
        <w:rPr>
          <w:rFonts w:ascii="Arial" w:hAnsi="Arial" w:cs="Arial"/>
        </w:rPr>
        <w:t xml:space="preserve"> caring for PD patients)</w:t>
      </w:r>
      <w:r w:rsidR="00B32F61" w:rsidRPr="008A39AD">
        <w:rPr>
          <w:rFonts w:ascii="Arial" w:hAnsi="Arial" w:cs="Arial"/>
        </w:rPr>
        <w:t xml:space="preserve">, </w:t>
      </w:r>
      <w:r w:rsidR="00043E6D" w:rsidRPr="008A39AD">
        <w:rPr>
          <w:rFonts w:ascii="Arial" w:hAnsi="Arial" w:cs="Arial"/>
        </w:rPr>
        <w:t>patient/</w:t>
      </w:r>
      <w:r w:rsidR="00B32F61" w:rsidRPr="008A39AD">
        <w:rPr>
          <w:rFonts w:ascii="Arial" w:hAnsi="Arial" w:cs="Arial"/>
        </w:rPr>
        <w:t xml:space="preserve">nurse ratio, routine multidisciplinary review, </w:t>
      </w:r>
      <w:r w:rsidR="000D6746" w:rsidRPr="008A39AD">
        <w:rPr>
          <w:rFonts w:ascii="Arial" w:hAnsi="Arial" w:cs="Arial"/>
        </w:rPr>
        <w:t xml:space="preserve">and </w:t>
      </w:r>
      <w:r w:rsidR="00F30235" w:rsidRPr="008A39AD">
        <w:rPr>
          <w:rFonts w:ascii="Arial" w:hAnsi="Arial" w:cs="Arial"/>
        </w:rPr>
        <w:t>whether PD nurses were routinely retrained</w:t>
      </w:r>
      <w:r w:rsidR="00914D45" w:rsidRPr="008A39AD">
        <w:rPr>
          <w:rFonts w:ascii="Arial" w:hAnsi="Arial" w:cs="Arial"/>
        </w:rPr>
        <w:t xml:space="preserve">, as well as facility </w:t>
      </w:r>
      <w:r w:rsidR="001C03B3" w:rsidRPr="008A39AD">
        <w:rPr>
          <w:rFonts w:ascii="Arial" w:hAnsi="Arial" w:cs="Arial"/>
        </w:rPr>
        <w:t xml:space="preserve">proportion </w:t>
      </w:r>
      <w:r w:rsidR="00914D45" w:rsidRPr="008A39AD">
        <w:rPr>
          <w:rFonts w:ascii="Arial" w:hAnsi="Arial" w:cs="Arial"/>
        </w:rPr>
        <w:t xml:space="preserve">of </w:t>
      </w:r>
      <w:r w:rsidR="005637AF" w:rsidRPr="008A39AD">
        <w:rPr>
          <w:rFonts w:ascii="Arial" w:hAnsi="Arial" w:cs="Arial"/>
        </w:rPr>
        <w:t xml:space="preserve">patients using </w:t>
      </w:r>
      <w:r w:rsidR="00EF6E81" w:rsidRPr="008A39AD">
        <w:rPr>
          <w:rFonts w:ascii="Arial" w:hAnsi="Arial" w:cs="Arial"/>
        </w:rPr>
        <w:t>4</w:t>
      </w:r>
      <w:r w:rsidR="005637AF" w:rsidRPr="008A39AD">
        <w:rPr>
          <w:rFonts w:ascii="Arial" w:hAnsi="Arial" w:cs="Arial"/>
        </w:rPr>
        <w:t>.</w:t>
      </w:r>
      <w:r w:rsidR="00EF6E81" w:rsidRPr="008A39AD">
        <w:rPr>
          <w:rFonts w:ascii="Arial" w:hAnsi="Arial" w:cs="Arial"/>
        </w:rPr>
        <w:t>25</w:t>
      </w:r>
      <w:r w:rsidR="005637AF" w:rsidRPr="008A39AD">
        <w:rPr>
          <w:rFonts w:ascii="Arial" w:hAnsi="Arial" w:cs="Arial"/>
        </w:rPr>
        <w:t xml:space="preserve">% PD solution </w:t>
      </w:r>
      <w:r w:rsidR="00EB1CED" w:rsidRPr="008A39AD">
        <w:rPr>
          <w:rFonts w:ascii="Arial" w:hAnsi="Arial" w:cs="Arial"/>
        </w:rPr>
        <w:t>(</w:t>
      </w:r>
      <w:r w:rsidR="005779B8" w:rsidRPr="008A39AD">
        <w:rPr>
          <w:rFonts w:ascii="Arial" w:hAnsi="Arial" w:cs="Arial"/>
        </w:rPr>
        <w:t>T</w:t>
      </w:r>
      <w:r w:rsidR="00EB1CED" w:rsidRPr="008A39AD">
        <w:rPr>
          <w:rFonts w:ascii="Arial" w:hAnsi="Arial" w:cs="Arial"/>
        </w:rPr>
        <w:t>able 1</w:t>
      </w:r>
      <w:r w:rsidR="005779B8" w:rsidRPr="008A39AD">
        <w:rPr>
          <w:rFonts w:ascii="Arial" w:hAnsi="Arial" w:cs="Arial"/>
        </w:rPr>
        <w:t>B</w:t>
      </w:r>
      <w:r w:rsidR="00EB1CED" w:rsidRPr="008A39AD">
        <w:rPr>
          <w:rFonts w:ascii="Arial" w:hAnsi="Arial" w:cs="Arial"/>
        </w:rPr>
        <w:t>)</w:t>
      </w:r>
      <w:r w:rsidR="00273D3E" w:rsidRPr="008A39AD">
        <w:rPr>
          <w:rFonts w:ascii="Arial" w:hAnsi="Arial" w:cs="Arial"/>
        </w:rPr>
        <w:t xml:space="preserve"> or with a KT/V of above 1.7 per week</w:t>
      </w:r>
      <w:r w:rsidR="00B32F61" w:rsidRPr="008A39AD">
        <w:rPr>
          <w:rFonts w:ascii="Arial" w:hAnsi="Arial" w:cs="Arial"/>
        </w:rPr>
        <w:t xml:space="preserve">. </w:t>
      </w:r>
      <w:r w:rsidR="00C260FE" w:rsidRPr="008A39AD">
        <w:rPr>
          <w:rFonts w:ascii="Arial" w:hAnsi="Arial" w:cs="Arial"/>
        </w:rPr>
        <w:t xml:space="preserve">Given </w:t>
      </w:r>
      <w:r w:rsidR="00DF614A" w:rsidRPr="008A39AD">
        <w:rPr>
          <w:rFonts w:ascii="Arial" w:hAnsi="Arial" w:cs="Arial"/>
        </w:rPr>
        <w:t>variability</w:t>
      </w:r>
      <w:r w:rsidR="00B31A34" w:rsidRPr="008A39AD">
        <w:rPr>
          <w:rFonts w:ascii="Arial" w:hAnsi="Arial" w:cs="Arial"/>
        </w:rPr>
        <w:t xml:space="preserve"> in </w:t>
      </w:r>
      <w:r w:rsidR="00DF614A" w:rsidRPr="008A39AD">
        <w:rPr>
          <w:rFonts w:ascii="Arial" w:hAnsi="Arial" w:cs="Arial"/>
        </w:rPr>
        <w:t>median</w:t>
      </w:r>
      <w:r w:rsidR="00C260FE" w:rsidRPr="008A39AD">
        <w:rPr>
          <w:rFonts w:ascii="Arial" w:hAnsi="Arial" w:cs="Arial"/>
        </w:rPr>
        <w:t xml:space="preserve"> facility size across countries</w:t>
      </w:r>
      <w:r w:rsidR="00047295" w:rsidRPr="008A39AD">
        <w:rPr>
          <w:rFonts w:ascii="Arial" w:hAnsi="Arial" w:cs="Arial"/>
        </w:rPr>
        <w:t>,</w:t>
      </w:r>
      <w:r w:rsidR="00C260FE" w:rsidRPr="008A39AD">
        <w:rPr>
          <w:rFonts w:ascii="Arial" w:hAnsi="Arial" w:cs="Arial"/>
        </w:rPr>
        <w:t xml:space="preserve"> facilities</w:t>
      </w:r>
      <w:r w:rsidR="00B32F61" w:rsidRPr="008A39AD">
        <w:rPr>
          <w:rFonts w:ascii="Arial" w:hAnsi="Arial" w:cs="Arial"/>
        </w:rPr>
        <w:t xml:space="preserve"> </w:t>
      </w:r>
      <w:r w:rsidR="000D6746" w:rsidRPr="008A39AD">
        <w:rPr>
          <w:rFonts w:ascii="Arial" w:hAnsi="Arial" w:cs="Arial"/>
        </w:rPr>
        <w:t>within the</w:t>
      </w:r>
      <w:r w:rsidR="00B32F61" w:rsidRPr="008A39AD">
        <w:rPr>
          <w:rFonts w:ascii="Arial" w:hAnsi="Arial" w:cs="Arial"/>
        </w:rPr>
        <w:t xml:space="preserve"> lowe</w:t>
      </w:r>
      <w:r w:rsidR="006D61EE" w:rsidRPr="008A39AD">
        <w:rPr>
          <w:rFonts w:ascii="Arial" w:hAnsi="Arial" w:cs="Arial"/>
        </w:rPr>
        <w:t>st</w:t>
      </w:r>
      <w:r w:rsidR="00B32F61" w:rsidRPr="008A39AD">
        <w:rPr>
          <w:rFonts w:ascii="Arial" w:hAnsi="Arial" w:cs="Arial"/>
        </w:rPr>
        <w:t xml:space="preserve"> quartile </w:t>
      </w:r>
      <w:r w:rsidR="000D6746" w:rsidRPr="008A39AD">
        <w:rPr>
          <w:rFonts w:ascii="Arial" w:hAnsi="Arial" w:cs="Arial"/>
        </w:rPr>
        <w:t xml:space="preserve">for their country </w:t>
      </w:r>
      <w:r w:rsidR="00B32F61" w:rsidRPr="008A39AD">
        <w:rPr>
          <w:rFonts w:ascii="Arial" w:hAnsi="Arial" w:cs="Arial"/>
        </w:rPr>
        <w:t xml:space="preserve">were defined as small, facilities </w:t>
      </w:r>
      <w:r w:rsidR="000D6746" w:rsidRPr="008A39AD">
        <w:rPr>
          <w:rFonts w:ascii="Arial" w:hAnsi="Arial" w:cs="Arial"/>
        </w:rPr>
        <w:t xml:space="preserve">in the </w:t>
      </w:r>
      <w:r w:rsidR="00B32F61" w:rsidRPr="008A39AD">
        <w:rPr>
          <w:rFonts w:ascii="Arial" w:hAnsi="Arial" w:cs="Arial"/>
        </w:rPr>
        <w:t xml:space="preserve">upper quartile were defined as large, and the </w:t>
      </w:r>
      <w:r w:rsidR="000D6746" w:rsidRPr="008A39AD">
        <w:rPr>
          <w:rFonts w:ascii="Arial" w:hAnsi="Arial" w:cs="Arial"/>
        </w:rPr>
        <w:t xml:space="preserve">remaining </w:t>
      </w:r>
      <w:r w:rsidR="00B32F61" w:rsidRPr="008A39AD">
        <w:rPr>
          <w:rFonts w:ascii="Arial" w:hAnsi="Arial" w:cs="Arial"/>
        </w:rPr>
        <w:t xml:space="preserve">facilities were defined as </w:t>
      </w:r>
      <w:r w:rsidR="000D6746" w:rsidRPr="008A39AD">
        <w:rPr>
          <w:rFonts w:ascii="Arial" w:hAnsi="Arial" w:cs="Arial"/>
        </w:rPr>
        <w:t>medium</w:t>
      </w:r>
      <w:r w:rsidR="00B32F61" w:rsidRPr="008A39AD">
        <w:rPr>
          <w:rFonts w:ascii="Arial" w:hAnsi="Arial" w:cs="Arial"/>
        </w:rPr>
        <w:t xml:space="preserve">. </w:t>
      </w:r>
      <w:r w:rsidR="00362FF0" w:rsidRPr="008A39AD">
        <w:rPr>
          <w:rFonts w:ascii="Arial" w:hAnsi="Arial" w:cs="Arial"/>
        </w:rPr>
        <w:t>F</w:t>
      </w:r>
      <w:r w:rsidR="007E53FF" w:rsidRPr="008A39AD">
        <w:rPr>
          <w:rFonts w:ascii="Arial" w:hAnsi="Arial" w:cs="Arial"/>
        </w:rPr>
        <w:t>acility size was also evaluated</w:t>
      </w:r>
      <w:r w:rsidR="000D6746" w:rsidRPr="008A39AD">
        <w:rPr>
          <w:rFonts w:ascii="Arial" w:hAnsi="Arial" w:cs="Arial"/>
        </w:rPr>
        <w:t xml:space="preserve"> as a continuous variable</w:t>
      </w:r>
      <w:r w:rsidR="007E53FF" w:rsidRPr="008A39AD">
        <w:rPr>
          <w:rFonts w:ascii="Arial" w:hAnsi="Arial" w:cs="Arial"/>
        </w:rPr>
        <w:t xml:space="preserve">. </w:t>
      </w:r>
    </w:p>
    <w:p w14:paraId="1D893B91" w14:textId="44CC148F" w:rsidR="00502E1B" w:rsidRPr="008A39AD" w:rsidRDefault="00EB1CED" w:rsidP="00743FBF">
      <w:pPr>
        <w:spacing w:after="200" w:line="480" w:lineRule="auto"/>
        <w:rPr>
          <w:rFonts w:ascii="Arial" w:hAnsi="Arial" w:cs="Arial"/>
        </w:rPr>
      </w:pPr>
      <w:r w:rsidRPr="008A39AD">
        <w:rPr>
          <w:rFonts w:ascii="Arial" w:hAnsi="Arial" w:cs="Arial"/>
        </w:rPr>
        <w:t>C</w:t>
      </w:r>
      <w:r w:rsidR="00502E1B" w:rsidRPr="008A39AD">
        <w:rPr>
          <w:rFonts w:ascii="Arial" w:hAnsi="Arial" w:cs="Arial"/>
        </w:rPr>
        <w:t xml:space="preserve">ox </w:t>
      </w:r>
      <w:r w:rsidRPr="008A39AD">
        <w:rPr>
          <w:rFonts w:ascii="Arial" w:hAnsi="Arial" w:cs="Arial"/>
        </w:rPr>
        <w:t>models</w:t>
      </w:r>
      <w:r w:rsidR="00743FBF" w:rsidRPr="008A39AD">
        <w:rPr>
          <w:rFonts w:ascii="Arial" w:hAnsi="Arial" w:cs="Arial"/>
        </w:rPr>
        <w:t xml:space="preserve"> </w:t>
      </w:r>
      <w:r w:rsidRPr="008A39AD">
        <w:rPr>
          <w:rFonts w:ascii="Arial" w:hAnsi="Arial" w:cs="Arial"/>
        </w:rPr>
        <w:t>including</w:t>
      </w:r>
      <w:r w:rsidR="00743FBF" w:rsidRPr="008A39AD">
        <w:rPr>
          <w:rFonts w:ascii="Arial" w:hAnsi="Arial" w:cs="Arial"/>
        </w:rPr>
        <w:t xml:space="preserve"> patient </w:t>
      </w:r>
      <w:r w:rsidR="00B31A34" w:rsidRPr="008A39AD">
        <w:rPr>
          <w:rFonts w:ascii="Arial" w:hAnsi="Arial" w:cs="Arial"/>
        </w:rPr>
        <w:t xml:space="preserve">and facility </w:t>
      </w:r>
      <w:r w:rsidR="00743FBF" w:rsidRPr="008A39AD">
        <w:rPr>
          <w:rFonts w:ascii="Arial" w:hAnsi="Arial" w:cs="Arial"/>
        </w:rPr>
        <w:t>factors</w:t>
      </w:r>
      <w:r w:rsidR="00CB1AE1" w:rsidRPr="008A39AD">
        <w:rPr>
          <w:rFonts w:ascii="Arial" w:hAnsi="Arial" w:cs="Arial"/>
        </w:rPr>
        <w:t xml:space="preserve"> </w:t>
      </w:r>
      <w:r w:rsidRPr="008A39AD">
        <w:rPr>
          <w:rFonts w:ascii="Arial" w:hAnsi="Arial" w:cs="Arial"/>
        </w:rPr>
        <w:t xml:space="preserve">were used to </w:t>
      </w:r>
      <w:r w:rsidR="00D33934" w:rsidRPr="008A39AD">
        <w:rPr>
          <w:rFonts w:ascii="Arial" w:hAnsi="Arial" w:cs="Arial"/>
        </w:rPr>
        <w:t>calculate</w:t>
      </w:r>
      <w:r w:rsidRPr="008A39AD">
        <w:rPr>
          <w:rFonts w:ascii="Arial" w:hAnsi="Arial" w:cs="Arial"/>
        </w:rPr>
        <w:t xml:space="preserve"> the adjusted hazard ratios</w:t>
      </w:r>
      <w:r w:rsidR="004D2CE1" w:rsidRPr="008A39AD">
        <w:rPr>
          <w:rFonts w:ascii="Arial" w:hAnsi="Arial" w:cs="Arial"/>
        </w:rPr>
        <w:t xml:space="preserve"> for death, </w:t>
      </w:r>
      <w:r w:rsidR="00043585" w:rsidRPr="008A39AD">
        <w:rPr>
          <w:rFonts w:ascii="Arial" w:hAnsi="Arial" w:cs="Arial"/>
        </w:rPr>
        <w:t>HD transfers</w:t>
      </w:r>
      <w:r w:rsidR="004D2CE1" w:rsidRPr="008A39AD">
        <w:rPr>
          <w:rFonts w:ascii="Arial" w:hAnsi="Arial" w:cs="Arial"/>
        </w:rPr>
        <w:t xml:space="preserve"> and the combined outcome</w:t>
      </w:r>
      <w:r w:rsidR="00CB1AE1" w:rsidRPr="008A39AD">
        <w:rPr>
          <w:rFonts w:ascii="Arial" w:hAnsi="Arial" w:cs="Arial"/>
        </w:rPr>
        <w:t xml:space="preserve"> and</w:t>
      </w:r>
      <w:r w:rsidR="00D33934" w:rsidRPr="008A39AD">
        <w:rPr>
          <w:rFonts w:ascii="Arial" w:hAnsi="Arial" w:cs="Arial"/>
        </w:rPr>
        <w:t xml:space="preserve"> stratified by country and large dialysis organization in the US. </w:t>
      </w:r>
      <w:r w:rsidR="00F46DDB" w:rsidRPr="008A39AD">
        <w:rPr>
          <w:rFonts w:ascii="Arial" w:hAnsi="Arial" w:cs="Arial"/>
        </w:rPr>
        <w:t>Models on transplantation adjusted for all factors except</w:t>
      </w:r>
      <w:r w:rsidR="006946CE" w:rsidRPr="008A39AD">
        <w:rPr>
          <w:rFonts w:ascii="Arial" w:hAnsi="Arial" w:cs="Arial"/>
        </w:rPr>
        <w:t xml:space="preserve"> kidney</w:t>
      </w:r>
      <w:r w:rsidR="00F46DDB" w:rsidRPr="008A39AD">
        <w:rPr>
          <w:rFonts w:ascii="Arial" w:hAnsi="Arial" w:cs="Arial"/>
        </w:rPr>
        <w:t xml:space="preserve"> </w:t>
      </w:r>
      <w:r w:rsidR="00091AF2" w:rsidRPr="008A39AD">
        <w:rPr>
          <w:rFonts w:ascii="Arial" w:hAnsi="Arial" w:cs="Arial"/>
        </w:rPr>
        <w:lastRenderedPageBreak/>
        <w:t xml:space="preserve">transplant </w:t>
      </w:r>
      <w:r w:rsidR="00F46DDB" w:rsidRPr="008A39AD">
        <w:rPr>
          <w:rFonts w:ascii="Arial" w:hAnsi="Arial" w:cs="Arial"/>
        </w:rPr>
        <w:t>wait</w:t>
      </w:r>
      <w:r w:rsidR="00F169CA" w:rsidRPr="008A39AD">
        <w:rPr>
          <w:rFonts w:ascii="Arial" w:hAnsi="Arial" w:cs="Arial"/>
        </w:rPr>
        <w:t xml:space="preserve">ing </w:t>
      </w:r>
      <w:r w:rsidR="00F46DDB" w:rsidRPr="008A39AD">
        <w:rPr>
          <w:rFonts w:ascii="Arial" w:hAnsi="Arial" w:cs="Arial"/>
        </w:rPr>
        <w:t xml:space="preserve">list status. </w:t>
      </w:r>
      <w:r w:rsidR="00743FBF" w:rsidRPr="008A39AD">
        <w:rPr>
          <w:rFonts w:ascii="Arial" w:hAnsi="Arial" w:cs="Arial"/>
        </w:rPr>
        <w:t xml:space="preserve">Each facility factor </w:t>
      </w:r>
      <w:r w:rsidR="00D33934" w:rsidRPr="008A39AD">
        <w:rPr>
          <w:rFonts w:ascii="Arial" w:hAnsi="Arial" w:cs="Arial"/>
        </w:rPr>
        <w:t xml:space="preserve">was </w:t>
      </w:r>
      <w:r w:rsidR="00743FBF" w:rsidRPr="008A39AD">
        <w:rPr>
          <w:rFonts w:ascii="Arial" w:hAnsi="Arial" w:cs="Arial"/>
        </w:rPr>
        <w:t>assessed one at a time</w:t>
      </w:r>
      <w:r w:rsidR="00D33934" w:rsidRPr="008A39AD">
        <w:rPr>
          <w:rFonts w:ascii="Arial" w:hAnsi="Arial" w:cs="Arial"/>
        </w:rPr>
        <w:t xml:space="preserve"> in models that controlled for the patient characteristics</w:t>
      </w:r>
      <w:r w:rsidR="002D44B6" w:rsidRPr="008A39AD">
        <w:rPr>
          <w:rFonts w:ascii="Arial" w:hAnsi="Arial" w:cs="Arial"/>
        </w:rPr>
        <w:t>.</w:t>
      </w:r>
    </w:p>
    <w:p w14:paraId="2BDF50C2" w14:textId="75BF9A25" w:rsidR="006343AC" w:rsidRPr="008A39AD" w:rsidRDefault="006343AC" w:rsidP="006343AC">
      <w:pPr>
        <w:spacing w:line="480" w:lineRule="auto"/>
        <w:outlineLvl w:val="1"/>
        <w:rPr>
          <w:rFonts w:ascii="Arial" w:hAnsi="Arial" w:cs="Arial"/>
          <w:b/>
          <w:i/>
        </w:rPr>
      </w:pPr>
      <w:r w:rsidRPr="008A39AD">
        <w:rPr>
          <w:rFonts w:ascii="Arial" w:hAnsi="Arial" w:cs="Arial"/>
          <w:b/>
          <w:i/>
        </w:rPr>
        <w:t>Sensitivity analysis</w:t>
      </w:r>
    </w:p>
    <w:p w14:paraId="01FA2323" w14:textId="26C42618" w:rsidR="006343AC" w:rsidRPr="008A39AD" w:rsidRDefault="006343AC" w:rsidP="00743FBF">
      <w:pPr>
        <w:spacing w:after="200" w:line="480" w:lineRule="auto"/>
        <w:rPr>
          <w:rFonts w:ascii="Arial" w:hAnsi="Arial" w:cs="Arial"/>
        </w:rPr>
      </w:pPr>
      <w:r w:rsidRPr="008A39AD">
        <w:rPr>
          <w:rFonts w:ascii="Arial" w:hAnsi="Arial" w:cs="Arial"/>
        </w:rPr>
        <w:t xml:space="preserve">In </w:t>
      </w:r>
      <w:r w:rsidR="00545401" w:rsidRPr="008A39AD">
        <w:rPr>
          <w:rFonts w:ascii="Arial" w:hAnsi="Arial" w:cs="Arial"/>
        </w:rPr>
        <w:t xml:space="preserve">a </w:t>
      </w:r>
      <w:r w:rsidRPr="008A39AD">
        <w:rPr>
          <w:rFonts w:ascii="Arial" w:hAnsi="Arial" w:cs="Arial"/>
        </w:rPr>
        <w:t xml:space="preserve">sensitivity analysis, </w:t>
      </w:r>
      <w:r w:rsidR="00D83EEE" w:rsidRPr="008A39AD">
        <w:rPr>
          <w:rFonts w:ascii="Arial" w:hAnsi="Arial" w:cs="Arial"/>
        </w:rPr>
        <w:t>hybrid</w:t>
      </w:r>
      <w:r w:rsidR="00D8055A" w:rsidRPr="008A39AD">
        <w:rPr>
          <w:rFonts w:ascii="Arial" w:hAnsi="Arial" w:cs="Arial"/>
        </w:rPr>
        <w:t xml:space="preserve"> </w:t>
      </w:r>
      <w:r w:rsidRPr="008A39AD">
        <w:rPr>
          <w:rFonts w:ascii="Arial" w:hAnsi="Arial" w:cs="Arial"/>
        </w:rPr>
        <w:t>transfer</w:t>
      </w:r>
      <w:r w:rsidR="00AC6FD1" w:rsidRPr="008A39AD">
        <w:rPr>
          <w:rFonts w:ascii="Arial" w:hAnsi="Arial" w:cs="Arial"/>
        </w:rPr>
        <w:t xml:space="preserve"> (defined as the addition of HD but continuation of PD)</w:t>
      </w:r>
      <w:r w:rsidR="00277D55" w:rsidRPr="008A39AD">
        <w:rPr>
          <w:rFonts w:ascii="Arial" w:hAnsi="Arial" w:cs="Arial"/>
        </w:rPr>
        <w:t xml:space="preserve"> </w:t>
      </w:r>
      <w:r w:rsidR="005779B8" w:rsidRPr="008A39AD">
        <w:rPr>
          <w:rFonts w:ascii="Arial" w:hAnsi="Arial" w:cs="Arial"/>
        </w:rPr>
        <w:t xml:space="preserve">events </w:t>
      </w:r>
      <w:r w:rsidRPr="008A39AD">
        <w:rPr>
          <w:rFonts w:ascii="Arial" w:hAnsi="Arial" w:cs="Arial"/>
        </w:rPr>
        <w:t>were</w:t>
      </w:r>
      <w:r w:rsidR="005779B8" w:rsidRPr="008A39AD">
        <w:rPr>
          <w:rFonts w:ascii="Arial" w:hAnsi="Arial" w:cs="Arial"/>
        </w:rPr>
        <w:t xml:space="preserve"> censored,</w:t>
      </w:r>
      <w:r w:rsidRPr="008A39AD">
        <w:rPr>
          <w:rFonts w:ascii="Arial" w:hAnsi="Arial" w:cs="Arial"/>
        </w:rPr>
        <w:t xml:space="preserve"> </w:t>
      </w:r>
      <w:r w:rsidR="005779B8" w:rsidRPr="008A39AD">
        <w:rPr>
          <w:rFonts w:ascii="Arial" w:hAnsi="Arial" w:cs="Arial"/>
        </w:rPr>
        <w:t>not counted as</w:t>
      </w:r>
      <w:r w:rsidRPr="008A39AD">
        <w:rPr>
          <w:rFonts w:ascii="Arial" w:hAnsi="Arial" w:cs="Arial"/>
        </w:rPr>
        <w:t xml:space="preserve"> </w:t>
      </w:r>
      <w:r w:rsidR="00043585" w:rsidRPr="008A39AD">
        <w:rPr>
          <w:rFonts w:ascii="Arial" w:hAnsi="Arial" w:cs="Arial"/>
        </w:rPr>
        <w:t>HD transfe</w:t>
      </w:r>
      <w:r w:rsidR="003D2CEE" w:rsidRPr="008A39AD">
        <w:rPr>
          <w:rFonts w:ascii="Arial" w:hAnsi="Arial" w:cs="Arial"/>
        </w:rPr>
        <w:t>r</w:t>
      </w:r>
      <w:r w:rsidRPr="008A39AD">
        <w:rPr>
          <w:rFonts w:ascii="Arial" w:hAnsi="Arial" w:cs="Arial"/>
        </w:rPr>
        <w:t xml:space="preserve">. </w:t>
      </w:r>
      <w:r w:rsidR="005779B8" w:rsidRPr="008A39AD">
        <w:rPr>
          <w:rFonts w:ascii="Arial" w:hAnsi="Arial" w:cs="Arial"/>
        </w:rPr>
        <w:t xml:space="preserve">In another sensitivity analysis </w:t>
      </w:r>
      <w:r w:rsidR="0031560D" w:rsidRPr="008A39AD">
        <w:rPr>
          <w:rFonts w:ascii="Arial" w:hAnsi="Arial" w:cs="Arial"/>
        </w:rPr>
        <w:t>testing</w:t>
      </w:r>
      <w:r w:rsidR="005779B8" w:rsidRPr="008A39AD">
        <w:rPr>
          <w:rFonts w:ascii="Arial" w:hAnsi="Arial" w:cs="Arial"/>
        </w:rPr>
        <w:t xml:space="preserve"> the impact of our choice of threshold for temporary vs. permanent transfers,</w:t>
      </w:r>
      <w:r w:rsidR="00B31A34" w:rsidRPr="008A39AD">
        <w:rPr>
          <w:rFonts w:ascii="Arial" w:hAnsi="Arial" w:cs="Arial"/>
        </w:rPr>
        <w:t xml:space="preserve"> </w:t>
      </w:r>
      <w:r w:rsidR="005779B8" w:rsidRPr="008A39AD">
        <w:rPr>
          <w:rFonts w:ascii="Arial" w:hAnsi="Arial" w:cs="Arial"/>
        </w:rPr>
        <w:t xml:space="preserve">temporary HD and hybrid transfers were counted as </w:t>
      </w:r>
      <w:r w:rsidR="00043585" w:rsidRPr="008A39AD">
        <w:rPr>
          <w:rFonts w:ascii="Arial" w:hAnsi="Arial" w:cs="Arial"/>
        </w:rPr>
        <w:t>HD transfer</w:t>
      </w:r>
      <w:r w:rsidR="005779B8" w:rsidRPr="008A39AD">
        <w:rPr>
          <w:rFonts w:ascii="Arial" w:hAnsi="Arial" w:cs="Arial"/>
        </w:rPr>
        <w:t>.</w:t>
      </w:r>
    </w:p>
    <w:p w14:paraId="4BE250DB" w14:textId="77777777" w:rsidR="000A45DF" w:rsidRPr="008A39AD" w:rsidRDefault="000A45DF" w:rsidP="000A45DF">
      <w:pPr>
        <w:spacing w:line="480" w:lineRule="auto"/>
        <w:outlineLvl w:val="1"/>
        <w:rPr>
          <w:rFonts w:ascii="Arial" w:hAnsi="Arial" w:cs="Arial"/>
          <w:b/>
          <w:i/>
        </w:rPr>
      </w:pPr>
      <w:r w:rsidRPr="008A39AD">
        <w:rPr>
          <w:rFonts w:ascii="Arial" w:hAnsi="Arial" w:cs="Arial"/>
          <w:b/>
          <w:i/>
        </w:rPr>
        <w:t>Treatment of Missing Data</w:t>
      </w:r>
    </w:p>
    <w:p w14:paraId="4444B7BA" w14:textId="587F3923" w:rsidR="000A45DF" w:rsidRPr="008A39AD" w:rsidRDefault="000A45DF" w:rsidP="000A45DF">
      <w:pPr>
        <w:spacing w:after="200" w:line="480" w:lineRule="auto"/>
        <w:rPr>
          <w:rFonts w:ascii="Arial" w:hAnsi="Arial" w:cs="Arial"/>
        </w:rPr>
      </w:pPr>
      <w:r w:rsidRPr="008A39AD">
        <w:rPr>
          <w:rFonts w:ascii="Arial" w:hAnsi="Arial" w:cs="Arial"/>
        </w:rPr>
        <w:t>Missing values were multiply imputed using the Sequential Regression Multiple Imputation Method</w:t>
      </w:r>
      <w:r w:rsidRPr="008A39AD" w:rsidDel="00205955">
        <w:rPr>
          <w:rFonts w:ascii="Arial" w:hAnsi="Arial" w:cs="Arial"/>
        </w:rPr>
        <w:t xml:space="preserve"> </w:t>
      </w:r>
      <w:r w:rsidRPr="008A39AD">
        <w:rPr>
          <w:rFonts w:ascii="Arial" w:hAnsi="Arial" w:cs="Arial"/>
        </w:rPr>
        <w:t xml:space="preserve">by </w:t>
      </w:r>
      <w:proofErr w:type="spellStart"/>
      <w:r w:rsidRPr="008A39AD">
        <w:rPr>
          <w:rFonts w:ascii="Arial" w:hAnsi="Arial" w:cs="Arial"/>
        </w:rPr>
        <w:t>IVEware</w:t>
      </w:r>
      <w:proofErr w:type="spellEnd"/>
      <w:r w:rsidR="00563085" w:rsidRPr="008A39AD">
        <w:rPr>
          <w:rFonts w:ascii="Arial" w:hAnsi="Arial" w:cs="Arial"/>
        </w:rPr>
        <w:t xml:space="preserve"> </w:t>
      </w:r>
      <w:r w:rsidR="00563085" w:rsidRPr="008A39AD">
        <w:rPr>
          <w:rFonts w:ascii="Arial" w:hAnsi="Arial" w:cs="Arial"/>
          <w:vertAlign w:val="superscript"/>
        </w:rPr>
        <w:t>2</w:t>
      </w:r>
      <w:r w:rsidR="00220D47" w:rsidRPr="008A39AD">
        <w:rPr>
          <w:rFonts w:ascii="Arial" w:hAnsi="Arial" w:cs="Arial"/>
          <w:vertAlign w:val="superscript"/>
        </w:rPr>
        <w:t>0</w:t>
      </w:r>
      <w:r w:rsidRPr="008A39AD">
        <w:rPr>
          <w:rFonts w:ascii="Arial" w:hAnsi="Arial" w:cs="Arial"/>
        </w:rPr>
        <w:t>. Results from 20 imputed data sets were combined for the final analysis using Rubin’s formula</w:t>
      </w:r>
      <w:r w:rsidR="00563085" w:rsidRPr="008A39AD">
        <w:rPr>
          <w:rFonts w:ascii="Arial" w:hAnsi="Arial" w:cs="Arial"/>
        </w:rPr>
        <w:t xml:space="preserve"> </w:t>
      </w:r>
      <w:r w:rsidR="00563085" w:rsidRPr="008A39AD">
        <w:rPr>
          <w:rFonts w:ascii="Arial" w:hAnsi="Arial" w:cs="Arial"/>
          <w:vertAlign w:val="superscript"/>
        </w:rPr>
        <w:t>2</w:t>
      </w:r>
      <w:r w:rsidR="00220D47" w:rsidRPr="008A39AD">
        <w:rPr>
          <w:rFonts w:ascii="Arial" w:hAnsi="Arial" w:cs="Arial"/>
          <w:vertAlign w:val="superscript"/>
        </w:rPr>
        <w:t>1</w:t>
      </w:r>
      <w:r w:rsidRPr="008A39AD">
        <w:rPr>
          <w:rFonts w:ascii="Arial" w:hAnsi="Arial" w:cs="Arial"/>
        </w:rPr>
        <w:t xml:space="preserve">. </w:t>
      </w:r>
      <w:r w:rsidR="00B31A34" w:rsidRPr="008A39AD">
        <w:rPr>
          <w:rFonts w:ascii="Arial" w:hAnsi="Arial" w:cs="Arial"/>
        </w:rPr>
        <w:t>M</w:t>
      </w:r>
      <w:r w:rsidRPr="008A39AD">
        <w:rPr>
          <w:rFonts w:ascii="Arial" w:hAnsi="Arial" w:cs="Arial"/>
        </w:rPr>
        <w:t xml:space="preserve">issing data </w:t>
      </w:r>
      <w:r w:rsidR="00B31A34" w:rsidRPr="008A39AD">
        <w:rPr>
          <w:rFonts w:ascii="Arial" w:hAnsi="Arial" w:cs="Arial"/>
        </w:rPr>
        <w:t xml:space="preserve">was </w:t>
      </w:r>
      <w:r w:rsidRPr="008A39AD">
        <w:rPr>
          <w:rFonts w:ascii="Arial" w:hAnsi="Arial" w:cs="Arial"/>
        </w:rPr>
        <w:t>&lt;</w:t>
      </w:r>
      <w:r w:rsidR="007532B7" w:rsidRPr="008A39AD">
        <w:rPr>
          <w:rFonts w:ascii="Arial" w:hAnsi="Arial" w:cs="Arial"/>
        </w:rPr>
        <w:t>25</w:t>
      </w:r>
      <w:r w:rsidRPr="008A39AD">
        <w:rPr>
          <w:rFonts w:ascii="Arial" w:hAnsi="Arial" w:cs="Arial"/>
        </w:rPr>
        <w:t xml:space="preserve">% for all imputed covariates, </w:t>
      </w:r>
      <w:r w:rsidR="00273D3E" w:rsidRPr="008A39AD">
        <w:rPr>
          <w:rFonts w:ascii="Arial" w:hAnsi="Arial" w:cs="Arial"/>
        </w:rPr>
        <w:t>except</w:t>
      </w:r>
      <w:r w:rsidRPr="008A39AD">
        <w:rPr>
          <w:rFonts w:ascii="Arial" w:hAnsi="Arial" w:cs="Arial"/>
        </w:rPr>
        <w:t xml:space="preserve"> </w:t>
      </w:r>
      <w:r w:rsidR="00202F35" w:rsidRPr="008A39AD">
        <w:rPr>
          <w:rFonts w:ascii="Arial" w:hAnsi="Arial" w:cs="Arial"/>
        </w:rPr>
        <w:t>PD facility age</w:t>
      </w:r>
      <w:r w:rsidRPr="008A39AD">
        <w:rPr>
          <w:rFonts w:ascii="Arial" w:hAnsi="Arial" w:cs="Arial"/>
        </w:rPr>
        <w:t xml:space="preserve"> (</w:t>
      </w:r>
      <w:r w:rsidR="00485206" w:rsidRPr="008A39AD">
        <w:rPr>
          <w:rFonts w:ascii="Arial" w:hAnsi="Arial" w:cs="Arial"/>
        </w:rPr>
        <w:t>27</w:t>
      </w:r>
      <w:r w:rsidRPr="008A39AD">
        <w:rPr>
          <w:rFonts w:ascii="Arial" w:hAnsi="Arial" w:cs="Arial"/>
        </w:rPr>
        <w:t>% missing)</w:t>
      </w:r>
      <w:r w:rsidR="00202F35" w:rsidRPr="008A39AD">
        <w:rPr>
          <w:rFonts w:ascii="Arial" w:hAnsi="Arial" w:cs="Arial"/>
        </w:rPr>
        <w:t xml:space="preserve">, </w:t>
      </w:r>
      <w:r w:rsidRPr="008A39AD">
        <w:rPr>
          <w:rFonts w:ascii="Arial" w:hAnsi="Arial" w:cs="Arial"/>
        </w:rPr>
        <w:t>caregiver involvement (</w:t>
      </w:r>
      <w:r w:rsidR="001C7BFD" w:rsidRPr="008A39AD">
        <w:rPr>
          <w:rFonts w:ascii="Arial" w:hAnsi="Arial" w:cs="Arial"/>
        </w:rPr>
        <w:t>4</w:t>
      </w:r>
      <w:r w:rsidR="00485206" w:rsidRPr="008A39AD">
        <w:rPr>
          <w:rFonts w:ascii="Arial" w:hAnsi="Arial" w:cs="Arial"/>
        </w:rPr>
        <w:t>1</w:t>
      </w:r>
      <w:r w:rsidRPr="008A39AD">
        <w:rPr>
          <w:rFonts w:ascii="Arial" w:hAnsi="Arial" w:cs="Arial"/>
        </w:rPr>
        <w:t>%</w:t>
      </w:r>
      <w:r w:rsidR="00202F35" w:rsidRPr="008A39AD">
        <w:rPr>
          <w:rFonts w:ascii="Arial" w:hAnsi="Arial" w:cs="Arial"/>
        </w:rPr>
        <w:t xml:space="preserve"> missing</w:t>
      </w:r>
      <w:r w:rsidRPr="008A39AD">
        <w:rPr>
          <w:rFonts w:ascii="Arial" w:hAnsi="Arial" w:cs="Arial"/>
        </w:rPr>
        <w:t>)</w:t>
      </w:r>
      <w:r w:rsidR="00202F35" w:rsidRPr="008A39AD">
        <w:rPr>
          <w:rFonts w:ascii="Arial" w:hAnsi="Arial" w:cs="Arial"/>
        </w:rPr>
        <w:t xml:space="preserve">, </w:t>
      </w:r>
      <w:r w:rsidR="001B078E" w:rsidRPr="008A39AD">
        <w:rPr>
          <w:rFonts w:ascii="Arial" w:hAnsi="Arial" w:cs="Arial"/>
        </w:rPr>
        <w:t>urine volume (</w:t>
      </w:r>
      <w:r w:rsidR="001C7BFD" w:rsidRPr="008A39AD">
        <w:rPr>
          <w:rFonts w:ascii="Arial" w:hAnsi="Arial" w:cs="Arial"/>
        </w:rPr>
        <w:t>36</w:t>
      </w:r>
      <w:r w:rsidR="001B078E" w:rsidRPr="008A39AD">
        <w:rPr>
          <w:rFonts w:ascii="Arial" w:hAnsi="Arial" w:cs="Arial"/>
        </w:rPr>
        <w:t xml:space="preserve">% missing), </w:t>
      </w:r>
      <w:r w:rsidR="001C7BFD" w:rsidRPr="008A39AD">
        <w:rPr>
          <w:rFonts w:ascii="Arial" w:hAnsi="Arial" w:cs="Arial"/>
        </w:rPr>
        <w:t>transplant wait</w:t>
      </w:r>
      <w:r w:rsidR="00450E09" w:rsidRPr="008A39AD">
        <w:rPr>
          <w:rFonts w:ascii="Arial" w:hAnsi="Arial" w:cs="Arial"/>
        </w:rPr>
        <w:t xml:space="preserve">ing </w:t>
      </w:r>
      <w:r w:rsidR="001C7BFD" w:rsidRPr="008A39AD">
        <w:rPr>
          <w:rFonts w:ascii="Arial" w:hAnsi="Arial" w:cs="Arial"/>
        </w:rPr>
        <w:t>list (40%</w:t>
      </w:r>
      <w:r w:rsidR="00112D0F" w:rsidRPr="008A39AD">
        <w:rPr>
          <w:rFonts w:ascii="Arial" w:hAnsi="Arial" w:cs="Arial"/>
        </w:rPr>
        <w:t xml:space="preserve"> missing</w:t>
      </w:r>
      <w:r w:rsidR="001C7BFD" w:rsidRPr="008A39AD">
        <w:rPr>
          <w:rFonts w:ascii="Arial" w:hAnsi="Arial" w:cs="Arial"/>
        </w:rPr>
        <w:t xml:space="preserve">), </w:t>
      </w:r>
      <w:r w:rsidR="00202F35" w:rsidRPr="008A39AD">
        <w:rPr>
          <w:rFonts w:ascii="Arial" w:hAnsi="Arial" w:cs="Arial"/>
        </w:rPr>
        <w:t>and prior HD (</w:t>
      </w:r>
      <w:r w:rsidR="001C7BFD" w:rsidRPr="008A39AD">
        <w:rPr>
          <w:rFonts w:ascii="Arial" w:hAnsi="Arial" w:cs="Arial"/>
        </w:rPr>
        <w:t>5</w:t>
      </w:r>
      <w:r w:rsidR="00485206" w:rsidRPr="008A39AD">
        <w:rPr>
          <w:rFonts w:ascii="Arial" w:hAnsi="Arial" w:cs="Arial"/>
        </w:rPr>
        <w:t>9</w:t>
      </w:r>
      <w:r w:rsidR="00202F35" w:rsidRPr="008A39AD">
        <w:rPr>
          <w:rFonts w:ascii="Arial" w:hAnsi="Arial" w:cs="Arial"/>
        </w:rPr>
        <w:t>% missing)</w:t>
      </w:r>
      <w:r w:rsidRPr="008A39AD">
        <w:rPr>
          <w:rFonts w:ascii="Arial" w:hAnsi="Arial" w:cs="Arial"/>
        </w:rPr>
        <w:t>.</w:t>
      </w:r>
      <w:r w:rsidR="00214801" w:rsidRPr="008A39AD">
        <w:rPr>
          <w:rFonts w:ascii="Arial" w:hAnsi="Arial" w:cs="Arial"/>
        </w:rPr>
        <w:t xml:space="preserve"> </w:t>
      </w:r>
      <w:r w:rsidR="00B31A34" w:rsidRPr="008A39AD">
        <w:rPr>
          <w:rFonts w:ascii="Arial" w:hAnsi="Arial" w:cs="Arial"/>
        </w:rPr>
        <w:t>A</w:t>
      </w:r>
      <w:r w:rsidRPr="008A39AD">
        <w:rPr>
          <w:rFonts w:ascii="Arial" w:hAnsi="Arial" w:cs="Arial"/>
        </w:rPr>
        <w:t>nalyses used SAS software, version 9.4 (SAS institute Inc., Cary, NC).</w:t>
      </w:r>
    </w:p>
    <w:p w14:paraId="4DE2A3B8" w14:textId="7D91BE42" w:rsidR="00202732" w:rsidRPr="008A39AD" w:rsidRDefault="00202732" w:rsidP="00202732">
      <w:pPr>
        <w:pStyle w:val="Heading1"/>
        <w:rPr>
          <w:rFonts w:ascii="Arial" w:hAnsi="Arial" w:cs="Arial"/>
        </w:rPr>
      </w:pPr>
      <w:r w:rsidRPr="008A39AD">
        <w:rPr>
          <w:rFonts w:ascii="Arial" w:hAnsi="Arial" w:cs="Arial"/>
        </w:rPr>
        <w:t>RESULTS</w:t>
      </w:r>
    </w:p>
    <w:p w14:paraId="39669C24" w14:textId="1B6CD177" w:rsidR="00202732" w:rsidRPr="008A39AD" w:rsidRDefault="00202732" w:rsidP="00202732">
      <w:pPr>
        <w:pStyle w:val="Heading2"/>
        <w:spacing w:after="200" w:line="360" w:lineRule="auto"/>
        <w:rPr>
          <w:rFonts w:ascii="Arial" w:hAnsi="Arial" w:cs="Arial"/>
          <w:b/>
          <w:i/>
          <w:color w:val="000000" w:themeColor="text1"/>
          <w:sz w:val="24"/>
          <w:szCs w:val="24"/>
        </w:rPr>
      </w:pPr>
      <w:r w:rsidRPr="008A39AD">
        <w:rPr>
          <w:rFonts w:ascii="Arial" w:hAnsi="Arial" w:cs="Arial"/>
          <w:b/>
          <w:i/>
          <w:color w:val="000000" w:themeColor="text1"/>
          <w:sz w:val="24"/>
          <w:szCs w:val="24"/>
        </w:rPr>
        <w:t xml:space="preserve">Patient and facility characteristics by country </w:t>
      </w:r>
    </w:p>
    <w:p w14:paraId="1DF65B17" w14:textId="35221BD5" w:rsidR="00962754" w:rsidRPr="008A39AD" w:rsidRDefault="00962754" w:rsidP="00514C8C">
      <w:pPr>
        <w:spacing w:after="200" w:line="480" w:lineRule="auto"/>
        <w:rPr>
          <w:rFonts w:ascii="Arial" w:hAnsi="Arial" w:cs="Arial"/>
        </w:rPr>
      </w:pPr>
      <w:r w:rsidRPr="008A39AD">
        <w:rPr>
          <w:rFonts w:ascii="Arial" w:hAnsi="Arial" w:cs="Arial"/>
        </w:rPr>
        <w:t>Table 1</w:t>
      </w:r>
      <w:r w:rsidR="005779B8" w:rsidRPr="008A39AD">
        <w:rPr>
          <w:rFonts w:ascii="Arial" w:hAnsi="Arial" w:cs="Arial"/>
        </w:rPr>
        <w:t>A</w:t>
      </w:r>
      <w:r w:rsidRPr="008A39AD">
        <w:rPr>
          <w:rFonts w:ascii="Arial" w:hAnsi="Arial" w:cs="Arial"/>
        </w:rPr>
        <w:t xml:space="preserve"> presents</w:t>
      </w:r>
      <w:r w:rsidR="00B31A34" w:rsidRPr="008A39AD">
        <w:rPr>
          <w:rFonts w:ascii="Arial" w:hAnsi="Arial" w:cs="Arial"/>
        </w:rPr>
        <w:t xml:space="preserve"> patient </w:t>
      </w:r>
      <w:r w:rsidR="00CB1AE1" w:rsidRPr="008A39AD">
        <w:rPr>
          <w:rFonts w:ascii="Arial" w:hAnsi="Arial" w:cs="Arial"/>
        </w:rPr>
        <w:t>characteristics</w:t>
      </w:r>
      <w:r w:rsidRPr="008A39AD">
        <w:rPr>
          <w:rFonts w:ascii="Arial" w:hAnsi="Arial" w:cs="Arial"/>
        </w:rPr>
        <w:t>. Mean patient age range</w:t>
      </w:r>
      <w:r w:rsidR="00362FF0" w:rsidRPr="008A39AD">
        <w:rPr>
          <w:rFonts w:ascii="Arial" w:hAnsi="Arial" w:cs="Arial"/>
        </w:rPr>
        <w:t>d</w:t>
      </w:r>
      <w:r w:rsidRPr="008A39AD">
        <w:rPr>
          <w:rFonts w:ascii="Arial" w:hAnsi="Arial" w:cs="Arial"/>
        </w:rPr>
        <w:t xml:space="preserve"> from 56</w:t>
      </w:r>
      <w:r w:rsidR="006D61EE" w:rsidRPr="008A39AD">
        <w:rPr>
          <w:rFonts w:ascii="Arial" w:hAnsi="Arial" w:cs="Arial"/>
        </w:rPr>
        <w:t xml:space="preserve"> years</w:t>
      </w:r>
      <w:r w:rsidRPr="008A39AD">
        <w:rPr>
          <w:rFonts w:ascii="Arial" w:hAnsi="Arial" w:cs="Arial"/>
        </w:rPr>
        <w:t xml:space="preserve"> </w:t>
      </w:r>
      <w:r w:rsidR="006E5FCE" w:rsidRPr="008A39AD">
        <w:rPr>
          <w:rFonts w:ascii="Arial" w:hAnsi="Arial" w:cs="Arial"/>
        </w:rPr>
        <w:t xml:space="preserve">in </w:t>
      </w:r>
      <w:r w:rsidRPr="008A39AD">
        <w:rPr>
          <w:rFonts w:ascii="Arial" w:hAnsi="Arial" w:cs="Arial"/>
        </w:rPr>
        <w:t>Thailand to 64</w:t>
      </w:r>
      <w:r w:rsidR="006D61EE" w:rsidRPr="008A39AD">
        <w:rPr>
          <w:rFonts w:ascii="Arial" w:hAnsi="Arial" w:cs="Arial"/>
        </w:rPr>
        <w:t xml:space="preserve"> years</w:t>
      </w:r>
      <w:r w:rsidRPr="008A39AD">
        <w:rPr>
          <w:rFonts w:ascii="Arial" w:hAnsi="Arial" w:cs="Arial"/>
        </w:rPr>
        <w:t xml:space="preserve"> in Japan. </w:t>
      </w:r>
      <w:r w:rsidR="00CB1AE1" w:rsidRPr="008A39AD">
        <w:rPr>
          <w:rFonts w:ascii="Arial" w:hAnsi="Arial" w:cs="Arial"/>
        </w:rPr>
        <w:t>The proportion</w:t>
      </w:r>
      <w:r w:rsidR="006D61EE" w:rsidRPr="008A39AD">
        <w:rPr>
          <w:rFonts w:ascii="Arial" w:hAnsi="Arial" w:cs="Arial"/>
        </w:rPr>
        <w:t xml:space="preserve"> of </w:t>
      </w:r>
      <w:r w:rsidRPr="008A39AD">
        <w:rPr>
          <w:rFonts w:ascii="Arial" w:hAnsi="Arial" w:cs="Arial"/>
        </w:rPr>
        <w:t xml:space="preserve">male patients in Thailand (51%) and US (56%) </w:t>
      </w:r>
      <w:r w:rsidR="00CD3F73" w:rsidRPr="008A39AD">
        <w:rPr>
          <w:rFonts w:ascii="Arial" w:hAnsi="Arial" w:cs="Arial"/>
        </w:rPr>
        <w:t xml:space="preserve">was </w:t>
      </w:r>
      <w:r w:rsidR="00CB1AE1" w:rsidRPr="008A39AD">
        <w:rPr>
          <w:rFonts w:ascii="Arial" w:hAnsi="Arial" w:cs="Arial"/>
        </w:rPr>
        <w:t xml:space="preserve">lower </w:t>
      </w:r>
      <w:r w:rsidRPr="008A39AD">
        <w:rPr>
          <w:rFonts w:ascii="Arial" w:hAnsi="Arial" w:cs="Arial"/>
        </w:rPr>
        <w:t>compare</w:t>
      </w:r>
      <w:r w:rsidR="006E5FCE" w:rsidRPr="008A39AD">
        <w:rPr>
          <w:rFonts w:ascii="Arial" w:hAnsi="Arial" w:cs="Arial"/>
        </w:rPr>
        <w:t>d</w:t>
      </w:r>
      <w:r w:rsidRPr="008A39AD">
        <w:rPr>
          <w:rFonts w:ascii="Arial" w:hAnsi="Arial" w:cs="Arial"/>
        </w:rPr>
        <w:t xml:space="preserve"> to other countries (62</w:t>
      </w:r>
      <w:r w:rsidR="00D86BBA" w:rsidRPr="008A39AD">
        <w:rPr>
          <w:rFonts w:ascii="Arial" w:hAnsi="Arial" w:cs="Arial"/>
        </w:rPr>
        <w:t>%</w:t>
      </w:r>
      <w:r w:rsidRPr="008A39AD">
        <w:rPr>
          <w:rFonts w:ascii="Arial" w:hAnsi="Arial" w:cs="Arial"/>
        </w:rPr>
        <w:t>-67%)</w:t>
      </w:r>
      <w:r w:rsidR="00B31A34" w:rsidRPr="008A39AD">
        <w:rPr>
          <w:rFonts w:ascii="Arial" w:hAnsi="Arial" w:cs="Arial"/>
        </w:rPr>
        <w:t xml:space="preserve">. </w:t>
      </w:r>
      <w:r w:rsidRPr="008A39AD">
        <w:rPr>
          <w:rFonts w:ascii="Arial" w:hAnsi="Arial" w:cs="Arial"/>
        </w:rPr>
        <w:t xml:space="preserve">Patients in Japan (15%) and Thailand (24%) were less likely to </w:t>
      </w:r>
      <w:r w:rsidR="00362FF0" w:rsidRPr="008A39AD">
        <w:rPr>
          <w:rFonts w:ascii="Arial" w:hAnsi="Arial" w:cs="Arial"/>
        </w:rPr>
        <w:t>be</w:t>
      </w:r>
      <w:r w:rsidRPr="008A39AD">
        <w:rPr>
          <w:rFonts w:ascii="Arial" w:hAnsi="Arial" w:cs="Arial"/>
        </w:rPr>
        <w:t xml:space="preserve"> </w:t>
      </w:r>
      <w:r w:rsidR="006F71DF" w:rsidRPr="008A39AD">
        <w:rPr>
          <w:rFonts w:ascii="Arial" w:hAnsi="Arial" w:cs="Arial"/>
        </w:rPr>
        <w:t>on a</w:t>
      </w:r>
      <w:r w:rsidR="00CC3FCC" w:rsidRPr="008A39AD">
        <w:rPr>
          <w:rFonts w:ascii="Arial" w:hAnsi="Arial" w:cs="Arial"/>
        </w:rPr>
        <w:t xml:space="preserve"> </w:t>
      </w:r>
      <w:r w:rsidR="0031560D" w:rsidRPr="008A39AD">
        <w:rPr>
          <w:rFonts w:ascii="Arial" w:hAnsi="Arial" w:cs="Arial"/>
        </w:rPr>
        <w:t xml:space="preserve">kidney </w:t>
      </w:r>
      <w:r w:rsidR="00CC3FCC" w:rsidRPr="008A39AD">
        <w:rPr>
          <w:rFonts w:ascii="Arial" w:hAnsi="Arial" w:cs="Arial"/>
        </w:rPr>
        <w:t>transplant wait</w:t>
      </w:r>
      <w:r w:rsidR="00D86BBA" w:rsidRPr="008A39AD">
        <w:rPr>
          <w:rFonts w:ascii="Arial" w:hAnsi="Arial" w:cs="Arial"/>
        </w:rPr>
        <w:t xml:space="preserve">ing </w:t>
      </w:r>
      <w:r w:rsidR="00CC3FCC" w:rsidRPr="008A39AD">
        <w:rPr>
          <w:rFonts w:ascii="Arial" w:hAnsi="Arial" w:cs="Arial"/>
        </w:rPr>
        <w:t>list (vs. 48</w:t>
      </w:r>
      <w:r w:rsidR="00D86BBA" w:rsidRPr="008A39AD">
        <w:rPr>
          <w:rFonts w:ascii="Arial" w:hAnsi="Arial" w:cs="Arial"/>
        </w:rPr>
        <w:t>%</w:t>
      </w:r>
      <w:r w:rsidR="00CC3FCC" w:rsidRPr="008A39AD">
        <w:rPr>
          <w:rFonts w:ascii="Arial" w:hAnsi="Arial" w:cs="Arial"/>
        </w:rPr>
        <w:t>-</w:t>
      </w:r>
      <w:r w:rsidR="001C7BFD" w:rsidRPr="008A39AD">
        <w:rPr>
          <w:rFonts w:ascii="Arial" w:hAnsi="Arial" w:cs="Arial"/>
        </w:rPr>
        <w:t>62</w:t>
      </w:r>
      <w:r w:rsidR="00CC3FCC" w:rsidRPr="008A39AD">
        <w:rPr>
          <w:rFonts w:ascii="Arial" w:hAnsi="Arial" w:cs="Arial"/>
        </w:rPr>
        <w:t>% elsewhere).</w:t>
      </w:r>
    </w:p>
    <w:p w14:paraId="30DF33B3" w14:textId="771DED66" w:rsidR="006D4B87" w:rsidRPr="008A39AD" w:rsidRDefault="00DA4265" w:rsidP="00514C8C">
      <w:pPr>
        <w:spacing w:after="200" w:line="480" w:lineRule="auto"/>
        <w:rPr>
          <w:rFonts w:ascii="Arial" w:hAnsi="Arial" w:cs="Arial"/>
        </w:rPr>
      </w:pPr>
      <w:r w:rsidRPr="008A39AD">
        <w:rPr>
          <w:rFonts w:ascii="Arial" w:hAnsi="Arial" w:cs="Arial"/>
        </w:rPr>
        <w:t xml:space="preserve">The </w:t>
      </w:r>
      <w:r w:rsidR="00514C8C" w:rsidRPr="008A39AD">
        <w:rPr>
          <w:rFonts w:ascii="Arial" w:hAnsi="Arial" w:cs="Arial"/>
        </w:rPr>
        <w:t xml:space="preserve">median </w:t>
      </w:r>
      <w:r w:rsidRPr="008A39AD">
        <w:rPr>
          <w:rFonts w:ascii="Arial" w:hAnsi="Arial" w:cs="Arial"/>
        </w:rPr>
        <w:t xml:space="preserve">numbers </w:t>
      </w:r>
      <w:r w:rsidR="00514C8C" w:rsidRPr="008A39AD">
        <w:rPr>
          <w:rFonts w:ascii="Arial" w:hAnsi="Arial" w:cs="Arial"/>
        </w:rPr>
        <w:t xml:space="preserve">of patients treated in </w:t>
      </w:r>
      <w:r w:rsidR="006D61EE" w:rsidRPr="008A39AD">
        <w:rPr>
          <w:rFonts w:ascii="Arial" w:hAnsi="Arial" w:cs="Arial"/>
        </w:rPr>
        <w:t xml:space="preserve">Japanese and US PD </w:t>
      </w:r>
      <w:r w:rsidR="00514C8C" w:rsidRPr="008A39AD">
        <w:rPr>
          <w:rFonts w:ascii="Arial" w:hAnsi="Arial" w:cs="Arial"/>
        </w:rPr>
        <w:t>facilities</w:t>
      </w:r>
      <w:r w:rsidRPr="008A39AD">
        <w:rPr>
          <w:rFonts w:ascii="Arial" w:hAnsi="Arial" w:cs="Arial"/>
        </w:rPr>
        <w:t xml:space="preserve"> were 29 and 32, re</w:t>
      </w:r>
      <w:r w:rsidR="00264F69" w:rsidRPr="008A39AD">
        <w:rPr>
          <w:rFonts w:ascii="Arial" w:hAnsi="Arial" w:cs="Arial"/>
        </w:rPr>
        <w:t>sp</w:t>
      </w:r>
      <w:r w:rsidRPr="008A39AD">
        <w:rPr>
          <w:rFonts w:ascii="Arial" w:hAnsi="Arial" w:cs="Arial"/>
        </w:rPr>
        <w:t>ectively</w:t>
      </w:r>
      <w:r w:rsidR="00273D3E" w:rsidRPr="008A39AD">
        <w:rPr>
          <w:rFonts w:ascii="Arial" w:hAnsi="Arial" w:cs="Arial"/>
        </w:rPr>
        <w:t>.</w:t>
      </w:r>
      <w:r w:rsidR="00CB1AE1" w:rsidRPr="008A39AD">
        <w:rPr>
          <w:rFonts w:ascii="Arial" w:hAnsi="Arial" w:cs="Arial"/>
        </w:rPr>
        <w:t xml:space="preserve"> </w:t>
      </w:r>
      <w:r w:rsidR="00273D3E" w:rsidRPr="008A39AD">
        <w:rPr>
          <w:rFonts w:ascii="Arial" w:hAnsi="Arial" w:cs="Arial"/>
        </w:rPr>
        <w:t>O</w:t>
      </w:r>
      <w:r w:rsidR="00362FF0" w:rsidRPr="008A39AD">
        <w:rPr>
          <w:rFonts w:ascii="Arial" w:hAnsi="Arial" w:cs="Arial"/>
        </w:rPr>
        <w:t>ther</w:t>
      </w:r>
      <w:r w:rsidR="00514C8C" w:rsidRPr="008A39AD">
        <w:rPr>
          <w:rFonts w:ascii="Arial" w:hAnsi="Arial" w:cs="Arial"/>
        </w:rPr>
        <w:t xml:space="preserve"> countries </w:t>
      </w:r>
      <w:r w:rsidR="006F71DF" w:rsidRPr="008A39AD">
        <w:rPr>
          <w:rFonts w:ascii="Arial" w:hAnsi="Arial" w:cs="Arial"/>
        </w:rPr>
        <w:t>had</w:t>
      </w:r>
      <w:r w:rsidR="00514C8C" w:rsidRPr="008A39AD">
        <w:rPr>
          <w:rFonts w:ascii="Arial" w:hAnsi="Arial" w:cs="Arial"/>
        </w:rPr>
        <w:t xml:space="preserve"> median </w:t>
      </w:r>
      <w:r w:rsidR="006F71DF" w:rsidRPr="008A39AD">
        <w:rPr>
          <w:rFonts w:ascii="Arial" w:hAnsi="Arial" w:cs="Arial"/>
        </w:rPr>
        <w:t xml:space="preserve">facility sizes of </w:t>
      </w:r>
      <w:r w:rsidR="00514C8C" w:rsidRPr="008A39AD">
        <w:rPr>
          <w:rFonts w:ascii="Arial" w:hAnsi="Arial" w:cs="Arial"/>
        </w:rPr>
        <w:t xml:space="preserve">50-53 </w:t>
      </w:r>
      <w:r w:rsidR="006D61EE" w:rsidRPr="008A39AD">
        <w:rPr>
          <w:rFonts w:ascii="Arial" w:hAnsi="Arial" w:cs="Arial"/>
        </w:rPr>
        <w:t xml:space="preserve">PD </w:t>
      </w:r>
      <w:r w:rsidR="00514C8C" w:rsidRPr="008A39AD">
        <w:rPr>
          <w:rFonts w:ascii="Arial" w:hAnsi="Arial" w:cs="Arial"/>
        </w:rPr>
        <w:t>patient</w:t>
      </w:r>
      <w:r w:rsidR="00273D3E" w:rsidRPr="008A39AD">
        <w:rPr>
          <w:rFonts w:ascii="Arial" w:hAnsi="Arial" w:cs="Arial"/>
        </w:rPr>
        <w:t>s</w:t>
      </w:r>
      <w:r w:rsidR="00144EB9" w:rsidRPr="008A39AD">
        <w:rPr>
          <w:rFonts w:ascii="Arial" w:hAnsi="Arial" w:cs="Arial"/>
        </w:rPr>
        <w:t>,</w:t>
      </w:r>
      <w:r w:rsidR="00273D3E" w:rsidRPr="008A39AD">
        <w:rPr>
          <w:rFonts w:ascii="Arial" w:hAnsi="Arial" w:cs="Arial"/>
        </w:rPr>
        <w:t xml:space="preserve"> except </w:t>
      </w:r>
      <w:r w:rsidR="00CB1AE1" w:rsidRPr="008A39AD">
        <w:rPr>
          <w:rFonts w:ascii="Arial" w:hAnsi="Arial" w:cs="Arial"/>
        </w:rPr>
        <w:t xml:space="preserve">Thailand with a median number of 102 patients.  </w:t>
      </w:r>
      <w:r w:rsidR="00CC3FCC" w:rsidRPr="008A39AD">
        <w:rPr>
          <w:rFonts w:ascii="Arial" w:hAnsi="Arial" w:cs="Arial"/>
        </w:rPr>
        <w:t xml:space="preserve">Routine multidisciplinary review </w:t>
      </w:r>
      <w:r w:rsidR="006F71DF" w:rsidRPr="008A39AD">
        <w:rPr>
          <w:rFonts w:ascii="Arial" w:hAnsi="Arial" w:cs="Arial"/>
        </w:rPr>
        <w:t xml:space="preserve">was </w:t>
      </w:r>
      <w:r w:rsidR="00CC3FCC" w:rsidRPr="008A39AD">
        <w:rPr>
          <w:rFonts w:ascii="Arial" w:hAnsi="Arial" w:cs="Arial"/>
        </w:rPr>
        <w:t xml:space="preserve">more common in </w:t>
      </w:r>
      <w:r w:rsidR="006F71DF" w:rsidRPr="008A39AD">
        <w:rPr>
          <w:rFonts w:ascii="Arial" w:hAnsi="Arial" w:cs="Arial"/>
        </w:rPr>
        <w:lastRenderedPageBreak/>
        <w:t xml:space="preserve">the </w:t>
      </w:r>
      <w:r w:rsidR="00CC3FCC" w:rsidRPr="008A39AD">
        <w:rPr>
          <w:rFonts w:ascii="Arial" w:hAnsi="Arial" w:cs="Arial"/>
        </w:rPr>
        <w:t xml:space="preserve">UK (79%) and </w:t>
      </w:r>
      <w:r w:rsidR="006F71DF" w:rsidRPr="008A39AD">
        <w:rPr>
          <w:rFonts w:ascii="Arial" w:hAnsi="Arial" w:cs="Arial"/>
        </w:rPr>
        <w:t xml:space="preserve">the </w:t>
      </w:r>
      <w:r w:rsidR="00CC3FCC" w:rsidRPr="008A39AD">
        <w:rPr>
          <w:rFonts w:ascii="Arial" w:hAnsi="Arial" w:cs="Arial"/>
        </w:rPr>
        <w:t>US (</w:t>
      </w:r>
      <w:r w:rsidR="001C7BFD" w:rsidRPr="008A39AD">
        <w:rPr>
          <w:rFonts w:ascii="Arial" w:hAnsi="Arial" w:cs="Arial"/>
        </w:rPr>
        <w:t>81</w:t>
      </w:r>
      <w:r w:rsidR="00CC3FCC" w:rsidRPr="008A39AD">
        <w:rPr>
          <w:rFonts w:ascii="Arial" w:hAnsi="Arial" w:cs="Arial"/>
        </w:rPr>
        <w:t xml:space="preserve">%) than </w:t>
      </w:r>
      <w:r w:rsidR="006F71DF" w:rsidRPr="008A39AD">
        <w:rPr>
          <w:rFonts w:ascii="Arial" w:hAnsi="Arial" w:cs="Arial"/>
        </w:rPr>
        <w:t xml:space="preserve">in </w:t>
      </w:r>
      <w:r w:rsidR="00CC3FCC" w:rsidRPr="008A39AD">
        <w:rPr>
          <w:rFonts w:ascii="Arial" w:hAnsi="Arial" w:cs="Arial"/>
        </w:rPr>
        <w:t>other countries (40</w:t>
      </w:r>
      <w:r w:rsidR="00D86BBA" w:rsidRPr="008A39AD">
        <w:rPr>
          <w:rFonts w:ascii="Arial" w:hAnsi="Arial" w:cs="Arial"/>
        </w:rPr>
        <w:t>%</w:t>
      </w:r>
      <w:r w:rsidR="00CC3FCC" w:rsidRPr="008A39AD">
        <w:rPr>
          <w:rFonts w:ascii="Arial" w:hAnsi="Arial" w:cs="Arial"/>
        </w:rPr>
        <w:t>-69%).</w:t>
      </w:r>
      <w:r w:rsidR="007F4F50" w:rsidRPr="008A39AD">
        <w:rPr>
          <w:rFonts w:ascii="Arial" w:hAnsi="Arial" w:cs="Arial"/>
        </w:rPr>
        <w:t xml:space="preserve"> </w:t>
      </w:r>
      <w:r w:rsidR="00273D3E" w:rsidRPr="008A39AD">
        <w:rPr>
          <w:rFonts w:ascii="Arial" w:hAnsi="Arial" w:cs="Arial"/>
        </w:rPr>
        <w:t>US facilities had a higher proportion of facilities with a KT/V of 1.7 or greater (69%) and Japan and Thailand the highest proportion with KT/V 1.7 or lower (58</w:t>
      </w:r>
      <w:r w:rsidR="00144EB9" w:rsidRPr="008A39AD">
        <w:rPr>
          <w:rFonts w:ascii="Arial" w:hAnsi="Arial" w:cs="Arial"/>
        </w:rPr>
        <w:t>%</w:t>
      </w:r>
      <w:r w:rsidR="00273D3E" w:rsidRPr="008A39AD">
        <w:rPr>
          <w:rFonts w:ascii="Arial" w:hAnsi="Arial" w:cs="Arial"/>
        </w:rPr>
        <w:t xml:space="preserve">-75%). </w:t>
      </w:r>
      <w:r w:rsidR="00B41DFB" w:rsidRPr="008A39AD">
        <w:rPr>
          <w:rFonts w:ascii="Arial" w:hAnsi="Arial" w:cs="Arial"/>
        </w:rPr>
        <w:t>Hypertonic (</w:t>
      </w:r>
      <w:r w:rsidR="00EF6E81" w:rsidRPr="008A39AD">
        <w:rPr>
          <w:rFonts w:ascii="Arial" w:hAnsi="Arial" w:cs="Arial"/>
        </w:rPr>
        <w:t>4</w:t>
      </w:r>
      <w:r w:rsidR="00B41DFB" w:rsidRPr="008A39AD">
        <w:rPr>
          <w:rFonts w:ascii="Arial" w:hAnsi="Arial" w:cs="Arial"/>
        </w:rPr>
        <w:t>.</w:t>
      </w:r>
      <w:r w:rsidR="00EF6E81" w:rsidRPr="008A39AD">
        <w:rPr>
          <w:rFonts w:ascii="Arial" w:hAnsi="Arial" w:cs="Arial"/>
        </w:rPr>
        <w:t>25</w:t>
      </w:r>
      <w:r w:rsidR="00B41DFB" w:rsidRPr="008A39AD">
        <w:rPr>
          <w:rFonts w:ascii="Arial" w:hAnsi="Arial" w:cs="Arial"/>
        </w:rPr>
        <w:t>%)</w:t>
      </w:r>
      <w:r w:rsidR="007F4F50" w:rsidRPr="008A39AD">
        <w:rPr>
          <w:rFonts w:ascii="Arial" w:hAnsi="Arial" w:cs="Arial"/>
        </w:rPr>
        <w:t xml:space="preserve"> PD solution was rarely used in Japan and UK, but </w:t>
      </w:r>
      <w:r w:rsidR="00CD3F73" w:rsidRPr="008A39AD">
        <w:rPr>
          <w:rFonts w:ascii="Arial" w:hAnsi="Arial" w:cs="Arial"/>
        </w:rPr>
        <w:t xml:space="preserve">was used </w:t>
      </w:r>
      <w:r w:rsidR="00C83EA3" w:rsidRPr="008A39AD">
        <w:rPr>
          <w:rFonts w:ascii="Arial" w:hAnsi="Arial" w:cs="Arial"/>
        </w:rPr>
        <w:t xml:space="preserve">in </w:t>
      </w:r>
      <w:r w:rsidR="00362FF0" w:rsidRPr="008A39AD">
        <w:rPr>
          <w:rFonts w:ascii="Arial" w:hAnsi="Arial" w:cs="Arial"/>
        </w:rPr>
        <w:t xml:space="preserve">at least </w:t>
      </w:r>
      <w:r w:rsidR="00C6455E" w:rsidRPr="008A39AD">
        <w:rPr>
          <w:rFonts w:ascii="Arial" w:hAnsi="Arial" w:cs="Arial"/>
        </w:rPr>
        <w:t>20</w:t>
      </w:r>
      <w:r w:rsidR="007F4F50" w:rsidRPr="008A39AD">
        <w:rPr>
          <w:rFonts w:ascii="Arial" w:hAnsi="Arial" w:cs="Arial"/>
        </w:rPr>
        <w:t xml:space="preserve">% </w:t>
      </w:r>
      <w:r w:rsidR="00362FF0" w:rsidRPr="008A39AD">
        <w:rPr>
          <w:rFonts w:ascii="Arial" w:hAnsi="Arial" w:cs="Arial"/>
        </w:rPr>
        <w:t xml:space="preserve">of </w:t>
      </w:r>
      <w:r w:rsidR="007F4F50" w:rsidRPr="008A39AD">
        <w:rPr>
          <w:rFonts w:ascii="Arial" w:hAnsi="Arial" w:cs="Arial"/>
        </w:rPr>
        <w:t xml:space="preserve">patients in </w:t>
      </w:r>
      <w:r w:rsidR="00362FF0" w:rsidRPr="008A39AD">
        <w:rPr>
          <w:rFonts w:ascii="Arial" w:hAnsi="Arial" w:cs="Arial"/>
        </w:rPr>
        <w:t>80% of</w:t>
      </w:r>
      <w:r w:rsidR="007F4F50" w:rsidRPr="008A39AD">
        <w:rPr>
          <w:rFonts w:ascii="Arial" w:hAnsi="Arial" w:cs="Arial"/>
        </w:rPr>
        <w:t xml:space="preserve"> US</w:t>
      </w:r>
      <w:r w:rsidR="00362FF0" w:rsidRPr="008A39AD">
        <w:rPr>
          <w:rFonts w:ascii="Arial" w:hAnsi="Arial" w:cs="Arial"/>
        </w:rPr>
        <w:t xml:space="preserve"> facilities</w:t>
      </w:r>
      <w:r w:rsidR="00112D0F" w:rsidRPr="008A39AD">
        <w:rPr>
          <w:rFonts w:ascii="Arial" w:hAnsi="Arial" w:cs="Arial"/>
        </w:rPr>
        <w:t xml:space="preserve"> (Table 1B)</w:t>
      </w:r>
      <w:r w:rsidR="00362FF0" w:rsidRPr="008A39AD">
        <w:rPr>
          <w:rFonts w:ascii="Arial" w:hAnsi="Arial" w:cs="Arial"/>
        </w:rPr>
        <w:t>.</w:t>
      </w:r>
      <w:r w:rsidR="007F4F50" w:rsidRPr="008A39AD">
        <w:rPr>
          <w:rFonts w:ascii="Arial" w:hAnsi="Arial" w:cs="Arial"/>
        </w:rPr>
        <w:t xml:space="preserve"> </w:t>
      </w:r>
    </w:p>
    <w:p w14:paraId="50FEFBB4" w14:textId="4E3E477C" w:rsidR="00630F16" w:rsidRPr="008A39AD" w:rsidRDefault="00A25FAA" w:rsidP="00630F16">
      <w:pPr>
        <w:pStyle w:val="Heading2"/>
        <w:spacing w:after="200" w:line="360" w:lineRule="auto"/>
        <w:rPr>
          <w:rFonts w:ascii="Arial" w:hAnsi="Arial" w:cs="Arial"/>
          <w:b/>
          <w:i/>
          <w:color w:val="000000" w:themeColor="text1"/>
          <w:sz w:val="24"/>
          <w:szCs w:val="24"/>
        </w:rPr>
      </w:pPr>
      <w:r w:rsidRPr="008A39AD">
        <w:rPr>
          <w:rFonts w:ascii="Arial" w:hAnsi="Arial" w:cs="Arial"/>
          <w:b/>
          <w:i/>
          <w:color w:val="000000" w:themeColor="text1"/>
          <w:sz w:val="24"/>
          <w:szCs w:val="24"/>
        </w:rPr>
        <w:t xml:space="preserve">Absolute time </w:t>
      </w:r>
      <w:r w:rsidR="00630F16" w:rsidRPr="008A39AD">
        <w:rPr>
          <w:rFonts w:ascii="Arial" w:hAnsi="Arial" w:cs="Arial"/>
          <w:b/>
          <w:i/>
          <w:color w:val="000000" w:themeColor="text1"/>
          <w:sz w:val="24"/>
          <w:szCs w:val="24"/>
        </w:rPr>
        <w:t>on therapy</w:t>
      </w:r>
      <w:r w:rsidR="002E51A6" w:rsidRPr="008A39AD">
        <w:rPr>
          <w:rFonts w:ascii="Arial" w:hAnsi="Arial" w:cs="Arial"/>
          <w:b/>
          <w:i/>
          <w:color w:val="000000" w:themeColor="text1"/>
          <w:sz w:val="24"/>
          <w:szCs w:val="24"/>
        </w:rPr>
        <w:t xml:space="preserve"> and </w:t>
      </w:r>
      <w:r w:rsidRPr="008A39AD">
        <w:rPr>
          <w:rFonts w:ascii="Arial" w:hAnsi="Arial" w:cs="Arial"/>
          <w:b/>
          <w:i/>
          <w:color w:val="000000" w:themeColor="text1"/>
          <w:sz w:val="24"/>
          <w:szCs w:val="24"/>
        </w:rPr>
        <w:t xml:space="preserve">relative </w:t>
      </w:r>
      <w:r w:rsidR="002E51A6" w:rsidRPr="008A39AD">
        <w:rPr>
          <w:rFonts w:ascii="Arial" w:hAnsi="Arial" w:cs="Arial"/>
          <w:b/>
          <w:i/>
          <w:color w:val="000000" w:themeColor="text1"/>
          <w:sz w:val="24"/>
          <w:szCs w:val="24"/>
        </w:rPr>
        <w:t>hazard by country</w:t>
      </w:r>
      <w:r w:rsidR="00630F16" w:rsidRPr="008A39AD">
        <w:rPr>
          <w:rFonts w:ascii="Arial" w:hAnsi="Arial" w:cs="Arial"/>
          <w:b/>
          <w:i/>
          <w:color w:val="000000" w:themeColor="text1"/>
          <w:sz w:val="24"/>
          <w:szCs w:val="24"/>
        </w:rPr>
        <w:t xml:space="preserve"> </w:t>
      </w:r>
    </w:p>
    <w:p w14:paraId="65DEF201" w14:textId="18C24EB1" w:rsidR="001051BD" w:rsidRPr="008A39AD" w:rsidRDefault="002D44B6" w:rsidP="00514C8C">
      <w:pPr>
        <w:spacing w:after="200" w:line="480" w:lineRule="auto"/>
        <w:rPr>
          <w:rFonts w:ascii="Arial" w:hAnsi="Arial" w:cs="Arial"/>
        </w:rPr>
      </w:pPr>
      <w:r w:rsidRPr="008A39AD">
        <w:rPr>
          <w:rFonts w:ascii="Arial" w:hAnsi="Arial" w:cs="Arial"/>
        </w:rPr>
        <w:t>Overall,</w:t>
      </w:r>
      <w:r w:rsidR="00F22A7D" w:rsidRPr="008A39AD">
        <w:rPr>
          <w:rFonts w:ascii="Arial" w:hAnsi="Arial" w:cs="Arial"/>
        </w:rPr>
        <w:t xml:space="preserve"> median </w:t>
      </w:r>
      <w:r w:rsidR="00622AD1" w:rsidRPr="008A39AD">
        <w:rPr>
          <w:rFonts w:ascii="Arial" w:hAnsi="Arial" w:cs="Arial"/>
        </w:rPr>
        <w:t>t</w:t>
      </w:r>
      <w:r w:rsidR="003D2CEE" w:rsidRPr="008A39AD">
        <w:rPr>
          <w:rFonts w:ascii="Arial" w:hAnsi="Arial" w:cs="Arial"/>
        </w:rPr>
        <w:t>ime on PD</w:t>
      </w:r>
      <w:r w:rsidR="00F22A7D" w:rsidRPr="008A39AD">
        <w:rPr>
          <w:rFonts w:ascii="Arial" w:hAnsi="Arial" w:cs="Arial"/>
        </w:rPr>
        <w:t xml:space="preserve"> </w:t>
      </w:r>
      <w:r w:rsidR="00A25FAA" w:rsidRPr="008A39AD">
        <w:rPr>
          <w:rFonts w:ascii="Arial" w:hAnsi="Arial" w:cs="Arial"/>
        </w:rPr>
        <w:t>wa</w:t>
      </w:r>
      <w:r w:rsidR="00F22A7D" w:rsidRPr="008A39AD">
        <w:rPr>
          <w:rFonts w:ascii="Arial" w:hAnsi="Arial" w:cs="Arial"/>
        </w:rPr>
        <w:t xml:space="preserve">s </w:t>
      </w:r>
      <w:r w:rsidR="00E908D6" w:rsidRPr="008A39AD">
        <w:rPr>
          <w:rFonts w:ascii="Arial" w:hAnsi="Arial" w:cs="Arial"/>
        </w:rPr>
        <w:t>2.</w:t>
      </w:r>
      <w:r w:rsidR="00F25305" w:rsidRPr="008A39AD">
        <w:rPr>
          <w:rFonts w:ascii="Arial" w:hAnsi="Arial" w:cs="Arial"/>
        </w:rPr>
        <w:t>3</w:t>
      </w:r>
      <w:r w:rsidR="00E908D6" w:rsidRPr="008A39AD">
        <w:rPr>
          <w:rFonts w:ascii="Arial" w:hAnsi="Arial" w:cs="Arial"/>
        </w:rPr>
        <w:t xml:space="preserve"> </w:t>
      </w:r>
      <w:r w:rsidR="00362FF0" w:rsidRPr="008A39AD">
        <w:rPr>
          <w:rFonts w:ascii="Arial" w:hAnsi="Arial" w:cs="Arial"/>
        </w:rPr>
        <w:t>(</w:t>
      </w:r>
      <w:r w:rsidR="00AF31C5" w:rsidRPr="008A39AD">
        <w:rPr>
          <w:rFonts w:ascii="Arial" w:hAnsi="Arial" w:cs="Arial"/>
        </w:rPr>
        <w:t>inter</w:t>
      </w:r>
      <w:r w:rsidR="00C5219A" w:rsidRPr="008A39AD">
        <w:rPr>
          <w:rFonts w:ascii="Arial" w:hAnsi="Arial" w:cs="Arial"/>
        </w:rPr>
        <w:t>quartile range 1.</w:t>
      </w:r>
      <w:r w:rsidR="00E908D6" w:rsidRPr="008A39AD">
        <w:rPr>
          <w:rFonts w:ascii="Arial" w:hAnsi="Arial" w:cs="Arial"/>
        </w:rPr>
        <w:t>1</w:t>
      </w:r>
      <w:r w:rsidR="00C5219A" w:rsidRPr="008A39AD">
        <w:rPr>
          <w:rFonts w:ascii="Arial" w:hAnsi="Arial" w:cs="Arial"/>
        </w:rPr>
        <w:t>-</w:t>
      </w:r>
      <w:r w:rsidR="00E908D6" w:rsidRPr="008A39AD">
        <w:rPr>
          <w:rFonts w:ascii="Arial" w:hAnsi="Arial" w:cs="Arial"/>
        </w:rPr>
        <w:t>4.</w:t>
      </w:r>
      <w:r w:rsidR="004821E6" w:rsidRPr="008A39AD">
        <w:rPr>
          <w:rFonts w:ascii="Arial" w:hAnsi="Arial" w:cs="Arial"/>
        </w:rPr>
        <w:t>4</w:t>
      </w:r>
      <w:r w:rsidR="00362FF0" w:rsidRPr="008A39AD">
        <w:rPr>
          <w:rFonts w:ascii="Arial" w:hAnsi="Arial" w:cs="Arial"/>
        </w:rPr>
        <w:t>)</w:t>
      </w:r>
      <w:r w:rsidR="00C5219A" w:rsidRPr="008A39AD">
        <w:rPr>
          <w:rFonts w:ascii="Arial" w:hAnsi="Arial" w:cs="Arial"/>
        </w:rPr>
        <w:t xml:space="preserve"> years</w:t>
      </w:r>
      <w:r w:rsidR="00362FF0" w:rsidRPr="008A39AD">
        <w:rPr>
          <w:rFonts w:ascii="Arial" w:hAnsi="Arial" w:cs="Arial"/>
        </w:rPr>
        <w:t xml:space="preserve"> (Supplemental Table 1)</w:t>
      </w:r>
      <w:r w:rsidR="00C5219A" w:rsidRPr="008A39AD">
        <w:rPr>
          <w:rFonts w:ascii="Arial" w:hAnsi="Arial" w:cs="Arial"/>
        </w:rPr>
        <w:t xml:space="preserve">. Japan had the longest median </w:t>
      </w:r>
      <w:r w:rsidR="00622AD1" w:rsidRPr="008A39AD">
        <w:rPr>
          <w:rFonts w:ascii="Arial" w:hAnsi="Arial" w:cs="Arial"/>
        </w:rPr>
        <w:t>t</w:t>
      </w:r>
      <w:r w:rsidR="003D2CEE" w:rsidRPr="008A39AD">
        <w:rPr>
          <w:rFonts w:ascii="Arial" w:hAnsi="Arial" w:cs="Arial"/>
        </w:rPr>
        <w:t>ime on PD</w:t>
      </w:r>
      <w:r w:rsidR="003F1A19" w:rsidRPr="008A39AD">
        <w:rPr>
          <w:rFonts w:ascii="Arial" w:hAnsi="Arial" w:cs="Arial"/>
        </w:rPr>
        <w:t xml:space="preserve"> of </w:t>
      </w:r>
      <w:r w:rsidR="00E908D6" w:rsidRPr="008A39AD">
        <w:rPr>
          <w:rFonts w:ascii="Arial" w:hAnsi="Arial" w:cs="Arial"/>
        </w:rPr>
        <w:t>3</w:t>
      </w:r>
      <w:r w:rsidR="00C5219A" w:rsidRPr="008A39AD">
        <w:rPr>
          <w:rFonts w:ascii="Arial" w:hAnsi="Arial" w:cs="Arial"/>
        </w:rPr>
        <w:t>.</w:t>
      </w:r>
      <w:r w:rsidR="00F25305" w:rsidRPr="008A39AD">
        <w:rPr>
          <w:rFonts w:ascii="Arial" w:hAnsi="Arial" w:cs="Arial"/>
        </w:rPr>
        <w:t>2</w:t>
      </w:r>
      <w:r w:rsidR="00C5219A" w:rsidRPr="008A39AD">
        <w:rPr>
          <w:rFonts w:ascii="Arial" w:hAnsi="Arial" w:cs="Arial"/>
        </w:rPr>
        <w:t xml:space="preserve"> years</w:t>
      </w:r>
      <w:r w:rsidR="00765387" w:rsidRPr="008A39AD">
        <w:rPr>
          <w:rFonts w:ascii="Arial" w:hAnsi="Arial" w:cs="Arial"/>
        </w:rPr>
        <w:t>,</w:t>
      </w:r>
      <w:r w:rsidR="00C5219A" w:rsidRPr="008A39AD">
        <w:rPr>
          <w:rFonts w:ascii="Arial" w:hAnsi="Arial" w:cs="Arial"/>
        </w:rPr>
        <w:t xml:space="preserve"> </w:t>
      </w:r>
      <w:r w:rsidR="003F1A19" w:rsidRPr="008A39AD">
        <w:rPr>
          <w:rFonts w:ascii="Arial" w:hAnsi="Arial" w:cs="Arial"/>
        </w:rPr>
        <w:t>followed by 2.</w:t>
      </w:r>
      <w:r w:rsidR="00F25305" w:rsidRPr="008A39AD">
        <w:rPr>
          <w:rFonts w:ascii="Arial" w:hAnsi="Arial" w:cs="Arial"/>
        </w:rPr>
        <w:t>8</w:t>
      </w:r>
      <w:r w:rsidR="003F1A19" w:rsidRPr="008A39AD">
        <w:rPr>
          <w:rFonts w:ascii="Arial" w:hAnsi="Arial" w:cs="Arial"/>
        </w:rPr>
        <w:t xml:space="preserve"> years in Thailand</w:t>
      </w:r>
      <w:r w:rsidR="00765387" w:rsidRPr="008A39AD">
        <w:rPr>
          <w:rFonts w:ascii="Arial" w:hAnsi="Arial" w:cs="Arial"/>
        </w:rPr>
        <w:t>,</w:t>
      </w:r>
      <w:r w:rsidR="00F84B3F" w:rsidRPr="008A39AD">
        <w:rPr>
          <w:rFonts w:ascii="Arial" w:hAnsi="Arial" w:cs="Arial"/>
        </w:rPr>
        <w:t xml:space="preserve"> </w:t>
      </w:r>
      <w:r w:rsidR="00E908D6" w:rsidRPr="008A39AD">
        <w:rPr>
          <w:rFonts w:ascii="Arial" w:hAnsi="Arial" w:cs="Arial"/>
        </w:rPr>
        <w:t>2.</w:t>
      </w:r>
      <w:r w:rsidR="00C6455E" w:rsidRPr="008A39AD">
        <w:rPr>
          <w:rFonts w:ascii="Arial" w:hAnsi="Arial" w:cs="Arial"/>
        </w:rPr>
        <w:t>1</w:t>
      </w:r>
      <w:r w:rsidR="00E908D6" w:rsidRPr="008A39AD">
        <w:rPr>
          <w:rFonts w:ascii="Arial" w:hAnsi="Arial" w:cs="Arial"/>
        </w:rPr>
        <w:t>-2.</w:t>
      </w:r>
      <w:r w:rsidR="00C6455E" w:rsidRPr="008A39AD">
        <w:rPr>
          <w:rFonts w:ascii="Arial" w:hAnsi="Arial" w:cs="Arial"/>
        </w:rPr>
        <w:t>3</w:t>
      </w:r>
      <w:r w:rsidR="00F84B3F" w:rsidRPr="008A39AD">
        <w:rPr>
          <w:rFonts w:ascii="Arial" w:hAnsi="Arial" w:cs="Arial"/>
        </w:rPr>
        <w:t xml:space="preserve"> years in A/NZ</w:t>
      </w:r>
      <w:r w:rsidR="00E908D6" w:rsidRPr="008A39AD">
        <w:rPr>
          <w:rFonts w:ascii="Arial" w:hAnsi="Arial" w:cs="Arial"/>
        </w:rPr>
        <w:t>, Canada</w:t>
      </w:r>
      <w:r w:rsidR="00D86BBA" w:rsidRPr="008A39AD">
        <w:rPr>
          <w:rFonts w:ascii="Arial" w:hAnsi="Arial" w:cs="Arial"/>
        </w:rPr>
        <w:t>,</w:t>
      </w:r>
      <w:r w:rsidR="00F84B3F" w:rsidRPr="008A39AD">
        <w:rPr>
          <w:rFonts w:ascii="Arial" w:hAnsi="Arial" w:cs="Arial"/>
        </w:rPr>
        <w:t xml:space="preserve"> and </w:t>
      </w:r>
      <w:r w:rsidR="00E908D6" w:rsidRPr="008A39AD">
        <w:rPr>
          <w:rFonts w:ascii="Arial" w:hAnsi="Arial" w:cs="Arial"/>
        </w:rPr>
        <w:t>US</w:t>
      </w:r>
      <w:r w:rsidR="00765387" w:rsidRPr="008A39AD">
        <w:rPr>
          <w:rFonts w:ascii="Arial" w:hAnsi="Arial" w:cs="Arial"/>
        </w:rPr>
        <w:t>, and 1.7 years in UK (Figure 1).</w:t>
      </w:r>
      <w:r w:rsidR="00262793" w:rsidRPr="008A39AD">
        <w:rPr>
          <w:rFonts w:ascii="Arial" w:hAnsi="Arial" w:cs="Arial"/>
        </w:rPr>
        <w:t xml:space="preserve"> </w:t>
      </w:r>
    </w:p>
    <w:p w14:paraId="18A0CFCE" w14:textId="71519BB0" w:rsidR="00DD76B2" w:rsidRPr="008A39AD" w:rsidRDefault="001051BD" w:rsidP="00514C8C">
      <w:pPr>
        <w:spacing w:after="200" w:line="480" w:lineRule="auto"/>
        <w:rPr>
          <w:rFonts w:ascii="Arial" w:hAnsi="Arial" w:cs="Arial"/>
        </w:rPr>
      </w:pPr>
      <w:r w:rsidRPr="008A39AD">
        <w:rPr>
          <w:rFonts w:ascii="Arial" w:hAnsi="Arial" w:cs="Arial"/>
        </w:rPr>
        <w:t xml:space="preserve">Overall, </w:t>
      </w:r>
      <w:r w:rsidR="00DE4472" w:rsidRPr="008A39AD">
        <w:rPr>
          <w:rFonts w:ascii="Arial" w:hAnsi="Arial" w:cs="Arial"/>
        </w:rPr>
        <w:t>1</w:t>
      </w:r>
      <w:r w:rsidR="00F25305" w:rsidRPr="008A39AD">
        <w:rPr>
          <w:rFonts w:ascii="Arial" w:hAnsi="Arial" w:cs="Arial"/>
        </w:rPr>
        <w:t>9</w:t>
      </w:r>
      <w:r w:rsidRPr="008A39AD">
        <w:rPr>
          <w:rFonts w:ascii="Arial" w:hAnsi="Arial" w:cs="Arial"/>
        </w:rPr>
        <w:t>%</w:t>
      </w:r>
      <w:r w:rsidR="00C949B2" w:rsidRPr="008A39AD">
        <w:rPr>
          <w:rFonts w:ascii="Arial" w:hAnsi="Arial" w:cs="Arial"/>
        </w:rPr>
        <w:t xml:space="preserve"> (N=</w:t>
      </w:r>
      <w:r w:rsidR="00DE4472" w:rsidRPr="008A39AD">
        <w:rPr>
          <w:rFonts w:ascii="Arial" w:hAnsi="Arial" w:cs="Arial"/>
        </w:rPr>
        <w:t>1</w:t>
      </w:r>
      <w:r w:rsidR="00F25305" w:rsidRPr="008A39AD">
        <w:rPr>
          <w:rFonts w:ascii="Arial" w:hAnsi="Arial" w:cs="Arial"/>
        </w:rPr>
        <w:t>3</w:t>
      </w:r>
      <w:r w:rsidR="00485206" w:rsidRPr="008A39AD">
        <w:rPr>
          <w:rFonts w:ascii="Arial" w:hAnsi="Arial" w:cs="Arial"/>
        </w:rPr>
        <w:t>79</w:t>
      </w:r>
      <w:r w:rsidR="00C949B2" w:rsidRPr="008A39AD">
        <w:rPr>
          <w:rFonts w:ascii="Arial" w:hAnsi="Arial" w:cs="Arial"/>
        </w:rPr>
        <w:t>)</w:t>
      </w:r>
      <w:r w:rsidRPr="008A39AD">
        <w:rPr>
          <w:rFonts w:ascii="Arial" w:hAnsi="Arial" w:cs="Arial"/>
        </w:rPr>
        <w:t xml:space="preserve"> of the PD patients </w:t>
      </w:r>
      <w:r w:rsidR="002D44B6" w:rsidRPr="008A39AD">
        <w:rPr>
          <w:rFonts w:ascii="Arial" w:hAnsi="Arial" w:cs="Arial"/>
        </w:rPr>
        <w:t xml:space="preserve">transferred </w:t>
      </w:r>
      <w:r w:rsidRPr="008A39AD">
        <w:rPr>
          <w:rFonts w:ascii="Arial" w:hAnsi="Arial" w:cs="Arial"/>
        </w:rPr>
        <w:t>to HD</w:t>
      </w:r>
      <w:r w:rsidR="00F56789" w:rsidRPr="008A39AD">
        <w:rPr>
          <w:rFonts w:ascii="Arial" w:hAnsi="Arial" w:cs="Arial"/>
        </w:rPr>
        <w:t>/hybrid</w:t>
      </w:r>
      <w:r w:rsidRPr="008A39AD">
        <w:rPr>
          <w:rFonts w:ascii="Arial" w:hAnsi="Arial" w:cs="Arial"/>
        </w:rPr>
        <w:t>, 13%</w:t>
      </w:r>
      <w:r w:rsidR="00C949B2" w:rsidRPr="008A39AD">
        <w:rPr>
          <w:rFonts w:ascii="Arial" w:hAnsi="Arial" w:cs="Arial"/>
        </w:rPr>
        <w:t xml:space="preserve"> (N=</w:t>
      </w:r>
      <w:r w:rsidR="00DE4472" w:rsidRPr="008A39AD">
        <w:rPr>
          <w:rFonts w:ascii="Arial" w:hAnsi="Arial" w:cs="Arial"/>
        </w:rPr>
        <w:t>90</w:t>
      </w:r>
      <w:r w:rsidR="00485206" w:rsidRPr="008A39AD">
        <w:rPr>
          <w:rFonts w:ascii="Arial" w:hAnsi="Arial" w:cs="Arial"/>
        </w:rPr>
        <w:t>7</w:t>
      </w:r>
      <w:r w:rsidR="00C949B2" w:rsidRPr="008A39AD">
        <w:rPr>
          <w:rFonts w:ascii="Arial" w:hAnsi="Arial" w:cs="Arial"/>
        </w:rPr>
        <w:t>)</w:t>
      </w:r>
      <w:r w:rsidR="00214801" w:rsidRPr="008A39AD">
        <w:rPr>
          <w:rFonts w:ascii="Arial" w:hAnsi="Arial" w:cs="Arial"/>
        </w:rPr>
        <w:t xml:space="preserve"> </w:t>
      </w:r>
      <w:r w:rsidRPr="008A39AD">
        <w:rPr>
          <w:rFonts w:ascii="Arial" w:hAnsi="Arial" w:cs="Arial"/>
        </w:rPr>
        <w:t xml:space="preserve">died, and </w:t>
      </w:r>
      <w:r w:rsidR="00DE4472" w:rsidRPr="008A39AD">
        <w:rPr>
          <w:rFonts w:ascii="Arial" w:hAnsi="Arial" w:cs="Arial"/>
        </w:rPr>
        <w:t>7</w:t>
      </w:r>
      <w:r w:rsidRPr="008A39AD">
        <w:rPr>
          <w:rFonts w:ascii="Arial" w:hAnsi="Arial" w:cs="Arial"/>
        </w:rPr>
        <w:t xml:space="preserve">% </w:t>
      </w:r>
      <w:r w:rsidR="00C949B2" w:rsidRPr="008A39AD">
        <w:rPr>
          <w:rFonts w:ascii="Arial" w:hAnsi="Arial" w:cs="Arial"/>
        </w:rPr>
        <w:t>(N=</w:t>
      </w:r>
      <w:r w:rsidR="00DE4472" w:rsidRPr="008A39AD">
        <w:rPr>
          <w:rFonts w:ascii="Arial" w:hAnsi="Arial" w:cs="Arial"/>
        </w:rPr>
        <w:t>5</w:t>
      </w:r>
      <w:r w:rsidR="00F25305" w:rsidRPr="008A39AD">
        <w:rPr>
          <w:rFonts w:ascii="Arial" w:hAnsi="Arial" w:cs="Arial"/>
        </w:rPr>
        <w:t>14</w:t>
      </w:r>
      <w:r w:rsidR="00C949B2" w:rsidRPr="008A39AD">
        <w:rPr>
          <w:rFonts w:ascii="Arial" w:hAnsi="Arial" w:cs="Arial"/>
        </w:rPr>
        <w:t xml:space="preserve">) </w:t>
      </w:r>
      <w:r w:rsidRPr="008A39AD">
        <w:rPr>
          <w:rFonts w:ascii="Arial" w:hAnsi="Arial" w:cs="Arial"/>
        </w:rPr>
        <w:t>received a transplant during follow-up</w:t>
      </w:r>
      <w:r w:rsidR="00F46A09" w:rsidRPr="008A39AD">
        <w:rPr>
          <w:rFonts w:ascii="Arial" w:hAnsi="Arial" w:cs="Arial"/>
        </w:rPr>
        <w:t xml:space="preserve"> (median 1.1 years, IQR 0.6-1.7)</w:t>
      </w:r>
      <w:r w:rsidRPr="008A39AD">
        <w:rPr>
          <w:rFonts w:ascii="Arial" w:hAnsi="Arial" w:cs="Arial"/>
        </w:rPr>
        <w:t>, but these outcomes varied by country.</w:t>
      </w:r>
      <w:r w:rsidR="001C03B3" w:rsidRPr="008A39AD">
        <w:rPr>
          <w:rFonts w:ascii="Arial" w:hAnsi="Arial" w:cs="Arial"/>
        </w:rPr>
        <w:t xml:space="preserve"> </w:t>
      </w:r>
      <w:r w:rsidR="002D44B6" w:rsidRPr="008A39AD">
        <w:rPr>
          <w:rFonts w:ascii="Arial" w:hAnsi="Arial" w:cs="Arial"/>
        </w:rPr>
        <w:t>L</w:t>
      </w:r>
      <w:r w:rsidR="001C03B3" w:rsidRPr="008A39AD">
        <w:rPr>
          <w:rFonts w:ascii="Arial" w:hAnsi="Arial" w:cs="Arial"/>
        </w:rPr>
        <w:t xml:space="preserve">ess than 1% </w:t>
      </w:r>
      <w:r w:rsidR="00CE6920" w:rsidRPr="008A39AD">
        <w:rPr>
          <w:rFonts w:ascii="Arial" w:hAnsi="Arial" w:cs="Arial"/>
        </w:rPr>
        <w:t xml:space="preserve">(N = </w:t>
      </w:r>
      <w:r w:rsidR="000223CA" w:rsidRPr="008A39AD">
        <w:rPr>
          <w:rFonts w:ascii="Arial" w:hAnsi="Arial" w:cs="Arial"/>
        </w:rPr>
        <w:t>8</w:t>
      </w:r>
      <w:r w:rsidR="00CE6920" w:rsidRPr="008A39AD">
        <w:rPr>
          <w:rFonts w:ascii="Arial" w:hAnsi="Arial" w:cs="Arial"/>
        </w:rPr>
        <w:t xml:space="preserve">) </w:t>
      </w:r>
      <w:r w:rsidR="001C03B3" w:rsidRPr="008A39AD">
        <w:rPr>
          <w:rFonts w:ascii="Arial" w:hAnsi="Arial" w:cs="Arial"/>
        </w:rPr>
        <w:t>died within seven days</w:t>
      </w:r>
      <w:r w:rsidR="002D44B6" w:rsidRPr="008A39AD">
        <w:rPr>
          <w:rFonts w:ascii="Arial" w:hAnsi="Arial" w:cs="Arial"/>
        </w:rPr>
        <w:t xml:space="preserve"> of </w:t>
      </w:r>
      <w:r w:rsidR="00043585" w:rsidRPr="008A39AD">
        <w:rPr>
          <w:rFonts w:ascii="Arial" w:hAnsi="Arial" w:cs="Arial"/>
        </w:rPr>
        <w:t xml:space="preserve">HD </w:t>
      </w:r>
      <w:r w:rsidR="003D2CEE" w:rsidRPr="008A39AD">
        <w:rPr>
          <w:rFonts w:ascii="Arial" w:hAnsi="Arial" w:cs="Arial"/>
        </w:rPr>
        <w:t>transfer</w:t>
      </w:r>
      <w:r w:rsidR="002D44B6" w:rsidRPr="008A39AD">
        <w:rPr>
          <w:rFonts w:ascii="Arial" w:hAnsi="Arial" w:cs="Arial"/>
        </w:rPr>
        <w:t xml:space="preserve">. </w:t>
      </w:r>
      <w:r w:rsidR="001C03B3" w:rsidRPr="008A39AD">
        <w:rPr>
          <w:rFonts w:ascii="Arial" w:hAnsi="Arial" w:cs="Arial"/>
        </w:rPr>
        <w:t xml:space="preserve"> </w:t>
      </w:r>
      <w:r w:rsidR="003F1A19" w:rsidRPr="008A39AD">
        <w:rPr>
          <w:rFonts w:ascii="Arial" w:hAnsi="Arial" w:cs="Arial"/>
        </w:rPr>
        <w:t xml:space="preserve">By </w:t>
      </w:r>
      <w:r w:rsidR="002C60D3" w:rsidRPr="008A39AD">
        <w:rPr>
          <w:rFonts w:ascii="Arial" w:hAnsi="Arial" w:cs="Arial"/>
        </w:rPr>
        <w:t xml:space="preserve">3 </w:t>
      </w:r>
      <w:r w:rsidR="003F1A19" w:rsidRPr="008A39AD">
        <w:rPr>
          <w:rFonts w:ascii="Arial" w:hAnsi="Arial" w:cs="Arial"/>
        </w:rPr>
        <w:t xml:space="preserve">years on PD, </w:t>
      </w:r>
      <w:r w:rsidR="002C60D3" w:rsidRPr="008A39AD">
        <w:rPr>
          <w:rFonts w:ascii="Arial" w:hAnsi="Arial" w:cs="Arial"/>
        </w:rPr>
        <w:t>3</w:t>
      </w:r>
      <w:r w:rsidR="00C6455E" w:rsidRPr="008A39AD">
        <w:rPr>
          <w:rFonts w:ascii="Arial" w:hAnsi="Arial" w:cs="Arial"/>
        </w:rPr>
        <w:t>6</w:t>
      </w:r>
      <w:r w:rsidR="003F1A19" w:rsidRPr="008A39AD">
        <w:rPr>
          <w:rFonts w:ascii="Arial" w:hAnsi="Arial" w:cs="Arial"/>
        </w:rPr>
        <w:t xml:space="preserve">% of patients in Thailand died, </w:t>
      </w:r>
      <w:r w:rsidR="00AC6FD1" w:rsidRPr="008A39AD">
        <w:rPr>
          <w:rFonts w:ascii="Arial" w:hAnsi="Arial" w:cs="Arial"/>
        </w:rPr>
        <w:t>compar</w:t>
      </w:r>
      <w:r w:rsidR="00A11A29" w:rsidRPr="008A39AD">
        <w:rPr>
          <w:rFonts w:ascii="Arial" w:hAnsi="Arial" w:cs="Arial"/>
        </w:rPr>
        <w:t>e</w:t>
      </w:r>
      <w:r w:rsidR="00AC6FD1" w:rsidRPr="008A39AD">
        <w:rPr>
          <w:rFonts w:ascii="Arial" w:hAnsi="Arial" w:cs="Arial"/>
        </w:rPr>
        <w:t xml:space="preserve">d to </w:t>
      </w:r>
      <w:r w:rsidR="002C60D3" w:rsidRPr="008A39AD">
        <w:rPr>
          <w:rFonts w:ascii="Arial" w:hAnsi="Arial" w:cs="Arial"/>
        </w:rPr>
        <w:t>11</w:t>
      </w:r>
      <w:r w:rsidR="00D86BBA" w:rsidRPr="008A39AD">
        <w:rPr>
          <w:rFonts w:ascii="Arial" w:hAnsi="Arial" w:cs="Arial"/>
        </w:rPr>
        <w:t>%</w:t>
      </w:r>
      <w:r w:rsidR="003F1A19" w:rsidRPr="008A39AD">
        <w:rPr>
          <w:rFonts w:ascii="Arial" w:hAnsi="Arial" w:cs="Arial"/>
        </w:rPr>
        <w:t>-</w:t>
      </w:r>
      <w:r w:rsidR="002C60D3" w:rsidRPr="008A39AD">
        <w:rPr>
          <w:rFonts w:ascii="Arial" w:hAnsi="Arial" w:cs="Arial"/>
        </w:rPr>
        <w:t>18</w:t>
      </w:r>
      <w:r w:rsidR="003F1A19" w:rsidRPr="008A39AD">
        <w:rPr>
          <w:rFonts w:ascii="Arial" w:hAnsi="Arial" w:cs="Arial"/>
        </w:rPr>
        <w:t xml:space="preserve">% </w:t>
      </w:r>
      <w:r w:rsidR="00DA4265" w:rsidRPr="008A39AD">
        <w:rPr>
          <w:rFonts w:ascii="Arial" w:hAnsi="Arial" w:cs="Arial"/>
        </w:rPr>
        <w:t xml:space="preserve">of </w:t>
      </w:r>
      <w:r w:rsidR="003F1A19" w:rsidRPr="008A39AD">
        <w:rPr>
          <w:rFonts w:ascii="Arial" w:hAnsi="Arial" w:cs="Arial"/>
        </w:rPr>
        <w:t xml:space="preserve">patients </w:t>
      </w:r>
      <w:r w:rsidR="00AC6FD1" w:rsidRPr="008A39AD">
        <w:rPr>
          <w:rFonts w:ascii="Arial" w:hAnsi="Arial" w:cs="Arial"/>
        </w:rPr>
        <w:t>in other countries</w:t>
      </w:r>
      <w:r w:rsidR="003F1A19" w:rsidRPr="008A39AD">
        <w:rPr>
          <w:rFonts w:ascii="Arial" w:hAnsi="Arial" w:cs="Arial"/>
        </w:rPr>
        <w:t xml:space="preserve">. HD transfer was common, with </w:t>
      </w:r>
      <w:r w:rsidR="002531FE" w:rsidRPr="008A39AD">
        <w:rPr>
          <w:rFonts w:ascii="Arial" w:hAnsi="Arial" w:cs="Arial"/>
        </w:rPr>
        <w:t>2</w:t>
      </w:r>
      <w:r w:rsidR="00C6455E" w:rsidRPr="008A39AD">
        <w:rPr>
          <w:rFonts w:ascii="Arial" w:hAnsi="Arial" w:cs="Arial"/>
        </w:rPr>
        <w:t>4</w:t>
      </w:r>
      <w:r w:rsidR="00D86BBA" w:rsidRPr="008A39AD">
        <w:rPr>
          <w:rFonts w:ascii="Arial" w:hAnsi="Arial" w:cs="Arial"/>
        </w:rPr>
        <w:t>%</w:t>
      </w:r>
      <w:r w:rsidR="003F1A19" w:rsidRPr="008A39AD">
        <w:rPr>
          <w:rFonts w:ascii="Arial" w:hAnsi="Arial" w:cs="Arial"/>
        </w:rPr>
        <w:t>-</w:t>
      </w:r>
      <w:r w:rsidR="002531FE" w:rsidRPr="008A39AD">
        <w:rPr>
          <w:rFonts w:ascii="Arial" w:hAnsi="Arial" w:cs="Arial"/>
        </w:rPr>
        <w:t>35</w:t>
      </w:r>
      <w:r w:rsidR="003F1A19" w:rsidRPr="008A39AD">
        <w:rPr>
          <w:rFonts w:ascii="Arial" w:hAnsi="Arial" w:cs="Arial"/>
        </w:rPr>
        <w:t xml:space="preserve">% </w:t>
      </w:r>
      <w:r w:rsidR="00DA4265" w:rsidRPr="008A39AD">
        <w:rPr>
          <w:rFonts w:ascii="Arial" w:hAnsi="Arial" w:cs="Arial"/>
        </w:rPr>
        <w:t xml:space="preserve">of </w:t>
      </w:r>
      <w:r w:rsidR="003F1A19" w:rsidRPr="008A39AD">
        <w:rPr>
          <w:rFonts w:ascii="Arial" w:hAnsi="Arial" w:cs="Arial"/>
        </w:rPr>
        <w:t>patients ha</w:t>
      </w:r>
      <w:r w:rsidR="00765387" w:rsidRPr="008A39AD">
        <w:rPr>
          <w:rFonts w:ascii="Arial" w:hAnsi="Arial" w:cs="Arial"/>
        </w:rPr>
        <w:t>ving</w:t>
      </w:r>
      <w:r w:rsidR="003F1A19" w:rsidRPr="008A39AD">
        <w:rPr>
          <w:rFonts w:ascii="Arial" w:hAnsi="Arial" w:cs="Arial"/>
        </w:rPr>
        <w:t xml:space="preserve"> HD transfer by </w:t>
      </w:r>
      <w:r w:rsidR="002C60D3" w:rsidRPr="008A39AD">
        <w:rPr>
          <w:rFonts w:ascii="Arial" w:hAnsi="Arial" w:cs="Arial"/>
        </w:rPr>
        <w:t xml:space="preserve">3 </w:t>
      </w:r>
      <w:r w:rsidR="003F1A19" w:rsidRPr="008A39AD">
        <w:rPr>
          <w:rFonts w:ascii="Arial" w:hAnsi="Arial" w:cs="Arial"/>
        </w:rPr>
        <w:t xml:space="preserve">years on PD, </w:t>
      </w:r>
      <w:r w:rsidR="00273D3E" w:rsidRPr="008A39AD">
        <w:rPr>
          <w:rFonts w:ascii="Arial" w:hAnsi="Arial" w:cs="Arial"/>
        </w:rPr>
        <w:t xml:space="preserve">except </w:t>
      </w:r>
      <w:r w:rsidR="003F1A19" w:rsidRPr="008A39AD">
        <w:rPr>
          <w:rFonts w:ascii="Arial" w:hAnsi="Arial" w:cs="Arial"/>
        </w:rPr>
        <w:t xml:space="preserve">Thailand, where only </w:t>
      </w:r>
      <w:r w:rsidR="002531FE" w:rsidRPr="008A39AD">
        <w:rPr>
          <w:rFonts w:ascii="Arial" w:hAnsi="Arial" w:cs="Arial"/>
        </w:rPr>
        <w:t>16</w:t>
      </w:r>
      <w:r w:rsidR="003F1A19" w:rsidRPr="008A39AD">
        <w:rPr>
          <w:rFonts w:ascii="Arial" w:hAnsi="Arial" w:cs="Arial"/>
        </w:rPr>
        <w:t xml:space="preserve">% </w:t>
      </w:r>
      <w:r w:rsidR="00DA4265" w:rsidRPr="008A39AD">
        <w:rPr>
          <w:rFonts w:ascii="Arial" w:hAnsi="Arial" w:cs="Arial"/>
        </w:rPr>
        <w:t xml:space="preserve">of </w:t>
      </w:r>
      <w:r w:rsidR="003F1A19" w:rsidRPr="008A39AD">
        <w:rPr>
          <w:rFonts w:ascii="Arial" w:hAnsi="Arial" w:cs="Arial"/>
        </w:rPr>
        <w:t xml:space="preserve">patients transferred to HD. </w:t>
      </w:r>
      <w:r w:rsidR="009510CB" w:rsidRPr="008A39AD">
        <w:rPr>
          <w:rFonts w:ascii="Arial" w:hAnsi="Arial" w:cs="Arial"/>
        </w:rPr>
        <w:t xml:space="preserve">In Japan, </w:t>
      </w:r>
      <w:r w:rsidR="002C60D3" w:rsidRPr="008A39AD">
        <w:rPr>
          <w:rFonts w:ascii="Arial" w:hAnsi="Arial" w:cs="Arial"/>
        </w:rPr>
        <w:t>1</w:t>
      </w:r>
      <w:r w:rsidR="00C6455E" w:rsidRPr="008A39AD">
        <w:rPr>
          <w:rFonts w:ascii="Arial" w:hAnsi="Arial" w:cs="Arial"/>
        </w:rPr>
        <w:t>1</w:t>
      </w:r>
      <w:r w:rsidR="003F1A19" w:rsidRPr="008A39AD">
        <w:rPr>
          <w:rFonts w:ascii="Arial" w:hAnsi="Arial" w:cs="Arial"/>
        </w:rPr>
        <w:t>%</w:t>
      </w:r>
      <w:r w:rsidR="00DA4265" w:rsidRPr="008A39AD">
        <w:rPr>
          <w:rFonts w:ascii="Arial" w:hAnsi="Arial" w:cs="Arial"/>
        </w:rPr>
        <w:t xml:space="preserve"> of</w:t>
      </w:r>
      <w:r w:rsidR="003F1A19" w:rsidRPr="008A39AD">
        <w:rPr>
          <w:rFonts w:ascii="Arial" w:hAnsi="Arial" w:cs="Arial"/>
        </w:rPr>
        <w:t xml:space="preserve"> patients switched to hybrid therapy </w:t>
      </w:r>
      <w:r w:rsidR="009510CB" w:rsidRPr="008A39AD">
        <w:rPr>
          <w:rFonts w:ascii="Arial" w:hAnsi="Arial" w:cs="Arial"/>
        </w:rPr>
        <w:t>by</w:t>
      </w:r>
      <w:r w:rsidR="003F1A19" w:rsidRPr="008A39AD">
        <w:rPr>
          <w:rFonts w:ascii="Arial" w:hAnsi="Arial" w:cs="Arial"/>
        </w:rPr>
        <w:t xml:space="preserve"> </w:t>
      </w:r>
      <w:r w:rsidR="002531FE" w:rsidRPr="008A39AD">
        <w:rPr>
          <w:rFonts w:ascii="Arial" w:hAnsi="Arial" w:cs="Arial"/>
        </w:rPr>
        <w:t xml:space="preserve">3 </w:t>
      </w:r>
      <w:r w:rsidR="009510CB" w:rsidRPr="008A39AD">
        <w:rPr>
          <w:rFonts w:ascii="Arial" w:hAnsi="Arial" w:cs="Arial"/>
        </w:rPr>
        <w:t>years</w:t>
      </w:r>
      <w:r w:rsidR="003F1A19" w:rsidRPr="008A39AD">
        <w:rPr>
          <w:rFonts w:ascii="Arial" w:hAnsi="Arial" w:cs="Arial"/>
        </w:rPr>
        <w:t xml:space="preserve"> on PD</w:t>
      </w:r>
      <w:r w:rsidR="009510CB" w:rsidRPr="008A39AD">
        <w:rPr>
          <w:rFonts w:ascii="Arial" w:hAnsi="Arial" w:cs="Arial"/>
        </w:rPr>
        <w:t xml:space="preserve">, while this </w:t>
      </w:r>
      <w:r w:rsidR="008364A3" w:rsidRPr="008A39AD">
        <w:rPr>
          <w:rFonts w:ascii="Arial" w:hAnsi="Arial" w:cs="Arial"/>
        </w:rPr>
        <w:t>was</w:t>
      </w:r>
      <w:r w:rsidR="00214801" w:rsidRPr="008A39AD">
        <w:rPr>
          <w:rFonts w:ascii="Arial" w:hAnsi="Arial" w:cs="Arial"/>
        </w:rPr>
        <w:t xml:space="preserve"> </w:t>
      </w:r>
      <w:r w:rsidR="009510CB" w:rsidRPr="008A39AD">
        <w:rPr>
          <w:rFonts w:ascii="Arial" w:hAnsi="Arial" w:cs="Arial"/>
        </w:rPr>
        <w:t xml:space="preserve">&lt;1% in other countries. </w:t>
      </w:r>
      <w:r w:rsidR="002D44B6" w:rsidRPr="008A39AD">
        <w:rPr>
          <w:rFonts w:ascii="Arial" w:hAnsi="Arial" w:cs="Arial"/>
        </w:rPr>
        <w:t>O</w:t>
      </w:r>
      <w:r w:rsidR="009510CB" w:rsidRPr="008A39AD">
        <w:rPr>
          <w:rFonts w:ascii="Arial" w:hAnsi="Arial" w:cs="Arial"/>
        </w:rPr>
        <w:t>nly 2% had</w:t>
      </w:r>
      <w:r w:rsidR="00765387" w:rsidRPr="008A39AD">
        <w:rPr>
          <w:rFonts w:ascii="Arial" w:hAnsi="Arial" w:cs="Arial"/>
        </w:rPr>
        <w:t xml:space="preserve"> received a kidney</w:t>
      </w:r>
      <w:r w:rsidR="009510CB" w:rsidRPr="008A39AD">
        <w:rPr>
          <w:rFonts w:ascii="Arial" w:hAnsi="Arial" w:cs="Arial"/>
        </w:rPr>
        <w:t xml:space="preserve"> transplant by </w:t>
      </w:r>
      <w:r w:rsidR="002531FE" w:rsidRPr="008A39AD">
        <w:rPr>
          <w:rFonts w:ascii="Arial" w:hAnsi="Arial" w:cs="Arial"/>
        </w:rPr>
        <w:t xml:space="preserve">3 </w:t>
      </w:r>
      <w:r w:rsidR="009510CB" w:rsidRPr="008A39AD">
        <w:rPr>
          <w:rFonts w:ascii="Arial" w:hAnsi="Arial" w:cs="Arial"/>
        </w:rPr>
        <w:t>years on PD</w:t>
      </w:r>
      <w:r w:rsidR="002D44B6" w:rsidRPr="008A39AD">
        <w:rPr>
          <w:rFonts w:ascii="Arial" w:hAnsi="Arial" w:cs="Arial"/>
        </w:rPr>
        <w:t xml:space="preserve"> in Japan and Thailand</w:t>
      </w:r>
      <w:r w:rsidR="009510CB" w:rsidRPr="008A39AD">
        <w:rPr>
          <w:rFonts w:ascii="Arial" w:hAnsi="Arial" w:cs="Arial"/>
        </w:rPr>
        <w:t xml:space="preserve"> while in other countries, </w:t>
      </w:r>
      <w:r w:rsidR="002531FE" w:rsidRPr="008A39AD">
        <w:rPr>
          <w:rFonts w:ascii="Arial" w:hAnsi="Arial" w:cs="Arial"/>
        </w:rPr>
        <w:t>10</w:t>
      </w:r>
      <w:r w:rsidR="00D86BBA" w:rsidRPr="008A39AD">
        <w:rPr>
          <w:rFonts w:ascii="Arial" w:hAnsi="Arial" w:cs="Arial"/>
        </w:rPr>
        <w:t>%</w:t>
      </w:r>
      <w:r w:rsidR="009510CB" w:rsidRPr="008A39AD">
        <w:rPr>
          <w:rFonts w:ascii="Arial" w:hAnsi="Arial" w:cs="Arial"/>
        </w:rPr>
        <w:t>-</w:t>
      </w:r>
      <w:r w:rsidR="002531FE" w:rsidRPr="008A39AD">
        <w:rPr>
          <w:rFonts w:ascii="Arial" w:hAnsi="Arial" w:cs="Arial"/>
        </w:rPr>
        <w:t>32</w:t>
      </w:r>
      <w:r w:rsidR="009510CB" w:rsidRPr="008A39AD">
        <w:rPr>
          <w:rFonts w:ascii="Arial" w:hAnsi="Arial" w:cs="Arial"/>
        </w:rPr>
        <w:t xml:space="preserve">% had </w:t>
      </w:r>
      <w:r w:rsidR="00765387" w:rsidRPr="008A39AD">
        <w:rPr>
          <w:rFonts w:ascii="Arial" w:hAnsi="Arial" w:cs="Arial"/>
        </w:rPr>
        <w:t xml:space="preserve">a </w:t>
      </w:r>
      <w:r w:rsidR="009510CB" w:rsidRPr="008A39AD">
        <w:rPr>
          <w:rFonts w:ascii="Arial" w:hAnsi="Arial" w:cs="Arial"/>
        </w:rPr>
        <w:t xml:space="preserve">transplant by </w:t>
      </w:r>
      <w:r w:rsidR="002531FE" w:rsidRPr="008A39AD">
        <w:rPr>
          <w:rFonts w:ascii="Arial" w:hAnsi="Arial" w:cs="Arial"/>
        </w:rPr>
        <w:t xml:space="preserve">3 </w:t>
      </w:r>
      <w:r w:rsidR="009510CB" w:rsidRPr="008A39AD">
        <w:rPr>
          <w:rFonts w:ascii="Arial" w:hAnsi="Arial" w:cs="Arial"/>
        </w:rPr>
        <w:t>years on PD</w:t>
      </w:r>
      <w:r w:rsidR="003F1A19" w:rsidRPr="008A39AD">
        <w:rPr>
          <w:rFonts w:ascii="Arial" w:hAnsi="Arial" w:cs="Arial"/>
        </w:rPr>
        <w:t xml:space="preserve">. </w:t>
      </w:r>
      <w:r w:rsidR="00B6690D" w:rsidRPr="008A39AD">
        <w:rPr>
          <w:rFonts w:ascii="Arial" w:hAnsi="Arial" w:cs="Arial"/>
        </w:rPr>
        <w:t>Similar results were seen when we include</w:t>
      </w:r>
      <w:r w:rsidR="00765387" w:rsidRPr="008A39AD">
        <w:rPr>
          <w:rFonts w:ascii="Arial" w:hAnsi="Arial" w:cs="Arial"/>
        </w:rPr>
        <w:t>d</w:t>
      </w:r>
      <w:r w:rsidR="00B6690D" w:rsidRPr="008A39AD">
        <w:rPr>
          <w:rFonts w:ascii="Arial" w:hAnsi="Arial" w:cs="Arial"/>
        </w:rPr>
        <w:t xml:space="preserve"> any HD</w:t>
      </w:r>
      <w:r w:rsidR="00F56789" w:rsidRPr="008A39AD">
        <w:rPr>
          <w:rFonts w:ascii="Arial" w:hAnsi="Arial" w:cs="Arial"/>
        </w:rPr>
        <w:t>/hybrid</w:t>
      </w:r>
      <w:r w:rsidR="00B6690D" w:rsidRPr="008A39AD">
        <w:rPr>
          <w:rFonts w:ascii="Arial" w:hAnsi="Arial" w:cs="Arial"/>
        </w:rPr>
        <w:t xml:space="preserve"> transfer (including any temporary transfer) as </w:t>
      </w:r>
      <w:r w:rsidR="00264F69" w:rsidRPr="008A39AD">
        <w:rPr>
          <w:rFonts w:ascii="Arial" w:hAnsi="Arial" w:cs="Arial"/>
        </w:rPr>
        <w:t xml:space="preserve">an </w:t>
      </w:r>
      <w:r w:rsidR="00B6690D" w:rsidRPr="008A39AD">
        <w:rPr>
          <w:rFonts w:ascii="Arial" w:hAnsi="Arial" w:cs="Arial"/>
        </w:rPr>
        <w:t>event (Supplemental Figure 1).</w:t>
      </w:r>
      <w:r w:rsidR="001C03B3" w:rsidRPr="008A39AD">
        <w:rPr>
          <w:rFonts w:ascii="Arial" w:hAnsi="Arial" w:cs="Arial"/>
        </w:rPr>
        <w:t xml:space="preserve"> </w:t>
      </w:r>
    </w:p>
    <w:p w14:paraId="75DD5AC5" w14:textId="6686128F" w:rsidR="002E51A6" w:rsidRPr="008A39AD" w:rsidRDefault="001B4D1A" w:rsidP="006C166F">
      <w:pPr>
        <w:spacing w:after="200" w:line="480" w:lineRule="auto"/>
        <w:rPr>
          <w:rFonts w:ascii="Arial" w:hAnsi="Arial" w:cs="Arial"/>
        </w:rPr>
      </w:pPr>
      <w:r w:rsidRPr="008A39AD">
        <w:rPr>
          <w:rFonts w:ascii="Arial" w:hAnsi="Arial" w:cs="Arial"/>
        </w:rPr>
        <w:t>When compared to the US, t</w:t>
      </w:r>
      <w:r w:rsidR="003E61C4" w:rsidRPr="008A39AD">
        <w:rPr>
          <w:rFonts w:ascii="Arial" w:hAnsi="Arial" w:cs="Arial"/>
        </w:rPr>
        <w:t xml:space="preserve">he </w:t>
      </w:r>
      <w:r w:rsidR="00A25FAA" w:rsidRPr="008A39AD">
        <w:rPr>
          <w:rFonts w:ascii="Arial" w:hAnsi="Arial" w:cs="Arial"/>
        </w:rPr>
        <w:t xml:space="preserve">adjusted </w:t>
      </w:r>
      <w:r w:rsidR="003E61C4" w:rsidRPr="008A39AD">
        <w:rPr>
          <w:rFonts w:ascii="Arial" w:hAnsi="Arial" w:cs="Arial"/>
        </w:rPr>
        <w:t>hazard ratio</w:t>
      </w:r>
      <w:r w:rsidRPr="008A39AD">
        <w:rPr>
          <w:rFonts w:ascii="Arial" w:hAnsi="Arial" w:cs="Arial"/>
        </w:rPr>
        <w:t xml:space="preserve"> (HR)</w:t>
      </w:r>
      <w:r w:rsidR="00B007DD" w:rsidRPr="008A39AD">
        <w:rPr>
          <w:rFonts w:ascii="Arial" w:hAnsi="Arial" w:cs="Arial"/>
        </w:rPr>
        <w:t xml:space="preserve"> </w:t>
      </w:r>
      <w:r w:rsidR="003E61C4" w:rsidRPr="008A39AD">
        <w:rPr>
          <w:rFonts w:ascii="Arial" w:hAnsi="Arial" w:cs="Arial"/>
        </w:rPr>
        <w:t xml:space="preserve">for </w:t>
      </w:r>
      <w:r w:rsidR="00C43C01" w:rsidRPr="008A39AD">
        <w:rPr>
          <w:rFonts w:ascii="Arial" w:hAnsi="Arial" w:cs="Arial"/>
        </w:rPr>
        <w:t xml:space="preserve">the </w:t>
      </w:r>
      <w:r w:rsidR="00264F69" w:rsidRPr="008A39AD">
        <w:rPr>
          <w:rFonts w:ascii="Arial" w:hAnsi="Arial" w:cs="Arial"/>
        </w:rPr>
        <w:t xml:space="preserve">composite </w:t>
      </w:r>
      <w:r w:rsidR="00C43C01" w:rsidRPr="008A39AD">
        <w:rPr>
          <w:rFonts w:ascii="Arial" w:hAnsi="Arial" w:cs="Arial"/>
        </w:rPr>
        <w:t xml:space="preserve">outcome, </w:t>
      </w:r>
      <w:r w:rsidR="00043585" w:rsidRPr="008A39AD">
        <w:rPr>
          <w:rFonts w:ascii="Arial" w:hAnsi="Arial" w:cs="Arial"/>
        </w:rPr>
        <w:t xml:space="preserve">HD </w:t>
      </w:r>
      <w:r w:rsidR="003D2CEE" w:rsidRPr="008A39AD">
        <w:rPr>
          <w:rFonts w:ascii="Arial" w:hAnsi="Arial" w:cs="Arial"/>
        </w:rPr>
        <w:t>transfer</w:t>
      </w:r>
      <w:r w:rsidR="003E61C4" w:rsidRPr="008A39AD">
        <w:rPr>
          <w:rFonts w:ascii="Arial" w:hAnsi="Arial" w:cs="Arial"/>
        </w:rPr>
        <w:t xml:space="preserve"> or death</w:t>
      </w:r>
      <w:r w:rsidR="00C43C01" w:rsidRPr="008A39AD">
        <w:rPr>
          <w:rFonts w:ascii="Arial" w:hAnsi="Arial" w:cs="Arial"/>
        </w:rPr>
        <w:t>,</w:t>
      </w:r>
      <w:r w:rsidR="003E61C4" w:rsidRPr="008A39AD">
        <w:rPr>
          <w:rFonts w:ascii="Arial" w:hAnsi="Arial" w:cs="Arial"/>
        </w:rPr>
        <w:t xml:space="preserve"> </w:t>
      </w:r>
      <w:r w:rsidR="00B007DD" w:rsidRPr="008A39AD">
        <w:rPr>
          <w:rFonts w:ascii="Arial" w:hAnsi="Arial" w:cs="Arial"/>
        </w:rPr>
        <w:t xml:space="preserve">was lowest </w:t>
      </w:r>
      <w:r w:rsidR="003E61C4" w:rsidRPr="008A39AD">
        <w:rPr>
          <w:rFonts w:ascii="Arial" w:hAnsi="Arial" w:cs="Arial"/>
        </w:rPr>
        <w:t>for patients in Japan</w:t>
      </w:r>
      <w:r w:rsidRPr="008A39AD">
        <w:rPr>
          <w:rFonts w:ascii="Arial" w:hAnsi="Arial" w:cs="Arial"/>
        </w:rPr>
        <w:t xml:space="preserve"> </w:t>
      </w:r>
      <w:r w:rsidR="00264F69" w:rsidRPr="008A39AD">
        <w:rPr>
          <w:rFonts w:ascii="Arial" w:hAnsi="Arial" w:cs="Arial"/>
        </w:rPr>
        <w:t>(</w:t>
      </w:r>
      <w:r w:rsidRPr="008A39AD">
        <w:rPr>
          <w:rFonts w:ascii="Arial" w:hAnsi="Arial" w:cs="Arial"/>
        </w:rPr>
        <w:t>HR=</w:t>
      </w:r>
      <w:r w:rsidR="003E61C4" w:rsidRPr="008A39AD">
        <w:rPr>
          <w:rFonts w:ascii="Arial" w:hAnsi="Arial" w:cs="Arial"/>
        </w:rPr>
        <w:t>0.</w:t>
      </w:r>
      <w:r w:rsidR="00694C3B" w:rsidRPr="008A39AD">
        <w:rPr>
          <w:rFonts w:ascii="Arial" w:hAnsi="Arial" w:cs="Arial"/>
        </w:rPr>
        <w:t>75</w:t>
      </w:r>
      <w:r w:rsidR="00264F69" w:rsidRPr="008A39AD">
        <w:rPr>
          <w:rFonts w:ascii="Arial" w:hAnsi="Arial" w:cs="Arial"/>
        </w:rPr>
        <w:t>,</w:t>
      </w:r>
      <w:r w:rsidR="00B8429B" w:rsidRPr="008A39AD">
        <w:rPr>
          <w:rFonts w:ascii="Arial" w:hAnsi="Arial" w:cs="Arial"/>
        </w:rPr>
        <w:t xml:space="preserve"> </w:t>
      </w:r>
      <w:r w:rsidR="003E61C4" w:rsidRPr="008A39AD">
        <w:rPr>
          <w:rFonts w:ascii="Arial" w:hAnsi="Arial" w:cs="Arial"/>
        </w:rPr>
        <w:t>95% confidence interval [CI] 0.</w:t>
      </w:r>
      <w:r w:rsidR="00694C3B" w:rsidRPr="008A39AD">
        <w:rPr>
          <w:rFonts w:ascii="Arial" w:hAnsi="Arial" w:cs="Arial"/>
        </w:rPr>
        <w:t>61</w:t>
      </w:r>
      <w:r w:rsidR="00F2025F" w:rsidRPr="008A39AD">
        <w:rPr>
          <w:rFonts w:ascii="Arial" w:hAnsi="Arial" w:cs="Arial"/>
        </w:rPr>
        <w:t>-</w:t>
      </w:r>
      <w:r w:rsidR="003E61C4" w:rsidRPr="008A39AD">
        <w:rPr>
          <w:rFonts w:ascii="Arial" w:hAnsi="Arial" w:cs="Arial"/>
        </w:rPr>
        <w:t>0.</w:t>
      </w:r>
      <w:r w:rsidR="00694C3B" w:rsidRPr="008A39AD">
        <w:rPr>
          <w:rFonts w:ascii="Arial" w:hAnsi="Arial" w:cs="Arial"/>
        </w:rPr>
        <w:t>91</w:t>
      </w:r>
      <w:r w:rsidR="003E61C4" w:rsidRPr="008A39AD">
        <w:rPr>
          <w:rFonts w:ascii="Arial" w:hAnsi="Arial" w:cs="Arial"/>
        </w:rPr>
        <w:t>)</w:t>
      </w:r>
      <w:r w:rsidRPr="008A39AD">
        <w:rPr>
          <w:rFonts w:ascii="Arial" w:hAnsi="Arial" w:cs="Arial"/>
        </w:rPr>
        <w:t>],</w:t>
      </w:r>
      <w:r w:rsidR="003E61C4" w:rsidRPr="008A39AD">
        <w:rPr>
          <w:rFonts w:ascii="Arial" w:hAnsi="Arial" w:cs="Arial"/>
        </w:rPr>
        <w:t xml:space="preserve"> </w:t>
      </w:r>
      <w:r w:rsidR="0094422D" w:rsidRPr="008A39AD">
        <w:rPr>
          <w:rFonts w:ascii="Arial" w:hAnsi="Arial" w:cs="Arial"/>
        </w:rPr>
        <w:t>followed by Thailand (</w:t>
      </w:r>
      <w:r w:rsidR="001E2E72" w:rsidRPr="008A39AD">
        <w:rPr>
          <w:rFonts w:ascii="Arial" w:hAnsi="Arial" w:cs="Arial"/>
        </w:rPr>
        <w:t>0.</w:t>
      </w:r>
      <w:r w:rsidR="00B8429B" w:rsidRPr="008A39AD">
        <w:rPr>
          <w:rFonts w:ascii="Arial" w:hAnsi="Arial" w:cs="Arial"/>
        </w:rPr>
        <w:t>7</w:t>
      </w:r>
      <w:r w:rsidR="00694C3B" w:rsidRPr="008A39AD">
        <w:rPr>
          <w:rFonts w:ascii="Arial" w:hAnsi="Arial" w:cs="Arial"/>
        </w:rPr>
        <w:t>7</w:t>
      </w:r>
      <w:r w:rsidR="001E2E72" w:rsidRPr="008A39AD">
        <w:rPr>
          <w:rFonts w:ascii="Arial" w:hAnsi="Arial" w:cs="Arial"/>
        </w:rPr>
        <w:t>, 0.</w:t>
      </w:r>
      <w:r w:rsidR="00694C3B" w:rsidRPr="008A39AD">
        <w:rPr>
          <w:rFonts w:ascii="Arial" w:hAnsi="Arial" w:cs="Arial"/>
        </w:rPr>
        <w:t>61</w:t>
      </w:r>
      <w:r w:rsidR="00F2025F" w:rsidRPr="008A39AD">
        <w:rPr>
          <w:rFonts w:ascii="Arial" w:hAnsi="Arial" w:cs="Arial"/>
        </w:rPr>
        <w:t>-</w:t>
      </w:r>
      <w:r w:rsidR="00B8429B" w:rsidRPr="008A39AD">
        <w:rPr>
          <w:rFonts w:ascii="Arial" w:hAnsi="Arial" w:cs="Arial"/>
        </w:rPr>
        <w:t>0.</w:t>
      </w:r>
      <w:r w:rsidR="009510CB" w:rsidRPr="008A39AD">
        <w:rPr>
          <w:rFonts w:ascii="Arial" w:hAnsi="Arial" w:cs="Arial"/>
        </w:rPr>
        <w:t>9</w:t>
      </w:r>
      <w:r w:rsidR="00694C3B" w:rsidRPr="008A39AD">
        <w:rPr>
          <w:rFonts w:ascii="Arial" w:hAnsi="Arial" w:cs="Arial"/>
        </w:rPr>
        <w:t>7</w:t>
      </w:r>
      <w:r w:rsidR="0094422D" w:rsidRPr="008A39AD">
        <w:rPr>
          <w:rFonts w:ascii="Arial" w:hAnsi="Arial" w:cs="Arial"/>
        </w:rPr>
        <w:t>)</w:t>
      </w:r>
      <w:r w:rsidR="00B8429B" w:rsidRPr="008A39AD">
        <w:rPr>
          <w:rFonts w:ascii="Arial" w:hAnsi="Arial" w:cs="Arial"/>
        </w:rPr>
        <w:t xml:space="preserve"> and A/NZ (0.</w:t>
      </w:r>
      <w:r w:rsidR="009510CB" w:rsidRPr="008A39AD">
        <w:rPr>
          <w:rFonts w:ascii="Arial" w:hAnsi="Arial" w:cs="Arial"/>
        </w:rPr>
        <w:t>8</w:t>
      </w:r>
      <w:r w:rsidR="00694C3B" w:rsidRPr="008A39AD">
        <w:rPr>
          <w:rFonts w:ascii="Arial" w:hAnsi="Arial" w:cs="Arial"/>
        </w:rPr>
        <w:t>5</w:t>
      </w:r>
      <w:r w:rsidR="00B8429B" w:rsidRPr="008A39AD">
        <w:rPr>
          <w:rFonts w:ascii="Arial" w:hAnsi="Arial" w:cs="Arial"/>
        </w:rPr>
        <w:t>, 0.6</w:t>
      </w:r>
      <w:r w:rsidR="00694C3B" w:rsidRPr="008A39AD">
        <w:rPr>
          <w:rFonts w:ascii="Arial" w:hAnsi="Arial" w:cs="Arial"/>
        </w:rPr>
        <w:t>9</w:t>
      </w:r>
      <w:r w:rsidR="00F2025F" w:rsidRPr="008A39AD">
        <w:rPr>
          <w:rFonts w:ascii="Arial" w:hAnsi="Arial" w:cs="Arial"/>
        </w:rPr>
        <w:t>-</w:t>
      </w:r>
      <w:r w:rsidR="00694C3B" w:rsidRPr="008A39AD">
        <w:rPr>
          <w:rFonts w:ascii="Arial" w:hAnsi="Arial" w:cs="Arial"/>
        </w:rPr>
        <w:t>1.04</w:t>
      </w:r>
      <w:r w:rsidR="00B8429B" w:rsidRPr="008A39AD">
        <w:rPr>
          <w:rFonts w:ascii="Arial" w:hAnsi="Arial" w:cs="Arial"/>
        </w:rPr>
        <w:t>)</w:t>
      </w:r>
      <w:r w:rsidR="00264F69" w:rsidRPr="008A39AD">
        <w:rPr>
          <w:rFonts w:ascii="Arial" w:hAnsi="Arial" w:cs="Arial"/>
        </w:rPr>
        <w:t>.</w:t>
      </w:r>
      <w:r w:rsidRPr="008A39AD">
        <w:rPr>
          <w:rFonts w:ascii="Arial" w:hAnsi="Arial" w:cs="Arial"/>
        </w:rPr>
        <w:t xml:space="preserve"> </w:t>
      </w:r>
      <w:r w:rsidR="00264F69" w:rsidRPr="008A39AD">
        <w:rPr>
          <w:rFonts w:ascii="Arial" w:hAnsi="Arial" w:cs="Arial"/>
        </w:rPr>
        <w:t>A</w:t>
      </w:r>
      <w:r w:rsidR="00B007DD" w:rsidRPr="008A39AD">
        <w:rPr>
          <w:rFonts w:ascii="Arial" w:hAnsi="Arial" w:cs="Arial"/>
        </w:rPr>
        <w:t>djusted</w:t>
      </w:r>
      <w:r w:rsidRPr="008A39AD">
        <w:rPr>
          <w:rFonts w:ascii="Arial" w:hAnsi="Arial" w:cs="Arial"/>
        </w:rPr>
        <w:t xml:space="preserve"> HRs</w:t>
      </w:r>
      <w:r w:rsidR="00B007DD" w:rsidRPr="008A39AD">
        <w:rPr>
          <w:rFonts w:ascii="Arial" w:hAnsi="Arial" w:cs="Arial"/>
        </w:rPr>
        <w:t xml:space="preserve"> </w:t>
      </w:r>
      <w:r w:rsidR="001E2E72" w:rsidRPr="008A39AD">
        <w:rPr>
          <w:rFonts w:ascii="Arial" w:hAnsi="Arial" w:cs="Arial"/>
        </w:rPr>
        <w:t xml:space="preserve">in Canada </w:t>
      </w:r>
      <w:r w:rsidR="00B007DD" w:rsidRPr="008A39AD">
        <w:rPr>
          <w:rFonts w:ascii="Arial" w:hAnsi="Arial" w:cs="Arial"/>
        </w:rPr>
        <w:t xml:space="preserve">and the </w:t>
      </w:r>
      <w:r w:rsidR="001E2E72" w:rsidRPr="008A39AD">
        <w:rPr>
          <w:rFonts w:ascii="Arial" w:hAnsi="Arial" w:cs="Arial"/>
        </w:rPr>
        <w:t xml:space="preserve">UK </w:t>
      </w:r>
      <w:r w:rsidR="00264F69" w:rsidRPr="008A39AD">
        <w:rPr>
          <w:rFonts w:ascii="Arial" w:hAnsi="Arial" w:cs="Arial"/>
        </w:rPr>
        <w:t xml:space="preserve">were </w:t>
      </w:r>
      <w:r w:rsidR="001E2E72" w:rsidRPr="008A39AD">
        <w:rPr>
          <w:rFonts w:ascii="Arial" w:hAnsi="Arial" w:cs="Arial"/>
        </w:rPr>
        <w:t xml:space="preserve">similar to </w:t>
      </w:r>
      <w:r w:rsidR="00B007DD" w:rsidRPr="008A39AD">
        <w:rPr>
          <w:rFonts w:ascii="Arial" w:hAnsi="Arial" w:cs="Arial"/>
        </w:rPr>
        <w:t>th</w:t>
      </w:r>
      <w:r w:rsidR="003D1503" w:rsidRPr="008A39AD">
        <w:rPr>
          <w:rFonts w:ascii="Arial" w:hAnsi="Arial" w:cs="Arial"/>
        </w:rPr>
        <w:t>at</w:t>
      </w:r>
      <w:r w:rsidR="00B007DD" w:rsidRPr="008A39AD">
        <w:rPr>
          <w:rFonts w:ascii="Arial" w:hAnsi="Arial" w:cs="Arial"/>
        </w:rPr>
        <w:t xml:space="preserve"> of </w:t>
      </w:r>
      <w:r w:rsidR="001E2E72" w:rsidRPr="008A39AD">
        <w:rPr>
          <w:rFonts w:ascii="Arial" w:hAnsi="Arial" w:cs="Arial"/>
        </w:rPr>
        <w:t xml:space="preserve">US </w:t>
      </w:r>
      <w:r w:rsidR="00B007DD" w:rsidRPr="008A39AD">
        <w:rPr>
          <w:rFonts w:ascii="Arial" w:hAnsi="Arial" w:cs="Arial"/>
        </w:rPr>
        <w:t xml:space="preserve">patients </w:t>
      </w:r>
      <w:r w:rsidR="001E2E72" w:rsidRPr="008A39AD">
        <w:rPr>
          <w:rFonts w:ascii="Arial" w:hAnsi="Arial" w:cs="Arial"/>
        </w:rPr>
        <w:t>(Figure 2).</w:t>
      </w:r>
      <w:r w:rsidR="00214801" w:rsidRPr="008A39AD">
        <w:rPr>
          <w:rFonts w:ascii="Arial" w:hAnsi="Arial" w:cs="Arial"/>
        </w:rPr>
        <w:t xml:space="preserve"> </w:t>
      </w:r>
      <w:r w:rsidR="00E312E2" w:rsidRPr="008A39AD">
        <w:rPr>
          <w:rFonts w:ascii="Arial" w:hAnsi="Arial" w:cs="Arial"/>
        </w:rPr>
        <w:t xml:space="preserve">Adjusted hazard ratios of </w:t>
      </w:r>
      <w:r w:rsidR="00043585" w:rsidRPr="008A39AD">
        <w:rPr>
          <w:rFonts w:ascii="Arial" w:hAnsi="Arial" w:cs="Arial"/>
        </w:rPr>
        <w:t xml:space="preserve">HD </w:t>
      </w:r>
      <w:r w:rsidR="003D2CEE" w:rsidRPr="008A39AD">
        <w:rPr>
          <w:rFonts w:ascii="Arial" w:hAnsi="Arial" w:cs="Arial"/>
        </w:rPr>
        <w:t>transfer</w:t>
      </w:r>
      <w:r w:rsidR="00E312E2" w:rsidRPr="008A39AD">
        <w:rPr>
          <w:rFonts w:ascii="Arial" w:hAnsi="Arial" w:cs="Arial"/>
        </w:rPr>
        <w:t xml:space="preserve"> were lowest </w:t>
      </w:r>
      <w:r w:rsidR="006C166F" w:rsidRPr="008A39AD">
        <w:rPr>
          <w:rFonts w:ascii="Arial" w:hAnsi="Arial" w:cs="Arial"/>
        </w:rPr>
        <w:t>in Thailand</w:t>
      </w:r>
      <w:r w:rsidR="00E312E2" w:rsidRPr="008A39AD">
        <w:rPr>
          <w:rFonts w:ascii="Arial" w:hAnsi="Arial" w:cs="Arial"/>
        </w:rPr>
        <w:t xml:space="preserve"> and </w:t>
      </w:r>
      <w:r w:rsidR="009510CB" w:rsidRPr="008A39AD">
        <w:rPr>
          <w:rFonts w:ascii="Arial" w:hAnsi="Arial" w:cs="Arial"/>
        </w:rPr>
        <w:t>similar elsewhere</w:t>
      </w:r>
      <w:r w:rsidR="00E312E2" w:rsidRPr="008A39AD">
        <w:rPr>
          <w:rFonts w:ascii="Arial" w:hAnsi="Arial" w:cs="Arial"/>
        </w:rPr>
        <w:t xml:space="preserve"> (Figure 2).</w:t>
      </w:r>
      <w:r w:rsidR="006C166F" w:rsidRPr="008A39AD">
        <w:rPr>
          <w:rFonts w:ascii="Arial" w:hAnsi="Arial" w:cs="Arial"/>
        </w:rPr>
        <w:t xml:space="preserve"> </w:t>
      </w:r>
      <w:r w:rsidR="00E312E2" w:rsidRPr="008A39AD">
        <w:rPr>
          <w:rFonts w:ascii="Arial" w:hAnsi="Arial" w:cs="Arial"/>
        </w:rPr>
        <w:t xml:space="preserve">Adjusted hazard ratios for </w:t>
      </w:r>
      <w:r w:rsidR="00E312E2" w:rsidRPr="008A39AD">
        <w:rPr>
          <w:rFonts w:ascii="Arial" w:hAnsi="Arial" w:cs="Arial"/>
        </w:rPr>
        <w:lastRenderedPageBreak/>
        <w:t xml:space="preserve">death were lowest for </w:t>
      </w:r>
      <w:r w:rsidR="006C166F" w:rsidRPr="008A39AD">
        <w:rPr>
          <w:rFonts w:ascii="Arial" w:hAnsi="Arial" w:cs="Arial"/>
        </w:rPr>
        <w:t>patients in A/NZ and Japan (Figure 2).</w:t>
      </w:r>
      <w:r w:rsidR="00214801" w:rsidRPr="008A39AD">
        <w:rPr>
          <w:rFonts w:ascii="Arial" w:hAnsi="Arial" w:cs="Arial"/>
        </w:rPr>
        <w:t xml:space="preserve"> </w:t>
      </w:r>
      <w:r w:rsidR="00881013" w:rsidRPr="008A39AD">
        <w:rPr>
          <w:rFonts w:ascii="Arial" w:hAnsi="Arial" w:cs="Arial"/>
        </w:rPr>
        <w:t>When</w:t>
      </w:r>
      <w:r w:rsidR="009510CB" w:rsidRPr="008A39AD">
        <w:rPr>
          <w:rFonts w:ascii="Arial" w:hAnsi="Arial" w:cs="Arial"/>
        </w:rPr>
        <w:t xml:space="preserve"> not</w:t>
      </w:r>
      <w:r w:rsidR="00881013" w:rsidRPr="008A39AD">
        <w:rPr>
          <w:rFonts w:ascii="Arial" w:hAnsi="Arial" w:cs="Arial"/>
        </w:rPr>
        <w:t xml:space="preserve"> counting patients transferred to hybrid therapy as </w:t>
      </w:r>
      <w:r w:rsidR="00043585" w:rsidRPr="008A39AD">
        <w:rPr>
          <w:rFonts w:ascii="Arial" w:hAnsi="Arial" w:cs="Arial"/>
        </w:rPr>
        <w:t xml:space="preserve">HD </w:t>
      </w:r>
      <w:r w:rsidR="003D2CEE" w:rsidRPr="008A39AD">
        <w:rPr>
          <w:rFonts w:ascii="Arial" w:hAnsi="Arial" w:cs="Arial"/>
        </w:rPr>
        <w:t>transfer</w:t>
      </w:r>
      <w:r w:rsidR="00881013" w:rsidRPr="008A39AD">
        <w:rPr>
          <w:rFonts w:ascii="Arial" w:hAnsi="Arial" w:cs="Arial"/>
        </w:rPr>
        <w:t xml:space="preserve">, Japan </w:t>
      </w:r>
      <w:r w:rsidR="009510CB" w:rsidRPr="008A39AD">
        <w:rPr>
          <w:rFonts w:ascii="Arial" w:hAnsi="Arial" w:cs="Arial"/>
        </w:rPr>
        <w:t>ha</w:t>
      </w:r>
      <w:r w:rsidR="003D1503" w:rsidRPr="008A39AD">
        <w:rPr>
          <w:rFonts w:ascii="Arial" w:hAnsi="Arial" w:cs="Arial"/>
        </w:rPr>
        <w:t>d</w:t>
      </w:r>
      <w:r w:rsidR="009510CB" w:rsidRPr="008A39AD">
        <w:rPr>
          <w:rFonts w:ascii="Arial" w:hAnsi="Arial" w:cs="Arial"/>
        </w:rPr>
        <w:t xml:space="preserve"> </w:t>
      </w:r>
      <w:r w:rsidR="003D1503" w:rsidRPr="008A39AD">
        <w:rPr>
          <w:rFonts w:ascii="Arial" w:hAnsi="Arial" w:cs="Arial"/>
        </w:rPr>
        <w:t xml:space="preserve">a </w:t>
      </w:r>
      <w:r w:rsidR="009510CB" w:rsidRPr="008A39AD">
        <w:rPr>
          <w:rFonts w:ascii="Arial" w:hAnsi="Arial" w:cs="Arial"/>
        </w:rPr>
        <w:t>hazard ratio</w:t>
      </w:r>
      <w:r w:rsidR="00881013" w:rsidRPr="008A39AD">
        <w:rPr>
          <w:rFonts w:ascii="Arial" w:hAnsi="Arial" w:cs="Arial"/>
        </w:rPr>
        <w:t xml:space="preserve"> </w:t>
      </w:r>
      <w:r w:rsidR="003D1503" w:rsidRPr="008A39AD">
        <w:rPr>
          <w:rFonts w:ascii="Arial" w:hAnsi="Arial" w:cs="Arial"/>
        </w:rPr>
        <w:t>(</w:t>
      </w:r>
      <w:r w:rsidR="00881013" w:rsidRPr="008A39AD">
        <w:rPr>
          <w:rFonts w:ascii="Arial" w:hAnsi="Arial" w:cs="Arial"/>
        </w:rPr>
        <w:t>compar</w:t>
      </w:r>
      <w:r w:rsidR="003D1503" w:rsidRPr="008A39AD">
        <w:rPr>
          <w:rFonts w:ascii="Arial" w:hAnsi="Arial" w:cs="Arial"/>
        </w:rPr>
        <w:t>ed</w:t>
      </w:r>
      <w:r w:rsidR="00881013" w:rsidRPr="008A39AD">
        <w:rPr>
          <w:rFonts w:ascii="Arial" w:hAnsi="Arial" w:cs="Arial"/>
        </w:rPr>
        <w:t xml:space="preserve"> to the US</w:t>
      </w:r>
      <w:r w:rsidR="003D1503" w:rsidRPr="008A39AD">
        <w:rPr>
          <w:rFonts w:ascii="Arial" w:hAnsi="Arial" w:cs="Arial"/>
        </w:rPr>
        <w:t>)</w:t>
      </w:r>
      <w:r w:rsidR="00881013" w:rsidRPr="008A39AD">
        <w:rPr>
          <w:rFonts w:ascii="Arial" w:hAnsi="Arial" w:cs="Arial"/>
        </w:rPr>
        <w:t xml:space="preserve"> </w:t>
      </w:r>
      <w:r w:rsidR="00144EB9" w:rsidRPr="008A39AD">
        <w:rPr>
          <w:rFonts w:ascii="Arial" w:hAnsi="Arial" w:cs="Arial"/>
        </w:rPr>
        <w:t xml:space="preserve">of </w:t>
      </w:r>
      <w:r w:rsidR="009510CB" w:rsidRPr="008A39AD">
        <w:rPr>
          <w:rFonts w:ascii="Arial" w:hAnsi="Arial" w:cs="Arial"/>
        </w:rPr>
        <w:t>0.</w:t>
      </w:r>
      <w:r w:rsidR="00694C3B" w:rsidRPr="008A39AD">
        <w:rPr>
          <w:rFonts w:ascii="Arial" w:hAnsi="Arial" w:cs="Arial"/>
        </w:rPr>
        <w:t>84</w:t>
      </w:r>
      <w:r w:rsidR="004918E0" w:rsidRPr="008A39AD">
        <w:rPr>
          <w:rFonts w:ascii="Arial" w:hAnsi="Arial" w:cs="Arial"/>
        </w:rPr>
        <w:t xml:space="preserve"> (</w:t>
      </w:r>
      <w:r w:rsidR="009510CB" w:rsidRPr="008A39AD">
        <w:rPr>
          <w:rFonts w:ascii="Arial" w:hAnsi="Arial" w:cs="Arial"/>
        </w:rPr>
        <w:t>0.6</w:t>
      </w:r>
      <w:r w:rsidR="00694C3B" w:rsidRPr="008A39AD">
        <w:rPr>
          <w:rFonts w:ascii="Arial" w:hAnsi="Arial" w:cs="Arial"/>
        </w:rPr>
        <w:t>7</w:t>
      </w:r>
      <w:r w:rsidR="00F2025F" w:rsidRPr="008A39AD">
        <w:rPr>
          <w:rFonts w:ascii="Arial" w:hAnsi="Arial" w:cs="Arial"/>
        </w:rPr>
        <w:t>-</w:t>
      </w:r>
      <w:r w:rsidR="00694C3B" w:rsidRPr="008A39AD">
        <w:rPr>
          <w:rFonts w:ascii="Arial" w:hAnsi="Arial" w:cs="Arial"/>
        </w:rPr>
        <w:t>1.05</w:t>
      </w:r>
      <w:r w:rsidR="009510CB" w:rsidRPr="008A39AD">
        <w:rPr>
          <w:rFonts w:ascii="Arial" w:hAnsi="Arial" w:cs="Arial"/>
        </w:rPr>
        <w:t>)</w:t>
      </w:r>
      <w:r w:rsidR="004918E0" w:rsidRPr="008A39AD">
        <w:rPr>
          <w:rFonts w:ascii="Arial" w:hAnsi="Arial" w:cs="Arial"/>
        </w:rPr>
        <w:t xml:space="preserve"> for </w:t>
      </w:r>
      <w:r w:rsidR="00043585" w:rsidRPr="008A39AD">
        <w:rPr>
          <w:rFonts w:ascii="Arial" w:hAnsi="Arial" w:cs="Arial"/>
        </w:rPr>
        <w:t xml:space="preserve">HD </w:t>
      </w:r>
      <w:r w:rsidR="003D2CEE" w:rsidRPr="008A39AD">
        <w:rPr>
          <w:rFonts w:ascii="Arial" w:hAnsi="Arial" w:cs="Arial"/>
        </w:rPr>
        <w:t>transfer</w:t>
      </w:r>
      <w:r w:rsidR="004918E0" w:rsidRPr="008A39AD">
        <w:rPr>
          <w:rFonts w:ascii="Arial" w:hAnsi="Arial" w:cs="Arial"/>
        </w:rPr>
        <w:t xml:space="preserve"> and </w:t>
      </w:r>
      <w:r w:rsidR="00325F03" w:rsidRPr="008A39AD">
        <w:rPr>
          <w:rFonts w:ascii="Arial" w:hAnsi="Arial" w:cs="Arial"/>
        </w:rPr>
        <w:t>0.56</w:t>
      </w:r>
      <w:r w:rsidR="004918E0" w:rsidRPr="008A39AD">
        <w:rPr>
          <w:rFonts w:ascii="Arial" w:hAnsi="Arial" w:cs="Arial"/>
        </w:rPr>
        <w:t xml:space="preserve"> (</w:t>
      </w:r>
      <w:r w:rsidR="00325F03" w:rsidRPr="008A39AD">
        <w:rPr>
          <w:rFonts w:ascii="Arial" w:hAnsi="Arial" w:cs="Arial"/>
        </w:rPr>
        <w:t>0.46</w:t>
      </w:r>
      <w:r w:rsidR="004918E0" w:rsidRPr="008A39AD">
        <w:rPr>
          <w:rFonts w:ascii="Arial" w:hAnsi="Arial" w:cs="Arial"/>
        </w:rPr>
        <w:t>-</w:t>
      </w:r>
      <w:r w:rsidR="00325F03" w:rsidRPr="008A39AD">
        <w:rPr>
          <w:rFonts w:ascii="Arial" w:hAnsi="Arial" w:cs="Arial"/>
        </w:rPr>
        <w:t>0.68</w:t>
      </w:r>
      <w:r w:rsidR="004918E0" w:rsidRPr="008A39AD">
        <w:rPr>
          <w:rFonts w:ascii="Arial" w:hAnsi="Arial" w:cs="Arial"/>
        </w:rPr>
        <w:t>) for</w:t>
      </w:r>
      <w:r w:rsidR="00881013" w:rsidRPr="008A39AD">
        <w:rPr>
          <w:rFonts w:ascii="Arial" w:hAnsi="Arial" w:cs="Arial"/>
        </w:rPr>
        <w:t xml:space="preserve"> </w:t>
      </w:r>
      <w:r w:rsidR="00E312E2" w:rsidRPr="008A39AD">
        <w:rPr>
          <w:rFonts w:ascii="Arial" w:hAnsi="Arial" w:cs="Arial"/>
        </w:rPr>
        <w:t xml:space="preserve">the combined outcome of </w:t>
      </w:r>
      <w:r w:rsidR="00881013" w:rsidRPr="008A39AD">
        <w:rPr>
          <w:rFonts w:ascii="Arial" w:hAnsi="Arial" w:cs="Arial"/>
        </w:rPr>
        <w:t>death</w:t>
      </w:r>
      <w:r w:rsidR="00D72C85" w:rsidRPr="008A39AD">
        <w:rPr>
          <w:rFonts w:ascii="Arial" w:hAnsi="Arial" w:cs="Arial"/>
        </w:rPr>
        <w:t xml:space="preserve"> or </w:t>
      </w:r>
      <w:r w:rsidR="00043585" w:rsidRPr="008A39AD">
        <w:rPr>
          <w:rFonts w:ascii="Arial" w:hAnsi="Arial" w:cs="Arial"/>
        </w:rPr>
        <w:t xml:space="preserve">HD </w:t>
      </w:r>
      <w:r w:rsidR="003D2CEE" w:rsidRPr="008A39AD">
        <w:rPr>
          <w:rFonts w:ascii="Arial" w:hAnsi="Arial" w:cs="Arial"/>
        </w:rPr>
        <w:t>transfer</w:t>
      </w:r>
      <w:r w:rsidR="00881013" w:rsidRPr="008A39AD">
        <w:rPr>
          <w:rFonts w:ascii="Arial" w:hAnsi="Arial" w:cs="Arial"/>
        </w:rPr>
        <w:t xml:space="preserve"> (</w:t>
      </w:r>
      <w:r w:rsidR="00307DA7" w:rsidRPr="008A39AD">
        <w:rPr>
          <w:rFonts w:ascii="Arial" w:hAnsi="Arial" w:cs="Arial"/>
        </w:rPr>
        <w:t>S</w:t>
      </w:r>
      <w:r w:rsidR="00EC22C5" w:rsidRPr="008A39AD">
        <w:rPr>
          <w:rFonts w:ascii="Arial" w:hAnsi="Arial" w:cs="Arial"/>
        </w:rPr>
        <w:t xml:space="preserve">upplemental </w:t>
      </w:r>
      <w:r w:rsidR="00307DA7" w:rsidRPr="008A39AD">
        <w:rPr>
          <w:rFonts w:ascii="Arial" w:hAnsi="Arial" w:cs="Arial"/>
        </w:rPr>
        <w:t>Figure</w:t>
      </w:r>
      <w:r w:rsidR="00EC22C5" w:rsidRPr="008A39AD">
        <w:rPr>
          <w:rFonts w:ascii="Arial" w:hAnsi="Arial" w:cs="Arial"/>
        </w:rPr>
        <w:t xml:space="preserve"> 2</w:t>
      </w:r>
      <w:r w:rsidR="00881013" w:rsidRPr="008A39AD">
        <w:rPr>
          <w:rFonts w:ascii="Arial" w:hAnsi="Arial" w:cs="Arial"/>
        </w:rPr>
        <w:t>).</w:t>
      </w:r>
      <w:r w:rsidR="008D70AD" w:rsidRPr="008A39AD">
        <w:rPr>
          <w:rFonts w:ascii="Arial" w:hAnsi="Arial" w:cs="Arial"/>
        </w:rPr>
        <w:t xml:space="preserve"> Japan and Thailand had </w:t>
      </w:r>
      <w:r w:rsidR="002D44B6" w:rsidRPr="008A39AD">
        <w:rPr>
          <w:rFonts w:ascii="Arial" w:hAnsi="Arial" w:cs="Arial"/>
        </w:rPr>
        <w:t xml:space="preserve">a </w:t>
      </w:r>
      <w:r w:rsidR="008D70AD" w:rsidRPr="008A39AD">
        <w:rPr>
          <w:rFonts w:ascii="Arial" w:hAnsi="Arial" w:cs="Arial"/>
        </w:rPr>
        <w:t xml:space="preserve">lower </w:t>
      </w:r>
      <w:r w:rsidR="00F46DDB" w:rsidRPr="008A39AD">
        <w:rPr>
          <w:rFonts w:ascii="Arial" w:hAnsi="Arial" w:cs="Arial"/>
        </w:rPr>
        <w:t>incidence of transplantation</w:t>
      </w:r>
      <w:r w:rsidR="008D70AD" w:rsidRPr="008A39AD">
        <w:rPr>
          <w:rFonts w:ascii="Arial" w:hAnsi="Arial" w:cs="Arial"/>
        </w:rPr>
        <w:t xml:space="preserve">, while A/NZ, Canada, and UK had higher </w:t>
      </w:r>
      <w:r w:rsidR="00F46DDB" w:rsidRPr="008A39AD">
        <w:rPr>
          <w:rFonts w:ascii="Arial" w:hAnsi="Arial" w:cs="Arial"/>
        </w:rPr>
        <w:t>incidence</w:t>
      </w:r>
      <w:r w:rsidR="008D70AD" w:rsidRPr="008A39AD">
        <w:rPr>
          <w:rFonts w:ascii="Arial" w:hAnsi="Arial" w:cs="Arial"/>
        </w:rPr>
        <w:t xml:space="preserve">, compared to the US (Figure </w:t>
      </w:r>
      <w:r w:rsidR="001C1332" w:rsidRPr="008A39AD">
        <w:rPr>
          <w:rFonts w:ascii="Arial" w:hAnsi="Arial" w:cs="Arial"/>
        </w:rPr>
        <w:t>2</w:t>
      </w:r>
      <w:r w:rsidR="008D70AD" w:rsidRPr="008A39AD">
        <w:rPr>
          <w:rFonts w:ascii="Arial" w:hAnsi="Arial" w:cs="Arial"/>
        </w:rPr>
        <w:t>).</w:t>
      </w:r>
    </w:p>
    <w:p w14:paraId="0AE846D1" w14:textId="31B2BA6F" w:rsidR="003072A8" w:rsidRPr="008A39AD" w:rsidRDefault="003072A8" w:rsidP="006C166F">
      <w:pPr>
        <w:spacing w:after="200" w:line="480" w:lineRule="auto"/>
        <w:rPr>
          <w:rFonts w:ascii="Arial" w:hAnsi="Arial" w:cs="Arial"/>
        </w:rPr>
      </w:pPr>
      <w:r w:rsidRPr="008A39AD">
        <w:rPr>
          <w:rFonts w:ascii="Arial" w:hAnsi="Arial" w:cs="Arial"/>
        </w:rPr>
        <w:t>In the model</w:t>
      </w:r>
      <w:r w:rsidR="004918E0" w:rsidRPr="008A39AD">
        <w:rPr>
          <w:rFonts w:ascii="Arial" w:hAnsi="Arial" w:cs="Arial"/>
        </w:rPr>
        <w:t xml:space="preserve"> </w:t>
      </w:r>
      <w:r w:rsidR="00567C89" w:rsidRPr="008A39AD">
        <w:rPr>
          <w:rFonts w:ascii="Arial" w:hAnsi="Arial" w:cs="Arial"/>
        </w:rPr>
        <w:t xml:space="preserve">on mortality </w:t>
      </w:r>
      <w:r w:rsidR="004918E0" w:rsidRPr="008A39AD">
        <w:rPr>
          <w:rFonts w:ascii="Arial" w:hAnsi="Arial" w:cs="Arial"/>
        </w:rPr>
        <w:t>adjusted only for demographics and comorbidities</w:t>
      </w:r>
      <w:r w:rsidRPr="008A39AD">
        <w:rPr>
          <w:rFonts w:ascii="Arial" w:hAnsi="Arial" w:cs="Arial"/>
        </w:rPr>
        <w:t xml:space="preserve">, Thailand had </w:t>
      </w:r>
      <w:r w:rsidR="004918E0" w:rsidRPr="008A39AD">
        <w:rPr>
          <w:rFonts w:ascii="Arial" w:hAnsi="Arial" w:cs="Arial"/>
        </w:rPr>
        <w:t xml:space="preserve">a hazard ratio </w:t>
      </w:r>
      <w:r w:rsidR="00567C89" w:rsidRPr="008A39AD">
        <w:rPr>
          <w:rFonts w:ascii="Arial" w:hAnsi="Arial" w:cs="Arial"/>
        </w:rPr>
        <w:t xml:space="preserve">of </w:t>
      </w:r>
      <w:r w:rsidR="004918E0" w:rsidRPr="008A39AD">
        <w:rPr>
          <w:rFonts w:ascii="Arial" w:hAnsi="Arial" w:cs="Arial"/>
        </w:rPr>
        <w:t>1.79 (1.35-2.36) compared to</w:t>
      </w:r>
      <w:r w:rsidR="00F56789" w:rsidRPr="008A39AD">
        <w:rPr>
          <w:rFonts w:ascii="Arial" w:hAnsi="Arial" w:cs="Arial"/>
        </w:rPr>
        <w:t xml:space="preserve"> the US</w:t>
      </w:r>
      <w:r w:rsidRPr="008A39AD">
        <w:rPr>
          <w:rFonts w:ascii="Arial" w:hAnsi="Arial" w:cs="Arial"/>
        </w:rPr>
        <w:t xml:space="preserve">, but </w:t>
      </w:r>
      <w:r w:rsidR="007933B6" w:rsidRPr="008A39AD">
        <w:rPr>
          <w:rFonts w:ascii="Arial" w:hAnsi="Arial" w:cs="Arial"/>
        </w:rPr>
        <w:t xml:space="preserve">this </w:t>
      </w:r>
      <w:r w:rsidR="004918E0" w:rsidRPr="008A39AD">
        <w:rPr>
          <w:rFonts w:ascii="Arial" w:hAnsi="Arial" w:cs="Arial"/>
        </w:rPr>
        <w:t>dropped to 0.99 (0.73-1.33)</w:t>
      </w:r>
      <w:r w:rsidRPr="008A39AD">
        <w:rPr>
          <w:rFonts w:ascii="Arial" w:hAnsi="Arial" w:cs="Arial"/>
        </w:rPr>
        <w:t xml:space="preserve"> after adjustment </w:t>
      </w:r>
      <w:r w:rsidR="007933B6" w:rsidRPr="008A39AD">
        <w:rPr>
          <w:rFonts w:ascii="Arial" w:hAnsi="Arial" w:cs="Arial"/>
        </w:rPr>
        <w:t>for</w:t>
      </w:r>
      <w:r w:rsidRPr="008A39AD">
        <w:rPr>
          <w:rFonts w:ascii="Arial" w:hAnsi="Arial" w:cs="Arial"/>
        </w:rPr>
        <w:t xml:space="preserve"> </w:t>
      </w:r>
      <w:r w:rsidR="00FB1750" w:rsidRPr="008A39AD">
        <w:rPr>
          <w:rFonts w:ascii="Arial" w:hAnsi="Arial" w:cs="Arial"/>
        </w:rPr>
        <w:t xml:space="preserve">serum albumin, </w:t>
      </w:r>
      <w:r w:rsidRPr="008A39AD">
        <w:rPr>
          <w:rFonts w:ascii="Arial" w:hAnsi="Arial" w:cs="Arial"/>
        </w:rPr>
        <w:t xml:space="preserve">urine volume, </w:t>
      </w:r>
      <w:r w:rsidR="004918E0" w:rsidRPr="008A39AD">
        <w:rPr>
          <w:rFonts w:ascii="Arial" w:hAnsi="Arial" w:cs="Arial"/>
        </w:rPr>
        <w:t xml:space="preserve">and </w:t>
      </w:r>
      <w:r w:rsidRPr="008A39AD">
        <w:rPr>
          <w:rFonts w:ascii="Arial" w:hAnsi="Arial" w:cs="Arial"/>
        </w:rPr>
        <w:t>caregiver involvement</w:t>
      </w:r>
      <w:r w:rsidR="002D44B6" w:rsidRPr="008A39AD">
        <w:rPr>
          <w:rFonts w:ascii="Arial" w:hAnsi="Arial" w:cs="Arial"/>
        </w:rPr>
        <w:t xml:space="preserve"> (</w:t>
      </w:r>
      <w:r w:rsidR="00245BBE" w:rsidRPr="008A39AD">
        <w:rPr>
          <w:rFonts w:ascii="Arial" w:hAnsi="Arial" w:cs="Arial"/>
        </w:rPr>
        <w:t>S</w:t>
      </w:r>
      <w:r w:rsidR="002D44B6" w:rsidRPr="008A39AD">
        <w:rPr>
          <w:rFonts w:ascii="Arial" w:hAnsi="Arial" w:cs="Arial"/>
        </w:rPr>
        <w:t>upplementa</w:t>
      </w:r>
      <w:r w:rsidR="00245BBE" w:rsidRPr="008A39AD">
        <w:rPr>
          <w:rFonts w:ascii="Arial" w:hAnsi="Arial" w:cs="Arial"/>
        </w:rPr>
        <w:t>l</w:t>
      </w:r>
      <w:r w:rsidR="002D44B6" w:rsidRPr="008A39AD">
        <w:rPr>
          <w:rFonts w:ascii="Arial" w:hAnsi="Arial" w:cs="Arial"/>
        </w:rPr>
        <w:t xml:space="preserve"> </w:t>
      </w:r>
      <w:r w:rsidR="00245BBE" w:rsidRPr="008A39AD">
        <w:rPr>
          <w:rFonts w:ascii="Arial" w:hAnsi="Arial" w:cs="Arial"/>
        </w:rPr>
        <w:t>T</w:t>
      </w:r>
      <w:r w:rsidR="002D44B6" w:rsidRPr="008A39AD">
        <w:rPr>
          <w:rFonts w:ascii="Arial" w:hAnsi="Arial" w:cs="Arial"/>
        </w:rPr>
        <w:t>able 2)</w:t>
      </w:r>
      <w:r w:rsidR="00245BBE" w:rsidRPr="008A39AD">
        <w:rPr>
          <w:rFonts w:ascii="Arial" w:hAnsi="Arial" w:cs="Arial"/>
        </w:rPr>
        <w:t>.</w:t>
      </w:r>
      <w:r w:rsidR="002D44B6" w:rsidRPr="008A39AD">
        <w:rPr>
          <w:rFonts w:ascii="Arial" w:hAnsi="Arial" w:cs="Arial"/>
        </w:rPr>
        <w:t xml:space="preserve"> </w:t>
      </w:r>
    </w:p>
    <w:p w14:paraId="3D3817F9" w14:textId="3E40A91D" w:rsidR="00B043CE" w:rsidRPr="008A39AD" w:rsidRDefault="00B043CE" w:rsidP="00B043CE">
      <w:pPr>
        <w:pStyle w:val="Heading2"/>
        <w:spacing w:after="200" w:line="360" w:lineRule="auto"/>
        <w:rPr>
          <w:rFonts w:ascii="Arial" w:hAnsi="Arial" w:cs="Arial"/>
          <w:b/>
          <w:i/>
          <w:color w:val="000000" w:themeColor="text1"/>
          <w:sz w:val="24"/>
          <w:szCs w:val="24"/>
        </w:rPr>
      </w:pPr>
      <w:r w:rsidRPr="008A39AD">
        <w:rPr>
          <w:rFonts w:ascii="Arial" w:hAnsi="Arial" w:cs="Arial"/>
          <w:b/>
          <w:i/>
          <w:color w:val="000000" w:themeColor="text1"/>
          <w:sz w:val="24"/>
          <w:szCs w:val="24"/>
        </w:rPr>
        <w:t xml:space="preserve">Event rate by </w:t>
      </w:r>
      <w:r w:rsidR="00EC22C5" w:rsidRPr="008A39AD">
        <w:rPr>
          <w:rFonts w:ascii="Arial" w:hAnsi="Arial" w:cs="Arial"/>
          <w:b/>
          <w:i/>
          <w:color w:val="000000" w:themeColor="text1"/>
          <w:sz w:val="24"/>
          <w:szCs w:val="24"/>
        </w:rPr>
        <w:t xml:space="preserve">time on therapy </w:t>
      </w:r>
      <w:r w:rsidRPr="008A39AD">
        <w:rPr>
          <w:rFonts w:ascii="Arial" w:hAnsi="Arial" w:cs="Arial"/>
          <w:b/>
          <w:i/>
          <w:color w:val="000000" w:themeColor="text1"/>
          <w:sz w:val="24"/>
          <w:szCs w:val="24"/>
        </w:rPr>
        <w:t xml:space="preserve">and by country </w:t>
      </w:r>
    </w:p>
    <w:p w14:paraId="1CE77D14" w14:textId="04E14CB2" w:rsidR="006421C7" w:rsidRPr="008A39AD" w:rsidRDefault="002D44B6" w:rsidP="006C166F">
      <w:pPr>
        <w:spacing w:after="200" w:line="480" w:lineRule="auto"/>
        <w:rPr>
          <w:rFonts w:ascii="Arial" w:hAnsi="Arial" w:cs="Arial"/>
        </w:rPr>
      </w:pPr>
      <w:r w:rsidRPr="008A39AD">
        <w:rPr>
          <w:rFonts w:ascii="Arial" w:hAnsi="Arial" w:cs="Arial"/>
        </w:rPr>
        <w:t xml:space="preserve">In general, </w:t>
      </w:r>
      <w:r w:rsidR="00DE516C" w:rsidRPr="008A39AD">
        <w:rPr>
          <w:rFonts w:ascii="Arial" w:hAnsi="Arial" w:cs="Arial"/>
        </w:rPr>
        <w:t xml:space="preserve">rates of the combined outcome of </w:t>
      </w:r>
      <w:r w:rsidR="00043585" w:rsidRPr="008A39AD">
        <w:rPr>
          <w:rFonts w:ascii="Arial" w:hAnsi="Arial" w:cs="Arial"/>
        </w:rPr>
        <w:t xml:space="preserve">HD </w:t>
      </w:r>
      <w:r w:rsidR="003D2CEE" w:rsidRPr="008A39AD">
        <w:rPr>
          <w:rFonts w:ascii="Arial" w:hAnsi="Arial" w:cs="Arial"/>
        </w:rPr>
        <w:t xml:space="preserve">transfer </w:t>
      </w:r>
      <w:r w:rsidR="000372EB" w:rsidRPr="008A39AD">
        <w:rPr>
          <w:rFonts w:ascii="Arial" w:hAnsi="Arial" w:cs="Arial"/>
        </w:rPr>
        <w:t xml:space="preserve">or death </w:t>
      </w:r>
      <w:r w:rsidR="00E33BCE" w:rsidRPr="008A39AD">
        <w:rPr>
          <w:rFonts w:ascii="Arial" w:hAnsi="Arial" w:cs="Arial"/>
        </w:rPr>
        <w:t xml:space="preserve">were higher </w:t>
      </w:r>
      <w:r w:rsidR="00DE516C" w:rsidRPr="008A39AD">
        <w:rPr>
          <w:rFonts w:ascii="Arial" w:hAnsi="Arial" w:cs="Arial"/>
        </w:rPr>
        <w:t>with</w:t>
      </w:r>
      <w:r w:rsidR="00E33BCE" w:rsidRPr="008A39AD">
        <w:rPr>
          <w:rFonts w:ascii="Arial" w:hAnsi="Arial" w:cs="Arial"/>
        </w:rPr>
        <w:t xml:space="preserve"> higher </w:t>
      </w:r>
      <w:r w:rsidR="000372EB" w:rsidRPr="008A39AD">
        <w:rPr>
          <w:rFonts w:ascii="Arial" w:hAnsi="Arial" w:cs="Arial"/>
        </w:rPr>
        <w:t>PD vintage</w:t>
      </w:r>
      <w:r w:rsidR="00DE516C" w:rsidRPr="008A39AD">
        <w:rPr>
          <w:rFonts w:ascii="Arial" w:hAnsi="Arial" w:cs="Arial"/>
        </w:rPr>
        <w:t xml:space="preserve">. </w:t>
      </w:r>
      <w:r w:rsidRPr="008A39AD">
        <w:rPr>
          <w:rFonts w:ascii="Arial" w:hAnsi="Arial" w:cs="Arial"/>
        </w:rPr>
        <w:t xml:space="preserve">Yet </w:t>
      </w:r>
      <w:r w:rsidR="00DE516C" w:rsidRPr="008A39AD">
        <w:rPr>
          <w:rFonts w:ascii="Arial" w:hAnsi="Arial" w:cs="Arial"/>
        </w:rPr>
        <w:t>Thailand</w:t>
      </w:r>
      <w:r w:rsidR="007436D8" w:rsidRPr="008A39AD">
        <w:rPr>
          <w:rFonts w:ascii="Arial" w:hAnsi="Arial" w:cs="Arial"/>
        </w:rPr>
        <w:t xml:space="preserve">, and to some degree the US, </w:t>
      </w:r>
      <w:r w:rsidR="00DE516C" w:rsidRPr="008A39AD">
        <w:rPr>
          <w:rFonts w:ascii="Arial" w:hAnsi="Arial" w:cs="Arial"/>
        </w:rPr>
        <w:t>w</w:t>
      </w:r>
      <w:r w:rsidR="007436D8" w:rsidRPr="008A39AD">
        <w:rPr>
          <w:rFonts w:ascii="Arial" w:hAnsi="Arial" w:cs="Arial"/>
        </w:rPr>
        <w:t>ere</w:t>
      </w:r>
      <w:r w:rsidR="00DE516C" w:rsidRPr="008A39AD">
        <w:rPr>
          <w:rFonts w:ascii="Arial" w:hAnsi="Arial" w:cs="Arial"/>
        </w:rPr>
        <w:t xml:space="preserve"> exception</w:t>
      </w:r>
      <w:r w:rsidR="007436D8" w:rsidRPr="008A39AD">
        <w:rPr>
          <w:rFonts w:ascii="Arial" w:hAnsi="Arial" w:cs="Arial"/>
        </w:rPr>
        <w:t>s</w:t>
      </w:r>
      <w:r w:rsidRPr="008A39AD">
        <w:rPr>
          <w:rFonts w:ascii="Arial" w:hAnsi="Arial" w:cs="Arial"/>
        </w:rPr>
        <w:t xml:space="preserve">, </w:t>
      </w:r>
      <w:r w:rsidR="00A51EFF" w:rsidRPr="008A39AD">
        <w:rPr>
          <w:rFonts w:ascii="Arial" w:hAnsi="Arial" w:cs="Arial"/>
        </w:rPr>
        <w:t xml:space="preserve">with </w:t>
      </w:r>
      <w:r w:rsidRPr="008A39AD">
        <w:rPr>
          <w:rFonts w:ascii="Arial" w:hAnsi="Arial" w:cs="Arial"/>
        </w:rPr>
        <w:t xml:space="preserve">rates </w:t>
      </w:r>
      <w:r w:rsidR="00DE516C" w:rsidRPr="008A39AD">
        <w:rPr>
          <w:rFonts w:ascii="Arial" w:hAnsi="Arial" w:cs="Arial"/>
        </w:rPr>
        <w:t>largely constant over PD vintage</w:t>
      </w:r>
      <w:r w:rsidR="000372EB" w:rsidRPr="008A39AD">
        <w:rPr>
          <w:rFonts w:ascii="Arial" w:hAnsi="Arial" w:cs="Arial"/>
        </w:rPr>
        <w:t xml:space="preserve"> (</w:t>
      </w:r>
      <w:r w:rsidR="002F52AF" w:rsidRPr="008A39AD">
        <w:rPr>
          <w:rFonts w:ascii="Arial" w:hAnsi="Arial" w:cs="Arial"/>
        </w:rPr>
        <w:t xml:space="preserve">Supplemental </w:t>
      </w:r>
      <w:r w:rsidR="000372EB" w:rsidRPr="008A39AD">
        <w:rPr>
          <w:rFonts w:ascii="Arial" w:hAnsi="Arial" w:cs="Arial"/>
        </w:rPr>
        <w:t xml:space="preserve">Figure </w:t>
      </w:r>
      <w:r w:rsidR="001C1332" w:rsidRPr="008A39AD">
        <w:rPr>
          <w:rFonts w:ascii="Arial" w:hAnsi="Arial" w:cs="Arial"/>
        </w:rPr>
        <w:t>3</w:t>
      </w:r>
      <w:r w:rsidR="008D70AD" w:rsidRPr="008A39AD">
        <w:rPr>
          <w:rFonts w:ascii="Arial" w:hAnsi="Arial" w:cs="Arial"/>
        </w:rPr>
        <w:t>A</w:t>
      </w:r>
      <w:r w:rsidR="000372EB" w:rsidRPr="008A39AD">
        <w:rPr>
          <w:rFonts w:ascii="Arial" w:hAnsi="Arial" w:cs="Arial"/>
        </w:rPr>
        <w:t xml:space="preserve">). </w:t>
      </w:r>
      <w:r w:rsidR="00F7649C" w:rsidRPr="008A39AD">
        <w:rPr>
          <w:rFonts w:ascii="Arial" w:hAnsi="Arial" w:cs="Arial"/>
        </w:rPr>
        <w:t>As PD vintage increase</w:t>
      </w:r>
      <w:r w:rsidR="00DE516C" w:rsidRPr="008A39AD">
        <w:rPr>
          <w:rFonts w:ascii="Arial" w:hAnsi="Arial" w:cs="Arial"/>
        </w:rPr>
        <w:t>d</w:t>
      </w:r>
      <w:r w:rsidR="00F7649C" w:rsidRPr="008A39AD">
        <w:rPr>
          <w:rFonts w:ascii="Arial" w:hAnsi="Arial" w:cs="Arial"/>
        </w:rPr>
        <w:t xml:space="preserve">, </w:t>
      </w:r>
      <w:r w:rsidR="00DE516C" w:rsidRPr="008A39AD">
        <w:rPr>
          <w:rFonts w:ascii="Arial" w:hAnsi="Arial" w:cs="Arial"/>
        </w:rPr>
        <w:t xml:space="preserve">the rate of </w:t>
      </w:r>
      <w:r w:rsidR="00043585" w:rsidRPr="008A39AD">
        <w:rPr>
          <w:rFonts w:ascii="Arial" w:hAnsi="Arial" w:cs="Arial"/>
        </w:rPr>
        <w:t xml:space="preserve">HD </w:t>
      </w:r>
      <w:r w:rsidR="003D2CEE" w:rsidRPr="008A39AD">
        <w:rPr>
          <w:rFonts w:ascii="Arial" w:hAnsi="Arial" w:cs="Arial"/>
        </w:rPr>
        <w:t xml:space="preserve">transfer </w:t>
      </w:r>
      <w:r w:rsidR="00E33BCE" w:rsidRPr="008A39AD">
        <w:rPr>
          <w:rFonts w:ascii="Arial" w:hAnsi="Arial" w:cs="Arial"/>
        </w:rPr>
        <w:t xml:space="preserve">was </w:t>
      </w:r>
      <w:r w:rsidR="00DE516C" w:rsidRPr="008A39AD">
        <w:rPr>
          <w:rFonts w:ascii="Arial" w:hAnsi="Arial" w:cs="Arial"/>
        </w:rPr>
        <w:t>slightly</w:t>
      </w:r>
      <w:r w:rsidR="00E33BCE" w:rsidRPr="008A39AD">
        <w:rPr>
          <w:rFonts w:ascii="Arial" w:hAnsi="Arial" w:cs="Arial"/>
        </w:rPr>
        <w:t xml:space="preserve"> higher </w:t>
      </w:r>
      <w:r w:rsidR="00F7649C" w:rsidRPr="008A39AD">
        <w:rPr>
          <w:rFonts w:ascii="Arial" w:hAnsi="Arial" w:cs="Arial"/>
        </w:rPr>
        <w:t xml:space="preserve">in A/NZ, Japan, Thailand, and </w:t>
      </w:r>
      <w:r w:rsidR="00DE516C" w:rsidRPr="008A39AD">
        <w:rPr>
          <w:rFonts w:ascii="Arial" w:hAnsi="Arial" w:cs="Arial"/>
        </w:rPr>
        <w:t xml:space="preserve">the </w:t>
      </w:r>
      <w:r w:rsidR="00F7649C" w:rsidRPr="008A39AD">
        <w:rPr>
          <w:rFonts w:ascii="Arial" w:hAnsi="Arial" w:cs="Arial"/>
        </w:rPr>
        <w:t xml:space="preserve">UK, but not in Canada and </w:t>
      </w:r>
      <w:r w:rsidR="00DE516C" w:rsidRPr="008A39AD">
        <w:rPr>
          <w:rFonts w:ascii="Arial" w:hAnsi="Arial" w:cs="Arial"/>
        </w:rPr>
        <w:t xml:space="preserve">the </w:t>
      </w:r>
      <w:r w:rsidR="00F7649C" w:rsidRPr="008A39AD">
        <w:rPr>
          <w:rFonts w:ascii="Arial" w:hAnsi="Arial" w:cs="Arial"/>
        </w:rPr>
        <w:t>US (</w:t>
      </w:r>
      <w:r w:rsidR="002F52AF" w:rsidRPr="008A39AD">
        <w:rPr>
          <w:rFonts w:ascii="Arial" w:hAnsi="Arial" w:cs="Arial"/>
        </w:rPr>
        <w:t xml:space="preserve">Supplemental </w:t>
      </w:r>
      <w:r w:rsidR="00F7649C" w:rsidRPr="008A39AD">
        <w:rPr>
          <w:rFonts w:ascii="Arial" w:hAnsi="Arial" w:cs="Arial"/>
        </w:rPr>
        <w:t xml:space="preserve">Figure </w:t>
      </w:r>
      <w:r w:rsidR="001C1332" w:rsidRPr="008A39AD">
        <w:rPr>
          <w:rFonts w:ascii="Arial" w:hAnsi="Arial" w:cs="Arial"/>
        </w:rPr>
        <w:t>3</w:t>
      </w:r>
      <w:r w:rsidR="008D70AD" w:rsidRPr="008A39AD">
        <w:rPr>
          <w:rFonts w:ascii="Arial" w:hAnsi="Arial" w:cs="Arial"/>
        </w:rPr>
        <w:t>B</w:t>
      </w:r>
      <w:r w:rsidR="00F7649C" w:rsidRPr="008A39AD">
        <w:rPr>
          <w:rFonts w:ascii="Arial" w:hAnsi="Arial" w:cs="Arial"/>
        </w:rPr>
        <w:t>). Patients in Thailand had</w:t>
      </w:r>
      <w:r w:rsidR="00B41DFB" w:rsidRPr="008A39AD">
        <w:rPr>
          <w:rFonts w:ascii="Arial" w:hAnsi="Arial" w:cs="Arial"/>
        </w:rPr>
        <w:t xml:space="preserve"> the</w:t>
      </w:r>
      <w:r w:rsidR="00F7649C" w:rsidRPr="008A39AD">
        <w:rPr>
          <w:rFonts w:ascii="Arial" w:hAnsi="Arial" w:cs="Arial"/>
        </w:rPr>
        <w:t xml:space="preserve"> lowest rate of </w:t>
      </w:r>
      <w:r w:rsidR="00043585" w:rsidRPr="008A39AD">
        <w:rPr>
          <w:rFonts w:ascii="Arial" w:hAnsi="Arial" w:cs="Arial"/>
        </w:rPr>
        <w:t xml:space="preserve">HD </w:t>
      </w:r>
      <w:r w:rsidR="003D2CEE" w:rsidRPr="008A39AD">
        <w:rPr>
          <w:rFonts w:ascii="Arial" w:hAnsi="Arial" w:cs="Arial"/>
        </w:rPr>
        <w:t>transfer</w:t>
      </w:r>
      <w:r w:rsidR="00F7649C" w:rsidRPr="008A39AD">
        <w:rPr>
          <w:rFonts w:ascii="Arial" w:hAnsi="Arial" w:cs="Arial"/>
        </w:rPr>
        <w:t>.</w:t>
      </w:r>
      <w:r w:rsidR="00214801" w:rsidRPr="008A39AD">
        <w:rPr>
          <w:rFonts w:ascii="Arial" w:hAnsi="Arial" w:cs="Arial"/>
        </w:rPr>
        <w:t xml:space="preserve"> </w:t>
      </w:r>
      <w:r w:rsidR="00F7649C" w:rsidRPr="008A39AD">
        <w:rPr>
          <w:rFonts w:ascii="Arial" w:hAnsi="Arial" w:cs="Arial"/>
        </w:rPr>
        <w:t>Thailan</w:t>
      </w:r>
      <w:r w:rsidRPr="008A39AD">
        <w:rPr>
          <w:rFonts w:ascii="Arial" w:hAnsi="Arial" w:cs="Arial"/>
        </w:rPr>
        <w:t xml:space="preserve">d </w:t>
      </w:r>
      <w:r w:rsidR="00F7649C" w:rsidRPr="008A39AD">
        <w:rPr>
          <w:rFonts w:ascii="Arial" w:hAnsi="Arial" w:cs="Arial"/>
        </w:rPr>
        <w:t>had high death rate</w:t>
      </w:r>
      <w:r w:rsidR="00DE516C" w:rsidRPr="008A39AD">
        <w:rPr>
          <w:rFonts w:ascii="Arial" w:hAnsi="Arial" w:cs="Arial"/>
        </w:rPr>
        <w:t>s</w:t>
      </w:r>
      <w:r w:rsidR="00F7649C" w:rsidRPr="008A39AD">
        <w:rPr>
          <w:rFonts w:ascii="Arial" w:hAnsi="Arial" w:cs="Arial"/>
        </w:rPr>
        <w:t xml:space="preserve"> </w:t>
      </w:r>
      <w:r w:rsidR="00DE516C" w:rsidRPr="008A39AD">
        <w:rPr>
          <w:rFonts w:ascii="Arial" w:hAnsi="Arial" w:cs="Arial"/>
        </w:rPr>
        <w:t xml:space="preserve">across </w:t>
      </w:r>
      <w:r w:rsidR="00F7649C" w:rsidRPr="008A39AD">
        <w:rPr>
          <w:rFonts w:ascii="Arial" w:hAnsi="Arial" w:cs="Arial"/>
        </w:rPr>
        <w:t>all PD vintage</w:t>
      </w:r>
      <w:r w:rsidR="00DE516C" w:rsidRPr="008A39AD">
        <w:rPr>
          <w:rFonts w:ascii="Arial" w:hAnsi="Arial" w:cs="Arial"/>
        </w:rPr>
        <w:t>s</w:t>
      </w:r>
      <w:r w:rsidR="00654C69" w:rsidRPr="008A39AD">
        <w:rPr>
          <w:rFonts w:ascii="Arial" w:hAnsi="Arial" w:cs="Arial"/>
        </w:rPr>
        <w:t xml:space="preserve"> (Supplemental Figure </w:t>
      </w:r>
      <w:r w:rsidR="001C1332" w:rsidRPr="008A39AD">
        <w:rPr>
          <w:rFonts w:ascii="Arial" w:hAnsi="Arial" w:cs="Arial"/>
        </w:rPr>
        <w:t>3</w:t>
      </w:r>
      <w:r w:rsidR="008D70AD" w:rsidRPr="008A39AD">
        <w:rPr>
          <w:rFonts w:ascii="Arial" w:hAnsi="Arial" w:cs="Arial"/>
        </w:rPr>
        <w:t>C</w:t>
      </w:r>
      <w:r w:rsidR="00654C69" w:rsidRPr="008A39AD">
        <w:rPr>
          <w:rFonts w:ascii="Arial" w:hAnsi="Arial" w:cs="Arial"/>
        </w:rPr>
        <w:t>)</w:t>
      </w:r>
      <w:r w:rsidR="00F7649C" w:rsidRPr="008A39AD">
        <w:rPr>
          <w:rFonts w:ascii="Arial" w:hAnsi="Arial" w:cs="Arial"/>
        </w:rPr>
        <w:t xml:space="preserve">. </w:t>
      </w:r>
    </w:p>
    <w:p w14:paraId="52DC6299" w14:textId="30C00A4F" w:rsidR="00F7649C" w:rsidRPr="008A39AD" w:rsidRDefault="00F7649C" w:rsidP="00F7649C">
      <w:pPr>
        <w:pStyle w:val="Heading2"/>
        <w:spacing w:after="200" w:line="360" w:lineRule="auto"/>
        <w:rPr>
          <w:rFonts w:ascii="Arial" w:hAnsi="Arial" w:cs="Arial"/>
          <w:b/>
          <w:i/>
          <w:color w:val="000000" w:themeColor="text1"/>
          <w:sz w:val="24"/>
          <w:szCs w:val="24"/>
        </w:rPr>
      </w:pPr>
      <w:r w:rsidRPr="008A39AD">
        <w:rPr>
          <w:rFonts w:ascii="Arial" w:hAnsi="Arial" w:cs="Arial"/>
          <w:b/>
          <w:i/>
          <w:color w:val="000000" w:themeColor="text1"/>
          <w:sz w:val="24"/>
          <w:szCs w:val="24"/>
        </w:rPr>
        <w:t xml:space="preserve">Reason </w:t>
      </w:r>
      <w:r w:rsidR="00DE516C" w:rsidRPr="008A39AD">
        <w:rPr>
          <w:rFonts w:ascii="Arial" w:hAnsi="Arial" w:cs="Arial"/>
          <w:b/>
          <w:i/>
          <w:color w:val="000000" w:themeColor="text1"/>
          <w:sz w:val="24"/>
          <w:szCs w:val="24"/>
        </w:rPr>
        <w:t xml:space="preserve">for </w:t>
      </w:r>
      <w:r w:rsidR="00043585" w:rsidRPr="008A39AD">
        <w:rPr>
          <w:rFonts w:ascii="Arial" w:hAnsi="Arial" w:cs="Arial"/>
          <w:b/>
          <w:i/>
          <w:color w:val="000000" w:themeColor="text1"/>
          <w:sz w:val="24"/>
          <w:szCs w:val="24"/>
        </w:rPr>
        <w:t xml:space="preserve">HD </w:t>
      </w:r>
      <w:r w:rsidR="003D2CEE" w:rsidRPr="008A39AD">
        <w:rPr>
          <w:rFonts w:ascii="Arial" w:hAnsi="Arial" w:cs="Arial"/>
          <w:b/>
          <w:bCs/>
          <w:i/>
          <w:iCs/>
          <w:color w:val="auto"/>
          <w:sz w:val="24"/>
          <w:szCs w:val="24"/>
        </w:rPr>
        <w:t>Transfer</w:t>
      </w:r>
    </w:p>
    <w:p w14:paraId="4A18FD02" w14:textId="68219356" w:rsidR="00C22656" w:rsidRPr="008A39AD" w:rsidRDefault="002D44B6" w:rsidP="006C166F">
      <w:pPr>
        <w:spacing w:after="200" w:line="480" w:lineRule="auto"/>
        <w:rPr>
          <w:rFonts w:ascii="Arial" w:hAnsi="Arial" w:cs="Arial"/>
        </w:rPr>
      </w:pPr>
      <w:r w:rsidRPr="008A39AD">
        <w:rPr>
          <w:rFonts w:ascii="Arial" w:hAnsi="Arial" w:cs="Arial"/>
        </w:rPr>
        <w:t>Infection was the</w:t>
      </w:r>
      <w:r w:rsidR="00C22656" w:rsidRPr="008A39AD">
        <w:rPr>
          <w:rFonts w:ascii="Arial" w:hAnsi="Arial" w:cs="Arial"/>
        </w:rPr>
        <w:t xml:space="preserve"> </w:t>
      </w:r>
      <w:r w:rsidR="00B32E12" w:rsidRPr="008A39AD">
        <w:rPr>
          <w:rFonts w:ascii="Arial" w:hAnsi="Arial" w:cs="Arial"/>
        </w:rPr>
        <w:t xml:space="preserve">most common reason </w:t>
      </w:r>
      <w:r w:rsidR="00962391" w:rsidRPr="008A39AD">
        <w:rPr>
          <w:rFonts w:ascii="Arial" w:hAnsi="Arial" w:cs="Arial"/>
        </w:rPr>
        <w:t>PD patients permanently switch</w:t>
      </w:r>
      <w:r w:rsidR="006E0F62" w:rsidRPr="008A39AD">
        <w:rPr>
          <w:rFonts w:ascii="Arial" w:hAnsi="Arial" w:cs="Arial"/>
        </w:rPr>
        <w:t>ed</w:t>
      </w:r>
      <w:r w:rsidR="00962391" w:rsidRPr="008A39AD">
        <w:rPr>
          <w:rFonts w:ascii="Arial" w:hAnsi="Arial" w:cs="Arial"/>
        </w:rPr>
        <w:t xml:space="preserve"> to HD</w:t>
      </w:r>
      <w:r w:rsidR="00B32E12" w:rsidRPr="008A39AD">
        <w:rPr>
          <w:rFonts w:ascii="Arial" w:hAnsi="Arial" w:cs="Arial"/>
        </w:rPr>
        <w:t xml:space="preserve"> (Figure </w:t>
      </w:r>
      <w:r w:rsidR="001600A5" w:rsidRPr="008A39AD">
        <w:rPr>
          <w:rFonts w:ascii="Arial" w:hAnsi="Arial" w:cs="Arial"/>
        </w:rPr>
        <w:t>3A</w:t>
      </w:r>
      <w:r w:rsidR="00B32E12" w:rsidRPr="008A39AD">
        <w:rPr>
          <w:rFonts w:ascii="Arial" w:hAnsi="Arial" w:cs="Arial"/>
        </w:rPr>
        <w:t xml:space="preserve">). </w:t>
      </w:r>
      <w:r w:rsidR="00AC6FD1" w:rsidRPr="008A39AD">
        <w:rPr>
          <w:rFonts w:ascii="Arial" w:hAnsi="Arial" w:cs="Arial"/>
        </w:rPr>
        <w:t>Issues relating to s</w:t>
      </w:r>
      <w:r w:rsidR="005C02F0" w:rsidRPr="008A39AD">
        <w:rPr>
          <w:rFonts w:ascii="Arial" w:hAnsi="Arial" w:cs="Arial"/>
        </w:rPr>
        <w:t>olute</w:t>
      </w:r>
      <w:r w:rsidR="00AC6FD1" w:rsidRPr="008A39AD">
        <w:rPr>
          <w:rFonts w:ascii="Arial" w:hAnsi="Arial" w:cs="Arial"/>
        </w:rPr>
        <w:t xml:space="preserve"> </w:t>
      </w:r>
      <w:r w:rsidR="00B32E12" w:rsidRPr="008A39AD">
        <w:rPr>
          <w:rFonts w:ascii="Arial" w:hAnsi="Arial" w:cs="Arial"/>
        </w:rPr>
        <w:t xml:space="preserve">clearance </w:t>
      </w:r>
      <w:r w:rsidR="0025445E" w:rsidRPr="008A39AD">
        <w:rPr>
          <w:rFonts w:ascii="Arial" w:hAnsi="Arial" w:cs="Arial"/>
        </w:rPr>
        <w:t>wa</w:t>
      </w:r>
      <w:r w:rsidR="00B32E12" w:rsidRPr="008A39AD">
        <w:rPr>
          <w:rFonts w:ascii="Arial" w:hAnsi="Arial" w:cs="Arial"/>
        </w:rPr>
        <w:t xml:space="preserve">s </w:t>
      </w:r>
      <w:r w:rsidR="006E0F62" w:rsidRPr="008A39AD">
        <w:rPr>
          <w:rFonts w:ascii="Arial" w:hAnsi="Arial" w:cs="Arial"/>
        </w:rPr>
        <w:t xml:space="preserve">also a </w:t>
      </w:r>
      <w:r w:rsidR="00B32E12" w:rsidRPr="008A39AD">
        <w:rPr>
          <w:rFonts w:ascii="Arial" w:hAnsi="Arial" w:cs="Arial"/>
        </w:rPr>
        <w:t xml:space="preserve">common reason, </w:t>
      </w:r>
      <w:r w:rsidR="006E0F62" w:rsidRPr="008A39AD">
        <w:rPr>
          <w:rFonts w:ascii="Arial" w:hAnsi="Arial" w:cs="Arial"/>
        </w:rPr>
        <w:t>especially</w:t>
      </w:r>
      <w:r w:rsidR="00B32E12" w:rsidRPr="008A39AD">
        <w:rPr>
          <w:rFonts w:ascii="Arial" w:hAnsi="Arial" w:cs="Arial"/>
        </w:rPr>
        <w:t xml:space="preserve"> in </w:t>
      </w:r>
      <w:r w:rsidR="00C20C95" w:rsidRPr="008A39AD">
        <w:rPr>
          <w:rFonts w:ascii="Arial" w:hAnsi="Arial" w:cs="Arial"/>
        </w:rPr>
        <w:t>Canada (</w:t>
      </w:r>
      <w:r w:rsidR="008D0934" w:rsidRPr="008A39AD">
        <w:rPr>
          <w:rFonts w:ascii="Arial" w:hAnsi="Arial" w:cs="Arial"/>
        </w:rPr>
        <w:t>1</w:t>
      </w:r>
      <w:r w:rsidR="00E86813" w:rsidRPr="008A39AD">
        <w:rPr>
          <w:rFonts w:ascii="Arial" w:hAnsi="Arial" w:cs="Arial" w:hint="eastAsia"/>
        </w:rPr>
        <w:t>3</w:t>
      </w:r>
      <w:r w:rsidR="00C20C95" w:rsidRPr="008A39AD">
        <w:rPr>
          <w:rFonts w:ascii="Arial" w:hAnsi="Arial" w:cs="Arial"/>
        </w:rPr>
        <w:t xml:space="preserve">%) </w:t>
      </w:r>
      <w:r w:rsidR="00B32E12" w:rsidRPr="008A39AD">
        <w:rPr>
          <w:rFonts w:ascii="Arial" w:hAnsi="Arial" w:cs="Arial"/>
        </w:rPr>
        <w:t>and Japan (</w:t>
      </w:r>
      <w:r w:rsidR="008D0934" w:rsidRPr="008A39AD">
        <w:rPr>
          <w:rFonts w:ascii="Arial" w:hAnsi="Arial" w:cs="Arial"/>
        </w:rPr>
        <w:t>16</w:t>
      </w:r>
      <w:r w:rsidR="00B32E12" w:rsidRPr="008A39AD">
        <w:rPr>
          <w:rFonts w:ascii="Arial" w:hAnsi="Arial" w:cs="Arial"/>
        </w:rPr>
        <w:t>%)</w:t>
      </w:r>
      <w:r w:rsidR="004B1731" w:rsidRPr="008A39AD">
        <w:rPr>
          <w:rFonts w:ascii="Arial" w:hAnsi="Arial" w:cs="Arial"/>
        </w:rPr>
        <w:t>. Among the causes of i</w:t>
      </w:r>
      <w:r w:rsidR="0072380C" w:rsidRPr="008A39AD">
        <w:rPr>
          <w:rFonts w:ascii="Arial" w:hAnsi="Arial" w:cs="Arial"/>
        </w:rPr>
        <w:t>nadequate solute clearance</w:t>
      </w:r>
      <w:r w:rsidR="004B1731" w:rsidRPr="008A39AD">
        <w:rPr>
          <w:rFonts w:ascii="Arial" w:hAnsi="Arial" w:cs="Arial"/>
        </w:rPr>
        <w:t xml:space="preserve"> leading to HD transfer,</w:t>
      </w:r>
      <w:r w:rsidR="0072380C" w:rsidRPr="008A39AD">
        <w:rPr>
          <w:rFonts w:ascii="Arial" w:hAnsi="Arial" w:cs="Arial"/>
        </w:rPr>
        <w:t xml:space="preserve"> </w:t>
      </w:r>
      <w:r w:rsidR="004B1731" w:rsidRPr="008A39AD">
        <w:rPr>
          <w:rFonts w:ascii="Arial" w:hAnsi="Arial" w:cs="Arial"/>
        </w:rPr>
        <w:t xml:space="preserve">those characterized </w:t>
      </w:r>
      <w:r w:rsidR="0072380C" w:rsidRPr="008A39AD">
        <w:rPr>
          <w:rFonts w:ascii="Arial" w:hAnsi="Arial" w:cs="Arial"/>
        </w:rPr>
        <w:t xml:space="preserve">by </w:t>
      </w:r>
      <w:r w:rsidR="004B1731" w:rsidRPr="008A39AD">
        <w:rPr>
          <w:rFonts w:ascii="Arial" w:hAnsi="Arial" w:cs="Arial"/>
        </w:rPr>
        <w:t xml:space="preserve">low </w:t>
      </w:r>
      <w:r w:rsidR="00751BC6" w:rsidRPr="008A39AD">
        <w:rPr>
          <w:rFonts w:ascii="Arial" w:hAnsi="Arial" w:cs="Arial"/>
        </w:rPr>
        <w:t xml:space="preserve">Kt/V or </w:t>
      </w:r>
      <w:r w:rsidR="004B1731" w:rsidRPr="008A39AD">
        <w:rPr>
          <w:rFonts w:ascii="Arial" w:hAnsi="Arial" w:cs="Arial"/>
        </w:rPr>
        <w:t xml:space="preserve">low </w:t>
      </w:r>
      <w:r w:rsidR="00FF1A1C" w:rsidRPr="008A39AD">
        <w:rPr>
          <w:rFonts w:ascii="Arial" w:hAnsi="Arial" w:cs="Arial"/>
        </w:rPr>
        <w:t>creatinine clearance represent</w:t>
      </w:r>
      <w:r w:rsidR="004B1731" w:rsidRPr="008A39AD">
        <w:rPr>
          <w:rFonts w:ascii="Arial" w:hAnsi="Arial" w:cs="Arial"/>
        </w:rPr>
        <w:t>ed</w:t>
      </w:r>
      <w:r w:rsidR="00FF1A1C" w:rsidRPr="008A39AD">
        <w:rPr>
          <w:rFonts w:ascii="Arial" w:hAnsi="Arial" w:cs="Arial"/>
        </w:rPr>
        <w:t xml:space="preserve"> </w:t>
      </w:r>
      <w:r w:rsidR="00E86813" w:rsidRPr="008A39AD">
        <w:rPr>
          <w:rFonts w:ascii="Arial" w:hAnsi="Arial" w:cs="Arial" w:hint="eastAsia"/>
        </w:rPr>
        <w:t>60</w:t>
      </w:r>
      <w:r w:rsidR="00751BC6" w:rsidRPr="008A39AD">
        <w:rPr>
          <w:rFonts w:ascii="Arial" w:hAnsi="Arial" w:cs="Arial"/>
        </w:rPr>
        <w:t>% of these</w:t>
      </w:r>
      <w:r w:rsidR="00997DA1" w:rsidRPr="008A39AD">
        <w:rPr>
          <w:rFonts w:ascii="Arial" w:hAnsi="Arial" w:cs="Arial"/>
        </w:rPr>
        <w:t xml:space="preserve"> (</w:t>
      </w:r>
      <w:r w:rsidR="00306ECD" w:rsidRPr="008A39AD">
        <w:rPr>
          <w:rFonts w:ascii="Arial" w:hAnsi="Arial" w:cs="Arial"/>
        </w:rPr>
        <w:t>S</w:t>
      </w:r>
      <w:r w:rsidR="00997DA1" w:rsidRPr="008A39AD">
        <w:rPr>
          <w:rFonts w:ascii="Arial" w:hAnsi="Arial" w:cs="Arial"/>
        </w:rPr>
        <w:t xml:space="preserve">upplemental </w:t>
      </w:r>
      <w:r w:rsidR="00306ECD" w:rsidRPr="008A39AD">
        <w:rPr>
          <w:rFonts w:ascii="Arial" w:hAnsi="Arial" w:cs="Arial"/>
        </w:rPr>
        <w:t>T</w:t>
      </w:r>
      <w:r w:rsidR="00795CE9" w:rsidRPr="008A39AD">
        <w:rPr>
          <w:rFonts w:ascii="Arial" w:hAnsi="Arial" w:cs="Arial"/>
        </w:rPr>
        <w:t>able</w:t>
      </w:r>
      <w:r w:rsidR="00997DA1" w:rsidRPr="008A39AD">
        <w:rPr>
          <w:rFonts w:ascii="Arial" w:hAnsi="Arial" w:cs="Arial"/>
        </w:rPr>
        <w:t xml:space="preserve"> </w:t>
      </w:r>
      <w:r w:rsidR="00795CE9" w:rsidRPr="008A39AD">
        <w:rPr>
          <w:rFonts w:ascii="Arial" w:hAnsi="Arial" w:cs="Arial"/>
        </w:rPr>
        <w:t>3</w:t>
      </w:r>
      <w:r w:rsidR="00997DA1" w:rsidRPr="008A39AD">
        <w:rPr>
          <w:rFonts w:ascii="Arial" w:hAnsi="Arial" w:cs="Arial"/>
        </w:rPr>
        <w:t>)</w:t>
      </w:r>
      <w:r w:rsidR="00B32E12" w:rsidRPr="008A39AD">
        <w:rPr>
          <w:rFonts w:ascii="Arial" w:hAnsi="Arial" w:cs="Arial"/>
        </w:rPr>
        <w:t>.</w:t>
      </w:r>
      <w:r w:rsidR="00214801" w:rsidRPr="008A39AD">
        <w:rPr>
          <w:rFonts w:ascii="Arial" w:hAnsi="Arial" w:cs="Arial"/>
        </w:rPr>
        <w:t xml:space="preserve"> </w:t>
      </w:r>
      <w:r w:rsidR="00B32E12" w:rsidRPr="008A39AD">
        <w:rPr>
          <w:rFonts w:ascii="Arial" w:hAnsi="Arial" w:cs="Arial"/>
        </w:rPr>
        <w:t xml:space="preserve"> </w:t>
      </w:r>
      <w:r w:rsidR="008D0934" w:rsidRPr="008A39AD">
        <w:rPr>
          <w:rFonts w:ascii="Arial" w:hAnsi="Arial" w:cs="Arial"/>
        </w:rPr>
        <w:t xml:space="preserve">Water </w:t>
      </w:r>
      <w:r w:rsidR="00273D3E" w:rsidRPr="008A39AD">
        <w:rPr>
          <w:rFonts w:ascii="Arial" w:hAnsi="Arial" w:cs="Arial"/>
        </w:rPr>
        <w:t>removal problems were</w:t>
      </w:r>
      <w:r w:rsidR="008D0934" w:rsidRPr="008A39AD">
        <w:rPr>
          <w:rFonts w:ascii="Arial" w:hAnsi="Arial" w:cs="Arial"/>
        </w:rPr>
        <w:t xml:space="preserve"> common in Japan (29%), but not in other countries (4</w:t>
      </w:r>
      <w:r w:rsidR="00DF7450" w:rsidRPr="008A39AD">
        <w:rPr>
          <w:rFonts w:ascii="Arial" w:hAnsi="Arial" w:cs="Arial"/>
        </w:rPr>
        <w:t>%</w:t>
      </w:r>
      <w:r w:rsidR="008D0934" w:rsidRPr="008A39AD">
        <w:rPr>
          <w:rFonts w:ascii="Arial" w:hAnsi="Arial" w:cs="Arial"/>
        </w:rPr>
        <w:t xml:space="preserve">-10%). </w:t>
      </w:r>
      <w:r w:rsidR="006E0F62" w:rsidRPr="008A39AD">
        <w:rPr>
          <w:rFonts w:ascii="Arial" w:hAnsi="Arial" w:cs="Arial"/>
        </w:rPr>
        <w:t>Switching for p</w:t>
      </w:r>
      <w:r w:rsidR="00F4786C" w:rsidRPr="008A39AD">
        <w:rPr>
          <w:rFonts w:ascii="Arial" w:hAnsi="Arial" w:cs="Arial"/>
        </w:rPr>
        <w:t>sychosocial/medical reason</w:t>
      </w:r>
      <w:r w:rsidR="006E0F62" w:rsidRPr="008A39AD">
        <w:rPr>
          <w:rFonts w:ascii="Arial" w:hAnsi="Arial" w:cs="Arial"/>
        </w:rPr>
        <w:t>s</w:t>
      </w:r>
      <w:r w:rsidR="00F4786C" w:rsidRPr="008A39AD">
        <w:rPr>
          <w:rFonts w:ascii="Arial" w:hAnsi="Arial" w:cs="Arial"/>
        </w:rPr>
        <w:t xml:space="preserve"> </w:t>
      </w:r>
      <w:r w:rsidR="00264F69" w:rsidRPr="008A39AD">
        <w:rPr>
          <w:rFonts w:ascii="Arial" w:hAnsi="Arial" w:cs="Arial"/>
        </w:rPr>
        <w:t>did not occur</w:t>
      </w:r>
      <w:r w:rsidR="00F4786C" w:rsidRPr="008A39AD">
        <w:rPr>
          <w:rFonts w:ascii="Arial" w:hAnsi="Arial" w:cs="Arial"/>
        </w:rPr>
        <w:t xml:space="preserve"> in Thailand,</w:t>
      </w:r>
      <w:r w:rsidR="00273D3E" w:rsidRPr="008A39AD">
        <w:rPr>
          <w:rFonts w:ascii="Arial" w:hAnsi="Arial" w:cs="Arial"/>
        </w:rPr>
        <w:t xml:space="preserve"> </w:t>
      </w:r>
      <w:r w:rsidR="00F4786C" w:rsidRPr="008A39AD">
        <w:rPr>
          <w:rFonts w:ascii="Arial" w:hAnsi="Arial" w:cs="Arial"/>
        </w:rPr>
        <w:t xml:space="preserve">but </w:t>
      </w:r>
      <w:r w:rsidR="0051296D" w:rsidRPr="008A39AD">
        <w:rPr>
          <w:rFonts w:ascii="Arial" w:hAnsi="Arial" w:cs="Arial"/>
        </w:rPr>
        <w:t>was</w:t>
      </w:r>
      <w:r w:rsidR="00F4786C" w:rsidRPr="008A39AD">
        <w:rPr>
          <w:rFonts w:ascii="Arial" w:hAnsi="Arial" w:cs="Arial"/>
        </w:rPr>
        <w:t xml:space="preserve"> </w:t>
      </w:r>
      <w:r w:rsidR="00892CBA" w:rsidRPr="008A39AD">
        <w:rPr>
          <w:rFonts w:ascii="Arial" w:hAnsi="Arial" w:cs="Arial"/>
        </w:rPr>
        <w:t>8</w:t>
      </w:r>
      <w:r w:rsidR="00F53295" w:rsidRPr="008A39AD">
        <w:rPr>
          <w:rFonts w:ascii="Arial" w:hAnsi="Arial" w:cs="Arial"/>
        </w:rPr>
        <w:t>%</w:t>
      </w:r>
      <w:r w:rsidR="00F4786C" w:rsidRPr="008A39AD">
        <w:rPr>
          <w:rFonts w:ascii="Arial" w:hAnsi="Arial" w:cs="Arial"/>
        </w:rPr>
        <w:t>-</w:t>
      </w:r>
      <w:r w:rsidR="00892CBA" w:rsidRPr="008A39AD">
        <w:rPr>
          <w:rFonts w:ascii="Arial" w:hAnsi="Arial" w:cs="Arial"/>
        </w:rPr>
        <w:t>2</w:t>
      </w:r>
      <w:r w:rsidR="006F7CB4" w:rsidRPr="008A39AD">
        <w:rPr>
          <w:rFonts w:ascii="Arial" w:hAnsi="Arial" w:cs="Arial"/>
        </w:rPr>
        <w:t>0</w:t>
      </w:r>
      <w:r w:rsidR="00F4786C" w:rsidRPr="008A39AD">
        <w:rPr>
          <w:rFonts w:ascii="Arial" w:hAnsi="Arial" w:cs="Arial"/>
        </w:rPr>
        <w:t>% in other countries. Catheter</w:t>
      </w:r>
      <w:r w:rsidR="001C03B3" w:rsidRPr="008A39AD">
        <w:rPr>
          <w:rFonts w:ascii="Arial" w:hAnsi="Arial" w:cs="Arial"/>
        </w:rPr>
        <w:t>-</w:t>
      </w:r>
      <w:r w:rsidR="00F4786C" w:rsidRPr="008A39AD">
        <w:rPr>
          <w:rFonts w:ascii="Arial" w:hAnsi="Arial" w:cs="Arial"/>
        </w:rPr>
        <w:t>related problems account</w:t>
      </w:r>
      <w:r w:rsidR="006E0F62" w:rsidRPr="008A39AD">
        <w:rPr>
          <w:rFonts w:ascii="Arial" w:hAnsi="Arial" w:cs="Arial"/>
        </w:rPr>
        <w:t>ed</w:t>
      </w:r>
      <w:r w:rsidR="00F4786C" w:rsidRPr="008A39AD">
        <w:rPr>
          <w:rFonts w:ascii="Arial" w:hAnsi="Arial" w:cs="Arial"/>
        </w:rPr>
        <w:t xml:space="preserve"> for </w:t>
      </w:r>
      <w:r w:rsidR="00892CBA" w:rsidRPr="008A39AD">
        <w:rPr>
          <w:rFonts w:ascii="Arial" w:hAnsi="Arial" w:cs="Arial"/>
        </w:rPr>
        <w:t>17</w:t>
      </w:r>
      <w:r w:rsidR="00F4786C" w:rsidRPr="008A39AD">
        <w:rPr>
          <w:rFonts w:ascii="Arial" w:hAnsi="Arial" w:cs="Arial"/>
        </w:rPr>
        <w:t xml:space="preserve">% </w:t>
      </w:r>
      <w:r w:rsidR="006E0F62" w:rsidRPr="008A39AD">
        <w:rPr>
          <w:rFonts w:ascii="Arial" w:hAnsi="Arial" w:cs="Arial"/>
        </w:rPr>
        <w:t xml:space="preserve">of </w:t>
      </w:r>
      <w:r w:rsidR="00043585" w:rsidRPr="008A39AD">
        <w:rPr>
          <w:rFonts w:ascii="Arial" w:hAnsi="Arial" w:cs="Arial"/>
        </w:rPr>
        <w:t xml:space="preserve">HD </w:t>
      </w:r>
      <w:r w:rsidR="003D2CEE" w:rsidRPr="008A39AD">
        <w:rPr>
          <w:rFonts w:ascii="Arial" w:hAnsi="Arial" w:cs="Arial"/>
        </w:rPr>
        <w:t>transfer</w:t>
      </w:r>
      <w:r w:rsidR="00F4786C" w:rsidRPr="008A39AD">
        <w:rPr>
          <w:rFonts w:ascii="Arial" w:hAnsi="Arial" w:cs="Arial"/>
        </w:rPr>
        <w:t xml:space="preserve"> in </w:t>
      </w:r>
      <w:r w:rsidR="00F4786C" w:rsidRPr="008A39AD">
        <w:rPr>
          <w:rFonts w:ascii="Arial" w:hAnsi="Arial" w:cs="Arial"/>
        </w:rPr>
        <w:lastRenderedPageBreak/>
        <w:t xml:space="preserve">Thailand, </w:t>
      </w:r>
      <w:r w:rsidR="00273D3E" w:rsidRPr="008A39AD">
        <w:rPr>
          <w:rFonts w:ascii="Arial" w:hAnsi="Arial" w:cs="Arial"/>
        </w:rPr>
        <w:t xml:space="preserve">and </w:t>
      </w:r>
      <w:r w:rsidR="00F4786C" w:rsidRPr="008A39AD">
        <w:rPr>
          <w:rFonts w:ascii="Arial" w:hAnsi="Arial" w:cs="Arial"/>
        </w:rPr>
        <w:t>&lt;</w:t>
      </w:r>
      <w:r w:rsidR="00892CBA" w:rsidRPr="008A39AD">
        <w:rPr>
          <w:rFonts w:ascii="Arial" w:hAnsi="Arial" w:cs="Arial"/>
        </w:rPr>
        <w:t>6</w:t>
      </w:r>
      <w:r w:rsidR="00F4786C" w:rsidRPr="008A39AD">
        <w:rPr>
          <w:rFonts w:ascii="Arial" w:hAnsi="Arial" w:cs="Arial"/>
        </w:rPr>
        <w:t>% elsewhere.</w:t>
      </w:r>
      <w:r w:rsidR="00214801" w:rsidRPr="008A39AD">
        <w:rPr>
          <w:rFonts w:ascii="Arial" w:hAnsi="Arial" w:cs="Arial"/>
        </w:rPr>
        <w:t xml:space="preserve"> </w:t>
      </w:r>
      <w:r w:rsidR="00F4786C" w:rsidRPr="008A39AD">
        <w:rPr>
          <w:rFonts w:ascii="Arial" w:hAnsi="Arial" w:cs="Arial"/>
        </w:rPr>
        <w:t>As PD vintage increase</w:t>
      </w:r>
      <w:r w:rsidR="006E0F62" w:rsidRPr="008A39AD">
        <w:rPr>
          <w:rFonts w:ascii="Arial" w:hAnsi="Arial" w:cs="Arial"/>
        </w:rPr>
        <w:t>d</w:t>
      </w:r>
      <w:r w:rsidR="00F4786C" w:rsidRPr="008A39AD">
        <w:rPr>
          <w:rFonts w:ascii="Arial" w:hAnsi="Arial" w:cs="Arial"/>
        </w:rPr>
        <w:t xml:space="preserve">, there were more infections, </w:t>
      </w:r>
      <w:r w:rsidR="00C20C95" w:rsidRPr="008A39AD">
        <w:rPr>
          <w:rFonts w:ascii="Arial" w:hAnsi="Arial" w:cs="Arial"/>
        </w:rPr>
        <w:t>solute</w:t>
      </w:r>
      <w:r w:rsidR="00F4786C" w:rsidRPr="008A39AD">
        <w:rPr>
          <w:rFonts w:ascii="Arial" w:hAnsi="Arial" w:cs="Arial"/>
        </w:rPr>
        <w:t>/water clearance problems, and psychosocial/medical problems, but fewer peritoneal leaks/hernia and catheter</w:t>
      </w:r>
      <w:r w:rsidR="00264F69" w:rsidRPr="008A39AD">
        <w:rPr>
          <w:rFonts w:ascii="Arial" w:hAnsi="Arial" w:cs="Arial"/>
        </w:rPr>
        <w:t>-</w:t>
      </w:r>
      <w:r w:rsidR="00F4786C" w:rsidRPr="008A39AD">
        <w:rPr>
          <w:rFonts w:ascii="Arial" w:hAnsi="Arial" w:cs="Arial"/>
        </w:rPr>
        <w:t xml:space="preserve">related problems (Figure </w:t>
      </w:r>
      <w:r w:rsidR="001600A5" w:rsidRPr="008A39AD">
        <w:rPr>
          <w:rFonts w:ascii="Arial" w:hAnsi="Arial" w:cs="Arial"/>
        </w:rPr>
        <w:t>3B</w:t>
      </w:r>
      <w:r w:rsidR="00F4786C" w:rsidRPr="008A39AD">
        <w:rPr>
          <w:rFonts w:ascii="Arial" w:hAnsi="Arial" w:cs="Arial"/>
        </w:rPr>
        <w:t>).</w:t>
      </w:r>
      <w:r w:rsidR="00860475" w:rsidRPr="008A39AD">
        <w:rPr>
          <w:rFonts w:ascii="Arial" w:hAnsi="Arial" w:cs="Arial"/>
        </w:rPr>
        <w:t xml:space="preserve"> </w:t>
      </w:r>
    </w:p>
    <w:p w14:paraId="15DE0CB9" w14:textId="67EBC7C7" w:rsidR="007E53FF" w:rsidRPr="008A39AD" w:rsidRDefault="007E53FF" w:rsidP="0054676E">
      <w:pPr>
        <w:spacing w:line="480" w:lineRule="auto"/>
        <w:outlineLvl w:val="1"/>
        <w:rPr>
          <w:rFonts w:ascii="Arial" w:hAnsi="Arial" w:cs="Arial"/>
          <w:b/>
          <w:i/>
        </w:rPr>
      </w:pPr>
      <w:r w:rsidRPr="008A39AD">
        <w:rPr>
          <w:rFonts w:ascii="Arial" w:hAnsi="Arial" w:cs="Arial"/>
          <w:b/>
          <w:i/>
        </w:rPr>
        <w:t>Patient characteristics as predictor</w:t>
      </w:r>
      <w:r w:rsidR="0025445E" w:rsidRPr="008A39AD">
        <w:rPr>
          <w:rFonts w:ascii="Arial" w:hAnsi="Arial" w:cs="Arial"/>
          <w:b/>
          <w:i/>
        </w:rPr>
        <w:t>s</w:t>
      </w:r>
      <w:r w:rsidRPr="008A39AD">
        <w:rPr>
          <w:rFonts w:ascii="Arial" w:hAnsi="Arial" w:cs="Arial"/>
          <w:b/>
          <w:i/>
        </w:rPr>
        <w:t xml:space="preserve"> of clinical outcomes</w:t>
      </w:r>
    </w:p>
    <w:p w14:paraId="26E4804E" w14:textId="00875593" w:rsidR="007E53FF" w:rsidRPr="008A39AD" w:rsidRDefault="005C02F0" w:rsidP="007E53FF">
      <w:pPr>
        <w:spacing w:after="200" w:line="480" w:lineRule="auto"/>
        <w:rPr>
          <w:rFonts w:ascii="Arial" w:hAnsi="Arial" w:cs="Arial"/>
        </w:rPr>
      </w:pPr>
      <w:r w:rsidRPr="008A39AD">
        <w:rPr>
          <w:rFonts w:ascii="Arial" w:hAnsi="Arial" w:cs="Arial"/>
        </w:rPr>
        <w:t xml:space="preserve">As shown in </w:t>
      </w:r>
      <w:r w:rsidR="002417AE" w:rsidRPr="008A39AD">
        <w:rPr>
          <w:rFonts w:ascii="Arial" w:hAnsi="Arial" w:cs="Arial"/>
        </w:rPr>
        <w:t>Figure 4A (</w:t>
      </w:r>
      <w:r w:rsidR="00F53295" w:rsidRPr="008A39AD">
        <w:rPr>
          <w:rFonts w:ascii="Arial" w:hAnsi="Arial" w:cs="Arial"/>
        </w:rPr>
        <w:t>and S</w:t>
      </w:r>
      <w:r w:rsidR="002417AE" w:rsidRPr="008A39AD">
        <w:rPr>
          <w:rFonts w:ascii="Arial" w:hAnsi="Arial" w:cs="Arial"/>
        </w:rPr>
        <w:t xml:space="preserve">upplemental </w:t>
      </w:r>
      <w:r w:rsidR="00F53295" w:rsidRPr="008A39AD">
        <w:rPr>
          <w:rFonts w:ascii="Arial" w:hAnsi="Arial" w:cs="Arial"/>
        </w:rPr>
        <w:t>T</w:t>
      </w:r>
      <w:r w:rsidRPr="008A39AD">
        <w:rPr>
          <w:rFonts w:ascii="Arial" w:hAnsi="Arial" w:cs="Arial"/>
        </w:rPr>
        <w:t xml:space="preserve">able </w:t>
      </w:r>
      <w:r w:rsidR="00795CE9" w:rsidRPr="008A39AD">
        <w:rPr>
          <w:rFonts w:ascii="Arial" w:hAnsi="Arial" w:cs="Arial"/>
        </w:rPr>
        <w:t>4A</w:t>
      </w:r>
      <w:r w:rsidR="002417AE" w:rsidRPr="008A39AD">
        <w:rPr>
          <w:rFonts w:ascii="Arial" w:hAnsi="Arial" w:cs="Arial"/>
        </w:rPr>
        <w:t>)</w:t>
      </w:r>
      <w:r w:rsidRPr="008A39AD">
        <w:rPr>
          <w:rFonts w:ascii="Arial" w:hAnsi="Arial" w:cs="Arial"/>
        </w:rPr>
        <w:t>, m</w:t>
      </w:r>
      <w:r w:rsidR="008C4E52" w:rsidRPr="008A39AD">
        <w:rPr>
          <w:rFonts w:ascii="Arial" w:hAnsi="Arial" w:cs="Arial"/>
        </w:rPr>
        <w:t xml:space="preserve">ale </w:t>
      </w:r>
      <w:r w:rsidR="00C20C95" w:rsidRPr="008A39AD">
        <w:rPr>
          <w:rFonts w:ascii="Arial" w:hAnsi="Arial" w:cs="Arial"/>
        </w:rPr>
        <w:t xml:space="preserve">sex, diabetes, </w:t>
      </w:r>
      <w:r w:rsidR="008C4E52" w:rsidRPr="008A39AD">
        <w:rPr>
          <w:rFonts w:ascii="Arial" w:hAnsi="Arial" w:cs="Arial"/>
        </w:rPr>
        <w:t>or psychiatric disorder</w:t>
      </w:r>
      <w:r w:rsidR="00264F69" w:rsidRPr="008A39AD">
        <w:rPr>
          <w:rFonts w:ascii="Arial" w:hAnsi="Arial" w:cs="Arial"/>
        </w:rPr>
        <w:t>s</w:t>
      </w:r>
      <w:r w:rsidR="008C4E52" w:rsidRPr="008A39AD">
        <w:rPr>
          <w:rFonts w:ascii="Arial" w:hAnsi="Arial" w:cs="Arial"/>
        </w:rPr>
        <w:t xml:space="preserve"> were </w:t>
      </w:r>
      <w:r w:rsidR="00C20C95" w:rsidRPr="008A39AD">
        <w:rPr>
          <w:rFonts w:ascii="Arial" w:hAnsi="Arial" w:cs="Arial"/>
        </w:rPr>
        <w:t xml:space="preserve">associated with </w:t>
      </w:r>
      <w:r w:rsidR="00E33BCE" w:rsidRPr="008A39AD">
        <w:rPr>
          <w:rFonts w:ascii="Arial" w:hAnsi="Arial" w:cs="Arial"/>
        </w:rPr>
        <w:t xml:space="preserve">higher </w:t>
      </w:r>
      <w:r w:rsidR="00C20C95" w:rsidRPr="008A39AD">
        <w:rPr>
          <w:rFonts w:ascii="Arial" w:hAnsi="Arial" w:cs="Arial"/>
        </w:rPr>
        <w:t>risk of death or</w:t>
      </w:r>
      <w:r w:rsidR="00DD5E01" w:rsidRPr="008A39AD">
        <w:rPr>
          <w:rFonts w:ascii="Arial" w:hAnsi="Arial" w:cs="Arial"/>
        </w:rPr>
        <w:t xml:space="preserve"> </w:t>
      </w:r>
      <w:r w:rsidR="00043585" w:rsidRPr="008A39AD">
        <w:rPr>
          <w:rFonts w:ascii="Arial" w:hAnsi="Arial" w:cs="Arial"/>
        </w:rPr>
        <w:t xml:space="preserve">HD </w:t>
      </w:r>
      <w:r w:rsidR="003D2CEE" w:rsidRPr="008A39AD">
        <w:rPr>
          <w:rFonts w:ascii="Arial" w:hAnsi="Arial" w:cs="Arial"/>
        </w:rPr>
        <w:t>transfer</w:t>
      </w:r>
      <w:r w:rsidR="00C20C95" w:rsidRPr="008A39AD">
        <w:rPr>
          <w:rFonts w:ascii="Arial" w:hAnsi="Arial" w:cs="Arial"/>
        </w:rPr>
        <w:t>.</w:t>
      </w:r>
      <w:r w:rsidR="008C4E52" w:rsidRPr="008A39AD">
        <w:rPr>
          <w:rFonts w:ascii="Arial" w:hAnsi="Arial" w:cs="Arial"/>
        </w:rPr>
        <w:t xml:space="preserve"> </w:t>
      </w:r>
      <w:r w:rsidR="00BB3D4B" w:rsidRPr="008A39AD">
        <w:rPr>
          <w:rFonts w:ascii="Arial" w:hAnsi="Arial" w:cs="Arial"/>
        </w:rPr>
        <w:t>P</w:t>
      </w:r>
      <w:r w:rsidR="002F769A" w:rsidRPr="008A39AD">
        <w:rPr>
          <w:rFonts w:ascii="Arial" w:hAnsi="Arial" w:cs="Arial"/>
        </w:rPr>
        <w:t>atients who need</w:t>
      </w:r>
      <w:r w:rsidR="00DD5E01" w:rsidRPr="008A39AD">
        <w:rPr>
          <w:rFonts w:ascii="Arial" w:hAnsi="Arial" w:cs="Arial"/>
        </w:rPr>
        <w:t>ed</w:t>
      </w:r>
      <w:r w:rsidR="002F769A" w:rsidRPr="008A39AD">
        <w:rPr>
          <w:rFonts w:ascii="Arial" w:hAnsi="Arial" w:cs="Arial"/>
        </w:rPr>
        <w:t xml:space="preserve"> caregiver help with PD exchanges had </w:t>
      </w:r>
      <w:r w:rsidR="00264F69" w:rsidRPr="008A39AD">
        <w:rPr>
          <w:rFonts w:ascii="Arial" w:hAnsi="Arial" w:cs="Arial"/>
        </w:rPr>
        <w:t xml:space="preserve">a </w:t>
      </w:r>
      <w:r w:rsidR="002F769A" w:rsidRPr="008A39AD">
        <w:rPr>
          <w:rFonts w:ascii="Arial" w:hAnsi="Arial" w:cs="Arial"/>
        </w:rPr>
        <w:t>higher risk of death (1.</w:t>
      </w:r>
      <w:r w:rsidR="006F7CB4" w:rsidRPr="008A39AD">
        <w:rPr>
          <w:rFonts w:ascii="Arial" w:hAnsi="Arial" w:cs="Arial"/>
        </w:rPr>
        <w:t>57</w:t>
      </w:r>
      <w:r w:rsidR="002F769A" w:rsidRPr="008A39AD">
        <w:rPr>
          <w:rFonts w:ascii="Arial" w:hAnsi="Arial" w:cs="Arial"/>
        </w:rPr>
        <w:t>, 1.</w:t>
      </w:r>
      <w:r w:rsidR="007319AC" w:rsidRPr="008A39AD">
        <w:rPr>
          <w:rFonts w:ascii="Arial" w:hAnsi="Arial" w:cs="Arial"/>
        </w:rPr>
        <w:t>3</w:t>
      </w:r>
      <w:r w:rsidR="006F7CB4" w:rsidRPr="008A39AD">
        <w:rPr>
          <w:rFonts w:ascii="Arial" w:hAnsi="Arial" w:cs="Arial"/>
        </w:rPr>
        <w:t>0</w:t>
      </w:r>
      <w:r w:rsidR="002F769A" w:rsidRPr="008A39AD">
        <w:rPr>
          <w:rFonts w:ascii="Arial" w:hAnsi="Arial" w:cs="Arial"/>
        </w:rPr>
        <w:t>-1.</w:t>
      </w:r>
      <w:r w:rsidR="007319AC" w:rsidRPr="008A39AD">
        <w:rPr>
          <w:rFonts w:ascii="Arial" w:hAnsi="Arial" w:cs="Arial"/>
        </w:rPr>
        <w:t>9</w:t>
      </w:r>
      <w:r w:rsidR="006F7CB4" w:rsidRPr="008A39AD">
        <w:rPr>
          <w:rFonts w:ascii="Arial" w:hAnsi="Arial" w:cs="Arial"/>
        </w:rPr>
        <w:t>1</w:t>
      </w:r>
      <w:r w:rsidR="002F769A" w:rsidRPr="008A39AD">
        <w:rPr>
          <w:rFonts w:ascii="Arial" w:hAnsi="Arial" w:cs="Arial"/>
        </w:rPr>
        <w:t xml:space="preserve">), </w:t>
      </w:r>
      <w:r w:rsidR="00C20C95" w:rsidRPr="008A39AD">
        <w:rPr>
          <w:rFonts w:ascii="Arial" w:hAnsi="Arial" w:cs="Arial"/>
        </w:rPr>
        <w:t>but not</w:t>
      </w:r>
      <w:r w:rsidR="002F769A" w:rsidRPr="008A39AD">
        <w:rPr>
          <w:rFonts w:ascii="Arial" w:hAnsi="Arial" w:cs="Arial"/>
        </w:rPr>
        <w:t xml:space="preserve"> </w:t>
      </w:r>
      <w:r w:rsidR="00043585" w:rsidRPr="008A39AD">
        <w:rPr>
          <w:rFonts w:ascii="Arial" w:hAnsi="Arial" w:cs="Arial"/>
        </w:rPr>
        <w:t xml:space="preserve">HD </w:t>
      </w:r>
      <w:r w:rsidR="003D2CEE" w:rsidRPr="008A39AD">
        <w:rPr>
          <w:rFonts w:ascii="Arial" w:hAnsi="Arial" w:cs="Arial"/>
        </w:rPr>
        <w:t xml:space="preserve">transfer </w:t>
      </w:r>
      <w:r w:rsidR="00286B78" w:rsidRPr="008A39AD">
        <w:rPr>
          <w:rFonts w:ascii="Arial" w:hAnsi="Arial" w:cs="Arial"/>
        </w:rPr>
        <w:t>(0.8</w:t>
      </w:r>
      <w:r w:rsidR="006F7CB4" w:rsidRPr="008A39AD">
        <w:rPr>
          <w:rFonts w:ascii="Arial" w:hAnsi="Arial" w:cs="Arial"/>
        </w:rPr>
        <w:t>6</w:t>
      </w:r>
      <w:r w:rsidR="00286B78" w:rsidRPr="008A39AD">
        <w:rPr>
          <w:rFonts w:ascii="Arial" w:hAnsi="Arial" w:cs="Arial"/>
        </w:rPr>
        <w:t>, 0.7</w:t>
      </w:r>
      <w:r w:rsidR="006F7CB4" w:rsidRPr="008A39AD">
        <w:rPr>
          <w:rFonts w:ascii="Arial" w:hAnsi="Arial" w:cs="Arial"/>
        </w:rPr>
        <w:t>0</w:t>
      </w:r>
      <w:r w:rsidR="00286B78" w:rsidRPr="008A39AD">
        <w:rPr>
          <w:rFonts w:ascii="Arial" w:hAnsi="Arial" w:cs="Arial"/>
        </w:rPr>
        <w:t>-1.0</w:t>
      </w:r>
      <w:r w:rsidR="006F7CB4" w:rsidRPr="008A39AD">
        <w:rPr>
          <w:rFonts w:ascii="Arial" w:hAnsi="Arial" w:cs="Arial"/>
        </w:rPr>
        <w:t>6</w:t>
      </w:r>
      <w:r w:rsidR="00286B78" w:rsidRPr="008A39AD">
        <w:rPr>
          <w:rFonts w:ascii="Arial" w:hAnsi="Arial" w:cs="Arial"/>
        </w:rPr>
        <w:t>)</w:t>
      </w:r>
      <w:r w:rsidR="002F769A" w:rsidRPr="008A39AD">
        <w:rPr>
          <w:rFonts w:ascii="Arial" w:hAnsi="Arial" w:cs="Arial"/>
        </w:rPr>
        <w:t xml:space="preserve">. Patients on </w:t>
      </w:r>
      <w:r w:rsidR="00DD5E01" w:rsidRPr="008A39AD">
        <w:rPr>
          <w:rFonts w:ascii="Arial" w:hAnsi="Arial" w:cs="Arial"/>
        </w:rPr>
        <w:t xml:space="preserve">a kidney </w:t>
      </w:r>
      <w:r w:rsidR="002F769A" w:rsidRPr="008A39AD">
        <w:rPr>
          <w:rFonts w:ascii="Arial" w:hAnsi="Arial" w:cs="Arial"/>
        </w:rPr>
        <w:t>transplant wait</w:t>
      </w:r>
      <w:r w:rsidR="00710A06" w:rsidRPr="008A39AD">
        <w:rPr>
          <w:rFonts w:ascii="Arial" w:hAnsi="Arial" w:cs="Arial"/>
        </w:rPr>
        <w:t xml:space="preserve">ing </w:t>
      </w:r>
      <w:r w:rsidR="002F769A" w:rsidRPr="008A39AD">
        <w:rPr>
          <w:rFonts w:ascii="Arial" w:hAnsi="Arial" w:cs="Arial"/>
        </w:rPr>
        <w:t xml:space="preserve">list had </w:t>
      </w:r>
      <w:r w:rsidR="00264F69" w:rsidRPr="008A39AD">
        <w:rPr>
          <w:rFonts w:ascii="Arial" w:hAnsi="Arial" w:cs="Arial"/>
        </w:rPr>
        <w:t xml:space="preserve">a </w:t>
      </w:r>
      <w:r w:rsidR="002F769A" w:rsidRPr="008A39AD">
        <w:rPr>
          <w:rFonts w:ascii="Arial" w:hAnsi="Arial" w:cs="Arial"/>
        </w:rPr>
        <w:t>lower risk of death (0.6</w:t>
      </w:r>
      <w:r w:rsidR="006F7CB4" w:rsidRPr="008A39AD">
        <w:rPr>
          <w:rFonts w:ascii="Arial" w:hAnsi="Arial" w:cs="Arial"/>
        </w:rPr>
        <w:t>2</w:t>
      </w:r>
      <w:r w:rsidR="002F769A" w:rsidRPr="008A39AD">
        <w:rPr>
          <w:rFonts w:ascii="Arial" w:hAnsi="Arial" w:cs="Arial"/>
        </w:rPr>
        <w:t>, 0.</w:t>
      </w:r>
      <w:r w:rsidR="007319AC" w:rsidRPr="008A39AD">
        <w:rPr>
          <w:rFonts w:ascii="Arial" w:hAnsi="Arial" w:cs="Arial"/>
        </w:rPr>
        <w:t>4</w:t>
      </w:r>
      <w:r w:rsidR="006F7CB4" w:rsidRPr="008A39AD">
        <w:rPr>
          <w:rFonts w:ascii="Arial" w:hAnsi="Arial" w:cs="Arial"/>
        </w:rPr>
        <w:t>9</w:t>
      </w:r>
      <w:r w:rsidR="002F769A" w:rsidRPr="008A39AD">
        <w:rPr>
          <w:rFonts w:ascii="Arial" w:hAnsi="Arial" w:cs="Arial"/>
        </w:rPr>
        <w:t>-0.</w:t>
      </w:r>
      <w:r w:rsidR="007319AC" w:rsidRPr="008A39AD">
        <w:rPr>
          <w:rFonts w:ascii="Arial" w:hAnsi="Arial" w:cs="Arial"/>
        </w:rPr>
        <w:t>78</w:t>
      </w:r>
      <w:r w:rsidR="002F769A" w:rsidRPr="008A39AD">
        <w:rPr>
          <w:rFonts w:ascii="Arial" w:hAnsi="Arial" w:cs="Arial"/>
        </w:rPr>
        <w:t>), while no</w:t>
      </w:r>
      <w:r w:rsidR="00DD5E01" w:rsidRPr="008A39AD">
        <w:rPr>
          <w:rFonts w:ascii="Arial" w:hAnsi="Arial" w:cs="Arial"/>
        </w:rPr>
        <w:t>t being</w:t>
      </w:r>
      <w:r w:rsidR="002F769A" w:rsidRPr="008A39AD">
        <w:rPr>
          <w:rFonts w:ascii="Arial" w:hAnsi="Arial" w:cs="Arial"/>
        </w:rPr>
        <w:t xml:space="preserve"> associat</w:t>
      </w:r>
      <w:r w:rsidR="00DD5E01" w:rsidRPr="008A39AD">
        <w:rPr>
          <w:rFonts w:ascii="Arial" w:hAnsi="Arial" w:cs="Arial"/>
        </w:rPr>
        <w:t>ed</w:t>
      </w:r>
      <w:r w:rsidR="002F769A" w:rsidRPr="008A39AD">
        <w:rPr>
          <w:rFonts w:ascii="Arial" w:hAnsi="Arial" w:cs="Arial"/>
        </w:rPr>
        <w:t xml:space="preserve"> with </w:t>
      </w:r>
      <w:r w:rsidR="00043585" w:rsidRPr="008A39AD">
        <w:rPr>
          <w:rFonts w:ascii="Arial" w:hAnsi="Arial" w:cs="Arial"/>
        </w:rPr>
        <w:t xml:space="preserve">HD </w:t>
      </w:r>
      <w:r w:rsidR="003D2CEE" w:rsidRPr="008A39AD">
        <w:rPr>
          <w:rFonts w:ascii="Arial" w:hAnsi="Arial" w:cs="Arial"/>
        </w:rPr>
        <w:t>transfer</w:t>
      </w:r>
      <w:r w:rsidR="002F769A" w:rsidRPr="008A39AD">
        <w:rPr>
          <w:rFonts w:ascii="Arial" w:hAnsi="Arial" w:cs="Arial"/>
        </w:rPr>
        <w:t>.</w:t>
      </w:r>
      <w:r w:rsidR="008C4E52" w:rsidRPr="008A39AD">
        <w:rPr>
          <w:rFonts w:ascii="Arial" w:hAnsi="Arial" w:cs="Arial"/>
        </w:rPr>
        <w:t xml:space="preserve"> Patients with BMI </w:t>
      </w:r>
      <w:r w:rsidR="00264F69" w:rsidRPr="008A39AD">
        <w:rPr>
          <w:rFonts w:ascii="Arial" w:hAnsi="Arial" w:cs="Arial"/>
        </w:rPr>
        <w:t xml:space="preserve">values </w:t>
      </w:r>
      <w:r w:rsidR="00A51EFF" w:rsidRPr="008A39AD">
        <w:rPr>
          <w:rFonts w:ascii="Arial" w:hAnsi="Arial" w:cs="Arial"/>
        </w:rPr>
        <w:t xml:space="preserve">less </w:t>
      </w:r>
      <w:r w:rsidR="008C4E52" w:rsidRPr="008A39AD">
        <w:rPr>
          <w:rFonts w:ascii="Arial" w:hAnsi="Arial" w:cs="Arial"/>
        </w:rPr>
        <w:t>than 20 kg/m</w:t>
      </w:r>
      <w:r w:rsidR="008C4E52" w:rsidRPr="008A39AD">
        <w:rPr>
          <w:rFonts w:ascii="Arial" w:hAnsi="Arial" w:cs="Arial"/>
          <w:vertAlign w:val="superscript"/>
        </w:rPr>
        <w:t>2</w:t>
      </w:r>
      <w:r w:rsidR="008C4E52" w:rsidRPr="008A39AD">
        <w:rPr>
          <w:rFonts w:ascii="Arial" w:hAnsi="Arial" w:cs="Arial"/>
        </w:rPr>
        <w:t xml:space="preserve"> ha</w:t>
      </w:r>
      <w:r w:rsidR="00DD5E01" w:rsidRPr="008A39AD">
        <w:rPr>
          <w:rFonts w:ascii="Arial" w:hAnsi="Arial" w:cs="Arial"/>
        </w:rPr>
        <w:t>d</w:t>
      </w:r>
      <w:r w:rsidR="008C4E52" w:rsidRPr="008A39AD">
        <w:rPr>
          <w:rFonts w:ascii="Arial" w:hAnsi="Arial" w:cs="Arial"/>
        </w:rPr>
        <w:t xml:space="preserve"> </w:t>
      </w:r>
      <w:r w:rsidR="00264F69" w:rsidRPr="008A39AD">
        <w:rPr>
          <w:rFonts w:ascii="Arial" w:hAnsi="Arial" w:cs="Arial"/>
        </w:rPr>
        <w:t xml:space="preserve">a </w:t>
      </w:r>
      <w:r w:rsidR="008C4E52" w:rsidRPr="008A39AD">
        <w:rPr>
          <w:rFonts w:ascii="Arial" w:hAnsi="Arial" w:cs="Arial"/>
        </w:rPr>
        <w:t>higher</w:t>
      </w:r>
      <w:r w:rsidR="00DD5E01" w:rsidRPr="008A39AD">
        <w:rPr>
          <w:rFonts w:ascii="Arial" w:hAnsi="Arial" w:cs="Arial"/>
        </w:rPr>
        <w:t xml:space="preserve"> mortality</w:t>
      </w:r>
      <w:r w:rsidR="008C4E52" w:rsidRPr="008A39AD">
        <w:rPr>
          <w:rFonts w:ascii="Arial" w:hAnsi="Arial" w:cs="Arial"/>
        </w:rPr>
        <w:t xml:space="preserve"> risk</w:t>
      </w:r>
      <w:r w:rsidR="00C20C95" w:rsidRPr="008A39AD">
        <w:rPr>
          <w:rFonts w:ascii="Arial" w:hAnsi="Arial" w:cs="Arial"/>
        </w:rPr>
        <w:t xml:space="preserve"> (</w:t>
      </w:r>
      <w:r w:rsidR="001A7CA6" w:rsidRPr="008A39AD">
        <w:rPr>
          <w:rFonts w:ascii="Arial" w:hAnsi="Arial" w:cs="Arial"/>
        </w:rPr>
        <w:t>1.38, 1.06-1.78</w:t>
      </w:r>
      <w:r w:rsidR="00C20C95" w:rsidRPr="008A39AD">
        <w:rPr>
          <w:rFonts w:ascii="Arial" w:hAnsi="Arial" w:cs="Arial"/>
        </w:rPr>
        <w:t>)</w:t>
      </w:r>
      <w:r w:rsidR="008C4E52" w:rsidRPr="008A39AD">
        <w:rPr>
          <w:rFonts w:ascii="Arial" w:hAnsi="Arial" w:cs="Arial"/>
        </w:rPr>
        <w:t xml:space="preserve">, while patients with BMI </w:t>
      </w:r>
      <w:r w:rsidR="00264F69" w:rsidRPr="008A39AD">
        <w:rPr>
          <w:rFonts w:ascii="Arial" w:hAnsi="Arial" w:cs="Arial"/>
        </w:rPr>
        <w:t xml:space="preserve">values </w:t>
      </w:r>
      <w:r w:rsidR="00A51EFF" w:rsidRPr="008A39AD">
        <w:rPr>
          <w:rFonts w:ascii="Arial" w:hAnsi="Arial" w:cs="Arial"/>
        </w:rPr>
        <w:t xml:space="preserve">greater </w:t>
      </w:r>
      <w:r w:rsidR="008C4E52" w:rsidRPr="008A39AD">
        <w:rPr>
          <w:rFonts w:ascii="Arial" w:hAnsi="Arial" w:cs="Arial"/>
        </w:rPr>
        <w:t>than 30 kg/m</w:t>
      </w:r>
      <w:r w:rsidR="008C4E52" w:rsidRPr="008A39AD">
        <w:rPr>
          <w:rFonts w:ascii="Arial" w:hAnsi="Arial" w:cs="Arial"/>
          <w:vertAlign w:val="superscript"/>
        </w:rPr>
        <w:t>2</w:t>
      </w:r>
      <w:r w:rsidR="008C4E52" w:rsidRPr="008A39AD">
        <w:rPr>
          <w:rFonts w:ascii="Arial" w:hAnsi="Arial" w:cs="Arial"/>
        </w:rPr>
        <w:t xml:space="preserve"> ha</w:t>
      </w:r>
      <w:r w:rsidR="00DD5E01" w:rsidRPr="008A39AD">
        <w:rPr>
          <w:rFonts w:ascii="Arial" w:hAnsi="Arial" w:cs="Arial"/>
        </w:rPr>
        <w:t>d</w:t>
      </w:r>
      <w:r w:rsidR="008C4E52" w:rsidRPr="008A39AD">
        <w:rPr>
          <w:rFonts w:ascii="Arial" w:hAnsi="Arial" w:cs="Arial"/>
        </w:rPr>
        <w:t xml:space="preserve"> </w:t>
      </w:r>
      <w:r w:rsidR="00264F69" w:rsidRPr="008A39AD">
        <w:rPr>
          <w:rFonts w:ascii="Arial" w:hAnsi="Arial" w:cs="Arial"/>
        </w:rPr>
        <w:t xml:space="preserve">a </w:t>
      </w:r>
      <w:r w:rsidR="008C4E52" w:rsidRPr="008A39AD">
        <w:rPr>
          <w:rFonts w:ascii="Arial" w:hAnsi="Arial" w:cs="Arial"/>
        </w:rPr>
        <w:t xml:space="preserve">higher risk </w:t>
      </w:r>
      <w:r w:rsidR="00264F69" w:rsidRPr="008A39AD">
        <w:rPr>
          <w:rFonts w:ascii="Arial" w:hAnsi="Arial" w:cs="Arial"/>
        </w:rPr>
        <w:t xml:space="preserve">of </w:t>
      </w:r>
      <w:r w:rsidR="00043585" w:rsidRPr="008A39AD">
        <w:rPr>
          <w:rFonts w:ascii="Arial" w:hAnsi="Arial" w:cs="Arial"/>
        </w:rPr>
        <w:t xml:space="preserve">HD </w:t>
      </w:r>
      <w:r w:rsidR="003D2CEE" w:rsidRPr="008A39AD">
        <w:rPr>
          <w:rFonts w:ascii="Arial" w:hAnsi="Arial" w:cs="Arial"/>
        </w:rPr>
        <w:t>transfer</w:t>
      </w:r>
      <w:r w:rsidR="00C20C95" w:rsidRPr="008A39AD">
        <w:rPr>
          <w:rFonts w:ascii="Arial" w:hAnsi="Arial" w:cs="Arial"/>
        </w:rPr>
        <w:t xml:space="preserve"> (</w:t>
      </w:r>
      <w:r w:rsidR="001A7CA6" w:rsidRPr="008A39AD">
        <w:rPr>
          <w:rFonts w:ascii="Arial" w:hAnsi="Arial" w:cs="Arial"/>
        </w:rPr>
        <w:t>1.28, 1.11-1.14</w:t>
      </w:r>
      <w:r w:rsidR="00C20C95" w:rsidRPr="008A39AD">
        <w:rPr>
          <w:rFonts w:ascii="Arial" w:hAnsi="Arial" w:cs="Arial"/>
        </w:rPr>
        <w:t>)</w:t>
      </w:r>
      <w:r w:rsidR="008C4E52" w:rsidRPr="008A39AD">
        <w:rPr>
          <w:rFonts w:ascii="Arial" w:hAnsi="Arial" w:cs="Arial"/>
        </w:rPr>
        <w:t xml:space="preserve">. </w:t>
      </w:r>
      <w:r w:rsidR="006F7CB4" w:rsidRPr="008A39AD">
        <w:rPr>
          <w:rFonts w:ascii="Arial" w:hAnsi="Arial" w:cs="Arial"/>
        </w:rPr>
        <w:t>B</w:t>
      </w:r>
      <w:r w:rsidR="008C4E52" w:rsidRPr="008A39AD">
        <w:rPr>
          <w:rFonts w:ascii="Arial" w:hAnsi="Arial" w:cs="Arial"/>
        </w:rPr>
        <w:t>lack race was associated with lower risk of death</w:t>
      </w:r>
      <w:r w:rsidR="00C20C95" w:rsidRPr="008A39AD">
        <w:rPr>
          <w:rFonts w:ascii="Arial" w:hAnsi="Arial" w:cs="Arial"/>
        </w:rPr>
        <w:t xml:space="preserve"> (</w:t>
      </w:r>
      <w:r w:rsidR="001A7CA6" w:rsidRPr="008A39AD">
        <w:rPr>
          <w:rFonts w:ascii="Arial" w:hAnsi="Arial" w:cs="Arial"/>
        </w:rPr>
        <w:t>0.75, 0.59-0.94</w:t>
      </w:r>
      <w:r w:rsidR="00C20C95" w:rsidRPr="008A39AD">
        <w:rPr>
          <w:rFonts w:ascii="Arial" w:hAnsi="Arial" w:cs="Arial"/>
        </w:rPr>
        <w:t>)</w:t>
      </w:r>
      <w:r w:rsidR="008C4E52" w:rsidRPr="008A39AD">
        <w:rPr>
          <w:rFonts w:ascii="Arial" w:hAnsi="Arial" w:cs="Arial"/>
        </w:rPr>
        <w:t xml:space="preserve">. </w:t>
      </w:r>
    </w:p>
    <w:p w14:paraId="1A0214C7" w14:textId="77777777" w:rsidR="008364A3" w:rsidRPr="008A39AD" w:rsidRDefault="008364A3" w:rsidP="00FD7C92">
      <w:pPr>
        <w:spacing w:line="480" w:lineRule="auto"/>
        <w:outlineLvl w:val="1"/>
        <w:rPr>
          <w:rFonts w:ascii="Arial" w:hAnsi="Arial" w:cs="Arial"/>
          <w:b/>
          <w:i/>
        </w:rPr>
      </w:pPr>
    </w:p>
    <w:p w14:paraId="237883E9" w14:textId="506DA93B" w:rsidR="00FD7C92" w:rsidRPr="008A39AD" w:rsidRDefault="00FD7C92" w:rsidP="00FD7C92">
      <w:pPr>
        <w:spacing w:line="480" w:lineRule="auto"/>
        <w:outlineLvl w:val="1"/>
        <w:rPr>
          <w:rFonts w:ascii="Arial" w:hAnsi="Arial" w:cs="Arial"/>
          <w:b/>
          <w:i/>
        </w:rPr>
      </w:pPr>
      <w:r w:rsidRPr="008A39AD">
        <w:rPr>
          <w:rFonts w:ascii="Arial" w:hAnsi="Arial" w:cs="Arial"/>
          <w:b/>
          <w:i/>
        </w:rPr>
        <w:t>Facility factors as predictors of clinical outcomes</w:t>
      </w:r>
    </w:p>
    <w:p w14:paraId="16B5E7FA" w14:textId="6F588505" w:rsidR="002F769A" w:rsidRPr="008A39AD" w:rsidRDefault="002F769A" w:rsidP="002F769A">
      <w:pPr>
        <w:spacing w:after="200" w:line="480" w:lineRule="auto"/>
        <w:rPr>
          <w:rFonts w:ascii="Arial" w:hAnsi="Arial" w:cs="Arial"/>
        </w:rPr>
      </w:pPr>
      <w:r w:rsidRPr="008A39AD">
        <w:rPr>
          <w:rFonts w:ascii="Arial" w:hAnsi="Arial" w:cs="Arial"/>
        </w:rPr>
        <w:t>Compare</w:t>
      </w:r>
      <w:r w:rsidR="001A71CB" w:rsidRPr="008A39AD">
        <w:rPr>
          <w:rFonts w:ascii="Arial" w:hAnsi="Arial" w:cs="Arial"/>
        </w:rPr>
        <w:t>d</w:t>
      </w:r>
      <w:r w:rsidRPr="008A39AD">
        <w:rPr>
          <w:rFonts w:ascii="Arial" w:hAnsi="Arial" w:cs="Arial"/>
        </w:rPr>
        <w:t xml:space="preserve"> to </w:t>
      </w:r>
      <w:r w:rsidR="001A71CB" w:rsidRPr="008A39AD">
        <w:rPr>
          <w:rFonts w:ascii="Arial" w:hAnsi="Arial" w:cs="Arial"/>
        </w:rPr>
        <w:t>medium-</w:t>
      </w:r>
      <w:r w:rsidRPr="008A39AD">
        <w:rPr>
          <w:rFonts w:ascii="Arial" w:hAnsi="Arial" w:cs="Arial"/>
        </w:rPr>
        <w:t>size facilities,</w:t>
      </w:r>
      <w:r w:rsidR="008C395B" w:rsidRPr="008A39AD">
        <w:rPr>
          <w:rFonts w:ascii="Arial" w:hAnsi="Arial" w:cs="Arial"/>
        </w:rPr>
        <w:t xml:space="preserve"> patients in</w:t>
      </w:r>
      <w:r w:rsidRPr="008A39AD">
        <w:rPr>
          <w:rFonts w:ascii="Arial" w:hAnsi="Arial" w:cs="Arial"/>
        </w:rPr>
        <w:t xml:space="preserve"> </w:t>
      </w:r>
      <w:r w:rsidR="008C395B" w:rsidRPr="008A39AD">
        <w:rPr>
          <w:rFonts w:ascii="Arial" w:hAnsi="Arial" w:cs="Arial"/>
        </w:rPr>
        <w:t xml:space="preserve">smaller facilities had </w:t>
      </w:r>
      <w:r w:rsidR="00DA6F37" w:rsidRPr="008A39AD">
        <w:rPr>
          <w:rFonts w:ascii="Arial" w:hAnsi="Arial" w:cs="Arial"/>
        </w:rPr>
        <w:t xml:space="preserve">lower risk of </w:t>
      </w:r>
      <w:r w:rsidR="008C395B" w:rsidRPr="008A39AD">
        <w:rPr>
          <w:rFonts w:ascii="Arial" w:hAnsi="Arial" w:cs="Arial"/>
        </w:rPr>
        <w:t>death (overall HR 0.8</w:t>
      </w:r>
      <w:r w:rsidR="00862115" w:rsidRPr="008A39AD">
        <w:rPr>
          <w:rFonts w:ascii="Arial" w:hAnsi="Arial" w:cs="Arial"/>
        </w:rPr>
        <w:t>1</w:t>
      </w:r>
      <w:r w:rsidR="008C395B" w:rsidRPr="008A39AD">
        <w:rPr>
          <w:rFonts w:ascii="Arial" w:hAnsi="Arial" w:cs="Arial"/>
        </w:rPr>
        <w:t>, 0.6</w:t>
      </w:r>
      <w:r w:rsidR="00862115" w:rsidRPr="008A39AD">
        <w:rPr>
          <w:rFonts w:ascii="Arial" w:hAnsi="Arial" w:cs="Arial"/>
        </w:rPr>
        <w:t>8</w:t>
      </w:r>
      <w:r w:rsidR="008C395B" w:rsidRPr="008A39AD">
        <w:rPr>
          <w:rFonts w:ascii="Arial" w:hAnsi="Arial" w:cs="Arial"/>
        </w:rPr>
        <w:t>-0.9</w:t>
      </w:r>
      <w:r w:rsidR="00862115" w:rsidRPr="008A39AD">
        <w:rPr>
          <w:rFonts w:ascii="Arial" w:hAnsi="Arial" w:cs="Arial"/>
        </w:rPr>
        <w:t>7</w:t>
      </w:r>
      <w:r w:rsidR="008C395B" w:rsidRPr="008A39AD">
        <w:rPr>
          <w:rFonts w:ascii="Arial" w:hAnsi="Arial" w:cs="Arial"/>
        </w:rPr>
        <w:t xml:space="preserve">, </w:t>
      </w:r>
      <w:r w:rsidR="009F1109" w:rsidRPr="008A39AD">
        <w:rPr>
          <w:rFonts w:ascii="Arial" w:hAnsi="Arial" w:cs="Arial"/>
        </w:rPr>
        <w:t xml:space="preserve">Figure 4B, </w:t>
      </w:r>
      <w:r w:rsidR="00654C69" w:rsidRPr="008A39AD">
        <w:rPr>
          <w:rFonts w:ascii="Arial" w:hAnsi="Arial" w:cs="Arial"/>
        </w:rPr>
        <w:t>Supplemental T</w:t>
      </w:r>
      <w:r w:rsidR="009F1109" w:rsidRPr="008A39AD">
        <w:rPr>
          <w:rFonts w:ascii="Arial" w:hAnsi="Arial" w:cs="Arial"/>
        </w:rPr>
        <w:t xml:space="preserve">able </w:t>
      </w:r>
      <w:r w:rsidR="00795CE9" w:rsidRPr="008A39AD">
        <w:rPr>
          <w:rFonts w:ascii="Arial" w:hAnsi="Arial" w:cs="Arial"/>
        </w:rPr>
        <w:t>4B</w:t>
      </w:r>
      <w:r w:rsidR="008C395B" w:rsidRPr="008A39AD">
        <w:rPr>
          <w:rFonts w:ascii="Arial" w:hAnsi="Arial" w:cs="Arial"/>
        </w:rPr>
        <w:t xml:space="preserve">), </w:t>
      </w:r>
      <w:r w:rsidR="008364A3" w:rsidRPr="008A39AD">
        <w:rPr>
          <w:rFonts w:ascii="Arial" w:hAnsi="Arial" w:cs="Arial"/>
        </w:rPr>
        <w:t xml:space="preserve">largely </w:t>
      </w:r>
      <w:r w:rsidR="008C395B" w:rsidRPr="008A39AD">
        <w:rPr>
          <w:rFonts w:ascii="Arial" w:hAnsi="Arial" w:cs="Arial"/>
        </w:rPr>
        <w:t>driven by low mortality risk in small facilities in Canada</w:t>
      </w:r>
      <w:r w:rsidR="00D96E13" w:rsidRPr="008A39AD">
        <w:rPr>
          <w:rFonts w:ascii="Arial" w:hAnsi="Arial" w:cs="Arial"/>
        </w:rPr>
        <w:t xml:space="preserve"> (Supplemental Table </w:t>
      </w:r>
      <w:r w:rsidR="00795CE9" w:rsidRPr="008A39AD">
        <w:rPr>
          <w:rFonts w:ascii="Arial" w:hAnsi="Arial" w:cs="Arial"/>
        </w:rPr>
        <w:t>5C</w:t>
      </w:r>
      <w:r w:rsidR="00D96E13" w:rsidRPr="008A39AD">
        <w:rPr>
          <w:rFonts w:ascii="Arial" w:hAnsi="Arial" w:cs="Arial"/>
        </w:rPr>
        <w:t>)</w:t>
      </w:r>
      <w:r w:rsidR="008C395B" w:rsidRPr="008A39AD">
        <w:rPr>
          <w:rFonts w:ascii="Arial" w:hAnsi="Arial" w:cs="Arial"/>
        </w:rPr>
        <w:t xml:space="preserve">. </w:t>
      </w:r>
      <w:r w:rsidR="005B7E2C" w:rsidRPr="008A39AD">
        <w:rPr>
          <w:rFonts w:ascii="Arial" w:hAnsi="Arial" w:cs="Arial"/>
        </w:rPr>
        <w:t xml:space="preserve">Overall, there </w:t>
      </w:r>
      <w:r w:rsidR="00C44CC0" w:rsidRPr="008A39AD">
        <w:rPr>
          <w:rFonts w:ascii="Arial" w:hAnsi="Arial" w:cs="Arial"/>
        </w:rPr>
        <w:t>wa</w:t>
      </w:r>
      <w:r w:rsidR="005B7E2C" w:rsidRPr="008A39AD">
        <w:rPr>
          <w:rFonts w:ascii="Arial" w:hAnsi="Arial" w:cs="Arial"/>
        </w:rPr>
        <w:t>s little association between facility size and</w:t>
      </w:r>
      <w:r w:rsidR="008C395B" w:rsidRPr="008A39AD">
        <w:rPr>
          <w:rFonts w:ascii="Arial" w:hAnsi="Arial" w:cs="Arial"/>
        </w:rPr>
        <w:t xml:space="preserve"> </w:t>
      </w:r>
      <w:r w:rsidR="00043585" w:rsidRPr="008A39AD">
        <w:rPr>
          <w:rFonts w:ascii="Arial" w:hAnsi="Arial" w:cs="Arial"/>
        </w:rPr>
        <w:t xml:space="preserve">HD </w:t>
      </w:r>
      <w:r w:rsidR="003D2CEE" w:rsidRPr="008A39AD">
        <w:rPr>
          <w:rFonts w:ascii="Arial" w:hAnsi="Arial" w:cs="Arial"/>
        </w:rPr>
        <w:t>transfer</w:t>
      </w:r>
      <w:r w:rsidR="005B7E2C" w:rsidRPr="008A39AD">
        <w:rPr>
          <w:rFonts w:ascii="Arial" w:hAnsi="Arial" w:cs="Arial"/>
        </w:rPr>
        <w:t xml:space="preserve">. Smaller facility size was associated with </w:t>
      </w:r>
      <w:r w:rsidR="006B0539" w:rsidRPr="008A39AD">
        <w:rPr>
          <w:rFonts w:ascii="Arial" w:hAnsi="Arial" w:cs="Arial"/>
        </w:rPr>
        <w:t>an adjusted hazard ratio</w:t>
      </w:r>
      <w:r w:rsidR="005B7E2C" w:rsidRPr="008A39AD">
        <w:rPr>
          <w:rFonts w:ascii="Arial" w:hAnsi="Arial" w:cs="Arial"/>
        </w:rPr>
        <w:t xml:space="preserve"> of </w:t>
      </w:r>
      <w:r w:rsidR="00043585" w:rsidRPr="008A39AD">
        <w:rPr>
          <w:rFonts w:ascii="Arial" w:hAnsi="Arial" w:cs="Arial"/>
        </w:rPr>
        <w:t xml:space="preserve">HD </w:t>
      </w:r>
      <w:r w:rsidR="003D2CEE" w:rsidRPr="008A39AD">
        <w:rPr>
          <w:rFonts w:ascii="Arial" w:hAnsi="Arial" w:cs="Arial"/>
        </w:rPr>
        <w:t>transfer</w:t>
      </w:r>
      <w:r w:rsidR="005B7E2C" w:rsidRPr="008A39AD">
        <w:rPr>
          <w:rFonts w:ascii="Arial" w:hAnsi="Arial" w:cs="Arial"/>
        </w:rPr>
        <w:t xml:space="preserve"> in </w:t>
      </w:r>
      <w:r w:rsidR="006B0539" w:rsidRPr="008A39AD">
        <w:rPr>
          <w:rFonts w:ascii="Arial" w:hAnsi="Arial" w:cs="Arial"/>
        </w:rPr>
        <w:t xml:space="preserve">the </w:t>
      </w:r>
      <w:r w:rsidR="005B7E2C" w:rsidRPr="008A39AD">
        <w:rPr>
          <w:rFonts w:ascii="Arial" w:hAnsi="Arial" w:cs="Arial"/>
        </w:rPr>
        <w:t>UK</w:t>
      </w:r>
      <w:r w:rsidR="00F91BE3" w:rsidRPr="008A39AD">
        <w:rPr>
          <w:rFonts w:ascii="Arial" w:hAnsi="Arial" w:cs="Arial"/>
        </w:rPr>
        <w:t xml:space="preserve"> of </w:t>
      </w:r>
      <w:r w:rsidR="005B7E2C" w:rsidRPr="008A39AD">
        <w:rPr>
          <w:rFonts w:ascii="Arial" w:hAnsi="Arial" w:cs="Arial"/>
        </w:rPr>
        <w:t>1.7</w:t>
      </w:r>
      <w:r w:rsidR="00862115" w:rsidRPr="008A39AD">
        <w:rPr>
          <w:rFonts w:ascii="Arial" w:hAnsi="Arial" w:cs="Arial"/>
        </w:rPr>
        <w:t>8</w:t>
      </w:r>
      <w:r w:rsidR="00F91BE3" w:rsidRPr="008A39AD">
        <w:rPr>
          <w:rFonts w:ascii="Arial" w:hAnsi="Arial" w:cs="Arial"/>
        </w:rPr>
        <w:t xml:space="preserve"> (</w:t>
      </w:r>
      <w:r w:rsidR="005B7E2C" w:rsidRPr="008A39AD">
        <w:rPr>
          <w:rFonts w:ascii="Arial" w:hAnsi="Arial" w:cs="Arial"/>
        </w:rPr>
        <w:t>0.9</w:t>
      </w:r>
      <w:r w:rsidR="00862115" w:rsidRPr="008A39AD">
        <w:rPr>
          <w:rFonts w:ascii="Arial" w:hAnsi="Arial" w:cs="Arial"/>
        </w:rPr>
        <w:t>4</w:t>
      </w:r>
      <w:r w:rsidR="005B7E2C" w:rsidRPr="008A39AD">
        <w:rPr>
          <w:rFonts w:ascii="Arial" w:hAnsi="Arial" w:cs="Arial"/>
        </w:rPr>
        <w:t>-3.3</w:t>
      </w:r>
      <w:r w:rsidR="00862115" w:rsidRPr="008A39AD">
        <w:rPr>
          <w:rFonts w:ascii="Arial" w:hAnsi="Arial" w:cs="Arial"/>
        </w:rPr>
        <w:t>8</w:t>
      </w:r>
      <w:r w:rsidR="005B7E2C" w:rsidRPr="008A39AD">
        <w:rPr>
          <w:rFonts w:ascii="Arial" w:hAnsi="Arial" w:cs="Arial"/>
        </w:rPr>
        <w:t>)</w:t>
      </w:r>
      <w:r w:rsidR="006B0539" w:rsidRPr="008A39AD">
        <w:rPr>
          <w:rFonts w:ascii="Arial" w:hAnsi="Arial" w:cs="Arial"/>
        </w:rPr>
        <w:t xml:space="preserve"> versus medium facility size</w:t>
      </w:r>
      <w:r w:rsidR="005B7E2C" w:rsidRPr="008A39AD">
        <w:rPr>
          <w:rFonts w:ascii="Arial" w:hAnsi="Arial" w:cs="Arial"/>
        </w:rPr>
        <w:t xml:space="preserve">, </w:t>
      </w:r>
      <w:r w:rsidR="00C106B5" w:rsidRPr="008A39AD">
        <w:rPr>
          <w:rFonts w:ascii="Arial" w:hAnsi="Arial" w:cs="Arial"/>
        </w:rPr>
        <w:t xml:space="preserve">but </w:t>
      </w:r>
      <w:r w:rsidR="00F91BE3" w:rsidRPr="008A39AD">
        <w:rPr>
          <w:rFonts w:ascii="Arial" w:hAnsi="Arial" w:cs="Arial"/>
        </w:rPr>
        <w:t>the adjusted hazard ratio for</w:t>
      </w:r>
      <w:r w:rsidR="00C106B5" w:rsidRPr="008A39AD">
        <w:rPr>
          <w:rFonts w:ascii="Arial" w:hAnsi="Arial" w:cs="Arial"/>
        </w:rPr>
        <w:t xml:space="preserve"> </w:t>
      </w:r>
      <w:r w:rsidR="00043585" w:rsidRPr="008A39AD">
        <w:rPr>
          <w:rFonts w:ascii="Arial" w:hAnsi="Arial" w:cs="Arial"/>
        </w:rPr>
        <w:t xml:space="preserve">HD </w:t>
      </w:r>
      <w:r w:rsidR="003D2CEE" w:rsidRPr="008A39AD">
        <w:rPr>
          <w:rFonts w:ascii="Arial" w:hAnsi="Arial" w:cs="Arial"/>
        </w:rPr>
        <w:t>transfer</w:t>
      </w:r>
      <w:r w:rsidR="00C106B5" w:rsidRPr="008A39AD">
        <w:rPr>
          <w:rFonts w:ascii="Arial" w:hAnsi="Arial" w:cs="Arial"/>
        </w:rPr>
        <w:t xml:space="preserve"> </w:t>
      </w:r>
      <w:r w:rsidR="005B7E2C" w:rsidRPr="008A39AD">
        <w:rPr>
          <w:rFonts w:ascii="Arial" w:hAnsi="Arial" w:cs="Arial"/>
        </w:rPr>
        <w:t>in the US</w:t>
      </w:r>
      <w:r w:rsidR="00AC6FD1" w:rsidRPr="008A39AD">
        <w:rPr>
          <w:rFonts w:ascii="Arial" w:hAnsi="Arial" w:cs="Arial"/>
        </w:rPr>
        <w:t xml:space="preserve"> </w:t>
      </w:r>
      <w:r w:rsidR="00F91BE3" w:rsidRPr="008A39AD">
        <w:rPr>
          <w:rFonts w:ascii="Arial" w:hAnsi="Arial" w:cs="Arial"/>
        </w:rPr>
        <w:t xml:space="preserve">was </w:t>
      </w:r>
      <w:r w:rsidR="005B7E2C" w:rsidRPr="008A39AD">
        <w:rPr>
          <w:rFonts w:ascii="Arial" w:hAnsi="Arial" w:cs="Arial"/>
        </w:rPr>
        <w:t>0.8</w:t>
      </w:r>
      <w:r w:rsidR="00DA6F37" w:rsidRPr="008A39AD">
        <w:rPr>
          <w:rFonts w:ascii="Arial" w:hAnsi="Arial" w:cs="Arial"/>
        </w:rPr>
        <w:t>1</w:t>
      </w:r>
      <w:r w:rsidR="00F91BE3" w:rsidRPr="008A39AD">
        <w:rPr>
          <w:rFonts w:ascii="Arial" w:hAnsi="Arial" w:cs="Arial"/>
        </w:rPr>
        <w:t xml:space="preserve"> (</w:t>
      </w:r>
      <w:r w:rsidR="005B7E2C" w:rsidRPr="008A39AD">
        <w:rPr>
          <w:rFonts w:ascii="Arial" w:hAnsi="Arial" w:cs="Arial"/>
        </w:rPr>
        <w:t>0.6</w:t>
      </w:r>
      <w:r w:rsidR="00862115" w:rsidRPr="008A39AD">
        <w:rPr>
          <w:rFonts w:ascii="Arial" w:hAnsi="Arial" w:cs="Arial"/>
        </w:rPr>
        <w:t>6</w:t>
      </w:r>
      <w:r w:rsidR="005B7E2C" w:rsidRPr="008A39AD">
        <w:rPr>
          <w:rFonts w:ascii="Arial" w:hAnsi="Arial" w:cs="Arial"/>
        </w:rPr>
        <w:t>-</w:t>
      </w:r>
      <w:r w:rsidR="00D96E13" w:rsidRPr="008A39AD">
        <w:rPr>
          <w:rFonts w:ascii="Arial" w:hAnsi="Arial" w:cs="Arial"/>
        </w:rPr>
        <w:t>1.0</w:t>
      </w:r>
      <w:r w:rsidR="00DA6F37" w:rsidRPr="008A39AD">
        <w:rPr>
          <w:rFonts w:ascii="Arial" w:hAnsi="Arial" w:cs="Arial"/>
        </w:rPr>
        <w:t>1</w:t>
      </w:r>
      <w:r w:rsidR="005B7E2C" w:rsidRPr="008A39AD">
        <w:rPr>
          <w:rFonts w:ascii="Arial" w:hAnsi="Arial" w:cs="Arial"/>
        </w:rPr>
        <w:t>)</w:t>
      </w:r>
      <w:r w:rsidR="00214801" w:rsidRPr="008A39AD">
        <w:rPr>
          <w:rFonts w:ascii="Arial" w:hAnsi="Arial" w:cs="Arial"/>
        </w:rPr>
        <w:t xml:space="preserve"> </w:t>
      </w:r>
      <w:r w:rsidR="00D96E13" w:rsidRPr="008A39AD">
        <w:rPr>
          <w:rFonts w:ascii="Arial" w:hAnsi="Arial" w:cs="Arial"/>
        </w:rPr>
        <w:t xml:space="preserve">(Supplemental Table </w:t>
      </w:r>
      <w:r w:rsidR="00795CE9" w:rsidRPr="008A39AD">
        <w:rPr>
          <w:rFonts w:ascii="Arial" w:hAnsi="Arial" w:cs="Arial"/>
        </w:rPr>
        <w:t>5B</w:t>
      </w:r>
      <w:r w:rsidR="00D96E13" w:rsidRPr="008A39AD">
        <w:rPr>
          <w:rFonts w:ascii="Arial" w:hAnsi="Arial" w:cs="Arial"/>
        </w:rPr>
        <w:t>)</w:t>
      </w:r>
      <w:r w:rsidR="005B7E2C" w:rsidRPr="008A39AD">
        <w:rPr>
          <w:rFonts w:ascii="Arial" w:hAnsi="Arial" w:cs="Arial"/>
        </w:rPr>
        <w:t xml:space="preserve">. </w:t>
      </w:r>
    </w:p>
    <w:p w14:paraId="4532AA29" w14:textId="497FCFD5" w:rsidR="00DF0800" w:rsidRPr="008A39AD" w:rsidRDefault="0051296D" w:rsidP="0054676E">
      <w:pPr>
        <w:spacing w:after="200" w:line="480" w:lineRule="auto"/>
        <w:rPr>
          <w:rFonts w:ascii="Arial" w:hAnsi="Arial" w:cs="Arial"/>
        </w:rPr>
      </w:pPr>
      <w:r w:rsidRPr="008A39AD">
        <w:rPr>
          <w:rFonts w:ascii="Arial" w:hAnsi="Arial" w:cs="Arial"/>
        </w:rPr>
        <w:t>P</w:t>
      </w:r>
      <w:r w:rsidR="0054676E" w:rsidRPr="008A39AD">
        <w:rPr>
          <w:rFonts w:ascii="Arial" w:hAnsi="Arial" w:cs="Arial"/>
        </w:rPr>
        <w:t xml:space="preserve">atients in facilities with routine multidisciplinary review had </w:t>
      </w:r>
      <w:r w:rsidR="00C44CC0" w:rsidRPr="008A39AD">
        <w:rPr>
          <w:rFonts w:ascii="Arial" w:hAnsi="Arial" w:cs="Arial"/>
        </w:rPr>
        <w:t xml:space="preserve">a </w:t>
      </w:r>
      <w:r w:rsidR="0054676E" w:rsidRPr="008A39AD">
        <w:rPr>
          <w:rFonts w:ascii="Arial" w:hAnsi="Arial" w:cs="Arial"/>
        </w:rPr>
        <w:t xml:space="preserve">hazard ratio for </w:t>
      </w:r>
      <w:r w:rsidR="001A71CB" w:rsidRPr="008A39AD">
        <w:rPr>
          <w:rFonts w:ascii="Arial" w:hAnsi="Arial" w:cs="Arial"/>
        </w:rPr>
        <w:t xml:space="preserve">the combined outcome of </w:t>
      </w:r>
      <w:r w:rsidR="0054676E" w:rsidRPr="008A39AD">
        <w:rPr>
          <w:rFonts w:ascii="Arial" w:hAnsi="Arial" w:cs="Arial"/>
        </w:rPr>
        <w:t>death</w:t>
      </w:r>
      <w:r w:rsidR="00261D24" w:rsidRPr="008A39AD">
        <w:rPr>
          <w:rFonts w:ascii="Arial" w:hAnsi="Arial" w:cs="Arial"/>
        </w:rPr>
        <w:t xml:space="preserve"> or </w:t>
      </w:r>
      <w:r w:rsidR="00043585" w:rsidRPr="008A39AD">
        <w:rPr>
          <w:rFonts w:ascii="Arial" w:hAnsi="Arial" w:cs="Arial"/>
        </w:rPr>
        <w:t xml:space="preserve">HD </w:t>
      </w:r>
      <w:r w:rsidR="003D2CEE" w:rsidRPr="008A39AD">
        <w:rPr>
          <w:rFonts w:ascii="Arial" w:hAnsi="Arial" w:cs="Arial"/>
        </w:rPr>
        <w:t>transfer</w:t>
      </w:r>
      <w:r w:rsidR="00DA6F37" w:rsidRPr="008A39AD">
        <w:rPr>
          <w:rFonts w:ascii="Arial" w:hAnsi="Arial" w:cs="Arial"/>
        </w:rPr>
        <w:t xml:space="preserve"> </w:t>
      </w:r>
      <w:r w:rsidR="00C106B5" w:rsidRPr="008A39AD">
        <w:rPr>
          <w:rFonts w:ascii="Arial" w:hAnsi="Arial" w:cs="Arial"/>
        </w:rPr>
        <w:t xml:space="preserve">of </w:t>
      </w:r>
      <w:r w:rsidR="00562328" w:rsidRPr="008A39AD">
        <w:rPr>
          <w:rFonts w:ascii="Arial" w:hAnsi="Arial" w:cs="Arial"/>
        </w:rPr>
        <w:t>0.</w:t>
      </w:r>
      <w:r w:rsidR="00911562" w:rsidRPr="008A39AD">
        <w:rPr>
          <w:rFonts w:ascii="Arial" w:hAnsi="Arial" w:cs="Arial"/>
        </w:rPr>
        <w:t>9</w:t>
      </w:r>
      <w:r w:rsidR="00862115" w:rsidRPr="008A39AD">
        <w:rPr>
          <w:rFonts w:ascii="Arial" w:hAnsi="Arial" w:cs="Arial"/>
        </w:rPr>
        <w:t>2</w:t>
      </w:r>
      <w:r w:rsidR="00562328" w:rsidRPr="008A39AD">
        <w:rPr>
          <w:rFonts w:ascii="Arial" w:hAnsi="Arial" w:cs="Arial"/>
        </w:rPr>
        <w:t xml:space="preserve"> </w:t>
      </w:r>
      <w:r w:rsidR="00C106B5" w:rsidRPr="008A39AD">
        <w:rPr>
          <w:rFonts w:ascii="Arial" w:hAnsi="Arial" w:cs="Arial"/>
        </w:rPr>
        <w:t>(</w:t>
      </w:r>
      <w:r w:rsidR="00562328" w:rsidRPr="008A39AD">
        <w:rPr>
          <w:rFonts w:ascii="Arial" w:hAnsi="Arial" w:cs="Arial"/>
        </w:rPr>
        <w:t>0.</w:t>
      </w:r>
      <w:r w:rsidR="00261D24" w:rsidRPr="008A39AD">
        <w:rPr>
          <w:rFonts w:ascii="Arial" w:hAnsi="Arial" w:cs="Arial"/>
        </w:rPr>
        <w:t>8</w:t>
      </w:r>
      <w:r w:rsidR="00862115" w:rsidRPr="008A39AD">
        <w:rPr>
          <w:rFonts w:ascii="Arial" w:hAnsi="Arial" w:cs="Arial"/>
        </w:rPr>
        <w:t>3</w:t>
      </w:r>
      <w:r w:rsidR="00562328" w:rsidRPr="008A39AD">
        <w:rPr>
          <w:rFonts w:ascii="Arial" w:hAnsi="Arial" w:cs="Arial"/>
        </w:rPr>
        <w:t>-</w:t>
      </w:r>
      <w:r w:rsidR="00911562" w:rsidRPr="008A39AD">
        <w:rPr>
          <w:rFonts w:ascii="Arial" w:hAnsi="Arial" w:cs="Arial"/>
        </w:rPr>
        <w:t>1.0</w:t>
      </w:r>
      <w:r w:rsidR="00862115" w:rsidRPr="008A39AD">
        <w:rPr>
          <w:rFonts w:ascii="Arial" w:hAnsi="Arial" w:cs="Arial"/>
        </w:rPr>
        <w:t>3</w:t>
      </w:r>
      <w:r w:rsidR="00562328" w:rsidRPr="008A39AD">
        <w:rPr>
          <w:rFonts w:ascii="Arial" w:hAnsi="Arial" w:cs="Arial"/>
        </w:rPr>
        <w:t>)</w:t>
      </w:r>
      <w:r w:rsidR="0054676E" w:rsidRPr="008A39AD">
        <w:rPr>
          <w:rFonts w:ascii="Arial" w:hAnsi="Arial" w:cs="Arial"/>
        </w:rPr>
        <w:t xml:space="preserve">, and for </w:t>
      </w:r>
      <w:r w:rsidR="00043585" w:rsidRPr="008A39AD">
        <w:rPr>
          <w:rFonts w:ascii="Arial" w:hAnsi="Arial" w:cs="Arial"/>
        </w:rPr>
        <w:t xml:space="preserve">HD </w:t>
      </w:r>
      <w:r w:rsidR="003D2CEE" w:rsidRPr="008A39AD">
        <w:rPr>
          <w:rFonts w:ascii="Arial" w:hAnsi="Arial" w:cs="Arial"/>
        </w:rPr>
        <w:t>transfer</w:t>
      </w:r>
      <w:r w:rsidR="00261D24" w:rsidRPr="008A39AD">
        <w:rPr>
          <w:rFonts w:ascii="Arial" w:hAnsi="Arial" w:cs="Arial"/>
        </w:rPr>
        <w:t xml:space="preserve"> alone</w:t>
      </w:r>
      <w:r w:rsidR="00562328" w:rsidRPr="008A39AD">
        <w:rPr>
          <w:rFonts w:ascii="Arial" w:hAnsi="Arial" w:cs="Arial"/>
        </w:rPr>
        <w:t xml:space="preserve"> </w:t>
      </w:r>
      <w:r w:rsidR="00C106B5" w:rsidRPr="008A39AD">
        <w:rPr>
          <w:rFonts w:ascii="Arial" w:hAnsi="Arial" w:cs="Arial"/>
        </w:rPr>
        <w:t xml:space="preserve">of </w:t>
      </w:r>
      <w:r w:rsidR="00562328" w:rsidRPr="008A39AD">
        <w:rPr>
          <w:rFonts w:ascii="Arial" w:hAnsi="Arial" w:cs="Arial"/>
        </w:rPr>
        <w:t>0.</w:t>
      </w:r>
      <w:r w:rsidR="00261D24" w:rsidRPr="008A39AD">
        <w:rPr>
          <w:rFonts w:ascii="Arial" w:hAnsi="Arial" w:cs="Arial"/>
        </w:rPr>
        <w:t>8</w:t>
      </w:r>
      <w:r w:rsidR="00862115" w:rsidRPr="008A39AD">
        <w:rPr>
          <w:rFonts w:ascii="Arial" w:hAnsi="Arial" w:cs="Arial"/>
        </w:rPr>
        <w:t>8</w:t>
      </w:r>
      <w:r w:rsidR="00FB2DA7" w:rsidRPr="008A39AD">
        <w:rPr>
          <w:rFonts w:ascii="Arial" w:hAnsi="Arial" w:cs="Arial"/>
        </w:rPr>
        <w:t xml:space="preserve"> </w:t>
      </w:r>
      <w:r w:rsidR="00C106B5" w:rsidRPr="008A39AD">
        <w:rPr>
          <w:rFonts w:ascii="Arial" w:hAnsi="Arial" w:cs="Arial"/>
        </w:rPr>
        <w:t>(</w:t>
      </w:r>
      <w:r w:rsidR="00562328" w:rsidRPr="008A39AD">
        <w:rPr>
          <w:rFonts w:ascii="Arial" w:hAnsi="Arial" w:cs="Arial"/>
        </w:rPr>
        <w:t>0.</w:t>
      </w:r>
      <w:r w:rsidR="00911562" w:rsidRPr="008A39AD">
        <w:rPr>
          <w:rFonts w:ascii="Arial" w:hAnsi="Arial" w:cs="Arial"/>
        </w:rPr>
        <w:t>7</w:t>
      </w:r>
      <w:r w:rsidR="00862115" w:rsidRPr="008A39AD">
        <w:rPr>
          <w:rFonts w:ascii="Arial" w:hAnsi="Arial" w:cs="Arial"/>
        </w:rPr>
        <w:t>7</w:t>
      </w:r>
      <w:r w:rsidR="00562328" w:rsidRPr="008A39AD">
        <w:rPr>
          <w:rFonts w:ascii="Arial" w:hAnsi="Arial" w:cs="Arial"/>
        </w:rPr>
        <w:t>-</w:t>
      </w:r>
      <w:r w:rsidR="00862115" w:rsidRPr="008A39AD">
        <w:rPr>
          <w:rFonts w:ascii="Arial" w:hAnsi="Arial" w:cs="Arial"/>
        </w:rPr>
        <w:t>1.01</w:t>
      </w:r>
      <w:r w:rsidR="00562328" w:rsidRPr="008A39AD">
        <w:rPr>
          <w:rFonts w:ascii="Arial" w:hAnsi="Arial" w:cs="Arial"/>
        </w:rPr>
        <w:t>)</w:t>
      </w:r>
      <w:r w:rsidR="0054676E" w:rsidRPr="008A39AD">
        <w:rPr>
          <w:rFonts w:ascii="Arial" w:hAnsi="Arial" w:cs="Arial"/>
        </w:rPr>
        <w:t xml:space="preserve"> (</w:t>
      </w:r>
      <w:r w:rsidR="009F1109" w:rsidRPr="008A39AD">
        <w:rPr>
          <w:rFonts w:ascii="Arial" w:hAnsi="Arial" w:cs="Arial"/>
        </w:rPr>
        <w:t xml:space="preserve">Figure 4B, </w:t>
      </w:r>
      <w:r w:rsidR="00654C69" w:rsidRPr="008A39AD">
        <w:rPr>
          <w:rFonts w:ascii="Arial" w:hAnsi="Arial" w:cs="Arial"/>
        </w:rPr>
        <w:t>S</w:t>
      </w:r>
      <w:r w:rsidR="009F1109" w:rsidRPr="008A39AD">
        <w:rPr>
          <w:rFonts w:ascii="Arial" w:hAnsi="Arial" w:cs="Arial"/>
        </w:rPr>
        <w:t xml:space="preserve">upplemental </w:t>
      </w:r>
      <w:r w:rsidR="00654C69" w:rsidRPr="008A39AD">
        <w:rPr>
          <w:rFonts w:ascii="Arial" w:hAnsi="Arial" w:cs="Arial"/>
        </w:rPr>
        <w:t>T</w:t>
      </w:r>
      <w:r w:rsidR="009F1109" w:rsidRPr="008A39AD">
        <w:rPr>
          <w:rFonts w:ascii="Arial" w:hAnsi="Arial" w:cs="Arial"/>
        </w:rPr>
        <w:t xml:space="preserve">able </w:t>
      </w:r>
      <w:r w:rsidR="00795CE9" w:rsidRPr="008A39AD">
        <w:rPr>
          <w:rFonts w:ascii="Arial" w:hAnsi="Arial" w:cs="Arial"/>
        </w:rPr>
        <w:t>4B</w:t>
      </w:r>
      <w:r w:rsidR="0054676E" w:rsidRPr="008A39AD">
        <w:rPr>
          <w:rFonts w:ascii="Arial" w:hAnsi="Arial" w:cs="Arial"/>
        </w:rPr>
        <w:t xml:space="preserve">). </w:t>
      </w:r>
      <w:r w:rsidR="007F4F50" w:rsidRPr="008A39AD">
        <w:rPr>
          <w:rFonts w:ascii="Arial" w:hAnsi="Arial" w:cs="Arial"/>
        </w:rPr>
        <w:t>Facilities</w:t>
      </w:r>
      <w:r w:rsidR="00261D24" w:rsidRPr="008A39AD">
        <w:rPr>
          <w:rFonts w:ascii="Arial" w:hAnsi="Arial" w:cs="Arial"/>
        </w:rPr>
        <w:t xml:space="preserve"> using any 3.86% PD solution </w:t>
      </w:r>
      <w:r w:rsidR="007F4F50" w:rsidRPr="008A39AD">
        <w:rPr>
          <w:rFonts w:ascii="Arial" w:hAnsi="Arial" w:cs="Arial"/>
        </w:rPr>
        <w:t xml:space="preserve">in more than </w:t>
      </w:r>
      <w:r w:rsidR="007F4F50" w:rsidRPr="008A39AD">
        <w:rPr>
          <w:rFonts w:ascii="Arial" w:hAnsi="Arial" w:cs="Arial"/>
        </w:rPr>
        <w:lastRenderedPageBreak/>
        <w:t xml:space="preserve">20% of their patients </w:t>
      </w:r>
      <w:r w:rsidR="00362259" w:rsidRPr="008A39AD">
        <w:rPr>
          <w:rFonts w:ascii="Arial" w:hAnsi="Arial" w:cs="Arial"/>
        </w:rPr>
        <w:t xml:space="preserve">had </w:t>
      </w:r>
      <w:r w:rsidR="00C106B5" w:rsidRPr="008A39AD">
        <w:rPr>
          <w:rFonts w:ascii="Arial" w:hAnsi="Arial" w:cs="Arial"/>
        </w:rPr>
        <w:t>a HR</w:t>
      </w:r>
      <w:r w:rsidR="00261D24" w:rsidRPr="008A39AD">
        <w:rPr>
          <w:rFonts w:ascii="Arial" w:hAnsi="Arial" w:cs="Arial"/>
        </w:rPr>
        <w:t xml:space="preserve"> of mortality </w:t>
      </w:r>
      <w:r w:rsidR="00C106B5" w:rsidRPr="008A39AD">
        <w:rPr>
          <w:rFonts w:ascii="Arial" w:hAnsi="Arial" w:cs="Arial"/>
        </w:rPr>
        <w:t xml:space="preserve">of </w:t>
      </w:r>
      <w:r w:rsidR="00261D24" w:rsidRPr="008A39AD">
        <w:rPr>
          <w:rFonts w:ascii="Arial" w:hAnsi="Arial" w:cs="Arial"/>
        </w:rPr>
        <w:t>1.</w:t>
      </w:r>
      <w:r w:rsidR="007F4F50" w:rsidRPr="008A39AD">
        <w:rPr>
          <w:rFonts w:ascii="Arial" w:hAnsi="Arial" w:cs="Arial"/>
        </w:rPr>
        <w:t>2</w:t>
      </w:r>
      <w:r w:rsidR="00862115" w:rsidRPr="008A39AD">
        <w:rPr>
          <w:rFonts w:ascii="Arial" w:hAnsi="Arial" w:cs="Arial"/>
        </w:rPr>
        <w:t>4</w:t>
      </w:r>
      <w:r w:rsidR="00C106B5" w:rsidRPr="008A39AD">
        <w:rPr>
          <w:rFonts w:ascii="Arial" w:hAnsi="Arial" w:cs="Arial"/>
        </w:rPr>
        <w:t xml:space="preserve"> (</w:t>
      </w:r>
      <w:r w:rsidR="007F4F50" w:rsidRPr="008A39AD">
        <w:rPr>
          <w:rFonts w:ascii="Arial" w:hAnsi="Arial" w:cs="Arial"/>
        </w:rPr>
        <w:t>0.9</w:t>
      </w:r>
      <w:r w:rsidR="00862115" w:rsidRPr="008A39AD">
        <w:rPr>
          <w:rFonts w:ascii="Arial" w:hAnsi="Arial" w:cs="Arial"/>
        </w:rPr>
        <w:t>3</w:t>
      </w:r>
      <w:r w:rsidR="00261D24" w:rsidRPr="008A39AD">
        <w:rPr>
          <w:rFonts w:ascii="Arial" w:hAnsi="Arial" w:cs="Arial"/>
        </w:rPr>
        <w:t>-</w:t>
      </w:r>
      <w:r w:rsidR="007F4F50" w:rsidRPr="008A39AD">
        <w:rPr>
          <w:rFonts w:ascii="Arial" w:hAnsi="Arial" w:cs="Arial"/>
        </w:rPr>
        <w:t>1.6</w:t>
      </w:r>
      <w:r w:rsidR="00862115" w:rsidRPr="008A39AD">
        <w:rPr>
          <w:rFonts w:ascii="Arial" w:hAnsi="Arial" w:cs="Arial"/>
        </w:rPr>
        <w:t>5</w:t>
      </w:r>
      <w:r w:rsidR="00261D24" w:rsidRPr="008A39AD">
        <w:rPr>
          <w:rFonts w:ascii="Arial" w:hAnsi="Arial" w:cs="Arial"/>
        </w:rPr>
        <w:t xml:space="preserve">). </w:t>
      </w:r>
      <w:r w:rsidR="00A31E18" w:rsidRPr="008A39AD">
        <w:rPr>
          <w:rFonts w:ascii="Arial" w:hAnsi="Arial" w:cs="Arial"/>
        </w:rPr>
        <w:t xml:space="preserve">We found no relationship between the proportion of patients at a facility achieving a total Kt/V of 1.7 or higher on the risk of death or </w:t>
      </w:r>
      <w:r w:rsidR="00043585" w:rsidRPr="008A39AD">
        <w:rPr>
          <w:rFonts w:ascii="Arial" w:hAnsi="Arial" w:cs="Arial"/>
        </w:rPr>
        <w:t xml:space="preserve">HD </w:t>
      </w:r>
      <w:r w:rsidR="003D2CEE" w:rsidRPr="008A39AD">
        <w:rPr>
          <w:rFonts w:ascii="Arial" w:hAnsi="Arial" w:cs="Arial"/>
        </w:rPr>
        <w:t>transfer</w:t>
      </w:r>
      <w:r w:rsidR="00A31E18" w:rsidRPr="008A39AD">
        <w:rPr>
          <w:rFonts w:ascii="Arial" w:hAnsi="Arial" w:cs="Arial"/>
        </w:rPr>
        <w:t xml:space="preserve">. </w:t>
      </w:r>
      <w:r w:rsidR="0054676E" w:rsidRPr="008A39AD">
        <w:rPr>
          <w:rFonts w:ascii="Arial" w:hAnsi="Arial" w:cs="Arial"/>
        </w:rPr>
        <w:t>We did not observe strong association</w:t>
      </w:r>
      <w:r w:rsidR="00DA6F37" w:rsidRPr="008A39AD">
        <w:rPr>
          <w:rFonts w:ascii="Arial" w:hAnsi="Arial" w:cs="Arial"/>
        </w:rPr>
        <w:t>s</w:t>
      </w:r>
      <w:r w:rsidR="0054676E" w:rsidRPr="008A39AD">
        <w:rPr>
          <w:rFonts w:ascii="Arial" w:hAnsi="Arial" w:cs="Arial"/>
        </w:rPr>
        <w:t xml:space="preserve"> between other facility factors </w:t>
      </w:r>
      <w:r w:rsidR="00264F69" w:rsidRPr="008A39AD">
        <w:rPr>
          <w:rFonts w:ascii="Arial" w:hAnsi="Arial" w:cs="Arial"/>
        </w:rPr>
        <w:t xml:space="preserve">and </w:t>
      </w:r>
      <w:r w:rsidR="0054676E" w:rsidRPr="008A39AD">
        <w:rPr>
          <w:rFonts w:ascii="Arial" w:hAnsi="Arial" w:cs="Arial"/>
        </w:rPr>
        <w:t>clinical outcomes.</w:t>
      </w:r>
      <w:r w:rsidR="002E4AC2" w:rsidRPr="008A39AD">
        <w:rPr>
          <w:rFonts w:ascii="Arial" w:hAnsi="Arial" w:cs="Arial"/>
        </w:rPr>
        <w:t xml:space="preserve"> </w:t>
      </w:r>
    </w:p>
    <w:p w14:paraId="40CAEC60" w14:textId="7CF2B91B" w:rsidR="00DF0800" w:rsidRPr="008A39AD" w:rsidRDefault="00DF0800" w:rsidP="0054676E">
      <w:pPr>
        <w:spacing w:after="200" w:line="480" w:lineRule="auto"/>
        <w:rPr>
          <w:rFonts w:ascii="Arial" w:hAnsi="Arial" w:cs="Arial"/>
          <w:b/>
        </w:rPr>
      </w:pPr>
      <w:r w:rsidRPr="008A39AD">
        <w:rPr>
          <w:rFonts w:ascii="Arial" w:hAnsi="Arial" w:cs="Arial"/>
          <w:b/>
        </w:rPr>
        <w:t>Discussion</w:t>
      </w:r>
    </w:p>
    <w:p w14:paraId="3B17DD19" w14:textId="6417FD90" w:rsidR="00DE295F" w:rsidRPr="008A39AD" w:rsidRDefault="008364A3" w:rsidP="00EA5AB8">
      <w:pPr>
        <w:spacing w:after="200" w:line="480" w:lineRule="auto"/>
        <w:rPr>
          <w:rFonts w:ascii="Arial" w:hAnsi="Arial" w:cs="Arial"/>
        </w:rPr>
      </w:pPr>
      <w:r w:rsidRPr="008A39AD">
        <w:rPr>
          <w:rFonts w:ascii="Arial" w:hAnsi="Arial" w:cs="Arial"/>
        </w:rPr>
        <w:t>In</w:t>
      </w:r>
      <w:r w:rsidR="00705F9F" w:rsidRPr="008A39AD">
        <w:rPr>
          <w:rFonts w:ascii="Arial" w:hAnsi="Arial" w:cs="Arial"/>
        </w:rPr>
        <w:t xml:space="preserve"> the first</w:t>
      </w:r>
      <w:r w:rsidR="002E07EC" w:rsidRPr="008A39AD">
        <w:rPr>
          <w:rFonts w:ascii="Arial" w:hAnsi="Arial" w:cs="Arial"/>
        </w:rPr>
        <w:t xml:space="preserve"> large</w:t>
      </w:r>
      <w:r w:rsidR="00805AB5" w:rsidRPr="008A39AD">
        <w:rPr>
          <w:rFonts w:ascii="Arial" w:hAnsi="Arial" w:cs="Arial"/>
        </w:rPr>
        <w:t>-</w:t>
      </w:r>
      <w:r w:rsidR="002E07EC" w:rsidRPr="008A39AD">
        <w:rPr>
          <w:rFonts w:ascii="Arial" w:hAnsi="Arial" w:cs="Arial"/>
        </w:rPr>
        <w:t xml:space="preserve">scale comparison of </w:t>
      </w:r>
      <w:r w:rsidR="00840BEF" w:rsidRPr="008A39AD">
        <w:rPr>
          <w:rFonts w:ascii="Arial" w:hAnsi="Arial" w:cs="Arial"/>
        </w:rPr>
        <w:t xml:space="preserve">key clinical </w:t>
      </w:r>
      <w:r w:rsidR="002E07EC" w:rsidRPr="008A39AD">
        <w:rPr>
          <w:rFonts w:ascii="Arial" w:hAnsi="Arial" w:cs="Arial"/>
        </w:rPr>
        <w:t xml:space="preserve">outcomes for patients </w:t>
      </w:r>
      <w:r w:rsidR="001A2688" w:rsidRPr="008A39AD">
        <w:rPr>
          <w:rFonts w:ascii="Arial" w:hAnsi="Arial" w:cs="Arial"/>
        </w:rPr>
        <w:t xml:space="preserve">on PD </w:t>
      </w:r>
      <w:r w:rsidR="00705F9F" w:rsidRPr="008A39AD">
        <w:rPr>
          <w:rFonts w:ascii="Arial" w:hAnsi="Arial" w:cs="Arial"/>
        </w:rPr>
        <w:t>across</w:t>
      </w:r>
      <w:r w:rsidR="002E07EC" w:rsidRPr="008A39AD">
        <w:rPr>
          <w:rFonts w:ascii="Arial" w:hAnsi="Arial" w:cs="Arial"/>
        </w:rPr>
        <w:t xml:space="preserve"> countries</w:t>
      </w:r>
      <w:r w:rsidR="00264F69" w:rsidRPr="008A39AD">
        <w:rPr>
          <w:rFonts w:ascii="Arial" w:hAnsi="Arial" w:cs="Arial"/>
        </w:rPr>
        <w:t>,</w:t>
      </w:r>
      <w:r w:rsidRPr="008A39AD">
        <w:rPr>
          <w:rFonts w:ascii="Arial" w:hAnsi="Arial" w:cs="Arial"/>
        </w:rPr>
        <w:t xml:space="preserve"> we</w:t>
      </w:r>
      <w:r w:rsidR="00705F9F" w:rsidRPr="008A39AD">
        <w:rPr>
          <w:rFonts w:ascii="Arial" w:hAnsi="Arial" w:cs="Arial"/>
        </w:rPr>
        <w:t xml:space="preserve"> </w:t>
      </w:r>
      <w:r w:rsidR="00AC6FD1" w:rsidRPr="008A39AD">
        <w:rPr>
          <w:rFonts w:ascii="Arial" w:hAnsi="Arial" w:cs="Arial"/>
        </w:rPr>
        <w:t>quantif</w:t>
      </w:r>
      <w:r w:rsidR="00D81D17" w:rsidRPr="008A39AD">
        <w:rPr>
          <w:rFonts w:ascii="Arial" w:hAnsi="Arial" w:cs="Arial"/>
        </w:rPr>
        <w:t>i</w:t>
      </w:r>
      <w:r w:rsidR="00AC6FD1" w:rsidRPr="008A39AD">
        <w:rPr>
          <w:rFonts w:ascii="Arial" w:hAnsi="Arial" w:cs="Arial"/>
        </w:rPr>
        <w:t xml:space="preserve">ed an overall median </w:t>
      </w:r>
      <w:r w:rsidR="00622AD1" w:rsidRPr="008A39AD">
        <w:rPr>
          <w:rFonts w:ascii="Arial" w:hAnsi="Arial" w:cs="Arial"/>
        </w:rPr>
        <w:t xml:space="preserve">time </w:t>
      </w:r>
      <w:r w:rsidR="00AC6FD1" w:rsidRPr="008A39AD">
        <w:rPr>
          <w:rFonts w:ascii="Arial" w:hAnsi="Arial" w:cs="Arial"/>
        </w:rPr>
        <w:t xml:space="preserve">on PD of </w:t>
      </w:r>
      <w:r w:rsidR="002041F8" w:rsidRPr="008A39AD">
        <w:rPr>
          <w:rFonts w:ascii="Arial" w:hAnsi="Arial" w:cs="Arial" w:hint="eastAsia"/>
        </w:rPr>
        <w:t>2.3</w:t>
      </w:r>
      <w:r w:rsidR="002041F8" w:rsidRPr="008A39AD">
        <w:rPr>
          <w:rFonts w:ascii="Arial" w:hAnsi="Arial" w:cs="Arial"/>
        </w:rPr>
        <w:t xml:space="preserve"> </w:t>
      </w:r>
      <w:r w:rsidR="00AC6FD1" w:rsidRPr="008A39AD">
        <w:rPr>
          <w:rFonts w:ascii="Arial" w:hAnsi="Arial" w:cs="Arial"/>
        </w:rPr>
        <w:t xml:space="preserve">years </w:t>
      </w:r>
      <w:r w:rsidR="00B420B2" w:rsidRPr="008A39AD">
        <w:rPr>
          <w:rFonts w:ascii="Arial" w:hAnsi="Arial" w:cs="Arial"/>
        </w:rPr>
        <w:t xml:space="preserve">with </w:t>
      </w:r>
      <w:r w:rsidR="00DE295F" w:rsidRPr="008A39AD">
        <w:rPr>
          <w:rFonts w:ascii="Arial" w:hAnsi="Arial" w:cs="Arial"/>
        </w:rPr>
        <w:t xml:space="preserve">wide </w:t>
      </w:r>
      <w:r w:rsidR="0051296D" w:rsidRPr="008A39AD">
        <w:rPr>
          <w:rFonts w:ascii="Arial" w:hAnsi="Arial" w:cs="Arial"/>
        </w:rPr>
        <w:t xml:space="preserve">observed </w:t>
      </w:r>
      <w:r w:rsidR="005637AF" w:rsidRPr="008A39AD">
        <w:rPr>
          <w:rFonts w:ascii="Arial" w:hAnsi="Arial" w:cs="Arial"/>
        </w:rPr>
        <w:t>variability across countries</w:t>
      </w:r>
      <w:r w:rsidR="00335978" w:rsidRPr="008A39AD">
        <w:rPr>
          <w:rFonts w:ascii="Arial" w:hAnsi="Arial" w:cs="Arial"/>
        </w:rPr>
        <w:t>,</w:t>
      </w:r>
      <w:r w:rsidR="005637AF" w:rsidRPr="008A39AD">
        <w:rPr>
          <w:rFonts w:ascii="Arial" w:hAnsi="Arial" w:cs="Arial"/>
        </w:rPr>
        <w:t xml:space="preserve"> mostly driven by differences in kidney transplantation</w:t>
      </w:r>
      <w:r w:rsidR="00045B26" w:rsidRPr="008A39AD">
        <w:rPr>
          <w:rFonts w:ascii="Arial" w:hAnsi="Arial" w:cs="Arial"/>
        </w:rPr>
        <w:t xml:space="preserve"> (</w:t>
      </w:r>
      <w:r w:rsidR="00A42CCB" w:rsidRPr="008A39AD">
        <w:rPr>
          <w:rFonts w:ascii="Arial" w:hAnsi="Arial" w:cs="Arial"/>
        </w:rPr>
        <w:t>F</w:t>
      </w:r>
      <w:r w:rsidR="00045B26" w:rsidRPr="008A39AD">
        <w:rPr>
          <w:rFonts w:ascii="Arial" w:hAnsi="Arial" w:cs="Arial"/>
        </w:rPr>
        <w:t>igures 1A-1F)</w:t>
      </w:r>
      <w:r w:rsidR="00B420B2" w:rsidRPr="008A39AD">
        <w:rPr>
          <w:rFonts w:ascii="Arial" w:hAnsi="Arial" w:cs="Arial"/>
        </w:rPr>
        <w:t xml:space="preserve">. </w:t>
      </w:r>
      <w:r w:rsidR="00223407" w:rsidRPr="008A39AD">
        <w:rPr>
          <w:rFonts w:ascii="Arial" w:hAnsi="Arial" w:cs="Arial"/>
        </w:rPr>
        <w:t>Modest differences in mortality were evident, particularly after adjusting for patient case</w:t>
      </w:r>
      <w:r w:rsidR="00273D3E" w:rsidRPr="008A39AD">
        <w:rPr>
          <w:rFonts w:ascii="Arial" w:hAnsi="Arial" w:cs="Arial"/>
        </w:rPr>
        <w:t xml:space="preserve"> </w:t>
      </w:r>
      <w:r w:rsidR="00223407" w:rsidRPr="008A39AD">
        <w:rPr>
          <w:rFonts w:ascii="Arial" w:hAnsi="Arial" w:cs="Arial"/>
        </w:rPr>
        <w:t xml:space="preserve">mix, with smaller differences in </w:t>
      </w:r>
      <w:r w:rsidR="00043585" w:rsidRPr="008A39AD">
        <w:rPr>
          <w:rFonts w:ascii="Arial" w:hAnsi="Arial" w:cs="Arial"/>
        </w:rPr>
        <w:t xml:space="preserve">HD </w:t>
      </w:r>
      <w:r w:rsidR="003D2CEE" w:rsidRPr="008A39AD">
        <w:rPr>
          <w:rFonts w:ascii="Arial" w:hAnsi="Arial" w:cs="Arial"/>
        </w:rPr>
        <w:t>transfer</w:t>
      </w:r>
      <w:r w:rsidR="00223407" w:rsidRPr="008A39AD">
        <w:rPr>
          <w:rFonts w:ascii="Arial" w:hAnsi="Arial" w:cs="Arial"/>
        </w:rPr>
        <w:t>.</w:t>
      </w:r>
    </w:p>
    <w:p w14:paraId="1A339631" w14:textId="12E996F0" w:rsidR="00EA5AB8" w:rsidRPr="008A39AD" w:rsidRDefault="00223407" w:rsidP="00EA5AB8">
      <w:pPr>
        <w:spacing w:after="200" w:line="480" w:lineRule="auto"/>
        <w:rPr>
          <w:rFonts w:ascii="Arial" w:hAnsi="Arial" w:cs="Arial"/>
        </w:rPr>
      </w:pPr>
      <w:r w:rsidRPr="008A39AD">
        <w:rPr>
          <w:rFonts w:ascii="Arial" w:hAnsi="Arial" w:cs="Arial"/>
        </w:rPr>
        <w:t xml:space="preserve">The cumulative incidence curves of </w:t>
      </w:r>
      <w:r w:rsidR="00622AD1" w:rsidRPr="008A39AD">
        <w:rPr>
          <w:rFonts w:ascii="Arial" w:hAnsi="Arial" w:cs="Arial"/>
        </w:rPr>
        <w:t>time on PD</w:t>
      </w:r>
      <w:r w:rsidRPr="008A39AD">
        <w:rPr>
          <w:rFonts w:ascii="Arial" w:hAnsi="Arial" w:cs="Arial"/>
        </w:rPr>
        <w:t xml:space="preserve"> </w:t>
      </w:r>
      <w:r w:rsidR="00EA5AB8" w:rsidRPr="008A39AD">
        <w:rPr>
          <w:rFonts w:ascii="Arial" w:hAnsi="Arial" w:cs="Arial"/>
        </w:rPr>
        <w:t xml:space="preserve">demonstrate the difficulties in making meaningful international comparisons regarding what </w:t>
      </w:r>
      <w:r w:rsidR="00622AD1" w:rsidRPr="008A39AD">
        <w:rPr>
          <w:rFonts w:ascii="Arial" w:hAnsi="Arial" w:cs="Arial"/>
        </w:rPr>
        <w:t>time on PD</w:t>
      </w:r>
      <w:r w:rsidR="00EA5AB8" w:rsidRPr="008A39AD">
        <w:rPr>
          <w:rFonts w:ascii="Arial" w:hAnsi="Arial" w:cs="Arial"/>
        </w:rPr>
        <w:t xml:space="preserve"> means. For example, the observed </w:t>
      </w:r>
      <w:r w:rsidR="00622AD1" w:rsidRPr="008A39AD">
        <w:rPr>
          <w:rFonts w:ascii="Arial" w:hAnsi="Arial" w:cs="Arial"/>
        </w:rPr>
        <w:t>time on PD</w:t>
      </w:r>
      <w:r w:rsidR="00EA5AB8" w:rsidRPr="008A39AD">
        <w:rPr>
          <w:rFonts w:ascii="Arial" w:hAnsi="Arial" w:cs="Arial"/>
        </w:rPr>
        <w:t xml:space="preserve"> was longer in Japan (3.5 years) than in the UK (1.7 years). However, this ignores that a larger fraction of UK PD patients received a kidney transplant in the first 3.5 years than in Japan (34% vs. 2%), </w:t>
      </w:r>
      <w:r w:rsidR="0051296D" w:rsidRPr="008A39AD">
        <w:rPr>
          <w:rFonts w:ascii="Arial" w:hAnsi="Arial" w:cs="Arial"/>
        </w:rPr>
        <w:t>which is important</w:t>
      </w:r>
      <w:r w:rsidR="00EA5AB8" w:rsidRPr="008A39AD">
        <w:rPr>
          <w:rFonts w:ascii="Arial" w:hAnsi="Arial" w:cs="Arial"/>
        </w:rPr>
        <w:t xml:space="preserve"> from a patient outcomes perspective</w:t>
      </w:r>
      <w:r w:rsidR="0051296D" w:rsidRPr="008A39AD">
        <w:rPr>
          <w:rFonts w:ascii="Arial" w:hAnsi="Arial" w:cs="Arial"/>
        </w:rPr>
        <w:t>.</w:t>
      </w:r>
      <w:r w:rsidR="00EA5AB8" w:rsidRPr="008A39AD">
        <w:rPr>
          <w:rFonts w:ascii="Arial" w:hAnsi="Arial" w:cs="Arial"/>
        </w:rPr>
        <w:t xml:space="preserve"> </w:t>
      </w:r>
    </w:p>
    <w:p w14:paraId="48158A66" w14:textId="0FDA447A" w:rsidR="00EA5AB8" w:rsidRPr="008A39AD" w:rsidRDefault="0051296D" w:rsidP="00EA5AB8">
      <w:pPr>
        <w:spacing w:after="200" w:line="480" w:lineRule="auto"/>
        <w:rPr>
          <w:rFonts w:ascii="Arial" w:hAnsi="Arial" w:cs="Arial"/>
        </w:rPr>
      </w:pPr>
      <w:r w:rsidRPr="008A39AD">
        <w:rPr>
          <w:rFonts w:ascii="Arial" w:hAnsi="Arial" w:cs="Arial"/>
        </w:rPr>
        <w:t>In Thailand,</w:t>
      </w:r>
      <w:r w:rsidR="00EA5AB8" w:rsidRPr="008A39AD">
        <w:rPr>
          <w:rFonts w:ascii="Arial" w:hAnsi="Arial" w:cs="Arial"/>
        </w:rPr>
        <w:t xml:space="preserve"> the median </w:t>
      </w:r>
      <w:r w:rsidR="00622AD1" w:rsidRPr="008A39AD">
        <w:rPr>
          <w:rFonts w:ascii="Arial" w:hAnsi="Arial" w:cs="Arial"/>
        </w:rPr>
        <w:t>time on PD</w:t>
      </w:r>
      <w:r w:rsidR="00EA5AB8" w:rsidRPr="008A39AD">
        <w:rPr>
          <w:rFonts w:ascii="Arial" w:hAnsi="Arial" w:cs="Arial"/>
        </w:rPr>
        <w:t xml:space="preserve"> of 2.8 years was longer than that seen for the UK, but most Thai patients no longer receiving PD 3.5 years after PD start had died. One can expect that the same issues in making meaningful international comparisons regarding </w:t>
      </w:r>
      <w:r w:rsidR="00622AD1" w:rsidRPr="008A39AD">
        <w:rPr>
          <w:rFonts w:ascii="Arial" w:hAnsi="Arial" w:cs="Arial"/>
        </w:rPr>
        <w:t>time on PD</w:t>
      </w:r>
      <w:r w:rsidR="00EA5AB8" w:rsidRPr="008A39AD">
        <w:rPr>
          <w:rFonts w:ascii="Arial" w:hAnsi="Arial" w:cs="Arial"/>
        </w:rPr>
        <w:t xml:space="preserve"> can also exist across facilities within a country. Thus, consideration of a </w:t>
      </w:r>
      <w:r w:rsidR="00622AD1" w:rsidRPr="008A39AD">
        <w:rPr>
          <w:rFonts w:ascii="Arial" w:hAnsi="Arial" w:cs="Arial"/>
        </w:rPr>
        <w:t>time on PD</w:t>
      </w:r>
      <w:r w:rsidR="00EA5AB8" w:rsidRPr="008A39AD">
        <w:rPr>
          <w:rFonts w:ascii="Arial" w:hAnsi="Arial" w:cs="Arial"/>
        </w:rPr>
        <w:t xml:space="preserve"> quality metric(s) for making comparisons across countries or facilities should account for </w:t>
      </w:r>
      <w:r w:rsidRPr="008A39AD">
        <w:rPr>
          <w:rFonts w:ascii="Arial" w:hAnsi="Arial" w:cs="Arial"/>
        </w:rPr>
        <w:t xml:space="preserve">both </w:t>
      </w:r>
      <w:r w:rsidR="00EA5AB8" w:rsidRPr="008A39AD">
        <w:rPr>
          <w:rFonts w:ascii="Arial" w:hAnsi="Arial" w:cs="Arial"/>
        </w:rPr>
        <w:t xml:space="preserve">transplantation and death. Patients considering PD as a dialysis modality may appreciate a metric that considers the likelihood of either remaining on PD or receiving a kidney transplant as </w:t>
      </w:r>
      <w:r w:rsidRPr="008A39AD">
        <w:rPr>
          <w:rFonts w:ascii="Arial" w:hAnsi="Arial" w:cs="Arial"/>
        </w:rPr>
        <w:t xml:space="preserve">a </w:t>
      </w:r>
      <w:r w:rsidR="00EA5AB8" w:rsidRPr="008A39AD">
        <w:rPr>
          <w:rFonts w:ascii="Arial" w:hAnsi="Arial" w:cs="Arial"/>
        </w:rPr>
        <w:t>meaningful positive outcome measure.</w:t>
      </w:r>
    </w:p>
    <w:p w14:paraId="2D005A37" w14:textId="46426293" w:rsidR="004B0E3F" w:rsidRPr="008A39AD" w:rsidRDefault="00F01687" w:rsidP="00FC5E60">
      <w:pPr>
        <w:spacing w:after="200" w:line="480" w:lineRule="auto"/>
        <w:rPr>
          <w:rFonts w:ascii="Arial" w:hAnsi="Arial" w:cs="Arial"/>
        </w:rPr>
      </w:pPr>
      <w:r w:rsidRPr="008A39AD">
        <w:rPr>
          <w:rFonts w:ascii="Arial" w:hAnsi="Arial" w:cs="Arial"/>
        </w:rPr>
        <w:lastRenderedPageBreak/>
        <w:t>Adjusting</w:t>
      </w:r>
      <w:r w:rsidR="004B0E3F" w:rsidRPr="008A39AD">
        <w:rPr>
          <w:rFonts w:ascii="Arial" w:hAnsi="Arial" w:cs="Arial"/>
        </w:rPr>
        <w:t xml:space="preserve"> for patient case-mix</w:t>
      </w:r>
      <w:r w:rsidRPr="008A39AD">
        <w:rPr>
          <w:rFonts w:ascii="Arial" w:hAnsi="Arial" w:cs="Arial"/>
        </w:rPr>
        <w:t xml:space="preserve"> highlights apparent differences in mortality between countries.</w:t>
      </w:r>
      <w:r w:rsidR="004B0E3F" w:rsidRPr="008A39AD">
        <w:rPr>
          <w:rFonts w:ascii="Arial" w:hAnsi="Arial" w:cs="Arial"/>
        </w:rPr>
        <w:t xml:space="preserve"> The effect estimates for all countries relative to the US become smaller, with Thailand moving from a higher to an equivalent death rate, and other countries moving from an equivalent to a lower death rate. Transplantation may cause informative censoring due to removal of healthier patients from the PD population, such that the effect estimate for countries with a high transplant rate could be biased upwards. As the US had a lower adjusted transplant incidence compared to Australia/ New Zealand, Canada, and the UK, the apparent difference in survival could be larger, although the change for Thailand and Japan could be reduced (Figure 2). </w:t>
      </w:r>
    </w:p>
    <w:p w14:paraId="3CB33B47" w14:textId="705B8C98" w:rsidR="00FC5E60" w:rsidRPr="008A39AD" w:rsidRDefault="0051296D" w:rsidP="00FE14B2">
      <w:pPr>
        <w:spacing w:line="480" w:lineRule="auto"/>
        <w:rPr>
          <w:rFonts w:ascii="Arial" w:hAnsi="Arial" w:cs="Arial"/>
        </w:rPr>
      </w:pPr>
      <w:r w:rsidRPr="008A39AD">
        <w:rPr>
          <w:rFonts w:ascii="Arial" w:hAnsi="Arial" w:cs="Arial"/>
        </w:rPr>
        <w:t xml:space="preserve">Studies from thirty years ago demonstrated </w:t>
      </w:r>
      <w:r w:rsidR="004B0E3F" w:rsidRPr="008A39AD">
        <w:rPr>
          <w:rFonts w:ascii="Arial" w:hAnsi="Arial" w:cs="Arial"/>
        </w:rPr>
        <w:t xml:space="preserve">higher mortality </w:t>
      </w:r>
      <w:r w:rsidRPr="008A39AD">
        <w:rPr>
          <w:rFonts w:ascii="Arial" w:hAnsi="Arial" w:cs="Arial"/>
        </w:rPr>
        <w:t>in US compared to Canadian PD patients</w:t>
      </w:r>
      <w:r w:rsidR="004B0E3F" w:rsidRPr="008A39AD">
        <w:rPr>
          <w:rFonts w:ascii="Arial" w:hAnsi="Arial" w:cs="Arial"/>
        </w:rPr>
        <w:t>.</w:t>
      </w:r>
      <w:r w:rsidR="004B0E3F" w:rsidRPr="008A39AD">
        <w:rPr>
          <w:rFonts w:ascii="Arial" w:hAnsi="Arial" w:cs="Arial"/>
          <w:vertAlign w:val="superscript"/>
        </w:rPr>
        <w:t>2</w:t>
      </w:r>
      <w:r w:rsidR="00BF598C" w:rsidRPr="008A39AD">
        <w:rPr>
          <w:rFonts w:ascii="Arial" w:hAnsi="Arial" w:cs="Arial"/>
          <w:vertAlign w:val="superscript"/>
        </w:rPr>
        <w:t>2</w:t>
      </w:r>
      <w:r w:rsidR="004B0E3F" w:rsidRPr="008A39AD">
        <w:rPr>
          <w:rFonts w:ascii="Arial" w:hAnsi="Arial" w:cs="Arial"/>
        </w:rPr>
        <w:t xml:space="preserve"> This discrepancy, not explained then nor now by measurable differences in patient case-mix, was evident and persisted despite </w:t>
      </w:r>
      <w:r w:rsidRPr="008A39AD">
        <w:rPr>
          <w:rFonts w:ascii="Arial" w:hAnsi="Arial" w:cs="Arial"/>
        </w:rPr>
        <w:t>improvements</w:t>
      </w:r>
      <w:r w:rsidR="004B0E3F" w:rsidRPr="008A39AD">
        <w:rPr>
          <w:rFonts w:ascii="Arial" w:hAnsi="Arial" w:cs="Arial"/>
        </w:rPr>
        <w:t xml:space="preserve"> in death rates </w:t>
      </w:r>
      <w:r w:rsidRPr="008A39AD">
        <w:rPr>
          <w:rFonts w:ascii="Arial" w:hAnsi="Arial" w:cs="Arial"/>
        </w:rPr>
        <w:t>in</w:t>
      </w:r>
      <w:r w:rsidR="004B0E3F" w:rsidRPr="008A39AD">
        <w:rPr>
          <w:rFonts w:ascii="Arial" w:hAnsi="Arial" w:cs="Arial"/>
        </w:rPr>
        <w:t xml:space="preserve"> the US PD population</w:t>
      </w:r>
      <w:r w:rsidRPr="008A39AD">
        <w:rPr>
          <w:rFonts w:ascii="Arial" w:hAnsi="Arial" w:cs="Arial"/>
        </w:rPr>
        <w:t>.</w:t>
      </w:r>
      <w:r w:rsidR="004B0E3F" w:rsidRPr="008A39AD">
        <w:rPr>
          <w:rFonts w:ascii="Arial" w:hAnsi="Arial" w:cs="Arial"/>
          <w:vertAlign w:val="superscript"/>
        </w:rPr>
        <w:t>2</w:t>
      </w:r>
      <w:r w:rsidR="00BF598C" w:rsidRPr="008A39AD">
        <w:rPr>
          <w:rFonts w:ascii="Arial" w:hAnsi="Arial" w:cs="Arial"/>
          <w:vertAlign w:val="superscript"/>
        </w:rPr>
        <w:t>3</w:t>
      </w:r>
      <w:r w:rsidR="004B0E3F" w:rsidRPr="008A39AD">
        <w:rPr>
          <w:rFonts w:ascii="Arial" w:hAnsi="Arial" w:cs="Arial"/>
          <w:vertAlign w:val="superscript"/>
        </w:rPr>
        <w:t>,2</w:t>
      </w:r>
      <w:r w:rsidR="00BF598C" w:rsidRPr="008A39AD">
        <w:rPr>
          <w:rFonts w:ascii="Arial" w:hAnsi="Arial" w:cs="Arial"/>
          <w:vertAlign w:val="superscript"/>
        </w:rPr>
        <w:t>4</w:t>
      </w:r>
      <w:r w:rsidR="004B0E3F" w:rsidRPr="008A39AD">
        <w:rPr>
          <w:rFonts w:ascii="Arial" w:hAnsi="Arial" w:cs="Arial"/>
        </w:rPr>
        <w:t xml:space="preserve">. </w:t>
      </w:r>
      <w:r w:rsidR="00FC5E60" w:rsidRPr="008A39AD">
        <w:rPr>
          <w:rFonts w:ascii="Arial" w:hAnsi="Arial" w:cs="Arial"/>
        </w:rPr>
        <w:t>An analysis of time on therapy in the US using 2008-2011 USRDS data demonstrated a median survival on PD of 1.9 years</w:t>
      </w:r>
      <w:r w:rsidR="0084712A" w:rsidRPr="008A39AD">
        <w:rPr>
          <w:rFonts w:ascii="Arial" w:hAnsi="Arial" w:cs="Arial"/>
          <w:vertAlign w:val="superscript"/>
        </w:rPr>
        <w:t>25</w:t>
      </w:r>
      <w:r w:rsidR="00FC5E60" w:rsidRPr="008A39AD">
        <w:rPr>
          <w:rFonts w:ascii="Arial" w:hAnsi="Arial" w:cs="Arial"/>
          <w:vertAlign w:val="superscript"/>
        </w:rPr>
        <w:t xml:space="preserve"> </w:t>
      </w:r>
      <w:r w:rsidR="00FC5E60" w:rsidRPr="008A39AD">
        <w:rPr>
          <w:rFonts w:ascii="Arial" w:hAnsi="Arial" w:cs="Arial"/>
        </w:rPr>
        <w:t xml:space="preserve">compared to our finding of 2.3 years. The difference may be reconciled by our restriction of facilities with greater than 20 patients, all insurance types included, and inclusion of a more contemporary cohort. </w:t>
      </w:r>
    </w:p>
    <w:p w14:paraId="0191AA6E" w14:textId="42F5D52E" w:rsidR="004B0E3F" w:rsidRPr="008A39AD" w:rsidRDefault="004B0E3F" w:rsidP="004B0E3F">
      <w:pPr>
        <w:spacing w:after="200" w:line="480" w:lineRule="auto"/>
        <w:rPr>
          <w:rFonts w:ascii="Arial" w:hAnsi="Arial" w:cs="Arial"/>
        </w:rPr>
      </w:pPr>
    </w:p>
    <w:p w14:paraId="0297FC7C" w14:textId="605C97A6" w:rsidR="00273D3E" w:rsidRPr="008A39AD" w:rsidRDefault="00362259" w:rsidP="00654EB6">
      <w:pPr>
        <w:spacing w:line="480" w:lineRule="auto"/>
        <w:rPr>
          <w:rFonts w:ascii="Times New Roman" w:eastAsia="Times New Roman" w:hAnsi="Times New Roman" w:cs="Times New Roman"/>
          <w:sz w:val="24"/>
          <w:szCs w:val="24"/>
          <w:lang w:val="en-CA" w:eastAsia="en-US"/>
        </w:rPr>
      </w:pPr>
      <w:r w:rsidRPr="008A39AD">
        <w:rPr>
          <w:rFonts w:ascii="Arial" w:hAnsi="Arial" w:cs="Arial"/>
        </w:rPr>
        <w:t>Despite younger age and lower comorbidities, individuals in Th</w:t>
      </w:r>
      <w:r w:rsidR="00ED3414" w:rsidRPr="008A39AD">
        <w:rPr>
          <w:rFonts w:ascii="Arial" w:hAnsi="Arial" w:cs="Arial"/>
        </w:rPr>
        <w:t>ailand had higher caregiver involvement and lower serum albumin</w:t>
      </w:r>
      <w:r w:rsidR="00920269" w:rsidRPr="008A39AD">
        <w:rPr>
          <w:rFonts w:ascii="Arial" w:hAnsi="Arial" w:cs="Arial"/>
        </w:rPr>
        <w:t xml:space="preserve"> and residual kidney function</w:t>
      </w:r>
      <w:r w:rsidR="00ED3414" w:rsidRPr="008A39AD">
        <w:rPr>
          <w:rFonts w:ascii="Arial" w:hAnsi="Arial" w:cs="Arial"/>
        </w:rPr>
        <w:t xml:space="preserve"> </w:t>
      </w:r>
      <w:r w:rsidRPr="008A39AD">
        <w:rPr>
          <w:rFonts w:ascii="Arial" w:hAnsi="Arial" w:cs="Arial"/>
        </w:rPr>
        <w:t xml:space="preserve">compared to </w:t>
      </w:r>
      <w:r w:rsidR="00ED3414" w:rsidRPr="008A39AD">
        <w:rPr>
          <w:rFonts w:ascii="Arial" w:hAnsi="Arial" w:cs="Arial"/>
        </w:rPr>
        <w:t>US patients</w:t>
      </w:r>
      <w:r w:rsidRPr="008A39AD">
        <w:rPr>
          <w:rFonts w:ascii="Arial" w:hAnsi="Arial" w:cs="Arial"/>
        </w:rPr>
        <w:t xml:space="preserve"> </w:t>
      </w:r>
      <w:r w:rsidR="00ED3414" w:rsidRPr="008A39AD">
        <w:rPr>
          <w:rFonts w:ascii="Arial" w:hAnsi="Arial" w:cs="Arial"/>
        </w:rPr>
        <w:t>(Table 1</w:t>
      </w:r>
      <w:r w:rsidR="005779B8" w:rsidRPr="008A39AD">
        <w:rPr>
          <w:rFonts w:ascii="Arial" w:hAnsi="Arial" w:cs="Arial"/>
        </w:rPr>
        <w:t>A</w:t>
      </w:r>
      <w:r w:rsidR="00ED3414" w:rsidRPr="008A39AD">
        <w:rPr>
          <w:rFonts w:ascii="Arial" w:hAnsi="Arial" w:cs="Arial"/>
        </w:rPr>
        <w:t>)</w:t>
      </w:r>
      <w:r w:rsidR="003B5B34" w:rsidRPr="008A39AD">
        <w:rPr>
          <w:rFonts w:ascii="Arial" w:hAnsi="Arial" w:cs="Arial"/>
        </w:rPr>
        <w:t>,</w:t>
      </w:r>
      <w:r w:rsidR="00ED3414" w:rsidRPr="008A39AD">
        <w:rPr>
          <w:rFonts w:ascii="Arial" w:hAnsi="Arial" w:cs="Arial"/>
        </w:rPr>
        <w:t xml:space="preserve"> </w:t>
      </w:r>
      <w:r w:rsidR="00A21BA3" w:rsidRPr="008A39AD">
        <w:rPr>
          <w:rFonts w:ascii="Arial" w:hAnsi="Arial" w:cs="Arial"/>
        </w:rPr>
        <w:t>all</w:t>
      </w:r>
      <w:r w:rsidRPr="008A39AD">
        <w:rPr>
          <w:rFonts w:ascii="Arial" w:hAnsi="Arial" w:cs="Arial"/>
        </w:rPr>
        <w:t xml:space="preserve"> </w:t>
      </w:r>
      <w:r w:rsidR="001C03B3" w:rsidRPr="008A39AD">
        <w:rPr>
          <w:rFonts w:ascii="Arial" w:hAnsi="Arial" w:cs="Arial"/>
        </w:rPr>
        <w:t xml:space="preserve">of </w:t>
      </w:r>
      <w:r w:rsidR="005C02F0" w:rsidRPr="008A39AD">
        <w:rPr>
          <w:rFonts w:ascii="Arial" w:hAnsi="Arial" w:cs="Arial"/>
        </w:rPr>
        <w:t xml:space="preserve">which may </w:t>
      </w:r>
      <w:r w:rsidR="003B5B34" w:rsidRPr="008A39AD">
        <w:rPr>
          <w:rFonts w:ascii="Arial" w:hAnsi="Arial" w:cs="Arial"/>
        </w:rPr>
        <w:t xml:space="preserve">have been </w:t>
      </w:r>
      <w:r w:rsidR="005C02F0" w:rsidRPr="008A39AD">
        <w:rPr>
          <w:rFonts w:ascii="Arial" w:hAnsi="Arial" w:cs="Arial"/>
        </w:rPr>
        <w:t>indications of patient frailty</w:t>
      </w:r>
      <w:r w:rsidRPr="008A39AD">
        <w:rPr>
          <w:rFonts w:ascii="Arial" w:hAnsi="Arial" w:cs="Arial"/>
        </w:rPr>
        <w:t xml:space="preserve"> and suboptimal pre</w:t>
      </w:r>
      <w:r w:rsidR="00EF019A" w:rsidRPr="008A39AD">
        <w:rPr>
          <w:rFonts w:ascii="Arial" w:hAnsi="Arial" w:cs="Arial"/>
        </w:rPr>
        <w:t>-</w:t>
      </w:r>
      <w:r w:rsidRPr="008A39AD">
        <w:rPr>
          <w:rFonts w:ascii="Arial" w:hAnsi="Arial" w:cs="Arial"/>
        </w:rPr>
        <w:t>dialysis CKD care</w:t>
      </w:r>
      <w:r w:rsidR="0051296D" w:rsidRPr="008A39AD">
        <w:rPr>
          <w:rFonts w:ascii="Arial" w:hAnsi="Arial" w:cs="Arial"/>
        </w:rPr>
        <w:t>, and</w:t>
      </w:r>
      <w:r w:rsidR="00A123DA" w:rsidRPr="008A39AD">
        <w:rPr>
          <w:rFonts w:ascii="Arial" w:hAnsi="Arial" w:cs="Arial"/>
        </w:rPr>
        <w:t xml:space="preserve"> </w:t>
      </w:r>
      <w:r w:rsidR="00F424B1" w:rsidRPr="008A39AD">
        <w:rPr>
          <w:rFonts w:ascii="Arial" w:hAnsi="Arial" w:cs="Arial"/>
        </w:rPr>
        <w:t>potentially explaining the</w:t>
      </w:r>
      <w:r w:rsidR="00A123DA" w:rsidRPr="008A39AD">
        <w:rPr>
          <w:rFonts w:ascii="Arial" w:hAnsi="Arial" w:cs="Arial"/>
        </w:rPr>
        <w:t xml:space="preserve"> worse </w:t>
      </w:r>
      <w:r w:rsidR="00F424B1" w:rsidRPr="008A39AD">
        <w:rPr>
          <w:rFonts w:ascii="Arial" w:hAnsi="Arial" w:cs="Arial"/>
        </w:rPr>
        <w:t xml:space="preserve">unadjusted </w:t>
      </w:r>
      <w:r w:rsidR="00A123DA" w:rsidRPr="008A39AD">
        <w:rPr>
          <w:rFonts w:ascii="Arial" w:hAnsi="Arial" w:cs="Arial"/>
        </w:rPr>
        <w:t>mortality</w:t>
      </w:r>
      <w:r w:rsidR="00ED3414" w:rsidRPr="008A39AD">
        <w:rPr>
          <w:rFonts w:ascii="Arial" w:hAnsi="Arial" w:cs="Arial"/>
        </w:rPr>
        <w:t xml:space="preserve">. </w:t>
      </w:r>
      <w:r w:rsidR="00F424B1" w:rsidRPr="008A39AD">
        <w:rPr>
          <w:rFonts w:ascii="Arial" w:hAnsi="Arial" w:cs="Arial"/>
        </w:rPr>
        <w:t>U</w:t>
      </w:r>
      <w:r w:rsidR="00016F4C" w:rsidRPr="008A39AD">
        <w:rPr>
          <w:rFonts w:ascii="Arial" w:hAnsi="Arial" w:cs="Arial"/>
        </w:rPr>
        <w:t>nique socioeconomic</w:t>
      </w:r>
      <w:r w:rsidR="00016D5C" w:rsidRPr="008A39AD">
        <w:rPr>
          <w:rFonts w:ascii="Arial" w:hAnsi="Arial" w:cs="Arial"/>
        </w:rPr>
        <w:t>, healthcare</w:t>
      </w:r>
      <w:r w:rsidR="00826B38" w:rsidRPr="008A39AD">
        <w:rPr>
          <w:rFonts w:ascii="Arial" w:hAnsi="Arial" w:cs="Arial"/>
        </w:rPr>
        <w:t>,</w:t>
      </w:r>
      <w:r w:rsidR="00016F4C" w:rsidRPr="008A39AD">
        <w:rPr>
          <w:rFonts w:ascii="Arial" w:hAnsi="Arial" w:cs="Arial"/>
        </w:rPr>
        <w:t xml:space="preserve"> </w:t>
      </w:r>
      <w:r w:rsidR="00F424B1" w:rsidRPr="008A39AD">
        <w:rPr>
          <w:rFonts w:ascii="Arial" w:hAnsi="Arial" w:cs="Arial"/>
        </w:rPr>
        <w:t xml:space="preserve">and educational </w:t>
      </w:r>
      <w:r w:rsidR="00016F4C" w:rsidRPr="008A39AD">
        <w:rPr>
          <w:rFonts w:ascii="Arial" w:hAnsi="Arial" w:cs="Arial"/>
        </w:rPr>
        <w:t>factors</w:t>
      </w:r>
      <w:r w:rsidR="00F424B1" w:rsidRPr="008A39AD">
        <w:rPr>
          <w:rFonts w:ascii="Arial" w:hAnsi="Arial" w:cs="Arial"/>
        </w:rPr>
        <w:t xml:space="preserve"> </w:t>
      </w:r>
      <w:r w:rsidR="00016F4C" w:rsidRPr="008A39AD">
        <w:rPr>
          <w:rFonts w:ascii="Arial" w:hAnsi="Arial" w:cs="Arial"/>
        </w:rPr>
        <w:t xml:space="preserve">in Thailand may </w:t>
      </w:r>
      <w:r w:rsidR="00F424B1" w:rsidRPr="008A39AD">
        <w:rPr>
          <w:rFonts w:ascii="Arial" w:hAnsi="Arial" w:cs="Arial"/>
        </w:rPr>
        <w:t>also explain this mortality difference</w:t>
      </w:r>
      <w:r w:rsidR="00CE7EA4" w:rsidRPr="008A39AD">
        <w:rPr>
          <w:rFonts w:ascii="Arial" w:hAnsi="Arial" w:cs="Arial"/>
        </w:rPr>
        <w:t>,</w:t>
      </w:r>
      <w:r w:rsidR="00F424B1" w:rsidRPr="008A39AD">
        <w:rPr>
          <w:rFonts w:ascii="Arial" w:hAnsi="Arial" w:cs="Arial"/>
        </w:rPr>
        <w:t xml:space="preserve"> </w:t>
      </w:r>
      <w:r w:rsidR="00EF1D6A" w:rsidRPr="008A39AD">
        <w:rPr>
          <w:rFonts w:ascii="Arial" w:hAnsi="Arial" w:cs="Arial"/>
          <w:vertAlign w:val="superscript"/>
        </w:rPr>
        <w:t>2</w:t>
      </w:r>
      <w:r w:rsidR="001E0B66" w:rsidRPr="008A39AD">
        <w:rPr>
          <w:rFonts w:ascii="Arial" w:hAnsi="Arial" w:cs="Arial"/>
          <w:vertAlign w:val="superscript"/>
        </w:rPr>
        <w:t>6</w:t>
      </w:r>
      <w:r w:rsidR="00CE7EA4" w:rsidRPr="008A39AD">
        <w:rPr>
          <w:rFonts w:ascii="Arial" w:hAnsi="Arial" w:cs="Arial"/>
          <w:vertAlign w:val="superscript"/>
        </w:rPr>
        <w:t xml:space="preserve"> </w:t>
      </w:r>
      <w:r w:rsidR="00273D3E" w:rsidRPr="008A39AD">
        <w:rPr>
          <w:rFonts w:ascii="Arial" w:hAnsi="Arial" w:cs="Arial"/>
        </w:rPr>
        <w:t xml:space="preserve">including possible reluctance for </w:t>
      </w:r>
      <w:r w:rsidR="00043585" w:rsidRPr="008A39AD">
        <w:rPr>
          <w:rFonts w:ascii="Arial" w:hAnsi="Arial" w:cs="Arial"/>
        </w:rPr>
        <w:t xml:space="preserve">HD </w:t>
      </w:r>
      <w:r w:rsidR="003D2CEE" w:rsidRPr="008A39AD">
        <w:rPr>
          <w:rFonts w:ascii="Arial" w:hAnsi="Arial" w:cs="Arial"/>
        </w:rPr>
        <w:t>transfer</w:t>
      </w:r>
      <w:r w:rsidR="00273D3E" w:rsidRPr="008A39AD">
        <w:rPr>
          <w:rFonts w:ascii="Arial" w:hAnsi="Arial" w:cs="Arial"/>
        </w:rPr>
        <w:t xml:space="preserve"> </w:t>
      </w:r>
      <w:r w:rsidR="00CE7EA4" w:rsidRPr="008A39AD">
        <w:rPr>
          <w:rFonts w:ascii="Arial" w:hAnsi="Arial" w:cs="Arial"/>
        </w:rPr>
        <w:t xml:space="preserve">in </w:t>
      </w:r>
      <w:r w:rsidR="00273D3E" w:rsidRPr="008A39AD">
        <w:rPr>
          <w:rFonts w:ascii="Arial" w:hAnsi="Arial" w:cs="Arial"/>
        </w:rPr>
        <w:t>moribund individuals</w:t>
      </w:r>
      <w:r w:rsidR="00CE7EA4" w:rsidRPr="008A39AD">
        <w:rPr>
          <w:rFonts w:ascii="Arial" w:hAnsi="Arial" w:cs="Arial"/>
        </w:rPr>
        <w:t xml:space="preserve">. </w:t>
      </w:r>
      <w:r w:rsidR="0051296D" w:rsidRPr="008A39AD">
        <w:rPr>
          <w:rFonts w:ascii="Arial" w:hAnsi="Arial" w:cs="Arial"/>
        </w:rPr>
        <w:t>A</w:t>
      </w:r>
      <w:r w:rsidR="00ED3414" w:rsidRPr="008A39AD">
        <w:rPr>
          <w:rFonts w:ascii="Arial" w:hAnsi="Arial" w:cs="Arial"/>
        </w:rPr>
        <w:t xml:space="preserve">djusting for </w:t>
      </w:r>
      <w:r w:rsidR="00F424B1" w:rsidRPr="008A39AD">
        <w:rPr>
          <w:rFonts w:ascii="Arial" w:hAnsi="Arial" w:cs="Arial"/>
        </w:rPr>
        <w:t>measured</w:t>
      </w:r>
      <w:r w:rsidR="00ED3414" w:rsidRPr="008A39AD">
        <w:rPr>
          <w:rFonts w:ascii="Arial" w:hAnsi="Arial" w:cs="Arial"/>
        </w:rPr>
        <w:t xml:space="preserve"> patient </w:t>
      </w:r>
      <w:r w:rsidR="00F424B1" w:rsidRPr="008A39AD">
        <w:rPr>
          <w:rFonts w:ascii="Arial" w:hAnsi="Arial" w:cs="Arial"/>
        </w:rPr>
        <w:t>case</w:t>
      </w:r>
      <w:r w:rsidR="00176E3B" w:rsidRPr="008A39AD">
        <w:rPr>
          <w:rFonts w:ascii="Arial" w:hAnsi="Arial" w:cs="Arial"/>
        </w:rPr>
        <w:t>-</w:t>
      </w:r>
      <w:r w:rsidR="00F424B1" w:rsidRPr="008A39AD">
        <w:rPr>
          <w:rFonts w:ascii="Arial" w:hAnsi="Arial" w:cs="Arial"/>
        </w:rPr>
        <w:t xml:space="preserve">mix </w:t>
      </w:r>
      <w:r w:rsidR="00ED3414" w:rsidRPr="008A39AD">
        <w:rPr>
          <w:rFonts w:ascii="Arial" w:hAnsi="Arial" w:cs="Arial"/>
        </w:rPr>
        <w:t xml:space="preserve">differences, Thailand did not have a higher adjusted death rate compared to </w:t>
      </w:r>
      <w:r w:rsidR="00ED3414" w:rsidRPr="008A39AD">
        <w:rPr>
          <w:rFonts w:ascii="Arial" w:hAnsi="Arial" w:cs="Arial"/>
        </w:rPr>
        <w:lastRenderedPageBreak/>
        <w:t>the US</w:t>
      </w:r>
      <w:r w:rsidR="005C02F0" w:rsidRPr="008A39AD">
        <w:rPr>
          <w:rFonts w:ascii="Arial" w:hAnsi="Arial" w:cs="Arial"/>
        </w:rPr>
        <w:t xml:space="preserve"> (</w:t>
      </w:r>
      <w:r w:rsidR="003B5B34" w:rsidRPr="008A39AD">
        <w:rPr>
          <w:rFonts w:ascii="Arial" w:hAnsi="Arial" w:cs="Arial"/>
        </w:rPr>
        <w:t>S</w:t>
      </w:r>
      <w:r w:rsidR="005C02F0" w:rsidRPr="008A39AD">
        <w:rPr>
          <w:rFonts w:ascii="Arial" w:hAnsi="Arial" w:cs="Arial"/>
        </w:rPr>
        <w:t xml:space="preserve">upplemental </w:t>
      </w:r>
      <w:r w:rsidR="003B5B34" w:rsidRPr="008A39AD">
        <w:rPr>
          <w:rFonts w:ascii="Arial" w:hAnsi="Arial" w:cs="Arial"/>
        </w:rPr>
        <w:t>T</w:t>
      </w:r>
      <w:r w:rsidR="005C02F0" w:rsidRPr="008A39AD">
        <w:rPr>
          <w:rFonts w:ascii="Arial" w:hAnsi="Arial" w:cs="Arial"/>
        </w:rPr>
        <w:t xml:space="preserve">able </w:t>
      </w:r>
      <w:r w:rsidR="006F5D7E" w:rsidRPr="008A39AD">
        <w:rPr>
          <w:rFonts w:ascii="Arial" w:hAnsi="Arial" w:cs="Arial"/>
        </w:rPr>
        <w:t>2</w:t>
      </w:r>
      <w:r w:rsidR="005C02F0" w:rsidRPr="008A39AD">
        <w:rPr>
          <w:rFonts w:ascii="Arial" w:hAnsi="Arial" w:cs="Arial"/>
        </w:rPr>
        <w:t>)</w:t>
      </w:r>
      <w:r w:rsidR="00AC6FD1" w:rsidRPr="008A39AD">
        <w:rPr>
          <w:rFonts w:ascii="Arial" w:hAnsi="Arial" w:cs="Arial"/>
        </w:rPr>
        <w:t xml:space="preserve"> providing encouraging results to a country </w:t>
      </w:r>
      <w:r w:rsidR="00364C85" w:rsidRPr="008A39AD">
        <w:rPr>
          <w:rFonts w:ascii="Arial" w:hAnsi="Arial" w:cs="Arial"/>
        </w:rPr>
        <w:t>with</w:t>
      </w:r>
      <w:r w:rsidR="00AC6FD1" w:rsidRPr="008A39AD">
        <w:rPr>
          <w:rFonts w:ascii="Arial" w:hAnsi="Arial" w:cs="Arial"/>
        </w:rPr>
        <w:t xml:space="preserve"> a </w:t>
      </w:r>
      <w:r w:rsidR="00176E3B" w:rsidRPr="008A39AD">
        <w:rPr>
          <w:rFonts w:ascii="Arial" w:hAnsi="Arial" w:cs="Arial"/>
        </w:rPr>
        <w:t>“</w:t>
      </w:r>
      <w:r w:rsidR="00AC6FD1" w:rsidRPr="008A39AD">
        <w:rPr>
          <w:rFonts w:ascii="Arial" w:hAnsi="Arial" w:cs="Arial"/>
        </w:rPr>
        <w:t>PD</w:t>
      </w:r>
      <w:r w:rsidR="000C4526" w:rsidRPr="008A39AD">
        <w:rPr>
          <w:rFonts w:ascii="Arial" w:hAnsi="Arial" w:cs="Arial"/>
        </w:rPr>
        <w:t xml:space="preserve"> </w:t>
      </w:r>
      <w:r w:rsidR="00AC6FD1" w:rsidRPr="008A39AD">
        <w:rPr>
          <w:rFonts w:ascii="Arial" w:hAnsi="Arial" w:cs="Arial"/>
        </w:rPr>
        <w:t>first</w:t>
      </w:r>
      <w:r w:rsidR="00176E3B" w:rsidRPr="008A39AD">
        <w:rPr>
          <w:rFonts w:ascii="Arial" w:hAnsi="Arial" w:cs="Arial"/>
        </w:rPr>
        <w:t>”</w:t>
      </w:r>
      <w:r w:rsidR="00AC6FD1" w:rsidRPr="008A39AD">
        <w:rPr>
          <w:rFonts w:ascii="Arial" w:hAnsi="Arial" w:cs="Arial"/>
        </w:rPr>
        <w:t xml:space="preserve"> policy</w:t>
      </w:r>
      <w:r w:rsidR="00260FC8" w:rsidRPr="008A39AD">
        <w:rPr>
          <w:rFonts w:ascii="Arial" w:hAnsi="Arial" w:cs="Arial"/>
        </w:rPr>
        <w:t xml:space="preserve"> </w:t>
      </w:r>
      <w:r w:rsidR="00260FC8" w:rsidRPr="008A39AD">
        <w:rPr>
          <w:rFonts w:ascii="Arial" w:hAnsi="Arial" w:cs="Arial"/>
          <w:vertAlign w:val="superscript"/>
        </w:rPr>
        <w:t>2</w:t>
      </w:r>
      <w:r w:rsidR="001E0B66" w:rsidRPr="008A39AD">
        <w:rPr>
          <w:rFonts w:ascii="Arial" w:hAnsi="Arial" w:cs="Arial"/>
          <w:vertAlign w:val="superscript"/>
        </w:rPr>
        <w:t>7</w:t>
      </w:r>
      <w:r w:rsidR="00176E3B" w:rsidRPr="008A39AD">
        <w:rPr>
          <w:rFonts w:ascii="Helvetica Neue" w:eastAsia="Times New Roman" w:hAnsi="Helvetica Neue" w:cs="Times New Roman"/>
          <w:color w:val="50595C"/>
          <w:sz w:val="18"/>
          <w:szCs w:val="18"/>
          <w:bdr w:val="none" w:sz="0" w:space="0" w:color="auto" w:frame="1"/>
          <w:lang w:val="en-CA" w:eastAsia="en-US"/>
        </w:rPr>
        <w:t>.</w:t>
      </w:r>
      <w:r w:rsidR="00CA4713" w:rsidRPr="008A39AD">
        <w:rPr>
          <w:rFonts w:ascii="Helvetica Neue" w:eastAsia="Times New Roman" w:hAnsi="Helvetica Neue" w:cs="Times New Roman"/>
          <w:color w:val="50595C"/>
          <w:sz w:val="18"/>
          <w:szCs w:val="18"/>
          <w:bdr w:val="none" w:sz="0" w:space="0" w:color="auto" w:frame="1"/>
          <w:lang w:val="en-CA" w:eastAsia="en-US"/>
        </w:rPr>
        <w:t xml:space="preserve"> </w:t>
      </w:r>
    </w:p>
    <w:p w14:paraId="0F5EA0F1" w14:textId="59DD70ED" w:rsidR="00EC3118" w:rsidRPr="008A39AD" w:rsidRDefault="00E64FA4" w:rsidP="0054676E">
      <w:pPr>
        <w:spacing w:after="200" w:line="480" w:lineRule="auto"/>
        <w:rPr>
          <w:rFonts w:ascii="Arial" w:hAnsi="Arial" w:cs="Arial"/>
        </w:rPr>
      </w:pPr>
      <w:r w:rsidRPr="008A39AD">
        <w:rPr>
          <w:rFonts w:ascii="Arial" w:hAnsi="Arial" w:cs="Arial"/>
        </w:rPr>
        <w:t xml:space="preserve">Adjusting for patient case-mix </w:t>
      </w:r>
      <w:r w:rsidR="004B1AB8" w:rsidRPr="008A39AD">
        <w:rPr>
          <w:rFonts w:ascii="Arial" w:hAnsi="Arial" w:cs="Arial"/>
        </w:rPr>
        <w:t>ha</w:t>
      </w:r>
      <w:r w:rsidR="00AA132A" w:rsidRPr="008A39AD">
        <w:rPr>
          <w:rFonts w:ascii="Arial" w:hAnsi="Arial" w:cs="Arial"/>
        </w:rPr>
        <w:t>d</w:t>
      </w:r>
      <w:r w:rsidR="004B1AB8" w:rsidRPr="008A39AD">
        <w:rPr>
          <w:rFonts w:ascii="Arial" w:hAnsi="Arial" w:cs="Arial"/>
        </w:rPr>
        <w:t xml:space="preserve"> little impact on the overall rate of </w:t>
      </w:r>
      <w:r w:rsidR="00043585" w:rsidRPr="008A39AD">
        <w:rPr>
          <w:rFonts w:ascii="Arial" w:hAnsi="Arial" w:cs="Arial"/>
        </w:rPr>
        <w:t xml:space="preserve">HD </w:t>
      </w:r>
      <w:r w:rsidR="003D2CEE" w:rsidRPr="008A39AD">
        <w:rPr>
          <w:rFonts w:ascii="Arial" w:hAnsi="Arial" w:cs="Arial"/>
        </w:rPr>
        <w:t>transfer</w:t>
      </w:r>
      <w:r w:rsidR="00EE08E5" w:rsidRPr="008A39AD">
        <w:rPr>
          <w:rFonts w:ascii="Arial" w:hAnsi="Arial" w:cs="Arial"/>
        </w:rPr>
        <w:t xml:space="preserve">, other than explaining a small difference in </w:t>
      </w:r>
      <w:r w:rsidR="008364A3" w:rsidRPr="008A39AD">
        <w:rPr>
          <w:rFonts w:ascii="Arial" w:hAnsi="Arial" w:cs="Arial"/>
        </w:rPr>
        <w:t xml:space="preserve">risks </w:t>
      </w:r>
      <w:r w:rsidR="00EE08E5" w:rsidRPr="008A39AD">
        <w:rPr>
          <w:rFonts w:ascii="Arial" w:hAnsi="Arial" w:cs="Arial"/>
        </w:rPr>
        <w:t xml:space="preserve">of </w:t>
      </w:r>
      <w:r w:rsidR="00043585" w:rsidRPr="008A39AD">
        <w:rPr>
          <w:rFonts w:ascii="Arial" w:hAnsi="Arial" w:cs="Arial"/>
        </w:rPr>
        <w:t xml:space="preserve">HD </w:t>
      </w:r>
      <w:r w:rsidR="003D2CEE" w:rsidRPr="008A39AD">
        <w:rPr>
          <w:rFonts w:ascii="Arial" w:hAnsi="Arial" w:cs="Arial"/>
        </w:rPr>
        <w:t>transfer</w:t>
      </w:r>
      <w:r w:rsidR="00EE08E5" w:rsidRPr="008A39AD">
        <w:rPr>
          <w:rFonts w:ascii="Arial" w:hAnsi="Arial" w:cs="Arial"/>
        </w:rPr>
        <w:t xml:space="preserve"> in Australia/</w:t>
      </w:r>
      <w:r w:rsidR="00255948" w:rsidRPr="008A39AD">
        <w:rPr>
          <w:rFonts w:ascii="Arial" w:hAnsi="Arial" w:cs="Arial"/>
        </w:rPr>
        <w:t>New Zealand</w:t>
      </w:r>
      <w:r w:rsidR="0092201D" w:rsidRPr="008A39AD">
        <w:rPr>
          <w:rFonts w:ascii="Arial" w:hAnsi="Arial" w:cs="Arial"/>
        </w:rPr>
        <w:t>.</w:t>
      </w:r>
      <w:r w:rsidR="00AA132A" w:rsidRPr="008A39AD">
        <w:rPr>
          <w:rFonts w:ascii="Arial" w:hAnsi="Arial" w:cs="Arial"/>
        </w:rPr>
        <w:t xml:space="preserve"> </w:t>
      </w:r>
      <w:r w:rsidR="0051296D" w:rsidRPr="008A39AD">
        <w:rPr>
          <w:rFonts w:ascii="Arial" w:hAnsi="Arial" w:cs="Arial"/>
        </w:rPr>
        <w:t>A</w:t>
      </w:r>
      <w:r w:rsidR="00AA132A" w:rsidRPr="008A39AD">
        <w:rPr>
          <w:rFonts w:ascii="Arial" w:hAnsi="Arial" w:cs="Arial"/>
        </w:rPr>
        <w:t>ge</w:t>
      </w:r>
      <w:r w:rsidR="00840BEF" w:rsidRPr="008A39AD">
        <w:rPr>
          <w:rFonts w:ascii="Arial" w:hAnsi="Arial" w:cs="Arial"/>
        </w:rPr>
        <w:t xml:space="preserve"> and </w:t>
      </w:r>
      <w:r w:rsidR="00AA132A" w:rsidRPr="008A39AD">
        <w:rPr>
          <w:rFonts w:ascii="Arial" w:hAnsi="Arial" w:cs="Arial"/>
        </w:rPr>
        <w:t>comorbidities</w:t>
      </w:r>
      <w:r w:rsidR="003B5B34" w:rsidRPr="008A39AD">
        <w:rPr>
          <w:rFonts w:ascii="Arial" w:hAnsi="Arial" w:cs="Arial"/>
        </w:rPr>
        <w:t>,</w:t>
      </w:r>
      <w:r w:rsidR="00AA132A" w:rsidRPr="008A39AD">
        <w:rPr>
          <w:rFonts w:ascii="Arial" w:hAnsi="Arial" w:cs="Arial"/>
        </w:rPr>
        <w:t xml:space="preserve"> including diabetes and cardiovascular disease</w:t>
      </w:r>
      <w:r w:rsidR="003B5B34" w:rsidRPr="008A39AD">
        <w:rPr>
          <w:rFonts w:ascii="Arial" w:hAnsi="Arial" w:cs="Arial"/>
        </w:rPr>
        <w:t>,</w:t>
      </w:r>
      <w:r w:rsidR="00AA132A" w:rsidRPr="008A39AD">
        <w:rPr>
          <w:rFonts w:ascii="Arial" w:hAnsi="Arial" w:cs="Arial"/>
        </w:rPr>
        <w:t xml:space="preserve"> were </w:t>
      </w:r>
      <w:r w:rsidR="000A4D20" w:rsidRPr="008A39AD">
        <w:rPr>
          <w:rFonts w:ascii="Arial" w:hAnsi="Arial" w:cs="Arial"/>
        </w:rPr>
        <w:t xml:space="preserve">more strongly </w:t>
      </w:r>
      <w:r w:rsidR="00AA132A" w:rsidRPr="008A39AD">
        <w:rPr>
          <w:rFonts w:ascii="Arial" w:hAnsi="Arial" w:cs="Arial"/>
        </w:rPr>
        <w:t xml:space="preserve">associated with </w:t>
      </w:r>
      <w:r w:rsidR="000A4D20" w:rsidRPr="008A39AD">
        <w:rPr>
          <w:rFonts w:ascii="Arial" w:hAnsi="Arial" w:cs="Arial"/>
        </w:rPr>
        <w:t xml:space="preserve">death than </w:t>
      </w:r>
      <w:r w:rsidR="00273D3E" w:rsidRPr="008A39AD">
        <w:rPr>
          <w:rFonts w:ascii="Arial" w:hAnsi="Arial" w:cs="Arial"/>
        </w:rPr>
        <w:t xml:space="preserve">with </w:t>
      </w:r>
      <w:r w:rsidR="00043585" w:rsidRPr="008A39AD">
        <w:rPr>
          <w:rFonts w:ascii="Arial" w:hAnsi="Arial" w:cs="Arial"/>
        </w:rPr>
        <w:t xml:space="preserve">HD </w:t>
      </w:r>
      <w:r w:rsidR="003D2CEE" w:rsidRPr="008A39AD">
        <w:rPr>
          <w:rFonts w:ascii="Arial" w:hAnsi="Arial" w:cs="Arial"/>
        </w:rPr>
        <w:t>transfer</w:t>
      </w:r>
      <w:r w:rsidR="000A4D20" w:rsidRPr="008A39AD">
        <w:rPr>
          <w:rFonts w:ascii="Arial" w:hAnsi="Arial" w:cs="Arial"/>
        </w:rPr>
        <w:t xml:space="preserve">. </w:t>
      </w:r>
    </w:p>
    <w:p w14:paraId="0085B612" w14:textId="6EA82500" w:rsidR="0092201D" w:rsidRPr="008A39AD" w:rsidRDefault="00241A30" w:rsidP="0054676E">
      <w:pPr>
        <w:spacing w:after="200" w:line="480" w:lineRule="auto"/>
        <w:rPr>
          <w:rFonts w:ascii="Arial" w:hAnsi="Arial" w:cs="Arial"/>
        </w:rPr>
      </w:pPr>
      <w:r w:rsidRPr="008A39AD">
        <w:rPr>
          <w:rFonts w:ascii="Arial" w:hAnsi="Arial" w:cs="Arial"/>
        </w:rPr>
        <w:t>Similar to a previous report, we</w:t>
      </w:r>
      <w:r w:rsidR="0051296D" w:rsidRPr="008A39AD">
        <w:rPr>
          <w:rFonts w:ascii="Arial" w:hAnsi="Arial" w:cs="Arial"/>
        </w:rPr>
        <w:t xml:space="preserve"> found</w:t>
      </w:r>
      <w:r w:rsidR="00262D5B" w:rsidRPr="008A39AD">
        <w:rPr>
          <w:rFonts w:ascii="Arial" w:hAnsi="Arial" w:cs="Arial"/>
        </w:rPr>
        <w:t xml:space="preserve"> </w:t>
      </w:r>
      <w:r w:rsidR="007773D3" w:rsidRPr="008A39AD">
        <w:rPr>
          <w:rFonts w:ascii="Arial" w:hAnsi="Arial" w:cs="Arial"/>
        </w:rPr>
        <w:t>a</w:t>
      </w:r>
      <w:r w:rsidR="00060B2A" w:rsidRPr="008A39AD">
        <w:rPr>
          <w:rFonts w:ascii="Arial" w:hAnsi="Arial" w:cs="Arial"/>
        </w:rPr>
        <w:t>n</w:t>
      </w:r>
      <w:r w:rsidR="007773D3" w:rsidRPr="008A39AD">
        <w:rPr>
          <w:rFonts w:ascii="Arial" w:hAnsi="Arial" w:cs="Arial"/>
        </w:rPr>
        <w:t xml:space="preserve"> association </w:t>
      </w:r>
      <w:r w:rsidR="00F031EB" w:rsidRPr="008A39AD">
        <w:rPr>
          <w:rFonts w:ascii="Arial" w:hAnsi="Arial" w:cs="Arial"/>
        </w:rPr>
        <w:t>between the</w:t>
      </w:r>
      <w:r w:rsidR="00EC3118" w:rsidRPr="008A39AD">
        <w:rPr>
          <w:rFonts w:ascii="Arial" w:hAnsi="Arial" w:cs="Arial"/>
        </w:rPr>
        <w:t xml:space="preserve"> reason for </w:t>
      </w:r>
      <w:r w:rsidR="00043585" w:rsidRPr="008A39AD">
        <w:rPr>
          <w:rFonts w:ascii="Arial" w:hAnsi="Arial" w:cs="Arial"/>
        </w:rPr>
        <w:t xml:space="preserve">HD </w:t>
      </w:r>
      <w:r w:rsidR="003D2CEE" w:rsidRPr="008A39AD">
        <w:rPr>
          <w:rFonts w:ascii="Arial" w:hAnsi="Arial" w:cs="Arial"/>
        </w:rPr>
        <w:t xml:space="preserve">transfer </w:t>
      </w:r>
      <w:r w:rsidR="00F031EB" w:rsidRPr="008A39AD">
        <w:rPr>
          <w:rFonts w:ascii="Arial" w:hAnsi="Arial" w:cs="Arial"/>
        </w:rPr>
        <w:t xml:space="preserve">and </w:t>
      </w:r>
      <w:r w:rsidR="007773D3" w:rsidRPr="008A39AD">
        <w:rPr>
          <w:rFonts w:ascii="Arial" w:hAnsi="Arial" w:cs="Arial"/>
        </w:rPr>
        <w:t>duration of therapy</w:t>
      </w:r>
      <w:r w:rsidR="0051296D" w:rsidRPr="008A39AD">
        <w:rPr>
          <w:rFonts w:ascii="Arial" w:hAnsi="Arial" w:cs="Arial"/>
        </w:rPr>
        <w:t>.  C</w:t>
      </w:r>
      <w:r w:rsidR="00EC3118" w:rsidRPr="008A39AD">
        <w:rPr>
          <w:rFonts w:ascii="Arial" w:hAnsi="Arial" w:cs="Arial"/>
        </w:rPr>
        <w:t>atheter problems, leaks</w:t>
      </w:r>
      <w:r w:rsidR="00EF019A" w:rsidRPr="008A39AD">
        <w:rPr>
          <w:rFonts w:ascii="Arial" w:hAnsi="Arial" w:cs="Arial"/>
        </w:rPr>
        <w:t>,</w:t>
      </w:r>
      <w:r w:rsidR="00EC3118" w:rsidRPr="008A39AD">
        <w:rPr>
          <w:rFonts w:ascii="Arial" w:hAnsi="Arial" w:cs="Arial"/>
        </w:rPr>
        <w:t xml:space="preserve"> and hernia </w:t>
      </w:r>
      <w:r w:rsidR="003B5B34" w:rsidRPr="008A39AD">
        <w:rPr>
          <w:rFonts w:ascii="Arial" w:hAnsi="Arial" w:cs="Arial"/>
        </w:rPr>
        <w:t>we</w:t>
      </w:r>
      <w:r w:rsidR="00705F9F" w:rsidRPr="008A39AD">
        <w:rPr>
          <w:rFonts w:ascii="Arial" w:hAnsi="Arial" w:cs="Arial"/>
        </w:rPr>
        <w:t xml:space="preserve">re important causes for </w:t>
      </w:r>
      <w:r w:rsidR="00043585" w:rsidRPr="008A39AD">
        <w:rPr>
          <w:rFonts w:ascii="Arial" w:hAnsi="Arial" w:cs="Arial"/>
        </w:rPr>
        <w:t xml:space="preserve">HD </w:t>
      </w:r>
      <w:r w:rsidR="003D2CEE" w:rsidRPr="008A39AD">
        <w:rPr>
          <w:rFonts w:ascii="Arial" w:hAnsi="Arial" w:cs="Arial"/>
        </w:rPr>
        <w:t xml:space="preserve">transfer </w:t>
      </w:r>
      <w:r w:rsidR="00705F9F" w:rsidRPr="008A39AD">
        <w:rPr>
          <w:rFonts w:ascii="Arial" w:hAnsi="Arial" w:cs="Arial"/>
        </w:rPr>
        <w:t xml:space="preserve">early in PD therapy and </w:t>
      </w:r>
      <w:r w:rsidR="00EC3118" w:rsidRPr="008A39AD">
        <w:rPr>
          <w:rFonts w:ascii="Arial" w:hAnsi="Arial" w:cs="Arial"/>
        </w:rPr>
        <w:t xml:space="preserve">become proportionally less common, </w:t>
      </w:r>
      <w:r w:rsidR="0087138D" w:rsidRPr="008A39AD">
        <w:rPr>
          <w:rFonts w:ascii="Arial" w:hAnsi="Arial" w:cs="Arial"/>
        </w:rPr>
        <w:t>whereas</w:t>
      </w:r>
      <w:r w:rsidR="00EC3118" w:rsidRPr="008A39AD">
        <w:rPr>
          <w:rFonts w:ascii="Arial" w:hAnsi="Arial" w:cs="Arial"/>
        </w:rPr>
        <w:t xml:space="preserve"> poor water or solute clearance and psychosocial</w:t>
      </w:r>
      <w:r w:rsidR="00262D5B" w:rsidRPr="008A39AD">
        <w:rPr>
          <w:rFonts w:ascii="Arial" w:hAnsi="Arial" w:cs="Arial"/>
        </w:rPr>
        <w:t>/</w:t>
      </w:r>
      <w:r w:rsidR="00EC3118" w:rsidRPr="008A39AD">
        <w:rPr>
          <w:rFonts w:ascii="Arial" w:hAnsi="Arial" w:cs="Arial"/>
        </w:rPr>
        <w:t>medical reasons become more common</w:t>
      </w:r>
      <w:r w:rsidR="00105D2D" w:rsidRPr="008A39AD">
        <w:rPr>
          <w:rFonts w:ascii="Arial" w:hAnsi="Arial" w:cs="Arial"/>
        </w:rPr>
        <w:t xml:space="preserve"> with increasing PD vintage</w:t>
      </w:r>
      <w:r w:rsidR="00362259" w:rsidRPr="008A39AD">
        <w:rPr>
          <w:rFonts w:ascii="Arial" w:hAnsi="Arial" w:cs="Arial"/>
        </w:rPr>
        <w:t xml:space="preserve"> </w:t>
      </w:r>
      <w:r w:rsidR="00EF1D6A" w:rsidRPr="008A39AD">
        <w:rPr>
          <w:rFonts w:ascii="Arial" w:hAnsi="Arial" w:cs="Arial"/>
          <w:vertAlign w:val="superscript"/>
        </w:rPr>
        <w:t>2</w:t>
      </w:r>
      <w:r w:rsidR="001E0B66" w:rsidRPr="008A39AD">
        <w:rPr>
          <w:rFonts w:ascii="Arial" w:hAnsi="Arial" w:cs="Arial"/>
          <w:vertAlign w:val="superscript"/>
        </w:rPr>
        <w:t>8</w:t>
      </w:r>
      <w:r w:rsidR="00EC3118" w:rsidRPr="008A39AD">
        <w:rPr>
          <w:rFonts w:ascii="Arial" w:hAnsi="Arial" w:cs="Arial"/>
        </w:rPr>
        <w:t xml:space="preserve">. </w:t>
      </w:r>
      <w:r w:rsidR="008364A3" w:rsidRPr="008A39AD">
        <w:rPr>
          <w:rFonts w:ascii="Arial" w:hAnsi="Arial" w:cs="Arial"/>
        </w:rPr>
        <w:t>The absence of p</w:t>
      </w:r>
      <w:r w:rsidR="003B5B34" w:rsidRPr="008A39AD">
        <w:rPr>
          <w:rFonts w:ascii="Arial" w:hAnsi="Arial" w:cs="Arial"/>
        </w:rPr>
        <w:t>sycho</w:t>
      </w:r>
      <w:r w:rsidR="008364A3" w:rsidRPr="008A39AD">
        <w:rPr>
          <w:rFonts w:ascii="Arial" w:hAnsi="Arial" w:cs="Arial"/>
        </w:rPr>
        <w:t xml:space="preserve">social causes of </w:t>
      </w:r>
      <w:r w:rsidR="00043585" w:rsidRPr="008A39AD">
        <w:rPr>
          <w:rFonts w:ascii="Arial" w:hAnsi="Arial" w:cs="Arial"/>
        </w:rPr>
        <w:t xml:space="preserve">HD </w:t>
      </w:r>
      <w:r w:rsidR="003D2CEE" w:rsidRPr="008A39AD">
        <w:rPr>
          <w:rFonts w:ascii="Arial" w:hAnsi="Arial" w:cs="Arial"/>
        </w:rPr>
        <w:t xml:space="preserve">transfer </w:t>
      </w:r>
      <w:r w:rsidR="008364A3" w:rsidRPr="008A39AD">
        <w:rPr>
          <w:rFonts w:ascii="Arial" w:hAnsi="Arial" w:cs="Arial"/>
        </w:rPr>
        <w:t xml:space="preserve">in Thailand may speak to </w:t>
      </w:r>
      <w:r w:rsidR="00016F4C" w:rsidRPr="008A39AD">
        <w:rPr>
          <w:rFonts w:ascii="Arial" w:hAnsi="Arial" w:cs="Arial"/>
        </w:rPr>
        <w:t xml:space="preserve">resistance by patients to </w:t>
      </w:r>
      <w:r w:rsidR="00043585" w:rsidRPr="008A39AD">
        <w:rPr>
          <w:rFonts w:ascii="Arial" w:hAnsi="Arial" w:cs="Arial"/>
        </w:rPr>
        <w:t xml:space="preserve">HD </w:t>
      </w:r>
      <w:r w:rsidR="003D2CEE" w:rsidRPr="008A39AD">
        <w:rPr>
          <w:rFonts w:ascii="Arial" w:hAnsi="Arial" w:cs="Arial"/>
        </w:rPr>
        <w:t>transfer</w:t>
      </w:r>
      <w:r w:rsidR="00016F4C" w:rsidRPr="008A39AD">
        <w:rPr>
          <w:rFonts w:ascii="Arial" w:hAnsi="Arial" w:cs="Arial"/>
        </w:rPr>
        <w:t xml:space="preserve"> due to logistical or transportation challenges, or </w:t>
      </w:r>
      <w:r w:rsidR="008364A3" w:rsidRPr="008A39AD">
        <w:rPr>
          <w:rFonts w:ascii="Arial" w:hAnsi="Arial" w:cs="Arial"/>
        </w:rPr>
        <w:t xml:space="preserve">consequences of a </w:t>
      </w:r>
      <w:r w:rsidR="00EF019A" w:rsidRPr="008A39AD">
        <w:rPr>
          <w:rFonts w:ascii="Arial" w:hAnsi="Arial" w:cs="Arial"/>
        </w:rPr>
        <w:t>“</w:t>
      </w:r>
      <w:r w:rsidR="008364A3" w:rsidRPr="008A39AD">
        <w:rPr>
          <w:rFonts w:ascii="Arial" w:hAnsi="Arial" w:cs="Arial"/>
        </w:rPr>
        <w:t>PD first</w:t>
      </w:r>
      <w:r w:rsidR="00EF019A" w:rsidRPr="008A39AD">
        <w:rPr>
          <w:rFonts w:ascii="Arial" w:hAnsi="Arial" w:cs="Arial"/>
        </w:rPr>
        <w:t>”</w:t>
      </w:r>
      <w:r w:rsidR="008364A3" w:rsidRPr="008A39AD">
        <w:rPr>
          <w:rFonts w:ascii="Arial" w:hAnsi="Arial" w:cs="Arial"/>
        </w:rPr>
        <w:t xml:space="preserve"> policy resulting in many long-term patients </w:t>
      </w:r>
      <w:r w:rsidR="003B5B34" w:rsidRPr="008A39AD">
        <w:rPr>
          <w:rFonts w:ascii="Arial" w:hAnsi="Arial" w:cs="Arial"/>
        </w:rPr>
        <w:t xml:space="preserve">persisting with PD </w:t>
      </w:r>
      <w:r w:rsidRPr="008A39AD">
        <w:rPr>
          <w:rFonts w:ascii="Arial" w:hAnsi="Arial" w:cs="Arial"/>
        </w:rPr>
        <w:t>despite</w:t>
      </w:r>
      <w:r w:rsidR="003B5B34" w:rsidRPr="008A39AD">
        <w:rPr>
          <w:rFonts w:ascii="Arial" w:hAnsi="Arial" w:cs="Arial"/>
        </w:rPr>
        <w:t xml:space="preserve"> </w:t>
      </w:r>
      <w:r w:rsidR="008364A3" w:rsidRPr="008A39AD">
        <w:rPr>
          <w:rFonts w:ascii="Arial" w:hAnsi="Arial" w:cs="Arial"/>
        </w:rPr>
        <w:t xml:space="preserve">struggling </w:t>
      </w:r>
      <w:r w:rsidR="003B5B34" w:rsidRPr="008A39AD">
        <w:rPr>
          <w:rFonts w:ascii="Arial" w:hAnsi="Arial" w:cs="Arial"/>
        </w:rPr>
        <w:t xml:space="preserve">with </w:t>
      </w:r>
      <w:r w:rsidR="008364A3" w:rsidRPr="008A39AD">
        <w:rPr>
          <w:rFonts w:ascii="Arial" w:hAnsi="Arial" w:cs="Arial"/>
        </w:rPr>
        <w:t>burnout</w:t>
      </w:r>
      <w:r w:rsidRPr="008A39AD">
        <w:rPr>
          <w:rFonts w:ascii="Arial" w:hAnsi="Arial" w:cs="Arial"/>
        </w:rPr>
        <w:t>.</w:t>
      </w:r>
      <w:r w:rsidR="008C2AE3" w:rsidRPr="008A39AD">
        <w:rPr>
          <w:rFonts w:ascii="Arial" w:hAnsi="Arial" w:cs="Arial"/>
        </w:rPr>
        <w:t xml:space="preserve"> </w:t>
      </w:r>
      <w:r w:rsidR="003B5B34" w:rsidRPr="008A39AD">
        <w:rPr>
          <w:rFonts w:ascii="Arial" w:hAnsi="Arial" w:cs="Arial"/>
        </w:rPr>
        <w:t xml:space="preserve"> </w:t>
      </w:r>
      <w:r w:rsidR="008C2AE3" w:rsidRPr="008A39AD">
        <w:rPr>
          <w:rFonts w:ascii="Arial" w:hAnsi="Arial" w:cs="Arial"/>
        </w:rPr>
        <w:t>Ex</w:t>
      </w:r>
      <w:r w:rsidR="008364A3" w:rsidRPr="008A39AD">
        <w:rPr>
          <w:rFonts w:ascii="Arial" w:hAnsi="Arial" w:cs="Arial"/>
        </w:rPr>
        <w:t>ternal pressures</w:t>
      </w:r>
      <w:r w:rsidR="003B5B34" w:rsidRPr="008A39AD">
        <w:rPr>
          <w:rFonts w:ascii="Arial" w:hAnsi="Arial" w:cs="Arial"/>
        </w:rPr>
        <w:t xml:space="preserve"> </w:t>
      </w:r>
      <w:r w:rsidR="00EF019A" w:rsidRPr="008A39AD">
        <w:rPr>
          <w:rFonts w:ascii="Arial" w:hAnsi="Arial" w:cs="Arial"/>
        </w:rPr>
        <w:t xml:space="preserve">could </w:t>
      </w:r>
      <w:r w:rsidR="003B5B34" w:rsidRPr="008A39AD">
        <w:rPr>
          <w:rFonts w:ascii="Arial" w:hAnsi="Arial" w:cs="Arial"/>
        </w:rPr>
        <w:t xml:space="preserve">result in </w:t>
      </w:r>
      <w:r w:rsidR="00043585" w:rsidRPr="008A39AD">
        <w:rPr>
          <w:rFonts w:ascii="Arial" w:hAnsi="Arial" w:cs="Arial"/>
        </w:rPr>
        <w:t xml:space="preserve">HD </w:t>
      </w:r>
      <w:r w:rsidR="003D2CEE" w:rsidRPr="008A39AD">
        <w:rPr>
          <w:rFonts w:ascii="Arial" w:hAnsi="Arial" w:cs="Arial"/>
        </w:rPr>
        <w:t>transfer</w:t>
      </w:r>
      <w:r w:rsidR="008364A3" w:rsidRPr="008A39AD">
        <w:rPr>
          <w:rFonts w:ascii="Arial" w:hAnsi="Arial" w:cs="Arial"/>
        </w:rPr>
        <w:t xml:space="preserve"> for when absolutely medically indicated.</w:t>
      </w:r>
      <w:r w:rsidR="00214801" w:rsidRPr="008A39AD">
        <w:rPr>
          <w:rFonts w:ascii="Arial" w:hAnsi="Arial" w:cs="Arial"/>
        </w:rPr>
        <w:t xml:space="preserve"> </w:t>
      </w:r>
    </w:p>
    <w:p w14:paraId="7E99892A" w14:textId="2F02F6FC" w:rsidR="009E4E6E" w:rsidRPr="008A39AD" w:rsidRDefault="00241A30" w:rsidP="0054676E">
      <w:pPr>
        <w:spacing w:after="200" w:line="480" w:lineRule="auto"/>
        <w:rPr>
          <w:rFonts w:ascii="Arial" w:hAnsi="Arial" w:cs="Arial"/>
        </w:rPr>
      </w:pPr>
      <w:r w:rsidRPr="008A39AD">
        <w:rPr>
          <w:rFonts w:ascii="Arial" w:hAnsi="Arial" w:cs="Arial"/>
        </w:rPr>
        <w:t>W</w:t>
      </w:r>
      <w:r w:rsidR="009E4E6E" w:rsidRPr="008A39AD">
        <w:rPr>
          <w:rFonts w:ascii="Arial" w:hAnsi="Arial" w:cs="Arial"/>
        </w:rPr>
        <w:t>e found t</w:t>
      </w:r>
      <w:r w:rsidR="00060B2A" w:rsidRPr="008A39AD">
        <w:rPr>
          <w:rFonts w:ascii="Arial" w:hAnsi="Arial" w:cs="Arial"/>
        </w:rPr>
        <w:t>hose</w:t>
      </w:r>
      <w:r w:rsidR="009E4E6E" w:rsidRPr="008A39AD">
        <w:rPr>
          <w:rFonts w:ascii="Arial" w:hAnsi="Arial" w:cs="Arial"/>
        </w:rPr>
        <w:t xml:space="preserve"> with a history of psychiatric disorder</w:t>
      </w:r>
      <w:r w:rsidR="00CD0DCD" w:rsidRPr="008A39AD">
        <w:rPr>
          <w:rFonts w:ascii="Arial" w:hAnsi="Arial" w:cs="Arial"/>
        </w:rPr>
        <w:t xml:space="preserve">s </w:t>
      </w:r>
      <w:r w:rsidR="009E4E6E" w:rsidRPr="008A39AD">
        <w:rPr>
          <w:rFonts w:ascii="Arial" w:hAnsi="Arial" w:cs="Arial"/>
        </w:rPr>
        <w:t xml:space="preserve">faced </w:t>
      </w:r>
      <w:r w:rsidR="00E33BCE" w:rsidRPr="008A39AD">
        <w:rPr>
          <w:rFonts w:ascii="Arial" w:hAnsi="Arial" w:cs="Arial"/>
        </w:rPr>
        <w:t xml:space="preserve">higher </w:t>
      </w:r>
      <w:r w:rsidR="009E4E6E" w:rsidRPr="008A39AD">
        <w:rPr>
          <w:rFonts w:ascii="Arial" w:hAnsi="Arial" w:cs="Arial"/>
        </w:rPr>
        <w:t xml:space="preserve">risks of transfer to </w:t>
      </w:r>
      <w:r w:rsidR="008C2AE3" w:rsidRPr="008A39AD">
        <w:rPr>
          <w:rFonts w:ascii="Arial" w:hAnsi="Arial" w:cs="Arial"/>
        </w:rPr>
        <w:t>HD</w:t>
      </w:r>
      <w:r w:rsidR="009E4E6E" w:rsidRPr="008A39AD">
        <w:rPr>
          <w:rFonts w:ascii="Arial" w:hAnsi="Arial" w:cs="Arial"/>
        </w:rPr>
        <w:t xml:space="preserve">. Previous studies </w:t>
      </w:r>
      <w:r w:rsidRPr="008A39AD">
        <w:rPr>
          <w:rFonts w:ascii="Arial" w:hAnsi="Arial" w:cs="Arial"/>
        </w:rPr>
        <w:t>found that</w:t>
      </w:r>
      <w:r w:rsidR="009E4E6E" w:rsidRPr="008A39AD">
        <w:rPr>
          <w:rFonts w:ascii="Arial" w:hAnsi="Arial" w:cs="Arial"/>
        </w:rPr>
        <w:t xml:space="preserve"> depression in PD </w:t>
      </w:r>
      <w:r w:rsidRPr="008A39AD">
        <w:rPr>
          <w:rFonts w:ascii="Arial" w:hAnsi="Arial" w:cs="Arial"/>
        </w:rPr>
        <w:t xml:space="preserve">patients </w:t>
      </w:r>
      <w:r w:rsidR="00E33BCE" w:rsidRPr="008A39AD">
        <w:rPr>
          <w:rFonts w:ascii="Arial" w:hAnsi="Arial" w:cs="Arial"/>
        </w:rPr>
        <w:t xml:space="preserve">carried higher </w:t>
      </w:r>
      <w:r w:rsidR="009E4E6E" w:rsidRPr="008A39AD">
        <w:rPr>
          <w:rFonts w:ascii="Arial" w:hAnsi="Arial" w:cs="Arial"/>
        </w:rPr>
        <w:t xml:space="preserve">peritonitis </w:t>
      </w:r>
      <w:r w:rsidRPr="008A39AD">
        <w:rPr>
          <w:rFonts w:ascii="Arial" w:hAnsi="Arial" w:cs="Arial"/>
        </w:rPr>
        <w:t>risk</w:t>
      </w:r>
      <w:r w:rsidR="00E33BCE" w:rsidRPr="008A39AD">
        <w:rPr>
          <w:rFonts w:ascii="Arial" w:hAnsi="Arial" w:cs="Arial"/>
        </w:rPr>
        <w:t>s</w:t>
      </w:r>
      <w:r w:rsidRPr="008A39AD">
        <w:rPr>
          <w:rFonts w:ascii="Arial" w:hAnsi="Arial" w:cs="Arial"/>
        </w:rPr>
        <w:t xml:space="preserve"> </w:t>
      </w:r>
      <w:r w:rsidR="009E4E6E" w:rsidRPr="008A39AD">
        <w:rPr>
          <w:rFonts w:ascii="Arial" w:hAnsi="Arial" w:cs="Arial"/>
        </w:rPr>
        <w:t xml:space="preserve">and may </w:t>
      </w:r>
      <w:r w:rsidR="005474F9" w:rsidRPr="008A39AD">
        <w:rPr>
          <w:rFonts w:ascii="Arial" w:hAnsi="Arial" w:cs="Arial"/>
        </w:rPr>
        <w:t xml:space="preserve">have been </w:t>
      </w:r>
      <w:r w:rsidR="009E4E6E" w:rsidRPr="008A39AD">
        <w:rPr>
          <w:rFonts w:ascii="Arial" w:hAnsi="Arial" w:cs="Arial"/>
        </w:rPr>
        <w:t>relatively underdiagnosed across HD and PD patients</w:t>
      </w:r>
      <w:r w:rsidR="00282AE4" w:rsidRPr="008A39AD">
        <w:rPr>
          <w:rFonts w:ascii="Arial" w:hAnsi="Arial" w:cs="Arial"/>
        </w:rPr>
        <w:t>,</w:t>
      </w:r>
      <w:r w:rsidR="009E4E6E" w:rsidRPr="008A39AD">
        <w:rPr>
          <w:rFonts w:ascii="Arial" w:hAnsi="Arial" w:cs="Arial"/>
        </w:rPr>
        <w:t xml:space="preserve"> particularly in Japan</w:t>
      </w:r>
      <w:r w:rsidR="00F61595" w:rsidRPr="008A39AD">
        <w:rPr>
          <w:rFonts w:ascii="Arial" w:hAnsi="Arial" w:cs="Arial"/>
        </w:rPr>
        <w:t xml:space="preserve"> </w:t>
      </w:r>
      <w:r w:rsidR="00F13D22" w:rsidRPr="008A39AD">
        <w:rPr>
          <w:rFonts w:ascii="Arial" w:hAnsi="Arial" w:cs="Arial"/>
          <w:vertAlign w:val="superscript"/>
        </w:rPr>
        <w:t>2</w:t>
      </w:r>
      <w:r w:rsidR="001E0B66" w:rsidRPr="008A39AD">
        <w:rPr>
          <w:rFonts w:ascii="Arial" w:hAnsi="Arial" w:cs="Arial"/>
          <w:vertAlign w:val="superscript"/>
        </w:rPr>
        <w:t>9</w:t>
      </w:r>
      <w:r w:rsidR="00F61595" w:rsidRPr="008A39AD">
        <w:rPr>
          <w:rFonts w:ascii="Arial" w:hAnsi="Arial" w:cs="Arial"/>
          <w:vertAlign w:val="superscript"/>
        </w:rPr>
        <w:t>,</w:t>
      </w:r>
      <w:r w:rsidR="001E0B66" w:rsidRPr="008A39AD">
        <w:rPr>
          <w:rFonts w:ascii="Arial" w:hAnsi="Arial" w:cs="Arial"/>
          <w:vertAlign w:val="superscript"/>
        </w:rPr>
        <w:t>30</w:t>
      </w:r>
      <w:r w:rsidR="009E4E6E" w:rsidRPr="008A39AD">
        <w:rPr>
          <w:rFonts w:ascii="Arial" w:hAnsi="Arial" w:cs="Arial"/>
        </w:rPr>
        <w:t>.</w:t>
      </w:r>
      <w:r w:rsidR="00214801" w:rsidRPr="008A39AD">
        <w:rPr>
          <w:rFonts w:ascii="Arial" w:hAnsi="Arial" w:cs="Arial"/>
        </w:rPr>
        <w:t xml:space="preserve"> </w:t>
      </w:r>
      <w:r w:rsidR="009E4E6E" w:rsidRPr="008A39AD">
        <w:rPr>
          <w:rFonts w:ascii="Arial" w:hAnsi="Arial" w:cs="Arial"/>
        </w:rPr>
        <w:t xml:space="preserve">Whether </w:t>
      </w:r>
      <w:r w:rsidR="00C90457" w:rsidRPr="008A39AD">
        <w:rPr>
          <w:rFonts w:ascii="Arial" w:hAnsi="Arial" w:cs="Arial"/>
        </w:rPr>
        <w:t>interventions</w:t>
      </w:r>
      <w:r w:rsidR="009E4E6E" w:rsidRPr="008A39AD">
        <w:rPr>
          <w:rFonts w:ascii="Arial" w:hAnsi="Arial" w:cs="Arial"/>
        </w:rPr>
        <w:t xml:space="preserve"> </w:t>
      </w:r>
      <w:r w:rsidR="00364C85" w:rsidRPr="008A39AD">
        <w:rPr>
          <w:rFonts w:ascii="Arial" w:hAnsi="Arial" w:cs="Arial"/>
        </w:rPr>
        <w:t>targeting mental health</w:t>
      </w:r>
      <w:r w:rsidR="009E4E6E" w:rsidRPr="008A39AD">
        <w:rPr>
          <w:rFonts w:ascii="Arial" w:hAnsi="Arial" w:cs="Arial"/>
        </w:rPr>
        <w:t xml:space="preserve"> may extend </w:t>
      </w:r>
      <w:r w:rsidR="00622AD1" w:rsidRPr="008A39AD">
        <w:rPr>
          <w:rFonts w:ascii="Arial" w:hAnsi="Arial" w:cs="Arial"/>
        </w:rPr>
        <w:t>time on PD</w:t>
      </w:r>
      <w:r w:rsidR="009E4E6E" w:rsidRPr="008A39AD">
        <w:rPr>
          <w:rFonts w:ascii="Arial" w:hAnsi="Arial" w:cs="Arial"/>
        </w:rPr>
        <w:t xml:space="preserve"> for </w:t>
      </w:r>
      <w:r w:rsidR="00364C85" w:rsidRPr="008A39AD">
        <w:rPr>
          <w:rFonts w:ascii="Arial" w:hAnsi="Arial" w:cs="Arial"/>
        </w:rPr>
        <w:t xml:space="preserve">these </w:t>
      </w:r>
      <w:r w:rsidR="009E4E6E" w:rsidRPr="008A39AD">
        <w:rPr>
          <w:rFonts w:ascii="Arial" w:hAnsi="Arial" w:cs="Arial"/>
        </w:rPr>
        <w:t xml:space="preserve">individuals </w:t>
      </w:r>
      <w:r w:rsidR="00364C85" w:rsidRPr="008A39AD">
        <w:rPr>
          <w:rFonts w:ascii="Arial" w:hAnsi="Arial" w:cs="Arial"/>
        </w:rPr>
        <w:t>requires</w:t>
      </w:r>
      <w:r w:rsidR="009E4E6E" w:rsidRPr="008A39AD">
        <w:rPr>
          <w:rFonts w:ascii="Arial" w:hAnsi="Arial" w:cs="Arial"/>
        </w:rPr>
        <w:t xml:space="preserve"> evaluation</w:t>
      </w:r>
      <w:r w:rsidR="000C4526" w:rsidRPr="008A39AD">
        <w:rPr>
          <w:rFonts w:ascii="Arial" w:hAnsi="Arial" w:cs="Arial"/>
        </w:rPr>
        <w:t>.</w:t>
      </w:r>
      <w:r w:rsidR="009E4E6E" w:rsidRPr="008A39AD">
        <w:rPr>
          <w:rFonts w:ascii="Arial" w:hAnsi="Arial" w:cs="Arial"/>
        </w:rPr>
        <w:t xml:space="preserve"> </w:t>
      </w:r>
    </w:p>
    <w:p w14:paraId="2DF46B21" w14:textId="0D768BA7" w:rsidR="00B319A5" w:rsidRPr="008A39AD" w:rsidRDefault="00BC00B0" w:rsidP="0054676E">
      <w:pPr>
        <w:spacing w:after="200" w:line="480" w:lineRule="auto"/>
        <w:rPr>
          <w:rFonts w:ascii="Arial" w:hAnsi="Arial" w:cs="Arial"/>
          <w:lang w:val="en-CA"/>
        </w:rPr>
      </w:pPr>
      <w:r w:rsidRPr="008A39AD">
        <w:rPr>
          <w:rFonts w:ascii="Arial" w:hAnsi="Arial" w:cs="Arial"/>
        </w:rPr>
        <w:t>H</w:t>
      </w:r>
      <w:r w:rsidR="00C33C08" w:rsidRPr="008A39AD">
        <w:rPr>
          <w:rFonts w:ascii="Arial" w:hAnsi="Arial" w:cs="Arial"/>
        </w:rPr>
        <w:t>igher</w:t>
      </w:r>
      <w:r w:rsidR="00124310" w:rsidRPr="008A39AD">
        <w:rPr>
          <w:rFonts w:ascii="Arial" w:hAnsi="Arial" w:cs="Arial"/>
        </w:rPr>
        <w:t xml:space="preserve"> BMI</w:t>
      </w:r>
      <w:r w:rsidR="00C65713" w:rsidRPr="008A39AD">
        <w:rPr>
          <w:rFonts w:ascii="Arial" w:hAnsi="Arial" w:cs="Arial"/>
        </w:rPr>
        <w:t xml:space="preserve"> was associated with a </w:t>
      </w:r>
      <w:r w:rsidR="00E33BCE" w:rsidRPr="008A39AD">
        <w:rPr>
          <w:rFonts w:ascii="Arial" w:hAnsi="Arial" w:cs="Arial"/>
        </w:rPr>
        <w:t xml:space="preserve">higher </w:t>
      </w:r>
      <w:r w:rsidR="00C65713" w:rsidRPr="008A39AD">
        <w:rPr>
          <w:rFonts w:ascii="Arial" w:hAnsi="Arial" w:cs="Arial"/>
        </w:rPr>
        <w:t xml:space="preserve">risk of </w:t>
      </w:r>
      <w:r w:rsidR="00043585" w:rsidRPr="008A39AD">
        <w:rPr>
          <w:rFonts w:ascii="Arial" w:hAnsi="Arial" w:cs="Arial"/>
        </w:rPr>
        <w:t xml:space="preserve">HD </w:t>
      </w:r>
      <w:r w:rsidR="003D2CEE" w:rsidRPr="008A39AD">
        <w:rPr>
          <w:rFonts w:ascii="Arial" w:hAnsi="Arial" w:cs="Arial"/>
        </w:rPr>
        <w:t>transfer</w:t>
      </w:r>
      <w:r w:rsidR="00C65713" w:rsidRPr="008A39AD">
        <w:rPr>
          <w:rFonts w:ascii="Arial" w:hAnsi="Arial" w:cs="Arial"/>
        </w:rPr>
        <w:t xml:space="preserve">. </w:t>
      </w:r>
      <w:r w:rsidR="00710638" w:rsidRPr="008A39AD">
        <w:rPr>
          <w:rFonts w:ascii="Arial" w:hAnsi="Arial" w:cs="Arial"/>
        </w:rPr>
        <w:t xml:space="preserve">Previous </w:t>
      </w:r>
      <w:r w:rsidR="00124310" w:rsidRPr="008A39AD">
        <w:rPr>
          <w:rFonts w:ascii="Arial" w:hAnsi="Arial" w:cs="Arial"/>
        </w:rPr>
        <w:t xml:space="preserve">studies </w:t>
      </w:r>
      <w:r w:rsidR="00237A87" w:rsidRPr="008A39AD">
        <w:rPr>
          <w:rFonts w:ascii="Arial" w:hAnsi="Arial" w:cs="Arial"/>
        </w:rPr>
        <w:t>have yielded inconsistent findings</w:t>
      </w:r>
      <w:r w:rsidR="00282AE4" w:rsidRPr="008A39AD">
        <w:rPr>
          <w:rFonts w:ascii="Arial" w:hAnsi="Arial" w:cs="Arial"/>
        </w:rPr>
        <w:t>,</w:t>
      </w:r>
      <w:r w:rsidR="00237A87" w:rsidRPr="008A39AD">
        <w:rPr>
          <w:rFonts w:ascii="Arial" w:hAnsi="Arial" w:cs="Arial"/>
        </w:rPr>
        <w:t xml:space="preserve"> </w:t>
      </w:r>
      <w:bookmarkStart w:id="1" w:name="_Hlk83282345"/>
      <w:r w:rsidR="00084A3A" w:rsidRPr="008A39AD">
        <w:rPr>
          <w:rFonts w:ascii="Arial" w:hAnsi="Arial" w:cs="Arial"/>
          <w:vertAlign w:val="superscript"/>
        </w:rPr>
        <w:t>3</w:t>
      </w:r>
      <w:r w:rsidR="001E0B66" w:rsidRPr="008A39AD">
        <w:rPr>
          <w:rFonts w:ascii="Arial" w:hAnsi="Arial" w:cs="Arial"/>
          <w:vertAlign w:val="superscript"/>
        </w:rPr>
        <w:t>1</w:t>
      </w:r>
      <w:bookmarkEnd w:id="1"/>
      <w:r w:rsidR="00F61595" w:rsidRPr="008A39AD">
        <w:rPr>
          <w:rFonts w:ascii="Arial" w:hAnsi="Arial" w:cs="Arial"/>
          <w:vertAlign w:val="superscript"/>
          <w:lang w:val="en-CA"/>
        </w:rPr>
        <w:t xml:space="preserve">, </w:t>
      </w:r>
      <w:bookmarkStart w:id="2" w:name="_Hlk83282354"/>
      <w:r w:rsidR="00084A3A" w:rsidRPr="008A39AD">
        <w:rPr>
          <w:rFonts w:ascii="Arial" w:hAnsi="Arial" w:cs="Arial"/>
          <w:vertAlign w:val="superscript"/>
          <w:lang w:val="en-CA"/>
        </w:rPr>
        <w:t>3</w:t>
      </w:r>
      <w:r w:rsidR="001E0B66" w:rsidRPr="008A39AD">
        <w:rPr>
          <w:rFonts w:ascii="Arial" w:hAnsi="Arial" w:cs="Arial"/>
          <w:vertAlign w:val="superscript"/>
          <w:lang w:val="en-CA"/>
        </w:rPr>
        <w:t>2</w:t>
      </w:r>
      <w:r w:rsidR="00F61595" w:rsidRPr="008A39AD">
        <w:rPr>
          <w:rFonts w:ascii="Arial" w:hAnsi="Arial" w:cs="Arial"/>
          <w:vertAlign w:val="superscript"/>
          <w:lang w:val="en-CA"/>
        </w:rPr>
        <w:t xml:space="preserve">, </w:t>
      </w:r>
      <w:bookmarkEnd w:id="2"/>
      <w:r w:rsidR="00936BCD" w:rsidRPr="008A39AD">
        <w:rPr>
          <w:rFonts w:ascii="Arial" w:hAnsi="Arial" w:cs="Arial"/>
          <w:i/>
          <w:iCs/>
          <w:vertAlign w:val="superscript"/>
          <w:lang w:val="en-CA"/>
        </w:rPr>
        <w:t>3</w:t>
      </w:r>
      <w:r w:rsidR="001E0B66" w:rsidRPr="008A39AD">
        <w:rPr>
          <w:rFonts w:ascii="Arial" w:hAnsi="Arial" w:cs="Arial"/>
          <w:i/>
          <w:iCs/>
          <w:vertAlign w:val="superscript"/>
          <w:lang w:val="en-CA"/>
        </w:rPr>
        <w:t>3</w:t>
      </w:r>
      <w:r w:rsidR="00710638" w:rsidRPr="008A39AD">
        <w:rPr>
          <w:rFonts w:ascii="Arial" w:hAnsi="Arial" w:cs="Arial"/>
        </w:rPr>
        <w:t xml:space="preserve"> but t</w:t>
      </w:r>
      <w:r w:rsidR="00124310" w:rsidRPr="008A39AD">
        <w:rPr>
          <w:rFonts w:ascii="Arial" w:hAnsi="Arial" w:cs="Arial"/>
        </w:rPr>
        <w:t>he</w:t>
      </w:r>
      <w:r w:rsidR="00710638" w:rsidRPr="008A39AD">
        <w:rPr>
          <w:rFonts w:ascii="Arial" w:hAnsi="Arial" w:cs="Arial"/>
        </w:rPr>
        <w:t>se</w:t>
      </w:r>
      <w:r w:rsidR="00124310" w:rsidRPr="008A39AD">
        <w:rPr>
          <w:rFonts w:ascii="Arial" w:hAnsi="Arial" w:cs="Arial"/>
        </w:rPr>
        <w:t xml:space="preserve"> differences across studies may reflect different </w:t>
      </w:r>
      <w:r w:rsidR="00C65713" w:rsidRPr="008A39AD">
        <w:rPr>
          <w:rFonts w:ascii="Arial" w:hAnsi="Arial" w:cs="Arial"/>
        </w:rPr>
        <w:t xml:space="preserve">BMI </w:t>
      </w:r>
      <w:r w:rsidR="00124310" w:rsidRPr="008A39AD">
        <w:rPr>
          <w:rFonts w:ascii="Arial" w:hAnsi="Arial" w:cs="Arial"/>
        </w:rPr>
        <w:t>cutoff</w:t>
      </w:r>
      <w:r w:rsidR="00C65713" w:rsidRPr="008A39AD">
        <w:rPr>
          <w:rFonts w:ascii="Arial" w:hAnsi="Arial" w:cs="Arial"/>
        </w:rPr>
        <w:t xml:space="preserve">s </w:t>
      </w:r>
      <w:r w:rsidR="00124310" w:rsidRPr="008A39AD">
        <w:rPr>
          <w:rFonts w:ascii="Arial" w:hAnsi="Arial" w:cs="Arial"/>
        </w:rPr>
        <w:t>used, populations studied</w:t>
      </w:r>
      <w:r w:rsidR="00282AE4" w:rsidRPr="008A39AD">
        <w:rPr>
          <w:rFonts w:ascii="Arial" w:hAnsi="Arial" w:cs="Arial"/>
        </w:rPr>
        <w:t>,</w:t>
      </w:r>
      <w:r w:rsidR="00124310" w:rsidRPr="008A39AD">
        <w:rPr>
          <w:rFonts w:ascii="Arial" w:hAnsi="Arial" w:cs="Arial"/>
        </w:rPr>
        <w:t xml:space="preserve"> and definitions of </w:t>
      </w:r>
      <w:r w:rsidR="00043585" w:rsidRPr="008A39AD">
        <w:rPr>
          <w:rFonts w:ascii="Arial" w:hAnsi="Arial" w:cs="Arial"/>
        </w:rPr>
        <w:t xml:space="preserve">HD </w:t>
      </w:r>
      <w:r w:rsidR="003D2CEE" w:rsidRPr="008A39AD">
        <w:rPr>
          <w:rFonts w:ascii="Arial" w:hAnsi="Arial" w:cs="Arial"/>
        </w:rPr>
        <w:t>transfer</w:t>
      </w:r>
      <w:r w:rsidR="00124310" w:rsidRPr="008A39AD">
        <w:rPr>
          <w:rFonts w:ascii="Arial" w:hAnsi="Arial" w:cs="Arial"/>
        </w:rPr>
        <w:t xml:space="preserve"> employed.</w:t>
      </w:r>
      <w:r w:rsidR="00214801" w:rsidRPr="008A39AD">
        <w:rPr>
          <w:rFonts w:ascii="Arial" w:hAnsi="Arial" w:cs="Arial"/>
        </w:rPr>
        <w:t xml:space="preserve"> </w:t>
      </w:r>
      <w:r w:rsidR="00064A6A" w:rsidRPr="008A39AD">
        <w:rPr>
          <w:rFonts w:ascii="Arial" w:hAnsi="Arial" w:cs="Arial"/>
        </w:rPr>
        <w:t>I</w:t>
      </w:r>
      <w:r w:rsidR="00654557" w:rsidRPr="008A39AD">
        <w:rPr>
          <w:rFonts w:ascii="Arial" w:hAnsi="Arial" w:cs="Arial"/>
        </w:rPr>
        <w:t xml:space="preserve">t is </w:t>
      </w:r>
      <w:r w:rsidR="00064A6A" w:rsidRPr="008A39AD">
        <w:rPr>
          <w:rFonts w:ascii="Arial" w:hAnsi="Arial" w:cs="Arial"/>
        </w:rPr>
        <w:t xml:space="preserve">also </w:t>
      </w:r>
      <w:r w:rsidR="00654557" w:rsidRPr="008A39AD">
        <w:rPr>
          <w:rFonts w:ascii="Arial" w:hAnsi="Arial" w:cs="Arial"/>
        </w:rPr>
        <w:t xml:space="preserve">unclear if </w:t>
      </w:r>
      <w:r w:rsidR="002A7AFA" w:rsidRPr="008A39AD">
        <w:rPr>
          <w:rFonts w:ascii="Arial" w:hAnsi="Arial" w:cs="Arial"/>
        </w:rPr>
        <w:t xml:space="preserve">the risks associated with </w:t>
      </w:r>
      <w:r w:rsidR="00654557" w:rsidRPr="008A39AD">
        <w:rPr>
          <w:rFonts w:ascii="Arial" w:hAnsi="Arial" w:cs="Arial"/>
        </w:rPr>
        <w:t xml:space="preserve">elevated BMI </w:t>
      </w:r>
      <w:r w:rsidR="005474F9" w:rsidRPr="008A39AD">
        <w:rPr>
          <w:rFonts w:ascii="Arial" w:hAnsi="Arial" w:cs="Arial"/>
        </w:rPr>
        <w:t>we</w:t>
      </w:r>
      <w:r w:rsidR="002A7AFA" w:rsidRPr="008A39AD">
        <w:rPr>
          <w:rFonts w:ascii="Arial" w:hAnsi="Arial" w:cs="Arial"/>
        </w:rPr>
        <w:t xml:space="preserve">re </w:t>
      </w:r>
      <w:r w:rsidR="00654557" w:rsidRPr="008A39AD">
        <w:rPr>
          <w:rFonts w:ascii="Arial" w:hAnsi="Arial" w:cs="Arial"/>
        </w:rPr>
        <w:t>driven by increased musc</w:t>
      </w:r>
      <w:r w:rsidR="002A7AFA" w:rsidRPr="008A39AD">
        <w:rPr>
          <w:rFonts w:ascii="Arial" w:hAnsi="Arial" w:cs="Arial"/>
        </w:rPr>
        <w:t>le,</w:t>
      </w:r>
      <w:r w:rsidR="00654557" w:rsidRPr="008A39AD">
        <w:rPr>
          <w:rFonts w:ascii="Arial" w:hAnsi="Arial" w:cs="Arial"/>
        </w:rPr>
        <w:t xml:space="preserve"> fat</w:t>
      </w:r>
      <w:r w:rsidR="00282AE4" w:rsidRPr="008A39AD">
        <w:rPr>
          <w:rFonts w:ascii="Arial" w:hAnsi="Arial" w:cs="Arial"/>
        </w:rPr>
        <w:t>,</w:t>
      </w:r>
      <w:r w:rsidR="00654557" w:rsidRPr="008A39AD">
        <w:rPr>
          <w:rFonts w:ascii="Arial" w:hAnsi="Arial" w:cs="Arial"/>
        </w:rPr>
        <w:t xml:space="preserve"> or </w:t>
      </w:r>
      <w:r w:rsidR="00064A6A" w:rsidRPr="008A39AD">
        <w:rPr>
          <w:rFonts w:ascii="Arial" w:hAnsi="Arial" w:cs="Arial"/>
        </w:rPr>
        <w:t>fluid</w:t>
      </w:r>
      <w:r w:rsidR="00C33C08" w:rsidRPr="008A39AD">
        <w:rPr>
          <w:rFonts w:ascii="Arial" w:hAnsi="Arial" w:cs="Arial"/>
        </w:rPr>
        <w:t>,</w:t>
      </w:r>
      <w:r w:rsidR="000A4D20" w:rsidRPr="008A39AD">
        <w:rPr>
          <w:rFonts w:ascii="Arial" w:hAnsi="Arial" w:cs="Arial"/>
        </w:rPr>
        <w:t xml:space="preserve"> </w:t>
      </w:r>
      <w:r w:rsidR="00610292" w:rsidRPr="008A39AD">
        <w:rPr>
          <w:rFonts w:ascii="Arial" w:hAnsi="Arial" w:cs="Arial"/>
        </w:rPr>
        <w:t xml:space="preserve">and </w:t>
      </w:r>
      <w:r w:rsidR="00610292" w:rsidRPr="008A39AD">
        <w:rPr>
          <w:rFonts w:ascii="Arial" w:hAnsi="Arial" w:cs="Arial"/>
        </w:rPr>
        <w:lastRenderedPageBreak/>
        <w:t xml:space="preserve">whether </w:t>
      </w:r>
      <w:r w:rsidR="00710638" w:rsidRPr="008A39AD">
        <w:rPr>
          <w:rFonts w:ascii="Arial" w:hAnsi="Arial" w:cs="Arial"/>
        </w:rPr>
        <w:t>already established</w:t>
      </w:r>
      <w:r w:rsidR="00610292" w:rsidRPr="008A39AD">
        <w:rPr>
          <w:rFonts w:ascii="Arial" w:hAnsi="Arial" w:cs="Arial"/>
        </w:rPr>
        <w:t xml:space="preserve"> mechanisms, such as the </w:t>
      </w:r>
      <w:r w:rsidR="00710638" w:rsidRPr="008A39AD">
        <w:rPr>
          <w:rFonts w:ascii="Arial" w:hAnsi="Arial" w:cs="Arial"/>
        </w:rPr>
        <w:t>known</w:t>
      </w:r>
      <w:r w:rsidR="00610292" w:rsidRPr="008A39AD">
        <w:rPr>
          <w:rFonts w:ascii="Arial" w:hAnsi="Arial" w:cs="Arial"/>
        </w:rPr>
        <w:t xml:space="preserve"> association with peritonitis</w:t>
      </w:r>
      <w:r w:rsidR="005474F9" w:rsidRPr="008A39AD">
        <w:rPr>
          <w:rFonts w:ascii="Arial" w:hAnsi="Arial" w:cs="Arial"/>
        </w:rPr>
        <w:t>,</w:t>
      </w:r>
      <w:r w:rsidR="005B2DB9" w:rsidRPr="008A39AD">
        <w:rPr>
          <w:rFonts w:ascii="Arial" w:hAnsi="Arial" w:cs="Arial"/>
        </w:rPr>
        <w:t xml:space="preserve"> or</w:t>
      </w:r>
      <w:r w:rsidR="009E4E6E" w:rsidRPr="008A39AD">
        <w:rPr>
          <w:rFonts w:ascii="Arial" w:hAnsi="Arial" w:cs="Arial"/>
        </w:rPr>
        <w:t xml:space="preserve"> </w:t>
      </w:r>
      <w:r w:rsidR="005B2DB9" w:rsidRPr="008A39AD">
        <w:rPr>
          <w:rFonts w:ascii="Arial" w:hAnsi="Arial" w:cs="Arial"/>
        </w:rPr>
        <w:t xml:space="preserve">concerns regarding adequate small solute clearance or metabolic complications exacerbated by glucose absorption </w:t>
      </w:r>
      <w:r w:rsidR="00610292" w:rsidRPr="008A39AD">
        <w:rPr>
          <w:rFonts w:ascii="Arial" w:hAnsi="Arial" w:cs="Arial"/>
        </w:rPr>
        <w:t>could explain this</w:t>
      </w:r>
      <w:r w:rsidR="00184A4B" w:rsidRPr="008A39AD">
        <w:rPr>
          <w:rFonts w:ascii="Arial" w:hAnsi="Arial" w:cs="Arial"/>
        </w:rPr>
        <w:t>.</w:t>
      </w:r>
      <w:r w:rsidR="00214801" w:rsidRPr="008A39AD">
        <w:rPr>
          <w:rFonts w:ascii="Arial" w:hAnsi="Arial" w:cs="Arial"/>
        </w:rPr>
        <w:t xml:space="preserve"> </w:t>
      </w:r>
      <w:r w:rsidR="00CB19CA" w:rsidRPr="008A39AD">
        <w:rPr>
          <w:rFonts w:ascii="Arial" w:hAnsi="Arial" w:cs="Arial"/>
        </w:rPr>
        <w:t>T</w:t>
      </w:r>
      <w:r w:rsidR="000A4D20" w:rsidRPr="008A39AD">
        <w:rPr>
          <w:rFonts w:ascii="Arial" w:hAnsi="Arial" w:cs="Arial"/>
        </w:rPr>
        <w:t>he US had a greater proportion of high BMI individuals and greatest use of hypertonic (</w:t>
      </w:r>
      <w:r w:rsidR="00FC74D8" w:rsidRPr="008A39AD">
        <w:rPr>
          <w:rFonts w:ascii="Arial" w:hAnsi="Arial" w:cs="Arial"/>
        </w:rPr>
        <w:t>4</w:t>
      </w:r>
      <w:r w:rsidR="000A4D20" w:rsidRPr="008A39AD">
        <w:rPr>
          <w:rFonts w:ascii="Arial" w:hAnsi="Arial" w:cs="Arial"/>
        </w:rPr>
        <w:t>.</w:t>
      </w:r>
      <w:r w:rsidR="00FC74D8" w:rsidRPr="008A39AD">
        <w:rPr>
          <w:rFonts w:ascii="Arial" w:hAnsi="Arial" w:cs="Arial"/>
        </w:rPr>
        <w:t>25</w:t>
      </w:r>
      <w:r w:rsidR="000A4D20" w:rsidRPr="008A39AD">
        <w:rPr>
          <w:rFonts w:ascii="Arial" w:hAnsi="Arial" w:cs="Arial"/>
        </w:rPr>
        <w:t>%) PD solutions</w:t>
      </w:r>
      <w:r w:rsidRPr="008A39AD">
        <w:rPr>
          <w:rFonts w:ascii="Arial" w:hAnsi="Arial" w:cs="Arial"/>
        </w:rPr>
        <w:t xml:space="preserve">. </w:t>
      </w:r>
      <w:r w:rsidR="000A4D20" w:rsidRPr="008A39AD">
        <w:rPr>
          <w:rFonts w:ascii="Arial" w:hAnsi="Arial" w:cs="Arial"/>
        </w:rPr>
        <w:t xml:space="preserve"> </w:t>
      </w:r>
      <w:r w:rsidRPr="008A39AD">
        <w:rPr>
          <w:rFonts w:ascii="Arial" w:hAnsi="Arial" w:cs="Arial"/>
        </w:rPr>
        <w:t>Wh</w:t>
      </w:r>
      <w:r w:rsidR="00124310" w:rsidRPr="008A39AD">
        <w:rPr>
          <w:rFonts w:ascii="Arial" w:hAnsi="Arial" w:cs="Arial"/>
        </w:rPr>
        <w:t>ether or not glucose minimization strategies</w:t>
      </w:r>
      <w:r w:rsidR="00C33C08" w:rsidRPr="008A39AD">
        <w:rPr>
          <w:rFonts w:ascii="Arial" w:hAnsi="Arial" w:cs="Arial"/>
        </w:rPr>
        <w:t xml:space="preserve"> </w:t>
      </w:r>
      <w:r w:rsidR="00124310" w:rsidRPr="008A39AD">
        <w:rPr>
          <w:rFonts w:ascii="Arial" w:hAnsi="Arial" w:cs="Arial"/>
        </w:rPr>
        <w:t>may mitigate these risks requires further study.</w:t>
      </w:r>
      <w:r w:rsidR="00214801" w:rsidRPr="008A39AD">
        <w:rPr>
          <w:rFonts w:ascii="Arial" w:hAnsi="Arial" w:cs="Arial"/>
        </w:rPr>
        <w:t xml:space="preserve"> </w:t>
      </w:r>
    </w:p>
    <w:p w14:paraId="11AEB421" w14:textId="7BBA459E" w:rsidR="00654557" w:rsidRPr="008A39AD" w:rsidRDefault="00BC00B0" w:rsidP="0054676E">
      <w:pPr>
        <w:spacing w:after="200" w:line="480" w:lineRule="auto"/>
        <w:rPr>
          <w:rFonts w:ascii="Arial" w:hAnsi="Arial" w:cs="Arial"/>
        </w:rPr>
      </w:pPr>
      <w:r w:rsidRPr="008A39AD">
        <w:rPr>
          <w:rFonts w:ascii="Arial" w:hAnsi="Arial" w:cs="Arial"/>
        </w:rPr>
        <w:t>W</w:t>
      </w:r>
      <w:r w:rsidR="002A7AFA" w:rsidRPr="008A39AD">
        <w:rPr>
          <w:rFonts w:ascii="Arial" w:hAnsi="Arial" w:cs="Arial"/>
        </w:rPr>
        <w:t xml:space="preserve">e found that routine multidisciplinary review </w:t>
      </w:r>
      <w:r w:rsidRPr="008A39AD">
        <w:rPr>
          <w:rFonts w:ascii="Arial" w:hAnsi="Arial" w:cs="Arial"/>
        </w:rPr>
        <w:t>had a trend to</w:t>
      </w:r>
      <w:r w:rsidR="002A7AFA" w:rsidRPr="008A39AD">
        <w:rPr>
          <w:rFonts w:ascii="Arial" w:hAnsi="Arial" w:cs="Arial"/>
        </w:rPr>
        <w:t xml:space="preserve"> lower risk of </w:t>
      </w:r>
      <w:r w:rsidR="00043585" w:rsidRPr="008A39AD">
        <w:rPr>
          <w:rFonts w:ascii="Arial" w:hAnsi="Arial" w:cs="Arial"/>
        </w:rPr>
        <w:t xml:space="preserve">HD </w:t>
      </w:r>
      <w:r w:rsidR="003D2CEE" w:rsidRPr="008A39AD">
        <w:rPr>
          <w:rFonts w:ascii="Arial" w:hAnsi="Arial" w:cs="Arial"/>
        </w:rPr>
        <w:t>transfer</w:t>
      </w:r>
      <w:r w:rsidR="002A7AFA" w:rsidRPr="008A39AD">
        <w:rPr>
          <w:rFonts w:ascii="Arial" w:hAnsi="Arial" w:cs="Arial"/>
        </w:rPr>
        <w:t>.</w:t>
      </w:r>
      <w:r w:rsidR="00214801" w:rsidRPr="008A39AD">
        <w:rPr>
          <w:rFonts w:ascii="Arial" w:hAnsi="Arial" w:cs="Arial"/>
        </w:rPr>
        <w:t xml:space="preserve"> </w:t>
      </w:r>
      <w:r w:rsidRPr="008A39AD">
        <w:rPr>
          <w:rFonts w:ascii="Arial" w:hAnsi="Arial" w:cs="Arial"/>
        </w:rPr>
        <w:t>P</w:t>
      </w:r>
      <w:r w:rsidR="00E60606" w:rsidRPr="008A39AD">
        <w:rPr>
          <w:rFonts w:ascii="Arial" w:hAnsi="Arial" w:cs="Arial"/>
        </w:rPr>
        <w:t xml:space="preserve">atient review may facilitate identification of at-risk patients and earlier interventions which </w:t>
      </w:r>
      <w:r w:rsidR="00710638" w:rsidRPr="008A39AD">
        <w:rPr>
          <w:rFonts w:ascii="Arial" w:hAnsi="Arial" w:cs="Arial"/>
        </w:rPr>
        <w:t xml:space="preserve">could </w:t>
      </w:r>
      <w:r w:rsidR="00E60606" w:rsidRPr="008A39AD">
        <w:rPr>
          <w:rFonts w:ascii="Arial" w:hAnsi="Arial" w:cs="Arial"/>
        </w:rPr>
        <w:t xml:space="preserve">mitigate </w:t>
      </w:r>
      <w:r w:rsidR="00043585" w:rsidRPr="008A39AD">
        <w:rPr>
          <w:rFonts w:ascii="Arial" w:hAnsi="Arial" w:cs="Arial"/>
        </w:rPr>
        <w:t xml:space="preserve">HD </w:t>
      </w:r>
      <w:r w:rsidR="00E60606" w:rsidRPr="008A39AD">
        <w:rPr>
          <w:rFonts w:ascii="Arial" w:hAnsi="Arial" w:cs="Arial"/>
        </w:rPr>
        <w:t>transfer events</w:t>
      </w:r>
      <w:r w:rsidRPr="008A39AD">
        <w:rPr>
          <w:rFonts w:ascii="Arial" w:hAnsi="Arial" w:cs="Arial"/>
        </w:rPr>
        <w:t xml:space="preserve"> but may be </w:t>
      </w:r>
      <w:r w:rsidR="00E60606" w:rsidRPr="008A39AD">
        <w:rPr>
          <w:rFonts w:ascii="Arial" w:hAnsi="Arial" w:cs="Arial"/>
        </w:rPr>
        <w:t>a proxy for other practices</w:t>
      </w:r>
      <w:r w:rsidR="00282AE4" w:rsidRPr="008A39AD">
        <w:rPr>
          <w:rFonts w:ascii="Arial" w:hAnsi="Arial" w:cs="Arial"/>
        </w:rPr>
        <w:t>,</w:t>
      </w:r>
      <w:r w:rsidR="00E60606" w:rsidRPr="008A39AD">
        <w:rPr>
          <w:rFonts w:ascii="Arial" w:hAnsi="Arial" w:cs="Arial"/>
        </w:rPr>
        <w:t xml:space="preserve"> </w:t>
      </w:r>
      <w:r w:rsidR="000F7FAD" w:rsidRPr="008A39AD">
        <w:rPr>
          <w:rFonts w:ascii="Arial" w:hAnsi="Arial" w:cs="Arial"/>
        </w:rPr>
        <w:t xml:space="preserve">such as </w:t>
      </w:r>
      <w:r w:rsidR="002048E6" w:rsidRPr="008A39AD">
        <w:rPr>
          <w:rFonts w:ascii="Arial" w:hAnsi="Arial" w:cs="Arial"/>
        </w:rPr>
        <w:t>the</w:t>
      </w:r>
      <w:r w:rsidR="00E60606" w:rsidRPr="008A39AD">
        <w:rPr>
          <w:rFonts w:ascii="Arial" w:hAnsi="Arial" w:cs="Arial"/>
        </w:rPr>
        <w:t xml:space="preserve"> routine availability of</w:t>
      </w:r>
      <w:r w:rsidRPr="008A39AD">
        <w:rPr>
          <w:rFonts w:ascii="Arial" w:hAnsi="Arial" w:cs="Arial"/>
        </w:rPr>
        <w:t xml:space="preserve"> </w:t>
      </w:r>
      <w:r w:rsidR="00E60606" w:rsidRPr="008A39AD">
        <w:rPr>
          <w:rFonts w:ascii="Arial" w:hAnsi="Arial" w:cs="Arial"/>
        </w:rPr>
        <w:t>allied health professionals such as pharmacists, dietitians</w:t>
      </w:r>
      <w:r w:rsidR="00282AE4" w:rsidRPr="008A39AD">
        <w:rPr>
          <w:rFonts w:ascii="Arial" w:hAnsi="Arial" w:cs="Arial"/>
        </w:rPr>
        <w:t>,</w:t>
      </w:r>
      <w:r w:rsidR="00E60606" w:rsidRPr="008A39AD">
        <w:rPr>
          <w:rFonts w:ascii="Arial" w:hAnsi="Arial" w:cs="Arial"/>
        </w:rPr>
        <w:t xml:space="preserve"> and social workers.</w:t>
      </w:r>
      <w:r w:rsidR="00214801" w:rsidRPr="008A39AD">
        <w:rPr>
          <w:rFonts w:ascii="Arial" w:hAnsi="Arial" w:cs="Arial"/>
        </w:rPr>
        <w:t xml:space="preserve"> </w:t>
      </w:r>
    </w:p>
    <w:p w14:paraId="16AF537C" w14:textId="5A76CBE3" w:rsidR="000B5B2B" w:rsidRPr="008A39AD" w:rsidRDefault="00FF1A1C" w:rsidP="000B5B2B">
      <w:pPr>
        <w:pStyle w:val="NormalWeb"/>
        <w:spacing w:line="480" w:lineRule="auto"/>
        <w:rPr>
          <w:sz w:val="22"/>
          <w:szCs w:val="22"/>
        </w:rPr>
      </w:pPr>
      <w:r w:rsidRPr="008A39AD">
        <w:rPr>
          <w:rFonts w:ascii="Arial" w:hAnsi="Arial" w:cs="Arial"/>
          <w:sz w:val="22"/>
          <w:szCs w:val="22"/>
        </w:rPr>
        <w:t>W</w:t>
      </w:r>
      <w:r w:rsidR="002048E6" w:rsidRPr="008A39AD">
        <w:rPr>
          <w:rFonts w:ascii="Arial" w:hAnsi="Arial" w:cs="Arial"/>
          <w:sz w:val="22"/>
          <w:szCs w:val="22"/>
        </w:rPr>
        <w:t xml:space="preserve">e found no </w:t>
      </w:r>
      <w:r w:rsidR="007A0DDC" w:rsidRPr="008A39AD">
        <w:rPr>
          <w:rFonts w:ascii="Arial" w:hAnsi="Arial" w:cs="Arial"/>
          <w:sz w:val="22"/>
          <w:szCs w:val="22"/>
        </w:rPr>
        <w:t xml:space="preserve">consistent </w:t>
      </w:r>
      <w:r w:rsidR="002048E6" w:rsidRPr="008A39AD">
        <w:rPr>
          <w:rFonts w:ascii="Arial" w:hAnsi="Arial" w:cs="Arial"/>
          <w:sz w:val="22"/>
          <w:szCs w:val="22"/>
        </w:rPr>
        <w:t xml:space="preserve">relationship between PD facility size and the risk of </w:t>
      </w:r>
      <w:r w:rsidR="00043585" w:rsidRPr="008A39AD">
        <w:rPr>
          <w:rFonts w:ascii="Arial" w:hAnsi="Arial" w:cs="Arial"/>
          <w:sz w:val="22"/>
          <w:szCs w:val="22"/>
        </w:rPr>
        <w:t xml:space="preserve">HD </w:t>
      </w:r>
      <w:r w:rsidR="003D2CEE" w:rsidRPr="008A39AD">
        <w:rPr>
          <w:rFonts w:ascii="Arial" w:hAnsi="Arial" w:cs="Arial"/>
        </w:rPr>
        <w:t>transfer</w:t>
      </w:r>
      <w:r w:rsidR="002048E6" w:rsidRPr="008A39AD">
        <w:rPr>
          <w:rFonts w:ascii="Arial" w:hAnsi="Arial" w:cs="Arial"/>
          <w:sz w:val="22"/>
          <w:szCs w:val="22"/>
        </w:rPr>
        <w:t>.</w:t>
      </w:r>
      <w:r w:rsidR="00214801" w:rsidRPr="008A39AD">
        <w:rPr>
          <w:rFonts w:ascii="Arial" w:hAnsi="Arial" w:cs="Arial"/>
          <w:sz w:val="22"/>
          <w:szCs w:val="22"/>
        </w:rPr>
        <w:t xml:space="preserve"> </w:t>
      </w:r>
      <w:r w:rsidRPr="008A39AD">
        <w:rPr>
          <w:rFonts w:ascii="Arial" w:hAnsi="Arial" w:cs="Arial"/>
          <w:sz w:val="22"/>
          <w:szCs w:val="22"/>
        </w:rPr>
        <w:t>I</w:t>
      </w:r>
      <w:r w:rsidR="00FD7C92" w:rsidRPr="008A39AD">
        <w:rPr>
          <w:rFonts w:ascii="Arial" w:hAnsi="Arial" w:cs="Arial"/>
          <w:sz w:val="22"/>
          <w:szCs w:val="22"/>
        </w:rPr>
        <w:t>n countries such as the US</w:t>
      </w:r>
      <w:r w:rsidR="00A122AA" w:rsidRPr="008A39AD">
        <w:rPr>
          <w:rFonts w:ascii="Arial" w:hAnsi="Arial" w:cs="Arial"/>
          <w:sz w:val="22"/>
          <w:szCs w:val="22"/>
        </w:rPr>
        <w:t xml:space="preserve">, the majority of facilities treat fewer than </w:t>
      </w:r>
      <w:r w:rsidR="00FD7C92" w:rsidRPr="008A39AD">
        <w:rPr>
          <w:rFonts w:ascii="Arial" w:hAnsi="Arial" w:cs="Arial"/>
          <w:sz w:val="22"/>
          <w:szCs w:val="22"/>
        </w:rPr>
        <w:t>20 patients</w:t>
      </w:r>
      <w:r w:rsidR="00F61595" w:rsidRPr="008A39AD">
        <w:rPr>
          <w:rFonts w:ascii="Arial" w:hAnsi="Arial" w:cs="Arial"/>
          <w:sz w:val="22"/>
          <w:szCs w:val="22"/>
        </w:rPr>
        <w:t xml:space="preserve"> </w:t>
      </w:r>
      <w:r w:rsidR="00936BCD" w:rsidRPr="008A39AD">
        <w:rPr>
          <w:rFonts w:ascii="Arial" w:hAnsi="Arial" w:cs="Arial"/>
          <w:sz w:val="22"/>
          <w:szCs w:val="22"/>
          <w:vertAlign w:val="superscript"/>
        </w:rPr>
        <w:t>2</w:t>
      </w:r>
      <w:r w:rsidR="00D3240D" w:rsidRPr="008A39AD">
        <w:rPr>
          <w:rFonts w:ascii="Arial" w:hAnsi="Arial" w:cs="Arial"/>
          <w:sz w:val="22"/>
          <w:szCs w:val="22"/>
          <w:vertAlign w:val="superscript"/>
        </w:rPr>
        <w:t>4</w:t>
      </w:r>
      <w:r w:rsidR="00AF55AB" w:rsidRPr="008A39AD">
        <w:rPr>
          <w:rFonts w:ascii="Arial" w:hAnsi="Arial" w:cs="Arial"/>
          <w:sz w:val="22"/>
          <w:szCs w:val="22"/>
        </w:rPr>
        <w:t>,</w:t>
      </w:r>
      <w:r w:rsidR="00FD7C92" w:rsidRPr="008A39AD">
        <w:rPr>
          <w:rFonts w:ascii="Arial" w:hAnsi="Arial" w:cs="Arial"/>
          <w:sz w:val="22"/>
          <w:szCs w:val="22"/>
        </w:rPr>
        <w:t xml:space="preserve"> </w:t>
      </w:r>
      <w:r w:rsidRPr="008A39AD">
        <w:rPr>
          <w:rFonts w:ascii="Arial" w:hAnsi="Arial" w:cs="Arial"/>
          <w:sz w:val="22"/>
          <w:szCs w:val="22"/>
        </w:rPr>
        <w:t xml:space="preserve">but to ascribe practices at a facility to outcomes, </w:t>
      </w:r>
      <w:r w:rsidR="00E54D46" w:rsidRPr="008A39AD">
        <w:rPr>
          <w:rFonts w:ascii="Arial" w:hAnsi="Arial" w:cs="Arial"/>
          <w:sz w:val="22"/>
          <w:szCs w:val="22"/>
        </w:rPr>
        <w:t xml:space="preserve">the PDOPPS sample </w:t>
      </w:r>
      <w:r w:rsidRPr="008A39AD">
        <w:rPr>
          <w:rFonts w:ascii="Arial" w:hAnsi="Arial" w:cs="Arial"/>
          <w:sz w:val="22"/>
          <w:szCs w:val="22"/>
        </w:rPr>
        <w:t>required a minimum number of</w:t>
      </w:r>
      <w:r w:rsidR="00E54D46" w:rsidRPr="008A39AD">
        <w:rPr>
          <w:rFonts w:ascii="Arial" w:hAnsi="Arial" w:cs="Arial"/>
          <w:sz w:val="22"/>
          <w:szCs w:val="22"/>
        </w:rPr>
        <w:t xml:space="preserve"> 20 PD patients</w:t>
      </w:r>
      <w:r w:rsidRPr="008A39AD">
        <w:rPr>
          <w:rFonts w:ascii="Arial" w:hAnsi="Arial" w:cs="Arial"/>
          <w:sz w:val="22"/>
          <w:szCs w:val="22"/>
        </w:rPr>
        <w:t xml:space="preserve"> per facility for study participation. </w:t>
      </w:r>
      <w:r w:rsidR="00E33BCE" w:rsidRPr="008A39AD">
        <w:rPr>
          <w:rFonts w:ascii="Arial" w:hAnsi="Arial" w:cs="Arial"/>
          <w:sz w:val="22"/>
          <w:szCs w:val="22"/>
        </w:rPr>
        <w:t>These results should be exercised with caution because it is</w:t>
      </w:r>
      <w:r w:rsidRPr="008A39AD">
        <w:rPr>
          <w:rFonts w:ascii="Arial" w:hAnsi="Arial" w:cs="Arial"/>
          <w:sz w:val="22"/>
          <w:szCs w:val="22"/>
        </w:rPr>
        <w:t xml:space="preserve"> possible that all</w:t>
      </w:r>
      <w:r w:rsidR="00273D3E" w:rsidRPr="008A39AD">
        <w:rPr>
          <w:rFonts w:ascii="Arial" w:hAnsi="Arial" w:cs="Arial"/>
          <w:sz w:val="22"/>
          <w:szCs w:val="22"/>
        </w:rPr>
        <w:t xml:space="preserve"> </w:t>
      </w:r>
      <w:r w:rsidR="00DA39AA" w:rsidRPr="008A39AD">
        <w:rPr>
          <w:rFonts w:ascii="Arial" w:hAnsi="Arial" w:cs="Arial"/>
          <w:sz w:val="22"/>
          <w:szCs w:val="22"/>
        </w:rPr>
        <w:t>PDOPPS clinic sizes may have</w:t>
      </w:r>
      <w:r w:rsidR="00E54D46" w:rsidRPr="008A39AD">
        <w:rPr>
          <w:rFonts w:ascii="Arial" w:hAnsi="Arial" w:cs="Arial"/>
          <w:sz w:val="22"/>
          <w:szCs w:val="22"/>
        </w:rPr>
        <w:t xml:space="preserve"> be</w:t>
      </w:r>
      <w:r w:rsidR="00DA39AA" w:rsidRPr="008A39AD">
        <w:rPr>
          <w:rFonts w:ascii="Arial" w:hAnsi="Arial" w:cs="Arial"/>
          <w:sz w:val="22"/>
          <w:szCs w:val="22"/>
        </w:rPr>
        <w:t>en</w:t>
      </w:r>
      <w:r w:rsidR="00E54D46" w:rsidRPr="008A39AD">
        <w:rPr>
          <w:rFonts w:ascii="Arial" w:hAnsi="Arial" w:cs="Arial"/>
          <w:sz w:val="22"/>
          <w:szCs w:val="22"/>
        </w:rPr>
        <w:t xml:space="preserve"> above a critical threshold whereby no relationship </w:t>
      </w:r>
      <w:r w:rsidR="00FD7C92" w:rsidRPr="008A39AD">
        <w:rPr>
          <w:rFonts w:ascii="Arial" w:hAnsi="Arial" w:cs="Arial"/>
          <w:sz w:val="22"/>
          <w:szCs w:val="22"/>
        </w:rPr>
        <w:t xml:space="preserve">exists </w:t>
      </w:r>
      <w:r w:rsidR="00E54D46" w:rsidRPr="008A39AD">
        <w:rPr>
          <w:rFonts w:ascii="Arial" w:hAnsi="Arial" w:cs="Arial"/>
          <w:sz w:val="22"/>
          <w:szCs w:val="22"/>
        </w:rPr>
        <w:t>between size and outcome</w:t>
      </w:r>
      <w:r w:rsidRPr="008A39AD">
        <w:rPr>
          <w:rFonts w:ascii="Arial" w:hAnsi="Arial" w:cs="Arial"/>
          <w:sz w:val="22"/>
          <w:szCs w:val="22"/>
        </w:rPr>
        <w:t>s. This is supported by a systematic review demonstrating small facility size adversely impact</w:t>
      </w:r>
      <w:r w:rsidR="00AF55AB" w:rsidRPr="008A39AD">
        <w:rPr>
          <w:rFonts w:ascii="Arial" w:hAnsi="Arial" w:cs="Arial"/>
          <w:sz w:val="22"/>
          <w:szCs w:val="22"/>
        </w:rPr>
        <w:t>s</w:t>
      </w:r>
      <w:r w:rsidRPr="008A39AD">
        <w:rPr>
          <w:rFonts w:ascii="Arial" w:hAnsi="Arial" w:cs="Arial"/>
          <w:sz w:val="22"/>
          <w:szCs w:val="22"/>
        </w:rPr>
        <w:t xml:space="preserve"> outcomes predominantly with clinic sizes less than 20.</w:t>
      </w:r>
      <w:r w:rsidRPr="008A39AD">
        <w:rPr>
          <w:rFonts w:ascii="Arial" w:hAnsi="Arial" w:cs="Arial"/>
          <w:sz w:val="22"/>
          <w:szCs w:val="22"/>
          <w:vertAlign w:val="superscript"/>
        </w:rPr>
        <w:t>3</w:t>
      </w:r>
      <w:r w:rsidR="001E0B66" w:rsidRPr="008A39AD">
        <w:rPr>
          <w:rFonts w:ascii="Arial" w:hAnsi="Arial" w:cs="Arial"/>
          <w:sz w:val="22"/>
          <w:szCs w:val="22"/>
          <w:vertAlign w:val="superscript"/>
        </w:rPr>
        <w:t>4</w:t>
      </w:r>
    </w:p>
    <w:p w14:paraId="6456057F" w14:textId="70DA5EBE" w:rsidR="00DA39AA" w:rsidRPr="008A39AD" w:rsidRDefault="00CA7707" w:rsidP="000B5B2B">
      <w:pPr>
        <w:spacing w:after="200" w:line="480" w:lineRule="auto"/>
        <w:rPr>
          <w:rFonts w:ascii="Arial" w:hAnsi="Arial" w:cs="Arial"/>
        </w:rPr>
      </w:pPr>
      <w:r w:rsidRPr="008A39AD">
        <w:rPr>
          <w:rFonts w:ascii="Arial" w:hAnsi="Arial" w:cs="Arial"/>
        </w:rPr>
        <w:t>T</w:t>
      </w:r>
      <w:r w:rsidR="00DA39AA" w:rsidRPr="008A39AD">
        <w:rPr>
          <w:rFonts w:ascii="Arial" w:hAnsi="Arial" w:cs="Arial"/>
        </w:rPr>
        <w:t xml:space="preserve">he </w:t>
      </w:r>
      <w:r w:rsidRPr="008A39AD">
        <w:rPr>
          <w:rFonts w:ascii="Arial" w:hAnsi="Arial" w:cs="Arial"/>
        </w:rPr>
        <w:t xml:space="preserve">2006 </w:t>
      </w:r>
      <w:r w:rsidR="00DA39AA" w:rsidRPr="008A39AD">
        <w:rPr>
          <w:rFonts w:ascii="Arial" w:hAnsi="Arial" w:cs="Arial"/>
        </w:rPr>
        <w:t xml:space="preserve">ISPD </w:t>
      </w:r>
      <w:r w:rsidRPr="008A39AD">
        <w:rPr>
          <w:rFonts w:ascii="Arial" w:hAnsi="Arial" w:cs="Arial"/>
        </w:rPr>
        <w:t xml:space="preserve">PD prescribing </w:t>
      </w:r>
      <w:r w:rsidR="00DA39AA" w:rsidRPr="008A39AD">
        <w:rPr>
          <w:rFonts w:ascii="Arial" w:hAnsi="Arial" w:cs="Arial"/>
        </w:rPr>
        <w:t xml:space="preserve">guidelines </w:t>
      </w:r>
      <w:r w:rsidR="00471301" w:rsidRPr="008A39AD">
        <w:rPr>
          <w:rFonts w:ascii="Arial" w:hAnsi="Arial" w:cs="Arial"/>
        </w:rPr>
        <w:t>emphasi</w:t>
      </w:r>
      <w:r w:rsidR="00273D3E" w:rsidRPr="008A39AD">
        <w:rPr>
          <w:rFonts w:ascii="Arial" w:hAnsi="Arial" w:cs="Arial"/>
        </w:rPr>
        <w:t>z</w:t>
      </w:r>
      <w:r w:rsidR="00471301" w:rsidRPr="008A39AD">
        <w:rPr>
          <w:rFonts w:ascii="Arial" w:hAnsi="Arial" w:cs="Arial"/>
        </w:rPr>
        <w:t>ed</w:t>
      </w:r>
      <w:r w:rsidR="00DA39AA" w:rsidRPr="008A39AD">
        <w:rPr>
          <w:rFonts w:ascii="Arial" w:hAnsi="Arial" w:cs="Arial"/>
        </w:rPr>
        <w:t xml:space="preserve"> the need for a </w:t>
      </w:r>
      <w:r w:rsidR="004044C1" w:rsidRPr="008A39AD">
        <w:rPr>
          <w:rFonts w:ascii="Arial" w:hAnsi="Arial" w:cs="Arial"/>
        </w:rPr>
        <w:t>total</w:t>
      </w:r>
      <w:r w:rsidR="00DA39AA" w:rsidRPr="008A39AD">
        <w:rPr>
          <w:rFonts w:ascii="Arial" w:hAnsi="Arial" w:cs="Arial"/>
        </w:rPr>
        <w:t xml:space="preserve"> </w:t>
      </w:r>
      <w:r w:rsidR="000A4D20" w:rsidRPr="008A39AD">
        <w:rPr>
          <w:rFonts w:ascii="Arial" w:hAnsi="Arial" w:cs="Arial"/>
        </w:rPr>
        <w:t>(peritone</w:t>
      </w:r>
      <w:r w:rsidR="00FE1F30" w:rsidRPr="008A39AD">
        <w:rPr>
          <w:rFonts w:ascii="Arial" w:hAnsi="Arial" w:cs="Arial"/>
        </w:rPr>
        <w:t>a</w:t>
      </w:r>
      <w:r w:rsidR="000A4D20" w:rsidRPr="008A39AD">
        <w:rPr>
          <w:rFonts w:ascii="Arial" w:hAnsi="Arial" w:cs="Arial"/>
        </w:rPr>
        <w:t xml:space="preserve">l and </w:t>
      </w:r>
      <w:r w:rsidR="00E33BCE" w:rsidRPr="008A39AD">
        <w:rPr>
          <w:rFonts w:ascii="Arial" w:hAnsi="Arial" w:cs="Arial"/>
        </w:rPr>
        <w:t>kidney</w:t>
      </w:r>
      <w:r w:rsidR="000A4D20" w:rsidRPr="008A39AD">
        <w:rPr>
          <w:rFonts w:ascii="Arial" w:hAnsi="Arial" w:cs="Arial"/>
        </w:rPr>
        <w:t xml:space="preserve">) </w:t>
      </w:r>
      <w:r w:rsidR="00DA39AA" w:rsidRPr="008A39AD">
        <w:rPr>
          <w:rFonts w:ascii="Arial" w:hAnsi="Arial" w:cs="Arial"/>
        </w:rPr>
        <w:t>K</w:t>
      </w:r>
      <w:r w:rsidR="00F42299" w:rsidRPr="008A39AD">
        <w:rPr>
          <w:rFonts w:ascii="Arial" w:hAnsi="Arial" w:cs="Arial"/>
        </w:rPr>
        <w:t>t</w:t>
      </w:r>
      <w:r w:rsidR="00DA39AA" w:rsidRPr="008A39AD">
        <w:rPr>
          <w:rFonts w:ascii="Arial" w:hAnsi="Arial" w:cs="Arial"/>
        </w:rPr>
        <w:t xml:space="preserve">/V of 1.7 </w:t>
      </w:r>
      <w:r w:rsidR="004044C1" w:rsidRPr="008A39AD">
        <w:rPr>
          <w:rFonts w:ascii="Arial" w:hAnsi="Arial" w:cs="Arial"/>
        </w:rPr>
        <w:t>based on</w:t>
      </w:r>
      <w:r w:rsidR="00F61595" w:rsidRPr="008A39AD">
        <w:rPr>
          <w:rFonts w:ascii="Arial" w:hAnsi="Arial" w:cs="Arial"/>
        </w:rPr>
        <w:t xml:space="preserve"> limited </w:t>
      </w:r>
      <w:r w:rsidR="004044C1" w:rsidRPr="008A39AD">
        <w:rPr>
          <w:rFonts w:ascii="Arial" w:hAnsi="Arial" w:cs="Arial"/>
        </w:rPr>
        <w:t>evidence</w:t>
      </w:r>
      <w:r w:rsidRPr="008A39AD">
        <w:rPr>
          <w:rFonts w:ascii="Arial" w:hAnsi="Arial" w:cs="Arial"/>
        </w:rPr>
        <w:t>,</w:t>
      </w:r>
      <w:r w:rsidR="00F61595" w:rsidRPr="008A39AD">
        <w:rPr>
          <w:rFonts w:ascii="Arial" w:hAnsi="Arial" w:cs="Arial"/>
        </w:rPr>
        <w:t xml:space="preserve"> </w:t>
      </w:r>
      <w:bookmarkStart w:id="3" w:name="_Hlk83282749"/>
      <w:r w:rsidR="00936BCD" w:rsidRPr="008A39AD">
        <w:rPr>
          <w:rFonts w:ascii="Arial" w:hAnsi="Arial" w:cs="Arial"/>
          <w:vertAlign w:val="superscript"/>
        </w:rPr>
        <w:t>3</w:t>
      </w:r>
      <w:r w:rsidR="001E0B66" w:rsidRPr="008A39AD">
        <w:rPr>
          <w:rFonts w:ascii="Arial" w:hAnsi="Arial" w:cs="Arial"/>
          <w:vertAlign w:val="superscript"/>
        </w:rPr>
        <w:t>5</w:t>
      </w:r>
      <w:bookmarkEnd w:id="3"/>
      <w:r w:rsidR="00DA39AA" w:rsidRPr="008A39AD">
        <w:rPr>
          <w:rFonts w:ascii="Arial" w:hAnsi="Arial" w:cs="Arial"/>
        </w:rPr>
        <w:t xml:space="preserve"> </w:t>
      </w:r>
      <w:r w:rsidRPr="008A39AD">
        <w:rPr>
          <w:rFonts w:ascii="Arial" w:hAnsi="Arial" w:cs="Arial"/>
        </w:rPr>
        <w:t>and m</w:t>
      </w:r>
      <w:r w:rsidR="00DA39AA" w:rsidRPr="008A39AD">
        <w:rPr>
          <w:rFonts w:ascii="Arial" w:hAnsi="Arial" w:cs="Arial"/>
        </w:rPr>
        <w:t xml:space="preserve">any </w:t>
      </w:r>
      <w:r w:rsidRPr="008A39AD">
        <w:rPr>
          <w:rFonts w:ascii="Arial" w:hAnsi="Arial" w:cs="Arial"/>
        </w:rPr>
        <w:t xml:space="preserve">national </w:t>
      </w:r>
      <w:r w:rsidR="00DA39AA" w:rsidRPr="008A39AD">
        <w:rPr>
          <w:rFonts w:ascii="Arial" w:hAnsi="Arial" w:cs="Arial"/>
        </w:rPr>
        <w:t xml:space="preserve">quality </w:t>
      </w:r>
      <w:r w:rsidR="000A4D20" w:rsidRPr="008A39AD">
        <w:rPr>
          <w:rFonts w:ascii="Arial" w:hAnsi="Arial" w:cs="Arial"/>
        </w:rPr>
        <w:t xml:space="preserve">metrics </w:t>
      </w:r>
      <w:r w:rsidR="00FE1F30" w:rsidRPr="008A39AD">
        <w:rPr>
          <w:rFonts w:ascii="Arial" w:hAnsi="Arial" w:cs="Arial"/>
        </w:rPr>
        <w:t xml:space="preserve">now </w:t>
      </w:r>
      <w:r w:rsidR="00F02B97" w:rsidRPr="008A39AD">
        <w:rPr>
          <w:rFonts w:ascii="Arial" w:hAnsi="Arial" w:cs="Arial"/>
        </w:rPr>
        <w:t xml:space="preserve">focus on </w:t>
      </w:r>
      <w:r w:rsidR="00DA39AA" w:rsidRPr="008A39AD">
        <w:rPr>
          <w:rFonts w:ascii="Arial" w:hAnsi="Arial" w:cs="Arial"/>
        </w:rPr>
        <w:t>th</w:t>
      </w:r>
      <w:r w:rsidR="004018E3" w:rsidRPr="008A39AD">
        <w:rPr>
          <w:rFonts w:ascii="Arial" w:hAnsi="Arial" w:cs="Arial"/>
        </w:rPr>
        <w:t>is</w:t>
      </w:r>
      <w:r w:rsidR="00DA39AA" w:rsidRPr="008A39AD">
        <w:rPr>
          <w:rFonts w:ascii="Arial" w:hAnsi="Arial" w:cs="Arial"/>
        </w:rPr>
        <w:t xml:space="preserve"> </w:t>
      </w:r>
      <w:r w:rsidR="00936BCD" w:rsidRPr="008A39AD">
        <w:rPr>
          <w:rFonts w:ascii="Arial" w:hAnsi="Arial" w:cs="Arial"/>
          <w:vertAlign w:val="superscript"/>
        </w:rPr>
        <w:t>3</w:t>
      </w:r>
      <w:r w:rsidR="001E0B66" w:rsidRPr="008A39AD">
        <w:rPr>
          <w:rFonts w:ascii="Arial" w:hAnsi="Arial" w:cs="Arial"/>
          <w:vertAlign w:val="superscript"/>
        </w:rPr>
        <w:t>6</w:t>
      </w:r>
      <w:r w:rsidR="00DA39AA" w:rsidRPr="008A39AD">
        <w:rPr>
          <w:rFonts w:ascii="Arial" w:hAnsi="Arial" w:cs="Arial"/>
        </w:rPr>
        <w:t>.</w:t>
      </w:r>
      <w:r w:rsidR="00214801" w:rsidRPr="008A39AD">
        <w:rPr>
          <w:rFonts w:ascii="Arial" w:hAnsi="Arial" w:cs="Arial"/>
        </w:rPr>
        <w:t xml:space="preserve"> </w:t>
      </w:r>
      <w:r w:rsidRPr="008A39AD">
        <w:rPr>
          <w:rFonts w:ascii="Arial" w:hAnsi="Arial" w:cs="Arial"/>
        </w:rPr>
        <w:t>R</w:t>
      </w:r>
      <w:r w:rsidR="00DA39AA" w:rsidRPr="008A39AD">
        <w:rPr>
          <w:rFonts w:ascii="Arial" w:hAnsi="Arial" w:cs="Arial"/>
        </w:rPr>
        <w:t xml:space="preserve">ecent </w:t>
      </w:r>
      <w:r w:rsidR="000A4D20" w:rsidRPr="008A39AD">
        <w:rPr>
          <w:rFonts w:ascii="Arial" w:hAnsi="Arial" w:cs="Arial"/>
        </w:rPr>
        <w:t xml:space="preserve">ISPD </w:t>
      </w:r>
      <w:r w:rsidR="00DA39AA" w:rsidRPr="008A39AD">
        <w:rPr>
          <w:rFonts w:ascii="Arial" w:hAnsi="Arial" w:cs="Arial"/>
        </w:rPr>
        <w:t>guidelines</w:t>
      </w:r>
      <w:r w:rsidR="000A4D20" w:rsidRPr="008A39AD">
        <w:rPr>
          <w:rFonts w:ascii="Arial" w:hAnsi="Arial" w:cs="Arial"/>
        </w:rPr>
        <w:t xml:space="preserve"> and a KDOQI commentary</w:t>
      </w:r>
      <w:r w:rsidR="00DA39AA" w:rsidRPr="008A39AD">
        <w:rPr>
          <w:rFonts w:ascii="Arial" w:hAnsi="Arial" w:cs="Arial"/>
        </w:rPr>
        <w:t xml:space="preserve"> have de</w:t>
      </w:r>
      <w:r w:rsidR="00FE1F30" w:rsidRPr="008A39AD">
        <w:rPr>
          <w:rFonts w:ascii="Arial" w:hAnsi="Arial" w:cs="Arial"/>
        </w:rPr>
        <w:t>-</w:t>
      </w:r>
      <w:r w:rsidR="00DA39AA" w:rsidRPr="008A39AD">
        <w:rPr>
          <w:rFonts w:ascii="Arial" w:hAnsi="Arial" w:cs="Arial"/>
        </w:rPr>
        <w:t xml:space="preserve">emphasized </w:t>
      </w:r>
      <w:r w:rsidR="004044C1" w:rsidRPr="008A39AD">
        <w:rPr>
          <w:rFonts w:ascii="Arial" w:hAnsi="Arial" w:cs="Arial"/>
        </w:rPr>
        <w:t xml:space="preserve">the role of </w:t>
      </w:r>
      <w:r w:rsidR="00DA39AA" w:rsidRPr="008A39AD">
        <w:rPr>
          <w:rFonts w:ascii="Arial" w:hAnsi="Arial" w:cs="Arial"/>
        </w:rPr>
        <w:t xml:space="preserve">small solute clearance </w:t>
      </w:r>
      <w:r w:rsidR="004044C1" w:rsidRPr="008A39AD">
        <w:rPr>
          <w:rFonts w:ascii="Arial" w:hAnsi="Arial" w:cs="Arial"/>
        </w:rPr>
        <w:t>in delivering high quality PD care</w:t>
      </w:r>
      <w:r w:rsidR="00FE1F30" w:rsidRPr="008A39AD">
        <w:rPr>
          <w:rFonts w:ascii="Arial" w:hAnsi="Arial" w:cs="Arial"/>
        </w:rPr>
        <w:t>,</w:t>
      </w:r>
      <w:r w:rsidR="00DA39AA" w:rsidRPr="008A39AD">
        <w:rPr>
          <w:rFonts w:ascii="Arial" w:hAnsi="Arial" w:cs="Arial"/>
        </w:rPr>
        <w:t xml:space="preserve"> </w:t>
      </w:r>
      <w:r w:rsidR="0056474D" w:rsidRPr="008A39AD">
        <w:rPr>
          <w:rFonts w:ascii="Arial" w:hAnsi="Arial" w:cs="Arial"/>
        </w:rPr>
        <w:t xml:space="preserve">recommending </w:t>
      </w:r>
      <w:r w:rsidR="00DA39AA" w:rsidRPr="008A39AD">
        <w:rPr>
          <w:rFonts w:ascii="Arial" w:hAnsi="Arial" w:cs="Arial"/>
        </w:rPr>
        <w:t xml:space="preserve">that </w:t>
      </w:r>
      <w:r w:rsidR="004044C1" w:rsidRPr="008A39AD">
        <w:rPr>
          <w:rFonts w:ascii="Arial" w:hAnsi="Arial" w:cs="Arial"/>
        </w:rPr>
        <w:t>many</w:t>
      </w:r>
      <w:r w:rsidR="0056474D" w:rsidRPr="008A39AD">
        <w:rPr>
          <w:rFonts w:ascii="Arial" w:hAnsi="Arial" w:cs="Arial"/>
        </w:rPr>
        <w:t xml:space="preserve"> other</w:t>
      </w:r>
      <w:r w:rsidR="004044C1" w:rsidRPr="008A39AD">
        <w:rPr>
          <w:rFonts w:ascii="Arial" w:hAnsi="Arial" w:cs="Arial"/>
        </w:rPr>
        <w:t xml:space="preserve"> factors be considered</w:t>
      </w:r>
      <w:r w:rsidR="00F61595" w:rsidRPr="008A39AD">
        <w:rPr>
          <w:rFonts w:ascii="Arial" w:hAnsi="Arial" w:cs="Arial"/>
        </w:rPr>
        <w:t xml:space="preserve"> </w:t>
      </w:r>
      <w:r w:rsidR="00936BCD" w:rsidRPr="008A39AD">
        <w:rPr>
          <w:rFonts w:ascii="Arial" w:hAnsi="Arial" w:cs="Arial"/>
          <w:vertAlign w:val="superscript"/>
        </w:rPr>
        <w:t>3</w:t>
      </w:r>
      <w:r w:rsidR="001E0B66" w:rsidRPr="008A39AD">
        <w:rPr>
          <w:rFonts w:ascii="Arial" w:hAnsi="Arial" w:cs="Arial"/>
          <w:vertAlign w:val="superscript"/>
        </w:rPr>
        <w:t>7</w:t>
      </w:r>
      <w:r w:rsidR="00F61595" w:rsidRPr="008A39AD">
        <w:rPr>
          <w:rFonts w:ascii="Arial" w:hAnsi="Arial" w:cs="Arial"/>
          <w:vertAlign w:val="superscript"/>
        </w:rPr>
        <w:t xml:space="preserve">, </w:t>
      </w:r>
      <w:r w:rsidR="008E688C" w:rsidRPr="008A39AD">
        <w:rPr>
          <w:rFonts w:ascii="Arial" w:hAnsi="Arial" w:cs="Arial"/>
          <w:vertAlign w:val="superscript"/>
        </w:rPr>
        <w:t>3</w:t>
      </w:r>
      <w:r w:rsidR="001E0B66" w:rsidRPr="008A39AD">
        <w:rPr>
          <w:rFonts w:ascii="Arial" w:hAnsi="Arial" w:cs="Arial"/>
          <w:vertAlign w:val="superscript"/>
        </w:rPr>
        <w:t>8</w:t>
      </w:r>
      <w:r w:rsidR="004044C1" w:rsidRPr="008A39AD">
        <w:rPr>
          <w:rFonts w:ascii="Arial" w:hAnsi="Arial" w:cs="Arial"/>
        </w:rPr>
        <w:t xml:space="preserve">. </w:t>
      </w:r>
      <w:r w:rsidR="00BC00B0" w:rsidRPr="008A39AD">
        <w:rPr>
          <w:rFonts w:ascii="Arial" w:hAnsi="Arial" w:cs="Arial"/>
        </w:rPr>
        <w:t>W</w:t>
      </w:r>
      <w:r w:rsidR="004044C1" w:rsidRPr="008A39AD">
        <w:rPr>
          <w:rFonts w:ascii="Arial" w:hAnsi="Arial" w:cs="Arial"/>
        </w:rPr>
        <w:t>e found no relationship between the proportion of patients at a facility</w:t>
      </w:r>
      <w:r w:rsidR="001439AE" w:rsidRPr="008A39AD">
        <w:rPr>
          <w:rFonts w:ascii="Arial" w:hAnsi="Arial" w:cs="Arial"/>
        </w:rPr>
        <w:t xml:space="preserve"> at PDOPPS enrollment</w:t>
      </w:r>
      <w:r w:rsidR="004044C1" w:rsidRPr="008A39AD">
        <w:rPr>
          <w:rFonts w:ascii="Arial" w:hAnsi="Arial" w:cs="Arial"/>
        </w:rPr>
        <w:t xml:space="preserve"> </w:t>
      </w:r>
      <w:r w:rsidR="00F42299" w:rsidRPr="008A39AD">
        <w:rPr>
          <w:rFonts w:ascii="Arial" w:hAnsi="Arial" w:cs="Arial"/>
        </w:rPr>
        <w:t>achieving</w:t>
      </w:r>
      <w:r w:rsidR="004044C1" w:rsidRPr="008A39AD">
        <w:rPr>
          <w:rFonts w:ascii="Arial" w:hAnsi="Arial" w:cs="Arial"/>
        </w:rPr>
        <w:t xml:space="preserve"> a total K</w:t>
      </w:r>
      <w:r w:rsidR="00F42299" w:rsidRPr="008A39AD">
        <w:rPr>
          <w:rFonts w:ascii="Arial" w:hAnsi="Arial" w:cs="Arial"/>
        </w:rPr>
        <w:t>t</w:t>
      </w:r>
      <w:r w:rsidR="004044C1" w:rsidRPr="008A39AD">
        <w:rPr>
          <w:rFonts w:ascii="Arial" w:hAnsi="Arial" w:cs="Arial"/>
        </w:rPr>
        <w:t>/V of 1.7</w:t>
      </w:r>
      <w:r w:rsidR="00F42299" w:rsidRPr="008A39AD">
        <w:rPr>
          <w:rFonts w:ascii="Arial" w:hAnsi="Arial" w:cs="Arial"/>
        </w:rPr>
        <w:t xml:space="preserve"> or higher</w:t>
      </w:r>
      <w:r w:rsidR="004044C1" w:rsidRPr="008A39AD">
        <w:rPr>
          <w:rFonts w:ascii="Arial" w:hAnsi="Arial" w:cs="Arial"/>
        </w:rPr>
        <w:t xml:space="preserve"> on the risk</w:t>
      </w:r>
      <w:r w:rsidR="00A268CE" w:rsidRPr="008A39AD">
        <w:rPr>
          <w:rFonts w:ascii="Arial" w:hAnsi="Arial" w:cs="Arial"/>
        </w:rPr>
        <w:t xml:space="preserve"> </w:t>
      </w:r>
      <w:r w:rsidR="004044C1" w:rsidRPr="008A39AD">
        <w:rPr>
          <w:rFonts w:ascii="Arial" w:hAnsi="Arial" w:cs="Arial"/>
        </w:rPr>
        <w:t xml:space="preserve">of death or </w:t>
      </w:r>
      <w:r w:rsidR="00043585" w:rsidRPr="008A39AD">
        <w:rPr>
          <w:rFonts w:ascii="Arial" w:hAnsi="Arial" w:cs="Arial"/>
        </w:rPr>
        <w:t xml:space="preserve">HD </w:t>
      </w:r>
      <w:r w:rsidR="003D2CEE" w:rsidRPr="008A39AD">
        <w:rPr>
          <w:rFonts w:ascii="Arial" w:hAnsi="Arial" w:cs="Arial"/>
        </w:rPr>
        <w:t>transfer</w:t>
      </w:r>
      <w:r w:rsidR="0038128E" w:rsidRPr="008A39AD">
        <w:rPr>
          <w:rFonts w:ascii="Arial" w:hAnsi="Arial" w:cs="Arial"/>
        </w:rPr>
        <w:t xml:space="preserve">. This needs to be interpreted in the context of the restricted number of facilities for which this </w:t>
      </w:r>
      <w:r w:rsidR="0038128E" w:rsidRPr="008A39AD">
        <w:rPr>
          <w:rFonts w:ascii="Arial" w:hAnsi="Arial" w:cs="Arial"/>
        </w:rPr>
        <w:lastRenderedPageBreak/>
        <w:t xml:space="preserve">was available. However, this finding </w:t>
      </w:r>
      <w:r w:rsidR="004044C1" w:rsidRPr="008A39AD">
        <w:rPr>
          <w:rFonts w:ascii="Arial" w:hAnsi="Arial" w:cs="Arial"/>
        </w:rPr>
        <w:t>r</w:t>
      </w:r>
      <w:r w:rsidR="0038128E" w:rsidRPr="008A39AD">
        <w:rPr>
          <w:rFonts w:ascii="Arial" w:hAnsi="Arial" w:cs="Arial"/>
        </w:rPr>
        <w:t>e</w:t>
      </w:r>
      <w:r w:rsidRPr="008A39AD">
        <w:rPr>
          <w:rFonts w:ascii="Arial" w:hAnsi="Arial" w:cs="Arial"/>
        </w:rPr>
        <w:t>i</w:t>
      </w:r>
      <w:r w:rsidR="0038128E" w:rsidRPr="008A39AD">
        <w:rPr>
          <w:rFonts w:ascii="Arial" w:hAnsi="Arial" w:cs="Arial"/>
        </w:rPr>
        <w:t xml:space="preserve">nforces </w:t>
      </w:r>
      <w:r w:rsidR="004044C1" w:rsidRPr="008A39AD">
        <w:rPr>
          <w:rFonts w:ascii="Arial" w:hAnsi="Arial" w:cs="Arial"/>
        </w:rPr>
        <w:t xml:space="preserve">the need </w:t>
      </w:r>
      <w:r w:rsidR="00D1728D" w:rsidRPr="008A39AD">
        <w:rPr>
          <w:rFonts w:ascii="Arial" w:hAnsi="Arial" w:cs="Arial"/>
        </w:rPr>
        <w:t xml:space="preserve">to </w:t>
      </w:r>
      <w:r w:rsidR="000A4D20" w:rsidRPr="008A39AD">
        <w:rPr>
          <w:rFonts w:ascii="Arial" w:hAnsi="Arial" w:cs="Arial"/>
        </w:rPr>
        <w:t>reevaluate</w:t>
      </w:r>
      <w:r w:rsidR="001439AE" w:rsidRPr="008A39AD">
        <w:rPr>
          <w:rFonts w:ascii="Arial" w:hAnsi="Arial" w:cs="Arial"/>
        </w:rPr>
        <w:t xml:space="preserve"> facility-based</w:t>
      </w:r>
      <w:r w:rsidR="00BC00B0" w:rsidRPr="008A39AD">
        <w:rPr>
          <w:rFonts w:ascii="Arial" w:hAnsi="Arial" w:cs="Arial"/>
        </w:rPr>
        <w:t xml:space="preserve"> Kt/V </w:t>
      </w:r>
      <w:r w:rsidR="000A4D20" w:rsidRPr="008A39AD">
        <w:rPr>
          <w:rFonts w:ascii="Arial" w:hAnsi="Arial" w:cs="Arial"/>
        </w:rPr>
        <w:t>as a quality measure</w:t>
      </w:r>
      <w:r w:rsidR="001439AE" w:rsidRPr="008A39AD">
        <w:rPr>
          <w:rFonts w:ascii="Arial" w:hAnsi="Arial" w:cs="Arial"/>
        </w:rPr>
        <w:t xml:space="preserve"> and a sole marker of the quality of dialysis delivery</w:t>
      </w:r>
      <w:r w:rsidR="004044C1" w:rsidRPr="008A39AD">
        <w:rPr>
          <w:rFonts w:ascii="Arial" w:hAnsi="Arial" w:cs="Arial"/>
        </w:rPr>
        <w:t xml:space="preserve">. </w:t>
      </w:r>
      <w:r w:rsidR="009E13CA" w:rsidRPr="008A39AD">
        <w:rPr>
          <w:rFonts w:ascii="Arial" w:hAnsi="Arial" w:cs="Arial"/>
        </w:rPr>
        <w:t>Just over 50% of problems with solute</w:t>
      </w:r>
      <w:r w:rsidR="0038128E" w:rsidRPr="008A39AD">
        <w:rPr>
          <w:rFonts w:ascii="Arial" w:hAnsi="Arial" w:cs="Arial"/>
        </w:rPr>
        <w:t xml:space="preserve"> </w:t>
      </w:r>
      <w:r w:rsidR="009E13CA" w:rsidRPr="008A39AD">
        <w:rPr>
          <w:rFonts w:ascii="Arial" w:hAnsi="Arial" w:cs="Arial"/>
        </w:rPr>
        <w:t xml:space="preserve">clearance causing </w:t>
      </w:r>
      <w:r w:rsidR="00043585" w:rsidRPr="008A39AD">
        <w:rPr>
          <w:rFonts w:ascii="Arial" w:hAnsi="Arial" w:cs="Arial"/>
        </w:rPr>
        <w:t xml:space="preserve">HD </w:t>
      </w:r>
      <w:r w:rsidR="003D2CEE" w:rsidRPr="008A39AD">
        <w:rPr>
          <w:rFonts w:ascii="Arial" w:hAnsi="Arial" w:cs="Arial"/>
        </w:rPr>
        <w:t>transfer</w:t>
      </w:r>
      <w:r w:rsidR="009E13CA" w:rsidRPr="008A39AD">
        <w:rPr>
          <w:rFonts w:ascii="Arial" w:hAnsi="Arial" w:cs="Arial"/>
        </w:rPr>
        <w:t xml:space="preserve"> were due to concerns over Kt/V</w:t>
      </w:r>
      <w:r w:rsidR="00273D3E" w:rsidRPr="008A39AD">
        <w:rPr>
          <w:rFonts w:ascii="Arial" w:hAnsi="Arial" w:cs="Arial"/>
        </w:rPr>
        <w:t xml:space="preserve"> </w:t>
      </w:r>
      <w:r w:rsidR="00FC5E60" w:rsidRPr="008A39AD">
        <w:rPr>
          <w:rFonts w:ascii="Arial" w:hAnsi="Arial" w:cs="Arial"/>
        </w:rPr>
        <w:t>(</w:t>
      </w:r>
      <w:r w:rsidR="00826B38" w:rsidRPr="008A39AD">
        <w:rPr>
          <w:rFonts w:ascii="Arial" w:hAnsi="Arial" w:cs="Arial"/>
        </w:rPr>
        <w:t>S</w:t>
      </w:r>
      <w:r w:rsidR="00FC5E60" w:rsidRPr="008A39AD">
        <w:rPr>
          <w:rFonts w:ascii="Arial" w:hAnsi="Arial" w:cs="Arial"/>
        </w:rPr>
        <w:t xml:space="preserve">upplementary </w:t>
      </w:r>
      <w:r w:rsidR="00826B38" w:rsidRPr="008A39AD">
        <w:rPr>
          <w:rFonts w:ascii="Arial" w:hAnsi="Arial" w:cs="Arial"/>
        </w:rPr>
        <w:t>T</w:t>
      </w:r>
      <w:r w:rsidR="00FC5E60" w:rsidRPr="008A39AD">
        <w:rPr>
          <w:rFonts w:ascii="Arial" w:hAnsi="Arial" w:cs="Arial"/>
        </w:rPr>
        <w:t>able 3)</w:t>
      </w:r>
      <w:r w:rsidR="001439AE" w:rsidRPr="008A39AD">
        <w:rPr>
          <w:rFonts w:ascii="Arial" w:hAnsi="Arial" w:cs="Arial"/>
        </w:rPr>
        <w:t xml:space="preserve">. It is unclear if this was the sole indication to transfer to HD but if </w:t>
      </w:r>
      <w:proofErr w:type="gramStart"/>
      <w:r w:rsidR="001439AE" w:rsidRPr="008A39AD">
        <w:rPr>
          <w:rFonts w:ascii="Arial" w:hAnsi="Arial" w:cs="Arial"/>
        </w:rPr>
        <w:t>so</w:t>
      </w:r>
      <w:proofErr w:type="gramEnd"/>
      <w:r w:rsidR="001439AE" w:rsidRPr="008A39AD">
        <w:rPr>
          <w:rFonts w:ascii="Arial" w:hAnsi="Arial" w:cs="Arial"/>
        </w:rPr>
        <w:t xml:space="preserve"> it </w:t>
      </w:r>
      <w:r w:rsidR="009E13CA" w:rsidRPr="008A39AD">
        <w:rPr>
          <w:rFonts w:ascii="Arial" w:hAnsi="Arial" w:cs="Arial"/>
        </w:rPr>
        <w:t>suggest</w:t>
      </w:r>
      <w:r w:rsidR="001439AE" w:rsidRPr="008A39AD">
        <w:rPr>
          <w:rFonts w:ascii="Arial" w:hAnsi="Arial" w:cs="Arial"/>
        </w:rPr>
        <w:t xml:space="preserve">s </w:t>
      </w:r>
      <w:r w:rsidR="009E13CA" w:rsidRPr="008A39AD">
        <w:rPr>
          <w:rFonts w:ascii="Arial" w:hAnsi="Arial" w:cs="Arial"/>
        </w:rPr>
        <w:t xml:space="preserve">that a significant minority of patients may experience </w:t>
      </w:r>
      <w:r w:rsidR="00043585" w:rsidRPr="008A39AD">
        <w:rPr>
          <w:rFonts w:ascii="Arial" w:hAnsi="Arial" w:cs="Arial"/>
        </w:rPr>
        <w:t xml:space="preserve">HD </w:t>
      </w:r>
      <w:r w:rsidR="003D2CEE" w:rsidRPr="008A39AD">
        <w:rPr>
          <w:rFonts w:ascii="Arial" w:hAnsi="Arial" w:cs="Arial"/>
        </w:rPr>
        <w:t>transfer</w:t>
      </w:r>
      <w:r w:rsidR="009E13CA" w:rsidRPr="008A39AD">
        <w:rPr>
          <w:rFonts w:ascii="Arial" w:hAnsi="Arial" w:cs="Arial"/>
        </w:rPr>
        <w:t xml:space="preserve"> unnecessarily. </w:t>
      </w:r>
    </w:p>
    <w:p w14:paraId="59B7EE74" w14:textId="5567AC96" w:rsidR="00C07B15" w:rsidRPr="008A39AD" w:rsidRDefault="00237A87" w:rsidP="0054676E">
      <w:pPr>
        <w:spacing w:after="200" w:line="480" w:lineRule="auto"/>
        <w:rPr>
          <w:rFonts w:ascii="Arial" w:hAnsi="Arial" w:cs="Arial"/>
        </w:rPr>
      </w:pPr>
      <w:r w:rsidRPr="008A39AD">
        <w:rPr>
          <w:rFonts w:ascii="Arial" w:hAnsi="Arial" w:cs="Arial"/>
        </w:rPr>
        <w:t>The strengths of this study include the large</w:t>
      </w:r>
      <w:r w:rsidR="00C07B15" w:rsidRPr="008A39AD">
        <w:rPr>
          <w:rFonts w:ascii="Arial" w:hAnsi="Arial" w:cs="Arial"/>
        </w:rPr>
        <w:t xml:space="preserve">, diverse, </w:t>
      </w:r>
      <w:r w:rsidRPr="008A39AD">
        <w:rPr>
          <w:rFonts w:ascii="Arial" w:hAnsi="Arial" w:cs="Arial"/>
        </w:rPr>
        <w:t xml:space="preserve">multinational patient sample </w:t>
      </w:r>
      <w:r w:rsidR="00BC00B0" w:rsidRPr="008A39AD">
        <w:rPr>
          <w:rFonts w:ascii="Arial" w:hAnsi="Arial" w:cs="Arial"/>
        </w:rPr>
        <w:t>providing</w:t>
      </w:r>
      <w:r w:rsidRPr="008A39AD">
        <w:rPr>
          <w:rFonts w:ascii="Arial" w:hAnsi="Arial" w:cs="Arial"/>
        </w:rPr>
        <w:t xml:space="preserve"> a unique opportunity to </w:t>
      </w:r>
      <w:r w:rsidR="00BC00B0" w:rsidRPr="008A39AD">
        <w:rPr>
          <w:rFonts w:ascii="Arial" w:hAnsi="Arial" w:cs="Arial"/>
        </w:rPr>
        <w:t xml:space="preserve">quantify and </w:t>
      </w:r>
      <w:r w:rsidRPr="008A39AD">
        <w:rPr>
          <w:rFonts w:ascii="Arial" w:hAnsi="Arial" w:cs="Arial"/>
        </w:rPr>
        <w:t xml:space="preserve">explore </w:t>
      </w:r>
      <w:r w:rsidR="00622AD1" w:rsidRPr="008A39AD">
        <w:rPr>
          <w:rFonts w:ascii="Arial" w:hAnsi="Arial" w:cs="Arial"/>
        </w:rPr>
        <w:t>time on PD</w:t>
      </w:r>
      <w:r w:rsidRPr="008A39AD">
        <w:rPr>
          <w:rFonts w:ascii="Arial" w:hAnsi="Arial" w:cs="Arial"/>
        </w:rPr>
        <w:t xml:space="preserve"> differences and mortality risks across countries. </w:t>
      </w:r>
      <w:bookmarkStart w:id="4" w:name="_Hlk95074550"/>
      <w:r w:rsidR="00877CBF" w:rsidRPr="008A39AD">
        <w:rPr>
          <w:rFonts w:ascii="Arial" w:hAnsi="Arial" w:cs="Arial"/>
        </w:rPr>
        <w:t xml:space="preserve">Furthermore, interpretation of the patient factors shown in </w:t>
      </w:r>
      <w:r w:rsidR="00826B38" w:rsidRPr="008A39AD">
        <w:rPr>
          <w:rFonts w:ascii="Arial" w:hAnsi="Arial" w:cs="Arial"/>
        </w:rPr>
        <w:t>F</w:t>
      </w:r>
      <w:r w:rsidR="00877CBF" w:rsidRPr="008A39AD">
        <w:rPr>
          <w:rFonts w:ascii="Arial" w:hAnsi="Arial" w:cs="Arial"/>
        </w:rPr>
        <w:t xml:space="preserve">igures 4A and 4B should be understood to represent their independent contribution within the models used, outside of the treatment factors listed, and not an attempt to describe their overall causal impact, as per the ‘table 2 fallacy’ described by </w:t>
      </w:r>
      <w:proofErr w:type="spellStart"/>
      <w:r w:rsidR="00877CBF" w:rsidRPr="008A39AD">
        <w:rPr>
          <w:rFonts w:ascii="Arial" w:hAnsi="Arial" w:cs="Arial"/>
        </w:rPr>
        <w:t>Westreich</w:t>
      </w:r>
      <w:proofErr w:type="spellEnd"/>
      <w:r w:rsidR="00877CBF" w:rsidRPr="008A39AD">
        <w:rPr>
          <w:rFonts w:ascii="Arial" w:hAnsi="Arial" w:cs="Arial"/>
        </w:rPr>
        <w:t xml:space="preserve"> et al</w:t>
      </w:r>
      <w:r w:rsidR="001E0B66" w:rsidRPr="008A39AD">
        <w:rPr>
          <w:rFonts w:ascii="Arial" w:hAnsi="Arial" w:cs="Arial"/>
          <w:vertAlign w:val="superscript"/>
        </w:rPr>
        <w:t>39</w:t>
      </w:r>
      <w:r w:rsidR="00877CBF" w:rsidRPr="008A39AD">
        <w:rPr>
          <w:rFonts w:ascii="Arial" w:hAnsi="Arial" w:cs="Arial"/>
        </w:rPr>
        <w:t xml:space="preserve">. </w:t>
      </w:r>
      <w:r w:rsidRPr="008A39AD">
        <w:rPr>
          <w:rFonts w:ascii="Arial" w:hAnsi="Arial" w:cs="Arial"/>
        </w:rPr>
        <w:t>The PDOPPS sample relies on voluntary participation and</w:t>
      </w:r>
      <w:r w:rsidR="005474F9" w:rsidRPr="008A39AD">
        <w:rPr>
          <w:rFonts w:ascii="Arial" w:hAnsi="Arial" w:cs="Arial"/>
        </w:rPr>
        <w:t>,</w:t>
      </w:r>
      <w:r w:rsidRPr="008A39AD">
        <w:rPr>
          <w:rFonts w:ascii="Arial" w:hAnsi="Arial" w:cs="Arial"/>
        </w:rPr>
        <w:t xml:space="preserve"> despite attempts to obtain national representative samples, </w:t>
      </w:r>
      <w:r w:rsidR="00FC5E60" w:rsidRPr="008A39AD">
        <w:rPr>
          <w:rFonts w:ascii="Arial" w:hAnsi="Arial" w:cs="Arial"/>
        </w:rPr>
        <w:t xml:space="preserve">differences may result from restriction of recruitment to clinics with more than 20 patients  and other </w:t>
      </w:r>
      <w:r w:rsidR="00EA3F66" w:rsidRPr="008A39AD">
        <w:rPr>
          <w:rFonts w:ascii="Arial" w:hAnsi="Arial" w:cs="Arial"/>
        </w:rPr>
        <w:t xml:space="preserve">minor differences </w:t>
      </w:r>
      <w:r w:rsidR="00FC5E60" w:rsidRPr="008A39AD">
        <w:rPr>
          <w:rFonts w:ascii="Arial" w:hAnsi="Arial" w:cs="Arial"/>
        </w:rPr>
        <w:t xml:space="preserve">may exist </w:t>
      </w:r>
      <w:r w:rsidR="00EA3F66" w:rsidRPr="008A39AD">
        <w:rPr>
          <w:rFonts w:ascii="Arial" w:hAnsi="Arial" w:cs="Arial"/>
        </w:rPr>
        <w:t xml:space="preserve">in </w:t>
      </w:r>
      <w:r w:rsidRPr="008A39AD">
        <w:rPr>
          <w:rFonts w:ascii="Arial" w:hAnsi="Arial" w:cs="Arial"/>
        </w:rPr>
        <w:t xml:space="preserve">facility and patient characteristics </w:t>
      </w:r>
      <w:r w:rsidR="00EA3F66" w:rsidRPr="008A39AD">
        <w:rPr>
          <w:rFonts w:ascii="Arial" w:hAnsi="Arial" w:cs="Arial"/>
        </w:rPr>
        <w:t xml:space="preserve">compared with </w:t>
      </w:r>
      <w:r w:rsidR="00C07B15" w:rsidRPr="008A39AD">
        <w:rPr>
          <w:rFonts w:ascii="Arial" w:hAnsi="Arial" w:cs="Arial"/>
        </w:rPr>
        <w:t>non-participating clinics and patients</w:t>
      </w:r>
      <w:r w:rsidR="001E0B66" w:rsidRPr="008A39AD">
        <w:rPr>
          <w:rFonts w:ascii="Arial" w:hAnsi="Arial" w:cs="Arial"/>
          <w:vertAlign w:val="superscript"/>
        </w:rPr>
        <w:t>40</w:t>
      </w:r>
      <w:r w:rsidR="00DB42E5" w:rsidRPr="008A39AD">
        <w:rPr>
          <w:rFonts w:ascii="Arial" w:hAnsi="Arial" w:cs="Arial"/>
          <w:vertAlign w:val="superscript"/>
        </w:rPr>
        <w:t>,41</w:t>
      </w:r>
      <w:r w:rsidR="00C07B15" w:rsidRPr="008A39AD">
        <w:rPr>
          <w:rFonts w:ascii="Arial" w:hAnsi="Arial" w:cs="Arial"/>
        </w:rPr>
        <w:t xml:space="preserve">. </w:t>
      </w:r>
      <w:bookmarkEnd w:id="4"/>
      <w:r w:rsidR="00BC00B0" w:rsidRPr="008A39AD">
        <w:rPr>
          <w:rFonts w:ascii="Arial" w:hAnsi="Arial" w:cs="Arial"/>
        </w:rPr>
        <w:t>W</w:t>
      </w:r>
      <w:r w:rsidR="00C07B15" w:rsidRPr="008A39AD">
        <w:rPr>
          <w:rFonts w:ascii="Arial" w:hAnsi="Arial" w:cs="Arial"/>
        </w:rPr>
        <w:t xml:space="preserve">e explored a select set of patient and facility characteristics, but our findings may </w:t>
      </w:r>
      <w:r w:rsidR="005474F9" w:rsidRPr="008A39AD">
        <w:rPr>
          <w:rFonts w:ascii="Arial" w:hAnsi="Arial" w:cs="Arial"/>
        </w:rPr>
        <w:t xml:space="preserve">have been </w:t>
      </w:r>
      <w:r w:rsidR="00C07B15" w:rsidRPr="008A39AD">
        <w:rPr>
          <w:rFonts w:ascii="Arial" w:hAnsi="Arial" w:cs="Arial"/>
        </w:rPr>
        <w:t xml:space="preserve">impacted by unmeasured </w:t>
      </w:r>
      <w:r w:rsidR="00804942" w:rsidRPr="008A39AD">
        <w:rPr>
          <w:rFonts w:ascii="Arial" w:hAnsi="Arial" w:cs="Arial"/>
        </w:rPr>
        <w:t>confounding</w:t>
      </w:r>
      <w:r w:rsidR="00453E26" w:rsidRPr="008A39AD">
        <w:rPr>
          <w:rFonts w:ascii="Arial" w:hAnsi="Arial" w:cs="Arial"/>
        </w:rPr>
        <w:t xml:space="preserve"> or</w:t>
      </w:r>
      <w:r w:rsidR="00C07B15" w:rsidRPr="008A39AD">
        <w:rPr>
          <w:rFonts w:ascii="Arial" w:hAnsi="Arial" w:cs="Arial"/>
        </w:rPr>
        <w:t xml:space="preserve"> </w:t>
      </w:r>
      <w:r w:rsidR="00453E26" w:rsidRPr="008A39AD">
        <w:rPr>
          <w:rFonts w:ascii="Arial" w:hAnsi="Arial" w:cs="Arial"/>
        </w:rPr>
        <w:t>i</w:t>
      </w:r>
      <w:r w:rsidR="001F35D8" w:rsidRPr="008A39AD">
        <w:rPr>
          <w:rFonts w:ascii="Arial" w:hAnsi="Arial" w:cs="Arial"/>
        </w:rPr>
        <w:t>nformative censoring.</w:t>
      </w:r>
      <w:r w:rsidR="00214801" w:rsidRPr="008A39AD">
        <w:rPr>
          <w:rFonts w:ascii="Arial" w:hAnsi="Arial" w:cs="Arial"/>
        </w:rPr>
        <w:t xml:space="preserve"> </w:t>
      </w:r>
      <w:r w:rsidR="001F35D8" w:rsidRPr="008A39AD">
        <w:rPr>
          <w:rFonts w:ascii="Arial" w:hAnsi="Arial" w:cs="Arial"/>
        </w:rPr>
        <w:t xml:space="preserve"> </w:t>
      </w:r>
    </w:p>
    <w:p w14:paraId="427C9FEC" w14:textId="6B5568A6" w:rsidR="00C07B15" w:rsidRPr="008A39AD" w:rsidRDefault="00C07B15" w:rsidP="0054676E">
      <w:pPr>
        <w:spacing w:after="200" w:line="480" w:lineRule="auto"/>
        <w:rPr>
          <w:rFonts w:ascii="Arial" w:hAnsi="Arial" w:cs="Arial"/>
        </w:rPr>
      </w:pPr>
      <w:r w:rsidRPr="008A39AD">
        <w:rPr>
          <w:rFonts w:ascii="Arial" w:hAnsi="Arial" w:cs="Arial"/>
        </w:rPr>
        <w:t>Notwithstanding these limitations, we have demonstrated differences in</w:t>
      </w:r>
      <w:r w:rsidR="00F61595" w:rsidRPr="008A39AD">
        <w:rPr>
          <w:rFonts w:ascii="Arial" w:hAnsi="Arial" w:cs="Arial"/>
        </w:rPr>
        <w:t xml:space="preserve"> median</w:t>
      </w:r>
      <w:r w:rsidRPr="008A39AD">
        <w:rPr>
          <w:rFonts w:ascii="Arial" w:hAnsi="Arial" w:cs="Arial"/>
        </w:rPr>
        <w:t xml:space="preserve"> </w:t>
      </w:r>
      <w:r w:rsidR="00622AD1" w:rsidRPr="008A39AD">
        <w:rPr>
          <w:rFonts w:ascii="Arial" w:hAnsi="Arial" w:cs="Arial"/>
        </w:rPr>
        <w:t>time on PD</w:t>
      </w:r>
      <w:r w:rsidR="00A8381D" w:rsidRPr="008A39AD">
        <w:rPr>
          <w:rFonts w:ascii="Arial" w:hAnsi="Arial" w:cs="Arial"/>
        </w:rPr>
        <w:t xml:space="preserve"> across countries in PDOPPS and the important role that death and</w:t>
      </w:r>
      <w:r w:rsidR="001C03B3" w:rsidRPr="008A39AD">
        <w:rPr>
          <w:rFonts w:ascii="Arial" w:hAnsi="Arial" w:cs="Arial"/>
        </w:rPr>
        <w:t xml:space="preserve"> particularly</w:t>
      </w:r>
      <w:r w:rsidR="00A8381D" w:rsidRPr="008A39AD">
        <w:rPr>
          <w:rFonts w:ascii="Arial" w:hAnsi="Arial" w:cs="Arial"/>
        </w:rPr>
        <w:t xml:space="preserve"> kidney transplantation play in the</w:t>
      </w:r>
      <w:r w:rsidR="00F61595" w:rsidRPr="008A39AD">
        <w:rPr>
          <w:rFonts w:ascii="Arial" w:hAnsi="Arial" w:cs="Arial"/>
        </w:rPr>
        <w:t>ir</w:t>
      </w:r>
      <w:r w:rsidR="00A8381D" w:rsidRPr="008A39AD">
        <w:rPr>
          <w:rFonts w:ascii="Arial" w:hAnsi="Arial" w:cs="Arial"/>
        </w:rPr>
        <w:t xml:space="preserve"> interpretation. Infection continues to remain </w:t>
      </w:r>
      <w:r w:rsidR="001C03B3" w:rsidRPr="008A39AD">
        <w:rPr>
          <w:rFonts w:ascii="Arial" w:hAnsi="Arial" w:cs="Arial"/>
        </w:rPr>
        <w:t xml:space="preserve">a </w:t>
      </w:r>
      <w:r w:rsidR="00A8381D" w:rsidRPr="008A39AD">
        <w:rPr>
          <w:rFonts w:ascii="Arial" w:hAnsi="Arial" w:cs="Arial"/>
        </w:rPr>
        <w:t xml:space="preserve">leading cause of </w:t>
      </w:r>
      <w:r w:rsidR="00043585" w:rsidRPr="008A39AD">
        <w:rPr>
          <w:rFonts w:ascii="Arial" w:hAnsi="Arial" w:cs="Arial"/>
        </w:rPr>
        <w:t xml:space="preserve">HD </w:t>
      </w:r>
      <w:r w:rsidR="003D2CEE" w:rsidRPr="008A39AD">
        <w:rPr>
          <w:rFonts w:ascii="Arial" w:hAnsi="Arial" w:cs="Arial"/>
        </w:rPr>
        <w:t xml:space="preserve">transfer </w:t>
      </w:r>
      <w:r w:rsidR="00A8381D" w:rsidRPr="008A39AD">
        <w:rPr>
          <w:rFonts w:ascii="Arial" w:hAnsi="Arial" w:cs="Arial"/>
        </w:rPr>
        <w:t xml:space="preserve">across all countries. In all countries, opportunities exist to improve </w:t>
      </w:r>
      <w:r w:rsidR="00622AD1" w:rsidRPr="008A39AD">
        <w:rPr>
          <w:rFonts w:ascii="Arial" w:hAnsi="Arial" w:cs="Arial"/>
        </w:rPr>
        <w:t>time on PD</w:t>
      </w:r>
      <w:r w:rsidR="00CB1AE1" w:rsidRPr="008A39AD">
        <w:rPr>
          <w:rFonts w:ascii="Arial" w:hAnsi="Arial" w:cs="Arial"/>
        </w:rPr>
        <w:t xml:space="preserve">. </w:t>
      </w:r>
      <w:r w:rsidR="00214801" w:rsidRPr="008A39AD">
        <w:rPr>
          <w:rFonts w:ascii="Arial" w:hAnsi="Arial" w:cs="Arial"/>
        </w:rPr>
        <w:t xml:space="preserve"> </w:t>
      </w:r>
      <w:r w:rsidR="00A8381D" w:rsidRPr="008A39AD">
        <w:rPr>
          <w:rFonts w:ascii="Arial" w:hAnsi="Arial" w:cs="Arial"/>
        </w:rPr>
        <w:t xml:space="preserve">PDOPPS will continue to focus on identifying important facility practices that will shed light on reducing premature </w:t>
      </w:r>
      <w:r w:rsidR="00043585" w:rsidRPr="008A39AD">
        <w:rPr>
          <w:rFonts w:ascii="Arial" w:hAnsi="Arial" w:cs="Arial"/>
        </w:rPr>
        <w:t xml:space="preserve">HD </w:t>
      </w:r>
      <w:r w:rsidR="00435C98" w:rsidRPr="008A39AD">
        <w:rPr>
          <w:rFonts w:ascii="Arial" w:hAnsi="Arial" w:cs="Arial"/>
        </w:rPr>
        <w:t>transfer</w:t>
      </w:r>
      <w:r w:rsidR="00071604" w:rsidRPr="008A39AD">
        <w:rPr>
          <w:rFonts w:ascii="Arial" w:hAnsi="Arial" w:cs="Arial"/>
        </w:rPr>
        <w:t xml:space="preserve"> and </w:t>
      </w:r>
      <w:r w:rsidR="00A8381D" w:rsidRPr="008A39AD">
        <w:rPr>
          <w:rFonts w:ascii="Arial" w:hAnsi="Arial" w:cs="Arial"/>
        </w:rPr>
        <w:t xml:space="preserve">improve survival and quality of life for patients receiving PD. </w:t>
      </w:r>
    </w:p>
    <w:p w14:paraId="26044413" w14:textId="0CB44181" w:rsidR="004044C1" w:rsidRPr="008A39AD" w:rsidRDefault="004044C1" w:rsidP="0054676E">
      <w:pPr>
        <w:spacing w:after="200" w:line="480" w:lineRule="auto"/>
        <w:rPr>
          <w:rFonts w:ascii="Arial" w:hAnsi="Arial" w:cs="Arial"/>
          <w:sz w:val="24"/>
          <w:szCs w:val="24"/>
        </w:rPr>
      </w:pPr>
    </w:p>
    <w:p w14:paraId="7A41B8F8" w14:textId="77777777" w:rsidR="004044C1" w:rsidRPr="008A39AD" w:rsidRDefault="004044C1" w:rsidP="0054676E">
      <w:pPr>
        <w:spacing w:after="200" w:line="480" w:lineRule="auto"/>
        <w:rPr>
          <w:rFonts w:ascii="Arial" w:hAnsi="Arial" w:cs="Arial"/>
          <w:sz w:val="24"/>
          <w:szCs w:val="24"/>
        </w:rPr>
      </w:pPr>
    </w:p>
    <w:p w14:paraId="44983FF7" w14:textId="3D958F3F" w:rsidR="00E0068A" w:rsidRPr="008A39AD" w:rsidRDefault="00E0068A" w:rsidP="0054676E">
      <w:pPr>
        <w:spacing w:after="200" w:line="480" w:lineRule="auto"/>
        <w:rPr>
          <w:rFonts w:ascii="Arial" w:hAnsi="Arial" w:cs="Arial"/>
          <w:b/>
          <w:bCs/>
        </w:rPr>
      </w:pPr>
      <w:r w:rsidRPr="008A39AD">
        <w:rPr>
          <w:rFonts w:ascii="Arial" w:hAnsi="Arial" w:cs="Arial"/>
          <w:b/>
          <w:bCs/>
        </w:rPr>
        <w:t>Disclosures</w:t>
      </w:r>
    </w:p>
    <w:p w14:paraId="57DB3EEC" w14:textId="1C49EC4D" w:rsidR="00422872" w:rsidRPr="008A39AD" w:rsidRDefault="00422872" w:rsidP="00422872">
      <w:pPr>
        <w:spacing w:line="240" w:lineRule="auto"/>
        <w:rPr>
          <w:rFonts w:ascii="Arial" w:hAnsi="Arial" w:cs="Arial"/>
          <w:bCs/>
        </w:rPr>
      </w:pPr>
      <w:r w:rsidRPr="008A39AD">
        <w:rPr>
          <w:rFonts w:ascii="Arial" w:hAnsi="Arial" w:cs="Arial"/>
          <w:bCs/>
        </w:rPr>
        <w:t>Simon J. Davies</w:t>
      </w:r>
      <w:r w:rsidR="001C48CC" w:rsidRPr="008A39AD">
        <w:rPr>
          <w:rFonts w:ascii="Arial" w:hAnsi="Arial" w:cs="Arial"/>
          <w:bCs/>
        </w:rPr>
        <w:t xml:space="preserve"> has received consulting fees from Baxter Healthcare and Ellen Medical. He has received payment or honoraria for lectures, presentations, </w:t>
      </w:r>
      <w:proofErr w:type="gramStart"/>
      <w:r w:rsidR="001C48CC" w:rsidRPr="008A39AD">
        <w:rPr>
          <w:rFonts w:ascii="Arial" w:hAnsi="Arial" w:cs="Arial"/>
          <w:bCs/>
        </w:rPr>
        <w:t>speakers</w:t>
      </w:r>
      <w:proofErr w:type="gramEnd"/>
      <w:r w:rsidR="001C48CC" w:rsidRPr="008A39AD">
        <w:rPr>
          <w:rFonts w:ascii="Arial" w:hAnsi="Arial" w:cs="Arial"/>
          <w:bCs/>
        </w:rPr>
        <w:t xml:space="preserve"> bureaus, manuscript writing or educational events from Fresenius Medical Care.</w:t>
      </w:r>
    </w:p>
    <w:p w14:paraId="2F5139C5" w14:textId="7ACE9DBE" w:rsidR="0084560D" w:rsidRPr="008A39AD" w:rsidRDefault="0084560D" w:rsidP="00422872">
      <w:pPr>
        <w:spacing w:line="240" w:lineRule="auto"/>
        <w:rPr>
          <w:rFonts w:ascii="Arial" w:hAnsi="Arial" w:cs="Arial"/>
          <w:bCs/>
        </w:rPr>
      </w:pPr>
      <w:r w:rsidRPr="008A39AD">
        <w:rPr>
          <w:rFonts w:ascii="Arial" w:hAnsi="Arial" w:cs="Arial"/>
          <w:bCs/>
        </w:rPr>
        <w:t>Hideki Kawanishi has no conflicts of interest to declare.</w:t>
      </w:r>
    </w:p>
    <w:p w14:paraId="5171ED12" w14:textId="3D7F70EA" w:rsidR="0052009C" w:rsidRPr="008A39AD" w:rsidRDefault="0052009C" w:rsidP="0084560D">
      <w:pPr>
        <w:spacing w:line="240" w:lineRule="auto"/>
        <w:rPr>
          <w:rFonts w:ascii="Arial" w:hAnsi="Arial" w:cs="Arial"/>
          <w:bCs/>
        </w:rPr>
      </w:pPr>
      <w:r w:rsidRPr="008A39AD">
        <w:rPr>
          <w:rFonts w:ascii="Arial" w:hAnsi="Arial" w:cs="Arial"/>
          <w:bCs/>
        </w:rPr>
        <w:t>Mauricio Sanabria is an employee of Baxter Renal Care Services, a company of Baxter Health Care Corp.</w:t>
      </w:r>
    </w:p>
    <w:p w14:paraId="5D1B8BB6" w14:textId="7D4A7768" w:rsidR="0052009C" w:rsidRPr="008A39AD" w:rsidRDefault="0052009C" w:rsidP="0084560D">
      <w:pPr>
        <w:spacing w:line="240" w:lineRule="auto"/>
        <w:rPr>
          <w:rFonts w:ascii="Arial" w:hAnsi="Arial" w:cs="Arial"/>
          <w:bCs/>
        </w:rPr>
      </w:pPr>
      <w:proofErr w:type="spellStart"/>
      <w:r w:rsidRPr="008A39AD">
        <w:rPr>
          <w:rFonts w:ascii="Arial" w:hAnsi="Arial" w:cs="Arial"/>
          <w:bCs/>
        </w:rPr>
        <w:t>Talerngsak</w:t>
      </w:r>
      <w:proofErr w:type="spellEnd"/>
      <w:r w:rsidRPr="008A39AD">
        <w:rPr>
          <w:rFonts w:ascii="Arial" w:hAnsi="Arial" w:cs="Arial"/>
          <w:bCs/>
        </w:rPr>
        <w:t xml:space="preserve"> </w:t>
      </w:r>
      <w:proofErr w:type="spellStart"/>
      <w:r w:rsidRPr="008A39AD">
        <w:rPr>
          <w:rFonts w:ascii="Arial" w:hAnsi="Arial" w:cs="Arial"/>
          <w:bCs/>
        </w:rPr>
        <w:t>Kanjanabuch</w:t>
      </w:r>
      <w:proofErr w:type="spellEnd"/>
      <w:r w:rsidRPr="008A39AD">
        <w:rPr>
          <w:rFonts w:ascii="Arial" w:hAnsi="Arial" w:cs="Arial"/>
          <w:bCs/>
        </w:rPr>
        <w:t xml:space="preserve"> has received consultancy fees from VISTERRA as a country investigator and current recipient of the National Research Council of Thailand and received speaking honoraria from Astra Zeneca and Baxter Healthcare.</w:t>
      </w:r>
    </w:p>
    <w:p w14:paraId="63867B7B" w14:textId="417F732A" w:rsidR="0084560D" w:rsidRPr="008A39AD" w:rsidRDefault="0084560D" w:rsidP="0084560D">
      <w:pPr>
        <w:spacing w:line="240" w:lineRule="auto"/>
        <w:rPr>
          <w:rFonts w:ascii="Arial" w:hAnsi="Arial" w:cs="Arial"/>
          <w:bCs/>
        </w:rPr>
      </w:pPr>
      <w:r w:rsidRPr="008A39AD">
        <w:rPr>
          <w:rFonts w:ascii="Arial" w:hAnsi="Arial" w:cs="Arial"/>
          <w:bCs/>
        </w:rPr>
        <w:t>Jenny I. Shen has received funding from the Canadian Institutes of Health Research and is supported by grant K23DK103972 from the NIH-NIIDDK.</w:t>
      </w:r>
    </w:p>
    <w:p w14:paraId="7668D91E" w14:textId="1B0DA61C" w:rsidR="0084560D" w:rsidRPr="008A39AD" w:rsidRDefault="0084560D" w:rsidP="00422872">
      <w:pPr>
        <w:spacing w:line="240" w:lineRule="auto"/>
        <w:rPr>
          <w:rFonts w:ascii="Arial" w:hAnsi="Arial" w:cs="Arial"/>
          <w:bCs/>
        </w:rPr>
      </w:pPr>
      <w:r w:rsidRPr="008A39AD">
        <w:rPr>
          <w:rFonts w:ascii="Arial" w:hAnsi="Arial" w:cs="Arial"/>
          <w:bCs/>
        </w:rPr>
        <w:t xml:space="preserve">Yong-Lim Kim </w:t>
      </w:r>
      <w:r w:rsidRPr="008A39AD">
        <w:rPr>
          <w:rFonts w:ascii="Arial" w:hAnsi="Arial" w:cs="Arial"/>
          <w:kern w:val="2"/>
        </w:rPr>
        <w:t xml:space="preserve">received speaker honorarium from </w:t>
      </w:r>
      <w:proofErr w:type="spellStart"/>
      <w:r w:rsidRPr="008A39AD">
        <w:rPr>
          <w:rFonts w:ascii="Arial" w:hAnsi="Arial" w:cs="Arial"/>
          <w:kern w:val="2"/>
        </w:rPr>
        <w:t>FibroGen</w:t>
      </w:r>
      <w:proofErr w:type="spellEnd"/>
      <w:r w:rsidRPr="008A39AD">
        <w:rPr>
          <w:rFonts w:ascii="Arial" w:hAnsi="Arial" w:cs="Arial"/>
          <w:kern w:val="2"/>
        </w:rPr>
        <w:t>.</w:t>
      </w:r>
    </w:p>
    <w:p w14:paraId="6170AEC5" w14:textId="5C29C0CA" w:rsidR="0084560D" w:rsidRPr="008A39AD" w:rsidRDefault="0084560D" w:rsidP="0084560D">
      <w:pPr>
        <w:spacing w:line="240" w:lineRule="auto"/>
        <w:rPr>
          <w:rFonts w:ascii="Arial" w:hAnsi="Arial" w:cs="Arial"/>
          <w:bCs/>
        </w:rPr>
      </w:pPr>
      <w:r w:rsidRPr="008A39AD">
        <w:rPr>
          <w:rFonts w:ascii="Arial" w:hAnsi="Arial" w:cs="Arial"/>
          <w:bCs/>
        </w:rPr>
        <w:t>James A. Sloand was employed by Baxter Healthcare Corporation at the time of conception/planning of work, employed by AstraZeneca at the time of development, and owner of Baxter and AstraZeneca Stock/Options.</w:t>
      </w:r>
    </w:p>
    <w:p w14:paraId="4B06DF8D" w14:textId="24E287E0" w:rsidR="00140F10" w:rsidRPr="008A39AD" w:rsidRDefault="00140F10" w:rsidP="00140F10">
      <w:pPr>
        <w:pStyle w:val="NormalWeb"/>
        <w:rPr>
          <w:rFonts w:ascii="Arial" w:hAnsi="Arial" w:cs="Arial"/>
          <w:color w:val="000000"/>
          <w:sz w:val="22"/>
          <w:szCs w:val="22"/>
        </w:rPr>
      </w:pPr>
      <w:r w:rsidRPr="008A39AD">
        <w:rPr>
          <w:rFonts w:ascii="Arial" w:hAnsi="Arial" w:cs="Arial"/>
          <w:bCs/>
          <w:sz w:val="22"/>
          <w:szCs w:val="22"/>
        </w:rPr>
        <w:t xml:space="preserve">Mark Lambie </w:t>
      </w:r>
      <w:r w:rsidRPr="008A39AD">
        <w:rPr>
          <w:rFonts w:ascii="Arial" w:hAnsi="Arial" w:cs="Arial"/>
          <w:color w:val="000000"/>
          <w:sz w:val="22"/>
          <w:szCs w:val="22"/>
        </w:rPr>
        <w:t xml:space="preserve">has received </w:t>
      </w:r>
      <w:proofErr w:type="gramStart"/>
      <w:r w:rsidRPr="008A39AD">
        <w:rPr>
          <w:rFonts w:ascii="Arial" w:hAnsi="Arial" w:cs="Arial"/>
          <w:color w:val="000000"/>
          <w:sz w:val="22"/>
          <w:szCs w:val="22"/>
        </w:rPr>
        <w:t>speakers</w:t>
      </w:r>
      <w:proofErr w:type="gramEnd"/>
      <w:r w:rsidRPr="008A39AD">
        <w:rPr>
          <w:rFonts w:ascii="Arial" w:hAnsi="Arial" w:cs="Arial"/>
          <w:color w:val="000000"/>
          <w:sz w:val="22"/>
          <w:szCs w:val="22"/>
        </w:rPr>
        <w:t xml:space="preserve"> honoraria from Baxter Healthcare and Fresenius Medical Care. He received a research grant from Baxter Healthcare in 2013. </w:t>
      </w:r>
    </w:p>
    <w:p w14:paraId="43820691" w14:textId="1E3EC5E9" w:rsidR="00140F10" w:rsidRPr="008A39AD" w:rsidRDefault="00140F10" w:rsidP="00422872">
      <w:pPr>
        <w:spacing w:line="240" w:lineRule="auto"/>
        <w:rPr>
          <w:rFonts w:ascii="Arial" w:hAnsi="Arial" w:cs="Arial"/>
        </w:rPr>
      </w:pPr>
      <w:r w:rsidRPr="008A39AD">
        <w:rPr>
          <w:rFonts w:ascii="Arial" w:hAnsi="Arial" w:cs="Arial"/>
        </w:rPr>
        <w:t>David W. Johnson has received consultancy fees, research grants, speaker’s honoraria and travel sponsorships from Baxter Healthcare and Fresenius Medical Care, consultancy fees from Astra Zeneca, Bayer, and AWAK, speaker’s honoraria from ONO and BI &amp; Lilly, and travel sponsorships from Ono and Amgen. He is a current recipient of an Australian National Health and Medical Research Council Leadership Investigator Grant.</w:t>
      </w:r>
    </w:p>
    <w:p w14:paraId="19FC0C9C" w14:textId="285496D0" w:rsidR="0052009C" w:rsidRPr="008A39AD" w:rsidRDefault="0052009C" w:rsidP="0052009C">
      <w:pPr>
        <w:spacing w:before="100" w:beforeAutospacing="1" w:after="100" w:afterAutospacing="1"/>
        <w:rPr>
          <w:rFonts w:ascii="Arial" w:hAnsi="Arial" w:cs="Arial"/>
        </w:rPr>
      </w:pPr>
      <w:r w:rsidRPr="008A39AD">
        <w:rPr>
          <w:rFonts w:ascii="Arial" w:hAnsi="Arial" w:cs="Arial"/>
          <w:bCs/>
        </w:rPr>
        <w:t>Jeffrey Perl</w:t>
      </w:r>
      <w:r w:rsidRPr="008A39AD">
        <w:rPr>
          <w:rFonts w:ascii="Arial" w:hAnsi="Arial" w:cs="Arial"/>
        </w:rPr>
        <w:t xml:space="preserve"> reports grants from AHRQ, during the conduct of the study; personal fees from Baxter Healthcare, Fresenius medical care, </w:t>
      </w:r>
      <w:proofErr w:type="spellStart"/>
      <w:r w:rsidRPr="008A39AD">
        <w:rPr>
          <w:rFonts w:ascii="Arial" w:hAnsi="Arial" w:cs="Arial"/>
        </w:rPr>
        <w:t>Davita</w:t>
      </w:r>
      <w:proofErr w:type="spellEnd"/>
      <w:r w:rsidRPr="008A39AD">
        <w:rPr>
          <w:rFonts w:ascii="Arial" w:hAnsi="Arial" w:cs="Arial"/>
        </w:rPr>
        <w:t xml:space="preserve"> Healthcare Partners, US Renal Care, Astra Zeneca Canada and is on the advisory board for </w:t>
      </w:r>
      <w:proofErr w:type="spellStart"/>
      <w:r w:rsidRPr="008A39AD">
        <w:rPr>
          <w:rFonts w:ascii="Arial" w:hAnsi="Arial" w:cs="Arial"/>
        </w:rPr>
        <w:t>Liberdi</w:t>
      </w:r>
      <w:proofErr w:type="spellEnd"/>
      <w:r w:rsidRPr="008A39AD">
        <w:rPr>
          <w:rFonts w:ascii="Arial" w:hAnsi="Arial" w:cs="Arial"/>
        </w:rPr>
        <w:t>, outside of the submitted work.</w:t>
      </w:r>
    </w:p>
    <w:p w14:paraId="2DA5424C" w14:textId="564A00D7" w:rsidR="00422872" w:rsidRPr="008A39AD" w:rsidRDefault="00140F10" w:rsidP="00CA6D15">
      <w:pPr>
        <w:spacing w:after="200" w:line="240" w:lineRule="auto"/>
        <w:rPr>
          <w:rFonts w:ascii="Arial" w:hAnsi="Arial" w:cs="Arial"/>
          <w:bCs/>
        </w:rPr>
      </w:pPr>
      <w:r w:rsidRPr="008A39AD">
        <w:rPr>
          <w:rFonts w:ascii="Arial" w:hAnsi="Arial" w:cs="Arial"/>
          <w:bCs/>
        </w:rPr>
        <w:t>Junhui Zhao, Keith McCullough, Ronald L. Pisoni, Bruce M. Robinson are employees of Arbor Research Collaborative for Health, which administers the DOPPS Programs. Global support for the ongoing DOPPS Program is provided without restriction on publications by a variety of funders. For details see https://www.dopps.org/AboutUs/Support.aspx. Bruce Robinson has received consultancy fees or travel reimbursement since 2018 from AstraZeneca, GlaxoSmithKline, and Kyowa Kirin Co., all paid directly to his institution of employment.</w:t>
      </w:r>
    </w:p>
    <w:p w14:paraId="36276863" w14:textId="42A845A2" w:rsidR="00184A4B" w:rsidRPr="008A39AD" w:rsidRDefault="00DE6C65" w:rsidP="00DE6C65">
      <w:pPr>
        <w:rPr>
          <w:rFonts w:ascii="Arial" w:hAnsi="Arial" w:cs="Arial"/>
          <w:b/>
        </w:rPr>
      </w:pPr>
      <w:r w:rsidRPr="008A39AD">
        <w:rPr>
          <w:rFonts w:ascii="Arial" w:hAnsi="Arial" w:cs="Arial"/>
          <w:b/>
        </w:rPr>
        <w:t>Funding</w:t>
      </w:r>
    </w:p>
    <w:p w14:paraId="61BACDDD" w14:textId="4448C12B" w:rsidR="00DE6C65" w:rsidRPr="008A39AD" w:rsidRDefault="00DE6C65" w:rsidP="00DE6C65">
      <w:pPr>
        <w:rPr>
          <w:rFonts w:ascii="Arial" w:hAnsi="Arial" w:cs="Arial"/>
          <w:shd w:val="clear" w:color="auto" w:fill="FFFFFF"/>
        </w:rPr>
      </w:pPr>
      <w:r w:rsidRPr="008A39AD">
        <w:rPr>
          <w:rFonts w:ascii="Arial" w:hAnsi="Arial" w:cs="Arial"/>
          <w:shd w:val="clear" w:color="auto" w:fill="FFFFFF"/>
        </w:rPr>
        <w:t xml:space="preserve">This manuscript was directly supported by Baxter International Inc. (USA). The Dialysis Outcomes and Practice Patterns Study (DOPPS) Program is funded by a consortium of private </w:t>
      </w:r>
      <w:r w:rsidRPr="008A39AD">
        <w:rPr>
          <w:rFonts w:ascii="Arial" w:hAnsi="Arial" w:cs="Arial"/>
          <w:shd w:val="clear" w:color="auto" w:fill="FFFFFF"/>
        </w:rPr>
        <w:lastRenderedPageBreak/>
        <w:t xml:space="preserve">industry, public funders, and professional societies. More information on DOPPS funding can be found here: </w:t>
      </w:r>
      <w:hyperlink r:id="rId10" w:history="1">
        <w:r w:rsidRPr="008A39AD">
          <w:rPr>
            <w:rStyle w:val="Hyperlink"/>
            <w:rFonts w:ascii="Arial" w:hAnsi="Arial" w:cs="Arial"/>
            <w:shd w:val="clear" w:color="auto" w:fill="FFFFFF"/>
          </w:rPr>
          <w:t>https://www.dopps.org/AboutUs/Support.aspx</w:t>
        </w:r>
      </w:hyperlink>
      <w:r w:rsidRPr="008A39AD">
        <w:rPr>
          <w:rFonts w:ascii="Arial" w:hAnsi="Arial" w:cs="Arial"/>
          <w:shd w:val="clear" w:color="auto" w:fill="FFFFFF"/>
        </w:rPr>
        <w:t>.</w:t>
      </w:r>
    </w:p>
    <w:p w14:paraId="56789324" w14:textId="77777777" w:rsidR="00DE6C65" w:rsidRPr="008A39AD" w:rsidRDefault="00DE6C65" w:rsidP="00DE6C65">
      <w:pPr>
        <w:rPr>
          <w:rFonts w:ascii="Arial" w:hAnsi="Arial" w:cs="Arial"/>
        </w:rPr>
      </w:pPr>
      <w:r w:rsidRPr="008A39AD">
        <w:rPr>
          <w:rFonts w:ascii="Arial" w:hAnsi="Arial" w:cs="Arial"/>
        </w:rPr>
        <w:t xml:space="preserve">Funding for PDOPPS has been provided by: National Health and Medical Research Council (Australia); National Institute for Health Research (UK); National Institute of Diabetes and Digestive and Kidney Diseases, (USA); Patient-Centered Outcomes Research Institute, (USA); Japanese Society of Peritoneal Dialysis; Canadian Institute for Health Research (Canada); Baxter International Inc. (USA); The National Research Council of Thailand (2558-113); </w:t>
      </w:r>
      <w:proofErr w:type="spellStart"/>
      <w:r w:rsidRPr="008A39AD">
        <w:rPr>
          <w:rFonts w:ascii="Arial" w:hAnsi="Arial" w:cs="Arial"/>
        </w:rPr>
        <w:t>Rachadaphiseksompot</w:t>
      </w:r>
      <w:proofErr w:type="spellEnd"/>
      <w:r w:rsidRPr="008A39AD">
        <w:rPr>
          <w:rFonts w:ascii="Arial" w:hAnsi="Arial" w:cs="Arial"/>
        </w:rPr>
        <w:t xml:space="preserve"> </w:t>
      </w:r>
      <w:proofErr w:type="spellStart"/>
      <w:r w:rsidRPr="008A39AD">
        <w:rPr>
          <w:rFonts w:ascii="Arial" w:hAnsi="Arial" w:cs="Arial"/>
        </w:rPr>
        <w:t>Endorcement</w:t>
      </w:r>
      <w:proofErr w:type="spellEnd"/>
      <w:r w:rsidRPr="008A39AD">
        <w:rPr>
          <w:rFonts w:ascii="Arial" w:hAnsi="Arial" w:cs="Arial"/>
        </w:rPr>
        <w:t xml:space="preserve"> Fund (GCURS_59_12_30_03), Chulalongkorn University, Thailand; and the National Science and Technology Development Agency (NSTDA), Thailand.</w:t>
      </w:r>
    </w:p>
    <w:p w14:paraId="700F2952" w14:textId="77777777" w:rsidR="00DE6C65" w:rsidRPr="008A39AD" w:rsidRDefault="00DE6C65" w:rsidP="00CA6D15">
      <w:pPr>
        <w:spacing w:after="200" w:line="240" w:lineRule="auto"/>
        <w:rPr>
          <w:rFonts w:ascii="Arial" w:hAnsi="Arial" w:cs="Arial"/>
          <w:bCs/>
        </w:rPr>
      </w:pPr>
    </w:p>
    <w:p w14:paraId="14F26644" w14:textId="77777777" w:rsidR="006D3D34" w:rsidRPr="008A39AD" w:rsidRDefault="006D3D34" w:rsidP="006D3D34">
      <w:pPr>
        <w:pStyle w:val="Heading1"/>
      </w:pPr>
      <w:r w:rsidRPr="008A39AD">
        <w:t>Author Contributions</w:t>
      </w:r>
    </w:p>
    <w:p w14:paraId="324A04E9" w14:textId="77777777" w:rsidR="006D3D34" w:rsidRPr="008A39AD" w:rsidRDefault="006D3D34" w:rsidP="006D3D34">
      <w:pPr>
        <w:spacing w:after="200" w:line="240" w:lineRule="auto"/>
        <w:rPr>
          <w:rFonts w:ascii="Arial" w:hAnsi="Arial" w:cs="Arial"/>
        </w:rPr>
      </w:pPr>
      <w:r w:rsidRPr="008A39AD">
        <w:rPr>
          <w:rFonts w:ascii="Arial" w:hAnsi="Arial" w:cs="Arial"/>
        </w:rPr>
        <w:t>1) substantial contributions to conception and design, or acquisition of data, or analysis and interpretation of data: JZ, BMR, ML, DWJ, JS, Y-LK, JP, KM, TK, RLP, SJD</w:t>
      </w:r>
    </w:p>
    <w:p w14:paraId="5CAB400D" w14:textId="77777777" w:rsidR="006D3D34" w:rsidRPr="008A39AD" w:rsidRDefault="006D3D34" w:rsidP="006D3D34">
      <w:pPr>
        <w:spacing w:after="200" w:line="240" w:lineRule="auto"/>
        <w:rPr>
          <w:rFonts w:ascii="Arial" w:hAnsi="Arial" w:cs="Arial"/>
        </w:rPr>
      </w:pPr>
      <w:r w:rsidRPr="008A39AD">
        <w:rPr>
          <w:rFonts w:ascii="Arial" w:hAnsi="Arial" w:cs="Arial"/>
        </w:rPr>
        <w:t>2) drafting the article or revising it critically for important intellectual content: JZ, BMR, ML, DWJ, HK, JS, Y-LK, JIS, JP, KM, MS, TK, RLP, SJD</w:t>
      </w:r>
    </w:p>
    <w:p w14:paraId="30C511A8" w14:textId="77777777" w:rsidR="006D3D34" w:rsidRPr="008A39AD" w:rsidRDefault="006D3D34" w:rsidP="006D3D34">
      <w:pPr>
        <w:spacing w:after="200" w:line="240" w:lineRule="auto"/>
        <w:rPr>
          <w:rFonts w:ascii="Arial" w:hAnsi="Arial" w:cs="Arial"/>
        </w:rPr>
      </w:pPr>
      <w:r w:rsidRPr="008A39AD">
        <w:rPr>
          <w:rFonts w:ascii="Arial" w:hAnsi="Arial" w:cs="Arial"/>
        </w:rPr>
        <w:t>3) final approval of the version to be published: JZ, BMR, ML, DWJ, HK, JS, Y-LK, JIS, JP, KM, MS, TK, RLP SJD</w:t>
      </w:r>
    </w:p>
    <w:p w14:paraId="13433931" w14:textId="77777777" w:rsidR="006D3D34" w:rsidRPr="008A39AD" w:rsidRDefault="006D3D34" w:rsidP="006D3D34">
      <w:pPr>
        <w:spacing w:after="200" w:line="240" w:lineRule="auto"/>
        <w:rPr>
          <w:rFonts w:ascii="Arial" w:hAnsi="Arial" w:cs="Arial"/>
        </w:rPr>
      </w:pPr>
      <w:r w:rsidRPr="008A39AD">
        <w:rPr>
          <w:rFonts w:ascii="Arial" w:hAnsi="Arial" w:cs="Arial"/>
        </w:rPr>
        <w:t>4) agreement to be accountable for all aspects of the work: JZ, BMR, ML, DWJ, HK, JS, JIS, JP, KM, MS, TK, RLP, SJD</w:t>
      </w:r>
    </w:p>
    <w:p w14:paraId="6E7B8D8E" w14:textId="17F7E7C7" w:rsidR="006D3D34" w:rsidRPr="008A39AD" w:rsidRDefault="00EC7C33" w:rsidP="00CA6D15">
      <w:pPr>
        <w:spacing w:after="200" w:line="240" w:lineRule="auto"/>
        <w:rPr>
          <w:rFonts w:ascii="Arial" w:hAnsi="Arial" w:cs="Arial"/>
          <w:bCs/>
        </w:rPr>
      </w:pPr>
      <w:r w:rsidRPr="008A39AD">
        <w:rPr>
          <w:rFonts w:ascii="Arial" w:hAnsi="Arial" w:cs="Arial"/>
          <w:bCs/>
        </w:rPr>
        <w:t>Jeffrey Perl confirms that he has had full access to the data in the study and final responsibility for the decision to submit for publication.</w:t>
      </w:r>
    </w:p>
    <w:p w14:paraId="00FE4580" w14:textId="77777777" w:rsidR="004E2AD9" w:rsidRPr="008A39AD" w:rsidRDefault="004E2AD9" w:rsidP="004E2AD9">
      <w:pPr>
        <w:pStyle w:val="Heading1"/>
      </w:pPr>
      <w:r w:rsidRPr="008A39AD">
        <w:t>Acknowledgments</w:t>
      </w:r>
    </w:p>
    <w:p w14:paraId="35BCFEE4" w14:textId="77777777" w:rsidR="004E2AD9" w:rsidRPr="008A39AD" w:rsidRDefault="004E2AD9" w:rsidP="004E2AD9">
      <w:pPr>
        <w:rPr>
          <w:i/>
        </w:rPr>
      </w:pPr>
      <w:r w:rsidRPr="008A39AD">
        <w:rPr>
          <w:i/>
        </w:rPr>
        <w:t xml:space="preserve">We acknowledge and thank the following individuals for their contributions. </w:t>
      </w:r>
    </w:p>
    <w:p w14:paraId="2E8B3DEF" w14:textId="77777777" w:rsidR="004E2AD9" w:rsidRPr="008A39AD" w:rsidRDefault="004E2AD9" w:rsidP="004E2AD9">
      <w:pPr>
        <w:spacing w:after="0"/>
        <w:rPr>
          <w:rFonts w:cstheme="minorHAnsi"/>
          <w:b/>
        </w:rPr>
      </w:pPr>
      <w:r w:rsidRPr="008A39AD">
        <w:rPr>
          <w:i/>
        </w:rPr>
        <w:t xml:space="preserve">PDOPPS Steering Committee members: David Johnson (Australia); Jeffrey Perl (Canada); Hideki Kawanishi (Japan); Yong-Lim Kim (South Korea); </w:t>
      </w:r>
      <w:proofErr w:type="spellStart"/>
      <w:r w:rsidRPr="008A39AD">
        <w:rPr>
          <w:i/>
        </w:rPr>
        <w:t>Talerngsak</w:t>
      </w:r>
      <w:proofErr w:type="spellEnd"/>
      <w:r w:rsidRPr="008A39AD">
        <w:rPr>
          <w:i/>
        </w:rPr>
        <w:t xml:space="preserve"> </w:t>
      </w:r>
      <w:proofErr w:type="spellStart"/>
      <w:r w:rsidRPr="008A39AD">
        <w:rPr>
          <w:i/>
        </w:rPr>
        <w:t>Kanjanabuch</w:t>
      </w:r>
      <w:proofErr w:type="spellEnd"/>
      <w:r w:rsidRPr="008A39AD">
        <w:rPr>
          <w:i/>
        </w:rPr>
        <w:t xml:space="preserve"> (Thailand); Simon Davies (United Kingdom); </w:t>
      </w:r>
      <w:proofErr w:type="spellStart"/>
      <w:r w:rsidRPr="008A39AD">
        <w:rPr>
          <w:i/>
        </w:rPr>
        <w:t>Angelito</w:t>
      </w:r>
      <w:proofErr w:type="spellEnd"/>
      <w:r w:rsidRPr="008A39AD">
        <w:rPr>
          <w:i/>
        </w:rPr>
        <w:t xml:space="preserve"> Bernardo, Ron Pisoni, Bruce Robinson, Jenny Shen (United States). Additional PDOPPS Research Group members: Sunil </w:t>
      </w:r>
      <w:proofErr w:type="spellStart"/>
      <w:r w:rsidRPr="008A39AD">
        <w:rPr>
          <w:i/>
        </w:rPr>
        <w:t>Badve</w:t>
      </w:r>
      <w:proofErr w:type="spellEnd"/>
      <w:r w:rsidRPr="008A39AD">
        <w:rPr>
          <w:i/>
        </w:rPr>
        <w:t xml:space="preserve">, Neil Boudville, Fiona Brown, Josephine Chow, John Collins, Rachael Morton, Scott Wilson (Australia); Andreas </w:t>
      </w:r>
      <w:proofErr w:type="spellStart"/>
      <w:r w:rsidRPr="008A39AD">
        <w:rPr>
          <w:i/>
        </w:rPr>
        <w:t>Vychytil</w:t>
      </w:r>
      <w:proofErr w:type="spellEnd"/>
      <w:r w:rsidRPr="008A39AD">
        <w:rPr>
          <w:i/>
        </w:rPr>
        <w:t xml:space="preserve"> (Austria); Wim Van Biesen (Belgium); Ana Figueiredo, Thyago de Moraes (Brazil); Gillian Brunier, Arsh Jain, </w:t>
      </w:r>
      <w:proofErr w:type="spellStart"/>
      <w:r w:rsidRPr="008A39AD">
        <w:rPr>
          <w:i/>
        </w:rPr>
        <w:t>Vanita</w:t>
      </w:r>
      <w:proofErr w:type="spellEnd"/>
      <w:r w:rsidRPr="008A39AD">
        <w:rPr>
          <w:i/>
        </w:rPr>
        <w:t xml:space="preserve"> Jassal, Sharon Nessim, Matthew Oliver, Valerie Price, Rob Quinn (Canada); Wei Fang (China); CC Szeto, Angela Wang (Hong Kong); </w:t>
      </w:r>
      <w:proofErr w:type="spellStart"/>
      <w:r w:rsidRPr="008A39AD">
        <w:rPr>
          <w:i/>
        </w:rPr>
        <w:t>Mizuya</w:t>
      </w:r>
      <w:proofErr w:type="spellEnd"/>
      <w:r w:rsidRPr="008A39AD">
        <w:rPr>
          <w:i/>
        </w:rPr>
        <w:t xml:space="preserve"> </w:t>
      </w:r>
      <w:proofErr w:type="spellStart"/>
      <w:r w:rsidRPr="008A39AD">
        <w:rPr>
          <w:i/>
        </w:rPr>
        <w:t>Fukasawa</w:t>
      </w:r>
      <w:proofErr w:type="spellEnd"/>
      <w:r w:rsidRPr="008A39AD">
        <w:rPr>
          <w:i/>
        </w:rPr>
        <w:t xml:space="preserve">, Yasuhiko Ito, </w:t>
      </w:r>
      <w:proofErr w:type="spellStart"/>
      <w:r w:rsidRPr="008A39AD">
        <w:rPr>
          <w:i/>
        </w:rPr>
        <w:t>Munekazu</w:t>
      </w:r>
      <w:proofErr w:type="spellEnd"/>
      <w:r w:rsidRPr="008A39AD">
        <w:rPr>
          <w:i/>
        </w:rPr>
        <w:t xml:space="preserve"> </w:t>
      </w:r>
      <w:proofErr w:type="spellStart"/>
      <w:r w:rsidRPr="008A39AD">
        <w:rPr>
          <w:i/>
        </w:rPr>
        <w:t>Ryuzaki</w:t>
      </w:r>
      <w:proofErr w:type="spellEnd"/>
      <w:r w:rsidRPr="008A39AD">
        <w:rPr>
          <w:i/>
        </w:rPr>
        <w:t xml:space="preserve">, Tadashi </w:t>
      </w:r>
      <w:proofErr w:type="spellStart"/>
      <w:r w:rsidRPr="008A39AD">
        <w:rPr>
          <w:i/>
        </w:rPr>
        <w:t>Tomo</w:t>
      </w:r>
      <w:proofErr w:type="spellEnd"/>
      <w:r w:rsidRPr="008A39AD">
        <w:rPr>
          <w:i/>
        </w:rPr>
        <w:t xml:space="preserve"> (Japan); Alfonso Cueto Manzano (Mexico); Mark Marshall (New Zealand); Susanne </w:t>
      </w:r>
      <w:proofErr w:type="spellStart"/>
      <w:r w:rsidRPr="008A39AD">
        <w:rPr>
          <w:i/>
        </w:rPr>
        <w:t>Ljungman</w:t>
      </w:r>
      <w:proofErr w:type="spellEnd"/>
      <w:r w:rsidRPr="008A39AD">
        <w:rPr>
          <w:i/>
        </w:rPr>
        <w:t xml:space="preserve"> (Sweden); </w:t>
      </w:r>
      <w:proofErr w:type="spellStart"/>
      <w:r w:rsidRPr="008A39AD">
        <w:rPr>
          <w:i/>
        </w:rPr>
        <w:t>Sarinya</w:t>
      </w:r>
      <w:proofErr w:type="spellEnd"/>
      <w:r w:rsidRPr="008A39AD">
        <w:rPr>
          <w:i/>
        </w:rPr>
        <w:t xml:space="preserve"> </w:t>
      </w:r>
      <w:proofErr w:type="spellStart"/>
      <w:r w:rsidRPr="008A39AD">
        <w:rPr>
          <w:i/>
        </w:rPr>
        <w:t>Boongird</w:t>
      </w:r>
      <w:proofErr w:type="spellEnd"/>
      <w:r w:rsidRPr="008A39AD">
        <w:rPr>
          <w:i/>
        </w:rPr>
        <w:t xml:space="preserve">, </w:t>
      </w:r>
      <w:proofErr w:type="spellStart"/>
      <w:r w:rsidRPr="008A39AD">
        <w:rPr>
          <w:i/>
        </w:rPr>
        <w:t>Chanchana</w:t>
      </w:r>
      <w:proofErr w:type="spellEnd"/>
      <w:r w:rsidRPr="008A39AD">
        <w:rPr>
          <w:i/>
        </w:rPr>
        <w:t xml:space="preserve"> </w:t>
      </w:r>
      <w:proofErr w:type="spellStart"/>
      <w:r w:rsidRPr="008A39AD">
        <w:rPr>
          <w:i/>
        </w:rPr>
        <w:t>Boonyakrai</w:t>
      </w:r>
      <w:proofErr w:type="spellEnd"/>
      <w:r w:rsidRPr="008A39AD">
        <w:rPr>
          <w:i/>
        </w:rPr>
        <w:t xml:space="preserve">, </w:t>
      </w:r>
      <w:proofErr w:type="spellStart"/>
      <w:r w:rsidRPr="008A39AD">
        <w:rPr>
          <w:i/>
        </w:rPr>
        <w:t>Areewan</w:t>
      </w:r>
      <w:proofErr w:type="spellEnd"/>
      <w:r w:rsidRPr="008A39AD">
        <w:rPr>
          <w:i/>
        </w:rPr>
        <w:t xml:space="preserve"> </w:t>
      </w:r>
      <w:proofErr w:type="spellStart"/>
      <w:r w:rsidRPr="008A39AD">
        <w:rPr>
          <w:i/>
        </w:rPr>
        <w:t>Cheawchanwattana</w:t>
      </w:r>
      <w:proofErr w:type="spellEnd"/>
      <w:r w:rsidRPr="008A39AD">
        <w:rPr>
          <w:i/>
        </w:rPr>
        <w:t xml:space="preserve">, </w:t>
      </w:r>
      <w:proofErr w:type="spellStart"/>
      <w:r w:rsidRPr="008A39AD">
        <w:rPr>
          <w:i/>
        </w:rPr>
        <w:t>Guttiga</w:t>
      </w:r>
      <w:proofErr w:type="spellEnd"/>
      <w:r w:rsidRPr="008A39AD">
        <w:rPr>
          <w:i/>
        </w:rPr>
        <w:t xml:space="preserve"> </w:t>
      </w:r>
      <w:proofErr w:type="spellStart"/>
      <w:r w:rsidRPr="008A39AD">
        <w:rPr>
          <w:i/>
        </w:rPr>
        <w:t>Halue</w:t>
      </w:r>
      <w:proofErr w:type="spellEnd"/>
      <w:r w:rsidRPr="008A39AD">
        <w:rPr>
          <w:i/>
        </w:rPr>
        <w:t xml:space="preserve">, </w:t>
      </w:r>
      <w:proofErr w:type="spellStart"/>
      <w:r w:rsidRPr="008A39AD">
        <w:rPr>
          <w:i/>
        </w:rPr>
        <w:t>Suchai</w:t>
      </w:r>
      <w:proofErr w:type="spellEnd"/>
      <w:r w:rsidRPr="008A39AD">
        <w:rPr>
          <w:i/>
        </w:rPr>
        <w:t xml:space="preserve"> </w:t>
      </w:r>
      <w:proofErr w:type="spellStart"/>
      <w:r w:rsidRPr="008A39AD">
        <w:rPr>
          <w:i/>
        </w:rPr>
        <w:t>Sritippayawan</w:t>
      </w:r>
      <w:proofErr w:type="spellEnd"/>
      <w:r w:rsidRPr="008A39AD">
        <w:rPr>
          <w:i/>
        </w:rPr>
        <w:t xml:space="preserve">, </w:t>
      </w:r>
      <w:proofErr w:type="spellStart"/>
      <w:r w:rsidRPr="008A39AD">
        <w:rPr>
          <w:i/>
        </w:rPr>
        <w:t>Sajja</w:t>
      </w:r>
      <w:proofErr w:type="spellEnd"/>
      <w:r w:rsidRPr="008A39AD">
        <w:rPr>
          <w:i/>
        </w:rPr>
        <w:t xml:space="preserve"> </w:t>
      </w:r>
      <w:proofErr w:type="spellStart"/>
      <w:r w:rsidRPr="008A39AD">
        <w:rPr>
          <w:i/>
        </w:rPr>
        <w:t>Tatiyanupanwong</w:t>
      </w:r>
      <w:proofErr w:type="spellEnd"/>
      <w:r w:rsidRPr="008A39AD">
        <w:rPr>
          <w:i/>
        </w:rPr>
        <w:t xml:space="preserve">, </w:t>
      </w:r>
      <w:proofErr w:type="spellStart"/>
      <w:r w:rsidRPr="008A39AD">
        <w:rPr>
          <w:i/>
        </w:rPr>
        <w:t>Kriang</w:t>
      </w:r>
      <w:proofErr w:type="spellEnd"/>
      <w:r w:rsidRPr="008A39AD">
        <w:rPr>
          <w:i/>
        </w:rPr>
        <w:t xml:space="preserve"> </w:t>
      </w:r>
      <w:proofErr w:type="spellStart"/>
      <w:r w:rsidRPr="008A39AD">
        <w:rPr>
          <w:i/>
        </w:rPr>
        <w:t>Tungsanga</w:t>
      </w:r>
      <w:proofErr w:type="spellEnd"/>
      <w:r w:rsidRPr="008A39AD">
        <w:rPr>
          <w:i/>
        </w:rPr>
        <w:t xml:space="preserve"> (Thailand); Elaine Bowes, Edwina Brown, Richard </w:t>
      </w:r>
      <w:proofErr w:type="spellStart"/>
      <w:r w:rsidRPr="008A39AD">
        <w:rPr>
          <w:i/>
        </w:rPr>
        <w:t>Fluck</w:t>
      </w:r>
      <w:proofErr w:type="spellEnd"/>
      <w:r w:rsidRPr="008A39AD">
        <w:rPr>
          <w:i/>
        </w:rPr>
        <w:t xml:space="preserve">, </w:t>
      </w:r>
      <w:proofErr w:type="spellStart"/>
      <w:r w:rsidRPr="008A39AD">
        <w:rPr>
          <w:i/>
        </w:rPr>
        <w:t>Bak</w:t>
      </w:r>
      <w:proofErr w:type="spellEnd"/>
      <w:r w:rsidRPr="008A39AD">
        <w:rPr>
          <w:i/>
        </w:rPr>
        <w:t xml:space="preserve"> Leong Goh, Helen Hurst, Martin Wilkie, Graham Woodrow (United Kingdom); </w:t>
      </w:r>
      <w:proofErr w:type="spellStart"/>
      <w:r w:rsidRPr="008A39AD">
        <w:rPr>
          <w:i/>
        </w:rPr>
        <w:t>Filitsa</w:t>
      </w:r>
      <w:proofErr w:type="spellEnd"/>
      <w:r w:rsidRPr="008A39AD">
        <w:rPr>
          <w:i/>
        </w:rPr>
        <w:t xml:space="preserve"> Bender, Judith </w:t>
      </w:r>
      <w:proofErr w:type="spellStart"/>
      <w:r w:rsidRPr="008A39AD">
        <w:rPr>
          <w:i/>
        </w:rPr>
        <w:t>Bernardini</w:t>
      </w:r>
      <w:proofErr w:type="spellEnd"/>
      <w:r w:rsidRPr="008A39AD">
        <w:rPr>
          <w:i/>
        </w:rPr>
        <w:t xml:space="preserve">, Dinesh </w:t>
      </w:r>
      <w:proofErr w:type="spellStart"/>
      <w:r w:rsidRPr="008A39AD">
        <w:rPr>
          <w:i/>
        </w:rPr>
        <w:t>Chatoth</w:t>
      </w:r>
      <w:proofErr w:type="spellEnd"/>
      <w:r w:rsidRPr="008A39AD">
        <w:rPr>
          <w:i/>
        </w:rPr>
        <w:t xml:space="preserve">, John Crabtree, Fred Finkelstein, Arshia </w:t>
      </w:r>
      <w:proofErr w:type="spellStart"/>
      <w:r w:rsidRPr="008A39AD">
        <w:rPr>
          <w:i/>
        </w:rPr>
        <w:t>Ghaffari</w:t>
      </w:r>
      <w:proofErr w:type="spellEnd"/>
      <w:r w:rsidRPr="008A39AD">
        <w:rPr>
          <w:i/>
        </w:rPr>
        <w:t xml:space="preserve">, Rajnish Mehrotra, Beth </w:t>
      </w:r>
      <w:proofErr w:type="spellStart"/>
      <w:r w:rsidRPr="008A39AD">
        <w:rPr>
          <w:i/>
        </w:rPr>
        <w:t>Piraino</w:t>
      </w:r>
      <w:proofErr w:type="spellEnd"/>
      <w:r w:rsidRPr="008A39AD">
        <w:rPr>
          <w:i/>
        </w:rPr>
        <w:t>, Martin Schreiber, Isaac Teitelbaum (United States).</w:t>
      </w:r>
    </w:p>
    <w:p w14:paraId="2ED3B53E" w14:textId="77777777" w:rsidR="004E2AD9" w:rsidRPr="008A39AD" w:rsidRDefault="004E2AD9" w:rsidP="004E2AD9">
      <w:pPr>
        <w:rPr>
          <w:rFonts w:ascii="Arial" w:hAnsi="Arial" w:cs="Arial"/>
        </w:rPr>
      </w:pPr>
    </w:p>
    <w:p w14:paraId="0ADCE6F1" w14:textId="77777777" w:rsidR="004E2AD9" w:rsidRPr="008A39AD" w:rsidRDefault="004E2AD9" w:rsidP="004E2AD9">
      <w:pPr>
        <w:spacing w:after="200" w:line="480" w:lineRule="auto"/>
        <w:rPr>
          <w:rFonts w:ascii="Arial" w:hAnsi="Arial" w:cs="Arial"/>
        </w:rPr>
      </w:pPr>
      <w:r w:rsidRPr="008A39AD">
        <w:rPr>
          <w:rFonts w:ascii="Arial" w:hAnsi="Arial" w:cs="Arial"/>
        </w:rPr>
        <w:lastRenderedPageBreak/>
        <w:t>Jennifer McCready-Maynes, an employee of Arbor Research Collaborative for Health, provided editorial support for this paper.</w:t>
      </w:r>
    </w:p>
    <w:p w14:paraId="608C49F6" w14:textId="77777777" w:rsidR="004E2AD9" w:rsidRPr="008A39AD" w:rsidRDefault="004E2AD9" w:rsidP="00CA6D15">
      <w:pPr>
        <w:spacing w:after="200" w:line="240" w:lineRule="auto"/>
        <w:rPr>
          <w:rFonts w:ascii="Arial" w:hAnsi="Arial" w:cs="Arial"/>
          <w:bCs/>
        </w:rPr>
      </w:pPr>
    </w:p>
    <w:p w14:paraId="71F92090" w14:textId="77777777" w:rsidR="00F14A3F" w:rsidRPr="008A39AD" w:rsidRDefault="00F14A3F" w:rsidP="00CA6D15">
      <w:pPr>
        <w:spacing w:after="200" w:line="240" w:lineRule="auto"/>
        <w:rPr>
          <w:rFonts w:ascii="Arial" w:hAnsi="Arial" w:cs="Arial"/>
        </w:rPr>
      </w:pPr>
    </w:p>
    <w:p w14:paraId="0A61BC52" w14:textId="001CE570" w:rsidR="00E0068A" w:rsidRPr="008A39AD" w:rsidRDefault="00E0068A" w:rsidP="0054676E">
      <w:pPr>
        <w:spacing w:after="200" w:line="480" w:lineRule="auto"/>
        <w:rPr>
          <w:rFonts w:ascii="Arial" w:hAnsi="Arial" w:cs="Arial"/>
          <w:b/>
          <w:bCs/>
        </w:rPr>
      </w:pPr>
      <w:r w:rsidRPr="008A39AD">
        <w:rPr>
          <w:rFonts w:ascii="Arial" w:hAnsi="Arial" w:cs="Arial"/>
          <w:b/>
          <w:bCs/>
        </w:rPr>
        <w:t xml:space="preserve">Supplemental Material </w:t>
      </w:r>
      <w:proofErr w:type="spellStart"/>
      <w:r w:rsidRPr="008A39AD">
        <w:rPr>
          <w:rFonts w:ascii="Arial" w:hAnsi="Arial" w:cs="Arial"/>
          <w:b/>
          <w:bCs/>
        </w:rPr>
        <w:t>ToC</w:t>
      </w:r>
      <w:proofErr w:type="spellEnd"/>
    </w:p>
    <w:p w14:paraId="18B33B4F" w14:textId="4640595E" w:rsidR="008C25E2" w:rsidRPr="008A39AD" w:rsidRDefault="008C25E2" w:rsidP="001342B9">
      <w:pPr>
        <w:spacing w:after="200" w:line="240" w:lineRule="auto"/>
        <w:rPr>
          <w:rFonts w:ascii="Arial" w:hAnsi="Arial" w:cs="Arial"/>
        </w:rPr>
      </w:pPr>
      <w:r w:rsidRPr="008A39AD">
        <w:rPr>
          <w:rFonts w:ascii="Arial" w:hAnsi="Arial" w:cs="Arial"/>
        </w:rPr>
        <w:t xml:space="preserve">Supplement Figure 1A. Cumulative </w:t>
      </w:r>
      <w:r w:rsidR="00EF5C9D" w:rsidRPr="008A39AD">
        <w:rPr>
          <w:rFonts w:ascii="Arial" w:hAnsi="Arial" w:cs="Arial"/>
        </w:rPr>
        <w:t xml:space="preserve">incidence </w:t>
      </w:r>
      <w:r w:rsidRPr="008A39AD">
        <w:rPr>
          <w:rFonts w:ascii="Arial" w:hAnsi="Arial" w:cs="Arial"/>
        </w:rPr>
        <w:t xml:space="preserve">curve of death, </w:t>
      </w:r>
      <w:r w:rsidR="00043585" w:rsidRPr="008A39AD">
        <w:rPr>
          <w:rFonts w:ascii="Arial" w:hAnsi="Arial" w:cs="Arial"/>
        </w:rPr>
        <w:t>HD transfer</w:t>
      </w:r>
      <w:r w:rsidRPr="008A39AD">
        <w:rPr>
          <w:rFonts w:ascii="Arial" w:hAnsi="Arial" w:cs="Arial"/>
        </w:rPr>
        <w:t xml:space="preserve">, and transplant, in A/NZ, including all temporary transfer as </w:t>
      </w:r>
      <w:r w:rsidR="00043585" w:rsidRPr="008A39AD">
        <w:rPr>
          <w:rFonts w:ascii="Arial" w:hAnsi="Arial" w:cs="Arial"/>
        </w:rPr>
        <w:t xml:space="preserve">HD transfer </w:t>
      </w:r>
      <w:r w:rsidRPr="008A39AD">
        <w:rPr>
          <w:rFonts w:ascii="Arial" w:hAnsi="Arial" w:cs="Arial"/>
        </w:rPr>
        <w:t>event.</w:t>
      </w:r>
    </w:p>
    <w:p w14:paraId="6F9A9782" w14:textId="71E8CFA4" w:rsidR="008C25E2" w:rsidRPr="008A39AD" w:rsidRDefault="008C25E2" w:rsidP="001342B9">
      <w:pPr>
        <w:spacing w:after="200" w:line="240" w:lineRule="auto"/>
        <w:rPr>
          <w:rFonts w:ascii="Arial" w:hAnsi="Arial" w:cs="Arial"/>
          <w:noProof/>
          <w:lang w:eastAsia="en-US"/>
        </w:rPr>
      </w:pPr>
      <w:r w:rsidRPr="008A39AD">
        <w:rPr>
          <w:rFonts w:ascii="Arial" w:hAnsi="Arial" w:cs="Arial"/>
        </w:rPr>
        <w:t xml:space="preserve">Supplement Figure 1B. Cumulative </w:t>
      </w:r>
      <w:r w:rsidR="00EF5C9D" w:rsidRPr="008A39AD">
        <w:rPr>
          <w:rFonts w:ascii="Arial" w:hAnsi="Arial" w:cs="Arial"/>
        </w:rPr>
        <w:t>incidence</w:t>
      </w:r>
      <w:r w:rsidR="00826B38" w:rsidRPr="008A39AD">
        <w:rPr>
          <w:rFonts w:ascii="Arial" w:hAnsi="Arial" w:cs="Arial"/>
        </w:rPr>
        <w:t xml:space="preserve"> </w:t>
      </w:r>
      <w:r w:rsidRPr="008A39AD">
        <w:rPr>
          <w:rFonts w:ascii="Arial" w:hAnsi="Arial" w:cs="Arial"/>
        </w:rPr>
        <w:t xml:space="preserve">curve of death, </w:t>
      </w:r>
      <w:r w:rsidR="00043585" w:rsidRPr="008A39AD">
        <w:rPr>
          <w:rFonts w:ascii="Arial" w:hAnsi="Arial" w:cs="Arial"/>
        </w:rPr>
        <w:t xml:space="preserve">HD </w:t>
      </w:r>
      <w:r w:rsidR="003D2CEE" w:rsidRPr="008A39AD">
        <w:rPr>
          <w:rFonts w:ascii="Arial" w:hAnsi="Arial" w:cs="Arial"/>
        </w:rPr>
        <w:t>transfer</w:t>
      </w:r>
      <w:r w:rsidRPr="008A39AD">
        <w:rPr>
          <w:rFonts w:ascii="Arial" w:hAnsi="Arial" w:cs="Arial"/>
        </w:rPr>
        <w:t xml:space="preserve">, and transplant, in Canada, including all temporary transfer as </w:t>
      </w:r>
      <w:r w:rsidR="00043585" w:rsidRPr="008A39AD">
        <w:rPr>
          <w:rFonts w:ascii="Arial" w:hAnsi="Arial" w:cs="Arial"/>
        </w:rPr>
        <w:t xml:space="preserve">HD </w:t>
      </w:r>
      <w:r w:rsidR="003D2CEE" w:rsidRPr="008A39AD">
        <w:rPr>
          <w:rFonts w:ascii="Arial" w:hAnsi="Arial" w:cs="Arial"/>
        </w:rPr>
        <w:t>transfer</w:t>
      </w:r>
      <w:r w:rsidRPr="008A39AD">
        <w:rPr>
          <w:rFonts w:ascii="Arial" w:hAnsi="Arial" w:cs="Arial"/>
        </w:rPr>
        <w:t xml:space="preserve"> event.</w:t>
      </w:r>
    </w:p>
    <w:p w14:paraId="3A686D1C" w14:textId="3D4AB67B" w:rsidR="008C25E2" w:rsidRPr="008A39AD" w:rsidRDefault="008C25E2" w:rsidP="001342B9">
      <w:pPr>
        <w:spacing w:after="200" w:line="240" w:lineRule="auto"/>
        <w:rPr>
          <w:rFonts w:ascii="Arial" w:hAnsi="Arial" w:cs="Arial"/>
        </w:rPr>
      </w:pPr>
      <w:r w:rsidRPr="008A39AD">
        <w:rPr>
          <w:rFonts w:ascii="Arial" w:hAnsi="Arial" w:cs="Arial"/>
        </w:rPr>
        <w:t xml:space="preserve">Supplement Figure 1C. Cumulative </w:t>
      </w:r>
      <w:r w:rsidR="00EF5C9D" w:rsidRPr="008A39AD">
        <w:rPr>
          <w:rFonts w:ascii="Arial" w:hAnsi="Arial" w:cs="Arial"/>
        </w:rPr>
        <w:t xml:space="preserve">incidence </w:t>
      </w:r>
      <w:r w:rsidRPr="008A39AD">
        <w:rPr>
          <w:rFonts w:ascii="Arial" w:hAnsi="Arial" w:cs="Arial"/>
        </w:rPr>
        <w:t xml:space="preserve">curve of death, </w:t>
      </w:r>
      <w:r w:rsidR="00043585" w:rsidRPr="008A39AD">
        <w:rPr>
          <w:rFonts w:ascii="Arial" w:hAnsi="Arial" w:cs="Arial"/>
        </w:rPr>
        <w:t xml:space="preserve">HD </w:t>
      </w:r>
      <w:r w:rsidR="003D2CEE" w:rsidRPr="008A39AD">
        <w:rPr>
          <w:rFonts w:ascii="Arial" w:hAnsi="Arial" w:cs="Arial"/>
        </w:rPr>
        <w:t>transfer</w:t>
      </w:r>
      <w:r w:rsidRPr="008A39AD">
        <w:rPr>
          <w:rFonts w:ascii="Arial" w:hAnsi="Arial" w:cs="Arial"/>
        </w:rPr>
        <w:t xml:space="preserve">, and transplant, in Japan, including all temporary transfer as </w:t>
      </w:r>
      <w:r w:rsidR="00043585" w:rsidRPr="008A39AD">
        <w:rPr>
          <w:rFonts w:ascii="Arial" w:hAnsi="Arial" w:cs="Arial"/>
        </w:rPr>
        <w:t xml:space="preserve">HD </w:t>
      </w:r>
      <w:r w:rsidR="003D2CEE" w:rsidRPr="008A39AD">
        <w:rPr>
          <w:rFonts w:ascii="Arial" w:hAnsi="Arial" w:cs="Arial"/>
        </w:rPr>
        <w:t>transfer</w:t>
      </w:r>
      <w:r w:rsidRPr="008A39AD">
        <w:rPr>
          <w:rFonts w:ascii="Arial" w:hAnsi="Arial" w:cs="Arial"/>
        </w:rPr>
        <w:t xml:space="preserve"> event.</w:t>
      </w:r>
    </w:p>
    <w:p w14:paraId="00B8EB4F" w14:textId="1E98CDEC" w:rsidR="008C25E2" w:rsidRPr="008A39AD" w:rsidRDefault="008C25E2" w:rsidP="001342B9">
      <w:pPr>
        <w:spacing w:after="200" w:line="240" w:lineRule="auto"/>
        <w:rPr>
          <w:rFonts w:ascii="Arial" w:hAnsi="Arial" w:cs="Arial"/>
        </w:rPr>
      </w:pPr>
      <w:r w:rsidRPr="008A39AD">
        <w:rPr>
          <w:rFonts w:ascii="Arial" w:hAnsi="Arial" w:cs="Arial"/>
        </w:rPr>
        <w:t xml:space="preserve">Supplement Figure 1D. Cumulative </w:t>
      </w:r>
      <w:r w:rsidR="00EF5C9D" w:rsidRPr="008A39AD">
        <w:rPr>
          <w:rFonts w:ascii="Arial" w:hAnsi="Arial" w:cs="Arial"/>
        </w:rPr>
        <w:t xml:space="preserve">incidence </w:t>
      </w:r>
      <w:r w:rsidRPr="008A39AD">
        <w:rPr>
          <w:rFonts w:ascii="Arial" w:hAnsi="Arial" w:cs="Arial"/>
        </w:rPr>
        <w:t xml:space="preserve">curve of death, </w:t>
      </w:r>
      <w:r w:rsidR="00043585" w:rsidRPr="008A39AD">
        <w:rPr>
          <w:rFonts w:ascii="Arial" w:hAnsi="Arial" w:cs="Arial"/>
        </w:rPr>
        <w:t>HD transfer</w:t>
      </w:r>
      <w:r w:rsidRPr="008A39AD">
        <w:rPr>
          <w:rFonts w:ascii="Arial" w:hAnsi="Arial" w:cs="Arial"/>
        </w:rPr>
        <w:t xml:space="preserve">, and transplant, in Thailand, including all temporary transfer as </w:t>
      </w:r>
      <w:r w:rsidR="00043585" w:rsidRPr="008A39AD">
        <w:rPr>
          <w:rFonts w:ascii="Arial" w:hAnsi="Arial" w:cs="Arial"/>
        </w:rPr>
        <w:t>HD transfer</w:t>
      </w:r>
      <w:r w:rsidRPr="008A39AD">
        <w:rPr>
          <w:rFonts w:ascii="Arial" w:hAnsi="Arial" w:cs="Arial"/>
        </w:rPr>
        <w:t xml:space="preserve"> event</w:t>
      </w:r>
    </w:p>
    <w:p w14:paraId="126CFE65" w14:textId="6415AF29" w:rsidR="008C25E2" w:rsidRPr="008A39AD" w:rsidRDefault="008C25E2" w:rsidP="001342B9">
      <w:pPr>
        <w:spacing w:after="200" w:line="240" w:lineRule="auto"/>
        <w:rPr>
          <w:rFonts w:ascii="Arial" w:hAnsi="Arial" w:cs="Arial"/>
        </w:rPr>
      </w:pPr>
      <w:r w:rsidRPr="008A39AD">
        <w:rPr>
          <w:rFonts w:ascii="Arial" w:hAnsi="Arial" w:cs="Arial"/>
        </w:rPr>
        <w:t xml:space="preserve">Supplement Figure 1E. Cumulative </w:t>
      </w:r>
      <w:r w:rsidR="00EF5C9D" w:rsidRPr="008A39AD">
        <w:rPr>
          <w:rFonts w:ascii="Arial" w:hAnsi="Arial" w:cs="Arial"/>
        </w:rPr>
        <w:t xml:space="preserve">incidence </w:t>
      </w:r>
      <w:r w:rsidRPr="008A39AD">
        <w:rPr>
          <w:rFonts w:ascii="Arial" w:hAnsi="Arial" w:cs="Arial"/>
        </w:rPr>
        <w:t xml:space="preserve">curve of death, </w:t>
      </w:r>
      <w:r w:rsidR="00043585" w:rsidRPr="008A39AD">
        <w:rPr>
          <w:rFonts w:ascii="Arial" w:hAnsi="Arial" w:cs="Arial"/>
        </w:rPr>
        <w:t xml:space="preserve">HD transfer </w:t>
      </w:r>
      <w:r w:rsidRPr="008A39AD">
        <w:rPr>
          <w:rFonts w:ascii="Arial" w:hAnsi="Arial" w:cs="Arial"/>
        </w:rPr>
        <w:t xml:space="preserve">and transplant, in UK, including all temporary transfer as </w:t>
      </w:r>
      <w:r w:rsidR="00043585" w:rsidRPr="008A39AD">
        <w:rPr>
          <w:rFonts w:ascii="Arial" w:hAnsi="Arial" w:cs="Arial"/>
        </w:rPr>
        <w:t xml:space="preserve">HD transfer </w:t>
      </w:r>
      <w:r w:rsidRPr="008A39AD">
        <w:rPr>
          <w:rFonts w:ascii="Arial" w:hAnsi="Arial" w:cs="Arial"/>
        </w:rPr>
        <w:t>event.</w:t>
      </w:r>
    </w:p>
    <w:p w14:paraId="44DAA15B" w14:textId="4AA0923D" w:rsidR="008C25E2" w:rsidRPr="008A39AD" w:rsidRDefault="008C25E2" w:rsidP="001342B9">
      <w:pPr>
        <w:spacing w:after="200" w:line="240" w:lineRule="auto"/>
        <w:rPr>
          <w:rFonts w:ascii="Arial" w:hAnsi="Arial" w:cs="Arial"/>
        </w:rPr>
      </w:pPr>
      <w:r w:rsidRPr="008A39AD">
        <w:rPr>
          <w:rFonts w:ascii="Arial" w:hAnsi="Arial" w:cs="Arial"/>
        </w:rPr>
        <w:t xml:space="preserve">Supplement Figure 1F. Cumulative </w:t>
      </w:r>
      <w:r w:rsidR="00EF5C9D" w:rsidRPr="008A39AD">
        <w:rPr>
          <w:rFonts w:ascii="Arial" w:hAnsi="Arial" w:cs="Arial"/>
        </w:rPr>
        <w:t xml:space="preserve">incidence </w:t>
      </w:r>
      <w:r w:rsidRPr="008A39AD">
        <w:rPr>
          <w:rFonts w:ascii="Arial" w:hAnsi="Arial" w:cs="Arial"/>
        </w:rPr>
        <w:t xml:space="preserve">curve of death, </w:t>
      </w:r>
      <w:r w:rsidR="00043585" w:rsidRPr="008A39AD">
        <w:rPr>
          <w:rFonts w:ascii="Arial" w:hAnsi="Arial" w:cs="Arial"/>
        </w:rPr>
        <w:t>HD transfer</w:t>
      </w:r>
      <w:r w:rsidRPr="008A39AD">
        <w:rPr>
          <w:rFonts w:ascii="Arial" w:hAnsi="Arial" w:cs="Arial"/>
        </w:rPr>
        <w:t xml:space="preserve">, and transplant, in US, including all temporary transfer as </w:t>
      </w:r>
      <w:r w:rsidR="00043585" w:rsidRPr="008A39AD">
        <w:rPr>
          <w:rFonts w:ascii="Arial" w:hAnsi="Arial" w:cs="Arial"/>
        </w:rPr>
        <w:t>HD transfer</w:t>
      </w:r>
      <w:r w:rsidRPr="008A39AD">
        <w:rPr>
          <w:rFonts w:ascii="Arial" w:hAnsi="Arial" w:cs="Arial"/>
        </w:rPr>
        <w:t xml:space="preserve"> event.</w:t>
      </w:r>
    </w:p>
    <w:p w14:paraId="35ABE8A1" w14:textId="77777777" w:rsidR="008C25E2" w:rsidRPr="008A39AD" w:rsidRDefault="008C25E2" w:rsidP="001342B9">
      <w:pPr>
        <w:spacing w:line="240" w:lineRule="auto"/>
        <w:rPr>
          <w:rFonts w:ascii="Arial" w:hAnsi="Arial" w:cs="Arial"/>
        </w:rPr>
      </w:pPr>
      <w:r w:rsidRPr="008A39AD">
        <w:rPr>
          <w:rFonts w:ascii="Arial" w:hAnsi="Arial" w:cs="Arial"/>
        </w:rPr>
        <w:t xml:space="preserve">Supplement Figure 2. Hazard ratio of PD discontinuation by country, compare to US, </w:t>
      </w:r>
      <w:r w:rsidRPr="008A39AD">
        <w:rPr>
          <w:rFonts w:ascii="Arial" w:hAnsi="Arial" w:cs="Arial"/>
          <w:color w:val="000000" w:themeColor="text1"/>
        </w:rPr>
        <w:t>not counting hybrid transfers as transfer to HD events.</w:t>
      </w:r>
      <w:r w:rsidRPr="008A39AD">
        <w:rPr>
          <w:rFonts w:ascii="Arial" w:hAnsi="Arial" w:cs="Arial"/>
        </w:rPr>
        <w:t xml:space="preserve"> Hazard ratio was estimated using left truncated Cox model based on PD vintage. Model adjusted for patient age, sex, BMI, black race, heart disease, diabetes, psychiatric disorder, prior HD experience, urine volume, albumin, care giver involvement, transplant waitlist referred, and accounting for facility clustering. Separate models for each outcome.</w:t>
      </w:r>
    </w:p>
    <w:p w14:paraId="1C0718AE" w14:textId="77777777" w:rsidR="008C25E2" w:rsidRPr="008A39AD" w:rsidRDefault="008C25E2" w:rsidP="001342B9">
      <w:pPr>
        <w:spacing w:line="240" w:lineRule="auto"/>
        <w:rPr>
          <w:rFonts w:ascii="Arial" w:hAnsi="Arial" w:cs="Arial"/>
        </w:rPr>
      </w:pPr>
      <w:r w:rsidRPr="008A39AD">
        <w:rPr>
          <w:rFonts w:ascii="Arial" w:hAnsi="Arial" w:cs="Arial"/>
        </w:rPr>
        <w:t>Supplement Table 1. Distribution of time on therapy in years by country, based on cumulative incidence curve in Figure 1.</w:t>
      </w:r>
    </w:p>
    <w:p w14:paraId="4DF24217" w14:textId="77777777" w:rsidR="008C25E2" w:rsidRPr="008A39AD" w:rsidRDefault="008C25E2" w:rsidP="001342B9">
      <w:pPr>
        <w:spacing w:line="240" w:lineRule="auto"/>
        <w:rPr>
          <w:rFonts w:ascii="Arial" w:hAnsi="Arial" w:cs="Arial"/>
        </w:rPr>
      </w:pPr>
      <w:r w:rsidRPr="008A39AD">
        <w:rPr>
          <w:rFonts w:ascii="Arial" w:hAnsi="Arial" w:cs="Arial"/>
        </w:rPr>
        <w:t>Supplemental Table 2. Hazard ratios for mortality with 95% confidence interval in comparison to the US, showing effects of sequential levels of adjustment.</w:t>
      </w:r>
    </w:p>
    <w:p w14:paraId="4A257E0E" w14:textId="65EEB520" w:rsidR="00795CE9" w:rsidRPr="008A39AD" w:rsidRDefault="00795CE9" w:rsidP="00795CE9">
      <w:pPr>
        <w:spacing w:after="0" w:line="240" w:lineRule="auto"/>
        <w:rPr>
          <w:rFonts w:ascii="Arial" w:hAnsi="Arial" w:cs="Arial"/>
        </w:rPr>
      </w:pPr>
      <w:r w:rsidRPr="008A39AD">
        <w:rPr>
          <w:rFonts w:ascii="Arial" w:hAnsi="Arial" w:cs="Arial"/>
        </w:rPr>
        <w:t>Supplemental Table 3. Detailed reason among 111 patients with solute clearance as reason for HD transfer.</w:t>
      </w:r>
    </w:p>
    <w:p w14:paraId="29B087AD" w14:textId="77777777" w:rsidR="00795CE9" w:rsidRPr="008A39AD" w:rsidRDefault="00795CE9" w:rsidP="00795CE9">
      <w:pPr>
        <w:spacing w:after="0" w:line="240" w:lineRule="auto"/>
        <w:rPr>
          <w:rFonts w:ascii="Arial" w:hAnsi="Arial" w:cs="Arial"/>
        </w:rPr>
      </w:pPr>
    </w:p>
    <w:p w14:paraId="7369909F" w14:textId="0D17180A" w:rsidR="008C25E2" w:rsidRPr="008A39AD" w:rsidRDefault="008C25E2" w:rsidP="001342B9">
      <w:pPr>
        <w:spacing w:after="0" w:line="240" w:lineRule="auto"/>
        <w:rPr>
          <w:rFonts w:ascii="Arial" w:hAnsi="Arial" w:cs="Arial"/>
        </w:rPr>
      </w:pPr>
      <w:r w:rsidRPr="008A39AD">
        <w:rPr>
          <w:rFonts w:ascii="Arial" w:hAnsi="Arial" w:cs="Arial"/>
        </w:rPr>
        <w:t xml:space="preserve">Supplemental Table </w:t>
      </w:r>
      <w:r w:rsidR="00795CE9" w:rsidRPr="008A39AD">
        <w:rPr>
          <w:rFonts w:ascii="Arial" w:hAnsi="Arial" w:cs="Arial"/>
        </w:rPr>
        <w:t>4A</w:t>
      </w:r>
      <w:r w:rsidRPr="008A39AD">
        <w:rPr>
          <w:rFonts w:ascii="Arial" w:hAnsi="Arial" w:cs="Arial"/>
        </w:rPr>
        <w:t>. Hazard ratio for patient characteristics.</w:t>
      </w:r>
    </w:p>
    <w:p w14:paraId="127CAE68" w14:textId="77777777" w:rsidR="001342B9" w:rsidRPr="008A39AD" w:rsidRDefault="001342B9" w:rsidP="001342B9">
      <w:pPr>
        <w:spacing w:after="0" w:line="240" w:lineRule="auto"/>
        <w:rPr>
          <w:rFonts w:ascii="Arial" w:hAnsi="Arial" w:cs="Arial"/>
        </w:rPr>
      </w:pPr>
    </w:p>
    <w:p w14:paraId="7A45513D" w14:textId="4A01DDFF" w:rsidR="008C25E2" w:rsidRPr="008A39AD" w:rsidRDefault="008C25E2" w:rsidP="001342B9">
      <w:pPr>
        <w:spacing w:after="0" w:line="240" w:lineRule="auto"/>
        <w:rPr>
          <w:rFonts w:ascii="Arial" w:hAnsi="Arial" w:cs="Arial"/>
        </w:rPr>
      </w:pPr>
      <w:r w:rsidRPr="008A39AD">
        <w:rPr>
          <w:rFonts w:ascii="Arial" w:hAnsi="Arial" w:cs="Arial"/>
        </w:rPr>
        <w:t xml:space="preserve">Supplemental Table </w:t>
      </w:r>
      <w:r w:rsidR="00795CE9" w:rsidRPr="008A39AD">
        <w:rPr>
          <w:rFonts w:ascii="Arial" w:hAnsi="Arial" w:cs="Arial"/>
        </w:rPr>
        <w:t>4B</w:t>
      </w:r>
      <w:r w:rsidRPr="008A39AD">
        <w:rPr>
          <w:rFonts w:ascii="Arial" w:hAnsi="Arial" w:cs="Arial"/>
        </w:rPr>
        <w:t>. Adjusted hazard ratio of facility factors.</w:t>
      </w:r>
    </w:p>
    <w:p w14:paraId="081DE935" w14:textId="77777777" w:rsidR="001342B9" w:rsidRPr="008A39AD" w:rsidRDefault="001342B9" w:rsidP="001342B9">
      <w:pPr>
        <w:spacing w:after="0" w:line="240" w:lineRule="auto"/>
        <w:rPr>
          <w:rFonts w:ascii="Arial" w:hAnsi="Arial" w:cs="Arial"/>
        </w:rPr>
      </w:pPr>
    </w:p>
    <w:p w14:paraId="067DA620" w14:textId="5B0A4B0E" w:rsidR="008C25E2" w:rsidRPr="008A39AD" w:rsidRDefault="008C25E2" w:rsidP="001342B9">
      <w:pPr>
        <w:spacing w:after="0" w:line="240" w:lineRule="auto"/>
        <w:rPr>
          <w:rFonts w:ascii="Arial" w:hAnsi="Arial" w:cs="Arial"/>
        </w:rPr>
      </w:pPr>
      <w:r w:rsidRPr="008A39AD">
        <w:rPr>
          <w:rFonts w:ascii="Arial" w:hAnsi="Arial" w:cs="Arial"/>
        </w:rPr>
        <w:t xml:space="preserve">Supplemental Table </w:t>
      </w:r>
      <w:r w:rsidR="00795CE9" w:rsidRPr="008A39AD">
        <w:rPr>
          <w:rFonts w:ascii="Arial" w:hAnsi="Arial" w:cs="Arial"/>
        </w:rPr>
        <w:t>5</w:t>
      </w:r>
      <w:r w:rsidRPr="008A39AD">
        <w:rPr>
          <w:rFonts w:ascii="Arial" w:hAnsi="Arial" w:cs="Arial"/>
        </w:rPr>
        <w:t xml:space="preserve">. Adjusted hazard ratio for other facility factors, overall and by country, for outcomes of:  A) death or </w:t>
      </w:r>
      <w:r w:rsidR="00043585" w:rsidRPr="008A39AD">
        <w:rPr>
          <w:rFonts w:ascii="Arial" w:hAnsi="Arial" w:cs="Arial"/>
        </w:rPr>
        <w:t xml:space="preserve">HD </w:t>
      </w:r>
      <w:r w:rsidR="003D2CEE" w:rsidRPr="008A39AD">
        <w:rPr>
          <w:rFonts w:ascii="Arial" w:hAnsi="Arial" w:cs="Arial"/>
        </w:rPr>
        <w:t xml:space="preserve">transfer </w:t>
      </w:r>
      <w:r w:rsidRPr="008A39AD">
        <w:rPr>
          <w:rFonts w:ascii="Arial" w:hAnsi="Arial" w:cs="Arial"/>
        </w:rPr>
        <w:t xml:space="preserve">B) </w:t>
      </w:r>
      <w:r w:rsidR="00043585" w:rsidRPr="008A39AD">
        <w:rPr>
          <w:rFonts w:ascii="Arial" w:hAnsi="Arial" w:cs="Arial"/>
        </w:rPr>
        <w:t xml:space="preserve">HD </w:t>
      </w:r>
      <w:r w:rsidR="003D2CEE" w:rsidRPr="008A39AD">
        <w:rPr>
          <w:rFonts w:ascii="Arial" w:hAnsi="Arial" w:cs="Arial"/>
        </w:rPr>
        <w:t>transfer</w:t>
      </w:r>
      <w:r w:rsidRPr="008A39AD">
        <w:rPr>
          <w:rFonts w:ascii="Arial" w:hAnsi="Arial" w:cs="Arial"/>
        </w:rPr>
        <w:t xml:space="preserve">, C) for death. Models were left truncated based on PD vintage, and accounting for facility clustering. Facility factors were evaluated one at a time, adjusted for patient factors including: age, sex, BMI, Black race, heart disease, </w:t>
      </w:r>
      <w:r w:rsidRPr="008A39AD">
        <w:rPr>
          <w:rFonts w:ascii="Arial" w:hAnsi="Arial" w:cs="Arial"/>
        </w:rPr>
        <w:lastRenderedPageBreak/>
        <w:t xml:space="preserve">diabetes, psychiatric disorder, prior HD experience, urine volume, albumin, care giver involvement, transplant waitlist referred. </w:t>
      </w:r>
    </w:p>
    <w:p w14:paraId="4C002DEF" w14:textId="77777777" w:rsidR="001342B9" w:rsidRPr="008A39AD" w:rsidRDefault="001342B9" w:rsidP="001342B9">
      <w:pPr>
        <w:spacing w:after="0" w:line="240" w:lineRule="auto"/>
        <w:rPr>
          <w:rFonts w:ascii="Arial" w:hAnsi="Arial" w:cs="Arial"/>
        </w:rPr>
      </w:pPr>
    </w:p>
    <w:p w14:paraId="0A73E3CE" w14:textId="77777777" w:rsidR="008C25E2" w:rsidRPr="008A39AD" w:rsidRDefault="008C25E2" w:rsidP="001342B9">
      <w:pPr>
        <w:spacing w:after="200" w:line="240" w:lineRule="auto"/>
        <w:rPr>
          <w:rFonts w:ascii="Arial" w:hAnsi="Arial" w:cs="Arial"/>
        </w:rPr>
      </w:pPr>
      <w:r w:rsidRPr="008A39AD">
        <w:rPr>
          <w:rFonts w:ascii="Arial" w:hAnsi="Arial" w:cs="Arial"/>
        </w:rPr>
        <w:t>Supplemental Figure 3. Crude event rates by country and by PD vintage, A) permanent transfer to HD or death, B) permanent transfer to HD, C) death. Number of patients at risk for each PD vintage group see table below.</w:t>
      </w:r>
    </w:p>
    <w:p w14:paraId="107A0F5C" w14:textId="77777777" w:rsidR="008C25E2" w:rsidRPr="008A39AD" w:rsidRDefault="008C25E2" w:rsidP="0054676E">
      <w:pPr>
        <w:spacing w:after="200" w:line="480" w:lineRule="auto"/>
        <w:rPr>
          <w:rFonts w:ascii="Arial" w:hAnsi="Arial" w:cs="Arial"/>
          <w:b/>
          <w:bCs/>
        </w:rPr>
      </w:pPr>
    </w:p>
    <w:p w14:paraId="4E8B087D" w14:textId="77777777" w:rsidR="00E0068A" w:rsidRPr="008A39AD" w:rsidRDefault="00E0068A">
      <w:pPr>
        <w:rPr>
          <w:rFonts w:ascii="Arial" w:hAnsi="Arial" w:cs="Arial"/>
        </w:rPr>
      </w:pPr>
      <w:r w:rsidRPr="008A39AD">
        <w:rPr>
          <w:rFonts w:ascii="Arial" w:hAnsi="Arial" w:cs="Arial"/>
        </w:rPr>
        <w:br w:type="page"/>
      </w:r>
    </w:p>
    <w:p w14:paraId="0EB65E3D" w14:textId="3487B566" w:rsidR="001417D6" w:rsidRPr="008A39AD" w:rsidRDefault="00E0068A" w:rsidP="00654EB6">
      <w:pPr>
        <w:spacing w:after="200" w:line="480" w:lineRule="auto"/>
        <w:rPr>
          <w:rFonts w:ascii="Arial" w:hAnsi="Arial" w:cs="Arial"/>
        </w:rPr>
      </w:pPr>
      <w:r w:rsidRPr="008A39AD">
        <w:rPr>
          <w:rFonts w:ascii="Arial" w:hAnsi="Arial" w:cs="Arial"/>
        </w:rPr>
        <w:lastRenderedPageBreak/>
        <w:t>References</w:t>
      </w:r>
    </w:p>
    <w:p w14:paraId="054A1564" w14:textId="64D2BE12" w:rsidR="001417D6" w:rsidRPr="008A39AD" w:rsidRDefault="001417D6" w:rsidP="001417D6">
      <w:pPr>
        <w:pStyle w:val="CommentText"/>
        <w:numPr>
          <w:ilvl w:val="0"/>
          <w:numId w:val="2"/>
        </w:numPr>
        <w:rPr>
          <w:rFonts w:cstheme="minorHAnsi"/>
          <w:color w:val="212121"/>
          <w:sz w:val="22"/>
          <w:szCs w:val="22"/>
          <w:shd w:val="clear" w:color="auto" w:fill="FFFFFF"/>
        </w:rPr>
      </w:pPr>
      <w:proofErr w:type="spellStart"/>
      <w:r w:rsidRPr="008A39AD">
        <w:rPr>
          <w:rFonts w:cstheme="minorHAnsi"/>
          <w:color w:val="212121"/>
          <w:sz w:val="22"/>
          <w:szCs w:val="22"/>
          <w:shd w:val="clear" w:color="auto" w:fill="FFFFFF"/>
        </w:rPr>
        <w:t>Pecoits</w:t>
      </w:r>
      <w:proofErr w:type="spellEnd"/>
      <w:r w:rsidRPr="008A39AD">
        <w:rPr>
          <w:rFonts w:cstheme="minorHAnsi"/>
          <w:color w:val="212121"/>
          <w:sz w:val="22"/>
          <w:szCs w:val="22"/>
          <w:shd w:val="clear" w:color="auto" w:fill="FFFFFF"/>
        </w:rPr>
        <w:t xml:space="preserve">-Filho R, </w:t>
      </w:r>
      <w:proofErr w:type="spellStart"/>
      <w:r w:rsidRPr="008A39AD">
        <w:rPr>
          <w:rFonts w:cstheme="minorHAnsi"/>
          <w:color w:val="212121"/>
          <w:sz w:val="22"/>
          <w:szCs w:val="22"/>
          <w:shd w:val="clear" w:color="auto" w:fill="FFFFFF"/>
        </w:rPr>
        <w:t>Okpechi</w:t>
      </w:r>
      <w:proofErr w:type="spellEnd"/>
      <w:r w:rsidRPr="008A39AD">
        <w:rPr>
          <w:rFonts w:cstheme="minorHAnsi"/>
          <w:color w:val="212121"/>
          <w:sz w:val="22"/>
          <w:szCs w:val="22"/>
          <w:shd w:val="clear" w:color="auto" w:fill="FFFFFF"/>
        </w:rPr>
        <w:t xml:space="preserve"> IG, Donner JA, </w:t>
      </w:r>
      <w:r w:rsidR="009C0C05" w:rsidRPr="008A39AD">
        <w:rPr>
          <w:rFonts w:cstheme="minorHAnsi"/>
          <w:color w:val="212121"/>
          <w:sz w:val="22"/>
          <w:szCs w:val="22"/>
          <w:shd w:val="clear" w:color="auto" w:fill="FFFFFF"/>
        </w:rPr>
        <w:t xml:space="preserve">Harris DC, </w:t>
      </w:r>
      <w:proofErr w:type="spellStart"/>
      <w:r w:rsidR="009C0C05" w:rsidRPr="008A39AD">
        <w:rPr>
          <w:rFonts w:cstheme="minorHAnsi"/>
          <w:color w:val="212121"/>
          <w:sz w:val="22"/>
          <w:szCs w:val="22"/>
          <w:shd w:val="clear" w:color="auto" w:fill="FFFFFF"/>
        </w:rPr>
        <w:t>Aljubori</w:t>
      </w:r>
      <w:proofErr w:type="spellEnd"/>
      <w:r w:rsidR="009C0C05" w:rsidRPr="008A39AD">
        <w:rPr>
          <w:rFonts w:cstheme="minorHAnsi"/>
          <w:color w:val="212121"/>
          <w:sz w:val="22"/>
          <w:szCs w:val="22"/>
          <w:shd w:val="clear" w:color="auto" w:fill="FFFFFF"/>
        </w:rPr>
        <w:t xml:space="preserve"> HM, Bello AK, </w:t>
      </w:r>
      <w:proofErr w:type="spellStart"/>
      <w:r w:rsidR="009C0C05" w:rsidRPr="008A39AD">
        <w:rPr>
          <w:rFonts w:cstheme="minorHAnsi"/>
          <w:color w:val="212121"/>
          <w:sz w:val="22"/>
          <w:szCs w:val="22"/>
          <w:shd w:val="clear" w:color="auto" w:fill="FFFFFF"/>
        </w:rPr>
        <w:t>Bellorin</w:t>
      </w:r>
      <w:proofErr w:type="spellEnd"/>
      <w:r w:rsidR="009C0C05" w:rsidRPr="008A39AD">
        <w:rPr>
          <w:rFonts w:cstheme="minorHAnsi"/>
          <w:color w:val="212121"/>
          <w:sz w:val="22"/>
          <w:szCs w:val="22"/>
          <w:shd w:val="clear" w:color="auto" w:fill="FFFFFF"/>
        </w:rPr>
        <w:t xml:space="preserve">-Font E, Caskey FJ, Collins A, Cueto-Manzano AM, </w:t>
      </w:r>
      <w:proofErr w:type="spellStart"/>
      <w:r w:rsidR="009C0C05" w:rsidRPr="008A39AD">
        <w:rPr>
          <w:rFonts w:cstheme="minorHAnsi"/>
          <w:color w:val="212121"/>
          <w:sz w:val="22"/>
          <w:szCs w:val="22"/>
          <w:shd w:val="clear" w:color="auto" w:fill="FFFFFF"/>
        </w:rPr>
        <w:t>Feehally</w:t>
      </w:r>
      <w:proofErr w:type="spellEnd"/>
      <w:r w:rsidR="009C0C05" w:rsidRPr="008A39AD">
        <w:rPr>
          <w:rFonts w:cstheme="minorHAnsi"/>
          <w:color w:val="212121"/>
          <w:sz w:val="22"/>
          <w:szCs w:val="22"/>
          <w:shd w:val="clear" w:color="auto" w:fill="FFFFFF"/>
        </w:rPr>
        <w:t xml:space="preserve"> J: </w:t>
      </w:r>
      <w:r w:rsidRPr="008A39AD">
        <w:rPr>
          <w:rFonts w:cstheme="minorHAnsi"/>
          <w:color w:val="212121"/>
          <w:sz w:val="22"/>
          <w:szCs w:val="22"/>
          <w:shd w:val="clear" w:color="auto" w:fill="FFFFFF"/>
        </w:rPr>
        <w:t xml:space="preserve"> Capturing and monitoring global differences in untreated and treated end-stage kidney disease, kidney replacement therapy modality, and outcomes. Kidney Int Suppl 10(1</w:t>
      </w:r>
      <w:proofErr w:type="gramStart"/>
      <w:r w:rsidRPr="008A39AD">
        <w:rPr>
          <w:rFonts w:cstheme="minorHAnsi"/>
          <w:color w:val="212121"/>
          <w:sz w:val="22"/>
          <w:szCs w:val="22"/>
          <w:shd w:val="clear" w:color="auto" w:fill="FFFFFF"/>
        </w:rPr>
        <w:t>):e</w:t>
      </w:r>
      <w:proofErr w:type="gramEnd"/>
      <w:r w:rsidRPr="008A39AD">
        <w:rPr>
          <w:rFonts w:cstheme="minorHAnsi"/>
          <w:color w:val="212121"/>
          <w:sz w:val="22"/>
          <w:szCs w:val="22"/>
          <w:shd w:val="clear" w:color="auto" w:fill="FFFFFF"/>
        </w:rPr>
        <w:t>3-e9</w:t>
      </w:r>
      <w:r w:rsidR="009C0C05" w:rsidRPr="008A39AD">
        <w:rPr>
          <w:rFonts w:cstheme="minorHAnsi"/>
          <w:color w:val="212121"/>
          <w:sz w:val="22"/>
          <w:szCs w:val="22"/>
          <w:shd w:val="clear" w:color="auto" w:fill="FFFFFF"/>
        </w:rPr>
        <w:t>, 2020</w:t>
      </w:r>
    </w:p>
    <w:p w14:paraId="06235EE5" w14:textId="0B0F6E19" w:rsidR="001417D6" w:rsidRPr="008A39AD" w:rsidRDefault="001417D6" w:rsidP="001417D6">
      <w:pPr>
        <w:pStyle w:val="CommentText"/>
        <w:numPr>
          <w:ilvl w:val="0"/>
          <w:numId w:val="2"/>
        </w:numPr>
        <w:rPr>
          <w:rFonts w:cstheme="minorHAnsi"/>
          <w:sz w:val="22"/>
          <w:szCs w:val="22"/>
        </w:rPr>
      </w:pPr>
      <w:r w:rsidRPr="008A39AD">
        <w:rPr>
          <w:rFonts w:cstheme="minorHAnsi"/>
          <w:sz w:val="22"/>
          <w:szCs w:val="22"/>
        </w:rPr>
        <w:t xml:space="preserve">Li PK, Chow KM, Van de Luijtgaarden MW, </w:t>
      </w:r>
      <w:r w:rsidR="009C0C05" w:rsidRPr="008A39AD">
        <w:rPr>
          <w:rFonts w:cstheme="minorHAnsi"/>
          <w:sz w:val="22"/>
          <w:szCs w:val="22"/>
        </w:rPr>
        <w:t xml:space="preserve">Johnson DW, Jager KJ, Mehrotra R, Naicker S, Pecoits-Filho R, Yu XQ, </w:t>
      </w:r>
      <w:proofErr w:type="spellStart"/>
      <w:r w:rsidR="009C0C05" w:rsidRPr="008A39AD">
        <w:rPr>
          <w:rFonts w:cstheme="minorHAnsi"/>
          <w:sz w:val="22"/>
          <w:szCs w:val="22"/>
        </w:rPr>
        <w:t>Lameire</w:t>
      </w:r>
      <w:proofErr w:type="spellEnd"/>
      <w:r w:rsidR="009C0C05" w:rsidRPr="008A39AD">
        <w:rPr>
          <w:rFonts w:cstheme="minorHAnsi"/>
          <w:sz w:val="22"/>
          <w:szCs w:val="22"/>
        </w:rPr>
        <w:t xml:space="preserve"> N: </w:t>
      </w:r>
      <w:r w:rsidRPr="008A39AD">
        <w:rPr>
          <w:rFonts w:cstheme="minorHAnsi"/>
          <w:sz w:val="22"/>
          <w:szCs w:val="22"/>
        </w:rPr>
        <w:t xml:space="preserve"> Changes in the worldwide epidemiology of peritoneal dialysis. Nat Rev Nephrol. 13: 90–103</w:t>
      </w:r>
      <w:r w:rsidR="009C0C05" w:rsidRPr="008A39AD">
        <w:rPr>
          <w:rFonts w:cstheme="minorHAnsi"/>
          <w:sz w:val="22"/>
          <w:szCs w:val="22"/>
        </w:rPr>
        <w:t>,</w:t>
      </w:r>
      <w:r w:rsidRPr="008A39AD">
        <w:rPr>
          <w:rFonts w:cstheme="minorHAnsi"/>
          <w:sz w:val="22"/>
          <w:szCs w:val="22"/>
        </w:rPr>
        <w:t xml:space="preserve"> </w:t>
      </w:r>
      <w:r w:rsidR="009C0C05" w:rsidRPr="008A39AD">
        <w:rPr>
          <w:rFonts w:cstheme="minorHAnsi"/>
          <w:sz w:val="22"/>
          <w:szCs w:val="22"/>
        </w:rPr>
        <w:t>2017</w:t>
      </w:r>
    </w:p>
    <w:p w14:paraId="15FC2833" w14:textId="7B4AC0D3"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 xml:space="preserve">Collins AJ, Hao W, Xia H, </w:t>
      </w:r>
      <w:r w:rsidR="00F137CC" w:rsidRPr="008A39AD">
        <w:rPr>
          <w:rFonts w:cstheme="minorHAnsi"/>
          <w:color w:val="222222"/>
          <w:sz w:val="22"/>
          <w:szCs w:val="22"/>
          <w:shd w:val="clear" w:color="auto" w:fill="FFFFFF"/>
        </w:rPr>
        <w:t xml:space="preserve">Ebben JP, Everson SE, </w:t>
      </w:r>
      <w:proofErr w:type="spellStart"/>
      <w:r w:rsidR="00F137CC" w:rsidRPr="008A39AD">
        <w:rPr>
          <w:rFonts w:cstheme="minorHAnsi"/>
          <w:color w:val="222222"/>
          <w:sz w:val="22"/>
          <w:szCs w:val="22"/>
          <w:shd w:val="clear" w:color="auto" w:fill="FFFFFF"/>
        </w:rPr>
        <w:t>Constantini</w:t>
      </w:r>
      <w:proofErr w:type="spellEnd"/>
      <w:r w:rsidR="00F137CC" w:rsidRPr="008A39AD">
        <w:rPr>
          <w:rFonts w:cstheme="minorHAnsi"/>
          <w:color w:val="222222"/>
          <w:sz w:val="22"/>
          <w:szCs w:val="22"/>
          <w:shd w:val="clear" w:color="auto" w:fill="FFFFFF"/>
        </w:rPr>
        <w:t xml:space="preserve"> EG, Ma JZ: </w:t>
      </w:r>
      <w:r w:rsidRPr="008A39AD">
        <w:rPr>
          <w:rFonts w:cstheme="minorHAnsi"/>
          <w:color w:val="222222"/>
          <w:sz w:val="22"/>
          <w:szCs w:val="22"/>
          <w:shd w:val="clear" w:color="auto" w:fill="FFFFFF"/>
        </w:rPr>
        <w:t xml:space="preserve"> Mortality risks of peritoneal dialysis and hemodialysis. </w:t>
      </w:r>
      <w:r w:rsidRPr="008A39AD">
        <w:rPr>
          <w:rFonts w:cstheme="minorHAnsi"/>
          <w:sz w:val="22"/>
          <w:szCs w:val="22"/>
        </w:rPr>
        <w:t xml:space="preserve">Am J Kidney Dis. </w:t>
      </w:r>
      <w:r w:rsidRPr="008A39AD">
        <w:rPr>
          <w:rFonts w:cstheme="minorHAnsi"/>
          <w:color w:val="222222"/>
          <w:sz w:val="22"/>
          <w:szCs w:val="22"/>
          <w:shd w:val="clear" w:color="auto" w:fill="FFFFFF"/>
        </w:rPr>
        <w:t>34(6):1065-74</w:t>
      </w:r>
      <w:r w:rsidR="00F137CC" w:rsidRPr="008A39AD">
        <w:rPr>
          <w:rFonts w:cstheme="minorHAnsi"/>
          <w:color w:val="222222"/>
          <w:sz w:val="22"/>
          <w:szCs w:val="22"/>
          <w:shd w:val="clear" w:color="auto" w:fill="FFFFFF"/>
        </w:rPr>
        <w:t>, 1999</w:t>
      </w:r>
    </w:p>
    <w:p w14:paraId="059ED811" w14:textId="15FF5003"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 xml:space="preserve">McDonald SP, Marshall MR, Johnson DW, </w:t>
      </w:r>
      <w:r w:rsidR="00F137CC" w:rsidRPr="008A39AD">
        <w:rPr>
          <w:rFonts w:cstheme="minorHAnsi"/>
          <w:color w:val="222222"/>
          <w:sz w:val="22"/>
          <w:szCs w:val="22"/>
          <w:shd w:val="clear" w:color="auto" w:fill="FFFFFF"/>
        </w:rPr>
        <w:t>Polkinghorne KR:</w:t>
      </w:r>
      <w:r w:rsidRPr="008A39AD">
        <w:rPr>
          <w:rFonts w:cstheme="minorHAnsi"/>
          <w:color w:val="222222"/>
          <w:sz w:val="22"/>
          <w:szCs w:val="22"/>
          <w:shd w:val="clear" w:color="auto" w:fill="FFFFFF"/>
        </w:rPr>
        <w:t xml:space="preserve"> Relationship between dialysis modality and mortality. J Am Soc Nephrol. 20(1):155-63</w:t>
      </w:r>
      <w:r w:rsidR="00F137CC" w:rsidRPr="008A39AD">
        <w:rPr>
          <w:rFonts w:cstheme="minorHAnsi"/>
          <w:color w:val="222222"/>
          <w:sz w:val="22"/>
          <w:szCs w:val="22"/>
          <w:shd w:val="clear" w:color="auto" w:fill="FFFFFF"/>
        </w:rPr>
        <w:t>, 2009</w:t>
      </w:r>
    </w:p>
    <w:p w14:paraId="39D3A5BF" w14:textId="0E8907DB"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 xml:space="preserve">Weinhandl ED, Foley RN, Gilbertson DT, </w:t>
      </w:r>
      <w:r w:rsidR="00F137CC" w:rsidRPr="008A39AD">
        <w:rPr>
          <w:rFonts w:cstheme="minorHAnsi"/>
          <w:color w:val="222222"/>
          <w:sz w:val="22"/>
          <w:szCs w:val="22"/>
          <w:shd w:val="clear" w:color="auto" w:fill="FFFFFF"/>
        </w:rPr>
        <w:t>Arneson TJ, Snyder JJ, Collins AJ:</w:t>
      </w:r>
      <w:r w:rsidRPr="008A39AD">
        <w:rPr>
          <w:rFonts w:cstheme="minorHAnsi"/>
          <w:color w:val="222222"/>
          <w:sz w:val="22"/>
          <w:szCs w:val="22"/>
          <w:shd w:val="clear" w:color="auto" w:fill="FFFFFF"/>
        </w:rPr>
        <w:t xml:space="preserve"> Propensity-matched mortality comparison of incident hemodialysis and peritoneal dialysis patients. J Am Soc Nephrol 21(3):499-506</w:t>
      </w:r>
      <w:r w:rsidR="00F137CC" w:rsidRPr="008A39AD">
        <w:rPr>
          <w:rFonts w:cstheme="minorHAnsi"/>
          <w:color w:val="222222"/>
          <w:sz w:val="22"/>
          <w:szCs w:val="22"/>
          <w:shd w:val="clear" w:color="auto" w:fill="FFFFFF"/>
        </w:rPr>
        <w:t>, 2010</w:t>
      </w:r>
    </w:p>
    <w:p w14:paraId="078A5241" w14:textId="321F81F5"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Trinh E, Chan CT, Perl J</w:t>
      </w:r>
      <w:r w:rsidR="00F137CC"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Dialysis modality and survival: Done to death. In: Seminars in dialysis Vol. 31, No. 4, pp. 315-324</w:t>
      </w:r>
      <w:r w:rsidR="00F137CC"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w:t>
      </w:r>
      <w:r w:rsidR="00F137CC" w:rsidRPr="008A39AD">
        <w:rPr>
          <w:rFonts w:cstheme="minorHAnsi"/>
          <w:color w:val="222222"/>
          <w:sz w:val="22"/>
          <w:szCs w:val="22"/>
          <w:shd w:val="clear" w:color="auto" w:fill="FFFFFF"/>
        </w:rPr>
        <w:t>2018</w:t>
      </w:r>
    </w:p>
    <w:p w14:paraId="60822E20" w14:textId="18FAC37F" w:rsidR="001417D6" w:rsidRPr="008A39AD" w:rsidRDefault="001417D6" w:rsidP="001417D6">
      <w:pPr>
        <w:pStyle w:val="CommentText"/>
        <w:numPr>
          <w:ilvl w:val="0"/>
          <w:numId w:val="2"/>
        </w:numPr>
        <w:rPr>
          <w:rFonts w:cstheme="minorHAnsi"/>
          <w:sz w:val="22"/>
          <w:szCs w:val="22"/>
        </w:rPr>
      </w:pPr>
      <w:proofErr w:type="spellStart"/>
      <w:r w:rsidRPr="008A39AD">
        <w:rPr>
          <w:rFonts w:cstheme="minorHAnsi"/>
          <w:color w:val="222222"/>
          <w:sz w:val="22"/>
          <w:szCs w:val="22"/>
          <w:shd w:val="clear" w:color="auto" w:fill="FFFFFF"/>
        </w:rPr>
        <w:t>Karopadi</w:t>
      </w:r>
      <w:proofErr w:type="spellEnd"/>
      <w:r w:rsidRPr="008A39AD">
        <w:rPr>
          <w:rFonts w:cstheme="minorHAnsi"/>
          <w:color w:val="222222"/>
          <w:sz w:val="22"/>
          <w:szCs w:val="22"/>
          <w:shd w:val="clear" w:color="auto" w:fill="FFFFFF"/>
        </w:rPr>
        <w:t xml:space="preserve"> AN, Mason G, </w:t>
      </w:r>
      <w:proofErr w:type="spellStart"/>
      <w:r w:rsidRPr="008A39AD">
        <w:rPr>
          <w:rFonts w:cstheme="minorHAnsi"/>
          <w:color w:val="222222"/>
          <w:sz w:val="22"/>
          <w:szCs w:val="22"/>
          <w:shd w:val="clear" w:color="auto" w:fill="FFFFFF"/>
        </w:rPr>
        <w:t>Rettore</w:t>
      </w:r>
      <w:proofErr w:type="spellEnd"/>
      <w:r w:rsidRPr="008A39AD">
        <w:rPr>
          <w:rFonts w:cstheme="minorHAnsi"/>
          <w:color w:val="222222"/>
          <w:sz w:val="22"/>
          <w:szCs w:val="22"/>
          <w:shd w:val="clear" w:color="auto" w:fill="FFFFFF"/>
        </w:rPr>
        <w:t xml:space="preserve"> E, </w:t>
      </w:r>
      <w:proofErr w:type="spellStart"/>
      <w:r w:rsidRPr="008A39AD">
        <w:rPr>
          <w:rFonts w:cstheme="minorHAnsi"/>
          <w:color w:val="222222"/>
          <w:sz w:val="22"/>
          <w:szCs w:val="22"/>
          <w:shd w:val="clear" w:color="auto" w:fill="FFFFFF"/>
        </w:rPr>
        <w:t>Ronco</w:t>
      </w:r>
      <w:proofErr w:type="spellEnd"/>
      <w:r w:rsidRPr="008A39AD">
        <w:rPr>
          <w:rFonts w:cstheme="minorHAnsi"/>
          <w:color w:val="222222"/>
          <w:sz w:val="22"/>
          <w:szCs w:val="22"/>
          <w:shd w:val="clear" w:color="auto" w:fill="FFFFFF"/>
        </w:rPr>
        <w:t xml:space="preserve"> C</w:t>
      </w:r>
      <w:r w:rsidR="00F137CC"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Cost of peritoneal dialysis and haemodialysis across the world. </w:t>
      </w:r>
      <w:r w:rsidRPr="008A39AD">
        <w:t xml:space="preserve">Nephrol Dial Transplant. </w:t>
      </w:r>
      <w:r w:rsidRPr="008A39AD">
        <w:rPr>
          <w:rFonts w:cstheme="minorHAnsi"/>
          <w:color w:val="222222"/>
          <w:sz w:val="22"/>
          <w:szCs w:val="22"/>
          <w:shd w:val="clear" w:color="auto" w:fill="FFFFFF"/>
        </w:rPr>
        <w:t>28(10):2553-69</w:t>
      </w:r>
      <w:r w:rsidR="00F137CC"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w:t>
      </w:r>
      <w:r w:rsidR="00F137CC" w:rsidRPr="008A39AD">
        <w:rPr>
          <w:rFonts w:cstheme="minorHAnsi"/>
          <w:color w:val="222222"/>
          <w:sz w:val="22"/>
          <w:szCs w:val="22"/>
          <w:shd w:val="clear" w:color="auto" w:fill="FFFFFF"/>
        </w:rPr>
        <w:t>2013</w:t>
      </w:r>
    </w:p>
    <w:p w14:paraId="7D306966" w14:textId="22608644"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 xml:space="preserve">Rubin HR, Fink NE, Plantinga LC, </w:t>
      </w:r>
      <w:r w:rsidR="00F137CC" w:rsidRPr="008A39AD">
        <w:rPr>
          <w:rFonts w:cstheme="minorHAnsi"/>
          <w:color w:val="222222"/>
          <w:sz w:val="22"/>
          <w:szCs w:val="22"/>
          <w:shd w:val="clear" w:color="auto" w:fill="FFFFFF"/>
        </w:rPr>
        <w:t xml:space="preserve">Sadler JH, </w:t>
      </w:r>
      <w:proofErr w:type="spellStart"/>
      <w:r w:rsidR="00F137CC" w:rsidRPr="008A39AD">
        <w:rPr>
          <w:rFonts w:cstheme="minorHAnsi"/>
          <w:color w:val="222222"/>
          <w:sz w:val="22"/>
          <w:szCs w:val="22"/>
          <w:shd w:val="clear" w:color="auto" w:fill="FFFFFF"/>
        </w:rPr>
        <w:t>Kliger</w:t>
      </w:r>
      <w:proofErr w:type="spellEnd"/>
      <w:r w:rsidR="00F137CC" w:rsidRPr="008A39AD">
        <w:rPr>
          <w:rFonts w:cstheme="minorHAnsi"/>
          <w:color w:val="222222"/>
          <w:sz w:val="22"/>
          <w:szCs w:val="22"/>
          <w:shd w:val="clear" w:color="auto" w:fill="FFFFFF"/>
        </w:rPr>
        <w:t xml:space="preserve"> AS, Powe NR: </w:t>
      </w:r>
      <w:r w:rsidRPr="008A39AD">
        <w:rPr>
          <w:rFonts w:cstheme="minorHAnsi"/>
          <w:color w:val="222222"/>
          <w:sz w:val="22"/>
          <w:szCs w:val="22"/>
          <w:shd w:val="clear" w:color="auto" w:fill="FFFFFF"/>
        </w:rPr>
        <w:t xml:space="preserve"> Patient ratings of dialysis care with peritoneal dialysis vs hemodialysis. Jama. 291(6):697-703</w:t>
      </w:r>
      <w:r w:rsidR="00F137CC" w:rsidRPr="008A39AD">
        <w:rPr>
          <w:rFonts w:cstheme="minorHAnsi"/>
          <w:color w:val="222222"/>
          <w:sz w:val="22"/>
          <w:szCs w:val="22"/>
          <w:shd w:val="clear" w:color="auto" w:fill="FFFFFF"/>
        </w:rPr>
        <w:t>, 2004</w:t>
      </w:r>
    </w:p>
    <w:p w14:paraId="45485DD9" w14:textId="7C8D1A96"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 xml:space="preserve">Moist LM, Port FK, </w:t>
      </w:r>
      <w:proofErr w:type="spellStart"/>
      <w:r w:rsidRPr="008A39AD">
        <w:rPr>
          <w:rFonts w:cstheme="minorHAnsi"/>
          <w:color w:val="222222"/>
          <w:sz w:val="22"/>
          <w:szCs w:val="22"/>
          <w:shd w:val="clear" w:color="auto" w:fill="FFFFFF"/>
        </w:rPr>
        <w:t>Orzol</w:t>
      </w:r>
      <w:proofErr w:type="spellEnd"/>
      <w:r w:rsidRPr="008A39AD">
        <w:rPr>
          <w:rFonts w:cstheme="minorHAnsi"/>
          <w:color w:val="222222"/>
          <w:sz w:val="22"/>
          <w:szCs w:val="22"/>
          <w:shd w:val="clear" w:color="auto" w:fill="FFFFFF"/>
        </w:rPr>
        <w:t xml:space="preserve"> SM, </w:t>
      </w:r>
      <w:r w:rsidR="00F137CC" w:rsidRPr="008A39AD">
        <w:rPr>
          <w:rFonts w:cstheme="minorHAnsi"/>
          <w:color w:val="222222"/>
          <w:sz w:val="22"/>
          <w:szCs w:val="22"/>
          <w:shd w:val="clear" w:color="auto" w:fill="FFFFFF"/>
        </w:rPr>
        <w:t xml:space="preserve">Young EW, </w:t>
      </w:r>
      <w:proofErr w:type="spellStart"/>
      <w:r w:rsidR="00F137CC" w:rsidRPr="008A39AD">
        <w:rPr>
          <w:rFonts w:cstheme="minorHAnsi"/>
          <w:color w:val="222222"/>
          <w:sz w:val="22"/>
          <w:szCs w:val="22"/>
          <w:shd w:val="clear" w:color="auto" w:fill="FFFFFF"/>
        </w:rPr>
        <w:t>Ostbye</w:t>
      </w:r>
      <w:proofErr w:type="spellEnd"/>
      <w:r w:rsidR="00F137CC" w:rsidRPr="008A39AD">
        <w:rPr>
          <w:rFonts w:cstheme="minorHAnsi"/>
          <w:color w:val="222222"/>
          <w:sz w:val="22"/>
          <w:szCs w:val="22"/>
          <w:shd w:val="clear" w:color="auto" w:fill="FFFFFF"/>
        </w:rPr>
        <w:t xml:space="preserve"> T, Wolfe RA, Hulbert-Shearon T, Jones CA, Bloembergen WE: </w:t>
      </w:r>
      <w:r w:rsidR="00977C44" w:rsidRPr="008A39AD">
        <w:rPr>
          <w:rFonts w:cstheme="minorHAnsi"/>
          <w:color w:val="222222"/>
          <w:sz w:val="22"/>
          <w:szCs w:val="22"/>
          <w:shd w:val="clear" w:color="auto" w:fill="FFFFFF"/>
        </w:rPr>
        <w:t xml:space="preserve"> </w:t>
      </w:r>
      <w:r w:rsidRPr="008A39AD">
        <w:rPr>
          <w:rFonts w:cstheme="minorHAnsi"/>
          <w:color w:val="222222"/>
          <w:sz w:val="22"/>
          <w:szCs w:val="22"/>
          <w:shd w:val="clear" w:color="auto" w:fill="FFFFFF"/>
        </w:rPr>
        <w:t>Predictors of loss of residual renal function among new dialysis patients. J Am Soc Nephrol. 11(3):556-64</w:t>
      </w:r>
      <w:r w:rsidR="00F137CC"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w:t>
      </w:r>
      <w:r w:rsidR="00F137CC" w:rsidRPr="008A39AD">
        <w:rPr>
          <w:rFonts w:cstheme="minorHAnsi"/>
          <w:color w:val="222222"/>
          <w:sz w:val="22"/>
          <w:szCs w:val="22"/>
          <w:shd w:val="clear" w:color="auto" w:fill="FFFFFF"/>
        </w:rPr>
        <w:t>2000</w:t>
      </w:r>
    </w:p>
    <w:p w14:paraId="044527FA" w14:textId="489C7D9A" w:rsidR="001417D6" w:rsidRPr="008A39AD" w:rsidRDefault="001417D6" w:rsidP="001417D6">
      <w:pPr>
        <w:pStyle w:val="CommentText"/>
        <w:numPr>
          <w:ilvl w:val="0"/>
          <w:numId w:val="2"/>
        </w:numPr>
        <w:rPr>
          <w:rFonts w:cstheme="minorHAnsi"/>
          <w:sz w:val="22"/>
          <w:szCs w:val="22"/>
        </w:rPr>
      </w:pPr>
      <w:proofErr w:type="spellStart"/>
      <w:r w:rsidRPr="008A39AD">
        <w:rPr>
          <w:rFonts w:cstheme="minorHAnsi"/>
          <w:color w:val="222222"/>
          <w:sz w:val="22"/>
          <w:szCs w:val="22"/>
          <w:shd w:val="clear" w:color="auto" w:fill="FFFFFF"/>
        </w:rPr>
        <w:t>Misra</w:t>
      </w:r>
      <w:proofErr w:type="spellEnd"/>
      <w:r w:rsidRPr="008A39AD">
        <w:rPr>
          <w:rFonts w:cstheme="minorHAnsi"/>
          <w:color w:val="222222"/>
          <w:sz w:val="22"/>
          <w:szCs w:val="22"/>
          <w:shd w:val="clear" w:color="auto" w:fill="FFFFFF"/>
        </w:rPr>
        <w:t xml:space="preserve"> M, </w:t>
      </w:r>
      <w:proofErr w:type="spellStart"/>
      <w:r w:rsidRPr="008A39AD">
        <w:rPr>
          <w:rFonts w:cstheme="minorHAnsi"/>
          <w:color w:val="222222"/>
          <w:sz w:val="22"/>
          <w:szCs w:val="22"/>
          <w:shd w:val="clear" w:color="auto" w:fill="FFFFFF"/>
        </w:rPr>
        <w:t>Vonesh</w:t>
      </w:r>
      <w:proofErr w:type="spellEnd"/>
      <w:r w:rsidRPr="008A39AD">
        <w:rPr>
          <w:rFonts w:cstheme="minorHAnsi"/>
          <w:color w:val="222222"/>
          <w:sz w:val="22"/>
          <w:szCs w:val="22"/>
          <w:shd w:val="clear" w:color="auto" w:fill="FFFFFF"/>
        </w:rPr>
        <w:t xml:space="preserve"> E, Van Stone JC, </w:t>
      </w:r>
      <w:r w:rsidR="00F137CC" w:rsidRPr="008A39AD">
        <w:rPr>
          <w:rFonts w:cstheme="minorHAnsi"/>
          <w:color w:val="222222"/>
          <w:sz w:val="22"/>
          <w:szCs w:val="22"/>
          <w:shd w:val="clear" w:color="auto" w:fill="FFFFFF"/>
        </w:rPr>
        <w:t xml:space="preserve">Moore HL, </w:t>
      </w:r>
      <w:proofErr w:type="spellStart"/>
      <w:r w:rsidR="00F137CC" w:rsidRPr="008A39AD">
        <w:rPr>
          <w:rFonts w:cstheme="minorHAnsi"/>
          <w:color w:val="222222"/>
          <w:sz w:val="22"/>
          <w:szCs w:val="22"/>
          <w:shd w:val="clear" w:color="auto" w:fill="FFFFFF"/>
        </w:rPr>
        <w:t>Prowant</w:t>
      </w:r>
      <w:proofErr w:type="spellEnd"/>
      <w:r w:rsidR="00F137CC" w:rsidRPr="008A39AD">
        <w:rPr>
          <w:rFonts w:cstheme="minorHAnsi"/>
          <w:color w:val="222222"/>
          <w:sz w:val="22"/>
          <w:szCs w:val="22"/>
          <w:shd w:val="clear" w:color="auto" w:fill="FFFFFF"/>
        </w:rPr>
        <w:t xml:space="preserve"> B, </w:t>
      </w:r>
      <w:proofErr w:type="spellStart"/>
      <w:r w:rsidR="00F137CC" w:rsidRPr="008A39AD">
        <w:rPr>
          <w:rFonts w:cstheme="minorHAnsi"/>
          <w:color w:val="222222"/>
          <w:sz w:val="22"/>
          <w:szCs w:val="22"/>
          <w:shd w:val="clear" w:color="auto" w:fill="FFFFFF"/>
        </w:rPr>
        <w:t>Nolph</w:t>
      </w:r>
      <w:proofErr w:type="spellEnd"/>
      <w:r w:rsidR="00F137CC" w:rsidRPr="008A39AD">
        <w:rPr>
          <w:rFonts w:cstheme="minorHAnsi"/>
          <w:color w:val="222222"/>
          <w:sz w:val="22"/>
          <w:szCs w:val="22"/>
          <w:shd w:val="clear" w:color="auto" w:fill="FFFFFF"/>
        </w:rPr>
        <w:t xml:space="preserve"> KD: </w:t>
      </w:r>
      <w:r w:rsidRPr="008A39AD">
        <w:rPr>
          <w:rFonts w:cstheme="minorHAnsi"/>
          <w:color w:val="222222"/>
          <w:sz w:val="22"/>
          <w:szCs w:val="22"/>
          <w:shd w:val="clear" w:color="auto" w:fill="FFFFFF"/>
        </w:rPr>
        <w:t xml:space="preserve"> Effect of cause and time of dropout on the residual GFR: a comparative analysis of the decline of GFR on dialysis. Kidney Inter. 59(2):754-63</w:t>
      </w:r>
      <w:r w:rsidR="00F137CC"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w:t>
      </w:r>
      <w:r w:rsidR="00F137CC" w:rsidRPr="008A39AD">
        <w:rPr>
          <w:rFonts w:cstheme="minorHAnsi"/>
          <w:color w:val="222222"/>
          <w:sz w:val="22"/>
          <w:szCs w:val="22"/>
          <w:shd w:val="clear" w:color="auto" w:fill="FFFFFF"/>
        </w:rPr>
        <w:t>2001</w:t>
      </w:r>
    </w:p>
    <w:p w14:paraId="6C1B42A3" w14:textId="58F67C1F"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 xml:space="preserve">Jansen MA, Hart AA, </w:t>
      </w:r>
      <w:proofErr w:type="spellStart"/>
      <w:r w:rsidRPr="008A39AD">
        <w:rPr>
          <w:rFonts w:cstheme="minorHAnsi"/>
          <w:color w:val="222222"/>
          <w:sz w:val="22"/>
          <w:szCs w:val="22"/>
          <w:shd w:val="clear" w:color="auto" w:fill="FFFFFF"/>
        </w:rPr>
        <w:t>Korevaar</w:t>
      </w:r>
      <w:proofErr w:type="spellEnd"/>
      <w:r w:rsidRPr="008A39AD">
        <w:rPr>
          <w:rFonts w:cstheme="minorHAnsi"/>
          <w:color w:val="222222"/>
          <w:sz w:val="22"/>
          <w:szCs w:val="22"/>
          <w:shd w:val="clear" w:color="auto" w:fill="FFFFFF"/>
        </w:rPr>
        <w:t xml:space="preserve"> JC, </w:t>
      </w:r>
      <w:r w:rsidR="00EA53ED" w:rsidRPr="008A39AD">
        <w:rPr>
          <w:rFonts w:cstheme="minorHAnsi"/>
          <w:color w:val="222222"/>
          <w:sz w:val="22"/>
          <w:szCs w:val="22"/>
          <w:shd w:val="clear" w:color="auto" w:fill="FFFFFF"/>
        </w:rPr>
        <w:t xml:space="preserve">Dekker FW, </w:t>
      </w:r>
      <w:proofErr w:type="spellStart"/>
      <w:r w:rsidR="00EA53ED" w:rsidRPr="008A39AD">
        <w:rPr>
          <w:rFonts w:cstheme="minorHAnsi"/>
          <w:color w:val="222222"/>
          <w:sz w:val="22"/>
          <w:szCs w:val="22"/>
          <w:shd w:val="clear" w:color="auto" w:fill="FFFFFF"/>
        </w:rPr>
        <w:t>Boeschoten</w:t>
      </w:r>
      <w:proofErr w:type="spellEnd"/>
      <w:r w:rsidR="00EA53ED" w:rsidRPr="008A39AD">
        <w:rPr>
          <w:rFonts w:cstheme="minorHAnsi"/>
          <w:color w:val="222222"/>
          <w:sz w:val="22"/>
          <w:szCs w:val="22"/>
          <w:shd w:val="clear" w:color="auto" w:fill="FFFFFF"/>
        </w:rPr>
        <w:t xml:space="preserve"> EW, </w:t>
      </w:r>
      <w:proofErr w:type="spellStart"/>
      <w:r w:rsidR="00EA53ED" w:rsidRPr="008A39AD">
        <w:rPr>
          <w:rFonts w:cstheme="minorHAnsi"/>
          <w:color w:val="222222"/>
          <w:sz w:val="22"/>
          <w:szCs w:val="22"/>
          <w:shd w:val="clear" w:color="auto" w:fill="FFFFFF"/>
        </w:rPr>
        <w:t>Krediet</w:t>
      </w:r>
      <w:proofErr w:type="spellEnd"/>
      <w:r w:rsidR="00EA53ED" w:rsidRPr="008A39AD">
        <w:rPr>
          <w:rFonts w:cstheme="minorHAnsi"/>
          <w:color w:val="222222"/>
          <w:sz w:val="22"/>
          <w:szCs w:val="22"/>
          <w:shd w:val="clear" w:color="auto" w:fill="FFFFFF"/>
        </w:rPr>
        <w:t xml:space="preserve"> RT: </w:t>
      </w:r>
      <w:r w:rsidRPr="008A39AD">
        <w:rPr>
          <w:rFonts w:cstheme="minorHAnsi"/>
          <w:color w:val="222222"/>
          <w:sz w:val="22"/>
          <w:szCs w:val="22"/>
          <w:shd w:val="clear" w:color="auto" w:fill="FFFFFF"/>
        </w:rPr>
        <w:t xml:space="preserve"> Predictors of the rate of decline of residual renal function in incident dialysis patients. Kidney inter. 62(3):1046-53</w:t>
      </w:r>
      <w:r w:rsidR="00EA53ED" w:rsidRPr="008A39AD">
        <w:rPr>
          <w:rFonts w:cstheme="minorHAnsi"/>
          <w:color w:val="222222"/>
          <w:sz w:val="22"/>
          <w:szCs w:val="22"/>
          <w:shd w:val="clear" w:color="auto" w:fill="FFFFFF"/>
        </w:rPr>
        <w:t>, 2002</w:t>
      </w:r>
    </w:p>
    <w:p w14:paraId="6CD8567B" w14:textId="60FA6970" w:rsidR="001417D6" w:rsidRPr="008A39AD" w:rsidRDefault="001417D6" w:rsidP="001417D6">
      <w:pPr>
        <w:pStyle w:val="CommentText"/>
        <w:numPr>
          <w:ilvl w:val="0"/>
          <w:numId w:val="2"/>
        </w:numPr>
        <w:rPr>
          <w:rFonts w:cstheme="minorHAnsi"/>
          <w:sz w:val="22"/>
          <w:szCs w:val="22"/>
        </w:rPr>
      </w:pPr>
      <w:proofErr w:type="spellStart"/>
      <w:r w:rsidRPr="008A39AD">
        <w:rPr>
          <w:rFonts w:cstheme="minorHAnsi"/>
          <w:color w:val="222222"/>
          <w:sz w:val="22"/>
          <w:szCs w:val="22"/>
          <w:shd w:val="clear" w:color="auto" w:fill="FFFFFF"/>
        </w:rPr>
        <w:t>Chuengsaman</w:t>
      </w:r>
      <w:proofErr w:type="spellEnd"/>
      <w:r w:rsidRPr="008A39AD">
        <w:rPr>
          <w:rFonts w:cstheme="minorHAnsi"/>
          <w:color w:val="222222"/>
          <w:sz w:val="22"/>
          <w:szCs w:val="22"/>
          <w:shd w:val="clear" w:color="auto" w:fill="FFFFFF"/>
        </w:rPr>
        <w:t xml:space="preserve"> P, </w:t>
      </w:r>
      <w:proofErr w:type="spellStart"/>
      <w:r w:rsidRPr="008A39AD">
        <w:rPr>
          <w:rFonts w:cstheme="minorHAnsi"/>
          <w:color w:val="222222"/>
          <w:sz w:val="22"/>
          <w:szCs w:val="22"/>
          <w:shd w:val="clear" w:color="auto" w:fill="FFFFFF"/>
        </w:rPr>
        <w:t>Kasemsup</w:t>
      </w:r>
      <w:proofErr w:type="spellEnd"/>
      <w:r w:rsidRPr="008A39AD">
        <w:rPr>
          <w:rFonts w:cstheme="minorHAnsi"/>
          <w:color w:val="222222"/>
          <w:sz w:val="22"/>
          <w:szCs w:val="22"/>
          <w:shd w:val="clear" w:color="auto" w:fill="FFFFFF"/>
        </w:rPr>
        <w:t xml:space="preserve"> V</w:t>
      </w:r>
      <w:r w:rsidR="00EA53ED"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PD first policy: Thailand’s response to the challenge of meeting the needs of patients with end-stage renal disease. In: Seminars in </w:t>
      </w:r>
      <w:proofErr w:type="gramStart"/>
      <w:r w:rsidRPr="008A39AD">
        <w:rPr>
          <w:rFonts w:cstheme="minorHAnsi"/>
          <w:color w:val="222222"/>
          <w:sz w:val="22"/>
          <w:szCs w:val="22"/>
          <w:shd w:val="clear" w:color="auto" w:fill="FFFFFF"/>
        </w:rPr>
        <w:t xml:space="preserve">nephrology </w:t>
      </w:r>
      <w:r w:rsidR="00C048ED" w:rsidRPr="008A39AD">
        <w:rPr>
          <w:rFonts w:cstheme="minorHAnsi"/>
          <w:color w:val="222222"/>
          <w:sz w:val="22"/>
          <w:szCs w:val="22"/>
          <w:shd w:val="clear" w:color="auto" w:fill="FFFFFF"/>
        </w:rPr>
        <w:t xml:space="preserve"> </w:t>
      </w:r>
      <w:r w:rsidRPr="008A39AD">
        <w:rPr>
          <w:rFonts w:cstheme="minorHAnsi"/>
          <w:color w:val="222222"/>
          <w:sz w:val="22"/>
          <w:szCs w:val="22"/>
          <w:shd w:val="clear" w:color="auto" w:fill="FFFFFF"/>
        </w:rPr>
        <w:t>Vol.</w:t>
      </w:r>
      <w:proofErr w:type="gramEnd"/>
      <w:r w:rsidRPr="008A39AD">
        <w:rPr>
          <w:rFonts w:cstheme="minorHAnsi"/>
          <w:color w:val="222222"/>
          <w:sz w:val="22"/>
          <w:szCs w:val="22"/>
          <w:shd w:val="clear" w:color="auto" w:fill="FFFFFF"/>
        </w:rPr>
        <w:t xml:space="preserve"> 37, No. 3, pp. 287-295</w:t>
      </w:r>
      <w:r w:rsidR="00EA53ED" w:rsidRPr="008A39AD">
        <w:rPr>
          <w:rFonts w:cstheme="minorHAnsi"/>
          <w:color w:val="222222"/>
          <w:sz w:val="22"/>
          <w:szCs w:val="22"/>
          <w:shd w:val="clear" w:color="auto" w:fill="FFFFFF"/>
        </w:rPr>
        <w:t>, 2017</w:t>
      </w:r>
    </w:p>
    <w:p w14:paraId="427AA2D8" w14:textId="755D880B"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 xml:space="preserve">Mehrotra R, </w:t>
      </w:r>
      <w:proofErr w:type="spellStart"/>
      <w:r w:rsidRPr="008A39AD">
        <w:rPr>
          <w:rFonts w:cstheme="minorHAnsi"/>
          <w:color w:val="222222"/>
          <w:sz w:val="22"/>
          <w:szCs w:val="22"/>
          <w:shd w:val="clear" w:color="auto" w:fill="FFFFFF"/>
        </w:rPr>
        <w:t>Kermah</w:t>
      </w:r>
      <w:proofErr w:type="spellEnd"/>
      <w:r w:rsidRPr="008A39AD">
        <w:rPr>
          <w:rFonts w:cstheme="minorHAnsi"/>
          <w:color w:val="222222"/>
          <w:sz w:val="22"/>
          <w:szCs w:val="22"/>
          <w:shd w:val="clear" w:color="auto" w:fill="FFFFFF"/>
        </w:rPr>
        <w:t xml:space="preserve"> D, Fried L, </w:t>
      </w:r>
      <w:proofErr w:type="spellStart"/>
      <w:r w:rsidR="00EA53ED" w:rsidRPr="008A39AD">
        <w:rPr>
          <w:rFonts w:cstheme="minorHAnsi"/>
          <w:color w:val="222222"/>
          <w:sz w:val="22"/>
          <w:szCs w:val="22"/>
          <w:shd w:val="clear" w:color="auto" w:fill="FFFFFF"/>
        </w:rPr>
        <w:t>Kalantar</w:t>
      </w:r>
      <w:proofErr w:type="spellEnd"/>
      <w:r w:rsidR="00EA53ED" w:rsidRPr="008A39AD">
        <w:rPr>
          <w:rFonts w:cstheme="minorHAnsi"/>
          <w:color w:val="222222"/>
          <w:sz w:val="22"/>
          <w:szCs w:val="22"/>
          <w:shd w:val="clear" w:color="auto" w:fill="FFFFFF"/>
        </w:rPr>
        <w:t xml:space="preserve">-Zadeh K, </w:t>
      </w:r>
      <w:proofErr w:type="spellStart"/>
      <w:r w:rsidR="00EA53ED" w:rsidRPr="008A39AD">
        <w:rPr>
          <w:rFonts w:cstheme="minorHAnsi"/>
          <w:color w:val="222222"/>
          <w:sz w:val="22"/>
          <w:szCs w:val="22"/>
          <w:shd w:val="clear" w:color="auto" w:fill="FFFFFF"/>
        </w:rPr>
        <w:t>Khawar</w:t>
      </w:r>
      <w:proofErr w:type="spellEnd"/>
      <w:r w:rsidR="00EA53ED" w:rsidRPr="008A39AD">
        <w:rPr>
          <w:rFonts w:cstheme="minorHAnsi"/>
          <w:color w:val="222222"/>
          <w:sz w:val="22"/>
          <w:szCs w:val="22"/>
          <w:shd w:val="clear" w:color="auto" w:fill="FFFFFF"/>
        </w:rPr>
        <w:t xml:space="preserve"> O, Norris K, </w:t>
      </w:r>
      <w:proofErr w:type="spellStart"/>
      <w:r w:rsidR="00EA53ED" w:rsidRPr="008A39AD">
        <w:rPr>
          <w:rFonts w:cstheme="minorHAnsi"/>
          <w:color w:val="222222"/>
          <w:sz w:val="22"/>
          <w:szCs w:val="22"/>
          <w:shd w:val="clear" w:color="auto" w:fill="FFFFFF"/>
        </w:rPr>
        <w:t>Nissenson</w:t>
      </w:r>
      <w:proofErr w:type="spellEnd"/>
      <w:r w:rsidR="00EA53ED" w:rsidRPr="008A39AD">
        <w:rPr>
          <w:rFonts w:cstheme="minorHAnsi"/>
          <w:color w:val="222222"/>
          <w:sz w:val="22"/>
          <w:szCs w:val="22"/>
          <w:shd w:val="clear" w:color="auto" w:fill="FFFFFF"/>
        </w:rPr>
        <w:t xml:space="preserve"> A: </w:t>
      </w:r>
      <w:r w:rsidRPr="008A39AD">
        <w:rPr>
          <w:rFonts w:cstheme="minorHAnsi"/>
          <w:color w:val="222222"/>
          <w:sz w:val="22"/>
          <w:szCs w:val="22"/>
          <w:shd w:val="clear" w:color="auto" w:fill="FFFFFF"/>
        </w:rPr>
        <w:t xml:space="preserve"> Chronic peritoneal dialysis in the United States: declining utilization despite improving outcomes. J Am Soc Nephrol.</w:t>
      </w:r>
      <w:r w:rsidR="00AB5A36" w:rsidRPr="008A39AD">
        <w:rPr>
          <w:rFonts w:cstheme="minorHAnsi"/>
          <w:color w:val="222222"/>
          <w:sz w:val="22"/>
          <w:szCs w:val="22"/>
          <w:shd w:val="clear" w:color="auto" w:fill="FFFFFF"/>
        </w:rPr>
        <w:t xml:space="preserve"> </w:t>
      </w:r>
      <w:r w:rsidRPr="008A39AD">
        <w:rPr>
          <w:rFonts w:cstheme="minorHAnsi"/>
          <w:color w:val="222222"/>
          <w:sz w:val="22"/>
          <w:szCs w:val="22"/>
          <w:shd w:val="clear" w:color="auto" w:fill="FFFFFF"/>
        </w:rPr>
        <w:t>18(10):2781-8</w:t>
      </w:r>
      <w:r w:rsidR="00EA53ED"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w:t>
      </w:r>
      <w:r w:rsidR="00EA53ED" w:rsidRPr="008A39AD">
        <w:rPr>
          <w:rFonts w:cstheme="minorHAnsi"/>
          <w:color w:val="222222"/>
          <w:sz w:val="22"/>
          <w:szCs w:val="22"/>
          <w:shd w:val="clear" w:color="auto" w:fill="FFFFFF"/>
        </w:rPr>
        <w:t>2007</w:t>
      </w:r>
    </w:p>
    <w:p w14:paraId="75C6238A" w14:textId="0E9A1634" w:rsidR="001417D6" w:rsidRPr="008A39AD" w:rsidRDefault="001417D6" w:rsidP="001417D6">
      <w:pPr>
        <w:pStyle w:val="CommentText"/>
        <w:numPr>
          <w:ilvl w:val="0"/>
          <w:numId w:val="2"/>
        </w:numPr>
        <w:rPr>
          <w:rFonts w:cstheme="minorHAnsi"/>
          <w:sz w:val="22"/>
          <w:szCs w:val="22"/>
        </w:rPr>
      </w:pPr>
      <w:proofErr w:type="spellStart"/>
      <w:r w:rsidRPr="008A39AD">
        <w:rPr>
          <w:rFonts w:cstheme="minorHAnsi"/>
          <w:color w:val="222222"/>
          <w:sz w:val="22"/>
          <w:szCs w:val="22"/>
          <w:shd w:val="clear" w:color="auto" w:fill="FFFFFF"/>
        </w:rPr>
        <w:t>Imbeault</w:t>
      </w:r>
      <w:proofErr w:type="spellEnd"/>
      <w:r w:rsidRPr="008A39AD">
        <w:rPr>
          <w:rFonts w:cstheme="minorHAnsi"/>
          <w:color w:val="222222"/>
          <w:sz w:val="22"/>
          <w:szCs w:val="22"/>
          <w:shd w:val="clear" w:color="auto" w:fill="FFFFFF"/>
        </w:rPr>
        <w:t xml:space="preserve"> B, Nadeau-Fredette AC</w:t>
      </w:r>
      <w:r w:rsidR="00EA53ED"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Optimization of dialysis modality transitions for improved patient care. Can J Kidney Health Dis. 2054358119882664</w:t>
      </w:r>
      <w:r w:rsidR="00EA53ED" w:rsidRPr="008A39AD">
        <w:rPr>
          <w:rFonts w:cstheme="minorHAnsi"/>
          <w:color w:val="222222"/>
          <w:sz w:val="22"/>
          <w:szCs w:val="22"/>
          <w:shd w:val="clear" w:color="auto" w:fill="FFFFFF"/>
        </w:rPr>
        <w:t>, 2019</w:t>
      </w:r>
    </w:p>
    <w:p w14:paraId="4D4E54A0" w14:textId="50728C7F"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lastRenderedPageBreak/>
        <w:t xml:space="preserve">Chui BK, </w:t>
      </w:r>
      <w:proofErr w:type="spellStart"/>
      <w:r w:rsidRPr="008A39AD">
        <w:rPr>
          <w:rFonts w:cstheme="minorHAnsi"/>
          <w:color w:val="222222"/>
          <w:sz w:val="22"/>
          <w:szCs w:val="22"/>
          <w:shd w:val="clear" w:color="auto" w:fill="FFFFFF"/>
        </w:rPr>
        <w:t>Manns</w:t>
      </w:r>
      <w:proofErr w:type="spellEnd"/>
      <w:r w:rsidRPr="008A39AD">
        <w:rPr>
          <w:rFonts w:cstheme="minorHAnsi"/>
          <w:color w:val="222222"/>
          <w:sz w:val="22"/>
          <w:szCs w:val="22"/>
          <w:shd w:val="clear" w:color="auto" w:fill="FFFFFF"/>
        </w:rPr>
        <w:t xml:space="preserve"> B, </w:t>
      </w:r>
      <w:proofErr w:type="spellStart"/>
      <w:r w:rsidRPr="008A39AD">
        <w:rPr>
          <w:rFonts w:cstheme="minorHAnsi"/>
          <w:color w:val="222222"/>
          <w:sz w:val="22"/>
          <w:szCs w:val="22"/>
          <w:shd w:val="clear" w:color="auto" w:fill="FFFFFF"/>
        </w:rPr>
        <w:t>Pannu</w:t>
      </w:r>
      <w:proofErr w:type="spellEnd"/>
      <w:r w:rsidRPr="008A39AD">
        <w:rPr>
          <w:rFonts w:cstheme="minorHAnsi"/>
          <w:color w:val="222222"/>
          <w:sz w:val="22"/>
          <w:szCs w:val="22"/>
          <w:shd w:val="clear" w:color="auto" w:fill="FFFFFF"/>
        </w:rPr>
        <w:t xml:space="preserve"> N, </w:t>
      </w:r>
      <w:r w:rsidR="003D1447" w:rsidRPr="008A39AD">
        <w:rPr>
          <w:rFonts w:cstheme="minorHAnsi"/>
          <w:color w:val="222222"/>
          <w:sz w:val="22"/>
          <w:szCs w:val="22"/>
          <w:shd w:val="clear" w:color="auto" w:fill="FFFFFF"/>
        </w:rPr>
        <w:t xml:space="preserve">Dong J, Wiebe N, Jindal K, </w:t>
      </w:r>
      <w:proofErr w:type="spellStart"/>
      <w:r w:rsidR="003D1447" w:rsidRPr="008A39AD">
        <w:rPr>
          <w:rFonts w:cstheme="minorHAnsi"/>
          <w:color w:val="222222"/>
          <w:sz w:val="22"/>
          <w:szCs w:val="22"/>
          <w:shd w:val="clear" w:color="auto" w:fill="FFFFFF"/>
        </w:rPr>
        <w:t>Klarenbach</w:t>
      </w:r>
      <w:proofErr w:type="spellEnd"/>
      <w:r w:rsidR="003D1447" w:rsidRPr="008A39AD">
        <w:rPr>
          <w:rFonts w:cstheme="minorHAnsi"/>
          <w:color w:val="222222"/>
          <w:sz w:val="22"/>
          <w:szCs w:val="22"/>
          <w:shd w:val="clear" w:color="auto" w:fill="FFFFFF"/>
        </w:rPr>
        <w:t xml:space="preserve"> SW: </w:t>
      </w:r>
      <w:r w:rsidRPr="008A39AD">
        <w:rPr>
          <w:rFonts w:cstheme="minorHAnsi"/>
          <w:color w:val="222222"/>
          <w:sz w:val="22"/>
          <w:szCs w:val="22"/>
          <w:shd w:val="clear" w:color="auto" w:fill="FFFFFF"/>
        </w:rPr>
        <w:t xml:space="preserve"> Health care costs of peritoneal dialysis technique failure and dialysis modality switching. </w:t>
      </w:r>
      <w:r w:rsidRPr="008A39AD">
        <w:rPr>
          <w:rFonts w:cstheme="minorHAnsi"/>
          <w:sz w:val="22"/>
          <w:szCs w:val="22"/>
        </w:rPr>
        <w:t>Am J Kidney Dis.</w:t>
      </w:r>
      <w:r w:rsidRPr="008A39AD">
        <w:rPr>
          <w:rFonts w:cstheme="minorHAnsi"/>
          <w:color w:val="222222"/>
          <w:sz w:val="22"/>
          <w:szCs w:val="22"/>
          <w:shd w:val="clear" w:color="auto" w:fill="FFFFFF"/>
        </w:rPr>
        <w:t xml:space="preserve"> 61(1):104-11</w:t>
      </w:r>
      <w:r w:rsidR="003D1447"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w:t>
      </w:r>
      <w:r w:rsidR="003D1447" w:rsidRPr="008A39AD">
        <w:rPr>
          <w:rFonts w:cstheme="minorHAnsi"/>
          <w:color w:val="222222"/>
          <w:sz w:val="22"/>
          <w:szCs w:val="22"/>
          <w:shd w:val="clear" w:color="auto" w:fill="FFFFFF"/>
        </w:rPr>
        <w:t>2013</w:t>
      </w:r>
    </w:p>
    <w:p w14:paraId="511162C1" w14:textId="09D6E1E4"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 xml:space="preserve">Manera KE, Johnson DW, Craig JC, </w:t>
      </w:r>
      <w:r w:rsidR="003D1447" w:rsidRPr="008A39AD">
        <w:rPr>
          <w:rFonts w:cstheme="minorHAnsi"/>
          <w:color w:val="222222"/>
          <w:sz w:val="22"/>
          <w:szCs w:val="22"/>
          <w:shd w:val="clear" w:color="auto" w:fill="FFFFFF"/>
        </w:rPr>
        <w:t xml:space="preserve">Shen JI, Gutman T, Cho Y, Wang AY, Brown EA, Brunier G, Dong J, Dunning T: </w:t>
      </w:r>
      <w:r w:rsidRPr="008A39AD">
        <w:rPr>
          <w:rFonts w:cstheme="minorHAnsi"/>
          <w:color w:val="222222"/>
          <w:sz w:val="22"/>
          <w:szCs w:val="22"/>
          <w:shd w:val="clear" w:color="auto" w:fill="FFFFFF"/>
        </w:rPr>
        <w:t xml:space="preserve"> Establishing a core outcome set for peritoneal dialysis: report of the SONG-PD (Standardized Outcomes in Nephrology–Peritoneal Dialysis) consensus workshop. </w:t>
      </w:r>
      <w:r w:rsidRPr="008A39AD">
        <w:rPr>
          <w:rFonts w:cstheme="minorHAnsi"/>
          <w:sz w:val="22"/>
          <w:szCs w:val="22"/>
        </w:rPr>
        <w:t xml:space="preserve">Am J Kidney Dis. </w:t>
      </w:r>
      <w:r w:rsidRPr="008A39AD">
        <w:rPr>
          <w:rFonts w:cstheme="minorHAnsi"/>
          <w:color w:val="222222"/>
          <w:sz w:val="22"/>
          <w:szCs w:val="22"/>
          <w:shd w:val="clear" w:color="auto" w:fill="FFFFFF"/>
        </w:rPr>
        <w:t>75(3):404-12</w:t>
      </w:r>
      <w:r w:rsidR="003D1447"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w:t>
      </w:r>
      <w:r w:rsidR="003D1447" w:rsidRPr="008A39AD">
        <w:rPr>
          <w:rFonts w:cstheme="minorHAnsi"/>
          <w:color w:val="222222"/>
          <w:sz w:val="22"/>
          <w:szCs w:val="22"/>
          <w:shd w:val="clear" w:color="auto" w:fill="FFFFFF"/>
        </w:rPr>
        <w:t>2020</w:t>
      </w:r>
    </w:p>
    <w:p w14:paraId="23065DC8" w14:textId="782BE32A"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 xml:space="preserve">Perl J, Davies SJ, Lambie M, </w:t>
      </w:r>
      <w:r w:rsidR="003D1447" w:rsidRPr="008A39AD">
        <w:rPr>
          <w:rFonts w:cstheme="minorHAnsi"/>
          <w:color w:val="222222"/>
          <w:sz w:val="22"/>
          <w:szCs w:val="22"/>
          <w:shd w:val="clear" w:color="auto" w:fill="FFFFFF"/>
        </w:rPr>
        <w:t xml:space="preserve">Pisoni RL, McCullough K, Johnson DW, Sloand JA, Prichard S, Kawanishi H, Tentori F, Robinson BM: </w:t>
      </w:r>
      <w:r w:rsidRPr="008A39AD">
        <w:rPr>
          <w:rFonts w:cstheme="minorHAnsi"/>
          <w:color w:val="222222"/>
          <w:sz w:val="22"/>
          <w:szCs w:val="22"/>
          <w:shd w:val="clear" w:color="auto" w:fill="FFFFFF"/>
        </w:rPr>
        <w:t xml:space="preserve"> The Peritoneal Dialysis Outcomes and Practice Patterns Study (PDOPPS): unifying efforts to inform practice and improve global outcomes in peritoneal dialysis. </w:t>
      </w:r>
      <w:proofErr w:type="spellStart"/>
      <w:r w:rsidRPr="008A39AD">
        <w:rPr>
          <w:rFonts w:cstheme="minorHAnsi"/>
          <w:color w:val="222222"/>
          <w:sz w:val="22"/>
          <w:szCs w:val="22"/>
          <w:shd w:val="clear" w:color="auto" w:fill="FFFFFF"/>
        </w:rPr>
        <w:t>Perit</w:t>
      </w:r>
      <w:proofErr w:type="spellEnd"/>
      <w:r w:rsidRPr="008A39AD">
        <w:rPr>
          <w:rFonts w:cstheme="minorHAnsi"/>
          <w:color w:val="222222"/>
          <w:sz w:val="22"/>
          <w:szCs w:val="22"/>
          <w:shd w:val="clear" w:color="auto" w:fill="FFFFFF"/>
        </w:rPr>
        <w:t xml:space="preserve"> Dial Int. 36(3):297-307</w:t>
      </w:r>
      <w:r w:rsidR="003D1447" w:rsidRPr="008A39AD">
        <w:rPr>
          <w:rFonts w:cstheme="minorHAnsi"/>
          <w:color w:val="222222"/>
          <w:sz w:val="22"/>
          <w:szCs w:val="22"/>
          <w:shd w:val="clear" w:color="auto" w:fill="FFFFFF"/>
        </w:rPr>
        <w:t>, 2016</w:t>
      </w:r>
    </w:p>
    <w:p w14:paraId="46488910" w14:textId="5BD91CDB"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Fine JP, Gray RJ</w:t>
      </w:r>
      <w:r w:rsidR="003D1447"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A proportional hazards model for the </w:t>
      </w:r>
      <w:proofErr w:type="spellStart"/>
      <w:r w:rsidRPr="008A39AD">
        <w:rPr>
          <w:rFonts w:cstheme="minorHAnsi"/>
          <w:color w:val="222222"/>
          <w:sz w:val="22"/>
          <w:szCs w:val="22"/>
          <w:shd w:val="clear" w:color="auto" w:fill="FFFFFF"/>
        </w:rPr>
        <w:t>subdistribution</w:t>
      </w:r>
      <w:proofErr w:type="spellEnd"/>
      <w:r w:rsidRPr="008A39AD">
        <w:rPr>
          <w:rFonts w:cstheme="minorHAnsi"/>
          <w:color w:val="222222"/>
          <w:sz w:val="22"/>
          <w:szCs w:val="22"/>
          <w:shd w:val="clear" w:color="auto" w:fill="FFFFFF"/>
        </w:rPr>
        <w:t xml:space="preserve"> of a competing risk. J Am Stat Assoc 94(446):496-509</w:t>
      </w:r>
      <w:r w:rsidR="003D1447" w:rsidRPr="008A39AD">
        <w:rPr>
          <w:rFonts w:cstheme="minorHAnsi"/>
          <w:color w:val="222222"/>
          <w:sz w:val="22"/>
          <w:szCs w:val="22"/>
          <w:shd w:val="clear" w:color="auto" w:fill="FFFFFF"/>
        </w:rPr>
        <w:t>, 1999</w:t>
      </w:r>
    </w:p>
    <w:p w14:paraId="67BF089F" w14:textId="7833A162"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Austin PC, Lee DS, Fine JP</w:t>
      </w:r>
      <w:r w:rsidR="003D1447"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Introduction to the analysis of survival data in the presence of competing risks. Circulation.</w:t>
      </w:r>
      <w:r w:rsidR="006E0966" w:rsidRPr="008A39AD">
        <w:rPr>
          <w:rFonts w:cstheme="minorHAnsi"/>
          <w:color w:val="222222"/>
          <w:sz w:val="22"/>
          <w:szCs w:val="22"/>
          <w:shd w:val="clear" w:color="auto" w:fill="FFFFFF"/>
        </w:rPr>
        <w:t xml:space="preserve"> </w:t>
      </w:r>
      <w:r w:rsidRPr="008A39AD">
        <w:rPr>
          <w:rFonts w:cstheme="minorHAnsi"/>
          <w:color w:val="222222"/>
          <w:sz w:val="22"/>
          <w:szCs w:val="22"/>
          <w:shd w:val="clear" w:color="auto" w:fill="FFFFFF"/>
        </w:rPr>
        <w:t>133(6):601-9</w:t>
      </w:r>
      <w:r w:rsidR="003D1447"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w:t>
      </w:r>
      <w:r w:rsidR="003D1447" w:rsidRPr="008A39AD">
        <w:rPr>
          <w:rFonts w:cstheme="minorHAnsi"/>
          <w:color w:val="222222"/>
          <w:sz w:val="22"/>
          <w:szCs w:val="22"/>
          <w:shd w:val="clear" w:color="auto" w:fill="FFFFFF"/>
        </w:rPr>
        <w:t>2016</w:t>
      </w:r>
    </w:p>
    <w:p w14:paraId="26BAA57D" w14:textId="77777777" w:rsidR="001417D6" w:rsidRPr="008A39AD" w:rsidRDefault="001417D6" w:rsidP="001417D6">
      <w:pPr>
        <w:pStyle w:val="CommentText"/>
        <w:numPr>
          <w:ilvl w:val="0"/>
          <w:numId w:val="2"/>
        </w:numPr>
        <w:rPr>
          <w:rFonts w:cstheme="minorHAnsi"/>
          <w:sz w:val="22"/>
          <w:szCs w:val="22"/>
        </w:rPr>
      </w:pPr>
      <w:r w:rsidRPr="008A39AD">
        <w:rPr>
          <w:rFonts w:eastAsia="Times New Roman" w:cstheme="minorHAnsi"/>
          <w:sz w:val="22"/>
          <w:szCs w:val="22"/>
        </w:rPr>
        <w:t xml:space="preserve">Raghunathan T, </w:t>
      </w:r>
      <w:proofErr w:type="spellStart"/>
      <w:r w:rsidRPr="008A39AD">
        <w:rPr>
          <w:rFonts w:eastAsia="Times New Roman" w:cstheme="minorHAnsi"/>
          <w:sz w:val="22"/>
          <w:szCs w:val="22"/>
        </w:rPr>
        <w:t>Solenberger</w:t>
      </w:r>
      <w:proofErr w:type="spellEnd"/>
      <w:r w:rsidRPr="008A39AD">
        <w:rPr>
          <w:rFonts w:eastAsia="Times New Roman" w:cstheme="minorHAnsi"/>
          <w:sz w:val="22"/>
          <w:szCs w:val="22"/>
        </w:rPr>
        <w:t xml:space="preserve"> P, Van </w:t>
      </w:r>
      <w:proofErr w:type="spellStart"/>
      <w:r w:rsidRPr="008A39AD">
        <w:rPr>
          <w:rFonts w:eastAsia="Times New Roman" w:cstheme="minorHAnsi"/>
          <w:sz w:val="22"/>
          <w:szCs w:val="22"/>
        </w:rPr>
        <w:t>Hoewyk</w:t>
      </w:r>
      <w:proofErr w:type="spellEnd"/>
      <w:r w:rsidRPr="008A39AD">
        <w:rPr>
          <w:rFonts w:eastAsia="Times New Roman" w:cstheme="minorHAnsi"/>
          <w:sz w:val="22"/>
          <w:szCs w:val="22"/>
        </w:rPr>
        <w:t xml:space="preserve"> J: </w:t>
      </w:r>
      <w:proofErr w:type="spellStart"/>
      <w:r w:rsidRPr="008A39AD">
        <w:rPr>
          <w:rFonts w:eastAsia="Times New Roman" w:cstheme="minorHAnsi"/>
          <w:sz w:val="22"/>
          <w:szCs w:val="22"/>
        </w:rPr>
        <w:t>IVEware</w:t>
      </w:r>
      <w:proofErr w:type="spellEnd"/>
      <w:r w:rsidRPr="008A39AD">
        <w:rPr>
          <w:rFonts w:eastAsia="Times New Roman" w:cstheme="minorHAnsi"/>
          <w:sz w:val="22"/>
          <w:szCs w:val="22"/>
        </w:rPr>
        <w:t>: Imputation and Variance Estimation Software User Guide. 2002</w:t>
      </w:r>
    </w:p>
    <w:p w14:paraId="616B6B33" w14:textId="77777777" w:rsidR="001417D6" w:rsidRPr="008A39AD" w:rsidRDefault="001417D6" w:rsidP="001417D6">
      <w:pPr>
        <w:pStyle w:val="CommentText"/>
        <w:numPr>
          <w:ilvl w:val="0"/>
          <w:numId w:val="2"/>
        </w:numPr>
        <w:rPr>
          <w:rFonts w:cstheme="minorHAnsi"/>
          <w:sz w:val="22"/>
          <w:szCs w:val="22"/>
        </w:rPr>
      </w:pPr>
      <w:r w:rsidRPr="008A39AD">
        <w:rPr>
          <w:rFonts w:eastAsia="Times New Roman" w:cstheme="minorHAnsi"/>
          <w:sz w:val="22"/>
          <w:szCs w:val="22"/>
        </w:rPr>
        <w:t>Little R, Rubin D: Statistical Analysis with Missing Data. J. Educ. Stat. 16: 150–155, 1991</w:t>
      </w:r>
    </w:p>
    <w:p w14:paraId="70FC659B" w14:textId="2A31EF76" w:rsidR="001417D6" w:rsidRPr="008A39AD" w:rsidRDefault="001417D6" w:rsidP="001417D6">
      <w:pPr>
        <w:pStyle w:val="CommentText"/>
        <w:numPr>
          <w:ilvl w:val="0"/>
          <w:numId w:val="2"/>
        </w:numPr>
        <w:rPr>
          <w:rFonts w:cstheme="minorHAnsi"/>
          <w:sz w:val="22"/>
          <w:szCs w:val="22"/>
        </w:rPr>
      </w:pPr>
      <w:r w:rsidRPr="008A39AD">
        <w:rPr>
          <w:rFonts w:cstheme="minorHAnsi"/>
          <w:sz w:val="22"/>
          <w:szCs w:val="22"/>
        </w:rPr>
        <w:t xml:space="preserve">Churchill DN, Thorpe KE, </w:t>
      </w:r>
      <w:proofErr w:type="spellStart"/>
      <w:r w:rsidRPr="008A39AD">
        <w:rPr>
          <w:rFonts w:cstheme="minorHAnsi"/>
          <w:sz w:val="22"/>
          <w:szCs w:val="22"/>
        </w:rPr>
        <w:t>Vonesh</w:t>
      </w:r>
      <w:proofErr w:type="spellEnd"/>
      <w:r w:rsidRPr="008A39AD">
        <w:rPr>
          <w:rFonts w:cstheme="minorHAnsi"/>
          <w:sz w:val="22"/>
          <w:szCs w:val="22"/>
        </w:rPr>
        <w:t xml:space="preserve"> EF, </w:t>
      </w:r>
      <w:proofErr w:type="spellStart"/>
      <w:r w:rsidR="00E842F1" w:rsidRPr="008A39AD">
        <w:rPr>
          <w:rFonts w:cstheme="minorHAnsi"/>
          <w:sz w:val="22"/>
          <w:szCs w:val="22"/>
        </w:rPr>
        <w:t>Keshaviah</w:t>
      </w:r>
      <w:proofErr w:type="spellEnd"/>
      <w:r w:rsidR="00E842F1" w:rsidRPr="008A39AD">
        <w:rPr>
          <w:rFonts w:cstheme="minorHAnsi"/>
          <w:sz w:val="22"/>
          <w:szCs w:val="22"/>
        </w:rPr>
        <w:t xml:space="preserve"> PR:</w:t>
      </w:r>
      <w:r w:rsidRPr="008A39AD">
        <w:rPr>
          <w:rFonts w:cstheme="minorHAnsi"/>
          <w:sz w:val="22"/>
          <w:szCs w:val="22"/>
        </w:rPr>
        <w:t xml:space="preserve"> Lower probability of patient survival with continuous peritoneal dialysis in the United States compared with Canada. Canada-USA (CANUSA) Peritoneal Dialysis Study Group. J Am Soc Nephrol. 8(6):965-71</w:t>
      </w:r>
      <w:r w:rsidR="00E842F1" w:rsidRPr="008A39AD">
        <w:rPr>
          <w:rFonts w:cstheme="minorHAnsi"/>
          <w:sz w:val="22"/>
          <w:szCs w:val="22"/>
        </w:rPr>
        <w:t>,</w:t>
      </w:r>
      <w:r w:rsidRPr="008A39AD">
        <w:rPr>
          <w:rFonts w:cstheme="minorHAnsi"/>
          <w:sz w:val="22"/>
          <w:szCs w:val="22"/>
        </w:rPr>
        <w:t xml:space="preserve"> </w:t>
      </w:r>
      <w:r w:rsidR="00E842F1" w:rsidRPr="008A39AD">
        <w:rPr>
          <w:rFonts w:cstheme="minorHAnsi"/>
          <w:sz w:val="22"/>
          <w:szCs w:val="22"/>
        </w:rPr>
        <w:t>1997</w:t>
      </w:r>
    </w:p>
    <w:p w14:paraId="1DD2E299" w14:textId="77777777" w:rsidR="001417D6" w:rsidRPr="008A39AD" w:rsidRDefault="001417D6" w:rsidP="001417D6">
      <w:pPr>
        <w:pStyle w:val="CommentText"/>
        <w:numPr>
          <w:ilvl w:val="0"/>
          <w:numId w:val="2"/>
        </w:numPr>
        <w:rPr>
          <w:rFonts w:cstheme="minorHAnsi"/>
          <w:sz w:val="22"/>
          <w:szCs w:val="22"/>
        </w:rPr>
      </w:pPr>
      <w:r w:rsidRPr="008A39AD">
        <w:rPr>
          <w:rFonts w:cstheme="minorHAnsi"/>
          <w:color w:val="212529"/>
          <w:sz w:val="22"/>
          <w:szCs w:val="22"/>
          <w:shd w:val="clear" w:color="auto" w:fill="FFFFFF"/>
        </w:rPr>
        <w:t>United States Renal Data System. 2020 </w:t>
      </w:r>
      <w:r w:rsidRPr="008A39AD">
        <w:rPr>
          <w:rFonts w:cstheme="minorHAnsi"/>
          <w:i/>
          <w:iCs/>
          <w:color w:val="212529"/>
          <w:sz w:val="22"/>
          <w:szCs w:val="22"/>
          <w:shd w:val="clear" w:color="auto" w:fill="FFFFFF"/>
        </w:rPr>
        <w:t>USRDS Annual Data Report: Epidemiology of kidney disease in the United States.</w:t>
      </w:r>
      <w:r w:rsidRPr="008A39AD">
        <w:rPr>
          <w:rFonts w:cstheme="minorHAnsi"/>
          <w:color w:val="212529"/>
          <w:sz w:val="22"/>
          <w:szCs w:val="22"/>
          <w:shd w:val="clear" w:color="auto" w:fill="FFFFFF"/>
        </w:rPr>
        <w:t> National Institutes of Health, National Institute of Diabetes and Digestive and Kidney Diseases, Bethesda, MD, 2020.</w:t>
      </w:r>
    </w:p>
    <w:p w14:paraId="3E4BC1A7" w14:textId="4FA862E5"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 xml:space="preserve">Sukul N, Mukhopadhyay P, Schaubel DE, </w:t>
      </w:r>
      <w:r w:rsidR="006D1288" w:rsidRPr="008A39AD">
        <w:rPr>
          <w:rFonts w:cstheme="minorHAnsi"/>
          <w:color w:val="222222"/>
          <w:sz w:val="22"/>
          <w:szCs w:val="22"/>
          <w:shd w:val="clear" w:color="auto" w:fill="FFFFFF"/>
        </w:rPr>
        <w:t xml:space="preserve">Pearson J, Turenne M, Saran R, Robinson BM, Pisoni RL: </w:t>
      </w:r>
      <w:r w:rsidRPr="008A39AD">
        <w:rPr>
          <w:rFonts w:cstheme="minorHAnsi"/>
          <w:color w:val="222222"/>
          <w:sz w:val="22"/>
          <w:szCs w:val="22"/>
          <w:shd w:val="clear" w:color="auto" w:fill="FFFFFF"/>
        </w:rPr>
        <w:t xml:space="preserve"> Peritoneal dialysis and mortality, kidney transplant, and transition to hemodialysis: trends from 1996-2015 in the United States. Kidney med. 2(5):610-9</w:t>
      </w:r>
      <w:r w:rsidR="006D1288" w:rsidRPr="008A39AD">
        <w:rPr>
          <w:rFonts w:cstheme="minorHAnsi"/>
          <w:color w:val="222222"/>
          <w:sz w:val="22"/>
          <w:szCs w:val="22"/>
          <w:shd w:val="clear" w:color="auto" w:fill="FFFFFF"/>
        </w:rPr>
        <w:t>, 2020</w:t>
      </w:r>
    </w:p>
    <w:p w14:paraId="09E6CB07" w14:textId="3539C8C5" w:rsidR="00175508" w:rsidRPr="008A39AD" w:rsidRDefault="00175508" w:rsidP="00FE14B2">
      <w:pPr>
        <w:pStyle w:val="ListParagraph"/>
        <w:numPr>
          <w:ilvl w:val="0"/>
          <w:numId w:val="2"/>
        </w:numPr>
        <w:rPr>
          <w:rFonts w:cstheme="minorHAnsi"/>
        </w:rPr>
      </w:pPr>
      <w:r w:rsidRPr="008A39AD">
        <w:rPr>
          <w:rFonts w:cstheme="minorHAnsi"/>
        </w:rPr>
        <w:t xml:space="preserve">McGill RL, Weiner DE, </w:t>
      </w:r>
      <w:proofErr w:type="spellStart"/>
      <w:r w:rsidRPr="008A39AD">
        <w:rPr>
          <w:rFonts w:cstheme="minorHAnsi"/>
        </w:rPr>
        <w:t>Ruthazer</w:t>
      </w:r>
      <w:proofErr w:type="spellEnd"/>
      <w:r w:rsidRPr="008A39AD">
        <w:rPr>
          <w:rFonts w:cstheme="minorHAnsi"/>
        </w:rPr>
        <w:t xml:space="preserve"> R, </w:t>
      </w:r>
      <w:proofErr w:type="spellStart"/>
      <w:r w:rsidRPr="008A39AD">
        <w:rPr>
          <w:rFonts w:cstheme="minorHAnsi"/>
        </w:rPr>
        <w:t>Miskulin</w:t>
      </w:r>
      <w:proofErr w:type="spellEnd"/>
      <w:r w:rsidRPr="008A39AD">
        <w:rPr>
          <w:rFonts w:cstheme="minorHAnsi"/>
        </w:rPr>
        <w:t xml:space="preserve"> DC, Meyer KB, </w:t>
      </w:r>
      <w:proofErr w:type="spellStart"/>
      <w:r w:rsidRPr="008A39AD">
        <w:rPr>
          <w:rFonts w:cstheme="minorHAnsi"/>
        </w:rPr>
        <w:t>Lacson</w:t>
      </w:r>
      <w:proofErr w:type="spellEnd"/>
      <w:r w:rsidRPr="008A39AD">
        <w:rPr>
          <w:rFonts w:cstheme="minorHAnsi"/>
        </w:rPr>
        <w:t xml:space="preserve"> E Jr. Transfers to Hemodialysis Among US Patients Initiating Renal Replacement Therapy </w:t>
      </w:r>
      <w:proofErr w:type="gramStart"/>
      <w:r w:rsidRPr="008A39AD">
        <w:rPr>
          <w:rFonts w:cstheme="minorHAnsi"/>
        </w:rPr>
        <w:t>With</w:t>
      </w:r>
      <w:proofErr w:type="gramEnd"/>
      <w:r w:rsidRPr="008A39AD">
        <w:rPr>
          <w:rFonts w:cstheme="minorHAnsi"/>
        </w:rPr>
        <w:t xml:space="preserve"> Peritoneal Dialysis. Am J Kidney Dis. 2019 Nov;74(5):620-628. </w:t>
      </w:r>
      <w:proofErr w:type="spellStart"/>
      <w:r w:rsidRPr="008A39AD">
        <w:rPr>
          <w:rFonts w:cstheme="minorHAnsi"/>
        </w:rPr>
        <w:t>doi</w:t>
      </w:r>
      <w:proofErr w:type="spellEnd"/>
      <w:r w:rsidRPr="008A39AD">
        <w:rPr>
          <w:rFonts w:cstheme="minorHAnsi"/>
        </w:rPr>
        <w:t xml:space="preserve">: 10.1053/j.ajkd.2019.05.014. </w:t>
      </w:r>
      <w:proofErr w:type="spellStart"/>
      <w:r w:rsidRPr="008A39AD">
        <w:rPr>
          <w:rFonts w:cstheme="minorHAnsi"/>
        </w:rPr>
        <w:t>Epub</w:t>
      </w:r>
      <w:proofErr w:type="spellEnd"/>
      <w:r w:rsidRPr="008A39AD">
        <w:rPr>
          <w:rFonts w:cstheme="minorHAnsi"/>
        </w:rPr>
        <w:t xml:space="preserve"> 2019 Jul 10. PMID: 31301926; PMCID: PMC6815249.</w:t>
      </w:r>
    </w:p>
    <w:p w14:paraId="7B50F4BD" w14:textId="64696017" w:rsidR="001417D6" w:rsidRPr="008A39AD" w:rsidRDefault="001417D6" w:rsidP="001417D6">
      <w:pPr>
        <w:pStyle w:val="CommentText"/>
        <w:numPr>
          <w:ilvl w:val="0"/>
          <w:numId w:val="2"/>
        </w:numPr>
        <w:rPr>
          <w:rFonts w:cstheme="minorHAnsi"/>
          <w:sz w:val="22"/>
          <w:szCs w:val="22"/>
        </w:rPr>
      </w:pPr>
      <w:proofErr w:type="spellStart"/>
      <w:r w:rsidRPr="008A39AD">
        <w:rPr>
          <w:rFonts w:cstheme="minorHAnsi"/>
          <w:color w:val="222222"/>
          <w:sz w:val="22"/>
          <w:szCs w:val="22"/>
          <w:shd w:val="clear" w:color="auto" w:fill="FFFFFF"/>
        </w:rPr>
        <w:t>Changsirikulchai</w:t>
      </w:r>
      <w:proofErr w:type="spellEnd"/>
      <w:r w:rsidRPr="008A39AD">
        <w:rPr>
          <w:rFonts w:cstheme="minorHAnsi"/>
          <w:color w:val="222222"/>
          <w:sz w:val="22"/>
          <w:szCs w:val="22"/>
          <w:shd w:val="clear" w:color="auto" w:fill="FFFFFF"/>
        </w:rPr>
        <w:t xml:space="preserve"> S, </w:t>
      </w:r>
      <w:proofErr w:type="spellStart"/>
      <w:r w:rsidRPr="008A39AD">
        <w:rPr>
          <w:rFonts w:cstheme="minorHAnsi"/>
          <w:color w:val="222222"/>
          <w:sz w:val="22"/>
          <w:szCs w:val="22"/>
          <w:shd w:val="clear" w:color="auto" w:fill="FFFFFF"/>
        </w:rPr>
        <w:t>Sriprach</w:t>
      </w:r>
      <w:proofErr w:type="spellEnd"/>
      <w:r w:rsidRPr="008A39AD">
        <w:rPr>
          <w:rFonts w:cstheme="minorHAnsi"/>
          <w:color w:val="222222"/>
          <w:sz w:val="22"/>
          <w:szCs w:val="22"/>
          <w:shd w:val="clear" w:color="auto" w:fill="FFFFFF"/>
        </w:rPr>
        <w:t xml:space="preserve"> S, </w:t>
      </w:r>
      <w:proofErr w:type="spellStart"/>
      <w:r w:rsidRPr="008A39AD">
        <w:rPr>
          <w:rFonts w:cstheme="minorHAnsi"/>
          <w:color w:val="222222"/>
          <w:sz w:val="22"/>
          <w:szCs w:val="22"/>
          <w:shd w:val="clear" w:color="auto" w:fill="FFFFFF"/>
        </w:rPr>
        <w:t>Thokanit</w:t>
      </w:r>
      <w:proofErr w:type="spellEnd"/>
      <w:r w:rsidRPr="008A39AD">
        <w:rPr>
          <w:rFonts w:cstheme="minorHAnsi"/>
          <w:color w:val="222222"/>
          <w:sz w:val="22"/>
          <w:szCs w:val="22"/>
          <w:shd w:val="clear" w:color="auto" w:fill="FFFFFF"/>
        </w:rPr>
        <w:t xml:space="preserve"> NS, </w:t>
      </w:r>
      <w:proofErr w:type="spellStart"/>
      <w:r w:rsidR="006D1288" w:rsidRPr="008A39AD">
        <w:rPr>
          <w:rFonts w:cstheme="minorHAnsi"/>
          <w:color w:val="222222"/>
          <w:sz w:val="22"/>
          <w:szCs w:val="22"/>
          <w:shd w:val="clear" w:color="auto" w:fill="FFFFFF"/>
        </w:rPr>
        <w:t>Janma</w:t>
      </w:r>
      <w:proofErr w:type="spellEnd"/>
      <w:r w:rsidR="006D1288" w:rsidRPr="008A39AD">
        <w:rPr>
          <w:rFonts w:cstheme="minorHAnsi"/>
          <w:color w:val="222222"/>
          <w:sz w:val="22"/>
          <w:szCs w:val="22"/>
          <w:shd w:val="clear" w:color="auto" w:fill="FFFFFF"/>
        </w:rPr>
        <w:t xml:space="preserve"> J, </w:t>
      </w:r>
      <w:proofErr w:type="spellStart"/>
      <w:r w:rsidR="006D1288" w:rsidRPr="008A39AD">
        <w:rPr>
          <w:rFonts w:cstheme="minorHAnsi"/>
          <w:color w:val="222222"/>
          <w:sz w:val="22"/>
          <w:szCs w:val="22"/>
          <w:shd w:val="clear" w:color="auto" w:fill="FFFFFF"/>
        </w:rPr>
        <w:t>Chuengsaman</w:t>
      </w:r>
      <w:proofErr w:type="spellEnd"/>
      <w:r w:rsidR="006D1288" w:rsidRPr="008A39AD">
        <w:rPr>
          <w:rFonts w:cstheme="minorHAnsi"/>
          <w:color w:val="222222"/>
          <w:sz w:val="22"/>
          <w:szCs w:val="22"/>
          <w:shd w:val="clear" w:color="auto" w:fill="FFFFFF"/>
        </w:rPr>
        <w:t xml:space="preserve"> P, </w:t>
      </w:r>
      <w:proofErr w:type="spellStart"/>
      <w:r w:rsidR="006D1288" w:rsidRPr="008A39AD">
        <w:rPr>
          <w:rFonts w:cstheme="minorHAnsi"/>
          <w:color w:val="222222"/>
          <w:sz w:val="22"/>
          <w:szCs w:val="22"/>
          <w:shd w:val="clear" w:color="auto" w:fill="FFFFFF"/>
        </w:rPr>
        <w:t>Sirivongs</w:t>
      </w:r>
      <w:proofErr w:type="spellEnd"/>
      <w:r w:rsidR="006D1288" w:rsidRPr="008A39AD">
        <w:rPr>
          <w:rFonts w:cstheme="minorHAnsi"/>
          <w:color w:val="222222"/>
          <w:sz w:val="22"/>
          <w:szCs w:val="22"/>
          <w:shd w:val="clear" w:color="auto" w:fill="FFFFFF"/>
        </w:rPr>
        <w:t xml:space="preserve"> D: </w:t>
      </w:r>
      <w:r w:rsidRPr="008A39AD">
        <w:rPr>
          <w:rFonts w:cstheme="minorHAnsi"/>
          <w:color w:val="222222"/>
          <w:sz w:val="22"/>
          <w:szCs w:val="22"/>
          <w:shd w:val="clear" w:color="auto" w:fill="FFFFFF"/>
        </w:rPr>
        <w:t xml:space="preserve"> Survival analysis and associated factors in Thai patients on peritoneal dialysis under the PD-first policy. </w:t>
      </w:r>
      <w:proofErr w:type="spellStart"/>
      <w:r w:rsidRPr="008A39AD">
        <w:rPr>
          <w:rFonts w:cstheme="minorHAnsi"/>
          <w:color w:val="222222"/>
          <w:sz w:val="22"/>
          <w:szCs w:val="22"/>
          <w:shd w:val="clear" w:color="auto" w:fill="FFFFFF"/>
        </w:rPr>
        <w:t>Perit</w:t>
      </w:r>
      <w:proofErr w:type="spellEnd"/>
      <w:r w:rsidRPr="008A39AD">
        <w:rPr>
          <w:rFonts w:cstheme="minorHAnsi"/>
          <w:color w:val="222222"/>
          <w:sz w:val="22"/>
          <w:szCs w:val="22"/>
          <w:shd w:val="clear" w:color="auto" w:fill="FFFFFF"/>
        </w:rPr>
        <w:t xml:space="preserve"> Dial Int. 38(3):172-8</w:t>
      </w:r>
      <w:r w:rsidR="006D1288"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w:t>
      </w:r>
      <w:r w:rsidR="006D1288" w:rsidRPr="008A39AD">
        <w:rPr>
          <w:rFonts w:cstheme="minorHAnsi"/>
          <w:color w:val="222222"/>
          <w:sz w:val="22"/>
          <w:szCs w:val="22"/>
          <w:shd w:val="clear" w:color="auto" w:fill="FFFFFF"/>
        </w:rPr>
        <w:t>2018</w:t>
      </w:r>
    </w:p>
    <w:p w14:paraId="6BC9E507" w14:textId="5BE6D3FB" w:rsidR="001417D6" w:rsidRPr="008A39AD" w:rsidRDefault="001417D6" w:rsidP="001417D6">
      <w:pPr>
        <w:pStyle w:val="ListParagraph"/>
        <w:numPr>
          <w:ilvl w:val="0"/>
          <w:numId w:val="2"/>
        </w:numPr>
        <w:rPr>
          <w:rFonts w:ascii="Arial" w:hAnsi="Arial" w:cs="Arial"/>
          <w:color w:val="222222"/>
          <w:sz w:val="20"/>
          <w:szCs w:val="20"/>
          <w:shd w:val="clear" w:color="auto" w:fill="FFFFFF"/>
        </w:rPr>
      </w:pPr>
      <w:proofErr w:type="spellStart"/>
      <w:r w:rsidRPr="008A39AD">
        <w:rPr>
          <w:rFonts w:ascii="Arial" w:hAnsi="Arial" w:cs="Arial"/>
          <w:color w:val="222222"/>
          <w:sz w:val="20"/>
          <w:szCs w:val="20"/>
          <w:shd w:val="clear" w:color="auto" w:fill="FFFFFF"/>
        </w:rPr>
        <w:t>Kanjanabuch</w:t>
      </w:r>
      <w:proofErr w:type="spellEnd"/>
      <w:r w:rsidRPr="008A39AD">
        <w:rPr>
          <w:rFonts w:ascii="Arial" w:hAnsi="Arial" w:cs="Arial"/>
          <w:color w:val="222222"/>
          <w:sz w:val="20"/>
          <w:szCs w:val="20"/>
          <w:shd w:val="clear" w:color="auto" w:fill="FFFFFF"/>
        </w:rPr>
        <w:t xml:space="preserve"> T, </w:t>
      </w:r>
      <w:proofErr w:type="spellStart"/>
      <w:r w:rsidRPr="008A39AD">
        <w:rPr>
          <w:rFonts w:ascii="Arial" w:hAnsi="Arial" w:cs="Arial"/>
          <w:color w:val="222222"/>
          <w:sz w:val="20"/>
          <w:szCs w:val="20"/>
          <w:shd w:val="clear" w:color="auto" w:fill="FFFFFF"/>
        </w:rPr>
        <w:t>Takkavatakarn</w:t>
      </w:r>
      <w:proofErr w:type="spellEnd"/>
      <w:r w:rsidRPr="008A39AD">
        <w:rPr>
          <w:rFonts w:ascii="Arial" w:hAnsi="Arial" w:cs="Arial"/>
          <w:color w:val="222222"/>
          <w:sz w:val="20"/>
          <w:szCs w:val="20"/>
          <w:shd w:val="clear" w:color="auto" w:fill="FFFFFF"/>
        </w:rPr>
        <w:t xml:space="preserve"> K</w:t>
      </w:r>
      <w:r w:rsidR="006D1288" w:rsidRPr="008A39AD">
        <w:rPr>
          <w:rFonts w:ascii="Arial" w:hAnsi="Arial" w:cs="Arial"/>
          <w:color w:val="222222"/>
          <w:sz w:val="20"/>
          <w:szCs w:val="20"/>
          <w:shd w:val="clear" w:color="auto" w:fill="FFFFFF"/>
        </w:rPr>
        <w:t>:</w:t>
      </w:r>
      <w:r w:rsidRPr="008A39AD">
        <w:rPr>
          <w:rFonts w:ascii="Arial" w:hAnsi="Arial" w:cs="Arial"/>
          <w:color w:val="222222"/>
          <w:sz w:val="20"/>
          <w:szCs w:val="20"/>
          <w:shd w:val="clear" w:color="auto" w:fill="FFFFFF"/>
        </w:rPr>
        <w:t xml:space="preserve"> Global dialysis perspective: Thailand. Kidney360. 30;1(7):671-5</w:t>
      </w:r>
      <w:r w:rsidR="006D1288" w:rsidRPr="008A39AD">
        <w:rPr>
          <w:rFonts w:ascii="Arial" w:hAnsi="Arial" w:cs="Arial"/>
          <w:color w:val="222222"/>
          <w:sz w:val="20"/>
          <w:szCs w:val="20"/>
          <w:shd w:val="clear" w:color="auto" w:fill="FFFFFF"/>
        </w:rPr>
        <w:t xml:space="preserve">, 2020 </w:t>
      </w:r>
    </w:p>
    <w:p w14:paraId="3B642CD0" w14:textId="0D0692C6" w:rsidR="001417D6" w:rsidRPr="008A39AD" w:rsidRDefault="001417D6" w:rsidP="001417D6">
      <w:pPr>
        <w:pStyle w:val="CommentText"/>
        <w:numPr>
          <w:ilvl w:val="0"/>
          <w:numId w:val="2"/>
        </w:numPr>
        <w:rPr>
          <w:rFonts w:cstheme="minorHAnsi"/>
          <w:sz w:val="22"/>
          <w:szCs w:val="22"/>
        </w:rPr>
      </w:pPr>
      <w:proofErr w:type="spellStart"/>
      <w:r w:rsidRPr="008A39AD">
        <w:rPr>
          <w:rFonts w:cstheme="minorHAnsi"/>
          <w:color w:val="222222"/>
          <w:sz w:val="22"/>
          <w:szCs w:val="22"/>
          <w:shd w:val="clear" w:color="auto" w:fill="FFFFFF"/>
        </w:rPr>
        <w:t>Kolesnyk</w:t>
      </w:r>
      <w:proofErr w:type="spellEnd"/>
      <w:r w:rsidRPr="008A39AD">
        <w:rPr>
          <w:rFonts w:cstheme="minorHAnsi"/>
          <w:color w:val="222222"/>
          <w:sz w:val="22"/>
          <w:szCs w:val="22"/>
          <w:shd w:val="clear" w:color="auto" w:fill="FFFFFF"/>
        </w:rPr>
        <w:t xml:space="preserve"> I, Dekker FW, </w:t>
      </w:r>
      <w:proofErr w:type="spellStart"/>
      <w:r w:rsidRPr="008A39AD">
        <w:rPr>
          <w:rFonts w:cstheme="minorHAnsi"/>
          <w:color w:val="222222"/>
          <w:sz w:val="22"/>
          <w:szCs w:val="22"/>
          <w:shd w:val="clear" w:color="auto" w:fill="FFFFFF"/>
        </w:rPr>
        <w:t>Boeschoten</w:t>
      </w:r>
      <w:proofErr w:type="spellEnd"/>
      <w:r w:rsidRPr="008A39AD">
        <w:rPr>
          <w:rFonts w:cstheme="minorHAnsi"/>
          <w:color w:val="222222"/>
          <w:sz w:val="22"/>
          <w:szCs w:val="22"/>
          <w:shd w:val="clear" w:color="auto" w:fill="FFFFFF"/>
        </w:rPr>
        <w:t xml:space="preserve"> EW, </w:t>
      </w:r>
      <w:proofErr w:type="spellStart"/>
      <w:r w:rsidR="000116F2" w:rsidRPr="008A39AD">
        <w:rPr>
          <w:rFonts w:cstheme="minorHAnsi"/>
          <w:color w:val="222222"/>
          <w:sz w:val="22"/>
          <w:szCs w:val="22"/>
          <w:shd w:val="clear" w:color="auto" w:fill="FFFFFF"/>
        </w:rPr>
        <w:t>Krediet</w:t>
      </w:r>
      <w:proofErr w:type="spellEnd"/>
      <w:r w:rsidR="000116F2" w:rsidRPr="008A39AD">
        <w:rPr>
          <w:rFonts w:cstheme="minorHAnsi"/>
          <w:color w:val="222222"/>
          <w:sz w:val="22"/>
          <w:szCs w:val="22"/>
          <w:shd w:val="clear" w:color="auto" w:fill="FFFFFF"/>
        </w:rPr>
        <w:t xml:space="preserve"> RT.: </w:t>
      </w:r>
      <w:r w:rsidRPr="008A39AD">
        <w:rPr>
          <w:rFonts w:cstheme="minorHAnsi"/>
          <w:color w:val="222222"/>
          <w:sz w:val="22"/>
          <w:szCs w:val="22"/>
          <w:shd w:val="clear" w:color="auto" w:fill="FFFFFF"/>
        </w:rPr>
        <w:t xml:space="preserve"> Time-dependent reasons for peritoneal dialysis technique failure and mortality. </w:t>
      </w:r>
      <w:proofErr w:type="spellStart"/>
      <w:r w:rsidRPr="008A39AD">
        <w:rPr>
          <w:rFonts w:cstheme="minorHAnsi"/>
          <w:color w:val="222222"/>
          <w:sz w:val="22"/>
          <w:szCs w:val="22"/>
          <w:shd w:val="clear" w:color="auto" w:fill="FFFFFF"/>
        </w:rPr>
        <w:t>Perit</w:t>
      </w:r>
      <w:proofErr w:type="spellEnd"/>
      <w:r w:rsidRPr="008A39AD">
        <w:rPr>
          <w:rFonts w:cstheme="minorHAnsi"/>
          <w:color w:val="222222"/>
          <w:sz w:val="22"/>
          <w:szCs w:val="22"/>
          <w:shd w:val="clear" w:color="auto" w:fill="FFFFFF"/>
        </w:rPr>
        <w:t xml:space="preserve"> Dial Int. 30(2):170-7, </w:t>
      </w:r>
      <w:r w:rsidR="000116F2" w:rsidRPr="008A39AD">
        <w:rPr>
          <w:rFonts w:cstheme="minorHAnsi"/>
          <w:color w:val="222222"/>
          <w:sz w:val="22"/>
          <w:szCs w:val="22"/>
          <w:shd w:val="clear" w:color="auto" w:fill="FFFFFF"/>
        </w:rPr>
        <w:t>2010</w:t>
      </w:r>
    </w:p>
    <w:p w14:paraId="0D17F75D" w14:textId="43A7C24F"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lastRenderedPageBreak/>
        <w:t xml:space="preserve">Brown EA, Zhao J, McCullough K, </w:t>
      </w:r>
      <w:r w:rsidR="000116F2" w:rsidRPr="008A39AD">
        <w:rPr>
          <w:rFonts w:cstheme="minorHAnsi"/>
          <w:color w:val="222222"/>
          <w:sz w:val="22"/>
          <w:szCs w:val="22"/>
          <w:shd w:val="clear" w:color="auto" w:fill="FFFFFF"/>
        </w:rPr>
        <w:t xml:space="preserve">Fuller DS, Figueiredo AE, Bieber B, Finkelstein FO, Shen J, </w:t>
      </w:r>
      <w:proofErr w:type="spellStart"/>
      <w:r w:rsidR="000116F2" w:rsidRPr="008A39AD">
        <w:rPr>
          <w:rFonts w:cstheme="minorHAnsi"/>
          <w:color w:val="222222"/>
          <w:sz w:val="22"/>
          <w:szCs w:val="22"/>
          <w:shd w:val="clear" w:color="auto" w:fill="FFFFFF"/>
        </w:rPr>
        <w:t>Kanjanabuch</w:t>
      </w:r>
      <w:proofErr w:type="spellEnd"/>
      <w:r w:rsidR="000116F2" w:rsidRPr="008A39AD">
        <w:rPr>
          <w:rFonts w:cstheme="minorHAnsi"/>
          <w:color w:val="222222"/>
          <w:sz w:val="22"/>
          <w:szCs w:val="22"/>
          <w:shd w:val="clear" w:color="auto" w:fill="FFFFFF"/>
        </w:rPr>
        <w:t xml:space="preserve"> T, Kawanishi H, Pisoni RL: </w:t>
      </w:r>
      <w:r w:rsidRPr="008A39AD">
        <w:rPr>
          <w:rFonts w:cstheme="minorHAnsi"/>
          <w:color w:val="222222"/>
          <w:sz w:val="22"/>
          <w:szCs w:val="22"/>
          <w:shd w:val="clear" w:color="auto" w:fill="FFFFFF"/>
        </w:rPr>
        <w:t xml:space="preserve"> Burden of kidney disease, health-related quality of life, and employment among patients receiving peritoneal dialysis and in-center hemodialysis: findings from the DOPPS Program. </w:t>
      </w:r>
      <w:r w:rsidRPr="008A39AD">
        <w:rPr>
          <w:rFonts w:cstheme="minorHAnsi"/>
          <w:sz w:val="22"/>
          <w:szCs w:val="22"/>
        </w:rPr>
        <w:t xml:space="preserve">Am J Kidney Dis, </w:t>
      </w:r>
      <w:r w:rsidRPr="008A39AD">
        <w:rPr>
          <w:rFonts w:cstheme="minorHAnsi"/>
          <w:color w:val="222222"/>
          <w:sz w:val="22"/>
          <w:szCs w:val="22"/>
          <w:shd w:val="clear" w:color="auto" w:fill="FFFFFF"/>
        </w:rPr>
        <w:t xml:space="preserve">2021 </w:t>
      </w:r>
    </w:p>
    <w:p w14:paraId="6B796F6B" w14:textId="796E073E" w:rsidR="001417D6" w:rsidRPr="008A39AD" w:rsidRDefault="001417D6" w:rsidP="001417D6">
      <w:pPr>
        <w:pStyle w:val="CommentText"/>
        <w:numPr>
          <w:ilvl w:val="0"/>
          <w:numId w:val="2"/>
        </w:numPr>
        <w:rPr>
          <w:rFonts w:cstheme="minorHAnsi"/>
          <w:sz w:val="22"/>
          <w:szCs w:val="22"/>
        </w:rPr>
      </w:pPr>
      <w:proofErr w:type="spellStart"/>
      <w:r w:rsidRPr="008A39AD">
        <w:rPr>
          <w:rFonts w:cstheme="minorHAnsi"/>
          <w:sz w:val="22"/>
          <w:szCs w:val="22"/>
        </w:rPr>
        <w:t>Troidle</w:t>
      </w:r>
      <w:proofErr w:type="spellEnd"/>
      <w:r w:rsidRPr="008A39AD">
        <w:rPr>
          <w:rFonts w:cstheme="minorHAnsi"/>
          <w:sz w:val="22"/>
          <w:szCs w:val="22"/>
        </w:rPr>
        <w:t xml:space="preserve"> L, </w:t>
      </w:r>
      <w:proofErr w:type="spellStart"/>
      <w:r w:rsidRPr="008A39AD">
        <w:rPr>
          <w:rFonts w:cstheme="minorHAnsi"/>
          <w:sz w:val="22"/>
          <w:szCs w:val="22"/>
        </w:rPr>
        <w:t>Watnick</w:t>
      </w:r>
      <w:proofErr w:type="spellEnd"/>
      <w:r w:rsidRPr="008A39AD">
        <w:rPr>
          <w:rFonts w:cstheme="minorHAnsi"/>
          <w:sz w:val="22"/>
          <w:szCs w:val="22"/>
        </w:rPr>
        <w:t xml:space="preserve"> S, </w:t>
      </w:r>
      <w:proofErr w:type="spellStart"/>
      <w:r w:rsidRPr="008A39AD">
        <w:rPr>
          <w:rFonts w:cstheme="minorHAnsi"/>
          <w:sz w:val="22"/>
          <w:szCs w:val="22"/>
        </w:rPr>
        <w:t>Wuerth</w:t>
      </w:r>
      <w:proofErr w:type="spellEnd"/>
      <w:r w:rsidRPr="008A39AD">
        <w:rPr>
          <w:rFonts w:cstheme="minorHAnsi"/>
          <w:sz w:val="22"/>
          <w:szCs w:val="22"/>
        </w:rPr>
        <w:t xml:space="preserve"> DB, </w:t>
      </w:r>
      <w:proofErr w:type="spellStart"/>
      <w:r w:rsidR="000116F2" w:rsidRPr="008A39AD">
        <w:rPr>
          <w:rFonts w:cstheme="minorHAnsi"/>
          <w:sz w:val="22"/>
          <w:szCs w:val="22"/>
        </w:rPr>
        <w:t>Gorban</w:t>
      </w:r>
      <w:proofErr w:type="spellEnd"/>
      <w:r w:rsidR="000116F2" w:rsidRPr="008A39AD">
        <w:rPr>
          <w:rFonts w:cstheme="minorHAnsi"/>
          <w:sz w:val="22"/>
          <w:szCs w:val="22"/>
        </w:rPr>
        <w:t xml:space="preserve">-Brennan N, </w:t>
      </w:r>
      <w:proofErr w:type="spellStart"/>
      <w:r w:rsidR="000116F2" w:rsidRPr="008A39AD">
        <w:rPr>
          <w:rFonts w:cstheme="minorHAnsi"/>
          <w:sz w:val="22"/>
          <w:szCs w:val="22"/>
        </w:rPr>
        <w:t>Kliger</w:t>
      </w:r>
      <w:proofErr w:type="spellEnd"/>
      <w:r w:rsidR="000116F2" w:rsidRPr="008A39AD">
        <w:rPr>
          <w:rFonts w:cstheme="minorHAnsi"/>
          <w:sz w:val="22"/>
          <w:szCs w:val="22"/>
        </w:rPr>
        <w:t xml:space="preserve"> AS, Finkelstein FO: </w:t>
      </w:r>
      <w:r w:rsidRPr="008A39AD">
        <w:rPr>
          <w:rFonts w:cstheme="minorHAnsi"/>
          <w:sz w:val="22"/>
          <w:szCs w:val="22"/>
        </w:rPr>
        <w:t xml:space="preserve"> Depression and its association with peritonitis in long-term peritoneal dialysis patients. Am J Kidney Dis. 42(2):350-</w:t>
      </w:r>
      <w:proofErr w:type="gramStart"/>
      <w:r w:rsidR="000116F2" w:rsidRPr="008A39AD">
        <w:rPr>
          <w:rFonts w:cstheme="minorHAnsi"/>
          <w:sz w:val="22"/>
          <w:szCs w:val="22"/>
        </w:rPr>
        <w:t xml:space="preserve">4, </w:t>
      </w:r>
      <w:r w:rsidRPr="008A39AD">
        <w:rPr>
          <w:rFonts w:cstheme="minorHAnsi"/>
          <w:sz w:val="22"/>
          <w:szCs w:val="22"/>
        </w:rPr>
        <w:t xml:space="preserve"> </w:t>
      </w:r>
      <w:r w:rsidR="000116F2" w:rsidRPr="008A39AD">
        <w:rPr>
          <w:rFonts w:cstheme="minorHAnsi"/>
          <w:sz w:val="22"/>
          <w:szCs w:val="22"/>
        </w:rPr>
        <w:t>2003</w:t>
      </w:r>
      <w:proofErr w:type="gramEnd"/>
    </w:p>
    <w:p w14:paraId="2CB44466" w14:textId="693084E3" w:rsidR="001417D6" w:rsidRPr="008A39AD" w:rsidRDefault="001417D6" w:rsidP="001417D6">
      <w:pPr>
        <w:pStyle w:val="CommentText"/>
        <w:numPr>
          <w:ilvl w:val="0"/>
          <w:numId w:val="2"/>
        </w:numPr>
        <w:rPr>
          <w:rFonts w:cstheme="minorHAnsi"/>
          <w:sz w:val="22"/>
          <w:szCs w:val="22"/>
        </w:rPr>
      </w:pPr>
      <w:r w:rsidRPr="008A39AD">
        <w:rPr>
          <w:rFonts w:cstheme="minorHAnsi"/>
          <w:sz w:val="22"/>
          <w:szCs w:val="22"/>
          <w:lang w:val="en-CA"/>
        </w:rPr>
        <w:t xml:space="preserve">Perl J, Wald R, Bargman JM, </w:t>
      </w:r>
      <w:r w:rsidR="000116F2" w:rsidRPr="008A39AD">
        <w:rPr>
          <w:rFonts w:cstheme="minorHAnsi"/>
          <w:sz w:val="22"/>
          <w:szCs w:val="22"/>
          <w:lang w:val="en-CA"/>
        </w:rPr>
        <w:t xml:space="preserve">Na Y, Jassal SV, Jain AK, Moist L, Nessim SJ: </w:t>
      </w:r>
      <w:r w:rsidRPr="008A39AD">
        <w:rPr>
          <w:rFonts w:cstheme="minorHAnsi"/>
          <w:sz w:val="22"/>
          <w:szCs w:val="22"/>
          <w:lang w:val="en-CA"/>
        </w:rPr>
        <w:t xml:space="preserve"> Changes in patient and technique survival over time among incident peritoneal dialysis patients in Canada. Clin J Am Soc Nephrol. 7(7):1145-54</w:t>
      </w:r>
      <w:r w:rsidR="000116F2" w:rsidRPr="008A39AD">
        <w:rPr>
          <w:rFonts w:cstheme="minorHAnsi"/>
          <w:sz w:val="22"/>
          <w:szCs w:val="22"/>
          <w:lang w:val="en-CA"/>
        </w:rPr>
        <w:t>,</w:t>
      </w:r>
      <w:r w:rsidRPr="008A39AD">
        <w:rPr>
          <w:rFonts w:cstheme="minorHAnsi"/>
          <w:sz w:val="22"/>
          <w:szCs w:val="22"/>
          <w:lang w:val="en-CA"/>
        </w:rPr>
        <w:t xml:space="preserve"> </w:t>
      </w:r>
      <w:r w:rsidR="000116F2" w:rsidRPr="008A39AD">
        <w:rPr>
          <w:rFonts w:cstheme="minorHAnsi"/>
          <w:sz w:val="22"/>
          <w:szCs w:val="22"/>
          <w:lang w:val="en-CA"/>
        </w:rPr>
        <w:t>2012</w:t>
      </w:r>
    </w:p>
    <w:p w14:paraId="1AB0BF85" w14:textId="06C18BC1" w:rsidR="001417D6" w:rsidRPr="008A39AD" w:rsidRDefault="001417D6" w:rsidP="001417D6">
      <w:pPr>
        <w:pStyle w:val="CommentText"/>
        <w:numPr>
          <w:ilvl w:val="0"/>
          <w:numId w:val="2"/>
        </w:numPr>
        <w:rPr>
          <w:rFonts w:cstheme="minorHAnsi"/>
          <w:sz w:val="22"/>
          <w:szCs w:val="22"/>
        </w:rPr>
      </w:pPr>
      <w:proofErr w:type="spellStart"/>
      <w:r w:rsidRPr="008A39AD">
        <w:rPr>
          <w:rFonts w:cstheme="minorHAnsi"/>
          <w:color w:val="222222"/>
          <w:sz w:val="22"/>
          <w:szCs w:val="22"/>
          <w:shd w:val="clear" w:color="auto" w:fill="FFFFFF"/>
        </w:rPr>
        <w:t>Jegatheesan</w:t>
      </w:r>
      <w:proofErr w:type="spellEnd"/>
      <w:r w:rsidRPr="008A39AD">
        <w:rPr>
          <w:rFonts w:cstheme="minorHAnsi"/>
          <w:color w:val="222222"/>
          <w:sz w:val="22"/>
          <w:szCs w:val="22"/>
          <w:shd w:val="clear" w:color="auto" w:fill="FFFFFF"/>
        </w:rPr>
        <w:t xml:space="preserve"> D, Johnson DW, Cho Y, </w:t>
      </w:r>
      <w:r w:rsidR="000116F2" w:rsidRPr="008A39AD">
        <w:rPr>
          <w:rFonts w:cstheme="minorHAnsi"/>
          <w:color w:val="222222"/>
          <w:sz w:val="22"/>
          <w:szCs w:val="22"/>
          <w:shd w:val="clear" w:color="auto" w:fill="FFFFFF"/>
        </w:rPr>
        <w:t xml:space="preserve">Pascoe EM, </w:t>
      </w:r>
      <w:proofErr w:type="spellStart"/>
      <w:r w:rsidR="000116F2" w:rsidRPr="008A39AD">
        <w:rPr>
          <w:rFonts w:cstheme="minorHAnsi"/>
          <w:color w:val="222222"/>
          <w:sz w:val="22"/>
          <w:szCs w:val="22"/>
          <w:shd w:val="clear" w:color="auto" w:fill="FFFFFF"/>
        </w:rPr>
        <w:t>Darssan</w:t>
      </w:r>
      <w:proofErr w:type="spellEnd"/>
      <w:r w:rsidR="000116F2" w:rsidRPr="008A39AD">
        <w:rPr>
          <w:rFonts w:cstheme="minorHAnsi"/>
          <w:color w:val="222222"/>
          <w:sz w:val="22"/>
          <w:szCs w:val="22"/>
          <w:shd w:val="clear" w:color="auto" w:fill="FFFFFF"/>
        </w:rPr>
        <w:t xml:space="preserve"> D, </w:t>
      </w:r>
      <w:proofErr w:type="spellStart"/>
      <w:r w:rsidR="000116F2" w:rsidRPr="008A39AD">
        <w:rPr>
          <w:rFonts w:cstheme="minorHAnsi"/>
          <w:color w:val="222222"/>
          <w:sz w:val="22"/>
          <w:szCs w:val="22"/>
          <w:shd w:val="clear" w:color="auto" w:fill="FFFFFF"/>
        </w:rPr>
        <w:t>Htay</w:t>
      </w:r>
      <w:proofErr w:type="spellEnd"/>
      <w:r w:rsidR="000116F2" w:rsidRPr="008A39AD">
        <w:rPr>
          <w:rFonts w:cstheme="minorHAnsi"/>
          <w:color w:val="222222"/>
          <w:sz w:val="22"/>
          <w:szCs w:val="22"/>
          <w:shd w:val="clear" w:color="auto" w:fill="FFFFFF"/>
        </w:rPr>
        <w:t xml:space="preserve"> H, Hawley C, Clayton PA, </w:t>
      </w:r>
      <w:proofErr w:type="spellStart"/>
      <w:r w:rsidR="000116F2" w:rsidRPr="008A39AD">
        <w:rPr>
          <w:rFonts w:cstheme="minorHAnsi"/>
          <w:color w:val="222222"/>
          <w:sz w:val="22"/>
          <w:szCs w:val="22"/>
          <w:shd w:val="clear" w:color="auto" w:fill="FFFFFF"/>
        </w:rPr>
        <w:t>Borlace</w:t>
      </w:r>
      <w:proofErr w:type="spellEnd"/>
      <w:r w:rsidR="000116F2" w:rsidRPr="008A39AD">
        <w:rPr>
          <w:rFonts w:cstheme="minorHAnsi"/>
          <w:color w:val="222222"/>
          <w:sz w:val="22"/>
          <w:szCs w:val="22"/>
          <w:shd w:val="clear" w:color="auto" w:fill="FFFFFF"/>
        </w:rPr>
        <w:t xml:space="preserve"> M, </w:t>
      </w:r>
      <w:proofErr w:type="spellStart"/>
      <w:r w:rsidR="000116F2" w:rsidRPr="008A39AD">
        <w:rPr>
          <w:rFonts w:cstheme="minorHAnsi"/>
          <w:color w:val="222222"/>
          <w:sz w:val="22"/>
          <w:szCs w:val="22"/>
          <w:shd w:val="clear" w:color="auto" w:fill="FFFFFF"/>
        </w:rPr>
        <w:t>Badve</w:t>
      </w:r>
      <w:proofErr w:type="spellEnd"/>
      <w:r w:rsidR="000116F2" w:rsidRPr="008A39AD">
        <w:rPr>
          <w:rFonts w:cstheme="minorHAnsi"/>
          <w:color w:val="222222"/>
          <w:sz w:val="22"/>
          <w:szCs w:val="22"/>
          <w:shd w:val="clear" w:color="auto" w:fill="FFFFFF"/>
        </w:rPr>
        <w:t xml:space="preserve"> SV, Sud K: </w:t>
      </w:r>
      <w:r w:rsidRPr="008A39AD">
        <w:rPr>
          <w:rFonts w:cstheme="minorHAnsi"/>
          <w:color w:val="222222"/>
          <w:sz w:val="22"/>
          <w:szCs w:val="22"/>
          <w:shd w:val="clear" w:color="auto" w:fill="FFFFFF"/>
        </w:rPr>
        <w:t xml:space="preserve"> The relationship between body mass index and organism-specific peritonitis. </w:t>
      </w:r>
      <w:proofErr w:type="spellStart"/>
      <w:r w:rsidRPr="008A39AD">
        <w:rPr>
          <w:rFonts w:cstheme="minorHAnsi"/>
          <w:color w:val="222222"/>
          <w:sz w:val="22"/>
          <w:szCs w:val="22"/>
          <w:shd w:val="clear" w:color="auto" w:fill="FFFFFF"/>
        </w:rPr>
        <w:t>Perit</w:t>
      </w:r>
      <w:proofErr w:type="spellEnd"/>
      <w:r w:rsidRPr="008A39AD">
        <w:rPr>
          <w:rFonts w:cstheme="minorHAnsi"/>
          <w:color w:val="222222"/>
          <w:sz w:val="22"/>
          <w:szCs w:val="22"/>
          <w:shd w:val="clear" w:color="auto" w:fill="FFFFFF"/>
        </w:rPr>
        <w:t xml:space="preserve"> Dial Int.</w:t>
      </w:r>
      <w:r w:rsidR="006B6B54" w:rsidRPr="008A39AD">
        <w:rPr>
          <w:rFonts w:cstheme="minorHAnsi"/>
          <w:color w:val="222222"/>
          <w:sz w:val="22"/>
          <w:szCs w:val="22"/>
          <w:shd w:val="clear" w:color="auto" w:fill="FFFFFF"/>
        </w:rPr>
        <w:t xml:space="preserve"> </w:t>
      </w:r>
      <w:r w:rsidRPr="008A39AD">
        <w:rPr>
          <w:rFonts w:cstheme="minorHAnsi"/>
          <w:color w:val="222222"/>
          <w:sz w:val="22"/>
          <w:szCs w:val="22"/>
          <w:shd w:val="clear" w:color="auto" w:fill="FFFFFF"/>
        </w:rPr>
        <w:t>38(3):206-14</w:t>
      </w:r>
      <w:r w:rsidR="000116F2"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w:t>
      </w:r>
      <w:r w:rsidR="000116F2" w:rsidRPr="008A39AD">
        <w:rPr>
          <w:rFonts w:cstheme="minorHAnsi"/>
          <w:color w:val="222222"/>
          <w:sz w:val="22"/>
          <w:szCs w:val="22"/>
          <w:shd w:val="clear" w:color="auto" w:fill="FFFFFF"/>
        </w:rPr>
        <w:t>2018</w:t>
      </w:r>
    </w:p>
    <w:p w14:paraId="09B00937" w14:textId="4AC87D59" w:rsidR="001417D6" w:rsidRPr="008A39AD" w:rsidRDefault="001417D6" w:rsidP="001417D6">
      <w:pPr>
        <w:pStyle w:val="CommentText"/>
        <w:numPr>
          <w:ilvl w:val="0"/>
          <w:numId w:val="2"/>
        </w:numPr>
        <w:rPr>
          <w:rFonts w:cstheme="minorHAnsi"/>
          <w:sz w:val="22"/>
          <w:szCs w:val="22"/>
        </w:rPr>
      </w:pPr>
      <w:r w:rsidRPr="008A39AD">
        <w:rPr>
          <w:rFonts w:cstheme="minorHAnsi"/>
          <w:sz w:val="22"/>
          <w:szCs w:val="22"/>
          <w:lang w:val="en-CA"/>
        </w:rPr>
        <w:t xml:space="preserve">McDonald SP, Collins JF, </w:t>
      </w:r>
      <w:proofErr w:type="spellStart"/>
      <w:r w:rsidRPr="008A39AD">
        <w:rPr>
          <w:rFonts w:cstheme="minorHAnsi"/>
          <w:sz w:val="22"/>
          <w:szCs w:val="22"/>
          <w:lang w:val="en-CA"/>
        </w:rPr>
        <w:t>Rumpsfeld</w:t>
      </w:r>
      <w:proofErr w:type="spellEnd"/>
      <w:r w:rsidRPr="008A39AD">
        <w:rPr>
          <w:rFonts w:cstheme="minorHAnsi"/>
          <w:sz w:val="22"/>
          <w:szCs w:val="22"/>
          <w:lang w:val="en-CA"/>
        </w:rPr>
        <w:t xml:space="preserve"> M, </w:t>
      </w:r>
      <w:r w:rsidR="004A38BC" w:rsidRPr="008A39AD">
        <w:rPr>
          <w:rFonts w:cstheme="minorHAnsi"/>
          <w:sz w:val="22"/>
          <w:szCs w:val="22"/>
          <w:lang w:val="en-CA"/>
        </w:rPr>
        <w:t xml:space="preserve">Johnson DW: </w:t>
      </w:r>
      <w:r w:rsidRPr="008A39AD">
        <w:rPr>
          <w:rFonts w:cstheme="minorHAnsi"/>
          <w:sz w:val="22"/>
          <w:szCs w:val="22"/>
          <w:lang w:val="en-CA"/>
        </w:rPr>
        <w:t xml:space="preserve"> Obesity is a risk factor for peritonitis in the Australian and New Zealand peritoneal dialysis patient populations. </w:t>
      </w:r>
      <w:proofErr w:type="spellStart"/>
      <w:r w:rsidRPr="008A39AD">
        <w:rPr>
          <w:rFonts w:cstheme="minorHAnsi"/>
          <w:sz w:val="22"/>
          <w:szCs w:val="22"/>
          <w:lang w:val="en-CA"/>
        </w:rPr>
        <w:t>Perit</w:t>
      </w:r>
      <w:proofErr w:type="spellEnd"/>
      <w:r w:rsidRPr="008A39AD">
        <w:rPr>
          <w:rFonts w:cstheme="minorHAnsi"/>
          <w:sz w:val="22"/>
          <w:szCs w:val="22"/>
          <w:lang w:val="en-CA"/>
        </w:rPr>
        <w:t xml:space="preserve"> Dial Int. 24(4):340-6</w:t>
      </w:r>
      <w:r w:rsidR="004A38BC" w:rsidRPr="008A39AD">
        <w:rPr>
          <w:rFonts w:cstheme="minorHAnsi"/>
          <w:sz w:val="22"/>
          <w:szCs w:val="22"/>
          <w:lang w:val="en-CA"/>
        </w:rPr>
        <w:t>, 2004</w:t>
      </w:r>
    </w:p>
    <w:p w14:paraId="415E49CA" w14:textId="1774F3FC"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 xml:space="preserve">Pieper D, </w:t>
      </w:r>
      <w:proofErr w:type="spellStart"/>
      <w:r w:rsidRPr="008A39AD">
        <w:rPr>
          <w:rFonts w:cstheme="minorHAnsi"/>
          <w:color w:val="222222"/>
          <w:sz w:val="22"/>
          <w:szCs w:val="22"/>
          <w:shd w:val="clear" w:color="auto" w:fill="FFFFFF"/>
        </w:rPr>
        <w:t>Mathes</w:t>
      </w:r>
      <w:proofErr w:type="spellEnd"/>
      <w:r w:rsidRPr="008A39AD">
        <w:rPr>
          <w:rFonts w:cstheme="minorHAnsi"/>
          <w:color w:val="222222"/>
          <w:sz w:val="22"/>
          <w:szCs w:val="22"/>
          <w:shd w:val="clear" w:color="auto" w:fill="FFFFFF"/>
        </w:rPr>
        <w:t xml:space="preserve"> T, Marshall MR</w:t>
      </w:r>
      <w:r w:rsidR="004A38BC"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A systematic review of the impact of center volume in dialysis. BMC research notes. 8(1):1-9</w:t>
      </w:r>
      <w:r w:rsidR="004A38BC" w:rsidRPr="008A39AD">
        <w:rPr>
          <w:rFonts w:cstheme="minorHAnsi"/>
          <w:color w:val="222222"/>
          <w:sz w:val="22"/>
          <w:szCs w:val="22"/>
          <w:shd w:val="clear" w:color="auto" w:fill="FFFFFF"/>
        </w:rPr>
        <w:t>, 2015</w:t>
      </w:r>
    </w:p>
    <w:p w14:paraId="594196CF" w14:textId="1CBC9E09" w:rsidR="001417D6" w:rsidRPr="008A39AD" w:rsidRDefault="001417D6" w:rsidP="001417D6">
      <w:pPr>
        <w:pStyle w:val="CommentText"/>
        <w:numPr>
          <w:ilvl w:val="0"/>
          <w:numId w:val="2"/>
        </w:numPr>
        <w:rPr>
          <w:rFonts w:cstheme="minorHAnsi"/>
          <w:sz w:val="22"/>
          <w:szCs w:val="22"/>
        </w:rPr>
      </w:pPr>
      <w:r w:rsidRPr="008A39AD">
        <w:rPr>
          <w:rFonts w:cstheme="minorHAnsi"/>
          <w:sz w:val="22"/>
          <w:szCs w:val="22"/>
        </w:rPr>
        <w:t xml:space="preserve">Lo WK, Bargman JM, Burkart J, </w:t>
      </w:r>
      <w:proofErr w:type="spellStart"/>
      <w:r w:rsidR="004A38BC" w:rsidRPr="008A39AD">
        <w:rPr>
          <w:rFonts w:cstheme="minorHAnsi"/>
          <w:sz w:val="22"/>
          <w:szCs w:val="22"/>
        </w:rPr>
        <w:t>Krediet</w:t>
      </w:r>
      <w:proofErr w:type="spellEnd"/>
      <w:r w:rsidR="004A38BC" w:rsidRPr="008A39AD">
        <w:rPr>
          <w:rFonts w:cstheme="minorHAnsi"/>
          <w:sz w:val="22"/>
          <w:szCs w:val="22"/>
        </w:rPr>
        <w:t xml:space="preserve"> RT, Pollock C, Kawanishi H: </w:t>
      </w:r>
      <w:r w:rsidRPr="008A39AD">
        <w:rPr>
          <w:rFonts w:cstheme="minorHAnsi"/>
          <w:sz w:val="22"/>
          <w:szCs w:val="22"/>
        </w:rPr>
        <w:t xml:space="preserve"> Guideline on targets for solute and fluid removal in adult patients on chronic peritoneal dialysis. </w:t>
      </w:r>
      <w:proofErr w:type="spellStart"/>
      <w:r w:rsidRPr="008A39AD">
        <w:rPr>
          <w:rFonts w:cstheme="minorHAnsi"/>
          <w:sz w:val="22"/>
          <w:szCs w:val="22"/>
        </w:rPr>
        <w:t>Perit</w:t>
      </w:r>
      <w:proofErr w:type="spellEnd"/>
      <w:r w:rsidRPr="008A39AD">
        <w:rPr>
          <w:rFonts w:cstheme="minorHAnsi"/>
          <w:sz w:val="22"/>
          <w:szCs w:val="22"/>
        </w:rPr>
        <w:t xml:space="preserve"> Dial Int. 26(5):520-2</w:t>
      </w:r>
      <w:r w:rsidR="004A38BC" w:rsidRPr="008A39AD">
        <w:rPr>
          <w:rFonts w:cstheme="minorHAnsi"/>
          <w:sz w:val="22"/>
          <w:szCs w:val="22"/>
        </w:rPr>
        <w:t>, 2006</w:t>
      </w:r>
    </w:p>
    <w:p w14:paraId="44436787" w14:textId="77777777" w:rsidR="001417D6" w:rsidRPr="008A39AD" w:rsidRDefault="001417D6" w:rsidP="001417D6">
      <w:pPr>
        <w:pStyle w:val="ListParagraph"/>
        <w:numPr>
          <w:ilvl w:val="0"/>
          <w:numId w:val="2"/>
        </w:numPr>
        <w:rPr>
          <w:rFonts w:cstheme="minorHAnsi"/>
        </w:rPr>
      </w:pPr>
      <w:r w:rsidRPr="008A39AD">
        <w:rPr>
          <w:rFonts w:cstheme="minorHAnsi"/>
        </w:rPr>
        <w:t xml:space="preserve">Finalized PY 2018 Clinical Measure; Kt/V Dialysis Adequacy Measure Topic: </w:t>
      </w:r>
      <w:proofErr w:type="gramStart"/>
      <w:r w:rsidRPr="008A39AD">
        <w:rPr>
          <w:rFonts w:cstheme="minorHAnsi"/>
        </w:rPr>
        <w:t>Hemodialysis .</w:t>
      </w:r>
      <w:proofErr w:type="gramEnd"/>
      <w:r w:rsidRPr="008A39AD">
        <w:rPr>
          <w:rFonts w:cstheme="minorHAnsi"/>
        </w:rPr>
        <w:t>https://www.cms.gov/Medicare/Quality-Initiatives-Patient-Assessment-Instruments/ESRDQIP/Downloads/ESRDQIPPY2018finaltechnicalmeasurespecifications-.pdf</w:t>
      </w:r>
    </w:p>
    <w:p w14:paraId="68E78832" w14:textId="5BDF88D0"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 xml:space="preserve">Brown EA, Blake PG, Boudville N, </w:t>
      </w:r>
      <w:r w:rsidR="004A38BC" w:rsidRPr="008A39AD">
        <w:rPr>
          <w:rFonts w:cstheme="minorHAnsi"/>
          <w:color w:val="222222"/>
          <w:sz w:val="22"/>
          <w:szCs w:val="22"/>
          <w:shd w:val="clear" w:color="auto" w:fill="FFFFFF"/>
        </w:rPr>
        <w:t xml:space="preserve">Davies S, de Arteaga J, Dong J, Finkelstein F, Foo M, Hurst H, Johnson DW, Johnson M: </w:t>
      </w:r>
      <w:r w:rsidRPr="008A39AD">
        <w:rPr>
          <w:rFonts w:cstheme="minorHAnsi"/>
          <w:color w:val="222222"/>
          <w:sz w:val="22"/>
          <w:szCs w:val="22"/>
          <w:shd w:val="clear" w:color="auto" w:fill="FFFFFF"/>
        </w:rPr>
        <w:t xml:space="preserve"> International Society for Peritoneal Dialysis practice recommendations: Prescribing high-quality goal-directed peritoneal dialysis. </w:t>
      </w:r>
      <w:proofErr w:type="spellStart"/>
      <w:r w:rsidRPr="008A39AD">
        <w:rPr>
          <w:rFonts w:cstheme="minorHAnsi"/>
          <w:color w:val="222222"/>
          <w:sz w:val="22"/>
          <w:szCs w:val="22"/>
          <w:shd w:val="clear" w:color="auto" w:fill="FFFFFF"/>
        </w:rPr>
        <w:t>Perit</w:t>
      </w:r>
      <w:proofErr w:type="spellEnd"/>
      <w:r w:rsidRPr="008A39AD">
        <w:rPr>
          <w:rFonts w:cstheme="minorHAnsi"/>
          <w:color w:val="222222"/>
          <w:sz w:val="22"/>
          <w:szCs w:val="22"/>
          <w:shd w:val="clear" w:color="auto" w:fill="FFFFFF"/>
        </w:rPr>
        <w:t xml:space="preserve"> Dial Int. 40(3):244-53</w:t>
      </w:r>
      <w:r w:rsidR="004A38BC" w:rsidRPr="008A39AD">
        <w:rPr>
          <w:rFonts w:cstheme="minorHAnsi"/>
          <w:color w:val="222222"/>
          <w:sz w:val="22"/>
          <w:szCs w:val="22"/>
          <w:shd w:val="clear" w:color="auto" w:fill="FFFFFF"/>
        </w:rPr>
        <w:t>, 2020</w:t>
      </w:r>
    </w:p>
    <w:p w14:paraId="1560E46C" w14:textId="0DCCDB54" w:rsidR="001417D6" w:rsidRPr="008A39AD" w:rsidRDefault="001417D6" w:rsidP="001417D6">
      <w:pPr>
        <w:pStyle w:val="CommentText"/>
        <w:numPr>
          <w:ilvl w:val="0"/>
          <w:numId w:val="2"/>
        </w:numPr>
        <w:rPr>
          <w:rFonts w:cstheme="minorHAnsi"/>
          <w:sz w:val="22"/>
          <w:szCs w:val="22"/>
        </w:rPr>
      </w:pPr>
      <w:r w:rsidRPr="008A39AD">
        <w:rPr>
          <w:rFonts w:cstheme="minorHAnsi"/>
          <w:color w:val="222222"/>
          <w:sz w:val="22"/>
          <w:szCs w:val="22"/>
          <w:shd w:val="clear" w:color="auto" w:fill="FFFFFF"/>
        </w:rPr>
        <w:t xml:space="preserve">Teitelbaum I, Glickman J, Neu A, </w:t>
      </w:r>
      <w:r w:rsidR="004A38BC" w:rsidRPr="008A39AD">
        <w:rPr>
          <w:rFonts w:cstheme="minorHAnsi"/>
          <w:color w:val="222222"/>
          <w:sz w:val="22"/>
          <w:szCs w:val="22"/>
          <w:shd w:val="clear" w:color="auto" w:fill="FFFFFF"/>
        </w:rPr>
        <w:t xml:space="preserve">Neumann J, Rivara MB, Shen J, Wallace E, </w:t>
      </w:r>
      <w:proofErr w:type="spellStart"/>
      <w:r w:rsidR="004A38BC" w:rsidRPr="008A39AD">
        <w:rPr>
          <w:rFonts w:cstheme="minorHAnsi"/>
          <w:color w:val="222222"/>
          <w:sz w:val="22"/>
          <w:szCs w:val="22"/>
          <w:shd w:val="clear" w:color="auto" w:fill="FFFFFF"/>
        </w:rPr>
        <w:t>Watnick</w:t>
      </w:r>
      <w:proofErr w:type="spellEnd"/>
      <w:r w:rsidR="004A38BC" w:rsidRPr="008A39AD">
        <w:rPr>
          <w:rFonts w:cstheme="minorHAnsi"/>
          <w:color w:val="222222"/>
          <w:sz w:val="22"/>
          <w:szCs w:val="22"/>
          <w:shd w:val="clear" w:color="auto" w:fill="FFFFFF"/>
        </w:rPr>
        <w:t xml:space="preserve"> S, Mehrotra R: </w:t>
      </w:r>
      <w:r w:rsidRPr="008A39AD">
        <w:rPr>
          <w:rFonts w:cstheme="minorHAnsi"/>
          <w:color w:val="222222"/>
          <w:sz w:val="22"/>
          <w:szCs w:val="22"/>
          <w:shd w:val="clear" w:color="auto" w:fill="FFFFFF"/>
        </w:rPr>
        <w:t xml:space="preserve"> KDOQI US commentary on the 2020 ISPD practice recommendations for prescribing high-quality goal-directed peritoneal dialysis. </w:t>
      </w:r>
      <w:r w:rsidRPr="008A39AD">
        <w:rPr>
          <w:rFonts w:cstheme="minorHAnsi"/>
          <w:sz w:val="22"/>
          <w:szCs w:val="22"/>
        </w:rPr>
        <w:t>Am J Kidney Dis</w:t>
      </w:r>
      <w:r w:rsidRPr="008A39AD">
        <w:rPr>
          <w:rFonts w:cstheme="minorHAnsi"/>
          <w:color w:val="222222"/>
          <w:sz w:val="22"/>
          <w:szCs w:val="22"/>
          <w:shd w:val="clear" w:color="auto" w:fill="FFFFFF"/>
        </w:rPr>
        <w:t>. 77(2):157-71</w:t>
      </w:r>
      <w:r w:rsidR="004A38BC" w:rsidRPr="008A39AD">
        <w:rPr>
          <w:rFonts w:cstheme="minorHAnsi"/>
          <w:color w:val="222222"/>
          <w:sz w:val="22"/>
          <w:szCs w:val="22"/>
          <w:shd w:val="clear" w:color="auto" w:fill="FFFFFF"/>
        </w:rPr>
        <w:t>,</w:t>
      </w:r>
      <w:r w:rsidRPr="008A39AD">
        <w:rPr>
          <w:rFonts w:cstheme="minorHAnsi"/>
          <w:color w:val="222222"/>
          <w:sz w:val="22"/>
          <w:szCs w:val="22"/>
          <w:shd w:val="clear" w:color="auto" w:fill="FFFFFF"/>
        </w:rPr>
        <w:t xml:space="preserve"> </w:t>
      </w:r>
      <w:r w:rsidR="004A38BC" w:rsidRPr="008A39AD">
        <w:rPr>
          <w:rFonts w:cstheme="minorHAnsi"/>
          <w:color w:val="222222"/>
          <w:sz w:val="22"/>
          <w:szCs w:val="22"/>
          <w:shd w:val="clear" w:color="auto" w:fill="FFFFFF"/>
        </w:rPr>
        <w:t>2021</w:t>
      </w:r>
    </w:p>
    <w:p w14:paraId="35BBA4C0" w14:textId="77777777" w:rsidR="00175508" w:rsidRPr="008A39AD" w:rsidRDefault="00175508" w:rsidP="00175508">
      <w:pPr>
        <w:pStyle w:val="CommentText"/>
        <w:numPr>
          <w:ilvl w:val="0"/>
          <w:numId w:val="2"/>
        </w:numPr>
        <w:rPr>
          <w:rFonts w:cstheme="minorHAnsi"/>
          <w:sz w:val="22"/>
          <w:szCs w:val="22"/>
        </w:rPr>
      </w:pPr>
      <w:proofErr w:type="spellStart"/>
      <w:r w:rsidRPr="008A39AD">
        <w:rPr>
          <w:rFonts w:cstheme="minorHAnsi"/>
          <w:sz w:val="22"/>
          <w:szCs w:val="22"/>
        </w:rPr>
        <w:t>Westreich</w:t>
      </w:r>
      <w:proofErr w:type="spellEnd"/>
      <w:r w:rsidRPr="008A39AD">
        <w:rPr>
          <w:rFonts w:cstheme="minorHAnsi"/>
          <w:sz w:val="22"/>
          <w:szCs w:val="22"/>
        </w:rPr>
        <w:t xml:space="preserve"> D, Greenland S. The table 2 fallacy: presenting and interpreting confounder and modifier coefficients. Am J Epidemiol. 2013 Feb 15;177(4):292-8. </w:t>
      </w:r>
      <w:proofErr w:type="spellStart"/>
      <w:r w:rsidRPr="008A39AD">
        <w:rPr>
          <w:rFonts w:cstheme="minorHAnsi"/>
          <w:sz w:val="22"/>
          <w:szCs w:val="22"/>
        </w:rPr>
        <w:t>doi</w:t>
      </w:r>
      <w:proofErr w:type="spellEnd"/>
      <w:r w:rsidRPr="008A39AD">
        <w:rPr>
          <w:rFonts w:cstheme="minorHAnsi"/>
          <w:sz w:val="22"/>
          <w:szCs w:val="22"/>
        </w:rPr>
        <w:t>: 10.1093/</w:t>
      </w:r>
      <w:proofErr w:type="spellStart"/>
      <w:r w:rsidRPr="008A39AD">
        <w:rPr>
          <w:rFonts w:cstheme="minorHAnsi"/>
          <w:sz w:val="22"/>
          <w:szCs w:val="22"/>
        </w:rPr>
        <w:t>aje</w:t>
      </w:r>
      <w:proofErr w:type="spellEnd"/>
      <w:r w:rsidRPr="008A39AD">
        <w:rPr>
          <w:rFonts w:cstheme="minorHAnsi"/>
          <w:sz w:val="22"/>
          <w:szCs w:val="22"/>
        </w:rPr>
        <w:t xml:space="preserve">/kws412. </w:t>
      </w:r>
      <w:proofErr w:type="spellStart"/>
      <w:r w:rsidRPr="008A39AD">
        <w:rPr>
          <w:rFonts w:cstheme="minorHAnsi"/>
          <w:sz w:val="22"/>
          <w:szCs w:val="22"/>
        </w:rPr>
        <w:t>Epub</w:t>
      </w:r>
      <w:proofErr w:type="spellEnd"/>
      <w:r w:rsidRPr="008A39AD">
        <w:rPr>
          <w:rFonts w:cstheme="minorHAnsi"/>
          <w:sz w:val="22"/>
          <w:szCs w:val="22"/>
        </w:rPr>
        <w:t xml:space="preserve"> 2013 Jan 30. PMID: 23371353; PMCID: PMC3626058.</w:t>
      </w:r>
    </w:p>
    <w:p w14:paraId="7AAC1EC1" w14:textId="553C62C3" w:rsidR="00175508" w:rsidRPr="008A39AD" w:rsidRDefault="00175508" w:rsidP="00175508">
      <w:pPr>
        <w:pStyle w:val="CommentText"/>
        <w:numPr>
          <w:ilvl w:val="0"/>
          <w:numId w:val="2"/>
        </w:numPr>
        <w:rPr>
          <w:rFonts w:cstheme="minorHAnsi"/>
          <w:sz w:val="22"/>
          <w:szCs w:val="22"/>
        </w:rPr>
      </w:pPr>
      <w:proofErr w:type="spellStart"/>
      <w:r w:rsidRPr="008A39AD">
        <w:rPr>
          <w:rFonts w:cstheme="minorHAnsi"/>
          <w:sz w:val="22"/>
          <w:szCs w:val="22"/>
        </w:rPr>
        <w:t>Ethier</w:t>
      </w:r>
      <w:proofErr w:type="spellEnd"/>
      <w:r w:rsidRPr="008A39AD">
        <w:rPr>
          <w:rFonts w:cstheme="minorHAnsi"/>
          <w:sz w:val="22"/>
          <w:szCs w:val="22"/>
        </w:rPr>
        <w:t xml:space="preserve"> I, Boudville N, McDonald S, et al. Representativeness of the PDOPPS cohort compared to the Australian PD population. Peritoneal Dialysis International. November 2021. doi:10.1177/08968608211056242</w:t>
      </w:r>
    </w:p>
    <w:p w14:paraId="4A72AAA1" w14:textId="0ABAA079" w:rsidR="000F6C11" w:rsidRPr="008A39AD" w:rsidRDefault="00DB42E5" w:rsidP="000F6C11">
      <w:pPr>
        <w:pStyle w:val="CommentText"/>
        <w:numPr>
          <w:ilvl w:val="0"/>
          <w:numId w:val="2"/>
        </w:numPr>
        <w:rPr>
          <w:rFonts w:cstheme="minorHAnsi"/>
          <w:sz w:val="22"/>
          <w:szCs w:val="22"/>
        </w:rPr>
      </w:pPr>
      <w:r w:rsidRPr="008A39AD">
        <w:rPr>
          <w:rFonts w:cstheme="minorHAnsi"/>
          <w:sz w:val="22"/>
          <w:szCs w:val="22"/>
        </w:rPr>
        <w:t xml:space="preserve">PDOPPS Practice Monitor. </w:t>
      </w:r>
      <w:r w:rsidRPr="008A39AD">
        <w:t xml:space="preserve">DPM-PD Sampling, Study Design, and Calculation Methods. </w:t>
      </w:r>
      <w:r w:rsidRPr="008A39AD">
        <w:rPr>
          <w:rFonts w:cstheme="minorHAnsi"/>
          <w:sz w:val="22"/>
          <w:szCs w:val="22"/>
        </w:rPr>
        <w:t>https://www.dopps.org/DPM-PD/Data_Sources_Methods.pdf</w:t>
      </w:r>
    </w:p>
    <w:p w14:paraId="6B27C20E" w14:textId="163E0080" w:rsidR="00CD0DCD" w:rsidRPr="008A39AD" w:rsidRDefault="00CD0DCD" w:rsidP="0054676E">
      <w:pPr>
        <w:spacing w:after="200" w:line="480" w:lineRule="auto"/>
        <w:rPr>
          <w:rFonts w:ascii="Arial" w:hAnsi="Arial" w:cs="Arial"/>
        </w:rPr>
      </w:pPr>
    </w:p>
    <w:p w14:paraId="7B315280" w14:textId="292490F7" w:rsidR="00B319A5" w:rsidRPr="008A39AD" w:rsidRDefault="00B319A5" w:rsidP="0054676E">
      <w:pPr>
        <w:spacing w:after="200" w:line="480" w:lineRule="auto"/>
        <w:rPr>
          <w:rFonts w:ascii="Arial" w:hAnsi="Arial" w:cs="Arial"/>
        </w:rPr>
        <w:sectPr w:rsidR="00B319A5" w:rsidRPr="008A39AD">
          <w:headerReference w:type="default" r:id="rId11"/>
          <w:pgSz w:w="12240" w:h="15840"/>
          <w:pgMar w:top="1440" w:right="1440" w:bottom="1440" w:left="1440" w:header="720" w:footer="720" w:gutter="0"/>
          <w:cols w:space="720"/>
          <w:docGrid w:linePitch="360"/>
        </w:sectPr>
      </w:pPr>
    </w:p>
    <w:p w14:paraId="603C6C17" w14:textId="6E223E48" w:rsidR="000A45DF" w:rsidRPr="008A39AD" w:rsidRDefault="00DD76B2" w:rsidP="00192CB0">
      <w:pPr>
        <w:spacing w:after="0" w:line="480" w:lineRule="auto"/>
        <w:rPr>
          <w:rFonts w:ascii="Arial" w:hAnsi="Arial" w:cs="Arial"/>
        </w:rPr>
      </w:pPr>
      <w:r w:rsidRPr="008A39AD">
        <w:rPr>
          <w:rFonts w:ascii="Arial" w:hAnsi="Arial" w:cs="Arial"/>
        </w:rPr>
        <w:lastRenderedPageBreak/>
        <w:t>Table 1</w:t>
      </w:r>
      <w:r w:rsidR="00BD4557" w:rsidRPr="008A39AD">
        <w:rPr>
          <w:rFonts w:ascii="Arial" w:hAnsi="Arial" w:cs="Arial"/>
        </w:rPr>
        <w:t>A</w:t>
      </w:r>
      <w:r w:rsidR="00042F51" w:rsidRPr="008A39AD">
        <w:rPr>
          <w:rFonts w:ascii="Arial" w:hAnsi="Arial" w:cs="Arial"/>
        </w:rPr>
        <w:t>.</w:t>
      </w:r>
      <w:r w:rsidR="003766FA" w:rsidRPr="008A39AD">
        <w:rPr>
          <w:rFonts w:ascii="Arial" w:hAnsi="Arial" w:cs="Arial"/>
        </w:rPr>
        <w:t xml:space="preserve"> </w:t>
      </w:r>
      <w:r w:rsidR="00042F51" w:rsidRPr="008A39AD">
        <w:rPr>
          <w:rFonts w:ascii="Arial" w:hAnsi="Arial" w:cs="Arial"/>
        </w:rPr>
        <w:t>Patient</w:t>
      </w:r>
      <w:r w:rsidR="003766FA" w:rsidRPr="008A39AD">
        <w:rPr>
          <w:rFonts w:ascii="Arial" w:hAnsi="Arial" w:cs="Arial"/>
        </w:rPr>
        <w:t xml:space="preserve"> characteristics</w:t>
      </w:r>
      <w:r w:rsidR="007D5F58" w:rsidRPr="008A39AD">
        <w:rPr>
          <w:rFonts w:ascii="Arial" w:hAnsi="Arial" w:cs="Arial"/>
        </w:rPr>
        <w:t>.</w:t>
      </w:r>
    </w:p>
    <w:tbl>
      <w:tblPr>
        <w:tblW w:w="12832" w:type="dxa"/>
        <w:tblLook w:val="04A0" w:firstRow="1" w:lastRow="0" w:firstColumn="1" w:lastColumn="0" w:noHBand="0" w:noVBand="1"/>
      </w:tblPr>
      <w:tblGrid>
        <w:gridCol w:w="3496"/>
        <w:gridCol w:w="1556"/>
        <w:gridCol w:w="1556"/>
        <w:gridCol w:w="1556"/>
        <w:gridCol w:w="1556"/>
        <w:gridCol w:w="1556"/>
        <w:gridCol w:w="1556"/>
      </w:tblGrid>
      <w:tr w:rsidR="00034B5E" w:rsidRPr="008A39AD" w14:paraId="37EA4B9B" w14:textId="77777777" w:rsidTr="008F78E4">
        <w:trPr>
          <w:trHeight w:val="294"/>
        </w:trPr>
        <w:tc>
          <w:tcPr>
            <w:tcW w:w="3496" w:type="dxa"/>
            <w:tcBorders>
              <w:top w:val="single" w:sz="4" w:space="0" w:color="auto"/>
              <w:left w:val="nil"/>
              <w:bottom w:val="nil"/>
              <w:right w:val="nil"/>
            </w:tcBorders>
            <w:shd w:val="clear" w:color="auto" w:fill="auto"/>
            <w:noWrap/>
            <w:vAlign w:val="bottom"/>
            <w:hideMark/>
          </w:tcPr>
          <w:p w14:paraId="4C38872B" w14:textId="77777777" w:rsidR="00034B5E" w:rsidRPr="008A39AD" w:rsidRDefault="00034B5E" w:rsidP="00034B5E">
            <w:pPr>
              <w:spacing w:after="0" w:line="240" w:lineRule="auto"/>
              <w:rPr>
                <w:rFonts w:ascii="Arial" w:eastAsia="Times New Roman" w:hAnsi="Arial" w:cs="Arial"/>
                <w:color w:val="000000"/>
              </w:rPr>
            </w:pPr>
            <w:r w:rsidRPr="008A39AD">
              <w:rPr>
                <w:rFonts w:ascii="Arial" w:eastAsia="Times New Roman" w:hAnsi="Arial" w:cs="Arial"/>
                <w:color w:val="000000"/>
              </w:rPr>
              <w:t> </w:t>
            </w:r>
          </w:p>
        </w:tc>
        <w:tc>
          <w:tcPr>
            <w:tcW w:w="1556" w:type="dxa"/>
            <w:tcBorders>
              <w:top w:val="single" w:sz="4" w:space="0" w:color="auto"/>
              <w:left w:val="nil"/>
              <w:bottom w:val="nil"/>
              <w:right w:val="nil"/>
            </w:tcBorders>
            <w:shd w:val="clear" w:color="auto" w:fill="auto"/>
            <w:noWrap/>
            <w:vAlign w:val="bottom"/>
            <w:hideMark/>
          </w:tcPr>
          <w:p w14:paraId="2FA65171" w14:textId="77777777" w:rsidR="00034B5E" w:rsidRPr="008A39AD" w:rsidRDefault="00034B5E" w:rsidP="00034B5E">
            <w:pPr>
              <w:spacing w:after="0" w:line="240" w:lineRule="auto"/>
              <w:jc w:val="center"/>
              <w:rPr>
                <w:rFonts w:ascii="Arial" w:eastAsia="Times New Roman" w:hAnsi="Arial" w:cs="Arial"/>
                <w:b/>
                <w:bCs/>
                <w:color w:val="000000"/>
              </w:rPr>
            </w:pPr>
            <w:r w:rsidRPr="008A39AD">
              <w:rPr>
                <w:rFonts w:ascii="Arial" w:eastAsia="Times New Roman" w:hAnsi="Arial" w:cs="Arial"/>
                <w:b/>
                <w:bCs/>
                <w:color w:val="000000"/>
              </w:rPr>
              <w:t>A/NZ</w:t>
            </w:r>
          </w:p>
        </w:tc>
        <w:tc>
          <w:tcPr>
            <w:tcW w:w="1556" w:type="dxa"/>
            <w:tcBorders>
              <w:top w:val="single" w:sz="4" w:space="0" w:color="auto"/>
              <w:left w:val="nil"/>
              <w:bottom w:val="nil"/>
              <w:right w:val="nil"/>
            </w:tcBorders>
            <w:shd w:val="clear" w:color="auto" w:fill="auto"/>
            <w:noWrap/>
            <w:vAlign w:val="bottom"/>
            <w:hideMark/>
          </w:tcPr>
          <w:p w14:paraId="1A8F2735" w14:textId="77777777" w:rsidR="00034B5E" w:rsidRPr="008A39AD" w:rsidRDefault="00034B5E" w:rsidP="00034B5E">
            <w:pPr>
              <w:spacing w:after="0" w:line="240" w:lineRule="auto"/>
              <w:jc w:val="center"/>
              <w:rPr>
                <w:rFonts w:ascii="Arial" w:eastAsia="Times New Roman" w:hAnsi="Arial" w:cs="Arial"/>
                <w:b/>
                <w:bCs/>
                <w:color w:val="000000"/>
              </w:rPr>
            </w:pPr>
            <w:r w:rsidRPr="008A39AD">
              <w:rPr>
                <w:rFonts w:ascii="Arial" w:eastAsia="Times New Roman" w:hAnsi="Arial" w:cs="Arial"/>
                <w:b/>
                <w:bCs/>
                <w:color w:val="000000"/>
              </w:rPr>
              <w:t>Canada</w:t>
            </w:r>
          </w:p>
        </w:tc>
        <w:tc>
          <w:tcPr>
            <w:tcW w:w="1556" w:type="dxa"/>
            <w:tcBorders>
              <w:top w:val="single" w:sz="4" w:space="0" w:color="auto"/>
              <w:left w:val="nil"/>
              <w:bottom w:val="nil"/>
              <w:right w:val="nil"/>
            </w:tcBorders>
            <w:shd w:val="clear" w:color="auto" w:fill="auto"/>
            <w:noWrap/>
            <w:vAlign w:val="bottom"/>
            <w:hideMark/>
          </w:tcPr>
          <w:p w14:paraId="00DFD6DA" w14:textId="77777777" w:rsidR="00034B5E" w:rsidRPr="008A39AD" w:rsidRDefault="00034B5E" w:rsidP="00034B5E">
            <w:pPr>
              <w:spacing w:after="0" w:line="240" w:lineRule="auto"/>
              <w:jc w:val="center"/>
              <w:rPr>
                <w:rFonts w:ascii="Arial" w:eastAsia="Times New Roman" w:hAnsi="Arial" w:cs="Arial"/>
                <w:b/>
                <w:bCs/>
                <w:color w:val="000000"/>
              </w:rPr>
            </w:pPr>
            <w:r w:rsidRPr="008A39AD">
              <w:rPr>
                <w:rFonts w:ascii="Arial" w:eastAsia="Times New Roman" w:hAnsi="Arial" w:cs="Arial"/>
                <w:b/>
                <w:bCs/>
                <w:color w:val="000000"/>
              </w:rPr>
              <w:t>Japan</w:t>
            </w:r>
          </w:p>
        </w:tc>
        <w:tc>
          <w:tcPr>
            <w:tcW w:w="1556" w:type="dxa"/>
            <w:tcBorders>
              <w:top w:val="single" w:sz="4" w:space="0" w:color="auto"/>
              <w:left w:val="nil"/>
              <w:bottom w:val="nil"/>
              <w:right w:val="nil"/>
            </w:tcBorders>
            <w:shd w:val="clear" w:color="auto" w:fill="auto"/>
            <w:noWrap/>
            <w:vAlign w:val="bottom"/>
            <w:hideMark/>
          </w:tcPr>
          <w:p w14:paraId="26421E52" w14:textId="77777777" w:rsidR="00034B5E" w:rsidRPr="008A39AD" w:rsidRDefault="00034B5E" w:rsidP="00034B5E">
            <w:pPr>
              <w:spacing w:after="0" w:line="240" w:lineRule="auto"/>
              <w:jc w:val="center"/>
              <w:rPr>
                <w:rFonts w:ascii="Arial" w:eastAsia="Times New Roman" w:hAnsi="Arial" w:cs="Arial"/>
                <w:b/>
                <w:bCs/>
                <w:color w:val="000000"/>
              </w:rPr>
            </w:pPr>
            <w:r w:rsidRPr="008A39AD">
              <w:rPr>
                <w:rFonts w:ascii="Arial" w:eastAsia="Times New Roman" w:hAnsi="Arial" w:cs="Arial"/>
                <w:b/>
                <w:bCs/>
                <w:color w:val="000000"/>
              </w:rPr>
              <w:t>Thailand</w:t>
            </w:r>
          </w:p>
        </w:tc>
        <w:tc>
          <w:tcPr>
            <w:tcW w:w="1556" w:type="dxa"/>
            <w:tcBorders>
              <w:top w:val="single" w:sz="4" w:space="0" w:color="auto"/>
              <w:left w:val="nil"/>
              <w:bottom w:val="nil"/>
              <w:right w:val="nil"/>
            </w:tcBorders>
            <w:shd w:val="clear" w:color="auto" w:fill="auto"/>
            <w:noWrap/>
            <w:vAlign w:val="bottom"/>
            <w:hideMark/>
          </w:tcPr>
          <w:p w14:paraId="51920150" w14:textId="77777777" w:rsidR="00034B5E" w:rsidRPr="008A39AD" w:rsidRDefault="00034B5E" w:rsidP="00034B5E">
            <w:pPr>
              <w:spacing w:after="0" w:line="240" w:lineRule="auto"/>
              <w:jc w:val="center"/>
              <w:rPr>
                <w:rFonts w:ascii="Arial" w:eastAsia="Times New Roman" w:hAnsi="Arial" w:cs="Arial"/>
                <w:b/>
                <w:bCs/>
                <w:color w:val="000000"/>
              </w:rPr>
            </w:pPr>
            <w:r w:rsidRPr="008A39AD">
              <w:rPr>
                <w:rFonts w:ascii="Arial" w:eastAsia="Times New Roman" w:hAnsi="Arial" w:cs="Arial"/>
                <w:b/>
                <w:bCs/>
                <w:color w:val="000000"/>
              </w:rPr>
              <w:t>UK</w:t>
            </w:r>
          </w:p>
        </w:tc>
        <w:tc>
          <w:tcPr>
            <w:tcW w:w="1556" w:type="dxa"/>
            <w:tcBorders>
              <w:top w:val="single" w:sz="4" w:space="0" w:color="auto"/>
              <w:left w:val="nil"/>
              <w:bottom w:val="nil"/>
              <w:right w:val="nil"/>
            </w:tcBorders>
            <w:shd w:val="clear" w:color="auto" w:fill="auto"/>
            <w:noWrap/>
            <w:vAlign w:val="bottom"/>
            <w:hideMark/>
          </w:tcPr>
          <w:p w14:paraId="69493104" w14:textId="77777777" w:rsidR="00034B5E" w:rsidRPr="008A39AD" w:rsidRDefault="00034B5E" w:rsidP="00034B5E">
            <w:pPr>
              <w:spacing w:after="0" w:line="240" w:lineRule="auto"/>
              <w:jc w:val="center"/>
              <w:rPr>
                <w:rFonts w:ascii="Arial" w:eastAsia="Times New Roman" w:hAnsi="Arial" w:cs="Arial"/>
                <w:b/>
                <w:bCs/>
                <w:color w:val="000000"/>
              </w:rPr>
            </w:pPr>
            <w:r w:rsidRPr="008A39AD">
              <w:rPr>
                <w:rFonts w:ascii="Arial" w:eastAsia="Times New Roman" w:hAnsi="Arial" w:cs="Arial"/>
                <w:b/>
                <w:bCs/>
                <w:color w:val="000000"/>
              </w:rPr>
              <w:t>US</w:t>
            </w:r>
          </w:p>
        </w:tc>
      </w:tr>
      <w:tr w:rsidR="00034B5E" w:rsidRPr="008A39AD" w14:paraId="0C7B0711" w14:textId="77777777" w:rsidTr="008F78E4">
        <w:trPr>
          <w:trHeight w:val="294"/>
        </w:trPr>
        <w:tc>
          <w:tcPr>
            <w:tcW w:w="3496" w:type="dxa"/>
            <w:tcBorders>
              <w:top w:val="nil"/>
              <w:left w:val="nil"/>
              <w:right w:val="nil"/>
            </w:tcBorders>
            <w:shd w:val="clear" w:color="000000" w:fill="DDEBF7"/>
            <w:noWrap/>
            <w:vAlign w:val="bottom"/>
            <w:hideMark/>
          </w:tcPr>
          <w:p w14:paraId="32635B64" w14:textId="5FC088D0" w:rsidR="00034B5E" w:rsidRPr="008A39AD" w:rsidRDefault="00034B5E" w:rsidP="00034B5E">
            <w:pPr>
              <w:spacing w:after="0" w:line="240" w:lineRule="auto"/>
              <w:rPr>
                <w:rFonts w:ascii="Arial" w:eastAsia="Times New Roman" w:hAnsi="Arial" w:cs="Arial"/>
                <w:color w:val="000000"/>
              </w:rPr>
            </w:pPr>
          </w:p>
        </w:tc>
        <w:tc>
          <w:tcPr>
            <w:tcW w:w="1556" w:type="dxa"/>
            <w:tcBorders>
              <w:top w:val="nil"/>
              <w:left w:val="nil"/>
              <w:right w:val="nil"/>
            </w:tcBorders>
            <w:shd w:val="clear" w:color="000000" w:fill="DDEBF7"/>
            <w:noWrap/>
            <w:vAlign w:val="bottom"/>
            <w:hideMark/>
          </w:tcPr>
          <w:p w14:paraId="28B5DC41" w14:textId="77777777" w:rsidR="00034B5E" w:rsidRPr="008A39AD" w:rsidRDefault="00034B5E" w:rsidP="00034B5E">
            <w:pPr>
              <w:spacing w:after="0" w:line="240" w:lineRule="auto"/>
              <w:jc w:val="center"/>
              <w:rPr>
                <w:rFonts w:ascii="Arial" w:eastAsia="Times New Roman" w:hAnsi="Arial" w:cs="Arial"/>
                <w:color w:val="000000"/>
              </w:rPr>
            </w:pPr>
            <w:r w:rsidRPr="008A39AD">
              <w:rPr>
                <w:rFonts w:ascii="Arial" w:eastAsia="Times New Roman" w:hAnsi="Arial" w:cs="Arial"/>
                <w:color w:val="000000"/>
              </w:rPr>
              <w:t> </w:t>
            </w:r>
          </w:p>
        </w:tc>
        <w:tc>
          <w:tcPr>
            <w:tcW w:w="1556" w:type="dxa"/>
            <w:tcBorders>
              <w:top w:val="nil"/>
              <w:left w:val="nil"/>
              <w:right w:val="nil"/>
            </w:tcBorders>
            <w:shd w:val="clear" w:color="000000" w:fill="DDEBF7"/>
            <w:noWrap/>
            <w:vAlign w:val="bottom"/>
            <w:hideMark/>
          </w:tcPr>
          <w:p w14:paraId="63CF63AE" w14:textId="77777777" w:rsidR="00034B5E" w:rsidRPr="008A39AD" w:rsidRDefault="00034B5E" w:rsidP="00034B5E">
            <w:pPr>
              <w:spacing w:after="0" w:line="240" w:lineRule="auto"/>
              <w:jc w:val="center"/>
              <w:rPr>
                <w:rFonts w:ascii="Arial" w:eastAsia="Times New Roman" w:hAnsi="Arial" w:cs="Arial"/>
                <w:color w:val="000000"/>
              </w:rPr>
            </w:pPr>
            <w:r w:rsidRPr="008A39AD">
              <w:rPr>
                <w:rFonts w:ascii="Arial" w:eastAsia="Times New Roman" w:hAnsi="Arial" w:cs="Arial"/>
                <w:color w:val="000000"/>
              </w:rPr>
              <w:t> </w:t>
            </w:r>
          </w:p>
        </w:tc>
        <w:tc>
          <w:tcPr>
            <w:tcW w:w="1556" w:type="dxa"/>
            <w:tcBorders>
              <w:top w:val="nil"/>
              <w:left w:val="nil"/>
              <w:right w:val="nil"/>
            </w:tcBorders>
            <w:shd w:val="clear" w:color="000000" w:fill="DDEBF7"/>
            <w:noWrap/>
            <w:vAlign w:val="bottom"/>
            <w:hideMark/>
          </w:tcPr>
          <w:p w14:paraId="263001A6" w14:textId="77777777" w:rsidR="00034B5E" w:rsidRPr="008A39AD" w:rsidRDefault="00034B5E" w:rsidP="00034B5E">
            <w:pPr>
              <w:spacing w:after="0" w:line="240" w:lineRule="auto"/>
              <w:jc w:val="center"/>
              <w:rPr>
                <w:rFonts w:ascii="Arial" w:eastAsia="Times New Roman" w:hAnsi="Arial" w:cs="Arial"/>
                <w:color w:val="000000"/>
              </w:rPr>
            </w:pPr>
            <w:r w:rsidRPr="008A39AD">
              <w:rPr>
                <w:rFonts w:ascii="Arial" w:eastAsia="Times New Roman" w:hAnsi="Arial" w:cs="Arial"/>
                <w:color w:val="000000"/>
              </w:rPr>
              <w:t> </w:t>
            </w:r>
          </w:p>
        </w:tc>
        <w:tc>
          <w:tcPr>
            <w:tcW w:w="1556" w:type="dxa"/>
            <w:tcBorders>
              <w:top w:val="nil"/>
              <w:left w:val="nil"/>
              <w:right w:val="nil"/>
            </w:tcBorders>
            <w:shd w:val="clear" w:color="000000" w:fill="DDEBF7"/>
            <w:noWrap/>
            <w:vAlign w:val="bottom"/>
            <w:hideMark/>
          </w:tcPr>
          <w:p w14:paraId="1ABC0550" w14:textId="77777777" w:rsidR="00034B5E" w:rsidRPr="008A39AD" w:rsidRDefault="00034B5E" w:rsidP="00034B5E">
            <w:pPr>
              <w:spacing w:after="0" w:line="240" w:lineRule="auto"/>
              <w:jc w:val="center"/>
              <w:rPr>
                <w:rFonts w:ascii="Arial" w:eastAsia="Times New Roman" w:hAnsi="Arial" w:cs="Arial"/>
                <w:color w:val="000000"/>
              </w:rPr>
            </w:pPr>
            <w:r w:rsidRPr="008A39AD">
              <w:rPr>
                <w:rFonts w:ascii="Arial" w:eastAsia="Times New Roman" w:hAnsi="Arial" w:cs="Arial"/>
                <w:color w:val="000000"/>
              </w:rPr>
              <w:t> </w:t>
            </w:r>
          </w:p>
        </w:tc>
        <w:tc>
          <w:tcPr>
            <w:tcW w:w="1556" w:type="dxa"/>
            <w:tcBorders>
              <w:top w:val="nil"/>
              <w:left w:val="nil"/>
              <w:right w:val="nil"/>
            </w:tcBorders>
            <w:shd w:val="clear" w:color="000000" w:fill="DDEBF7"/>
            <w:noWrap/>
            <w:vAlign w:val="bottom"/>
            <w:hideMark/>
          </w:tcPr>
          <w:p w14:paraId="3A2496E5" w14:textId="77777777" w:rsidR="00034B5E" w:rsidRPr="008A39AD" w:rsidRDefault="00034B5E" w:rsidP="00034B5E">
            <w:pPr>
              <w:spacing w:after="0" w:line="240" w:lineRule="auto"/>
              <w:jc w:val="center"/>
              <w:rPr>
                <w:rFonts w:ascii="Arial" w:eastAsia="Times New Roman" w:hAnsi="Arial" w:cs="Arial"/>
                <w:color w:val="000000"/>
              </w:rPr>
            </w:pPr>
            <w:r w:rsidRPr="008A39AD">
              <w:rPr>
                <w:rFonts w:ascii="Arial" w:eastAsia="Times New Roman" w:hAnsi="Arial" w:cs="Arial"/>
                <w:color w:val="000000"/>
              </w:rPr>
              <w:t> </w:t>
            </w:r>
          </w:p>
        </w:tc>
        <w:tc>
          <w:tcPr>
            <w:tcW w:w="1556" w:type="dxa"/>
            <w:tcBorders>
              <w:top w:val="nil"/>
              <w:left w:val="nil"/>
              <w:right w:val="nil"/>
            </w:tcBorders>
            <w:shd w:val="clear" w:color="000000" w:fill="DDEBF7"/>
            <w:noWrap/>
            <w:vAlign w:val="bottom"/>
            <w:hideMark/>
          </w:tcPr>
          <w:p w14:paraId="28BD97F3" w14:textId="77777777" w:rsidR="00034B5E" w:rsidRPr="008A39AD" w:rsidRDefault="00034B5E" w:rsidP="00034B5E">
            <w:pPr>
              <w:spacing w:after="0" w:line="240" w:lineRule="auto"/>
              <w:jc w:val="center"/>
              <w:rPr>
                <w:rFonts w:ascii="Arial" w:eastAsia="Times New Roman" w:hAnsi="Arial" w:cs="Arial"/>
                <w:color w:val="000000"/>
              </w:rPr>
            </w:pPr>
            <w:r w:rsidRPr="008A39AD">
              <w:rPr>
                <w:rFonts w:ascii="Arial" w:eastAsia="Times New Roman" w:hAnsi="Arial" w:cs="Arial"/>
                <w:color w:val="000000"/>
              </w:rPr>
              <w:t> </w:t>
            </w:r>
          </w:p>
        </w:tc>
      </w:tr>
      <w:tr w:rsidR="00125DB6" w:rsidRPr="008A39AD" w14:paraId="10AC8131" w14:textId="77777777" w:rsidTr="008F78E4">
        <w:trPr>
          <w:trHeight w:val="294"/>
        </w:trPr>
        <w:tc>
          <w:tcPr>
            <w:tcW w:w="3496" w:type="dxa"/>
            <w:tcBorders>
              <w:top w:val="nil"/>
              <w:left w:val="nil"/>
              <w:bottom w:val="single" w:sz="4" w:space="0" w:color="auto"/>
              <w:right w:val="nil"/>
            </w:tcBorders>
            <w:shd w:val="clear" w:color="auto" w:fill="auto"/>
            <w:noWrap/>
            <w:vAlign w:val="bottom"/>
            <w:hideMark/>
          </w:tcPr>
          <w:p w14:paraId="66CADD15" w14:textId="77777777"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Number of patients</w:t>
            </w:r>
          </w:p>
        </w:tc>
        <w:tc>
          <w:tcPr>
            <w:tcW w:w="1556" w:type="dxa"/>
            <w:tcBorders>
              <w:top w:val="nil"/>
              <w:left w:val="nil"/>
              <w:bottom w:val="single" w:sz="4" w:space="0" w:color="auto"/>
              <w:right w:val="nil"/>
            </w:tcBorders>
            <w:shd w:val="clear" w:color="auto" w:fill="auto"/>
            <w:noWrap/>
            <w:vAlign w:val="bottom"/>
            <w:hideMark/>
          </w:tcPr>
          <w:p w14:paraId="0F905A87" w14:textId="09B2AF62"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549</w:t>
            </w:r>
          </w:p>
        </w:tc>
        <w:tc>
          <w:tcPr>
            <w:tcW w:w="1556" w:type="dxa"/>
            <w:tcBorders>
              <w:top w:val="nil"/>
              <w:left w:val="nil"/>
              <w:bottom w:val="single" w:sz="4" w:space="0" w:color="auto"/>
              <w:right w:val="nil"/>
            </w:tcBorders>
            <w:shd w:val="clear" w:color="auto" w:fill="auto"/>
            <w:noWrap/>
            <w:vAlign w:val="bottom"/>
            <w:hideMark/>
          </w:tcPr>
          <w:p w14:paraId="2FEDB619" w14:textId="21410BC3"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907</w:t>
            </w:r>
          </w:p>
        </w:tc>
        <w:tc>
          <w:tcPr>
            <w:tcW w:w="1556" w:type="dxa"/>
            <w:tcBorders>
              <w:top w:val="nil"/>
              <w:left w:val="nil"/>
              <w:bottom w:val="single" w:sz="4" w:space="0" w:color="auto"/>
              <w:right w:val="nil"/>
            </w:tcBorders>
            <w:shd w:val="clear" w:color="auto" w:fill="auto"/>
            <w:noWrap/>
            <w:vAlign w:val="bottom"/>
            <w:hideMark/>
          </w:tcPr>
          <w:p w14:paraId="4D6FBABE" w14:textId="0CF8E126"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795</w:t>
            </w:r>
          </w:p>
        </w:tc>
        <w:tc>
          <w:tcPr>
            <w:tcW w:w="1556" w:type="dxa"/>
            <w:tcBorders>
              <w:top w:val="nil"/>
              <w:left w:val="nil"/>
              <w:bottom w:val="single" w:sz="4" w:space="0" w:color="auto"/>
              <w:right w:val="nil"/>
            </w:tcBorders>
            <w:shd w:val="clear" w:color="auto" w:fill="auto"/>
            <w:noWrap/>
            <w:vAlign w:val="bottom"/>
            <w:hideMark/>
          </w:tcPr>
          <w:p w14:paraId="525BE6CF" w14:textId="765B8C12"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830</w:t>
            </w:r>
          </w:p>
        </w:tc>
        <w:tc>
          <w:tcPr>
            <w:tcW w:w="1556" w:type="dxa"/>
            <w:tcBorders>
              <w:top w:val="nil"/>
              <w:left w:val="nil"/>
              <w:bottom w:val="single" w:sz="4" w:space="0" w:color="auto"/>
              <w:right w:val="nil"/>
            </w:tcBorders>
            <w:shd w:val="clear" w:color="auto" w:fill="auto"/>
            <w:noWrap/>
            <w:vAlign w:val="bottom"/>
            <w:hideMark/>
          </w:tcPr>
          <w:p w14:paraId="2AB28099" w14:textId="39724435"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354</w:t>
            </w:r>
          </w:p>
        </w:tc>
        <w:tc>
          <w:tcPr>
            <w:tcW w:w="1556" w:type="dxa"/>
            <w:tcBorders>
              <w:top w:val="nil"/>
              <w:left w:val="nil"/>
              <w:bottom w:val="single" w:sz="4" w:space="0" w:color="auto"/>
              <w:right w:val="nil"/>
            </w:tcBorders>
            <w:shd w:val="clear" w:color="auto" w:fill="auto"/>
            <w:noWrap/>
            <w:vAlign w:val="bottom"/>
            <w:hideMark/>
          </w:tcPr>
          <w:p w14:paraId="1CFC288E" w14:textId="386407A5"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3686</w:t>
            </w:r>
          </w:p>
        </w:tc>
      </w:tr>
      <w:tr w:rsidR="00125DB6" w:rsidRPr="008A39AD" w14:paraId="189C408B" w14:textId="77777777" w:rsidTr="008F78E4">
        <w:trPr>
          <w:trHeight w:val="294"/>
        </w:trPr>
        <w:tc>
          <w:tcPr>
            <w:tcW w:w="3496" w:type="dxa"/>
            <w:tcBorders>
              <w:top w:val="single" w:sz="4" w:space="0" w:color="auto"/>
              <w:left w:val="nil"/>
              <w:bottom w:val="nil"/>
              <w:right w:val="nil"/>
            </w:tcBorders>
            <w:shd w:val="clear" w:color="auto" w:fill="auto"/>
            <w:noWrap/>
            <w:vAlign w:val="bottom"/>
            <w:hideMark/>
          </w:tcPr>
          <w:p w14:paraId="44E4F1B8" w14:textId="77777777"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Patient age, years</w:t>
            </w:r>
          </w:p>
        </w:tc>
        <w:tc>
          <w:tcPr>
            <w:tcW w:w="1556" w:type="dxa"/>
            <w:tcBorders>
              <w:top w:val="single" w:sz="4" w:space="0" w:color="auto"/>
              <w:left w:val="nil"/>
              <w:bottom w:val="nil"/>
              <w:right w:val="nil"/>
            </w:tcBorders>
            <w:shd w:val="clear" w:color="auto" w:fill="auto"/>
            <w:noWrap/>
            <w:vAlign w:val="bottom"/>
            <w:hideMark/>
          </w:tcPr>
          <w:p w14:paraId="1E19ED2C" w14:textId="501669B3"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63(14)</w:t>
            </w:r>
          </w:p>
        </w:tc>
        <w:tc>
          <w:tcPr>
            <w:tcW w:w="1556" w:type="dxa"/>
            <w:tcBorders>
              <w:top w:val="single" w:sz="4" w:space="0" w:color="auto"/>
              <w:left w:val="nil"/>
              <w:bottom w:val="nil"/>
              <w:right w:val="nil"/>
            </w:tcBorders>
            <w:shd w:val="clear" w:color="auto" w:fill="auto"/>
            <w:noWrap/>
            <w:vAlign w:val="bottom"/>
            <w:hideMark/>
          </w:tcPr>
          <w:p w14:paraId="63AC75D7" w14:textId="1FF5268E"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61(15)</w:t>
            </w:r>
          </w:p>
        </w:tc>
        <w:tc>
          <w:tcPr>
            <w:tcW w:w="1556" w:type="dxa"/>
            <w:tcBorders>
              <w:top w:val="single" w:sz="4" w:space="0" w:color="auto"/>
              <w:left w:val="nil"/>
              <w:bottom w:val="nil"/>
              <w:right w:val="nil"/>
            </w:tcBorders>
            <w:shd w:val="clear" w:color="auto" w:fill="auto"/>
            <w:noWrap/>
            <w:vAlign w:val="bottom"/>
            <w:hideMark/>
          </w:tcPr>
          <w:p w14:paraId="6A31B688" w14:textId="7411EFDD"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64(13)</w:t>
            </w:r>
          </w:p>
        </w:tc>
        <w:tc>
          <w:tcPr>
            <w:tcW w:w="1556" w:type="dxa"/>
            <w:tcBorders>
              <w:top w:val="single" w:sz="4" w:space="0" w:color="auto"/>
              <w:left w:val="nil"/>
              <w:bottom w:val="nil"/>
              <w:right w:val="nil"/>
            </w:tcBorders>
            <w:shd w:val="clear" w:color="auto" w:fill="auto"/>
            <w:noWrap/>
            <w:vAlign w:val="bottom"/>
            <w:hideMark/>
          </w:tcPr>
          <w:p w14:paraId="10348229" w14:textId="0371BF05"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56(14)</w:t>
            </w:r>
          </w:p>
        </w:tc>
        <w:tc>
          <w:tcPr>
            <w:tcW w:w="1556" w:type="dxa"/>
            <w:tcBorders>
              <w:top w:val="single" w:sz="4" w:space="0" w:color="auto"/>
              <w:left w:val="nil"/>
              <w:bottom w:val="nil"/>
              <w:right w:val="nil"/>
            </w:tcBorders>
            <w:shd w:val="clear" w:color="auto" w:fill="auto"/>
            <w:noWrap/>
            <w:vAlign w:val="bottom"/>
            <w:hideMark/>
          </w:tcPr>
          <w:p w14:paraId="497210F2" w14:textId="1F41B732"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60(15)</w:t>
            </w:r>
          </w:p>
        </w:tc>
        <w:tc>
          <w:tcPr>
            <w:tcW w:w="1556" w:type="dxa"/>
            <w:tcBorders>
              <w:top w:val="single" w:sz="4" w:space="0" w:color="auto"/>
              <w:left w:val="nil"/>
              <w:bottom w:val="nil"/>
              <w:right w:val="nil"/>
            </w:tcBorders>
            <w:shd w:val="clear" w:color="auto" w:fill="auto"/>
            <w:noWrap/>
            <w:vAlign w:val="bottom"/>
            <w:hideMark/>
          </w:tcPr>
          <w:p w14:paraId="3800FAA4" w14:textId="081EA522"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58(15)</w:t>
            </w:r>
          </w:p>
        </w:tc>
      </w:tr>
      <w:tr w:rsidR="00125DB6" w:rsidRPr="008A39AD" w14:paraId="2C7565C3" w14:textId="77777777" w:rsidTr="008F78E4">
        <w:trPr>
          <w:trHeight w:val="294"/>
        </w:trPr>
        <w:tc>
          <w:tcPr>
            <w:tcW w:w="3496" w:type="dxa"/>
            <w:tcBorders>
              <w:top w:val="nil"/>
              <w:left w:val="nil"/>
              <w:bottom w:val="nil"/>
              <w:right w:val="nil"/>
            </w:tcBorders>
            <w:shd w:val="clear" w:color="auto" w:fill="auto"/>
            <w:noWrap/>
            <w:vAlign w:val="bottom"/>
            <w:hideMark/>
          </w:tcPr>
          <w:p w14:paraId="3D64DB9B" w14:textId="77777777"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Male sex, %</w:t>
            </w:r>
          </w:p>
        </w:tc>
        <w:tc>
          <w:tcPr>
            <w:tcW w:w="1556" w:type="dxa"/>
            <w:tcBorders>
              <w:top w:val="nil"/>
              <w:left w:val="nil"/>
              <w:bottom w:val="nil"/>
              <w:right w:val="nil"/>
            </w:tcBorders>
            <w:shd w:val="clear" w:color="auto" w:fill="auto"/>
            <w:noWrap/>
            <w:vAlign w:val="bottom"/>
            <w:hideMark/>
          </w:tcPr>
          <w:p w14:paraId="61498B3E" w14:textId="30DC54B9"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67%</w:t>
            </w:r>
          </w:p>
        </w:tc>
        <w:tc>
          <w:tcPr>
            <w:tcW w:w="1556" w:type="dxa"/>
            <w:tcBorders>
              <w:top w:val="nil"/>
              <w:left w:val="nil"/>
              <w:bottom w:val="nil"/>
              <w:right w:val="nil"/>
            </w:tcBorders>
            <w:shd w:val="clear" w:color="auto" w:fill="auto"/>
            <w:noWrap/>
            <w:vAlign w:val="bottom"/>
            <w:hideMark/>
          </w:tcPr>
          <w:p w14:paraId="5D6FC3BB" w14:textId="2E1961A4"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62%</w:t>
            </w:r>
          </w:p>
        </w:tc>
        <w:tc>
          <w:tcPr>
            <w:tcW w:w="1556" w:type="dxa"/>
            <w:tcBorders>
              <w:top w:val="nil"/>
              <w:left w:val="nil"/>
              <w:bottom w:val="nil"/>
              <w:right w:val="nil"/>
            </w:tcBorders>
            <w:shd w:val="clear" w:color="auto" w:fill="auto"/>
            <w:noWrap/>
            <w:vAlign w:val="bottom"/>
            <w:hideMark/>
          </w:tcPr>
          <w:p w14:paraId="23B4C097" w14:textId="51CFAF2A"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67%</w:t>
            </w:r>
          </w:p>
        </w:tc>
        <w:tc>
          <w:tcPr>
            <w:tcW w:w="1556" w:type="dxa"/>
            <w:tcBorders>
              <w:top w:val="nil"/>
              <w:left w:val="nil"/>
              <w:bottom w:val="nil"/>
              <w:right w:val="nil"/>
            </w:tcBorders>
            <w:shd w:val="clear" w:color="auto" w:fill="auto"/>
            <w:noWrap/>
            <w:vAlign w:val="bottom"/>
            <w:hideMark/>
          </w:tcPr>
          <w:p w14:paraId="684D2AA8" w14:textId="6C670A7D"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51%</w:t>
            </w:r>
          </w:p>
        </w:tc>
        <w:tc>
          <w:tcPr>
            <w:tcW w:w="1556" w:type="dxa"/>
            <w:tcBorders>
              <w:top w:val="nil"/>
              <w:left w:val="nil"/>
              <w:bottom w:val="nil"/>
              <w:right w:val="nil"/>
            </w:tcBorders>
            <w:shd w:val="clear" w:color="auto" w:fill="auto"/>
            <w:noWrap/>
            <w:vAlign w:val="bottom"/>
            <w:hideMark/>
          </w:tcPr>
          <w:p w14:paraId="736A6C02" w14:textId="4FDBAB9C"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64%</w:t>
            </w:r>
          </w:p>
        </w:tc>
        <w:tc>
          <w:tcPr>
            <w:tcW w:w="1556" w:type="dxa"/>
            <w:tcBorders>
              <w:top w:val="nil"/>
              <w:left w:val="nil"/>
              <w:bottom w:val="nil"/>
              <w:right w:val="nil"/>
            </w:tcBorders>
            <w:shd w:val="clear" w:color="auto" w:fill="auto"/>
            <w:noWrap/>
            <w:vAlign w:val="bottom"/>
            <w:hideMark/>
          </w:tcPr>
          <w:p w14:paraId="54BE8807" w14:textId="4F895225"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56%</w:t>
            </w:r>
          </w:p>
        </w:tc>
      </w:tr>
      <w:tr w:rsidR="00125DB6" w:rsidRPr="008A39AD" w14:paraId="65EE664B" w14:textId="77777777" w:rsidTr="00125DB6">
        <w:trPr>
          <w:trHeight w:val="294"/>
        </w:trPr>
        <w:tc>
          <w:tcPr>
            <w:tcW w:w="3496" w:type="dxa"/>
            <w:tcBorders>
              <w:top w:val="nil"/>
              <w:left w:val="nil"/>
              <w:bottom w:val="nil"/>
              <w:right w:val="nil"/>
            </w:tcBorders>
            <w:shd w:val="clear" w:color="auto" w:fill="auto"/>
            <w:noWrap/>
            <w:vAlign w:val="bottom"/>
          </w:tcPr>
          <w:p w14:paraId="431CE690" w14:textId="25A12EA7"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Time on PD, years</w:t>
            </w:r>
          </w:p>
        </w:tc>
        <w:tc>
          <w:tcPr>
            <w:tcW w:w="1556" w:type="dxa"/>
            <w:tcBorders>
              <w:top w:val="nil"/>
              <w:left w:val="nil"/>
              <w:bottom w:val="nil"/>
              <w:right w:val="nil"/>
            </w:tcBorders>
            <w:shd w:val="clear" w:color="auto" w:fill="auto"/>
            <w:noWrap/>
            <w:vAlign w:val="bottom"/>
          </w:tcPr>
          <w:p w14:paraId="46C5FE53" w14:textId="31AEE5D5"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1.33(1.69)</w:t>
            </w:r>
          </w:p>
        </w:tc>
        <w:tc>
          <w:tcPr>
            <w:tcW w:w="1556" w:type="dxa"/>
            <w:tcBorders>
              <w:top w:val="nil"/>
              <w:left w:val="nil"/>
              <w:bottom w:val="nil"/>
              <w:right w:val="nil"/>
            </w:tcBorders>
            <w:shd w:val="clear" w:color="auto" w:fill="auto"/>
            <w:noWrap/>
            <w:vAlign w:val="bottom"/>
          </w:tcPr>
          <w:p w14:paraId="34BA9217" w14:textId="1B9AB849"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1.24(2.04)</w:t>
            </w:r>
          </w:p>
        </w:tc>
        <w:tc>
          <w:tcPr>
            <w:tcW w:w="1556" w:type="dxa"/>
            <w:tcBorders>
              <w:top w:val="nil"/>
              <w:left w:val="nil"/>
              <w:bottom w:val="nil"/>
              <w:right w:val="nil"/>
            </w:tcBorders>
            <w:shd w:val="clear" w:color="auto" w:fill="auto"/>
            <w:noWrap/>
            <w:vAlign w:val="bottom"/>
          </w:tcPr>
          <w:p w14:paraId="74835152" w14:textId="265E7401"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1.86(2.32)</w:t>
            </w:r>
          </w:p>
        </w:tc>
        <w:tc>
          <w:tcPr>
            <w:tcW w:w="1556" w:type="dxa"/>
            <w:tcBorders>
              <w:top w:val="nil"/>
              <w:left w:val="nil"/>
              <w:bottom w:val="nil"/>
              <w:right w:val="nil"/>
            </w:tcBorders>
            <w:shd w:val="clear" w:color="auto" w:fill="auto"/>
            <w:noWrap/>
            <w:vAlign w:val="bottom"/>
          </w:tcPr>
          <w:p w14:paraId="6CD3B63D" w14:textId="42A966F0"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1.50(1.86)</w:t>
            </w:r>
          </w:p>
        </w:tc>
        <w:tc>
          <w:tcPr>
            <w:tcW w:w="1556" w:type="dxa"/>
            <w:tcBorders>
              <w:top w:val="nil"/>
              <w:left w:val="nil"/>
              <w:bottom w:val="nil"/>
              <w:right w:val="nil"/>
            </w:tcBorders>
            <w:shd w:val="clear" w:color="auto" w:fill="auto"/>
            <w:noWrap/>
            <w:vAlign w:val="bottom"/>
          </w:tcPr>
          <w:p w14:paraId="11034151" w14:textId="39A95D8A"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1.34(2.06)</w:t>
            </w:r>
          </w:p>
        </w:tc>
        <w:tc>
          <w:tcPr>
            <w:tcW w:w="1556" w:type="dxa"/>
            <w:tcBorders>
              <w:top w:val="nil"/>
              <w:left w:val="nil"/>
              <w:bottom w:val="nil"/>
              <w:right w:val="nil"/>
            </w:tcBorders>
            <w:shd w:val="clear" w:color="auto" w:fill="auto"/>
            <w:noWrap/>
            <w:vAlign w:val="bottom"/>
          </w:tcPr>
          <w:p w14:paraId="44ED7D58" w14:textId="20445234"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1.53(1.84)</w:t>
            </w:r>
          </w:p>
        </w:tc>
      </w:tr>
      <w:tr w:rsidR="00125DB6" w:rsidRPr="008A39AD" w14:paraId="2D3DD0FB" w14:textId="77777777" w:rsidTr="008F78E4">
        <w:trPr>
          <w:trHeight w:val="294"/>
        </w:trPr>
        <w:tc>
          <w:tcPr>
            <w:tcW w:w="3496" w:type="dxa"/>
            <w:tcBorders>
              <w:top w:val="nil"/>
              <w:left w:val="nil"/>
              <w:bottom w:val="nil"/>
              <w:right w:val="nil"/>
            </w:tcBorders>
            <w:shd w:val="clear" w:color="auto" w:fill="auto"/>
            <w:noWrap/>
            <w:vAlign w:val="bottom"/>
            <w:hideMark/>
          </w:tcPr>
          <w:p w14:paraId="2ECDAEED" w14:textId="5EDBFC2C"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Body mass index, kg/m</w:t>
            </w:r>
            <w:r w:rsidRPr="008A39AD">
              <w:rPr>
                <w:rFonts w:ascii="Arial" w:eastAsia="Times New Roman" w:hAnsi="Arial" w:cs="Arial"/>
                <w:color w:val="000000"/>
                <w:vertAlign w:val="superscript"/>
              </w:rPr>
              <w:t>2</w:t>
            </w:r>
          </w:p>
        </w:tc>
        <w:tc>
          <w:tcPr>
            <w:tcW w:w="1556" w:type="dxa"/>
            <w:tcBorders>
              <w:top w:val="nil"/>
              <w:left w:val="nil"/>
              <w:bottom w:val="nil"/>
              <w:right w:val="nil"/>
            </w:tcBorders>
            <w:shd w:val="clear" w:color="auto" w:fill="auto"/>
            <w:noWrap/>
            <w:vAlign w:val="bottom"/>
            <w:hideMark/>
          </w:tcPr>
          <w:p w14:paraId="23BC7FB5" w14:textId="77777777" w:rsidR="00125DB6" w:rsidRPr="008A39AD" w:rsidRDefault="00125DB6" w:rsidP="00125DB6">
            <w:pPr>
              <w:spacing w:after="0" w:line="240" w:lineRule="auto"/>
              <w:rPr>
                <w:rFonts w:ascii="Arial" w:eastAsia="Times New Roman" w:hAnsi="Arial" w:cs="Arial"/>
                <w:color w:val="000000"/>
              </w:rPr>
            </w:pPr>
          </w:p>
        </w:tc>
        <w:tc>
          <w:tcPr>
            <w:tcW w:w="1556" w:type="dxa"/>
            <w:tcBorders>
              <w:top w:val="nil"/>
              <w:left w:val="nil"/>
              <w:bottom w:val="nil"/>
              <w:right w:val="nil"/>
            </w:tcBorders>
            <w:shd w:val="clear" w:color="auto" w:fill="auto"/>
            <w:noWrap/>
            <w:vAlign w:val="bottom"/>
            <w:hideMark/>
          </w:tcPr>
          <w:p w14:paraId="117C12C8" w14:textId="77777777" w:rsidR="00125DB6" w:rsidRPr="008A39AD" w:rsidRDefault="00125DB6" w:rsidP="00125DB6">
            <w:pPr>
              <w:spacing w:after="0" w:line="240" w:lineRule="auto"/>
              <w:jc w:val="center"/>
              <w:rPr>
                <w:rFonts w:ascii="Arial" w:eastAsia="Times New Roman" w:hAnsi="Arial" w:cs="Arial"/>
                <w:sz w:val="20"/>
                <w:szCs w:val="20"/>
              </w:rPr>
            </w:pPr>
          </w:p>
        </w:tc>
        <w:tc>
          <w:tcPr>
            <w:tcW w:w="1556" w:type="dxa"/>
            <w:tcBorders>
              <w:top w:val="nil"/>
              <w:left w:val="nil"/>
              <w:bottom w:val="nil"/>
              <w:right w:val="nil"/>
            </w:tcBorders>
            <w:shd w:val="clear" w:color="auto" w:fill="auto"/>
            <w:noWrap/>
            <w:vAlign w:val="bottom"/>
            <w:hideMark/>
          </w:tcPr>
          <w:p w14:paraId="5FE935D5" w14:textId="77777777" w:rsidR="00125DB6" w:rsidRPr="008A39AD" w:rsidRDefault="00125DB6" w:rsidP="00125DB6">
            <w:pPr>
              <w:spacing w:after="0" w:line="240" w:lineRule="auto"/>
              <w:jc w:val="center"/>
              <w:rPr>
                <w:rFonts w:ascii="Arial" w:eastAsia="Times New Roman" w:hAnsi="Arial" w:cs="Arial"/>
                <w:sz w:val="20"/>
                <w:szCs w:val="20"/>
              </w:rPr>
            </w:pPr>
          </w:p>
        </w:tc>
        <w:tc>
          <w:tcPr>
            <w:tcW w:w="1556" w:type="dxa"/>
            <w:tcBorders>
              <w:top w:val="nil"/>
              <w:left w:val="nil"/>
              <w:bottom w:val="nil"/>
              <w:right w:val="nil"/>
            </w:tcBorders>
            <w:shd w:val="clear" w:color="auto" w:fill="auto"/>
            <w:noWrap/>
            <w:vAlign w:val="bottom"/>
            <w:hideMark/>
          </w:tcPr>
          <w:p w14:paraId="10C3088B" w14:textId="77777777" w:rsidR="00125DB6" w:rsidRPr="008A39AD" w:rsidRDefault="00125DB6" w:rsidP="00125DB6">
            <w:pPr>
              <w:spacing w:after="0" w:line="240" w:lineRule="auto"/>
              <w:jc w:val="center"/>
              <w:rPr>
                <w:rFonts w:ascii="Arial" w:eastAsia="Times New Roman" w:hAnsi="Arial" w:cs="Arial"/>
                <w:sz w:val="20"/>
                <w:szCs w:val="20"/>
              </w:rPr>
            </w:pPr>
          </w:p>
        </w:tc>
        <w:tc>
          <w:tcPr>
            <w:tcW w:w="1556" w:type="dxa"/>
            <w:tcBorders>
              <w:top w:val="nil"/>
              <w:left w:val="nil"/>
              <w:bottom w:val="nil"/>
              <w:right w:val="nil"/>
            </w:tcBorders>
            <w:shd w:val="clear" w:color="auto" w:fill="auto"/>
            <w:noWrap/>
            <w:vAlign w:val="bottom"/>
            <w:hideMark/>
          </w:tcPr>
          <w:p w14:paraId="252B8002" w14:textId="77777777" w:rsidR="00125DB6" w:rsidRPr="008A39AD" w:rsidRDefault="00125DB6" w:rsidP="00125DB6">
            <w:pPr>
              <w:spacing w:after="0" w:line="240" w:lineRule="auto"/>
              <w:jc w:val="center"/>
              <w:rPr>
                <w:rFonts w:ascii="Arial" w:eastAsia="Times New Roman" w:hAnsi="Arial" w:cs="Arial"/>
                <w:sz w:val="20"/>
                <w:szCs w:val="20"/>
              </w:rPr>
            </w:pPr>
          </w:p>
        </w:tc>
        <w:tc>
          <w:tcPr>
            <w:tcW w:w="1556" w:type="dxa"/>
            <w:tcBorders>
              <w:top w:val="nil"/>
              <w:left w:val="nil"/>
              <w:bottom w:val="nil"/>
              <w:right w:val="nil"/>
            </w:tcBorders>
            <w:shd w:val="clear" w:color="auto" w:fill="auto"/>
            <w:noWrap/>
            <w:vAlign w:val="bottom"/>
            <w:hideMark/>
          </w:tcPr>
          <w:p w14:paraId="10DA9975" w14:textId="77777777" w:rsidR="00125DB6" w:rsidRPr="008A39AD" w:rsidRDefault="00125DB6" w:rsidP="00125DB6">
            <w:pPr>
              <w:spacing w:after="0" w:line="240" w:lineRule="auto"/>
              <w:jc w:val="center"/>
              <w:rPr>
                <w:rFonts w:ascii="Arial" w:eastAsia="Times New Roman" w:hAnsi="Arial" w:cs="Arial"/>
                <w:sz w:val="20"/>
                <w:szCs w:val="20"/>
              </w:rPr>
            </w:pPr>
          </w:p>
        </w:tc>
      </w:tr>
      <w:tr w:rsidR="00125DB6" w:rsidRPr="008A39AD" w14:paraId="1681FA48" w14:textId="77777777" w:rsidTr="008F78E4">
        <w:trPr>
          <w:trHeight w:val="294"/>
        </w:trPr>
        <w:tc>
          <w:tcPr>
            <w:tcW w:w="3496" w:type="dxa"/>
            <w:tcBorders>
              <w:top w:val="nil"/>
              <w:left w:val="nil"/>
              <w:bottom w:val="nil"/>
              <w:right w:val="nil"/>
            </w:tcBorders>
            <w:shd w:val="clear" w:color="auto" w:fill="auto"/>
            <w:noWrap/>
            <w:vAlign w:val="bottom"/>
            <w:hideMark/>
          </w:tcPr>
          <w:p w14:paraId="3786FEDB" w14:textId="77777777"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   &lt; 20</w:t>
            </w:r>
          </w:p>
        </w:tc>
        <w:tc>
          <w:tcPr>
            <w:tcW w:w="1556" w:type="dxa"/>
            <w:tcBorders>
              <w:top w:val="nil"/>
              <w:left w:val="nil"/>
              <w:bottom w:val="nil"/>
              <w:right w:val="nil"/>
            </w:tcBorders>
            <w:shd w:val="clear" w:color="auto" w:fill="auto"/>
            <w:noWrap/>
            <w:vAlign w:val="bottom"/>
            <w:hideMark/>
          </w:tcPr>
          <w:p w14:paraId="50EBF0F3" w14:textId="740CA62D"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3%</w:t>
            </w:r>
          </w:p>
        </w:tc>
        <w:tc>
          <w:tcPr>
            <w:tcW w:w="1556" w:type="dxa"/>
            <w:tcBorders>
              <w:top w:val="nil"/>
              <w:left w:val="nil"/>
              <w:bottom w:val="nil"/>
              <w:right w:val="nil"/>
            </w:tcBorders>
            <w:shd w:val="clear" w:color="auto" w:fill="auto"/>
            <w:noWrap/>
            <w:vAlign w:val="bottom"/>
            <w:hideMark/>
          </w:tcPr>
          <w:p w14:paraId="06876882" w14:textId="2A88F6CE"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w:t>
            </w:r>
          </w:p>
        </w:tc>
        <w:tc>
          <w:tcPr>
            <w:tcW w:w="1556" w:type="dxa"/>
            <w:tcBorders>
              <w:top w:val="nil"/>
              <w:left w:val="nil"/>
              <w:bottom w:val="nil"/>
              <w:right w:val="nil"/>
            </w:tcBorders>
            <w:shd w:val="clear" w:color="auto" w:fill="auto"/>
            <w:noWrap/>
            <w:vAlign w:val="bottom"/>
            <w:hideMark/>
          </w:tcPr>
          <w:p w14:paraId="13C0E89E" w14:textId="00388DCC"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19%</w:t>
            </w:r>
          </w:p>
        </w:tc>
        <w:tc>
          <w:tcPr>
            <w:tcW w:w="1556" w:type="dxa"/>
            <w:tcBorders>
              <w:top w:val="nil"/>
              <w:left w:val="nil"/>
              <w:bottom w:val="nil"/>
              <w:right w:val="nil"/>
            </w:tcBorders>
            <w:shd w:val="clear" w:color="auto" w:fill="auto"/>
            <w:noWrap/>
            <w:vAlign w:val="bottom"/>
            <w:hideMark/>
          </w:tcPr>
          <w:p w14:paraId="6AA8C160" w14:textId="051D77BB"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26%</w:t>
            </w:r>
          </w:p>
        </w:tc>
        <w:tc>
          <w:tcPr>
            <w:tcW w:w="1556" w:type="dxa"/>
            <w:tcBorders>
              <w:top w:val="nil"/>
              <w:left w:val="nil"/>
              <w:bottom w:val="nil"/>
              <w:right w:val="nil"/>
            </w:tcBorders>
            <w:shd w:val="clear" w:color="auto" w:fill="auto"/>
            <w:noWrap/>
            <w:vAlign w:val="bottom"/>
            <w:hideMark/>
          </w:tcPr>
          <w:p w14:paraId="670F60C1" w14:textId="12409B04"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w:t>
            </w:r>
          </w:p>
        </w:tc>
        <w:tc>
          <w:tcPr>
            <w:tcW w:w="1556" w:type="dxa"/>
            <w:tcBorders>
              <w:top w:val="nil"/>
              <w:left w:val="nil"/>
              <w:bottom w:val="nil"/>
              <w:right w:val="nil"/>
            </w:tcBorders>
            <w:shd w:val="clear" w:color="auto" w:fill="auto"/>
            <w:noWrap/>
            <w:vAlign w:val="bottom"/>
            <w:hideMark/>
          </w:tcPr>
          <w:p w14:paraId="53FFC6FF" w14:textId="15CBDBBF"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4%</w:t>
            </w:r>
          </w:p>
        </w:tc>
      </w:tr>
      <w:tr w:rsidR="00125DB6" w:rsidRPr="008A39AD" w14:paraId="2E9A7A79" w14:textId="77777777" w:rsidTr="008F78E4">
        <w:trPr>
          <w:trHeight w:val="294"/>
        </w:trPr>
        <w:tc>
          <w:tcPr>
            <w:tcW w:w="3496" w:type="dxa"/>
            <w:tcBorders>
              <w:top w:val="nil"/>
              <w:left w:val="nil"/>
              <w:bottom w:val="nil"/>
              <w:right w:val="nil"/>
            </w:tcBorders>
            <w:shd w:val="clear" w:color="auto" w:fill="auto"/>
            <w:noWrap/>
            <w:vAlign w:val="bottom"/>
            <w:hideMark/>
          </w:tcPr>
          <w:p w14:paraId="136B673D" w14:textId="77777777"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   20-29</w:t>
            </w:r>
          </w:p>
        </w:tc>
        <w:tc>
          <w:tcPr>
            <w:tcW w:w="1556" w:type="dxa"/>
            <w:tcBorders>
              <w:top w:val="nil"/>
              <w:left w:val="nil"/>
              <w:bottom w:val="nil"/>
              <w:right w:val="nil"/>
            </w:tcBorders>
            <w:shd w:val="clear" w:color="auto" w:fill="auto"/>
            <w:noWrap/>
            <w:vAlign w:val="bottom"/>
            <w:hideMark/>
          </w:tcPr>
          <w:p w14:paraId="1A6442CA" w14:textId="1F487F61"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68%</w:t>
            </w:r>
          </w:p>
        </w:tc>
        <w:tc>
          <w:tcPr>
            <w:tcW w:w="1556" w:type="dxa"/>
            <w:tcBorders>
              <w:top w:val="nil"/>
              <w:left w:val="nil"/>
              <w:bottom w:val="nil"/>
              <w:right w:val="nil"/>
            </w:tcBorders>
            <w:shd w:val="clear" w:color="auto" w:fill="auto"/>
            <w:noWrap/>
            <w:vAlign w:val="bottom"/>
            <w:hideMark/>
          </w:tcPr>
          <w:p w14:paraId="1362F8A2" w14:textId="59B73235"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65%</w:t>
            </w:r>
          </w:p>
        </w:tc>
        <w:tc>
          <w:tcPr>
            <w:tcW w:w="1556" w:type="dxa"/>
            <w:tcBorders>
              <w:top w:val="nil"/>
              <w:left w:val="nil"/>
              <w:bottom w:val="nil"/>
              <w:right w:val="nil"/>
            </w:tcBorders>
            <w:shd w:val="clear" w:color="auto" w:fill="auto"/>
            <w:noWrap/>
            <w:vAlign w:val="bottom"/>
            <w:hideMark/>
          </w:tcPr>
          <w:p w14:paraId="56E909A2" w14:textId="0677CBC8"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77%</w:t>
            </w:r>
          </w:p>
        </w:tc>
        <w:tc>
          <w:tcPr>
            <w:tcW w:w="1556" w:type="dxa"/>
            <w:tcBorders>
              <w:top w:val="nil"/>
              <w:left w:val="nil"/>
              <w:bottom w:val="nil"/>
              <w:right w:val="nil"/>
            </w:tcBorders>
            <w:shd w:val="clear" w:color="auto" w:fill="auto"/>
            <w:noWrap/>
            <w:vAlign w:val="bottom"/>
            <w:hideMark/>
          </w:tcPr>
          <w:p w14:paraId="45238130" w14:textId="4AD0D476"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68%</w:t>
            </w:r>
          </w:p>
        </w:tc>
        <w:tc>
          <w:tcPr>
            <w:tcW w:w="1556" w:type="dxa"/>
            <w:tcBorders>
              <w:top w:val="nil"/>
              <w:left w:val="nil"/>
              <w:bottom w:val="nil"/>
              <w:right w:val="nil"/>
            </w:tcBorders>
            <w:shd w:val="clear" w:color="auto" w:fill="auto"/>
            <w:noWrap/>
            <w:vAlign w:val="bottom"/>
            <w:hideMark/>
          </w:tcPr>
          <w:p w14:paraId="7E1FF982" w14:textId="1362B382"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69%</w:t>
            </w:r>
          </w:p>
        </w:tc>
        <w:tc>
          <w:tcPr>
            <w:tcW w:w="1556" w:type="dxa"/>
            <w:tcBorders>
              <w:top w:val="nil"/>
              <w:left w:val="nil"/>
              <w:bottom w:val="nil"/>
              <w:right w:val="nil"/>
            </w:tcBorders>
            <w:shd w:val="clear" w:color="auto" w:fill="auto"/>
            <w:noWrap/>
            <w:vAlign w:val="bottom"/>
            <w:hideMark/>
          </w:tcPr>
          <w:p w14:paraId="2BB3DFB9" w14:textId="6088A99B"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56%</w:t>
            </w:r>
          </w:p>
        </w:tc>
      </w:tr>
      <w:tr w:rsidR="00125DB6" w:rsidRPr="008A39AD" w14:paraId="4B590BA8" w14:textId="77777777" w:rsidTr="008F78E4">
        <w:trPr>
          <w:trHeight w:val="294"/>
        </w:trPr>
        <w:tc>
          <w:tcPr>
            <w:tcW w:w="3496" w:type="dxa"/>
            <w:tcBorders>
              <w:top w:val="nil"/>
              <w:left w:val="nil"/>
              <w:bottom w:val="nil"/>
              <w:right w:val="nil"/>
            </w:tcBorders>
            <w:shd w:val="clear" w:color="auto" w:fill="auto"/>
            <w:noWrap/>
            <w:vAlign w:val="bottom"/>
            <w:hideMark/>
          </w:tcPr>
          <w:p w14:paraId="77594B9F" w14:textId="77777777"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   30+</w:t>
            </w:r>
          </w:p>
        </w:tc>
        <w:tc>
          <w:tcPr>
            <w:tcW w:w="1556" w:type="dxa"/>
            <w:tcBorders>
              <w:top w:val="nil"/>
              <w:left w:val="nil"/>
              <w:bottom w:val="nil"/>
              <w:right w:val="nil"/>
            </w:tcBorders>
            <w:shd w:val="clear" w:color="auto" w:fill="auto"/>
            <w:noWrap/>
            <w:vAlign w:val="bottom"/>
            <w:hideMark/>
          </w:tcPr>
          <w:p w14:paraId="37B70088" w14:textId="18E9DBF9"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28%</w:t>
            </w:r>
          </w:p>
        </w:tc>
        <w:tc>
          <w:tcPr>
            <w:tcW w:w="1556" w:type="dxa"/>
            <w:tcBorders>
              <w:top w:val="nil"/>
              <w:left w:val="nil"/>
              <w:bottom w:val="nil"/>
              <w:right w:val="nil"/>
            </w:tcBorders>
            <w:shd w:val="clear" w:color="auto" w:fill="auto"/>
            <w:noWrap/>
            <w:vAlign w:val="bottom"/>
            <w:hideMark/>
          </w:tcPr>
          <w:p w14:paraId="029C3F4C" w14:textId="0378B3BE"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29%</w:t>
            </w:r>
          </w:p>
        </w:tc>
        <w:tc>
          <w:tcPr>
            <w:tcW w:w="1556" w:type="dxa"/>
            <w:tcBorders>
              <w:top w:val="nil"/>
              <w:left w:val="nil"/>
              <w:bottom w:val="nil"/>
              <w:right w:val="nil"/>
            </w:tcBorders>
            <w:shd w:val="clear" w:color="auto" w:fill="auto"/>
            <w:noWrap/>
            <w:vAlign w:val="bottom"/>
            <w:hideMark/>
          </w:tcPr>
          <w:p w14:paraId="3F34EA93" w14:textId="788E46E9"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4%</w:t>
            </w:r>
          </w:p>
        </w:tc>
        <w:tc>
          <w:tcPr>
            <w:tcW w:w="1556" w:type="dxa"/>
            <w:tcBorders>
              <w:top w:val="nil"/>
              <w:left w:val="nil"/>
              <w:bottom w:val="nil"/>
              <w:right w:val="nil"/>
            </w:tcBorders>
            <w:shd w:val="clear" w:color="auto" w:fill="auto"/>
            <w:noWrap/>
            <w:vAlign w:val="bottom"/>
            <w:hideMark/>
          </w:tcPr>
          <w:p w14:paraId="6C17EA6F" w14:textId="0266DD96"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5%</w:t>
            </w:r>
          </w:p>
        </w:tc>
        <w:tc>
          <w:tcPr>
            <w:tcW w:w="1556" w:type="dxa"/>
            <w:tcBorders>
              <w:top w:val="nil"/>
              <w:left w:val="nil"/>
              <w:bottom w:val="nil"/>
              <w:right w:val="nil"/>
            </w:tcBorders>
            <w:shd w:val="clear" w:color="auto" w:fill="auto"/>
            <w:noWrap/>
            <w:vAlign w:val="bottom"/>
            <w:hideMark/>
          </w:tcPr>
          <w:p w14:paraId="6C899DC8" w14:textId="64749235"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26%</w:t>
            </w:r>
          </w:p>
        </w:tc>
        <w:tc>
          <w:tcPr>
            <w:tcW w:w="1556" w:type="dxa"/>
            <w:tcBorders>
              <w:top w:val="nil"/>
              <w:left w:val="nil"/>
              <w:bottom w:val="nil"/>
              <w:right w:val="nil"/>
            </w:tcBorders>
            <w:shd w:val="clear" w:color="auto" w:fill="auto"/>
            <w:noWrap/>
            <w:vAlign w:val="bottom"/>
            <w:hideMark/>
          </w:tcPr>
          <w:p w14:paraId="7676EC6D" w14:textId="6A2F906A"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40%</w:t>
            </w:r>
          </w:p>
        </w:tc>
      </w:tr>
      <w:tr w:rsidR="00877CBF" w:rsidRPr="008A39AD" w14:paraId="108D9055" w14:textId="77777777" w:rsidTr="00C42425">
        <w:trPr>
          <w:trHeight w:val="294"/>
        </w:trPr>
        <w:tc>
          <w:tcPr>
            <w:tcW w:w="3496" w:type="dxa"/>
            <w:tcBorders>
              <w:top w:val="nil"/>
              <w:left w:val="nil"/>
              <w:bottom w:val="nil"/>
              <w:right w:val="nil"/>
            </w:tcBorders>
            <w:shd w:val="clear" w:color="auto" w:fill="auto"/>
            <w:noWrap/>
            <w:vAlign w:val="bottom"/>
          </w:tcPr>
          <w:p w14:paraId="789CAC18" w14:textId="77777777" w:rsidR="00877CBF" w:rsidRPr="008A39AD" w:rsidRDefault="00877CBF" w:rsidP="00C42425">
            <w:pPr>
              <w:spacing w:after="0" w:line="240" w:lineRule="auto"/>
              <w:rPr>
                <w:rFonts w:ascii="Arial" w:eastAsia="Times New Roman" w:hAnsi="Arial" w:cs="Arial"/>
                <w:color w:val="000000"/>
              </w:rPr>
            </w:pPr>
            <w:r w:rsidRPr="008A39AD">
              <w:rPr>
                <w:rFonts w:ascii="Arial" w:eastAsia="Times New Roman" w:hAnsi="Arial" w:cs="Arial"/>
                <w:color w:val="000000"/>
              </w:rPr>
              <w:t>Race, %</w:t>
            </w:r>
          </w:p>
        </w:tc>
        <w:tc>
          <w:tcPr>
            <w:tcW w:w="1556" w:type="dxa"/>
            <w:tcBorders>
              <w:top w:val="nil"/>
              <w:left w:val="nil"/>
              <w:bottom w:val="nil"/>
              <w:right w:val="nil"/>
            </w:tcBorders>
            <w:shd w:val="clear" w:color="auto" w:fill="auto"/>
            <w:noWrap/>
            <w:vAlign w:val="bottom"/>
          </w:tcPr>
          <w:p w14:paraId="2D831213" w14:textId="77777777" w:rsidR="00877CBF" w:rsidRPr="008A39AD" w:rsidRDefault="00877CBF" w:rsidP="00C42425">
            <w:pPr>
              <w:spacing w:after="0" w:line="240" w:lineRule="auto"/>
              <w:rPr>
                <w:rFonts w:ascii="Calibri" w:hAnsi="Calibri" w:cs="Calibri"/>
                <w:color w:val="000000"/>
              </w:rPr>
            </w:pPr>
          </w:p>
        </w:tc>
        <w:tc>
          <w:tcPr>
            <w:tcW w:w="1556" w:type="dxa"/>
            <w:tcBorders>
              <w:top w:val="nil"/>
              <w:left w:val="nil"/>
              <w:bottom w:val="nil"/>
              <w:right w:val="nil"/>
            </w:tcBorders>
            <w:shd w:val="clear" w:color="auto" w:fill="auto"/>
            <w:noWrap/>
            <w:vAlign w:val="bottom"/>
          </w:tcPr>
          <w:p w14:paraId="18593866" w14:textId="77777777" w:rsidR="00877CBF" w:rsidRPr="008A39AD" w:rsidRDefault="00877CBF" w:rsidP="00C42425">
            <w:pPr>
              <w:spacing w:after="0" w:line="240" w:lineRule="auto"/>
              <w:jc w:val="center"/>
              <w:rPr>
                <w:rFonts w:ascii="Calibri" w:hAnsi="Calibri" w:cs="Calibri"/>
                <w:color w:val="000000"/>
              </w:rPr>
            </w:pPr>
          </w:p>
        </w:tc>
        <w:tc>
          <w:tcPr>
            <w:tcW w:w="1556" w:type="dxa"/>
            <w:tcBorders>
              <w:top w:val="nil"/>
              <w:left w:val="nil"/>
              <w:bottom w:val="nil"/>
              <w:right w:val="nil"/>
            </w:tcBorders>
            <w:shd w:val="clear" w:color="auto" w:fill="auto"/>
            <w:noWrap/>
            <w:vAlign w:val="bottom"/>
          </w:tcPr>
          <w:p w14:paraId="31D55E33" w14:textId="77777777" w:rsidR="00877CBF" w:rsidRPr="008A39AD" w:rsidRDefault="00877CBF" w:rsidP="00C42425">
            <w:pPr>
              <w:spacing w:after="0" w:line="240" w:lineRule="auto"/>
              <w:jc w:val="center"/>
              <w:rPr>
                <w:rFonts w:ascii="Calibri" w:hAnsi="Calibri" w:cs="Calibri"/>
                <w:color w:val="000000"/>
              </w:rPr>
            </w:pPr>
          </w:p>
        </w:tc>
        <w:tc>
          <w:tcPr>
            <w:tcW w:w="1556" w:type="dxa"/>
            <w:tcBorders>
              <w:top w:val="nil"/>
              <w:left w:val="nil"/>
              <w:bottom w:val="nil"/>
              <w:right w:val="nil"/>
            </w:tcBorders>
            <w:shd w:val="clear" w:color="auto" w:fill="auto"/>
            <w:noWrap/>
            <w:vAlign w:val="bottom"/>
          </w:tcPr>
          <w:p w14:paraId="618B8665" w14:textId="77777777" w:rsidR="00877CBF" w:rsidRPr="008A39AD" w:rsidRDefault="00877CBF" w:rsidP="00C42425">
            <w:pPr>
              <w:spacing w:after="0" w:line="240" w:lineRule="auto"/>
              <w:jc w:val="center"/>
              <w:rPr>
                <w:rFonts w:ascii="Calibri" w:hAnsi="Calibri" w:cs="Calibri"/>
                <w:color w:val="000000"/>
              </w:rPr>
            </w:pPr>
          </w:p>
        </w:tc>
        <w:tc>
          <w:tcPr>
            <w:tcW w:w="1556" w:type="dxa"/>
            <w:tcBorders>
              <w:top w:val="nil"/>
              <w:left w:val="nil"/>
              <w:bottom w:val="nil"/>
              <w:right w:val="nil"/>
            </w:tcBorders>
            <w:shd w:val="clear" w:color="auto" w:fill="auto"/>
            <w:noWrap/>
            <w:vAlign w:val="bottom"/>
          </w:tcPr>
          <w:p w14:paraId="40AFAF8D" w14:textId="77777777" w:rsidR="00877CBF" w:rsidRPr="008A39AD" w:rsidRDefault="00877CBF" w:rsidP="00C42425">
            <w:pPr>
              <w:spacing w:after="0" w:line="240" w:lineRule="auto"/>
              <w:jc w:val="center"/>
              <w:rPr>
                <w:rFonts w:ascii="Calibri" w:hAnsi="Calibri" w:cs="Calibri"/>
                <w:color w:val="000000"/>
              </w:rPr>
            </w:pPr>
          </w:p>
        </w:tc>
        <w:tc>
          <w:tcPr>
            <w:tcW w:w="1556" w:type="dxa"/>
            <w:tcBorders>
              <w:top w:val="nil"/>
              <w:left w:val="nil"/>
              <w:bottom w:val="nil"/>
              <w:right w:val="nil"/>
            </w:tcBorders>
            <w:shd w:val="clear" w:color="auto" w:fill="auto"/>
            <w:noWrap/>
            <w:vAlign w:val="bottom"/>
          </w:tcPr>
          <w:p w14:paraId="2EEE8C6A" w14:textId="77777777" w:rsidR="00877CBF" w:rsidRPr="008A39AD" w:rsidRDefault="00877CBF" w:rsidP="00C42425">
            <w:pPr>
              <w:spacing w:after="0" w:line="240" w:lineRule="auto"/>
              <w:jc w:val="center"/>
              <w:rPr>
                <w:rFonts w:ascii="Calibri" w:hAnsi="Calibri" w:cs="Calibri"/>
                <w:color w:val="000000"/>
              </w:rPr>
            </w:pPr>
          </w:p>
        </w:tc>
      </w:tr>
      <w:tr w:rsidR="00877CBF" w:rsidRPr="008A39AD" w14:paraId="5EBFA01A" w14:textId="77777777" w:rsidTr="00C42425">
        <w:trPr>
          <w:trHeight w:val="294"/>
        </w:trPr>
        <w:tc>
          <w:tcPr>
            <w:tcW w:w="3496" w:type="dxa"/>
            <w:tcBorders>
              <w:top w:val="nil"/>
              <w:left w:val="nil"/>
              <w:bottom w:val="nil"/>
              <w:right w:val="nil"/>
            </w:tcBorders>
            <w:shd w:val="clear" w:color="auto" w:fill="auto"/>
            <w:noWrap/>
            <w:vAlign w:val="bottom"/>
          </w:tcPr>
          <w:p w14:paraId="21E6CDD8" w14:textId="77777777" w:rsidR="00877CBF" w:rsidRPr="008A39AD" w:rsidRDefault="00877CBF" w:rsidP="00C42425">
            <w:pPr>
              <w:spacing w:after="0" w:line="240" w:lineRule="auto"/>
              <w:rPr>
                <w:rFonts w:ascii="Arial" w:eastAsia="Times New Roman" w:hAnsi="Arial" w:cs="Arial"/>
                <w:color w:val="000000"/>
              </w:rPr>
            </w:pPr>
            <w:r w:rsidRPr="008A39AD">
              <w:rPr>
                <w:rFonts w:ascii="Arial" w:eastAsia="Times New Roman" w:hAnsi="Arial" w:cs="Arial"/>
                <w:color w:val="000000"/>
              </w:rPr>
              <w:t>   Asian</w:t>
            </w:r>
          </w:p>
        </w:tc>
        <w:tc>
          <w:tcPr>
            <w:tcW w:w="1556" w:type="dxa"/>
            <w:tcBorders>
              <w:top w:val="nil"/>
              <w:left w:val="nil"/>
              <w:bottom w:val="nil"/>
              <w:right w:val="nil"/>
            </w:tcBorders>
            <w:shd w:val="clear" w:color="auto" w:fill="auto"/>
            <w:noWrap/>
            <w:vAlign w:val="bottom"/>
          </w:tcPr>
          <w:p w14:paraId="2E739D74" w14:textId="77777777" w:rsidR="00877CBF" w:rsidRPr="008A39AD" w:rsidRDefault="00877CBF" w:rsidP="00C42425">
            <w:pPr>
              <w:spacing w:after="0" w:line="240" w:lineRule="auto"/>
              <w:jc w:val="center"/>
              <w:rPr>
                <w:rFonts w:ascii="Calibri" w:hAnsi="Calibri" w:cs="Calibri"/>
                <w:color w:val="000000"/>
              </w:rPr>
            </w:pPr>
            <w:r w:rsidRPr="008A39AD">
              <w:rPr>
                <w:rFonts w:ascii="Calibri" w:hAnsi="Calibri" w:cs="Calibri" w:hint="eastAsia"/>
                <w:color w:val="000000"/>
              </w:rPr>
              <w:t>17%</w:t>
            </w:r>
          </w:p>
        </w:tc>
        <w:tc>
          <w:tcPr>
            <w:tcW w:w="1556" w:type="dxa"/>
            <w:tcBorders>
              <w:top w:val="nil"/>
              <w:left w:val="nil"/>
              <w:bottom w:val="nil"/>
              <w:right w:val="nil"/>
            </w:tcBorders>
            <w:shd w:val="clear" w:color="auto" w:fill="auto"/>
            <w:noWrap/>
            <w:vAlign w:val="bottom"/>
          </w:tcPr>
          <w:p w14:paraId="246C37A5" w14:textId="77777777" w:rsidR="00877CBF" w:rsidRPr="008A39AD" w:rsidRDefault="00877CBF" w:rsidP="00C42425">
            <w:pPr>
              <w:spacing w:after="0" w:line="240" w:lineRule="auto"/>
              <w:jc w:val="center"/>
              <w:rPr>
                <w:rFonts w:ascii="Calibri" w:hAnsi="Calibri" w:cs="Calibri"/>
                <w:color w:val="000000"/>
              </w:rPr>
            </w:pPr>
            <w:r w:rsidRPr="008A39AD">
              <w:rPr>
                <w:rFonts w:ascii="Calibri" w:hAnsi="Calibri" w:cs="Calibri" w:hint="eastAsia"/>
                <w:color w:val="000000"/>
              </w:rPr>
              <w:t>13%</w:t>
            </w:r>
          </w:p>
        </w:tc>
        <w:tc>
          <w:tcPr>
            <w:tcW w:w="1556" w:type="dxa"/>
            <w:tcBorders>
              <w:top w:val="nil"/>
              <w:left w:val="nil"/>
              <w:bottom w:val="nil"/>
              <w:right w:val="nil"/>
            </w:tcBorders>
            <w:shd w:val="clear" w:color="auto" w:fill="auto"/>
            <w:noWrap/>
            <w:vAlign w:val="bottom"/>
          </w:tcPr>
          <w:p w14:paraId="669F79E0" w14:textId="77777777" w:rsidR="00877CBF" w:rsidRPr="008A39AD" w:rsidRDefault="00877CBF" w:rsidP="00C42425">
            <w:pPr>
              <w:spacing w:after="0" w:line="240" w:lineRule="auto"/>
              <w:jc w:val="center"/>
              <w:rPr>
                <w:rFonts w:ascii="Calibri" w:hAnsi="Calibri" w:cs="Calibri"/>
                <w:color w:val="000000"/>
              </w:rPr>
            </w:pPr>
            <w:r w:rsidRPr="008A39AD">
              <w:rPr>
                <w:rFonts w:ascii="Calibri" w:hAnsi="Calibri" w:cs="Calibri" w:hint="eastAsia"/>
                <w:color w:val="000000"/>
              </w:rPr>
              <w:t>100%</w:t>
            </w:r>
          </w:p>
        </w:tc>
        <w:tc>
          <w:tcPr>
            <w:tcW w:w="1556" w:type="dxa"/>
            <w:tcBorders>
              <w:top w:val="nil"/>
              <w:left w:val="nil"/>
              <w:bottom w:val="nil"/>
              <w:right w:val="nil"/>
            </w:tcBorders>
            <w:shd w:val="clear" w:color="auto" w:fill="auto"/>
            <w:noWrap/>
            <w:vAlign w:val="bottom"/>
          </w:tcPr>
          <w:p w14:paraId="0F13646A" w14:textId="77777777" w:rsidR="00877CBF" w:rsidRPr="008A39AD" w:rsidRDefault="00877CBF" w:rsidP="00C42425">
            <w:pPr>
              <w:spacing w:after="0" w:line="240" w:lineRule="auto"/>
              <w:jc w:val="center"/>
              <w:rPr>
                <w:rFonts w:ascii="Calibri" w:hAnsi="Calibri" w:cs="Calibri"/>
                <w:color w:val="000000"/>
              </w:rPr>
            </w:pPr>
            <w:r w:rsidRPr="008A39AD">
              <w:rPr>
                <w:rFonts w:ascii="Calibri" w:hAnsi="Calibri" w:cs="Calibri" w:hint="eastAsia"/>
                <w:color w:val="000000"/>
              </w:rPr>
              <w:t>99%</w:t>
            </w:r>
          </w:p>
        </w:tc>
        <w:tc>
          <w:tcPr>
            <w:tcW w:w="1556" w:type="dxa"/>
            <w:tcBorders>
              <w:top w:val="nil"/>
              <w:left w:val="nil"/>
              <w:bottom w:val="nil"/>
              <w:right w:val="nil"/>
            </w:tcBorders>
            <w:shd w:val="clear" w:color="auto" w:fill="auto"/>
            <w:noWrap/>
            <w:vAlign w:val="bottom"/>
          </w:tcPr>
          <w:p w14:paraId="75FFE868" w14:textId="77777777" w:rsidR="00877CBF" w:rsidRPr="008A39AD" w:rsidRDefault="00877CBF" w:rsidP="00C42425">
            <w:pPr>
              <w:spacing w:after="0" w:line="240" w:lineRule="auto"/>
              <w:jc w:val="center"/>
              <w:rPr>
                <w:rFonts w:ascii="Calibri" w:hAnsi="Calibri" w:cs="Calibri"/>
                <w:color w:val="000000"/>
              </w:rPr>
            </w:pPr>
            <w:r w:rsidRPr="008A39AD">
              <w:rPr>
                <w:rFonts w:ascii="Calibri" w:hAnsi="Calibri" w:cs="Calibri" w:hint="eastAsia"/>
                <w:color w:val="000000"/>
              </w:rPr>
              <w:t>8%</w:t>
            </w:r>
          </w:p>
        </w:tc>
        <w:tc>
          <w:tcPr>
            <w:tcW w:w="1556" w:type="dxa"/>
            <w:tcBorders>
              <w:top w:val="nil"/>
              <w:left w:val="nil"/>
              <w:bottom w:val="nil"/>
              <w:right w:val="nil"/>
            </w:tcBorders>
            <w:shd w:val="clear" w:color="auto" w:fill="auto"/>
            <w:noWrap/>
            <w:vAlign w:val="bottom"/>
          </w:tcPr>
          <w:p w14:paraId="7583DCEE" w14:textId="695A2D7C" w:rsidR="00877CBF" w:rsidRPr="008A39AD" w:rsidRDefault="00877CBF" w:rsidP="00C42425">
            <w:pPr>
              <w:spacing w:after="0" w:line="240" w:lineRule="auto"/>
              <w:jc w:val="center"/>
              <w:rPr>
                <w:rFonts w:ascii="Calibri" w:hAnsi="Calibri" w:cs="Calibri"/>
                <w:color w:val="000000"/>
              </w:rPr>
            </w:pPr>
            <w:r w:rsidRPr="008A39AD">
              <w:rPr>
                <w:rFonts w:ascii="Calibri" w:hAnsi="Calibri" w:cs="Calibri" w:hint="eastAsia"/>
                <w:color w:val="000000"/>
              </w:rPr>
              <w:t>4</w:t>
            </w:r>
            <w:r w:rsidRPr="008A39AD">
              <w:rPr>
                <w:rFonts w:ascii="Calibri" w:hAnsi="Calibri" w:cs="Calibri"/>
                <w:color w:val="000000"/>
              </w:rPr>
              <w:t>%</w:t>
            </w:r>
          </w:p>
        </w:tc>
      </w:tr>
      <w:tr w:rsidR="00125DB6" w:rsidRPr="008A39AD" w14:paraId="78A6FFD9" w14:textId="77777777" w:rsidTr="008F78E4">
        <w:trPr>
          <w:trHeight w:val="294"/>
        </w:trPr>
        <w:tc>
          <w:tcPr>
            <w:tcW w:w="3496" w:type="dxa"/>
            <w:tcBorders>
              <w:top w:val="nil"/>
              <w:left w:val="nil"/>
              <w:bottom w:val="nil"/>
              <w:right w:val="nil"/>
            </w:tcBorders>
            <w:shd w:val="clear" w:color="auto" w:fill="auto"/>
            <w:noWrap/>
            <w:vAlign w:val="bottom"/>
            <w:hideMark/>
          </w:tcPr>
          <w:p w14:paraId="322101D3" w14:textId="35ACCCD7" w:rsidR="00125DB6" w:rsidRPr="008A39AD" w:rsidRDefault="00877CBF" w:rsidP="00125DB6">
            <w:pPr>
              <w:spacing w:after="0" w:line="240" w:lineRule="auto"/>
              <w:rPr>
                <w:rFonts w:ascii="Arial" w:eastAsia="Times New Roman" w:hAnsi="Arial" w:cs="Arial"/>
                <w:color w:val="000000"/>
              </w:rPr>
            </w:pPr>
            <w:r w:rsidRPr="008A39AD">
              <w:rPr>
                <w:rFonts w:ascii="Arial" w:eastAsia="Times New Roman" w:hAnsi="Arial" w:cs="Arial"/>
                <w:color w:val="000000"/>
              </w:rPr>
              <w:t>   </w:t>
            </w:r>
            <w:r w:rsidR="00125DB6" w:rsidRPr="008A39AD">
              <w:rPr>
                <w:rFonts w:ascii="Arial" w:eastAsia="Times New Roman" w:hAnsi="Arial" w:cs="Arial"/>
                <w:color w:val="000000"/>
              </w:rPr>
              <w:t>Black</w:t>
            </w:r>
          </w:p>
        </w:tc>
        <w:tc>
          <w:tcPr>
            <w:tcW w:w="1556" w:type="dxa"/>
            <w:tcBorders>
              <w:top w:val="nil"/>
              <w:left w:val="nil"/>
              <w:bottom w:val="nil"/>
              <w:right w:val="nil"/>
            </w:tcBorders>
            <w:shd w:val="clear" w:color="auto" w:fill="auto"/>
            <w:noWrap/>
            <w:vAlign w:val="bottom"/>
            <w:hideMark/>
          </w:tcPr>
          <w:p w14:paraId="374FD4AB" w14:textId="68BD0CBA" w:rsidR="00125DB6" w:rsidRPr="008A39AD" w:rsidRDefault="00125DB6" w:rsidP="00125DB6">
            <w:pPr>
              <w:spacing w:after="0" w:line="240" w:lineRule="auto"/>
              <w:rPr>
                <w:rFonts w:ascii="Arial" w:eastAsia="Times New Roman" w:hAnsi="Arial" w:cs="Arial"/>
                <w:color w:val="000000"/>
              </w:rPr>
            </w:pPr>
            <w:r w:rsidRPr="008A39AD">
              <w:rPr>
                <w:rFonts w:ascii="Calibri" w:hAnsi="Calibri" w:cs="Calibri"/>
                <w:color w:val="000000"/>
              </w:rPr>
              <w:t xml:space="preserve">            0%</w:t>
            </w:r>
          </w:p>
        </w:tc>
        <w:tc>
          <w:tcPr>
            <w:tcW w:w="1556" w:type="dxa"/>
            <w:tcBorders>
              <w:top w:val="nil"/>
              <w:left w:val="nil"/>
              <w:bottom w:val="nil"/>
              <w:right w:val="nil"/>
            </w:tcBorders>
            <w:shd w:val="clear" w:color="auto" w:fill="auto"/>
            <w:noWrap/>
            <w:vAlign w:val="bottom"/>
            <w:hideMark/>
          </w:tcPr>
          <w:p w14:paraId="0C9E75DF" w14:textId="2AE00188" w:rsidR="00125DB6" w:rsidRPr="008A39AD" w:rsidRDefault="00125DB6" w:rsidP="00125DB6">
            <w:pPr>
              <w:spacing w:after="0" w:line="240" w:lineRule="auto"/>
              <w:jc w:val="center"/>
              <w:rPr>
                <w:rFonts w:ascii="Arial" w:eastAsia="Times New Roman" w:hAnsi="Arial" w:cs="Arial"/>
                <w:sz w:val="20"/>
                <w:szCs w:val="20"/>
              </w:rPr>
            </w:pPr>
            <w:r w:rsidRPr="008A39AD">
              <w:rPr>
                <w:rFonts w:ascii="Calibri" w:hAnsi="Calibri" w:cs="Calibri"/>
                <w:color w:val="000000"/>
              </w:rPr>
              <w:t>5%</w:t>
            </w:r>
          </w:p>
        </w:tc>
        <w:tc>
          <w:tcPr>
            <w:tcW w:w="1556" w:type="dxa"/>
            <w:tcBorders>
              <w:top w:val="nil"/>
              <w:left w:val="nil"/>
              <w:bottom w:val="nil"/>
              <w:right w:val="nil"/>
            </w:tcBorders>
            <w:shd w:val="clear" w:color="auto" w:fill="auto"/>
            <w:noWrap/>
            <w:vAlign w:val="bottom"/>
            <w:hideMark/>
          </w:tcPr>
          <w:p w14:paraId="361CA602" w14:textId="6EA78F8D" w:rsidR="00125DB6" w:rsidRPr="008A39AD" w:rsidRDefault="00125DB6" w:rsidP="00125DB6">
            <w:pPr>
              <w:spacing w:after="0" w:line="240" w:lineRule="auto"/>
              <w:jc w:val="center"/>
              <w:rPr>
                <w:rFonts w:ascii="Arial" w:eastAsia="Times New Roman" w:hAnsi="Arial" w:cs="Arial"/>
                <w:sz w:val="20"/>
                <w:szCs w:val="20"/>
              </w:rPr>
            </w:pPr>
            <w:r w:rsidRPr="008A39AD">
              <w:rPr>
                <w:rFonts w:ascii="Calibri" w:hAnsi="Calibri" w:cs="Calibri"/>
                <w:color w:val="000000"/>
              </w:rPr>
              <w:t>0%</w:t>
            </w:r>
          </w:p>
        </w:tc>
        <w:tc>
          <w:tcPr>
            <w:tcW w:w="1556" w:type="dxa"/>
            <w:tcBorders>
              <w:top w:val="nil"/>
              <w:left w:val="nil"/>
              <w:bottom w:val="nil"/>
              <w:right w:val="nil"/>
            </w:tcBorders>
            <w:shd w:val="clear" w:color="auto" w:fill="auto"/>
            <w:noWrap/>
            <w:vAlign w:val="bottom"/>
            <w:hideMark/>
          </w:tcPr>
          <w:p w14:paraId="041964D6" w14:textId="2D3B0990" w:rsidR="00125DB6" w:rsidRPr="008A39AD" w:rsidRDefault="00125DB6" w:rsidP="00125DB6">
            <w:pPr>
              <w:spacing w:after="0" w:line="240" w:lineRule="auto"/>
              <w:jc w:val="center"/>
              <w:rPr>
                <w:rFonts w:ascii="Arial" w:eastAsia="Times New Roman" w:hAnsi="Arial" w:cs="Arial"/>
                <w:sz w:val="20"/>
                <w:szCs w:val="20"/>
              </w:rPr>
            </w:pPr>
            <w:r w:rsidRPr="008A39AD">
              <w:rPr>
                <w:rFonts w:ascii="Calibri" w:hAnsi="Calibri" w:cs="Calibri"/>
                <w:color w:val="000000"/>
              </w:rPr>
              <w:t>0%</w:t>
            </w:r>
          </w:p>
        </w:tc>
        <w:tc>
          <w:tcPr>
            <w:tcW w:w="1556" w:type="dxa"/>
            <w:tcBorders>
              <w:top w:val="nil"/>
              <w:left w:val="nil"/>
              <w:bottom w:val="nil"/>
              <w:right w:val="nil"/>
            </w:tcBorders>
            <w:shd w:val="clear" w:color="auto" w:fill="auto"/>
            <w:noWrap/>
            <w:vAlign w:val="bottom"/>
            <w:hideMark/>
          </w:tcPr>
          <w:p w14:paraId="5D3E0B81" w14:textId="4CEA9E2C" w:rsidR="00125DB6" w:rsidRPr="008A39AD" w:rsidRDefault="00125DB6" w:rsidP="00125DB6">
            <w:pPr>
              <w:spacing w:after="0" w:line="240" w:lineRule="auto"/>
              <w:jc w:val="center"/>
              <w:rPr>
                <w:rFonts w:ascii="Arial" w:eastAsia="Times New Roman" w:hAnsi="Arial" w:cs="Arial"/>
                <w:sz w:val="20"/>
                <w:szCs w:val="20"/>
              </w:rPr>
            </w:pPr>
            <w:r w:rsidRPr="008A39AD">
              <w:rPr>
                <w:rFonts w:ascii="Calibri" w:hAnsi="Calibri" w:cs="Calibri"/>
                <w:color w:val="000000"/>
              </w:rPr>
              <w:t>4%</w:t>
            </w:r>
          </w:p>
        </w:tc>
        <w:tc>
          <w:tcPr>
            <w:tcW w:w="1556" w:type="dxa"/>
            <w:tcBorders>
              <w:top w:val="nil"/>
              <w:left w:val="nil"/>
              <w:bottom w:val="nil"/>
              <w:right w:val="nil"/>
            </w:tcBorders>
            <w:shd w:val="clear" w:color="auto" w:fill="auto"/>
            <w:noWrap/>
            <w:vAlign w:val="bottom"/>
            <w:hideMark/>
          </w:tcPr>
          <w:p w14:paraId="304C42AF" w14:textId="5074301C"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26%</w:t>
            </w:r>
          </w:p>
        </w:tc>
      </w:tr>
      <w:tr w:rsidR="00877CBF" w:rsidRPr="008A39AD" w14:paraId="543201A5" w14:textId="77777777" w:rsidTr="008F78E4">
        <w:trPr>
          <w:trHeight w:val="294"/>
        </w:trPr>
        <w:tc>
          <w:tcPr>
            <w:tcW w:w="3496" w:type="dxa"/>
            <w:tcBorders>
              <w:top w:val="nil"/>
              <w:left w:val="nil"/>
              <w:bottom w:val="nil"/>
              <w:right w:val="nil"/>
            </w:tcBorders>
            <w:shd w:val="clear" w:color="auto" w:fill="auto"/>
            <w:noWrap/>
            <w:vAlign w:val="bottom"/>
          </w:tcPr>
          <w:p w14:paraId="2CB0F9A0" w14:textId="033B342D" w:rsidR="00877CBF" w:rsidRPr="008A39AD" w:rsidRDefault="00877CBF" w:rsidP="00877CBF">
            <w:pPr>
              <w:spacing w:after="0" w:line="240" w:lineRule="auto"/>
              <w:rPr>
                <w:rFonts w:ascii="Arial" w:eastAsia="Times New Roman" w:hAnsi="Arial" w:cs="Arial"/>
                <w:color w:val="000000"/>
              </w:rPr>
            </w:pPr>
            <w:r w:rsidRPr="008A39AD">
              <w:rPr>
                <w:rFonts w:ascii="Arial" w:eastAsia="Times New Roman" w:hAnsi="Arial" w:cs="Arial"/>
                <w:color w:val="000000"/>
              </w:rPr>
              <w:t>   White</w:t>
            </w:r>
          </w:p>
        </w:tc>
        <w:tc>
          <w:tcPr>
            <w:tcW w:w="1556" w:type="dxa"/>
            <w:tcBorders>
              <w:top w:val="nil"/>
              <w:left w:val="nil"/>
              <w:bottom w:val="nil"/>
              <w:right w:val="nil"/>
            </w:tcBorders>
            <w:shd w:val="clear" w:color="auto" w:fill="auto"/>
            <w:noWrap/>
            <w:vAlign w:val="bottom"/>
          </w:tcPr>
          <w:p w14:paraId="1C653616" w14:textId="114D5561" w:rsidR="00877CBF" w:rsidRPr="008A39AD" w:rsidRDefault="00877CBF" w:rsidP="00877CBF">
            <w:pPr>
              <w:spacing w:after="0" w:line="240" w:lineRule="auto"/>
              <w:rPr>
                <w:rFonts w:ascii="Calibri" w:hAnsi="Calibri" w:cs="Calibri"/>
                <w:color w:val="000000"/>
              </w:rPr>
            </w:pPr>
            <w:r w:rsidRPr="008A39AD">
              <w:rPr>
                <w:rFonts w:ascii="Calibri" w:hAnsi="Calibri" w:cs="Calibri" w:hint="eastAsia"/>
                <w:color w:val="000000"/>
              </w:rPr>
              <w:t>70%</w:t>
            </w:r>
          </w:p>
        </w:tc>
        <w:tc>
          <w:tcPr>
            <w:tcW w:w="1556" w:type="dxa"/>
            <w:tcBorders>
              <w:top w:val="nil"/>
              <w:left w:val="nil"/>
              <w:bottom w:val="nil"/>
              <w:right w:val="nil"/>
            </w:tcBorders>
            <w:shd w:val="clear" w:color="auto" w:fill="auto"/>
            <w:noWrap/>
            <w:vAlign w:val="bottom"/>
          </w:tcPr>
          <w:p w14:paraId="71D89DFD" w14:textId="5ED1121A" w:rsidR="00877CBF" w:rsidRPr="008A39AD" w:rsidRDefault="00877CBF" w:rsidP="00877CBF">
            <w:pPr>
              <w:spacing w:after="0" w:line="240" w:lineRule="auto"/>
              <w:jc w:val="center"/>
              <w:rPr>
                <w:rFonts w:ascii="Calibri" w:hAnsi="Calibri" w:cs="Calibri"/>
                <w:color w:val="000000"/>
              </w:rPr>
            </w:pPr>
            <w:r w:rsidRPr="008A39AD">
              <w:rPr>
                <w:rFonts w:ascii="Calibri" w:hAnsi="Calibri" w:cs="Calibri" w:hint="eastAsia"/>
                <w:color w:val="000000"/>
              </w:rPr>
              <w:t>70%</w:t>
            </w:r>
          </w:p>
        </w:tc>
        <w:tc>
          <w:tcPr>
            <w:tcW w:w="1556" w:type="dxa"/>
            <w:tcBorders>
              <w:top w:val="nil"/>
              <w:left w:val="nil"/>
              <w:bottom w:val="nil"/>
              <w:right w:val="nil"/>
            </w:tcBorders>
            <w:shd w:val="clear" w:color="auto" w:fill="auto"/>
            <w:noWrap/>
            <w:vAlign w:val="bottom"/>
          </w:tcPr>
          <w:p w14:paraId="1E31F55D" w14:textId="15B05234" w:rsidR="00877CBF" w:rsidRPr="008A39AD" w:rsidRDefault="00877CBF" w:rsidP="00877CBF">
            <w:pPr>
              <w:spacing w:after="0" w:line="240" w:lineRule="auto"/>
              <w:jc w:val="center"/>
              <w:rPr>
                <w:rFonts w:ascii="Calibri" w:hAnsi="Calibri" w:cs="Calibri"/>
                <w:color w:val="000000"/>
              </w:rPr>
            </w:pPr>
            <w:r w:rsidRPr="008A39AD">
              <w:rPr>
                <w:rFonts w:ascii="Calibri" w:hAnsi="Calibri" w:cs="Calibri" w:hint="eastAsia"/>
                <w:color w:val="000000"/>
              </w:rPr>
              <w:t>0%</w:t>
            </w:r>
          </w:p>
        </w:tc>
        <w:tc>
          <w:tcPr>
            <w:tcW w:w="1556" w:type="dxa"/>
            <w:tcBorders>
              <w:top w:val="nil"/>
              <w:left w:val="nil"/>
              <w:bottom w:val="nil"/>
              <w:right w:val="nil"/>
            </w:tcBorders>
            <w:shd w:val="clear" w:color="auto" w:fill="auto"/>
            <w:noWrap/>
            <w:vAlign w:val="bottom"/>
          </w:tcPr>
          <w:p w14:paraId="7D9EAD66" w14:textId="284E57CE" w:rsidR="00877CBF" w:rsidRPr="008A39AD" w:rsidRDefault="00877CBF" w:rsidP="00877CBF">
            <w:pPr>
              <w:spacing w:after="0" w:line="240" w:lineRule="auto"/>
              <w:jc w:val="center"/>
              <w:rPr>
                <w:rFonts w:ascii="Calibri" w:hAnsi="Calibri" w:cs="Calibri"/>
                <w:color w:val="000000"/>
              </w:rPr>
            </w:pPr>
            <w:r w:rsidRPr="008A39AD">
              <w:rPr>
                <w:rFonts w:ascii="Calibri" w:hAnsi="Calibri" w:cs="Calibri" w:hint="eastAsia"/>
                <w:color w:val="000000"/>
              </w:rPr>
              <w:t>0%</w:t>
            </w:r>
          </w:p>
        </w:tc>
        <w:tc>
          <w:tcPr>
            <w:tcW w:w="1556" w:type="dxa"/>
            <w:tcBorders>
              <w:top w:val="nil"/>
              <w:left w:val="nil"/>
              <w:bottom w:val="nil"/>
              <w:right w:val="nil"/>
            </w:tcBorders>
            <w:shd w:val="clear" w:color="auto" w:fill="auto"/>
            <w:noWrap/>
            <w:vAlign w:val="bottom"/>
          </w:tcPr>
          <w:p w14:paraId="4B6F203C" w14:textId="608B352D" w:rsidR="00877CBF" w:rsidRPr="008A39AD" w:rsidRDefault="00877CBF" w:rsidP="00877CBF">
            <w:pPr>
              <w:spacing w:after="0" w:line="240" w:lineRule="auto"/>
              <w:jc w:val="center"/>
              <w:rPr>
                <w:rFonts w:ascii="Calibri" w:hAnsi="Calibri" w:cs="Calibri"/>
                <w:color w:val="000000"/>
              </w:rPr>
            </w:pPr>
            <w:r w:rsidRPr="008A39AD">
              <w:rPr>
                <w:rFonts w:ascii="Calibri" w:hAnsi="Calibri" w:cs="Calibri" w:hint="eastAsia"/>
                <w:color w:val="000000"/>
              </w:rPr>
              <w:t>86%</w:t>
            </w:r>
          </w:p>
        </w:tc>
        <w:tc>
          <w:tcPr>
            <w:tcW w:w="1556" w:type="dxa"/>
            <w:tcBorders>
              <w:top w:val="nil"/>
              <w:left w:val="nil"/>
              <w:bottom w:val="nil"/>
              <w:right w:val="nil"/>
            </w:tcBorders>
            <w:shd w:val="clear" w:color="auto" w:fill="auto"/>
            <w:noWrap/>
            <w:vAlign w:val="bottom"/>
          </w:tcPr>
          <w:p w14:paraId="01347325" w14:textId="5783FA27" w:rsidR="00877CBF" w:rsidRPr="008A39AD" w:rsidRDefault="00877CBF" w:rsidP="00877CBF">
            <w:pPr>
              <w:spacing w:after="0" w:line="240" w:lineRule="auto"/>
              <w:jc w:val="center"/>
              <w:rPr>
                <w:rFonts w:ascii="Calibri" w:hAnsi="Calibri" w:cs="Calibri"/>
                <w:color w:val="000000"/>
              </w:rPr>
            </w:pPr>
            <w:r w:rsidRPr="008A39AD">
              <w:rPr>
                <w:rFonts w:ascii="Calibri" w:hAnsi="Calibri" w:cs="Calibri" w:hint="eastAsia"/>
                <w:color w:val="000000"/>
              </w:rPr>
              <w:t>68%</w:t>
            </w:r>
          </w:p>
        </w:tc>
      </w:tr>
      <w:tr w:rsidR="00877CBF" w:rsidRPr="008A39AD" w14:paraId="0326E9BC" w14:textId="77777777" w:rsidTr="008F78E4">
        <w:trPr>
          <w:trHeight w:val="294"/>
        </w:trPr>
        <w:tc>
          <w:tcPr>
            <w:tcW w:w="3496" w:type="dxa"/>
            <w:tcBorders>
              <w:top w:val="nil"/>
              <w:left w:val="nil"/>
              <w:bottom w:val="nil"/>
              <w:right w:val="nil"/>
            </w:tcBorders>
            <w:shd w:val="clear" w:color="auto" w:fill="auto"/>
            <w:noWrap/>
            <w:vAlign w:val="bottom"/>
          </w:tcPr>
          <w:p w14:paraId="09BC5E75" w14:textId="7D209F34" w:rsidR="00877CBF" w:rsidRPr="008A39AD" w:rsidRDefault="00877CBF" w:rsidP="00877CBF">
            <w:pPr>
              <w:spacing w:after="0" w:line="240" w:lineRule="auto"/>
              <w:rPr>
                <w:rFonts w:ascii="Arial" w:eastAsia="Times New Roman" w:hAnsi="Arial" w:cs="Arial"/>
                <w:color w:val="000000"/>
              </w:rPr>
            </w:pPr>
            <w:r w:rsidRPr="008A39AD">
              <w:rPr>
                <w:rFonts w:ascii="Arial" w:eastAsia="Times New Roman" w:hAnsi="Arial" w:cs="Arial"/>
                <w:color w:val="000000"/>
              </w:rPr>
              <w:t>   Other</w:t>
            </w:r>
          </w:p>
        </w:tc>
        <w:tc>
          <w:tcPr>
            <w:tcW w:w="1556" w:type="dxa"/>
            <w:tcBorders>
              <w:top w:val="nil"/>
              <w:left w:val="nil"/>
              <w:bottom w:val="nil"/>
              <w:right w:val="nil"/>
            </w:tcBorders>
            <w:shd w:val="clear" w:color="auto" w:fill="auto"/>
            <w:noWrap/>
            <w:vAlign w:val="bottom"/>
          </w:tcPr>
          <w:p w14:paraId="1A80717E" w14:textId="67888373" w:rsidR="00877CBF" w:rsidRPr="008A39AD" w:rsidRDefault="00877CBF" w:rsidP="00877CBF">
            <w:pPr>
              <w:spacing w:after="0" w:line="240" w:lineRule="auto"/>
              <w:rPr>
                <w:rFonts w:ascii="Calibri" w:hAnsi="Calibri" w:cs="Calibri"/>
                <w:color w:val="000000"/>
              </w:rPr>
            </w:pPr>
            <w:r w:rsidRPr="008A39AD">
              <w:rPr>
                <w:rFonts w:ascii="Calibri" w:hAnsi="Calibri" w:cs="Calibri" w:hint="eastAsia"/>
                <w:color w:val="000000"/>
              </w:rPr>
              <w:t>13%</w:t>
            </w:r>
          </w:p>
        </w:tc>
        <w:tc>
          <w:tcPr>
            <w:tcW w:w="1556" w:type="dxa"/>
            <w:tcBorders>
              <w:top w:val="nil"/>
              <w:left w:val="nil"/>
              <w:bottom w:val="nil"/>
              <w:right w:val="nil"/>
            </w:tcBorders>
            <w:shd w:val="clear" w:color="auto" w:fill="auto"/>
            <w:noWrap/>
            <w:vAlign w:val="bottom"/>
          </w:tcPr>
          <w:p w14:paraId="4C8EB116" w14:textId="7B27D2D4" w:rsidR="00877CBF" w:rsidRPr="008A39AD" w:rsidRDefault="00877CBF" w:rsidP="00877CBF">
            <w:pPr>
              <w:spacing w:after="0" w:line="240" w:lineRule="auto"/>
              <w:jc w:val="center"/>
              <w:rPr>
                <w:rFonts w:ascii="Calibri" w:hAnsi="Calibri" w:cs="Calibri"/>
                <w:color w:val="000000"/>
              </w:rPr>
            </w:pPr>
            <w:r w:rsidRPr="008A39AD">
              <w:rPr>
                <w:rFonts w:ascii="Calibri" w:hAnsi="Calibri" w:cs="Calibri" w:hint="eastAsia"/>
                <w:color w:val="000000"/>
              </w:rPr>
              <w:t>12%</w:t>
            </w:r>
          </w:p>
        </w:tc>
        <w:tc>
          <w:tcPr>
            <w:tcW w:w="1556" w:type="dxa"/>
            <w:tcBorders>
              <w:top w:val="nil"/>
              <w:left w:val="nil"/>
              <w:bottom w:val="nil"/>
              <w:right w:val="nil"/>
            </w:tcBorders>
            <w:shd w:val="clear" w:color="auto" w:fill="auto"/>
            <w:noWrap/>
            <w:vAlign w:val="bottom"/>
          </w:tcPr>
          <w:p w14:paraId="192C6951" w14:textId="41CFF91D" w:rsidR="00877CBF" w:rsidRPr="008A39AD" w:rsidRDefault="00877CBF" w:rsidP="00877CBF">
            <w:pPr>
              <w:spacing w:after="0" w:line="240" w:lineRule="auto"/>
              <w:jc w:val="center"/>
              <w:rPr>
                <w:rFonts w:ascii="Calibri" w:hAnsi="Calibri" w:cs="Calibri"/>
                <w:color w:val="000000"/>
              </w:rPr>
            </w:pPr>
            <w:r w:rsidRPr="008A39AD">
              <w:rPr>
                <w:rFonts w:ascii="Calibri" w:hAnsi="Calibri" w:cs="Calibri" w:hint="eastAsia"/>
                <w:color w:val="000000"/>
              </w:rPr>
              <w:t>0%</w:t>
            </w:r>
          </w:p>
        </w:tc>
        <w:tc>
          <w:tcPr>
            <w:tcW w:w="1556" w:type="dxa"/>
            <w:tcBorders>
              <w:top w:val="nil"/>
              <w:left w:val="nil"/>
              <w:bottom w:val="nil"/>
              <w:right w:val="nil"/>
            </w:tcBorders>
            <w:shd w:val="clear" w:color="auto" w:fill="auto"/>
            <w:noWrap/>
            <w:vAlign w:val="bottom"/>
          </w:tcPr>
          <w:p w14:paraId="57D11779" w14:textId="6294AF2A" w:rsidR="00877CBF" w:rsidRPr="008A39AD" w:rsidRDefault="00877CBF" w:rsidP="00877CBF">
            <w:pPr>
              <w:spacing w:after="0" w:line="240" w:lineRule="auto"/>
              <w:jc w:val="center"/>
              <w:rPr>
                <w:rFonts w:ascii="Calibri" w:hAnsi="Calibri" w:cs="Calibri"/>
                <w:color w:val="000000"/>
              </w:rPr>
            </w:pPr>
            <w:r w:rsidRPr="008A39AD">
              <w:rPr>
                <w:rFonts w:ascii="Calibri" w:hAnsi="Calibri" w:cs="Calibri" w:hint="eastAsia"/>
                <w:color w:val="000000"/>
              </w:rPr>
              <w:t>1%</w:t>
            </w:r>
          </w:p>
        </w:tc>
        <w:tc>
          <w:tcPr>
            <w:tcW w:w="1556" w:type="dxa"/>
            <w:tcBorders>
              <w:top w:val="nil"/>
              <w:left w:val="nil"/>
              <w:bottom w:val="nil"/>
              <w:right w:val="nil"/>
            </w:tcBorders>
            <w:shd w:val="clear" w:color="auto" w:fill="auto"/>
            <w:noWrap/>
            <w:vAlign w:val="bottom"/>
          </w:tcPr>
          <w:p w14:paraId="0B7E6F00" w14:textId="7D10D218" w:rsidR="00877CBF" w:rsidRPr="008A39AD" w:rsidRDefault="00877CBF" w:rsidP="00877CBF">
            <w:pPr>
              <w:spacing w:after="0" w:line="240" w:lineRule="auto"/>
              <w:jc w:val="center"/>
              <w:rPr>
                <w:rFonts w:ascii="Calibri" w:hAnsi="Calibri" w:cs="Calibri"/>
                <w:color w:val="000000"/>
              </w:rPr>
            </w:pPr>
            <w:r w:rsidRPr="008A39AD">
              <w:rPr>
                <w:rFonts w:ascii="Calibri" w:hAnsi="Calibri" w:cs="Calibri" w:hint="eastAsia"/>
                <w:color w:val="000000"/>
              </w:rPr>
              <w:t>2%</w:t>
            </w:r>
          </w:p>
        </w:tc>
        <w:tc>
          <w:tcPr>
            <w:tcW w:w="1556" w:type="dxa"/>
            <w:tcBorders>
              <w:top w:val="nil"/>
              <w:left w:val="nil"/>
              <w:bottom w:val="nil"/>
              <w:right w:val="nil"/>
            </w:tcBorders>
            <w:shd w:val="clear" w:color="auto" w:fill="auto"/>
            <w:noWrap/>
            <w:vAlign w:val="bottom"/>
          </w:tcPr>
          <w:p w14:paraId="0C751803" w14:textId="0958DBE2" w:rsidR="00877CBF" w:rsidRPr="008A39AD" w:rsidRDefault="00877CBF" w:rsidP="00877CBF">
            <w:pPr>
              <w:spacing w:after="0" w:line="240" w:lineRule="auto"/>
              <w:jc w:val="center"/>
              <w:rPr>
                <w:rFonts w:ascii="Calibri" w:hAnsi="Calibri" w:cs="Calibri"/>
                <w:color w:val="000000"/>
              </w:rPr>
            </w:pPr>
            <w:r w:rsidRPr="008A39AD">
              <w:rPr>
                <w:rFonts w:ascii="Calibri" w:hAnsi="Calibri" w:cs="Calibri" w:hint="eastAsia"/>
                <w:color w:val="000000"/>
              </w:rPr>
              <w:t>2%</w:t>
            </w:r>
          </w:p>
        </w:tc>
      </w:tr>
      <w:tr w:rsidR="00125DB6" w:rsidRPr="008A39AD" w14:paraId="78301915" w14:textId="77777777" w:rsidTr="008F78E4">
        <w:trPr>
          <w:trHeight w:val="294"/>
        </w:trPr>
        <w:tc>
          <w:tcPr>
            <w:tcW w:w="3496" w:type="dxa"/>
            <w:tcBorders>
              <w:top w:val="nil"/>
              <w:left w:val="nil"/>
              <w:bottom w:val="nil"/>
              <w:right w:val="nil"/>
            </w:tcBorders>
            <w:shd w:val="clear" w:color="auto" w:fill="auto"/>
            <w:noWrap/>
            <w:vAlign w:val="bottom"/>
            <w:hideMark/>
          </w:tcPr>
          <w:p w14:paraId="39B22497" w14:textId="77777777"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Heart disease, %</w:t>
            </w:r>
          </w:p>
        </w:tc>
        <w:tc>
          <w:tcPr>
            <w:tcW w:w="1556" w:type="dxa"/>
            <w:tcBorders>
              <w:top w:val="nil"/>
              <w:left w:val="nil"/>
              <w:bottom w:val="nil"/>
              <w:right w:val="nil"/>
            </w:tcBorders>
            <w:shd w:val="clear" w:color="auto" w:fill="auto"/>
            <w:noWrap/>
            <w:vAlign w:val="bottom"/>
            <w:hideMark/>
          </w:tcPr>
          <w:p w14:paraId="023278F8" w14:textId="3A79B338"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50%</w:t>
            </w:r>
          </w:p>
        </w:tc>
        <w:tc>
          <w:tcPr>
            <w:tcW w:w="1556" w:type="dxa"/>
            <w:tcBorders>
              <w:top w:val="nil"/>
              <w:left w:val="nil"/>
              <w:bottom w:val="nil"/>
              <w:right w:val="nil"/>
            </w:tcBorders>
            <w:shd w:val="clear" w:color="auto" w:fill="auto"/>
            <w:noWrap/>
            <w:vAlign w:val="bottom"/>
            <w:hideMark/>
          </w:tcPr>
          <w:p w14:paraId="655779D7" w14:textId="68DF0BCE"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49%</w:t>
            </w:r>
          </w:p>
        </w:tc>
        <w:tc>
          <w:tcPr>
            <w:tcW w:w="1556" w:type="dxa"/>
            <w:tcBorders>
              <w:top w:val="nil"/>
              <w:left w:val="nil"/>
              <w:bottom w:val="nil"/>
              <w:right w:val="nil"/>
            </w:tcBorders>
            <w:shd w:val="clear" w:color="auto" w:fill="auto"/>
            <w:noWrap/>
            <w:vAlign w:val="bottom"/>
            <w:hideMark/>
          </w:tcPr>
          <w:p w14:paraId="67EA0C57" w14:textId="30C20090"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42%</w:t>
            </w:r>
          </w:p>
        </w:tc>
        <w:tc>
          <w:tcPr>
            <w:tcW w:w="1556" w:type="dxa"/>
            <w:tcBorders>
              <w:top w:val="nil"/>
              <w:left w:val="nil"/>
              <w:bottom w:val="nil"/>
              <w:right w:val="nil"/>
            </w:tcBorders>
            <w:shd w:val="clear" w:color="auto" w:fill="auto"/>
            <w:noWrap/>
            <w:vAlign w:val="bottom"/>
            <w:hideMark/>
          </w:tcPr>
          <w:p w14:paraId="18E85148" w14:textId="10F3711E"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24%</w:t>
            </w:r>
          </w:p>
        </w:tc>
        <w:tc>
          <w:tcPr>
            <w:tcW w:w="1556" w:type="dxa"/>
            <w:tcBorders>
              <w:top w:val="nil"/>
              <w:left w:val="nil"/>
              <w:bottom w:val="nil"/>
              <w:right w:val="nil"/>
            </w:tcBorders>
            <w:shd w:val="clear" w:color="auto" w:fill="auto"/>
            <w:noWrap/>
            <w:vAlign w:val="bottom"/>
            <w:hideMark/>
          </w:tcPr>
          <w:p w14:paraId="2382EB4F" w14:textId="55DB7D1B"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44%</w:t>
            </w:r>
          </w:p>
        </w:tc>
        <w:tc>
          <w:tcPr>
            <w:tcW w:w="1556" w:type="dxa"/>
            <w:tcBorders>
              <w:top w:val="nil"/>
              <w:left w:val="nil"/>
              <w:bottom w:val="nil"/>
              <w:right w:val="nil"/>
            </w:tcBorders>
            <w:shd w:val="clear" w:color="auto" w:fill="auto"/>
            <w:noWrap/>
            <w:vAlign w:val="bottom"/>
            <w:hideMark/>
          </w:tcPr>
          <w:p w14:paraId="7089F95B" w14:textId="2D62FFC2"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37%</w:t>
            </w:r>
          </w:p>
        </w:tc>
      </w:tr>
      <w:tr w:rsidR="00125DB6" w:rsidRPr="008A39AD" w14:paraId="423F8857" w14:textId="77777777" w:rsidTr="008F78E4">
        <w:trPr>
          <w:trHeight w:val="294"/>
        </w:trPr>
        <w:tc>
          <w:tcPr>
            <w:tcW w:w="3496" w:type="dxa"/>
            <w:tcBorders>
              <w:top w:val="nil"/>
              <w:left w:val="nil"/>
              <w:bottom w:val="nil"/>
              <w:right w:val="nil"/>
            </w:tcBorders>
            <w:shd w:val="clear" w:color="auto" w:fill="auto"/>
            <w:noWrap/>
            <w:vAlign w:val="bottom"/>
            <w:hideMark/>
          </w:tcPr>
          <w:p w14:paraId="683F32BD" w14:textId="77777777"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Diabetes, %</w:t>
            </w:r>
          </w:p>
        </w:tc>
        <w:tc>
          <w:tcPr>
            <w:tcW w:w="1556" w:type="dxa"/>
            <w:tcBorders>
              <w:top w:val="nil"/>
              <w:left w:val="nil"/>
              <w:bottom w:val="nil"/>
              <w:right w:val="nil"/>
            </w:tcBorders>
            <w:shd w:val="clear" w:color="auto" w:fill="auto"/>
            <w:noWrap/>
            <w:vAlign w:val="bottom"/>
            <w:hideMark/>
          </w:tcPr>
          <w:p w14:paraId="5B8A5D17" w14:textId="29EEE3E8"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44%</w:t>
            </w:r>
          </w:p>
        </w:tc>
        <w:tc>
          <w:tcPr>
            <w:tcW w:w="1556" w:type="dxa"/>
            <w:tcBorders>
              <w:top w:val="nil"/>
              <w:left w:val="nil"/>
              <w:bottom w:val="nil"/>
              <w:right w:val="nil"/>
            </w:tcBorders>
            <w:shd w:val="clear" w:color="auto" w:fill="auto"/>
            <w:noWrap/>
            <w:vAlign w:val="bottom"/>
            <w:hideMark/>
          </w:tcPr>
          <w:p w14:paraId="662232CA" w14:textId="2EB4F497"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48%</w:t>
            </w:r>
          </w:p>
        </w:tc>
        <w:tc>
          <w:tcPr>
            <w:tcW w:w="1556" w:type="dxa"/>
            <w:tcBorders>
              <w:top w:val="nil"/>
              <w:left w:val="nil"/>
              <w:bottom w:val="nil"/>
              <w:right w:val="nil"/>
            </w:tcBorders>
            <w:shd w:val="clear" w:color="auto" w:fill="auto"/>
            <w:noWrap/>
            <w:vAlign w:val="bottom"/>
            <w:hideMark/>
          </w:tcPr>
          <w:p w14:paraId="49035DC1" w14:textId="07BDEE1D"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40%</w:t>
            </w:r>
          </w:p>
        </w:tc>
        <w:tc>
          <w:tcPr>
            <w:tcW w:w="1556" w:type="dxa"/>
            <w:tcBorders>
              <w:top w:val="nil"/>
              <w:left w:val="nil"/>
              <w:bottom w:val="nil"/>
              <w:right w:val="nil"/>
            </w:tcBorders>
            <w:shd w:val="clear" w:color="auto" w:fill="auto"/>
            <w:noWrap/>
            <w:vAlign w:val="bottom"/>
            <w:hideMark/>
          </w:tcPr>
          <w:p w14:paraId="21307DF2" w14:textId="55109374"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49%</w:t>
            </w:r>
          </w:p>
        </w:tc>
        <w:tc>
          <w:tcPr>
            <w:tcW w:w="1556" w:type="dxa"/>
            <w:tcBorders>
              <w:top w:val="nil"/>
              <w:left w:val="nil"/>
              <w:bottom w:val="nil"/>
              <w:right w:val="nil"/>
            </w:tcBorders>
            <w:shd w:val="clear" w:color="auto" w:fill="auto"/>
            <w:noWrap/>
            <w:vAlign w:val="bottom"/>
            <w:hideMark/>
          </w:tcPr>
          <w:p w14:paraId="5C5C75AB" w14:textId="267CFD38"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27%</w:t>
            </w:r>
          </w:p>
        </w:tc>
        <w:tc>
          <w:tcPr>
            <w:tcW w:w="1556" w:type="dxa"/>
            <w:tcBorders>
              <w:top w:val="nil"/>
              <w:left w:val="nil"/>
              <w:bottom w:val="nil"/>
              <w:right w:val="nil"/>
            </w:tcBorders>
            <w:shd w:val="clear" w:color="auto" w:fill="auto"/>
            <w:noWrap/>
            <w:vAlign w:val="bottom"/>
            <w:hideMark/>
          </w:tcPr>
          <w:p w14:paraId="621B0945" w14:textId="5702B4C0"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52%</w:t>
            </w:r>
          </w:p>
        </w:tc>
      </w:tr>
      <w:tr w:rsidR="00125DB6" w:rsidRPr="008A39AD" w14:paraId="25A8CDCD" w14:textId="77777777" w:rsidTr="008F78E4">
        <w:trPr>
          <w:trHeight w:val="294"/>
        </w:trPr>
        <w:tc>
          <w:tcPr>
            <w:tcW w:w="3496" w:type="dxa"/>
            <w:tcBorders>
              <w:top w:val="nil"/>
              <w:left w:val="nil"/>
              <w:bottom w:val="nil"/>
              <w:right w:val="nil"/>
            </w:tcBorders>
            <w:shd w:val="clear" w:color="auto" w:fill="auto"/>
            <w:noWrap/>
            <w:vAlign w:val="bottom"/>
            <w:hideMark/>
          </w:tcPr>
          <w:p w14:paraId="1A5E3724" w14:textId="67F7FA39"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Psychiatric disorder</w:t>
            </w:r>
            <w:r w:rsidR="00877CBF" w:rsidRPr="008A39AD">
              <w:rPr>
                <w:rFonts w:ascii="Arial" w:eastAsia="Times New Roman" w:hAnsi="Arial" w:cs="Arial"/>
                <w:color w:val="000000"/>
              </w:rPr>
              <w:t>ⱡ</w:t>
            </w:r>
            <w:r w:rsidRPr="008A39AD">
              <w:rPr>
                <w:rFonts w:ascii="Arial" w:eastAsia="Times New Roman" w:hAnsi="Arial" w:cs="Arial"/>
                <w:color w:val="000000"/>
              </w:rPr>
              <w:t>, %</w:t>
            </w:r>
          </w:p>
        </w:tc>
        <w:tc>
          <w:tcPr>
            <w:tcW w:w="1556" w:type="dxa"/>
            <w:tcBorders>
              <w:top w:val="nil"/>
              <w:left w:val="nil"/>
              <w:bottom w:val="nil"/>
              <w:right w:val="nil"/>
            </w:tcBorders>
            <w:shd w:val="clear" w:color="auto" w:fill="auto"/>
            <w:noWrap/>
            <w:vAlign w:val="bottom"/>
            <w:hideMark/>
          </w:tcPr>
          <w:p w14:paraId="2B762923" w14:textId="4501B0F5"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10%</w:t>
            </w:r>
          </w:p>
        </w:tc>
        <w:tc>
          <w:tcPr>
            <w:tcW w:w="1556" w:type="dxa"/>
            <w:tcBorders>
              <w:top w:val="nil"/>
              <w:left w:val="nil"/>
              <w:bottom w:val="nil"/>
              <w:right w:val="nil"/>
            </w:tcBorders>
            <w:shd w:val="clear" w:color="auto" w:fill="auto"/>
            <w:noWrap/>
            <w:vAlign w:val="bottom"/>
            <w:hideMark/>
          </w:tcPr>
          <w:p w14:paraId="6F14DB02" w14:textId="1264CC14"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14%</w:t>
            </w:r>
          </w:p>
        </w:tc>
        <w:tc>
          <w:tcPr>
            <w:tcW w:w="1556" w:type="dxa"/>
            <w:tcBorders>
              <w:top w:val="nil"/>
              <w:left w:val="nil"/>
              <w:bottom w:val="nil"/>
              <w:right w:val="nil"/>
            </w:tcBorders>
            <w:shd w:val="clear" w:color="auto" w:fill="auto"/>
            <w:noWrap/>
            <w:vAlign w:val="bottom"/>
            <w:hideMark/>
          </w:tcPr>
          <w:p w14:paraId="0E22DDE1" w14:textId="552893C3"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3%</w:t>
            </w:r>
          </w:p>
        </w:tc>
        <w:tc>
          <w:tcPr>
            <w:tcW w:w="1556" w:type="dxa"/>
            <w:tcBorders>
              <w:top w:val="nil"/>
              <w:left w:val="nil"/>
              <w:bottom w:val="nil"/>
              <w:right w:val="nil"/>
            </w:tcBorders>
            <w:shd w:val="clear" w:color="auto" w:fill="auto"/>
            <w:noWrap/>
            <w:vAlign w:val="bottom"/>
            <w:hideMark/>
          </w:tcPr>
          <w:p w14:paraId="6AA6C7D8" w14:textId="37E80997"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w:t>
            </w:r>
          </w:p>
        </w:tc>
        <w:tc>
          <w:tcPr>
            <w:tcW w:w="1556" w:type="dxa"/>
            <w:tcBorders>
              <w:top w:val="nil"/>
              <w:left w:val="nil"/>
              <w:bottom w:val="nil"/>
              <w:right w:val="nil"/>
            </w:tcBorders>
            <w:shd w:val="clear" w:color="auto" w:fill="auto"/>
            <w:noWrap/>
            <w:vAlign w:val="bottom"/>
            <w:hideMark/>
          </w:tcPr>
          <w:p w14:paraId="1B4D91C6" w14:textId="22D6058D"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7%</w:t>
            </w:r>
          </w:p>
        </w:tc>
        <w:tc>
          <w:tcPr>
            <w:tcW w:w="1556" w:type="dxa"/>
            <w:tcBorders>
              <w:top w:val="nil"/>
              <w:left w:val="nil"/>
              <w:bottom w:val="nil"/>
              <w:right w:val="nil"/>
            </w:tcBorders>
            <w:shd w:val="clear" w:color="auto" w:fill="auto"/>
            <w:noWrap/>
            <w:vAlign w:val="bottom"/>
            <w:hideMark/>
          </w:tcPr>
          <w:p w14:paraId="09DE066A" w14:textId="1306514E"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19%</w:t>
            </w:r>
          </w:p>
        </w:tc>
      </w:tr>
      <w:tr w:rsidR="00125DB6" w:rsidRPr="008A39AD" w14:paraId="2748DDD5" w14:textId="77777777" w:rsidTr="008F78E4">
        <w:trPr>
          <w:trHeight w:val="294"/>
        </w:trPr>
        <w:tc>
          <w:tcPr>
            <w:tcW w:w="3496" w:type="dxa"/>
            <w:tcBorders>
              <w:top w:val="nil"/>
              <w:left w:val="nil"/>
              <w:bottom w:val="nil"/>
              <w:right w:val="nil"/>
            </w:tcBorders>
            <w:shd w:val="clear" w:color="auto" w:fill="auto"/>
            <w:noWrap/>
            <w:vAlign w:val="bottom"/>
            <w:hideMark/>
          </w:tcPr>
          <w:p w14:paraId="57EBFB47" w14:textId="492FE93B"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Prior HD</w:t>
            </w:r>
            <w:r w:rsidR="00877CBF" w:rsidRPr="008A39AD">
              <w:rPr>
                <w:rFonts w:ascii="Arial" w:eastAsia="Times New Roman" w:hAnsi="Arial" w:cs="Arial"/>
                <w:color w:val="000000"/>
              </w:rPr>
              <w:t>*</w:t>
            </w:r>
            <w:r w:rsidRPr="008A39AD">
              <w:rPr>
                <w:rFonts w:ascii="Arial" w:eastAsia="Times New Roman" w:hAnsi="Arial" w:cs="Arial"/>
                <w:color w:val="000000"/>
              </w:rPr>
              <w:t>, %</w:t>
            </w:r>
          </w:p>
        </w:tc>
        <w:tc>
          <w:tcPr>
            <w:tcW w:w="1556" w:type="dxa"/>
            <w:tcBorders>
              <w:top w:val="nil"/>
              <w:left w:val="nil"/>
              <w:bottom w:val="nil"/>
              <w:right w:val="nil"/>
            </w:tcBorders>
            <w:shd w:val="clear" w:color="auto" w:fill="auto"/>
            <w:noWrap/>
            <w:vAlign w:val="bottom"/>
            <w:hideMark/>
          </w:tcPr>
          <w:p w14:paraId="1313A96A" w14:textId="1C6AF6FE"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20%</w:t>
            </w:r>
          </w:p>
        </w:tc>
        <w:tc>
          <w:tcPr>
            <w:tcW w:w="1556" w:type="dxa"/>
            <w:tcBorders>
              <w:top w:val="nil"/>
              <w:left w:val="nil"/>
              <w:bottom w:val="nil"/>
              <w:right w:val="nil"/>
            </w:tcBorders>
            <w:shd w:val="clear" w:color="auto" w:fill="auto"/>
            <w:noWrap/>
            <w:vAlign w:val="bottom"/>
            <w:hideMark/>
          </w:tcPr>
          <w:p w14:paraId="7456FA15" w14:textId="5A1C7247"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24%</w:t>
            </w:r>
          </w:p>
        </w:tc>
        <w:tc>
          <w:tcPr>
            <w:tcW w:w="1556" w:type="dxa"/>
            <w:tcBorders>
              <w:top w:val="nil"/>
              <w:left w:val="nil"/>
              <w:bottom w:val="nil"/>
              <w:right w:val="nil"/>
            </w:tcBorders>
            <w:shd w:val="clear" w:color="auto" w:fill="auto"/>
            <w:noWrap/>
            <w:vAlign w:val="bottom"/>
            <w:hideMark/>
          </w:tcPr>
          <w:p w14:paraId="47C4E8C5" w14:textId="415899E1"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17%</w:t>
            </w:r>
          </w:p>
        </w:tc>
        <w:tc>
          <w:tcPr>
            <w:tcW w:w="1556" w:type="dxa"/>
            <w:tcBorders>
              <w:top w:val="nil"/>
              <w:left w:val="nil"/>
              <w:bottom w:val="nil"/>
              <w:right w:val="nil"/>
            </w:tcBorders>
            <w:shd w:val="clear" w:color="auto" w:fill="auto"/>
            <w:noWrap/>
            <w:vAlign w:val="bottom"/>
            <w:hideMark/>
          </w:tcPr>
          <w:p w14:paraId="6822B231" w14:textId="4563330E"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39%</w:t>
            </w:r>
          </w:p>
        </w:tc>
        <w:tc>
          <w:tcPr>
            <w:tcW w:w="1556" w:type="dxa"/>
            <w:tcBorders>
              <w:top w:val="nil"/>
              <w:left w:val="nil"/>
              <w:bottom w:val="nil"/>
              <w:right w:val="nil"/>
            </w:tcBorders>
            <w:shd w:val="clear" w:color="auto" w:fill="auto"/>
            <w:noWrap/>
            <w:vAlign w:val="bottom"/>
            <w:hideMark/>
          </w:tcPr>
          <w:p w14:paraId="161AFFD5" w14:textId="6C874598"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15%</w:t>
            </w:r>
          </w:p>
        </w:tc>
        <w:tc>
          <w:tcPr>
            <w:tcW w:w="1556" w:type="dxa"/>
            <w:tcBorders>
              <w:top w:val="nil"/>
              <w:left w:val="nil"/>
              <w:bottom w:val="nil"/>
              <w:right w:val="nil"/>
            </w:tcBorders>
            <w:shd w:val="clear" w:color="auto" w:fill="auto"/>
            <w:noWrap/>
            <w:vAlign w:val="bottom"/>
            <w:hideMark/>
          </w:tcPr>
          <w:p w14:paraId="24D555CA" w14:textId="54064D6A"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36%</w:t>
            </w:r>
          </w:p>
        </w:tc>
      </w:tr>
      <w:tr w:rsidR="00125DB6" w:rsidRPr="008A39AD" w14:paraId="0764FB13" w14:textId="77777777" w:rsidTr="008F78E4">
        <w:trPr>
          <w:trHeight w:val="294"/>
        </w:trPr>
        <w:tc>
          <w:tcPr>
            <w:tcW w:w="3496" w:type="dxa"/>
            <w:tcBorders>
              <w:top w:val="nil"/>
              <w:left w:val="nil"/>
              <w:bottom w:val="nil"/>
              <w:right w:val="nil"/>
            </w:tcBorders>
            <w:shd w:val="clear" w:color="auto" w:fill="auto"/>
            <w:noWrap/>
            <w:vAlign w:val="bottom"/>
            <w:hideMark/>
          </w:tcPr>
          <w:p w14:paraId="3172F7BE" w14:textId="77777777"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 xml:space="preserve">Urine volume, L/24 </w:t>
            </w:r>
            <w:proofErr w:type="spellStart"/>
            <w:r w:rsidRPr="008A39AD">
              <w:rPr>
                <w:rFonts w:ascii="Arial" w:eastAsia="Times New Roman" w:hAnsi="Arial" w:cs="Arial"/>
                <w:color w:val="000000"/>
              </w:rPr>
              <w:t>hr</w:t>
            </w:r>
            <w:proofErr w:type="spellEnd"/>
          </w:p>
        </w:tc>
        <w:tc>
          <w:tcPr>
            <w:tcW w:w="1556" w:type="dxa"/>
            <w:tcBorders>
              <w:top w:val="nil"/>
              <w:left w:val="nil"/>
              <w:bottom w:val="nil"/>
              <w:right w:val="nil"/>
            </w:tcBorders>
            <w:shd w:val="clear" w:color="auto" w:fill="auto"/>
            <w:noWrap/>
            <w:vAlign w:val="bottom"/>
            <w:hideMark/>
          </w:tcPr>
          <w:p w14:paraId="2296F2D1" w14:textId="4C0FBF90"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0.98(0.76)</w:t>
            </w:r>
          </w:p>
        </w:tc>
        <w:tc>
          <w:tcPr>
            <w:tcW w:w="1556" w:type="dxa"/>
            <w:tcBorders>
              <w:top w:val="nil"/>
              <w:left w:val="nil"/>
              <w:bottom w:val="nil"/>
              <w:right w:val="nil"/>
            </w:tcBorders>
            <w:shd w:val="clear" w:color="auto" w:fill="auto"/>
            <w:noWrap/>
            <w:vAlign w:val="bottom"/>
            <w:hideMark/>
          </w:tcPr>
          <w:p w14:paraId="13EDF7A6" w14:textId="6D202D23"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1.06(0.74)</w:t>
            </w:r>
          </w:p>
        </w:tc>
        <w:tc>
          <w:tcPr>
            <w:tcW w:w="1556" w:type="dxa"/>
            <w:tcBorders>
              <w:top w:val="nil"/>
              <w:left w:val="nil"/>
              <w:bottom w:val="nil"/>
              <w:right w:val="nil"/>
            </w:tcBorders>
            <w:shd w:val="clear" w:color="auto" w:fill="auto"/>
            <w:noWrap/>
            <w:vAlign w:val="bottom"/>
            <w:hideMark/>
          </w:tcPr>
          <w:p w14:paraId="2B4245DE" w14:textId="281C4892"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0.90(0.62)</w:t>
            </w:r>
          </w:p>
        </w:tc>
        <w:tc>
          <w:tcPr>
            <w:tcW w:w="1556" w:type="dxa"/>
            <w:tcBorders>
              <w:top w:val="nil"/>
              <w:left w:val="nil"/>
              <w:bottom w:val="nil"/>
              <w:right w:val="nil"/>
            </w:tcBorders>
            <w:shd w:val="clear" w:color="auto" w:fill="auto"/>
            <w:noWrap/>
            <w:vAlign w:val="bottom"/>
            <w:hideMark/>
          </w:tcPr>
          <w:p w14:paraId="287F0FB8" w14:textId="3451D418"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0.50(0.58)</w:t>
            </w:r>
          </w:p>
        </w:tc>
        <w:tc>
          <w:tcPr>
            <w:tcW w:w="1556" w:type="dxa"/>
            <w:tcBorders>
              <w:top w:val="nil"/>
              <w:left w:val="nil"/>
              <w:bottom w:val="nil"/>
              <w:right w:val="nil"/>
            </w:tcBorders>
            <w:shd w:val="clear" w:color="auto" w:fill="auto"/>
            <w:noWrap/>
            <w:vAlign w:val="bottom"/>
            <w:hideMark/>
          </w:tcPr>
          <w:p w14:paraId="2D8AD6EB" w14:textId="09E807D7"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1.27(0.83)</w:t>
            </w:r>
          </w:p>
        </w:tc>
        <w:tc>
          <w:tcPr>
            <w:tcW w:w="1556" w:type="dxa"/>
            <w:tcBorders>
              <w:top w:val="nil"/>
              <w:left w:val="nil"/>
              <w:bottom w:val="nil"/>
              <w:right w:val="nil"/>
            </w:tcBorders>
            <w:shd w:val="clear" w:color="auto" w:fill="auto"/>
            <w:noWrap/>
            <w:vAlign w:val="bottom"/>
            <w:hideMark/>
          </w:tcPr>
          <w:p w14:paraId="4263BD61" w14:textId="7569845F"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0.83(0.77)</w:t>
            </w:r>
          </w:p>
        </w:tc>
      </w:tr>
      <w:tr w:rsidR="00125DB6" w:rsidRPr="008A39AD" w14:paraId="5B5C8FE6" w14:textId="77777777" w:rsidTr="008F78E4">
        <w:trPr>
          <w:trHeight w:val="294"/>
        </w:trPr>
        <w:tc>
          <w:tcPr>
            <w:tcW w:w="3496" w:type="dxa"/>
            <w:tcBorders>
              <w:top w:val="nil"/>
              <w:left w:val="nil"/>
              <w:bottom w:val="nil"/>
              <w:right w:val="nil"/>
            </w:tcBorders>
            <w:shd w:val="clear" w:color="auto" w:fill="auto"/>
            <w:noWrap/>
            <w:vAlign w:val="bottom"/>
            <w:hideMark/>
          </w:tcPr>
          <w:p w14:paraId="4800AA4B" w14:textId="26FB78EB"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Caregiver(s) involved in PD exchanges</w:t>
            </w:r>
            <w:r w:rsidR="00877CBF" w:rsidRPr="008A39AD">
              <w:rPr>
                <w:rFonts w:ascii="Arial" w:eastAsia="Times New Roman" w:hAnsi="Arial" w:cs="Arial"/>
                <w:color w:val="000000"/>
              </w:rPr>
              <w:t>*</w:t>
            </w:r>
            <w:r w:rsidRPr="008A39AD">
              <w:rPr>
                <w:rFonts w:ascii="Arial" w:eastAsia="Times New Roman" w:hAnsi="Arial" w:cs="Arial"/>
                <w:color w:val="000000"/>
              </w:rPr>
              <w:t>, %</w:t>
            </w:r>
          </w:p>
        </w:tc>
        <w:tc>
          <w:tcPr>
            <w:tcW w:w="1556" w:type="dxa"/>
            <w:tcBorders>
              <w:top w:val="nil"/>
              <w:left w:val="nil"/>
              <w:bottom w:val="nil"/>
              <w:right w:val="nil"/>
            </w:tcBorders>
            <w:shd w:val="clear" w:color="auto" w:fill="auto"/>
            <w:noWrap/>
            <w:vAlign w:val="bottom"/>
            <w:hideMark/>
          </w:tcPr>
          <w:p w14:paraId="5C91E765" w14:textId="109815C9"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17%</w:t>
            </w:r>
          </w:p>
        </w:tc>
        <w:tc>
          <w:tcPr>
            <w:tcW w:w="1556" w:type="dxa"/>
            <w:tcBorders>
              <w:top w:val="nil"/>
              <w:left w:val="nil"/>
              <w:bottom w:val="nil"/>
              <w:right w:val="nil"/>
            </w:tcBorders>
            <w:shd w:val="clear" w:color="auto" w:fill="auto"/>
            <w:noWrap/>
            <w:vAlign w:val="bottom"/>
            <w:hideMark/>
          </w:tcPr>
          <w:p w14:paraId="6466F9F6" w14:textId="50A68B15"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19%</w:t>
            </w:r>
          </w:p>
        </w:tc>
        <w:tc>
          <w:tcPr>
            <w:tcW w:w="1556" w:type="dxa"/>
            <w:tcBorders>
              <w:top w:val="nil"/>
              <w:left w:val="nil"/>
              <w:bottom w:val="nil"/>
              <w:right w:val="nil"/>
            </w:tcBorders>
            <w:shd w:val="clear" w:color="auto" w:fill="auto"/>
            <w:noWrap/>
            <w:vAlign w:val="bottom"/>
            <w:hideMark/>
          </w:tcPr>
          <w:p w14:paraId="5D903E43" w14:textId="4BD45725"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13%</w:t>
            </w:r>
          </w:p>
        </w:tc>
        <w:tc>
          <w:tcPr>
            <w:tcW w:w="1556" w:type="dxa"/>
            <w:tcBorders>
              <w:top w:val="nil"/>
              <w:left w:val="nil"/>
              <w:bottom w:val="nil"/>
              <w:right w:val="nil"/>
            </w:tcBorders>
            <w:shd w:val="clear" w:color="auto" w:fill="auto"/>
            <w:noWrap/>
            <w:vAlign w:val="bottom"/>
            <w:hideMark/>
          </w:tcPr>
          <w:p w14:paraId="01B17FC3" w14:textId="63EE0DDC"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60%</w:t>
            </w:r>
          </w:p>
        </w:tc>
        <w:tc>
          <w:tcPr>
            <w:tcW w:w="1556" w:type="dxa"/>
            <w:tcBorders>
              <w:top w:val="nil"/>
              <w:left w:val="nil"/>
              <w:bottom w:val="nil"/>
              <w:right w:val="nil"/>
            </w:tcBorders>
            <w:shd w:val="clear" w:color="auto" w:fill="auto"/>
            <w:noWrap/>
            <w:vAlign w:val="bottom"/>
            <w:hideMark/>
          </w:tcPr>
          <w:p w14:paraId="117F1324" w14:textId="328F52E8"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23%</w:t>
            </w:r>
          </w:p>
        </w:tc>
        <w:tc>
          <w:tcPr>
            <w:tcW w:w="1556" w:type="dxa"/>
            <w:tcBorders>
              <w:top w:val="nil"/>
              <w:left w:val="nil"/>
              <w:bottom w:val="nil"/>
              <w:right w:val="nil"/>
            </w:tcBorders>
            <w:shd w:val="clear" w:color="auto" w:fill="auto"/>
            <w:noWrap/>
            <w:vAlign w:val="bottom"/>
            <w:hideMark/>
          </w:tcPr>
          <w:p w14:paraId="530E0181" w14:textId="3B45518F"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16%</w:t>
            </w:r>
          </w:p>
        </w:tc>
      </w:tr>
      <w:tr w:rsidR="00125DB6" w:rsidRPr="008A39AD" w14:paraId="2B04C54F" w14:textId="77777777" w:rsidTr="008F78E4">
        <w:trPr>
          <w:trHeight w:val="294"/>
        </w:trPr>
        <w:tc>
          <w:tcPr>
            <w:tcW w:w="3496" w:type="dxa"/>
            <w:tcBorders>
              <w:top w:val="nil"/>
              <w:left w:val="nil"/>
              <w:right w:val="nil"/>
            </w:tcBorders>
            <w:shd w:val="clear" w:color="auto" w:fill="auto"/>
            <w:noWrap/>
            <w:vAlign w:val="bottom"/>
            <w:hideMark/>
          </w:tcPr>
          <w:p w14:paraId="090942D3" w14:textId="77777777"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 xml:space="preserve">Albumin, g/dL </w:t>
            </w:r>
          </w:p>
        </w:tc>
        <w:tc>
          <w:tcPr>
            <w:tcW w:w="1556" w:type="dxa"/>
            <w:tcBorders>
              <w:top w:val="nil"/>
              <w:left w:val="nil"/>
              <w:right w:val="nil"/>
            </w:tcBorders>
            <w:shd w:val="clear" w:color="auto" w:fill="auto"/>
            <w:noWrap/>
            <w:vAlign w:val="bottom"/>
            <w:hideMark/>
          </w:tcPr>
          <w:p w14:paraId="43554B14" w14:textId="2F435F02"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3.25(0.48)</w:t>
            </w:r>
          </w:p>
        </w:tc>
        <w:tc>
          <w:tcPr>
            <w:tcW w:w="1556" w:type="dxa"/>
            <w:tcBorders>
              <w:top w:val="nil"/>
              <w:left w:val="nil"/>
              <w:right w:val="nil"/>
            </w:tcBorders>
            <w:shd w:val="clear" w:color="auto" w:fill="auto"/>
            <w:noWrap/>
            <w:vAlign w:val="bottom"/>
            <w:hideMark/>
          </w:tcPr>
          <w:p w14:paraId="3A2E2179" w14:textId="1BBB7B2E"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3.44(0.51)</w:t>
            </w:r>
          </w:p>
        </w:tc>
        <w:tc>
          <w:tcPr>
            <w:tcW w:w="1556" w:type="dxa"/>
            <w:tcBorders>
              <w:top w:val="nil"/>
              <w:left w:val="nil"/>
              <w:right w:val="nil"/>
            </w:tcBorders>
            <w:shd w:val="clear" w:color="auto" w:fill="auto"/>
            <w:noWrap/>
            <w:vAlign w:val="bottom"/>
            <w:hideMark/>
          </w:tcPr>
          <w:p w14:paraId="16C6E551" w14:textId="4FA50405"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3.32(0.52)</w:t>
            </w:r>
          </w:p>
        </w:tc>
        <w:tc>
          <w:tcPr>
            <w:tcW w:w="1556" w:type="dxa"/>
            <w:tcBorders>
              <w:top w:val="nil"/>
              <w:left w:val="nil"/>
              <w:right w:val="nil"/>
            </w:tcBorders>
            <w:shd w:val="clear" w:color="auto" w:fill="auto"/>
            <w:noWrap/>
            <w:vAlign w:val="bottom"/>
            <w:hideMark/>
          </w:tcPr>
          <w:p w14:paraId="67581D67" w14:textId="4FD1A65B"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3.27(0.60)</w:t>
            </w:r>
          </w:p>
        </w:tc>
        <w:tc>
          <w:tcPr>
            <w:tcW w:w="1556" w:type="dxa"/>
            <w:tcBorders>
              <w:top w:val="nil"/>
              <w:left w:val="nil"/>
              <w:right w:val="nil"/>
            </w:tcBorders>
            <w:shd w:val="clear" w:color="auto" w:fill="auto"/>
            <w:noWrap/>
            <w:vAlign w:val="bottom"/>
            <w:hideMark/>
          </w:tcPr>
          <w:p w14:paraId="3A6CF579" w14:textId="30BB7B94"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3.42(0.55)</w:t>
            </w:r>
          </w:p>
        </w:tc>
        <w:tc>
          <w:tcPr>
            <w:tcW w:w="1556" w:type="dxa"/>
            <w:tcBorders>
              <w:top w:val="nil"/>
              <w:left w:val="nil"/>
              <w:right w:val="nil"/>
            </w:tcBorders>
            <w:shd w:val="clear" w:color="auto" w:fill="auto"/>
            <w:noWrap/>
            <w:vAlign w:val="bottom"/>
            <w:hideMark/>
          </w:tcPr>
          <w:p w14:paraId="011202DF" w14:textId="1BDBCAA1"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3.51(0.46)</w:t>
            </w:r>
          </w:p>
        </w:tc>
      </w:tr>
      <w:tr w:rsidR="00125DB6" w:rsidRPr="008A39AD" w14:paraId="55DA32DC" w14:textId="77777777" w:rsidTr="008F78E4">
        <w:trPr>
          <w:trHeight w:val="294"/>
        </w:trPr>
        <w:tc>
          <w:tcPr>
            <w:tcW w:w="3496" w:type="dxa"/>
            <w:tcBorders>
              <w:top w:val="nil"/>
              <w:left w:val="nil"/>
              <w:bottom w:val="single" w:sz="4" w:space="0" w:color="auto"/>
              <w:right w:val="nil"/>
            </w:tcBorders>
            <w:shd w:val="clear" w:color="auto" w:fill="auto"/>
            <w:noWrap/>
            <w:vAlign w:val="bottom"/>
            <w:hideMark/>
          </w:tcPr>
          <w:p w14:paraId="71122630" w14:textId="5C73698F" w:rsidR="00125DB6" w:rsidRPr="008A39AD" w:rsidRDefault="00125DB6" w:rsidP="00125DB6">
            <w:pPr>
              <w:spacing w:after="0" w:line="240" w:lineRule="auto"/>
              <w:rPr>
                <w:rFonts w:ascii="Arial" w:eastAsia="Times New Roman" w:hAnsi="Arial" w:cs="Arial"/>
                <w:color w:val="000000"/>
              </w:rPr>
            </w:pPr>
            <w:r w:rsidRPr="008A39AD">
              <w:rPr>
                <w:rFonts w:ascii="Arial" w:eastAsia="Times New Roman" w:hAnsi="Arial" w:cs="Arial"/>
                <w:color w:val="000000"/>
              </w:rPr>
              <w:t>Transplant waitlist referred</w:t>
            </w:r>
            <w:proofErr w:type="gramStart"/>
            <w:r w:rsidR="00877CBF" w:rsidRPr="008A39AD">
              <w:rPr>
                <w:rFonts w:ascii="Arial" w:eastAsia="Times New Roman" w:hAnsi="Arial" w:cs="Arial"/>
                <w:color w:val="000000"/>
              </w:rPr>
              <w:t>*,%</w:t>
            </w:r>
            <w:proofErr w:type="gramEnd"/>
          </w:p>
        </w:tc>
        <w:tc>
          <w:tcPr>
            <w:tcW w:w="1556" w:type="dxa"/>
            <w:tcBorders>
              <w:top w:val="nil"/>
              <w:left w:val="nil"/>
              <w:bottom w:val="single" w:sz="4" w:space="0" w:color="auto"/>
              <w:right w:val="nil"/>
            </w:tcBorders>
            <w:shd w:val="clear" w:color="auto" w:fill="auto"/>
            <w:noWrap/>
            <w:vAlign w:val="bottom"/>
            <w:hideMark/>
          </w:tcPr>
          <w:p w14:paraId="604FF782" w14:textId="4B9D539D"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48%</w:t>
            </w:r>
          </w:p>
        </w:tc>
        <w:tc>
          <w:tcPr>
            <w:tcW w:w="1556" w:type="dxa"/>
            <w:tcBorders>
              <w:top w:val="nil"/>
              <w:left w:val="nil"/>
              <w:bottom w:val="single" w:sz="4" w:space="0" w:color="auto"/>
              <w:right w:val="nil"/>
            </w:tcBorders>
            <w:shd w:val="clear" w:color="auto" w:fill="auto"/>
            <w:noWrap/>
            <w:vAlign w:val="bottom"/>
            <w:hideMark/>
          </w:tcPr>
          <w:p w14:paraId="76D72664" w14:textId="4FF987F8"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51%</w:t>
            </w:r>
          </w:p>
        </w:tc>
        <w:tc>
          <w:tcPr>
            <w:tcW w:w="1556" w:type="dxa"/>
            <w:tcBorders>
              <w:top w:val="nil"/>
              <w:left w:val="nil"/>
              <w:bottom w:val="single" w:sz="4" w:space="0" w:color="auto"/>
              <w:right w:val="nil"/>
            </w:tcBorders>
            <w:shd w:val="clear" w:color="auto" w:fill="auto"/>
            <w:noWrap/>
            <w:vAlign w:val="bottom"/>
            <w:hideMark/>
          </w:tcPr>
          <w:p w14:paraId="36E8C74F" w14:textId="250D7C61"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15%</w:t>
            </w:r>
          </w:p>
        </w:tc>
        <w:tc>
          <w:tcPr>
            <w:tcW w:w="1556" w:type="dxa"/>
            <w:tcBorders>
              <w:top w:val="nil"/>
              <w:left w:val="nil"/>
              <w:bottom w:val="single" w:sz="4" w:space="0" w:color="auto"/>
              <w:right w:val="nil"/>
            </w:tcBorders>
            <w:shd w:val="clear" w:color="auto" w:fill="auto"/>
            <w:noWrap/>
            <w:vAlign w:val="bottom"/>
            <w:hideMark/>
          </w:tcPr>
          <w:p w14:paraId="1B32FAA4" w14:textId="104DD830"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24%</w:t>
            </w:r>
          </w:p>
        </w:tc>
        <w:tc>
          <w:tcPr>
            <w:tcW w:w="1556" w:type="dxa"/>
            <w:tcBorders>
              <w:top w:val="nil"/>
              <w:left w:val="nil"/>
              <w:bottom w:val="single" w:sz="4" w:space="0" w:color="auto"/>
              <w:right w:val="nil"/>
            </w:tcBorders>
            <w:shd w:val="clear" w:color="auto" w:fill="auto"/>
            <w:noWrap/>
            <w:vAlign w:val="bottom"/>
            <w:hideMark/>
          </w:tcPr>
          <w:p w14:paraId="0DC6305C" w14:textId="55117512"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62%</w:t>
            </w:r>
          </w:p>
        </w:tc>
        <w:tc>
          <w:tcPr>
            <w:tcW w:w="1556" w:type="dxa"/>
            <w:tcBorders>
              <w:top w:val="nil"/>
              <w:left w:val="nil"/>
              <w:bottom w:val="single" w:sz="4" w:space="0" w:color="auto"/>
              <w:right w:val="nil"/>
            </w:tcBorders>
            <w:shd w:val="clear" w:color="auto" w:fill="auto"/>
            <w:noWrap/>
            <w:vAlign w:val="bottom"/>
            <w:hideMark/>
          </w:tcPr>
          <w:p w14:paraId="0739F78B" w14:textId="3BC0E452" w:rsidR="00125DB6" w:rsidRPr="008A39AD" w:rsidRDefault="00125DB6" w:rsidP="00125DB6">
            <w:pPr>
              <w:spacing w:after="0" w:line="240" w:lineRule="auto"/>
              <w:jc w:val="center"/>
              <w:rPr>
                <w:rFonts w:ascii="Arial" w:eastAsia="Times New Roman" w:hAnsi="Arial" w:cs="Arial"/>
                <w:color w:val="000000"/>
              </w:rPr>
            </w:pPr>
            <w:r w:rsidRPr="008A39AD">
              <w:rPr>
                <w:rFonts w:ascii="Calibri" w:hAnsi="Calibri" w:cs="Calibri"/>
                <w:color w:val="000000"/>
              </w:rPr>
              <w:t>58%</w:t>
            </w:r>
          </w:p>
        </w:tc>
      </w:tr>
    </w:tbl>
    <w:p w14:paraId="389169DA" w14:textId="413B355D" w:rsidR="00034B5E" w:rsidRPr="008A39AD" w:rsidRDefault="00877CBF" w:rsidP="00034B5E">
      <w:pPr>
        <w:spacing w:after="200" w:line="480" w:lineRule="auto"/>
        <w:rPr>
          <w:rFonts w:ascii="Arial" w:hAnsi="Arial" w:cs="Arial"/>
        </w:rPr>
      </w:pPr>
      <w:r w:rsidRPr="008A39AD">
        <w:rPr>
          <w:rFonts w:ascii="Arial" w:eastAsia="Times New Roman" w:hAnsi="Arial" w:cs="Arial"/>
          <w:color w:val="000000"/>
        </w:rPr>
        <w:t>ⱡ</w:t>
      </w:r>
      <w:r w:rsidRPr="008A39AD">
        <w:t xml:space="preserve"> Psychiatric disorders include depression, bipolar disorder, schizophrenia/psychotic disorder, alcohol abuse w/in past 12 months, or other substance abuse w/in past 12 months.</w:t>
      </w:r>
      <w:r w:rsidRPr="008A39AD">
        <w:rPr>
          <w:rFonts w:ascii="Arial" w:hAnsi="Arial" w:cs="Arial"/>
        </w:rPr>
        <w:t xml:space="preserve"> </w:t>
      </w:r>
      <w:r w:rsidR="00034B5E" w:rsidRPr="008A39AD">
        <w:rPr>
          <w:rFonts w:ascii="Arial" w:hAnsi="Arial" w:cs="Arial"/>
        </w:rPr>
        <w:t>*</w:t>
      </w:r>
      <w:r w:rsidR="00034B5E" w:rsidRPr="008A39AD">
        <w:rPr>
          <w:rFonts w:ascii="Arial" w:eastAsia="Times New Roman" w:hAnsi="Arial" w:cs="Arial"/>
          <w:color w:val="000000"/>
        </w:rPr>
        <w:t xml:space="preserve"> Prior HD, caregiver(s) involved in PD exchanges, Transplant waitlist referred, and PD solution </w:t>
      </w:r>
      <w:r w:rsidR="00EF6E81" w:rsidRPr="008A39AD">
        <w:rPr>
          <w:rFonts w:ascii="Arial" w:eastAsia="Times New Roman" w:hAnsi="Arial" w:cs="Arial"/>
          <w:color w:val="000000"/>
        </w:rPr>
        <w:t xml:space="preserve">dextrose </w:t>
      </w:r>
      <w:r w:rsidR="00034B5E" w:rsidRPr="008A39AD">
        <w:rPr>
          <w:rFonts w:ascii="Arial" w:eastAsia="Times New Roman" w:hAnsi="Arial" w:cs="Arial"/>
          <w:color w:val="000000"/>
        </w:rPr>
        <w:t>concentration were missing in US large dialysis organizations.</w:t>
      </w:r>
      <w:r w:rsidR="00E91155" w:rsidRPr="008A39AD">
        <w:t xml:space="preserve"> </w:t>
      </w:r>
      <w:r w:rsidR="00E91155" w:rsidRPr="008A39AD">
        <w:rPr>
          <w:rFonts w:ascii="Arial" w:eastAsia="Times New Roman" w:hAnsi="Arial" w:cs="Arial"/>
          <w:color w:val="000000"/>
        </w:rPr>
        <w:t>Results shown as prevalence, mean (standard deviation), or median [interquartile range]</w:t>
      </w:r>
    </w:p>
    <w:p w14:paraId="5C4C86AE" w14:textId="04849202" w:rsidR="00034B5E" w:rsidRPr="008A39AD" w:rsidRDefault="00034B5E" w:rsidP="00034B5E">
      <w:pPr>
        <w:rPr>
          <w:rFonts w:ascii="Arial" w:hAnsi="Arial" w:cs="Arial"/>
        </w:rPr>
      </w:pPr>
    </w:p>
    <w:p w14:paraId="4572EA7C" w14:textId="1F038493" w:rsidR="00BD4557" w:rsidRPr="008A39AD" w:rsidRDefault="00BD4557" w:rsidP="00FE14B2">
      <w:pPr>
        <w:rPr>
          <w:rFonts w:ascii="Arial" w:hAnsi="Arial" w:cs="Arial"/>
        </w:rPr>
      </w:pPr>
      <w:r w:rsidRPr="008A39AD">
        <w:rPr>
          <w:rFonts w:ascii="Arial" w:hAnsi="Arial" w:cs="Arial"/>
        </w:rPr>
        <w:t>Table 1B Facility characteristics</w:t>
      </w:r>
      <w:r w:rsidR="007D5F58" w:rsidRPr="008A39AD">
        <w:rPr>
          <w:rFonts w:ascii="Arial" w:hAnsi="Arial" w:cs="Arial"/>
        </w:rPr>
        <w:t>.</w:t>
      </w:r>
    </w:p>
    <w:tbl>
      <w:tblPr>
        <w:tblW w:w="12998" w:type="dxa"/>
        <w:tblLook w:val="04A0" w:firstRow="1" w:lastRow="0" w:firstColumn="1" w:lastColumn="0" w:noHBand="0" w:noVBand="1"/>
      </w:tblPr>
      <w:tblGrid>
        <w:gridCol w:w="3541"/>
        <w:gridCol w:w="1577"/>
        <w:gridCol w:w="1576"/>
        <w:gridCol w:w="1684"/>
        <w:gridCol w:w="1576"/>
        <w:gridCol w:w="1684"/>
        <w:gridCol w:w="1576"/>
      </w:tblGrid>
      <w:tr w:rsidR="00BD4557" w:rsidRPr="008A39AD" w14:paraId="0A779B65" w14:textId="77777777" w:rsidTr="00A21BA3">
        <w:trPr>
          <w:trHeight w:val="297"/>
        </w:trPr>
        <w:tc>
          <w:tcPr>
            <w:tcW w:w="3541" w:type="dxa"/>
            <w:tcBorders>
              <w:top w:val="single" w:sz="4" w:space="0" w:color="auto"/>
              <w:left w:val="nil"/>
              <w:right w:val="nil"/>
            </w:tcBorders>
            <w:shd w:val="clear" w:color="auto" w:fill="auto"/>
            <w:noWrap/>
            <w:vAlign w:val="bottom"/>
            <w:hideMark/>
          </w:tcPr>
          <w:p w14:paraId="649A7D66" w14:textId="77777777" w:rsidR="00BD4557" w:rsidRPr="008A39AD" w:rsidRDefault="00BD4557" w:rsidP="00BD4557">
            <w:pPr>
              <w:spacing w:after="0" w:line="240" w:lineRule="auto"/>
              <w:rPr>
                <w:rFonts w:ascii="Arial" w:eastAsia="Times New Roman" w:hAnsi="Arial" w:cs="Arial"/>
                <w:color w:val="000000"/>
              </w:rPr>
            </w:pPr>
            <w:r w:rsidRPr="008A39AD">
              <w:rPr>
                <w:rFonts w:ascii="Arial" w:eastAsia="Times New Roman" w:hAnsi="Arial" w:cs="Arial"/>
                <w:color w:val="000000"/>
              </w:rPr>
              <w:t> </w:t>
            </w:r>
          </w:p>
        </w:tc>
        <w:tc>
          <w:tcPr>
            <w:tcW w:w="1576" w:type="dxa"/>
            <w:tcBorders>
              <w:top w:val="single" w:sz="4" w:space="0" w:color="auto"/>
              <w:left w:val="nil"/>
              <w:right w:val="nil"/>
            </w:tcBorders>
            <w:shd w:val="clear" w:color="auto" w:fill="auto"/>
            <w:noWrap/>
            <w:vAlign w:val="bottom"/>
            <w:hideMark/>
          </w:tcPr>
          <w:p w14:paraId="15C9908B" w14:textId="77777777" w:rsidR="00BD4557" w:rsidRPr="008A39AD" w:rsidRDefault="00BD4557" w:rsidP="00BD4557">
            <w:pPr>
              <w:spacing w:after="0" w:line="240" w:lineRule="auto"/>
              <w:jc w:val="center"/>
              <w:rPr>
                <w:rFonts w:ascii="Arial" w:eastAsia="Times New Roman" w:hAnsi="Arial" w:cs="Arial"/>
                <w:b/>
                <w:bCs/>
                <w:color w:val="000000"/>
              </w:rPr>
            </w:pPr>
            <w:r w:rsidRPr="008A39AD">
              <w:rPr>
                <w:rFonts w:ascii="Arial" w:eastAsia="Times New Roman" w:hAnsi="Arial" w:cs="Arial"/>
                <w:b/>
                <w:bCs/>
                <w:color w:val="000000"/>
              </w:rPr>
              <w:t>A/NZ</w:t>
            </w:r>
          </w:p>
        </w:tc>
        <w:tc>
          <w:tcPr>
            <w:tcW w:w="1576" w:type="dxa"/>
            <w:tcBorders>
              <w:top w:val="single" w:sz="4" w:space="0" w:color="auto"/>
              <w:left w:val="nil"/>
              <w:right w:val="nil"/>
            </w:tcBorders>
            <w:shd w:val="clear" w:color="auto" w:fill="auto"/>
            <w:noWrap/>
            <w:vAlign w:val="bottom"/>
            <w:hideMark/>
          </w:tcPr>
          <w:p w14:paraId="70BAD9D8" w14:textId="77777777" w:rsidR="00BD4557" w:rsidRPr="008A39AD" w:rsidRDefault="00BD4557" w:rsidP="00BD4557">
            <w:pPr>
              <w:spacing w:after="0" w:line="240" w:lineRule="auto"/>
              <w:jc w:val="center"/>
              <w:rPr>
                <w:rFonts w:ascii="Arial" w:eastAsia="Times New Roman" w:hAnsi="Arial" w:cs="Arial"/>
                <w:b/>
                <w:bCs/>
                <w:color w:val="000000"/>
              </w:rPr>
            </w:pPr>
            <w:r w:rsidRPr="008A39AD">
              <w:rPr>
                <w:rFonts w:ascii="Arial" w:eastAsia="Times New Roman" w:hAnsi="Arial" w:cs="Arial"/>
                <w:b/>
                <w:bCs/>
                <w:color w:val="000000"/>
              </w:rPr>
              <w:t>Canada</w:t>
            </w:r>
          </w:p>
        </w:tc>
        <w:tc>
          <w:tcPr>
            <w:tcW w:w="1576" w:type="dxa"/>
            <w:tcBorders>
              <w:top w:val="single" w:sz="4" w:space="0" w:color="auto"/>
              <w:left w:val="nil"/>
              <w:right w:val="nil"/>
            </w:tcBorders>
            <w:shd w:val="clear" w:color="auto" w:fill="auto"/>
            <w:noWrap/>
            <w:vAlign w:val="bottom"/>
            <w:hideMark/>
          </w:tcPr>
          <w:p w14:paraId="4B4419E5" w14:textId="77777777" w:rsidR="00BD4557" w:rsidRPr="008A39AD" w:rsidRDefault="00BD4557" w:rsidP="00BD4557">
            <w:pPr>
              <w:spacing w:after="0" w:line="240" w:lineRule="auto"/>
              <w:jc w:val="center"/>
              <w:rPr>
                <w:rFonts w:ascii="Arial" w:eastAsia="Times New Roman" w:hAnsi="Arial" w:cs="Arial"/>
                <w:b/>
                <w:bCs/>
                <w:color w:val="000000"/>
              </w:rPr>
            </w:pPr>
            <w:r w:rsidRPr="008A39AD">
              <w:rPr>
                <w:rFonts w:ascii="Arial" w:eastAsia="Times New Roman" w:hAnsi="Arial" w:cs="Arial"/>
                <w:b/>
                <w:bCs/>
                <w:color w:val="000000"/>
              </w:rPr>
              <w:t>Japan</w:t>
            </w:r>
          </w:p>
        </w:tc>
        <w:tc>
          <w:tcPr>
            <w:tcW w:w="1576" w:type="dxa"/>
            <w:tcBorders>
              <w:top w:val="single" w:sz="4" w:space="0" w:color="auto"/>
              <w:left w:val="nil"/>
              <w:right w:val="nil"/>
            </w:tcBorders>
            <w:shd w:val="clear" w:color="auto" w:fill="auto"/>
            <w:noWrap/>
            <w:vAlign w:val="bottom"/>
            <w:hideMark/>
          </w:tcPr>
          <w:p w14:paraId="0EA24BB9" w14:textId="77777777" w:rsidR="00BD4557" w:rsidRPr="008A39AD" w:rsidRDefault="00BD4557" w:rsidP="00BD4557">
            <w:pPr>
              <w:spacing w:after="0" w:line="240" w:lineRule="auto"/>
              <w:jc w:val="center"/>
              <w:rPr>
                <w:rFonts w:ascii="Arial" w:eastAsia="Times New Roman" w:hAnsi="Arial" w:cs="Arial"/>
                <w:b/>
                <w:bCs/>
                <w:color w:val="000000"/>
              </w:rPr>
            </w:pPr>
            <w:r w:rsidRPr="008A39AD">
              <w:rPr>
                <w:rFonts w:ascii="Arial" w:eastAsia="Times New Roman" w:hAnsi="Arial" w:cs="Arial"/>
                <w:b/>
                <w:bCs/>
                <w:color w:val="000000"/>
              </w:rPr>
              <w:t>Thailand</w:t>
            </w:r>
          </w:p>
        </w:tc>
        <w:tc>
          <w:tcPr>
            <w:tcW w:w="1576" w:type="dxa"/>
            <w:tcBorders>
              <w:top w:val="single" w:sz="4" w:space="0" w:color="auto"/>
              <w:left w:val="nil"/>
              <w:right w:val="nil"/>
            </w:tcBorders>
            <w:shd w:val="clear" w:color="auto" w:fill="auto"/>
            <w:noWrap/>
            <w:vAlign w:val="bottom"/>
            <w:hideMark/>
          </w:tcPr>
          <w:p w14:paraId="033FB068" w14:textId="77777777" w:rsidR="00BD4557" w:rsidRPr="008A39AD" w:rsidRDefault="00BD4557" w:rsidP="00BD4557">
            <w:pPr>
              <w:spacing w:after="0" w:line="240" w:lineRule="auto"/>
              <w:jc w:val="center"/>
              <w:rPr>
                <w:rFonts w:ascii="Arial" w:eastAsia="Times New Roman" w:hAnsi="Arial" w:cs="Arial"/>
                <w:b/>
                <w:bCs/>
                <w:color w:val="000000"/>
              </w:rPr>
            </w:pPr>
            <w:r w:rsidRPr="008A39AD">
              <w:rPr>
                <w:rFonts w:ascii="Arial" w:eastAsia="Times New Roman" w:hAnsi="Arial" w:cs="Arial"/>
                <w:b/>
                <w:bCs/>
                <w:color w:val="000000"/>
              </w:rPr>
              <w:t>UK</w:t>
            </w:r>
          </w:p>
        </w:tc>
        <w:tc>
          <w:tcPr>
            <w:tcW w:w="1576" w:type="dxa"/>
            <w:tcBorders>
              <w:top w:val="single" w:sz="4" w:space="0" w:color="auto"/>
              <w:left w:val="nil"/>
              <w:right w:val="nil"/>
            </w:tcBorders>
            <w:shd w:val="clear" w:color="auto" w:fill="auto"/>
            <w:noWrap/>
            <w:vAlign w:val="bottom"/>
            <w:hideMark/>
          </w:tcPr>
          <w:p w14:paraId="3D5F4219" w14:textId="77777777" w:rsidR="00BD4557" w:rsidRPr="008A39AD" w:rsidRDefault="00BD4557" w:rsidP="00BD4557">
            <w:pPr>
              <w:spacing w:after="0" w:line="240" w:lineRule="auto"/>
              <w:jc w:val="center"/>
              <w:rPr>
                <w:rFonts w:ascii="Arial" w:eastAsia="Times New Roman" w:hAnsi="Arial" w:cs="Arial"/>
                <w:b/>
                <w:bCs/>
                <w:color w:val="000000"/>
              </w:rPr>
            </w:pPr>
            <w:r w:rsidRPr="008A39AD">
              <w:rPr>
                <w:rFonts w:ascii="Arial" w:eastAsia="Times New Roman" w:hAnsi="Arial" w:cs="Arial"/>
                <w:b/>
                <w:bCs/>
                <w:color w:val="000000"/>
              </w:rPr>
              <w:t>US</w:t>
            </w:r>
          </w:p>
        </w:tc>
      </w:tr>
      <w:tr w:rsidR="00BD4557" w:rsidRPr="008A39AD" w14:paraId="511785F2" w14:textId="77777777" w:rsidTr="00A21BA3">
        <w:trPr>
          <w:trHeight w:val="297"/>
        </w:trPr>
        <w:tc>
          <w:tcPr>
            <w:tcW w:w="3541" w:type="dxa"/>
            <w:tcBorders>
              <w:top w:val="nil"/>
              <w:left w:val="nil"/>
              <w:bottom w:val="single" w:sz="4" w:space="0" w:color="auto"/>
              <w:right w:val="nil"/>
            </w:tcBorders>
            <w:shd w:val="clear" w:color="auto" w:fill="auto"/>
            <w:noWrap/>
            <w:vAlign w:val="bottom"/>
            <w:hideMark/>
          </w:tcPr>
          <w:p w14:paraId="58A3E1D4" w14:textId="77777777" w:rsidR="00BD4557" w:rsidRPr="008A39AD" w:rsidRDefault="00BD4557" w:rsidP="00BD4557">
            <w:pPr>
              <w:spacing w:after="0" w:line="240" w:lineRule="auto"/>
              <w:rPr>
                <w:rFonts w:ascii="Arial" w:eastAsia="Times New Roman" w:hAnsi="Arial" w:cs="Arial"/>
                <w:color w:val="000000"/>
              </w:rPr>
            </w:pPr>
            <w:r w:rsidRPr="008A39AD">
              <w:rPr>
                <w:rFonts w:ascii="Arial" w:eastAsia="Times New Roman" w:hAnsi="Arial" w:cs="Arial"/>
                <w:color w:val="000000"/>
              </w:rPr>
              <w:t>Number of facilities</w:t>
            </w:r>
          </w:p>
        </w:tc>
        <w:tc>
          <w:tcPr>
            <w:tcW w:w="1576" w:type="dxa"/>
            <w:tcBorders>
              <w:top w:val="nil"/>
              <w:left w:val="nil"/>
              <w:bottom w:val="single" w:sz="4" w:space="0" w:color="auto"/>
              <w:right w:val="nil"/>
            </w:tcBorders>
            <w:shd w:val="clear" w:color="auto" w:fill="auto"/>
            <w:noWrap/>
            <w:vAlign w:val="bottom"/>
            <w:hideMark/>
          </w:tcPr>
          <w:p w14:paraId="221B6632" w14:textId="77777777" w:rsidR="00BD4557" w:rsidRPr="008A39AD" w:rsidRDefault="00BD4557" w:rsidP="00BD4557">
            <w:pPr>
              <w:spacing w:after="0" w:line="240" w:lineRule="auto"/>
              <w:jc w:val="center"/>
              <w:rPr>
                <w:rFonts w:ascii="Arial" w:eastAsia="Times New Roman" w:hAnsi="Arial" w:cs="Arial"/>
                <w:color w:val="000000"/>
              </w:rPr>
            </w:pPr>
            <w:r w:rsidRPr="008A39AD">
              <w:rPr>
                <w:rFonts w:ascii="Arial" w:eastAsia="Times New Roman" w:hAnsi="Arial" w:cs="Arial"/>
                <w:color w:val="000000"/>
              </w:rPr>
              <w:t>20</w:t>
            </w:r>
          </w:p>
        </w:tc>
        <w:tc>
          <w:tcPr>
            <w:tcW w:w="1576" w:type="dxa"/>
            <w:tcBorders>
              <w:top w:val="nil"/>
              <w:left w:val="nil"/>
              <w:bottom w:val="single" w:sz="4" w:space="0" w:color="auto"/>
              <w:right w:val="nil"/>
            </w:tcBorders>
            <w:shd w:val="clear" w:color="auto" w:fill="auto"/>
            <w:noWrap/>
            <w:vAlign w:val="bottom"/>
            <w:hideMark/>
          </w:tcPr>
          <w:p w14:paraId="102C6063" w14:textId="77777777" w:rsidR="00BD4557" w:rsidRPr="008A39AD" w:rsidRDefault="00BD4557" w:rsidP="00BD4557">
            <w:pPr>
              <w:spacing w:after="0" w:line="240" w:lineRule="auto"/>
              <w:jc w:val="center"/>
              <w:rPr>
                <w:rFonts w:ascii="Arial" w:eastAsia="Times New Roman" w:hAnsi="Arial" w:cs="Arial"/>
                <w:color w:val="000000"/>
              </w:rPr>
            </w:pPr>
            <w:r w:rsidRPr="008A39AD">
              <w:rPr>
                <w:rFonts w:ascii="Arial" w:eastAsia="Times New Roman" w:hAnsi="Arial" w:cs="Arial"/>
                <w:color w:val="000000"/>
              </w:rPr>
              <w:t>20</w:t>
            </w:r>
          </w:p>
        </w:tc>
        <w:tc>
          <w:tcPr>
            <w:tcW w:w="1576" w:type="dxa"/>
            <w:tcBorders>
              <w:top w:val="nil"/>
              <w:left w:val="nil"/>
              <w:bottom w:val="single" w:sz="4" w:space="0" w:color="auto"/>
              <w:right w:val="nil"/>
            </w:tcBorders>
            <w:shd w:val="clear" w:color="auto" w:fill="auto"/>
            <w:noWrap/>
            <w:vAlign w:val="bottom"/>
            <w:hideMark/>
          </w:tcPr>
          <w:p w14:paraId="117A6FBD" w14:textId="77777777" w:rsidR="00BD4557" w:rsidRPr="008A39AD" w:rsidRDefault="00BD4557" w:rsidP="00BD4557">
            <w:pPr>
              <w:spacing w:after="0" w:line="240" w:lineRule="auto"/>
              <w:jc w:val="center"/>
              <w:rPr>
                <w:rFonts w:ascii="Arial" w:eastAsia="Times New Roman" w:hAnsi="Arial" w:cs="Arial"/>
                <w:color w:val="000000"/>
              </w:rPr>
            </w:pPr>
            <w:r w:rsidRPr="008A39AD">
              <w:rPr>
                <w:rFonts w:ascii="Arial" w:eastAsia="Times New Roman" w:hAnsi="Arial" w:cs="Arial"/>
                <w:color w:val="000000"/>
              </w:rPr>
              <w:t>31</w:t>
            </w:r>
          </w:p>
        </w:tc>
        <w:tc>
          <w:tcPr>
            <w:tcW w:w="1576" w:type="dxa"/>
            <w:tcBorders>
              <w:top w:val="nil"/>
              <w:left w:val="nil"/>
              <w:bottom w:val="single" w:sz="4" w:space="0" w:color="auto"/>
              <w:right w:val="nil"/>
            </w:tcBorders>
            <w:shd w:val="clear" w:color="auto" w:fill="auto"/>
            <w:noWrap/>
            <w:vAlign w:val="bottom"/>
            <w:hideMark/>
          </w:tcPr>
          <w:p w14:paraId="211D5ADD" w14:textId="77777777" w:rsidR="00BD4557" w:rsidRPr="008A39AD" w:rsidRDefault="00BD4557" w:rsidP="00BD4557">
            <w:pPr>
              <w:spacing w:after="0" w:line="240" w:lineRule="auto"/>
              <w:jc w:val="center"/>
              <w:rPr>
                <w:rFonts w:ascii="Arial" w:eastAsia="Times New Roman" w:hAnsi="Arial" w:cs="Arial"/>
                <w:color w:val="000000"/>
              </w:rPr>
            </w:pPr>
            <w:r w:rsidRPr="008A39AD">
              <w:rPr>
                <w:rFonts w:ascii="Arial" w:eastAsia="Times New Roman" w:hAnsi="Arial" w:cs="Arial"/>
                <w:color w:val="000000"/>
              </w:rPr>
              <w:t>22</w:t>
            </w:r>
          </w:p>
        </w:tc>
        <w:tc>
          <w:tcPr>
            <w:tcW w:w="1576" w:type="dxa"/>
            <w:tcBorders>
              <w:top w:val="nil"/>
              <w:left w:val="nil"/>
              <w:bottom w:val="single" w:sz="4" w:space="0" w:color="auto"/>
              <w:right w:val="nil"/>
            </w:tcBorders>
            <w:shd w:val="clear" w:color="auto" w:fill="auto"/>
            <w:noWrap/>
            <w:vAlign w:val="bottom"/>
            <w:hideMark/>
          </w:tcPr>
          <w:p w14:paraId="7E338269" w14:textId="77777777" w:rsidR="00BD4557" w:rsidRPr="008A39AD" w:rsidRDefault="00BD4557" w:rsidP="00BD4557">
            <w:pPr>
              <w:spacing w:after="0" w:line="240" w:lineRule="auto"/>
              <w:jc w:val="center"/>
              <w:rPr>
                <w:rFonts w:ascii="Arial" w:eastAsia="Times New Roman" w:hAnsi="Arial" w:cs="Arial"/>
                <w:color w:val="000000"/>
              </w:rPr>
            </w:pPr>
            <w:r w:rsidRPr="008A39AD">
              <w:rPr>
                <w:rFonts w:ascii="Arial" w:eastAsia="Times New Roman" w:hAnsi="Arial" w:cs="Arial"/>
                <w:color w:val="000000"/>
              </w:rPr>
              <w:t>19</w:t>
            </w:r>
          </w:p>
        </w:tc>
        <w:tc>
          <w:tcPr>
            <w:tcW w:w="1576" w:type="dxa"/>
            <w:tcBorders>
              <w:top w:val="nil"/>
              <w:left w:val="nil"/>
              <w:bottom w:val="single" w:sz="4" w:space="0" w:color="auto"/>
              <w:right w:val="nil"/>
            </w:tcBorders>
            <w:shd w:val="clear" w:color="auto" w:fill="auto"/>
            <w:noWrap/>
            <w:vAlign w:val="bottom"/>
            <w:hideMark/>
          </w:tcPr>
          <w:p w14:paraId="191EE3D8" w14:textId="77777777" w:rsidR="00BD4557" w:rsidRPr="008A39AD" w:rsidRDefault="00BD4557" w:rsidP="00BD4557">
            <w:pPr>
              <w:spacing w:after="0" w:line="240" w:lineRule="auto"/>
              <w:jc w:val="center"/>
              <w:rPr>
                <w:rFonts w:ascii="Arial" w:eastAsia="Times New Roman" w:hAnsi="Arial" w:cs="Arial"/>
                <w:color w:val="000000"/>
              </w:rPr>
            </w:pPr>
            <w:r w:rsidRPr="008A39AD">
              <w:rPr>
                <w:rFonts w:ascii="Arial" w:eastAsia="Times New Roman" w:hAnsi="Arial" w:cs="Arial"/>
                <w:color w:val="000000"/>
              </w:rPr>
              <w:t>106</w:t>
            </w:r>
          </w:p>
        </w:tc>
      </w:tr>
      <w:tr w:rsidR="00BD4557" w:rsidRPr="008A39AD" w14:paraId="15AF07C5" w14:textId="77777777" w:rsidTr="00A21BA3">
        <w:trPr>
          <w:trHeight w:val="297"/>
        </w:trPr>
        <w:tc>
          <w:tcPr>
            <w:tcW w:w="3541" w:type="dxa"/>
            <w:tcBorders>
              <w:top w:val="single" w:sz="4" w:space="0" w:color="auto"/>
              <w:left w:val="nil"/>
              <w:right w:val="nil"/>
            </w:tcBorders>
            <w:shd w:val="clear" w:color="auto" w:fill="auto"/>
            <w:noWrap/>
            <w:vAlign w:val="bottom"/>
            <w:hideMark/>
          </w:tcPr>
          <w:p w14:paraId="0E7A82C3" w14:textId="3387729E" w:rsidR="00BD4557" w:rsidRPr="008A39AD" w:rsidRDefault="00BD4557" w:rsidP="00E91155">
            <w:pPr>
              <w:spacing w:after="0" w:line="240" w:lineRule="auto"/>
              <w:rPr>
                <w:rFonts w:ascii="Arial" w:eastAsia="Times New Roman" w:hAnsi="Arial" w:cs="Arial"/>
                <w:color w:val="000000"/>
              </w:rPr>
            </w:pPr>
            <w:r w:rsidRPr="008A39AD">
              <w:rPr>
                <w:rFonts w:ascii="Arial" w:eastAsia="Times New Roman" w:hAnsi="Arial" w:cs="Arial"/>
                <w:color w:val="000000"/>
              </w:rPr>
              <w:t>Facility size</w:t>
            </w:r>
          </w:p>
        </w:tc>
        <w:tc>
          <w:tcPr>
            <w:tcW w:w="1576" w:type="dxa"/>
            <w:tcBorders>
              <w:top w:val="single" w:sz="4" w:space="0" w:color="auto"/>
              <w:left w:val="nil"/>
              <w:right w:val="nil"/>
            </w:tcBorders>
            <w:shd w:val="clear" w:color="auto" w:fill="auto"/>
            <w:noWrap/>
            <w:vAlign w:val="bottom"/>
            <w:hideMark/>
          </w:tcPr>
          <w:p w14:paraId="0CF73142" w14:textId="77777777" w:rsidR="00BD4557" w:rsidRPr="008A39AD" w:rsidRDefault="00BD4557" w:rsidP="00BD4557">
            <w:pPr>
              <w:spacing w:after="0" w:line="240" w:lineRule="auto"/>
              <w:jc w:val="center"/>
              <w:rPr>
                <w:rFonts w:ascii="Arial" w:eastAsia="Times New Roman" w:hAnsi="Arial" w:cs="Arial"/>
                <w:color w:val="000000"/>
              </w:rPr>
            </w:pPr>
            <w:r w:rsidRPr="008A39AD">
              <w:rPr>
                <w:rFonts w:ascii="Arial" w:eastAsia="Times New Roman" w:hAnsi="Arial" w:cs="Arial"/>
                <w:color w:val="000000"/>
              </w:rPr>
              <w:t>53[36,82]</w:t>
            </w:r>
          </w:p>
        </w:tc>
        <w:tc>
          <w:tcPr>
            <w:tcW w:w="1576" w:type="dxa"/>
            <w:tcBorders>
              <w:top w:val="single" w:sz="4" w:space="0" w:color="auto"/>
              <w:left w:val="nil"/>
              <w:right w:val="nil"/>
            </w:tcBorders>
            <w:shd w:val="clear" w:color="auto" w:fill="auto"/>
            <w:noWrap/>
            <w:vAlign w:val="bottom"/>
            <w:hideMark/>
          </w:tcPr>
          <w:p w14:paraId="02297038" w14:textId="77777777" w:rsidR="00BD4557" w:rsidRPr="008A39AD" w:rsidRDefault="00BD4557" w:rsidP="00BD4557">
            <w:pPr>
              <w:spacing w:after="0" w:line="240" w:lineRule="auto"/>
              <w:jc w:val="center"/>
              <w:rPr>
                <w:rFonts w:ascii="Arial" w:eastAsia="Times New Roman" w:hAnsi="Arial" w:cs="Arial"/>
                <w:color w:val="000000"/>
              </w:rPr>
            </w:pPr>
            <w:r w:rsidRPr="008A39AD">
              <w:rPr>
                <w:rFonts w:ascii="Arial" w:eastAsia="Times New Roman" w:hAnsi="Arial" w:cs="Arial"/>
                <w:color w:val="000000"/>
              </w:rPr>
              <w:t>51[40,90]</w:t>
            </w:r>
          </w:p>
        </w:tc>
        <w:tc>
          <w:tcPr>
            <w:tcW w:w="1576" w:type="dxa"/>
            <w:tcBorders>
              <w:top w:val="single" w:sz="4" w:space="0" w:color="auto"/>
              <w:left w:val="nil"/>
              <w:right w:val="nil"/>
            </w:tcBorders>
            <w:shd w:val="clear" w:color="auto" w:fill="auto"/>
            <w:noWrap/>
            <w:vAlign w:val="bottom"/>
            <w:hideMark/>
          </w:tcPr>
          <w:p w14:paraId="0AC2D383" w14:textId="77777777" w:rsidR="00BD4557" w:rsidRPr="008A39AD" w:rsidRDefault="00BD4557" w:rsidP="00BD4557">
            <w:pPr>
              <w:spacing w:after="0" w:line="240" w:lineRule="auto"/>
              <w:jc w:val="center"/>
              <w:rPr>
                <w:rFonts w:ascii="Arial" w:eastAsia="Times New Roman" w:hAnsi="Arial" w:cs="Arial"/>
                <w:color w:val="000000"/>
              </w:rPr>
            </w:pPr>
            <w:r w:rsidRPr="008A39AD">
              <w:rPr>
                <w:rFonts w:ascii="Arial" w:eastAsia="Times New Roman" w:hAnsi="Arial" w:cs="Arial"/>
                <w:color w:val="000000"/>
              </w:rPr>
              <w:t>29[20,36]</w:t>
            </w:r>
          </w:p>
        </w:tc>
        <w:tc>
          <w:tcPr>
            <w:tcW w:w="1576" w:type="dxa"/>
            <w:tcBorders>
              <w:top w:val="single" w:sz="4" w:space="0" w:color="auto"/>
              <w:left w:val="nil"/>
              <w:right w:val="nil"/>
            </w:tcBorders>
            <w:shd w:val="clear" w:color="auto" w:fill="auto"/>
            <w:noWrap/>
            <w:vAlign w:val="bottom"/>
            <w:hideMark/>
          </w:tcPr>
          <w:p w14:paraId="6F3900C9" w14:textId="77777777" w:rsidR="00BD4557" w:rsidRPr="008A39AD" w:rsidRDefault="00BD4557" w:rsidP="00BD4557">
            <w:pPr>
              <w:spacing w:after="0" w:line="240" w:lineRule="auto"/>
              <w:jc w:val="center"/>
              <w:rPr>
                <w:rFonts w:ascii="Arial" w:eastAsia="Times New Roman" w:hAnsi="Arial" w:cs="Arial"/>
                <w:color w:val="000000"/>
              </w:rPr>
            </w:pPr>
            <w:r w:rsidRPr="008A39AD">
              <w:rPr>
                <w:rFonts w:ascii="Arial" w:eastAsia="Times New Roman" w:hAnsi="Arial" w:cs="Arial"/>
                <w:color w:val="000000"/>
              </w:rPr>
              <w:t>102[48,208]</w:t>
            </w:r>
          </w:p>
        </w:tc>
        <w:tc>
          <w:tcPr>
            <w:tcW w:w="1576" w:type="dxa"/>
            <w:tcBorders>
              <w:top w:val="single" w:sz="4" w:space="0" w:color="auto"/>
              <w:left w:val="nil"/>
              <w:right w:val="nil"/>
            </w:tcBorders>
            <w:shd w:val="clear" w:color="auto" w:fill="auto"/>
            <w:noWrap/>
            <w:vAlign w:val="bottom"/>
            <w:hideMark/>
          </w:tcPr>
          <w:p w14:paraId="78E018B1" w14:textId="77777777" w:rsidR="00BD4557" w:rsidRPr="008A39AD" w:rsidRDefault="00BD4557" w:rsidP="00BD4557">
            <w:pPr>
              <w:spacing w:after="0" w:line="240" w:lineRule="auto"/>
              <w:jc w:val="center"/>
              <w:rPr>
                <w:rFonts w:ascii="Arial" w:eastAsia="Times New Roman" w:hAnsi="Arial" w:cs="Arial"/>
                <w:color w:val="000000"/>
              </w:rPr>
            </w:pPr>
            <w:r w:rsidRPr="008A39AD">
              <w:rPr>
                <w:rFonts w:ascii="Arial" w:eastAsia="Times New Roman" w:hAnsi="Arial" w:cs="Arial"/>
                <w:color w:val="000000"/>
              </w:rPr>
              <w:t>50[27,65]</w:t>
            </w:r>
          </w:p>
        </w:tc>
        <w:tc>
          <w:tcPr>
            <w:tcW w:w="1576" w:type="dxa"/>
            <w:tcBorders>
              <w:top w:val="single" w:sz="4" w:space="0" w:color="auto"/>
              <w:left w:val="nil"/>
              <w:right w:val="nil"/>
            </w:tcBorders>
            <w:shd w:val="clear" w:color="auto" w:fill="auto"/>
            <w:noWrap/>
            <w:vAlign w:val="bottom"/>
            <w:hideMark/>
          </w:tcPr>
          <w:p w14:paraId="48202EC5" w14:textId="77777777" w:rsidR="00BD4557" w:rsidRPr="008A39AD" w:rsidRDefault="00BD4557" w:rsidP="00BD4557">
            <w:pPr>
              <w:spacing w:after="0" w:line="240" w:lineRule="auto"/>
              <w:jc w:val="center"/>
              <w:rPr>
                <w:rFonts w:ascii="Arial" w:eastAsia="Times New Roman" w:hAnsi="Arial" w:cs="Arial"/>
                <w:color w:val="000000"/>
              </w:rPr>
            </w:pPr>
            <w:r w:rsidRPr="008A39AD">
              <w:rPr>
                <w:rFonts w:ascii="Arial" w:eastAsia="Times New Roman" w:hAnsi="Arial" w:cs="Arial"/>
                <w:color w:val="000000"/>
              </w:rPr>
              <w:t>32[24,43]</w:t>
            </w:r>
          </w:p>
        </w:tc>
      </w:tr>
      <w:tr w:rsidR="00063BAE" w:rsidRPr="008A39AD" w14:paraId="7492EBF8" w14:textId="77777777" w:rsidTr="00A21BA3">
        <w:trPr>
          <w:trHeight w:val="297"/>
        </w:trPr>
        <w:tc>
          <w:tcPr>
            <w:tcW w:w="3541" w:type="dxa"/>
            <w:tcBorders>
              <w:left w:val="nil"/>
              <w:bottom w:val="nil"/>
              <w:right w:val="nil"/>
            </w:tcBorders>
            <w:shd w:val="clear" w:color="auto" w:fill="auto"/>
            <w:noWrap/>
            <w:vAlign w:val="bottom"/>
          </w:tcPr>
          <w:p w14:paraId="7BCB3071" w14:textId="136F9B36" w:rsidR="00063BAE" w:rsidRPr="008A39AD" w:rsidRDefault="00063BAE" w:rsidP="00063BAE">
            <w:pPr>
              <w:spacing w:after="0" w:line="240" w:lineRule="auto"/>
              <w:rPr>
                <w:rFonts w:ascii="Arial" w:eastAsia="Times New Roman" w:hAnsi="Arial" w:cs="Arial"/>
                <w:color w:val="000000"/>
              </w:rPr>
            </w:pPr>
            <w:r w:rsidRPr="008A39AD">
              <w:rPr>
                <w:rFonts w:ascii="Arial" w:eastAsia="Times New Roman" w:hAnsi="Arial" w:cs="Arial"/>
                <w:color w:val="000000"/>
              </w:rPr>
              <w:t>Patient nurse ratio</w:t>
            </w:r>
          </w:p>
        </w:tc>
        <w:tc>
          <w:tcPr>
            <w:tcW w:w="1576" w:type="dxa"/>
            <w:tcBorders>
              <w:left w:val="nil"/>
              <w:bottom w:val="nil"/>
              <w:right w:val="nil"/>
            </w:tcBorders>
            <w:shd w:val="clear" w:color="auto" w:fill="auto"/>
            <w:noWrap/>
            <w:vAlign w:val="bottom"/>
          </w:tcPr>
          <w:p w14:paraId="3D0E60E7" w14:textId="3BA231EC"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11[7,13]</w:t>
            </w:r>
          </w:p>
        </w:tc>
        <w:tc>
          <w:tcPr>
            <w:tcW w:w="1576" w:type="dxa"/>
            <w:tcBorders>
              <w:left w:val="nil"/>
              <w:bottom w:val="nil"/>
              <w:right w:val="nil"/>
            </w:tcBorders>
            <w:shd w:val="clear" w:color="auto" w:fill="auto"/>
            <w:noWrap/>
            <w:vAlign w:val="bottom"/>
          </w:tcPr>
          <w:p w14:paraId="6BA84F83" w14:textId="5861F344"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14[11,17]</w:t>
            </w:r>
          </w:p>
        </w:tc>
        <w:tc>
          <w:tcPr>
            <w:tcW w:w="1576" w:type="dxa"/>
            <w:tcBorders>
              <w:left w:val="nil"/>
              <w:bottom w:val="nil"/>
              <w:right w:val="nil"/>
            </w:tcBorders>
            <w:shd w:val="clear" w:color="auto" w:fill="auto"/>
            <w:noWrap/>
            <w:vAlign w:val="bottom"/>
          </w:tcPr>
          <w:p w14:paraId="32FF4D60" w14:textId="40BE4AF3"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5.78[2.58,8.00]</w:t>
            </w:r>
          </w:p>
        </w:tc>
        <w:tc>
          <w:tcPr>
            <w:tcW w:w="1576" w:type="dxa"/>
            <w:tcBorders>
              <w:left w:val="nil"/>
              <w:bottom w:val="nil"/>
              <w:right w:val="nil"/>
            </w:tcBorders>
            <w:shd w:val="clear" w:color="auto" w:fill="auto"/>
            <w:noWrap/>
            <w:vAlign w:val="bottom"/>
          </w:tcPr>
          <w:p w14:paraId="07482E3A" w14:textId="5F4E1E8C"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38[19,49]</w:t>
            </w:r>
          </w:p>
        </w:tc>
        <w:tc>
          <w:tcPr>
            <w:tcW w:w="1576" w:type="dxa"/>
            <w:tcBorders>
              <w:left w:val="nil"/>
              <w:bottom w:val="nil"/>
              <w:right w:val="nil"/>
            </w:tcBorders>
            <w:shd w:val="clear" w:color="auto" w:fill="auto"/>
            <w:noWrap/>
            <w:vAlign w:val="bottom"/>
          </w:tcPr>
          <w:p w14:paraId="77220C15" w14:textId="52F6CBA2"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8.13[6.63,9.25]</w:t>
            </w:r>
          </w:p>
        </w:tc>
        <w:tc>
          <w:tcPr>
            <w:tcW w:w="1576" w:type="dxa"/>
            <w:tcBorders>
              <w:left w:val="nil"/>
              <w:bottom w:val="nil"/>
              <w:right w:val="nil"/>
            </w:tcBorders>
            <w:shd w:val="clear" w:color="auto" w:fill="auto"/>
            <w:noWrap/>
            <w:vAlign w:val="bottom"/>
          </w:tcPr>
          <w:p w14:paraId="7036777D" w14:textId="60EED978"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11[8,14]</w:t>
            </w:r>
          </w:p>
        </w:tc>
      </w:tr>
      <w:tr w:rsidR="00063BAE" w:rsidRPr="008A39AD" w14:paraId="2E63EE4D" w14:textId="77777777" w:rsidTr="00A21BA3">
        <w:trPr>
          <w:trHeight w:val="297"/>
        </w:trPr>
        <w:tc>
          <w:tcPr>
            <w:tcW w:w="5118" w:type="dxa"/>
            <w:gridSpan w:val="2"/>
            <w:tcBorders>
              <w:top w:val="nil"/>
              <w:left w:val="nil"/>
              <w:bottom w:val="nil"/>
              <w:right w:val="nil"/>
            </w:tcBorders>
            <w:shd w:val="clear" w:color="auto" w:fill="auto"/>
            <w:noWrap/>
            <w:vAlign w:val="bottom"/>
            <w:hideMark/>
          </w:tcPr>
          <w:p w14:paraId="76C9DFFD" w14:textId="77777777" w:rsidR="00063BAE" w:rsidRPr="008A39AD" w:rsidRDefault="00063BAE" w:rsidP="00063BAE">
            <w:pPr>
              <w:spacing w:after="0" w:line="240" w:lineRule="auto"/>
              <w:rPr>
                <w:rFonts w:ascii="Arial" w:eastAsia="Times New Roman" w:hAnsi="Arial" w:cs="Arial"/>
                <w:color w:val="000000"/>
              </w:rPr>
            </w:pPr>
            <w:r w:rsidRPr="008A39AD">
              <w:rPr>
                <w:rFonts w:ascii="Arial" w:eastAsia="Times New Roman" w:hAnsi="Arial" w:cs="Arial"/>
                <w:color w:val="000000"/>
              </w:rPr>
              <w:t xml:space="preserve">Facility </w:t>
            </w:r>
            <w:proofErr w:type="spellStart"/>
            <w:r w:rsidRPr="008A39AD">
              <w:rPr>
                <w:rFonts w:ascii="Arial" w:eastAsia="Times New Roman" w:hAnsi="Arial" w:cs="Arial"/>
                <w:color w:val="000000"/>
              </w:rPr>
              <w:t>years experience</w:t>
            </w:r>
            <w:proofErr w:type="spellEnd"/>
            <w:r w:rsidRPr="008A39AD">
              <w:rPr>
                <w:rFonts w:ascii="Arial" w:eastAsia="Times New Roman" w:hAnsi="Arial" w:cs="Arial"/>
                <w:color w:val="000000"/>
              </w:rPr>
              <w:t xml:space="preserve"> treating PD patients</w:t>
            </w:r>
          </w:p>
        </w:tc>
        <w:tc>
          <w:tcPr>
            <w:tcW w:w="1576" w:type="dxa"/>
            <w:tcBorders>
              <w:top w:val="nil"/>
              <w:left w:val="nil"/>
              <w:bottom w:val="nil"/>
              <w:right w:val="nil"/>
            </w:tcBorders>
            <w:shd w:val="clear" w:color="auto" w:fill="auto"/>
            <w:noWrap/>
            <w:vAlign w:val="bottom"/>
            <w:hideMark/>
          </w:tcPr>
          <w:p w14:paraId="39A2DB6E" w14:textId="77777777" w:rsidR="00063BAE" w:rsidRPr="008A39AD" w:rsidRDefault="00063BAE" w:rsidP="00063BAE">
            <w:pPr>
              <w:spacing w:after="0" w:line="240" w:lineRule="auto"/>
              <w:rPr>
                <w:rFonts w:ascii="Arial" w:eastAsia="Times New Roman" w:hAnsi="Arial" w:cs="Arial"/>
                <w:color w:val="000000"/>
              </w:rPr>
            </w:pPr>
          </w:p>
        </w:tc>
        <w:tc>
          <w:tcPr>
            <w:tcW w:w="1576" w:type="dxa"/>
            <w:tcBorders>
              <w:top w:val="nil"/>
              <w:left w:val="nil"/>
              <w:bottom w:val="nil"/>
              <w:right w:val="nil"/>
            </w:tcBorders>
            <w:shd w:val="clear" w:color="auto" w:fill="auto"/>
            <w:noWrap/>
            <w:vAlign w:val="bottom"/>
            <w:hideMark/>
          </w:tcPr>
          <w:p w14:paraId="37C8E1CE" w14:textId="77777777" w:rsidR="00063BAE" w:rsidRPr="008A39AD" w:rsidRDefault="00063BAE" w:rsidP="00063BAE">
            <w:pPr>
              <w:spacing w:after="0" w:line="240" w:lineRule="auto"/>
              <w:jc w:val="center"/>
              <w:rPr>
                <w:rFonts w:ascii="Arial" w:eastAsia="Times New Roman" w:hAnsi="Arial" w:cs="Arial"/>
                <w:sz w:val="20"/>
                <w:szCs w:val="20"/>
              </w:rPr>
            </w:pPr>
          </w:p>
        </w:tc>
        <w:tc>
          <w:tcPr>
            <w:tcW w:w="1576" w:type="dxa"/>
            <w:tcBorders>
              <w:top w:val="nil"/>
              <w:left w:val="nil"/>
              <w:bottom w:val="nil"/>
              <w:right w:val="nil"/>
            </w:tcBorders>
            <w:shd w:val="clear" w:color="auto" w:fill="auto"/>
            <w:noWrap/>
            <w:vAlign w:val="bottom"/>
            <w:hideMark/>
          </w:tcPr>
          <w:p w14:paraId="308B6352" w14:textId="77777777" w:rsidR="00063BAE" w:rsidRPr="008A39AD" w:rsidRDefault="00063BAE" w:rsidP="00063BAE">
            <w:pPr>
              <w:spacing w:after="0" w:line="240" w:lineRule="auto"/>
              <w:jc w:val="center"/>
              <w:rPr>
                <w:rFonts w:ascii="Arial" w:eastAsia="Times New Roman" w:hAnsi="Arial" w:cs="Arial"/>
                <w:sz w:val="20"/>
                <w:szCs w:val="20"/>
              </w:rPr>
            </w:pPr>
          </w:p>
        </w:tc>
        <w:tc>
          <w:tcPr>
            <w:tcW w:w="1576" w:type="dxa"/>
            <w:tcBorders>
              <w:top w:val="nil"/>
              <w:left w:val="nil"/>
              <w:bottom w:val="nil"/>
              <w:right w:val="nil"/>
            </w:tcBorders>
            <w:shd w:val="clear" w:color="auto" w:fill="auto"/>
            <w:noWrap/>
            <w:vAlign w:val="bottom"/>
            <w:hideMark/>
          </w:tcPr>
          <w:p w14:paraId="6E6DFF34" w14:textId="77777777" w:rsidR="00063BAE" w:rsidRPr="008A39AD" w:rsidRDefault="00063BAE" w:rsidP="00063BAE">
            <w:pPr>
              <w:spacing w:after="0" w:line="240" w:lineRule="auto"/>
              <w:jc w:val="center"/>
              <w:rPr>
                <w:rFonts w:ascii="Arial" w:eastAsia="Times New Roman" w:hAnsi="Arial" w:cs="Arial"/>
                <w:sz w:val="20"/>
                <w:szCs w:val="20"/>
              </w:rPr>
            </w:pPr>
          </w:p>
        </w:tc>
        <w:tc>
          <w:tcPr>
            <w:tcW w:w="1576" w:type="dxa"/>
            <w:tcBorders>
              <w:top w:val="nil"/>
              <w:left w:val="nil"/>
              <w:bottom w:val="nil"/>
              <w:right w:val="nil"/>
            </w:tcBorders>
            <w:shd w:val="clear" w:color="auto" w:fill="auto"/>
            <w:noWrap/>
            <w:vAlign w:val="bottom"/>
            <w:hideMark/>
          </w:tcPr>
          <w:p w14:paraId="0CE4537F" w14:textId="77777777" w:rsidR="00063BAE" w:rsidRPr="008A39AD" w:rsidRDefault="00063BAE" w:rsidP="00063BAE">
            <w:pPr>
              <w:spacing w:after="0" w:line="240" w:lineRule="auto"/>
              <w:jc w:val="center"/>
              <w:rPr>
                <w:rFonts w:ascii="Arial" w:eastAsia="Times New Roman" w:hAnsi="Arial" w:cs="Arial"/>
                <w:sz w:val="20"/>
                <w:szCs w:val="20"/>
              </w:rPr>
            </w:pPr>
          </w:p>
        </w:tc>
      </w:tr>
      <w:tr w:rsidR="00063BAE" w:rsidRPr="008A39AD" w14:paraId="098E19D5" w14:textId="77777777" w:rsidTr="00A21BA3">
        <w:trPr>
          <w:trHeight w:val="297"/>
        </w:trPr>
        <w:tc>
          <w:tcPr>
            <w:tcW w:w="3541" w:type="dxa"/>
            <w:tcBorders>
              <w:top w:val="nil"/>
              <w:left w:val="nil"/>
              <w:bottom w:val="nil"/>
              <w:right w:val="nil"/>
            </w:tcBorders>
            <w:shd w:val="clear" w:color="auto" w:fill="auto"/>
            <w:noWrap/>
            <w:vAlign w:val="bottom"/>
            <w:hideMark/>
          </w:tcPr>
          <w:p w14:paraId="4AB9DE88" w14:textId="77777777" w:rsidR="00063BAE" w:rsidRPr="008A39AD" w:rsidRDefault="00063BAE" w:rsidP="00063BAE">
            <w:pPr>
              <w:spacing w:after="0" w:line="240" w:lineRule="auto"/>
              <w:rPr>
                <w:rFonts w:ascii="Arial" w:eastAsia="Times New Roman" w:hAnsi="Arial" w:cs="Arial"/>
                <w:color w:val="000000"/>
              </w:rPr>
            </w:pPr>
            <w:r w:rsidRPr="008A39AD">
              <w:rPr>
                <w:rFonts w:ascii="Arial" w:eastAsia="Times New Roman" w:hAnsi="Arial" w:cs="Arial"/>
                <w:color w:val="000000"/>
              </w:rPr>
              <w:t>   &lt;5</w:t>
            </w:r>
          </w:p>
        </w:tc>
        <w:tc>
          <w:tcPr>
            <w:tcW w:w="1576" w:type="dxa"/>
            <w:tcBorders>
              <w:top w:val="nil"/>
              <w:left w:val="nil"/>
              <w:bottom w:val="nil"/>
              <w:right w:val="nil"/>
            </w:tcBorders>
            <w:shd w:val="clear" w:color="auto" w:fill="auto"/>
            <w:noWrap/>
            <w:vAlign w:val="bottom"/>
            <w:hideMark/>
          </w:tcPr>
          <w:p w14:paraId="579AEA16"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0%</w:t>
            </w:r>
          </w:p>
        </w:tc>
        <w:tc>
          <w:tcPr>
            <w:tcW w:w="1576" w:type="dxa"/>
            <w:tcBorders>
              <w:top w:val="nil"/>
              <w:left w:val="nil"/>
              <w:bottom w:val="nil"/>
              <w:right w:val="nil"/>
            </w:tcBorders>
            <w:shd w:val="clear" w:color="auto" w:fill="auto"/>
            <w:noWrap/>
            <w:vAlign w:val="bottom"/>
            <w:hideMark/>
          </w:tcPr>
          <w:p w14:paraId="6D13304C"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0%</w:t>
            </w:r>
          </w:p>
        </w:tc>
        <w:tc>
          <w:tcPr>
            <w:tcW w:w="1576" w:type="dxa"/>
            <w:tcBorders>
              <w:top w:val="nil"/>
              <w:left w:val="nil"/>
              <w:bottom w:val="nil"/>
              <w:right w:val="nil"/>
            </w:tcBorders>
            <w:shd w:val="clear" w:color="auto" w:fill="auto"/>
            <w:noWrap/>
            <w:vAlign w:val="bottom"/>
            <w:hideMark/>
          </w:tcPr>
          <w:p w14:paraId="1430B971"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0%</w:t>
            </w:r>
          </w:p>
        </w:tc>
        <w:tc>
          <w:tcPr>
            <w:tcW w:w="1576" w:type="dxa"/>
            <w:tcBorders>
              <w:top w:val="nil"/>
              <w:left w:val="nil"/>
              <w:bottom w:val="nil"/>
              <w:right w:val="nil"/>
            </w:tcBorders>
            <w:shd w:val="clear" w:color="auto" w:fill="auto"/>
            <w:noWrap/>
            <w:vAlign w:val="bottom"/>
            <w:hideMark/>
          </w:tcPr>
          <w:p w14:paraId="2C46D1D5"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5%</w:t>
            </w:r>
          </w:p>
        </w:tc>
        <w:tc>
          <w:tcPr>
            <w:tcW w:w="1576" w:type="dxa"/>
            <w:tcBorders>
              <w:top w:val="nil"/>
              <w:left w:val="nil"/>
              <w:bottom w:val="nil"/>
              <w:right w:val="nil"/>
            </w:tcBorders>
            <w:shd w:val="clear" w:color="auto" w:fill="auto"/>
            <w:noWrap/>
            <w:vAlign w:val="bottom"/>
            <w:hideMark/>
          </w:tcPr>
          <w:p w14:paraId="33ECB18B"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0%</w:t>
            </w:r>
          </w:p>
        </w:tc>
        <w:tc>
          <w:tcPr>
            <w:tcW w:w="1576" w:type="dxa"/>
            <w:tcBorders>
              <w:top w:val="nil"/>
              <w:left w:val="nil"/>
              <w:bottom w:val="nil"/>
              <w:right w:val="nil"/>
            </w:tcBorders>
            <w:shd w:val="clear" w:color="auto" w:fill="auto"/>
            <w:noWrap/>
            <w:vAlign w:val="bottom"/>
            <w:hideMark/>
          </w:tcPr>
          <w:p w14:paraId="1A64012F"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7%</w:t>
            </w:r>
          </w:p>
        </w:tc>
      </w:tr>
      <w:tr w:rsidR="00063BAE" w:rsidRPr="008A39AD" w14:paraId="3C9BD4A4" w14:textId="77777777" w:rsidTr="00A21BA3">
        <w:trPr>
          <w:trHeight w:val="297"/>
        </w:trPr>
        <w:tc>
          <w:tcPr>
            <w:tcW w:w="3541" w:type="dxa"/>
            <w:tcBorders>
              <w:top w:val="nil"/>
              <w:left w:val="nil"/>
              <w:bottom w:val="nil"/>
              <w:right w:val="nil"/>
            </w:tcBorders>
            <w:shd w:val="clear" w:color="auto" w:fill="auto"/>
            <w:noWrap/>
            <w:vAlign w:val="bottom"/>
            <w:hideMark/>
          </w:tcPr>
          <w:p w14:paraId="2B81A4DF" w14:textId="77777777" w:rsidR="00063BAE" w:rsidRPr="008A39AD" w:rsidRDefault="00063BAE" w:rsidP="00063BAE">
            <w:pPr>
              <w:spacing w:after="0" w:line="240" w:lineRule="auto"/>
              <w:rPr>
                <w:rFonts w:ascii="Arial" w:eastAsia="Times New Roman" w:hAnsi="Arial" w:cs="Arial"/>
                <w:color w:val="000000"/>
              </w:rPr>
            </w:pPr>
            <w:r w:rsidRPr="008A39AD">
              <w:rPr>
                <w:rFonts w:ascii="Arial" w:eastAsia="Times New Roman" w:hAnsi="Arial" w:cs="Arial"/>
                <w:color w:val="000000"/>
              </w:rPr>
              <w:t>   5-9</w:t>
            </w:r>
          </w:p>
        </w:tc>
        <w:tc>
          <w:tcPr>
            <w:tcW w:w="1576" w:type="dxa"/>
            <w:tcBorders>
              <w:top w:val="nil"/>
              <w:left w:val="nil"/>
              <w:bottom w:val="nil"/>
              <w:right w:val="nil"/>
            </w:tcBorders>
            <w:shd w:val="clear" w:color="auto" w:fill="auto"/>
            <w:noWrap/>
            <w:vAlign w:val="bottom"/>
            <w:hideMark/>
          </w:tcPr>
          <w:p w14:paraId="279EC419"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9%</w:t>
            </w:r>
          </w:p>
        </w:tc>
        <w:tc>
          <w:tcPr>
            <w:tcW w:w="1576" w:type="dxa"/>
            <w:tcBorders>
              <w:top w:val="nil"/>
              <w:left w:val="nil"/>
              <w:bottom w:val="nil"/>
              <w:right w:val="nil"/>
            </w:tcBorders>
            <w:shd w:val="clear" w:color="auto" w:fill="auto"/>
            <w:noWrap/>
            <w:vAlign w:val="bottom"/>
            <w:hideMark/>
          </w:tcPr>
          <w:p w14:paraId="10D5B8B2"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15%</w:t>
            </w:r>
          </w:p>
        </w:tc>
        <w:tc>
          <w:tcPr>
            <w:tcW w:w="1576" w:type="dxa"/>
            <w:tcBorders>
              <w:top w:val="nil"/>
              <w:left w:val="nil"/>
              <w:bottom w:val="nil"/>
              <w:right w:val="nil"/>
            </w:tcBorders>
            <w:shd w:val="clear" w:color="auto" w:fill="auto"/>
            <w:noWrap/>
            <w:vAlign w:val="bottom"/>
            <w:hideMark/>
          </w:tcPr>
          <w:p w14:paraId="721B2E52"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0%</w:t>
            </w:r>
          </w:p>
        </w:tc>
        <w:tc>
          <w:tcPr>
            <w:tcW w:w="1576" w:type="dxa"/>
            <w:tcBorders>
              <w:top w:val="nil"/>
              <w:left w:val="nil"/>
              <w:bottom w:val="nil"/>
              <w:right w:val="nil"/>
            </w:tcBorders>
            <w:shd w:val="clear" w:color="auto" w:fill="auto"/>
            <w:noWrap/>
            <w:vAlign w:val="bottom"/>
            <w:hideMark/>
          </w:tcPr>
          <w:p w14:paraId="17CCFFB2"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68%</w:t>
            </w:r>
          </w:p>
        </w:tc>
        <w:tc>
          <w:tcPr>
            <w:tcW w:w="1576" w:type="dxa"/>
            <w:tcBorders>
              <w:top w:val="nil"/>
              <w:left w:val="nil"/>
              <w:bottom w:val="nil"/>
              <w:right w:val="nil"/>
            </w:tcBorders>
            <w:shd w:val="clear" w:color="auto" w:fill="auto"/>
            <w:noWrap/>
            <w:vAlign w:val="bottom"/>
            <w:hideMark/>
          </w:tcPr>
          <w:p w14:paraId="2E7A058A"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0%</w:t>
            </w:r>
          </w:p>
        </w:tc>
        <w:tc>
          <w:tcPr>
            <w:tcW w:w="1576" w:type="dxa"/>
            <w:tcBorders>
              <w:top w:val="nil"/>
              <w:left w:val="nil"/>
              <w:bottom w:val="nil"/>
              <w:right w:val="nil"/>
            </w:tcBorders>
            <w:shd w:val="clear" w:color="auto" w:fill="auto"/>
            <w:noWrap/>
            <w:vAlign w:val="bottom"/>
            <w:hideMark/>
          </w:tcPr>
          <w:p w14:paraId="1A33499D"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28%</w:t>
            </w:r>
          </w:p>
        </w:tc>
      </w:tr>
      <w:tr w:rsidR="00063BAE" w:rsidRPr="008A39AD" w14:paraId="3D74E0CD" w14:textId="77777777" w:rsidTr="00A21BA3">
        <w:trPr>
          <w:trHeight w:val="297"/>
        </w:trPr>
        <w:tc>
          <w:tcPr>
            <w:tcW w:w="3541" w:type="dxa"/>
            <w:tcBorders>
              <w:top w:val="nil"/>
              <w:left w:val="nil"/>
              <w:bottom w:val="nil"/>
              <w:right w:val="nil"/>
            </w:tcBorders>
            <w:shd w:val="clear" w:color="auto" w:fill="auto"/>
            <w:noWrap/>
            <w:vAlign w:val="bottom"/>
            <w:hideMark/>
          </w:tcPr>
          <w:p w14:paraId="413971CB" w14:textId="77777777" w:rsidR="00063BAE" w:rsidRPr="008A39AD" w:rsidRDefault="00063BAE" w:rsidP="00063BAE">
            <w:pPr>
              <w:spacing w:after="0" w:line="240" w:lineRule="auto"/>
              <w:rPr>
                <w:rFonts w:ascii="Arial" w:eastAsia="Times New Roman" w:hAnsi="Arial" w:cs="Arial"/>
                <w:color w:val="000000"/>
              </w:rPr>
            </w:pPr>
            <w:r w:rsidRPr="008A39AD">
              <w:rPr>
                <w:rFonts w:ascii="Arial" w:eastAsia="Times New Roman" w:hAnsi="Arial" w:cs="Arial"/>
                <w:color w:val="000000"/>
              </w:rPr>
              <w:t>   10+</w:t>
            </w:r>
          </w:p>
        </w:tc>
        <w:tc>
          <w:tcPr>
            <w:tcW w:w="1576" w:type="dxa"/>
            <w:tcBorders>
              <w:top w:val="nil"/>
              <w:left w:val="nil"/>
              <w:bottom w:val="nil"/>
              <w:right w:val="nil"/>
            </w:tcBorders>
            <w:shd w:val="clear" w:color="auto" w:fill="auto"/>
            <w:noWrap/>
            <w:vAlign w:val="bottom"/>
            <w:hideMark/>
          </w:tcPr>
          <w:p w14:paraId="53CF46E5"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91%</w:t>
            </w:r>
          </w:p>
        </w:tc>
        <w:tc>
          <w:tcPr>
            <w:tcW w:w="1576" w:type="dxa"/>
            <w:tcBorders>
              <w:top w:val="nil"/>
              <w:left w:val="nil"/>
              <w:bottom w:val="nil"/>
              <w:right w:val="nil"/>
            </w:tcBorders>
            <w:shd w:val="clear" w:color="auto" w:fill="auto"/>
            <w:noWrap/>
            <w:vAlign w:val="bottom"/>
            <w:hideMark/>
          </w:tcPr>
          <w:p w14:paraId="51DFAA57"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85%</w:t>
            </w:r>
          </w:p>
        </w:tc>
        <w:tc>
          <w:tcPr>
            <w:tcW w:w="1576" w:type="dxa"/>
            <w:tcBorders>
              <w:top w:val="nil"/>
              <w:left w:val="nil"/>
              <w:bottom w:val="nil"/>
              <w:right w:val="nil"/>
            </w:tcBorders>
            <w:shd w:val="clear" w:color="auto" w:fill="auto"/>
            <w:noWrap/>
            <w:vAlign w:val="bottom"/>
            <w:hideMark/>
          </w:tcPr>
          <w:p w14:paraId="0C969BB5"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100%</w:t>
            </w:r>
          </w:p>
        </w:tc>
        <w:tc>
          <w:tcPr>
            <w:tcW w:w="1576" w:type="dxa"/>
            <w:tcBorders>
              <w:top w:val="nil"/>
              <w:left w:val="nil"/>
              <w:bottom w:val="nil"/>
              <w:right w:val="nil"/>
            </w:tcBorders>
            <w:shd w:val="clear" w:color="auto" w:fill="auto"/>
            <w:noWrap/>
            <w:vAlign w:val="bottom"/>
            <w:hideMark/>
          </w:tcPr>
          <w:p w14:paraId="08E028E7"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27%</w:t>
            </w:r>
          </w:p>
        </w:tc>
        <w:tc>
          <w:tcPr>
            <w:tcW w:w="1576" w:type="dxa"/>
            <w:tcBorders>
              <w:top w:val="nil"/>
              <w:left w:val="nil"/>
              <w:bottom w:val="nil"/>
              <w:right w:val="nil"/>
            </w:tcBorders>
            <w:shd w:val="clear" w:color="auto" w:fill="auto"/>
            <w:noWrap/>
            <w:vAlign w:val="bottom"/>
            <w:hideMark/>
          </w:tcPr>
          <w:p w14:paraId="1A8DD799"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100%</w:t>
            </w:r>
          </w:p>
        </w:tc>
        <w:tc>
          <w:tcPr>
            <w:tcW w:w="1576" w:type="dxa"/>
            <w:tcBorders>
              <w:top w:val="nil"/>
              <w:left w:val="nil"/>
              <w:bottom w:val="nil"/>
              <w:right w:val="nil"/>
            </w:tcBorders>
            <w:shd w:val="clear" w:color="auto" w:fill="auto"/>
            <w:noWrap/>
            <w:vAlign w:val="bottom"/>
            <w:hideMark/>
          </w:tcPr>
          <w:p w14:paraId="4E94CC77"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65%</w:t>
            </w:r>
          </w:p>
        </w:tc>
      </w:tr>
      <w:tr w:rsidR="00063BAE" w:rsidRPr="008A39AD" w14:paraId="74EEF745" w14:textId="77777777" w:rsidTr="00A21BA3">
        <w:trPr>
          <w:trHeight w:val="73"/>
        </w:trPr>
        <w:tc>
          <w:tcPr>
            <w:tcW w:w="3541" w:type="dxa"/>
            <w:tcBorders>
              <w:top w:val="nil"/>
              <w:left w:val="nil"/>
              <w:bottom w:val="nil"/>
              <w:right w:val="nil"/>
            </w:tcBorders>
            <w:shd w:val="clear" w:color="auto" w:fill="auto"/>
            <w:noWrap/>
            <w:vAlign w:val="bottom"/>
          </w:tcPr>
          <w:p w14:paraId="1D35A8FB" w14:textId="67406C64" w:rsidR="00063BAE" w:rsidRPr="008A39AD" w:rsidRDefault="00063BAE" w:rsidP="00063BAE">
            <w:pPr>
              <w:spacing w:after="0"/>
              <w:rPr>
                <w:rFonts w:ascii="Arial" w:hAnsi="Arial" w:cs="Arial"/>
                <w:color w:val="000000"/>
              </w:rPr>
            </w:pPr>
            <w:r w:rsidRPr="008A39AD">
              <w:rPr>
                <w:rFonts w:ascii="Arial" w:hAnsi="Arial" w:cs="Arial"/>
                <w:color w:val="000000"/>
              </w:rPr>
              <w:t>Facility % of patients total Kt/V urea &lt; 1.7</w:t>
            </w:r>
          </w:p>
        </w:tc>
        <w:tc>
          <w:tcPr>
            <w:tcW w:w="1576" w:type="dxa"/>
            <w:tcBorders>
              <w:top w:val="nil"/>
              <w:left w:val="nil"/>
              <w:bottom w:val="nil"/>
              <w:right w:val="nil"/>
            </w:tcBorders>
            <w:shd w:val="clear" w:color="auto" w:fill="auto"/>
            <w:noWrap/>
            <w:vAlign w:val="bottom"/>
          </w:tcPr>
          <w:p w14:paraId="2EA0731C" w14:textId="77777777" w:rsidR="00063BAE" w:rsidRPr="008A39AD" w:rsidRDefault="00063BAE" w:rsidP="00063BAE">
            <w:pPr>
              <w:spacing w:after="0" w:line="240" w:lineRule="auto"/>
              <w:jc w:val="center"/>
              <w:rPr>
                <w:rFonts w:ascii="Arial" w:eastAsia="Times New Roman" w:hAnsi="Arial" w:cs="Arial"/>
                <w:color w:val="000000"/>
              </w:rPr>
            </w:pPr>
          </w:p>
        </w:tc>
        <w:tc>
          <w:tcPr>
            <w:tcW w:w="1576" w:type="dxa"/>
            <w:tcBorders>
              <w:top w:val="nil"/>
              <w:left w:val="nil"/>
              <w:bottom w:val="nil"/>
              <w:right w:val="nil"/>
            </w:tcBorders>
            <w:shd w:val="clear" w:color="auto" w:fill="auto"/>
            <w:noWrap/>
            <w:vAlign w:val="bottom"/>
          </w:tcPr>
          <w:p w14:paraId="5C6CCF6A" w14:textId="77777777" w:rsidR="00063BAE" w:rsidRPr="008A39AD" w:rsidRDefault="00063BAE" w:rsidP="00063BAE">
            <w:pPr>
              <w:spacing w:after="0" w:line="240" w:lineRule="auto"/>
              <w:jc w:val="center"/>
              <w:rPr>
                <w:rFonts w:ascii="Arial" w:eastAsia="Times New Roman" w:hAnsi="Arial" w:cs="Arial"/>
                <w:color w:val="000000"/>
              </w:rPr>
            </w:pPr>
          </w:p>
        </w:tc>
        <w:tc>
          <w:tcPr>
            <w:tcW w:w="1576" w:type="dxa"/>
            <w:tcBorders>
              <w:top w:val="nil"/>
              <w:left w:val="nil"/>
              <w:bottom w:val="nil"/>
              <w:right w:val="nil"/>
            </w:tcBorders>
            <w:shd w:val="clear" w:color="auto" w:fill="auto"/>
            <w:noWrap/>
            <w:vAlign w:val="bottom"/>
          </w:tcPr>
          <w:p w14:paraId="555DF1F8" w14:textId="77777777" w:rsidR="00063BAE" w:rsidRPr="008A39AD" w:rsidRDefault="00063BAE">
            <w:pPr>
              <w:spacing w:after="0" w:line="240" w:lineRule="auto"/>
              <w:jc w:val="center"/>
              <w:rPr>
                <w:rFonts w:ascii="Arial" w:eastAsia="Times New Roman" w:hAnsi="Arial" w:cs="Arial"/>
                <w:color w:val="000000"/>
              </w:rPr>
            </w:pPr>
          </w:p>
        </w:tc>
        <w:tc>
          <w:tcPr>
            <w:tcW w:w="1576" w:type="dxa"/>
            <w:tcBorders>
              <w:top w:val="nil"/>
              <w:left w:val="nil"/>
              <w:bottom w:val="nil"/>
              <w:right w:val="nil"/>
            </w:tcBorders>
            <w:shd w:val="clear" w:color="auto" w:fill="auto"/>
            <w:noWrap/>
            <w:vAlign w:val="bottom"/>
          </w:tcPr>
          <w:p w14:paraId="1018967B" w14:textId="77777777" w:rsidR="00063BAE" w:rsidRPr="008A39AD" w:rsidRDefault="00063BAE">
            <w:pPr>
              <w:spacing w:after="0" w:line="240" w:lineRule="auto"/>
              <w:jc w:val="center"/>
              <w:rPr>
                <w:rFonts w:ascii="Arial" w:eastAsia="Times New Roman" w:hAnsi="Arial" w:cs="Arial"/>
                <w:color w:val="000000"/>
              </w:rPr>
            </w:pPr>
          </w:p>
        </w:tc>
        <w:tc>
          <w:tcPr>
            <w:tcW w:w="1576" w:type="dxa"/>
            <w:tcBorders>
              <w:top w:val="nil"/>
              <w:left w:val="nil"/>
              <w:bottom w:val="nil"/>
              <w:right w:val="nil"/>
            </w:tcBorders>
            <w:shd w:val="clear" w:color="auto" w:fill="auto"/>
            <w:noWrap/>
            <w:vAlign w:val="bottom"/>
          </w:tcPr>
          <w:p w14:paraId="1A51A8EE" w14:textId="77777777" w:rsidR="00063BAE" w:rsidRPr="008A39AD" w:rsidRDefault="00063BAE">
            <w:pPr>
              <w:spacing w:after="0" w:line="240" w:lineRule="auto"/>
              <w:jc w:val="center"/>
              <w:rPr>
                <w:rFonts w:ascii="Arial" w:eastAsia="Times New Roman" w:hAnsi="Arial" w:cs="Arial"/>
                <w:color w:val="000000"/>
              </w:rPr>
            </w:pPr>
          </w:p>
        </w:tc>
        <w:tc>
          <w:tcPr>
            <w:tcW w:w="1576" w:type="dxa"/>
            <w:tcBorders>
              <w:top w:val="nil"/>
              <w:left w:val="nil"/>
              <w:bottom w:val="nil"/>
              <w:right w:val="nil"/>
            </w:tcBorders>
            <w:shd w:val="clear" w:color="auto" w:fill="auto"/>
            <w:noWrap/>
            <w:vAlign w:val="bottom"/>
          </w:tcPr>
          <w:p w14:paraId="49CA676F" w14:textId="77777777" w:rsidR="00063BAE" w:rsidRPr="008A39AD" w:rsidRDefault="00063BAE">
            <w:pPr>
              <w:spacing w:after="0" w:line="240" w:lineRule="auto"/>
              <w:jc w:val="center"/>
              <w:rPr>
                <w:rFonts w:ascii="Arial" w:eastAsia="Times New Roman" w:hAnsi="Arial" w:cs="Arial"/>
                <w:color w:val="000000"/>
              </w:rPr>
            </w:pPr>
          </w:p>
        </w:tc>
      </w:tr>
      <w:tr w:rsidR="00063BAE" w:rsidRPr="008A39AD" w14:paraId="70095486" w14:textId="77777777" w:rsidTr="00A21BA3">
        <w:trPr>
          <w:trHeight w:val="297"/>
        </w:trPr>
        <w:tc>
          <w:tcPr>
            <w:tcW w:w="3541" w:type="dxa"/>
            <w:tcBorders>
              <w:top w:val="nil"/>
              <w:left w:val="nil"/>
              <w:bottom w:val="nil"/>
              <w:right w:val="nil"/>
            </w:tcBorders>
            <w:shd w:val="clear" w:color="auto" w:fill="auto"/>
            <w:noWrap/>
            <w:vAlign w:val="bottom"/>
          </w:tcPr>
          <w:p w14:paraId="0E910C21" w14:textId="728E7F42" w:rsidR="00063BAE" w:rsidRPr="008A39AD" w:rsidRDefault="00063BAE" w:rsidP="00063BAE">
            <w:pPr>
              <w:spacing w:after="0" w:line="240" w:lineRule="auto"/>
              <w:rPr>
                <w:rFonts w:ascii="Arial" w:eastAsia="Times New Roman" w:hAnsi="Arial" w:cs="Arial"/>
                <w:color w:val="000000"/>
              </w:rPr>
            </w:pPr>
            <w:r w:rsidRPr="008A39AD">
              <w:rPr>
                <w:rFonts w:ascii="Arial" w:hAnsi="Arial" w:cs="Arial"/>
                <w:color w:val="000000"/>
              </w:rPr>
              <w:t>   &lt;10%</w:t>
            </w:r>
          </w:p>
        </w:tc>
        <w:tc>
          <w:tcPr>
            <w:tcW w:w="1576" w:type="dxa"/>
            <w:tcBorders>
              <w:top w:val="nil"/>
              <w:left w:val="nil"/>
              <w:bottom w:val="nil"/>
              <w:right w:val="nil"/>
            </w:tcBorders>
            <w:shd w:val="clear" w:color="auto" w:fill="auto"/>
            <w:noWrap/>
            <w:vAlign w:val="bottom"/>
          </w:tcPr>
          <w:p w14:paraId="6D8AFD6A" w14:textId="5FB4EA1B"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29%</w:t>
            </w:r>
          </w:p>
        </w:tc>
        <w:tc>
          <w:tcPr>
            <w:tcW w:w="1576" w:type="dxa"/>
            <w:tcBorders>
              <w:top w:val="nil"/>
              <w:left w:val="nil"/>
              <w:bottom w:val="nil"/>
              <w:right w:val="nil"/>
            </w:tcBorders>
            <w:shd w:val="clear" w:color="auto" w:fill="auto"/>
            <w:noWrap/>
            <w:vAlign w:val="bottom"/>
          </w:tcPr>
          <w:p w14:paraId="0828CAE4" w14:textId="3A85F3A3"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24%</w:t>
            </w:r>
          </w:p>
        </w:tc>
        <w:tc>
          <w:tcPr>
            <w:tcW w:w="1576" w:type="dxa"/>
            <w:tcBorders>
              <w:top w:val="nil"/>
              <w:left w:val="nil"/>
              <w:bottom w:val="nil"/>
              <w:right w:val="nil"/>
            </w:tcBorders>
            <w:shd w:val="clear" w:color="auto" w:fill="auto"/>
            <w:noWrap/>
            <w:vAlign w:val="bottom"/>
          </w:tcPr>
          <w:p w14:paraId="1FFC3837" w14:textId="3FE08849"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17%</w:t>
            </w:r>
          </w:p>
        </w:tc>
        <w:tc>
          <w:tcPr>
            <w:tcW w:w="1576" w:type="dxa"/>
            <w:tcBorders>
              <w:top w:val="nil"/>
              <w:left w:val="nil"/>
              <w:bottom w:val="nil"/>
              <w:right w:val="nil"/>
            </w:tcBorders>
            <w:shd w:val="clear" w:color="auto" w:fill="auto"/>
            <w:noWrap/>
            <w:vAlign w:val="bottom"/>
          </w:tcPr>
          <w:p w14:paraId="2A054FFA" w14:textId="23D92AB8"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25%</w:t>
            </w:r>
          </w:p>
        </w:tc>
        <w:tc>
          <w:tcPr>
            <w:tcW w:w="1576" w:type="dxa"/>
            <w:tcBorders>
              <w:top w:val="nil"/>
              <w:left w:val="nil"/>
              <w:bottom w:val="nil"/>
              <w:right w:val="nil"/>
            </w:tcBorders>
            <w:shd w:val="clear" w:color="auto" w:fill="auto"/>
            <w:noWrap/>
            <w:vAlign w:val="bottom"/>
          </w:tcPr>
          <w:p w14:paraId="28D9F3ED" w14:textId="5D489249"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40%</w:t>
            </w:r>
          </w:p>
        </w:tc>
        <w:tc>
          <w:tcPr>
            <w:tcW w:w="1576" w:type="dxa"/>
            <w:tcBorders>
              <w:top w:val="nil"/>
              <w:left w:val="nil"/>
              <w:bottom w:val="nil"/>
              <w:right w:val="nil"/>
            </w:tcBorders>
            <w:shd w:val="clear" w:color="auto" w:fill="auto"/>
            <w:noWrap/>
            <w:vAlign w:val="bottom"/>
          </w:tcPr>
          <w:p w14:paraId="4C6F9739" w14:textId="4420D243"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69%</w:t>
            </w:r>
          </w:p>
        </w:tc>
      </w:tr>
      <w:tr w:rsidR="00063BAE" w:rsidRPr="008A39AD" w14:paraId="58EAB32C" w14:textId="77777777" w:rsidTr="00A21BA3">
        <w:trPr>
          <w:trHeight w:val="297"/>
        </w:trPr>
        <w:tc>
          <w:tcPr>
            <w:tcW w:w="3541" w:type="dxa"/>
            <w:tcBorders>
              <w:top w:val="nil"/>
              <w:left w:val="nil"/>
              <w:bottom w:val="nil"/>
              <w:right w:val="nil"/>
            </w:tcBorders>
            <w:shd w:val="clear" w:color="auto" w:fill="auto"/>
            <w:noWrap/>
            <w:vAlign w:val="bottom"/>
          </w:tcPr>
          <w:p w14:paraId="30FC8B52" w14:textId="3A2F22B7" w:rsidR="00063BAE" w:rsidRPr="008A39AD" w:rsidRDefault="00063BAE" w:rsidP="00063BAE">
            <w:pPr>
              <w:spacing w:after="0" w:line="240" w:lineRule="auto"/>
              <w:rPr>
                <w:rFonts w:ascii="Arial" w:eastAsia="Times New Roman" w:hAnsi="Arial" w:cs="Arial"/>
                <w:color w:val="000000"/>
              </w:rPr>
            </w:pPr>
            <w:r w:rsidRPr="008A39AD">
              <w:rPr>
                <w:rFonts w:ascii="Arial" w:hAnsi="Arial" w:cs="Arial"/>
                <w:color w:val="000000"/>
              </w:rPr>
              <w:t>   10-19%</w:t>
            </w:r>
          </w:p>
        </w:tc>
        <w:tc>
          <w:tcPr>
            <w:tcW w:w="1576" w:type="dxa"/>
            <w:tcBorders>
              <w:top w:val="nil"/>
              <w:left w:val="nil"/>
              <w:bottom w:val="nil"/>
              <w:right w:val="nil"/>
            </w:tcBorders>
            <w:shd w:val="clear" w:color="auto" w:fill="auto"/>
            <w:noWrap/>
            <w:vAlign w:val="bottom"/>
          </w:tcPr>
          <w:p w14:paraId="63799F54" w14:textId="3D53A02C"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24%</w:t>
            </w:r>
          </w:p>
        </w:tc>
        <w:tc>
          <w:tcPr>
            <w:tcW w:w="1576" w:type="dxa"/>
            <w:tcBorders>
              <w:top w:val="nil"/>
              <w:left w:val="nil"/>
              <w:bottom w:val="nil"/>
              <w:right w:val="nil"/>
            </w:tcBorders>
            <w:shd w:val="clear" w:color="auto" w:fill="auto"/>
            <w:noWrap/>
            <w:vAlign w:val="bottom"/>
          </w:tcPr>
          <w:p w14:paraId="4BE251DA" w14:textId="4C347BB8"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35%</w:t>
            </w:r>
          </w:p>
        </w:tc>
        <w:tc>
          <w:tcPr>
            <w:tcW w:w="1576" w:type="dxa"/>
            <w:tcBorders>
              <w:top w:val="nil"/>
              <w:left w:val="nil"/>
              <w:bottom w:val="nil"/>
              <w:right w:val="nil"/>
            </w:tcBorders>
            <w:shd w:val="clear" w:color="auto" w:fill="auto"/>
            <w:noWrap/>
            <w:vAlign w:val="bottom"/>
          </w:tcPr>
          <w:p w14:paraId="446AE718" w14:textId="147B237A"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8%</w:t>
            </w:r>
          </w:p>
        </w:tc>
        <w:tc>
          <w:tcPr>
            <w:tcW w:w="1576" w:type="dxa"/>
            <w:tcBorders>
              <w:top w:val="nil"/>
              <w:left w:val="nil"/>
              <w:bottom w:val="nil"/>
              <w:right w:val="nil"/>
            </w:tcBorders>
            <w:shd w:val="clear" w:color="auto" w:fill="auto"/>
            <w:noWrap/>
            <w:vAlign w:val="bottom"/>
          </w:tcPr>
          <w:p w14:paraId="543067D2" w14:textId="530CCCCC"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17%</w:t>
            </w:r>
          </w:p>
        </w:tc>
        <w:tc>
          <w:tcPr>
            <w:tcW w:w="1576" w:type="dxa"/>
            <w:tcBorders>
              <w:top w:val="nil"/>
              <w:left w:val="nil"/>
              <w:bottom w:val="nil"/>
              <w:right w:val="nil"/>
            </w:tcBorders>
            <w:shd w:val="clear" w:color="auto" w:fill="auto"/>
            <w:noWrap/>
            <w:vAlign w:val="bottom"/>
          </w:tcPr>
          <w:p w14:paraId="600BD6E7" w14:textId="2D1980E8"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50%</w:t>
            </w:r>
          </w:p>
        </w:tc>
        <w:tc>
          <w:tcPr>
            <w:tcW w:w="1576" w:type="dxa"/>
            <w:tcBorders>
              <w:top w:val="nil"/>
              <w:left w:val="nil"/>
              <w:bottom w:val="nil"/>
              <w:right w:val="nil"/>
            </w:tcBorders>
            <w:shd w:val="clear" w:color="auto" w:fill="auto"/>
            <w:noWrap/>
            <w:vAlign w:val="bottom"/>
          </w:tcPr>
          <w:p w14:paraId="4140402C" w14:textId="4673131B"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26%</w:t>
            </w:r>
          </w:p>
        </w:tc>
      </w:tr>
      <w:tr w:rsidR="00063BAE" w:rsidRPr="008A39AD" w14:paraId="02D3793A" w14:textId="77777777" w:rsidTr="00A21BA3">
        <w:trPr>
          <w:trHeight w:val="297"/>
        </w:trPr>
        <w:tc>
          <w:tcPr>
            <w:tcW w:w="3541" w:type="dxa"/>
            <w:tcBorders>
              <w:top w:val="nil"/>
              <w:left w:val="nil"/>
              <w:bottom w:val="nil"/>
              <w:right w:val="nil"/>
            </w:tcBorders>
            <w:shd w:val="clear" w:color="auto" w:fill="auto"/>
            <w:noWrap/>
            <w:vAlign w:val="bottom"/>
          </w:tcPr>
          <w:p w14:paraId="3EE87AFF" w14:textId="47B0CFF2" w:rsidR="00063BAE" w:rsidRPr="008A39AD" w:rsidRDefault="00063BAE" w:rsidP="00063BAE">
            <w:pPr>
              <w:spacing w:after="0" w:line="240" w:lineRule="auto"/>
              <w:rPr>
                <w:rFonts w:ascii="Arial" w:eastAsia="Times New Roman" w:hAnsi="Arial" w:cs="Arial"/>
                <w:color w:val="000000"/>
              </w:rPr>
            </w:pPr>
            <w:r w:rsidRPr="008A39AD">
              <w:rPr>
                <w:rFonts w:ascii="Arial" w:hAnsi="Arial" w:cs="Arial"/>
                <w:color w:val="000000"/>
              </w:rPr>
              <w:t>   20%+</w:t>
            </w:r>
          </w:p>
        </w:tc>
        <w:tc>
          <w:tcPr>
            <w:tcW w:w="1576" w:type="dxa"/>
            <w:tcBorders>
              <w:top w:val="nil"/>
              <w:left w:val="nil"/>
              <w:bottom w:val="nil"/>
              <w:right w:val="nil"/>
            </w:tcBorders>
            <w:shd w:val="clear" w:color="auto" w:fill="auto"/>
            <w:noWrap/>
            <w:vAlign w:val="bottom"/>
          </w:tcPr>
          <w:p w14:paraId="77C36492" w14:textId="65264849"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47%</w:t>
            </w:r>
          </w:p>
        </w:tc>
        <w:tc>
          <w:tcPr>
            <w:tcW w:w="1576" w:type="dxa"/>
            <w:tcBorders>
              <w:top w:val="nil"/>
              <w:left w:val="nil"/>
              <w:bottom w:val="nil"/>
              <w:right w:val="nil"/>
            </w:tcBorders>
            <w:shd w:val="clear" w:color="auto" w:fill="auto"/>
            <w:noWrap/>
            <w:vAlign w:val="bottom"/>
          </w:tcPr>
          <w:p w14:paraId="1DF63060" w14:textId="08AFFC6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41%</w:t>
            </w:r>
          </w:p>
        </w:tc>
        <w:tc>
          <w:tcPr>
            <w:tcW w:w="1576" w:type="dxa"/>
            <w:tcBorders>
              <w:top w:val="nil"/>
              <w:left w:val="nil"/>
              <w:bottom w:val="nil"/>
              <w:right w:val="nil"/>
            </w:tcBorders>
            <w:shd w:val="clear" w:color="auto" w:fill="auto"/>
            <w:noWrap/>
            <w:vAlign w:val="bottom"/>
          </w:tcPr>
          <w:p w14:paraId="08AA85C1" w14:textId="6272B3C3"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75%</w:t>
            </w:r>
          </w:p>
        </w:tc>
        <w:tc>
          <w:tcPr>
            <w:tcW w:w="1576" w:type="dxa"/>
            <w:tcBorders>
              <w:top w:val="nil"/>
              <w:left w:val="nil"/>
              <w:bottom w:val="nil"/>
              <w:right w:val="nil"/>
            </w:tcBorders>
            <w:shd w:val="clear" w:color="auto" w:fill="auto"/>
            <w:noWrap/>
            <w:vAlign w:val="bottom"/>
          </w:tcPr>
          <w:p w14:paraId="10D9FD68" w14:textId="65673075"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58%</w:t>
            </w:r>
          </w:p>
        </w:tc>
        <w:tc>
          <w:tcPr>
            <w:tcW w:w="1576" w:type="dxa"/>
            <w:tcBorders>
              <w:top w:val="nil"/>
              <w:left w:val="nil"/>
              <w:bottom w:val="nil"/>
              <w:right w:val="nil"/>
            </w:tcBorders>
            <w:shd w:val="clear" w:color="auto" w:fill="auto"/>
            <w:noWrap/>
            <w:vAlign w:val="bottom"/>
          </w:tcPr>
          <w:p w14:paraId="15DB2C6A" w14:textId="42BAD291"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10%</w:t>
            </w:r>
          </w:p>
        </w:tc>
        <w:tc>
          <w:tcPr>
            <w:tcW w:w="1576" w:type="dxa"/>
            <w:tcBorders>
              <w:top w:val="nil"/>
              <w:left w:val="nil"/>
              <w:bottom w:val="nil"/>
              <w:right w:val="nil"/>
            </w:tcBorders>
            <w:shd w:val="clear" w:color="auto" w:fill="auto"/>
            <w:noWrap/>
            <w:vAlign w:val="bottom"/>
          </w:tcPr>
          <w:p w14:paraId="1443A9BD" w14:textId="142CEB41"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5%</w:t>
            </w:r>
          </w:p>
        </w:tc>
      </w:tr>
      <w:tr w:rsidR="00063BAE" w:rsidRPr="008A39AD" w14:paraId="61F14795" w14:textId="77777777" w:rsidTr="00A21BA3">
        <w:trPr>
          <w:trHeight w:val="297"/>
        </w:trPr>
        <w:tc>
          <w:tcPr>
            <w:tcW w:w="5118" w:type="dxa"/>
            <w:gridSpan w:val="2"/>
            <w:tcBorders>
              <w:top w:val="nil"/>
              <w:left w:val="nil"/>
              <w:bottom w:val="nil"/>
              <w:right w:val="nil"/>
            </w:tcBorders>
            <w:shd w:val="clear" w:color="auto" w:fill="auto"/>
            <w:noWrap/>
            <w:vAlign w:val="bottom"/>
            <w:hideMark/>
          </w:tcPr>
          <w:p w14:paraId="47E0DDB5" w14:textId="65003D0E" w:rsidR="00063BAE" w:rsidRPr="008A39AD" w:rsidRDefault="00063BAE" w:rsidP="00063BAE">
            <w:pPr>
              <w:spacing w:after="0" w:line="240" w:lineRule="auto"/>
              <w:rPr>
                <w:rFonts w:ascii="Arial" w:eastAsia="Times New Roman" w:hAnsi="Arial" w:cs="Arial"/>
                <w:color w:val="000000"/>
              </w:rPr>
            </w:pPr>
            <w:r w:rsidRPr="008A39AD">
              <w:rPr>
                <w:rFonts w:ascii="Arial" w:eastAsia="Times New Roman" w:hAnsi="Arial" w:cs="Arial"/>
                <w:color w:val="000000"/>
              </w:rPr>
              <w:t xml:space="preserve">Facility % of patients use </w:t>
            </w:r>
            <w:r w:rsidR="00EF6E81" w:rsidRPr="008A39AD">
              <w:rPr>
                <w:rFonts w:ascii="Arial" w:eastAsia="Times New Roman" w:hAnsi="Arial" w:cs="Arial"/>
                <w:color w:val="000000"/>
              </w:rPr>
              <w:t>4</w:t>
            </w:r>
            <w:r w:rsidRPr="008A39AD">
              <w:rPr>
                <w:rFonts w:ascii="Arial" w:eastAsia="Times New Roman" w:hAnsi="Arial" w:cs="Arial"/>
                <w:color w:val="000000"/>
              </w:rPr>
              <w:t>.</w:t>
            </w:r>
            <w:r w:rsidR="00EF6E81" w:rsidRPr="008A39AD">
              <w:rPr>
                <w:rFonts w:ascii="Arial" w:eastAsia="Times New Roman" w:hAnsi="Arial" w:cs="Arial"/>
                <w:color w:val="000000"/>
              </w:rPr>
              <w:t>25</w:t>
            </w:r>
            <w:r w:rsidRPr="008A39AD">
              <w:rPr>
                <w:rFonts w:ascii="Arial" w:eastAsia="Times New Roman" w:hAnsi="Arial" w:cs="Arial"/>
                <w:color w:val="000000"/>
              </w:rPr>
              <w:t>% solution</w:t>
            </w:r>
          </w:p>
        </w:tc>
        <w:tc>
          <w:tcPr>
            <w:tcW w:w="1576" w:type="dxa"/>
            <w:tcBorders>
              <w:top w:val="nil"/>
              <w:left w:val="nil"/>
              <w:bottom w:val="nil"/>
              <w:right w:val="nil"/>
            </w:tcBorders>
            <w:shd w:val="clear" w:color="auto" w:fill="auto"/>
            <w:noWrap/>
            <w:vAlign w:val="bottom"/>
            <w:hideMark/>
          </w:tcPr>
          <w:p w14:paraId="18A63C4D" w14:textId="77777777" w:rsidR="00063BAE" w:rsidRPr="008A39AD" w:rsidRDefault="00063BAE" w:rsidP="00063BAE">
            <w:pPr>
              <w:spacing w:after="0" w:line="240" w:lineRule="auto"/>
              <w:rPr>
                <w:rFonts w:ascii="Arial" w:eastAsia="Times New Roman" w:hAnsi="Arial" w:cs="Arial"/>
                <w:color w:val="000000"/>
              </w:rPr>
            </w:pPr>
          </w:p>
        </w:tc>
        <w:tc>
          <w:tcPr>
            <w:tcW w:w="1576" w:type="dxa"/>
            <w:tcBorders>
              <w:top w:val="nil"/>
              <w:left w:val="nil"/>
              <w:bottom w:val="nil"/>
              <w:right w:val="nil"/>
            </w:tcBorders>
            <w:shd w:val="clear" w:color="auto" w:fill="auto"/>
            <w:noWrap/>
            <w:vAlign w:val="bottom"/>
            <w:hideMark/>
          </w:tcPr>
          <w:p w14:paraId="3C641DC1" w14:textId="77777777" w:rsidR="00063BAE" w:rsidRPr="008A39AD" w:rsidRDefault="00063BAE" w:rsidP="00063BAE">
            <w:pPr>
              <w:spacing w:after="0" w:line="240" w:lineRule="auto"/>
              <w:jc w:val="center"/>
              <w:rPr>
                <w:rFonts w:ascii="Arial" w:eastAsia="Times New Roman" w:hAnsi="Arial" w:cs="Arial"/>
                <w:sz w:val="20"/>
                <w:szCs w:val="20"/>
              </w:rPr>
            </w:pPr>
          </w:p>
        </w:tc>
        <w:tc>
          <w:tcPr>
            <w:tcW w:w="1576" w:type="dxa"/>
            <w:tcBorders>
              <w:top w:val="nil"/>
              <w:left w:val="nil"/>
              <w:bottom w:val="nil"/>
              <w:right w:val="nil"/>
            </w:tcBorders>
            <w:shd w:val="clear" w:color="auto" w:fill="auto"/>
            <w:noWrap/>
            <w:vAlign w:val="bottom"/>
            <w:hideMark/>
          </w:tcPr>
          <w:p w14:paraId="67D64F66" w14:textId="77777777" w:rsidR="00063BAE" w:rsidRPr="008A39AD" w:rsidRDefault="00063BAE" w:rsidP="00063BAE">
            <w:pPr>
              <w:spacing w:after="0" w:line="240" w:lineRule="auto"/>
              <w:jc w:val="center"/>
              <w:rPr>
                <w:rFonts w:ascii="Arial" w:eastAsia="Times New Roman" w:hAnsi="Arial" w:cs="Arial"/>
                <w:sz w:val="20"/>
                <w:szCs w:val="20"/>
              </w:rPr>
            </w:pPr>
          </w:p>
        </w:tc>
        <w:tc>
          <w:tcPr>
            <w:tcW w:w="1576" w:type="dxa"/>
            <w:tcBorders>
              <w:top w:val="nil"/>
              <w:left w:val="nil"/>
              <w:bottom w:val="nil"/>
              <w:right w:val="nil"/>
            </w:tcBorders>
            <w:shd w:val="clear" w:color="auto" w:fill="auto"/>
            <w:noWrap/>
            <w:vAlign w:val="bottom"/>
            <w:hideMark/>
          </w:tcPr>
          <w:p w14:paraId="23B0F78A" w14:textId="77777777" w:rsidR="00063BAE" w:rsidRPr="008A39AD" w:rsidRDefault="00063BAE" w:rsidP="00063BAE">
            <w:pPr>
              <w:spacing w:after="0" w:line="240" w:lineRule="auto"/>
              <w:jc w:val="center"/>
              <w:rPr>
                <w:rFonts w:ascii="Arial" w:eastAsia="Times New Roman" w:hAnsi="Arial" w:cs="Arial"/>
                <w:sz w:val="20"/>
                <w:szCs w:val="20"/>
              </w:rPr>
            </w:pPr>
          </w:p>
        </w:tc>
        <w:tc>
          <w:tcPr>
            <w:tcW w:w="1576" w:type="dxa"/>
            <w:tcBorders>
              <w:top w:val="nil"/>
              <w:left w:val="nil"/>
              <w:bottom w:val="nil"/>
              <w:right w:val="nil"/>
            </w:tcBorders>
            <w:shd w:val="clear" w:color="auto" w:fill="auto"/>
            <w:noWrap/>
            <w:vAlign w:val="bottom"/>
            <w:hideMark/>
          </w:tcPr>
          <w:p w14:paraId="571529CB" w14:textId="77777777" w:rsidR="00063BAE" w:rsidRPr="008A39AD" w:rsidRDefault="00063BAE" w:rsidP="00063BAE">
            <w:pPr>
              <w:spacing w:after="0" w:line="240" w:lineRule="auto"/>
              <w:jc w:val="center"/>
              <w:rPr>
                <w:rFonts w:ascii="Arial" w:eastAsia="Times New Roman" w:hAnsi="Arial" w:cs="Arial"/>
                <w:sz w:val="20"/>
                <w:szCs w:val="20"/>
              </w:rPr>
            </w:pPr>
          </w:p>
        </w:tc>
      </w:tr>
      <w:tr w:rsidR="00063BAE" w:rsidRPr="008A39AD" w14:paraId="47DC075E" w14:textId="77777777" w:rsidTr="00A21BA3">
        <w:trPr>
          <w:trHeight w:val="297"/>
        </w:trPr>
        <w:tc>
          <w:tcPr>
            <w:tcW w:w="3541" w:type="dxa"/>
            <w:tcBorders>
              <w:top w:val="nil"/>
              <w:left w:val="nil"/>
              <w:bottom w:val="nil"/>
              <w:right w:val="nil"/>
            </w:tcBorders>
            <w:shd w:val="clear" w:color="auto" w:fill="auto"/>
            <w:noWrap/>
            <w:vAlign w:val="bottom"/>
            <w:hideMark/>
          </w:tcPr>
          <w:p w14:paraId="0053FC1E" w14:textId="77777777" w:rsidR="00063BAE" w:rsidRPr="008A39AD" w:rsidRDefault="00063BAE" w:rsidP="00063BAE">
            <w:pPr>
              <w:spacing w:after="0" w:line="240" w:lineRule="auto"/>
              <w:rPr>
                <w:rFonts w:ascii="Arial" w:eastAsia="Times New Roman" w:hAnsi="Arial" w:cs="Arial"/>
                <w:color w:val="000000"/>
              </w:rPr>
            </w:pPr>
            <w:r w:rsidRPr="008A39AD">
              <w:rPr>
                <w:rFonts w:ascii="Arial" w:hAnsi="Arial" w:cs="Arial"/>
                <w:color w:val="000000"/>
              </w:rPr>
              <w:t>   0%</w:t>
            </w:r>
          </w:p>
        </w:tc>
        <w:tc>
          <w:tcPr>
            <w:tcW w:w="1576" w:type="dxa"/>
            <w:tcBorders>
              <w:top w:val="nil"/>
              <w:left w:val="nil"/>
              <w:bottom w:val="nil"/>
              <w:right w:val="nil"/>
            </w:tcBorders>
            <w:shd w:val="clear" w:color="auto" w:fill="auto"/>
            <w:noWrap/>
            <w:vAlign w:val="bottom"/>
            <w:hideMark/>
          </w:tcPr>
          <w:p w14:paraId="30FBCE56"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47%</w:t>
            </w:r>
          </w:p>
        </w:tc>
        <w:tc>
          <w:tcPr>
            <w:tcW w:w="1576" w:type="dxa"/>
            <w:tcBorders>
              <w:top w:val="nil"/>
              <w:left w:val="nil"/>
              <w:bottom w:val="nil"/>
              <w:right w:val="nil"/>
            </w:tcBorders>
            <w:shd w:val="clear" w:color="auto" w:fill="auto"/>
            <w:noWrap/>
            <w:vAlign w:val="bottom"/>
            <w:hideMark/>
          </w:tcPr>
          <w:p w14:paraId="47277F00"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32%</w:t>
            </w:r>
          </w:p>
        </w:tc>
        <w:tc>
          <w:tcPr>
            <w:tcW w:w="1576" w:type="dxa"/>
            <w:tcBorders>
              <w:top w:val="nil"/>
              <w:left w:val="nil"/>
              <w:bottom w:val="nil"/>
              <w:right w:val="nil"/>
            </w:tcBorders>
            <w:shd w:val="clear" w:color="auto" w:fill="auto"/>
            <w:noWrap/>
            <w:vAlign w:val="bottom"/>
            <w:hideMark/>
          </w:tcPr>
          <w:p w14:paraId="51400F58"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96%</w:t>
            </w:r>
          </w:p>
        </w:tc>
        <w:tc>
          <w:tcPr>
            <w:tcW w:w="1576" w:type="dxa"/>
            <w:tcBorders>
              <w:top w:val="nil"/>
              <w:left w:val="nil"/>
              <w:bottom w:val="nil"/>
              <w:right w:val="nil"/>
            </w:tcBorders>
            <w:shd w:val="clear" w:color="auto" w:fill="auto"/>
            <w:noWrap/>
            <w:vAlign w:val="bottom"/>
            <w:hideMark/>
          </w:tcPr>
          <w:p w14:paraId="219995D6"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24%</w:t>
            </w:r>
          </w:p>
        </w:tc>
        <w:tc>
          <w:tcPr>
            <w:tcW w:w="1576" w:type="dxa"/>
            <w:tcBorders>
              <w:top w:val="nil"/>
              <w:left w:val="nil"/>
              <w:bottom w:val="nil"/>
              <w:right w:val="nil"/>
            </w:tcBorders>
            <w:shd w:val="clear" w:color="auto" w:fill="auto"/>
            <w:noWrap/>
            <w:vAlign w:val="bottom"/>
            <w:hideMark/>
          </w:tcPr>
          <w:p w14:paraId="1C15F7AE"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79%</w:t>
            </w:r>
          </w:p>
        </w:tc>
        <w:tc>
          <w:tcPr>
            <w:tcW w:w="1576" w:type="dxa"/>
            <w:tcBorders>
              <w:top w:val="nil"/>
              <w:left w:val="nil"/>
              <w:bottom w:val="nil"/>
              <w:right w:val="nil"/>
            </w:tcBorders>
            <w:shd w:val="clear" w:color="auto" w:fill="auto"/>
            <w:noWrap/>
            <w:vAlign w:val="bottom"/>
            <w:hideMark/>
          </w:tcPr>
          <w:p w14:paraId="11CB85E3"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12%</w:t>
            </w:r>
          </w:p>
        </w:tc>
      </w:tr>
      <w:tr w:rsidR="00063BAE" w:rsidRPr="008A39AD" w14:paraId="00684C22" w14:textId="77777777" w:rsidTr="00A21BA3">
        <w:trPr>
          <w:trHeight w:val="297"/>
        </w:trPr>
        <w:tc>
          <w:tcPr>
            <w:tcW w:w="3541" w:type="dxa"/>
            <w:tcBorders>
              <w:top w:val="nil"/>
              <w:left w:val="nil"/>
              <w:bottom w:val="nil"/>
              <w:right w:val="nil"/>
            </w:tcBorders>
            <w:shd w:val="clear" w:color="auto" w:fill="auto"/>
            <w:noWrap/>
            <w:vAlign w:val="bottom"/>
            <w:hideMark/>
          </w:tcPr>
          <w:p w14:paraId="5F1379F0" w14:textId="77777777" w:rsidR="00063BAE" w:rsidRPr="008A39AD" w:rsidRDefault="00063BAE" w:rsidP="00063BAE">
            <w:pPr>
              <w:spacing w:after="0" w:line="240" w:lineRule="auto"/>
              <w:rPr>
                <w:rFonts w:ascii="Arial" w:eastAsia="Times New Roman" w:hAnsi="Arial" w:cs="Arial"/>
                <w:color w:val="000000"/>
              </w:rPr>
            </w:pPr>
            <w:r w:rsidRPr="008A39AD">
              <w:rPr>
                <w:rFonts w:ascii="Arial" w:hAnsi="Arial" w:cs="Arial"/>
                <w:color w:val="000000"/>
              </w:rPr>
              <w:t>   1-19%</w:t>
            </w:r>
          </w:p>
        </w:tc>
        <w:tc>
          <w:tcPr>
            <w:tcW w:w="1576" w:type="dxa"/>
            <w:tcBorders>
              <w:top w:val="nil"/>
              <w:left w:val="nil"/>
              <w:bottom w:val="nil"/>
              <w:right w:val="nil"/>
            </w:tcBorders>
            <w:shd w:val="clear" w:color="auto" w:fill="auto"/>
            <w:noWrap/>
            <w:vAlign w:val="bottom"/>
            <w:hideMark/>
          </w:tcPr>
          <w:p w14:paraId="0939CF65"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37%</w:t>
            </w:r>
          </w:p>
        </w:tc>
        <w:tc>
          <w:tcPr>
            <w:tcW w:w="1576" w:type="dxa"/>
            <w:tcBorders>
              <w:top w:val="nil"/>
              <w:left w:val="nil"/>
              <w:bottom w:val="nil"/>
              <w:right w:val="nil"/>
            </w:tcBorders>
            <w:shd w:val="clear" w:color="auto" w:fill="auto"/>
            <w:noWrap/>
            <w:vAlign w:val="bottom"/>
            <w:hideMark/>
          </w:tcPr>
          <w:p w14:paraId="09D61C0D"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53%</w:t>
            </w:r>
          </w:p>
        </w:tc>
        <w:tc>
          <w:tcPr>
            <w:tcW w:w="1576" w:type="dxa"/>
            <w:tcBorders>
              <w:top w:val="nil"/>
              <w:left w:val="nil"/>
              <w:bottom w:val="nil"/>
              <w:right w:val="nil"/>
            </w:tcBorders>
            <w:shd w:val="clear" w:color="auto" w:fill="auto"/>
            <w:noWrap/>
            <w:vAlign w:val="bottom"/>
            <w:hideMark/>
          </w:tcPr>
          <w:p w14:paraId="75FEE7B3"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4%</w:t>
            </w:r>
          </w:p>
        </w:tc>
        <w:tc>
          <w:tcPr>
            <w:tcW w:w="1576" w:type="dxa"/>
            <w:tcBorders>
              <w:top w:val="nil"/>
              <w:left w:val="nil"/>
              <w:bottom w:val="nil"/>
              <w:right w:val="nil"/>
            </w:tcBorders>
            <w:shd w:val="clear" w:color="auto" w:fill="auto"/>
            <w:noWrap/>
            <w:vAlign w:val="bottom"/>
            <w:hideMark/>
          </w:tcPr>
          <w:p w14:paraId="4F0BBB15"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52%</w:t>
            </w:r>
          </w:p>
        </w:tc>
        <w:tc>
          <w:tcPr>
            <w:tcW w:w="1576" w:type="dxa"/>
            <w:tcBorders>
              <w:top w:val="nil"/>
              <w:left w:val="nil"/>
              <w:bottom w:val="nil"/>
              <w:right w:val="nil"/>
            </w:tcBorders>
            <w:shd w:val="clear" w:color="auto" w:fill="auto"/>
            <w:noWrap/>
            <w:vAlign w:val="bottom"/>
            <w:hideMark/>
          </w:tcPr>
          <w:p w14:paraId="1014F49E"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21%</w:t>
            </w:r>
          </w:p>
        </w:tc>
        <w:tc>
          <w:tcPr>
            <w:tcW w:w="1576" w:type="dxa"/>
            <w:tcBorders>
              <w:top w:val="nil"/>
              <w:left w:val="nil"/>
              <w:bottom w:val="nil"/>
              <w:right w:val="nil"/>
            </w:tcBorders>
            <w:shd w:val="clear" w:color="auto" w:fill="auto"/>
            <w:noWrap/>
            <w:vAlign w:val="bottom"/>
            <w:hideMark/>
          </w:tcPr>
          <w:p w14:paraId="0EF8F8AA"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8%</w:t>
            </w:r>
          </w:p>
        </w:tc>
      </w:tr>
      <w:tr w:rsidR="00063BAE" w:rsidRPr="008A39AD" w14:paraId="0DF9B299" w14:textId="77777777" w:rsidTr="00A21BA3">
        <w:trPr>
          <w:trHeight w:val="297"/>
        </w:trPr>
        <w:tc>
          <w:tcPr>
            <w:tcW w:w="3541" w:type="dxa"/>
            <w:tcBorders>
              <w:top w:val="nil"/>
              <w:left w:val="nil"/>
              <w:bottom w:val="nil"/>
              <w:right w:val="nil"/>
            </w:tcBorders>
            <w:shd w:val="clear" w:color="auto" w:fill="auto"/>
            <w:noWrap/>
            <w:vAlign w:val="bottom"/>
            <w:hideMark/>
          </w:tcPr>
          <w:p w14:paraId="3C3D5492" w14:textId="77777777" w:rsidR="00063BAE" w:rsidRPr="008A39AD" w:rsidRDefault="00063BAE" w:rsidP="00063BAE">
            <w:pPr>
              <w:spacing w:after="0" w:line="240" w:lineRule="auto"/>
              <w:rPr>
                <w:rFonts w:ascii="Arial" w:eastAsia="Times New Roman" w:hAnsi="Arial" w:cs="Arial"/>
                <w:color w:val="000000"/>
              </w:rPr>
            </w:pPr>
            <w:r w:rsidRPr="008A39AD">
              <w:rPr>
                <w:rFonts w:ascii="Arial" w:hAnsi="Arial" w:cs="Arial"/>
                <w:color w:val="000000"/>
              </w:rPr>
              <w:t>   20%+</w:t>
            </w:r>
          </w:p>
        </w:tc>
        <w:tc>
          <w:tcPr>
            <w:tcW w:w="1576" w:type="dxa"/>
            <w:tcBorders>
              <w:top w:val="nil"/>
              <w:left w:val="nil"/>
              <w:bottom w:val="nil"/>
              <w:right w:val="nil"/>
            </w:tcBorders>
            <w:shd w:val="clear" w:color="auto" w:fill="auto"/>
            <w:noWrap/>
            <w:vAlign w:val="bottom"/>
            <w:hideMark/>
          </w:tcPr>
          <w:p w14:paraId="17E242EE"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16%</w:t>
            </w:r>
          </w:p>
        </w:tc>
        <w:tc>
          <w:tcPr>
            <w:tcW w:w="1576" w:type="dxa"/>
            <w:tcBorders>
              <w:top w:val="nil"/>
              <w:left w:val="nil"/>
              <w:bottom w:val="nil"/>
              <w:right w:val="nil"/>
            </w:tcBorders>
            <w:shd w:val="clear" w:color="auto" w:fill="auto"/>
            <w:noWrap/>
            <w:vAlign w:val="bottom"/>
            <w:hideMark/>
          </w:tcPr>
          <w:p w14:paraId="5E2E56D0"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16%</w:t>
            </w:r>
          </w:p>
        </w:tc>
        <w:tc>
          <w:tcPr>
            <w:tcW w:w="1576" w:type="dxa"/>
            <w:tcBorders>
              <w:top w:val="nil"/>
              <w:left w:val="nil"/>
              <w:bottom w:val="nil"/>
              <w:right w:val="nil"/>
            </w:tcBorders>
            <w:shd w:val="clear" w:color="auto" w:fill="auto"/>
            <w:noWrap/>
            <w:vAlign w:val="bottom"/>
            <w:hideMark/>
          </w:tcPr>
          <w:p w14:paraId="32C545CD"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0%</w:t>
            </w:r>
          </w:p>
        </w:tc>
        <w:tc>
          <w:tcPr>
            <w:tcW w:w="1576" w:type="dxa"/>
            <w:tcBorders>
              <w:top w:val="nil"/>
              <w:left w:val="nil"/>
              <w:bottom w:val="nil"/>
              <w:right w:val="nil"/>
            </w:tcBorders>
            <w:shd w:val="clear" w:color="auto" w:fill="auto"/>
            <w:noWrap/>
            <w:vAlign w:val="bottom"/>
            <w:hideMark/>
          </w:tcPr>
          <w:p w14:paraId="551393F3"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24%</w:t>
            </w:r>
          </w:p>
        </w:tc>
        <w:tc>
          <w:tcPr>
            <w:tcW w:w="1576" w:type="dxa"/>
            <w:tcBorders>
              <w:top w:val="nil"/>
              <w:left w:val="nil"/>
              <w:bottom w:val="nil"/>
              <w:right w:val="nil"/>
            </w:tcBorders>
            <w:shd w:val="clear" w:color="auto" w:fill="auto"/>
            <w:noWrap/>
            <w:vAlign w:val="bottom"/>
            <w:hideMark/>
          </w:tcPr>
          <w:p w14:paraId="6B1FC03E"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0%</w:t>
            </w:r>
          </w:p>
        </w:tc>
        <w:tc>
          <w:tcPr>
            <w:tcW w:w="1576" w:type="dxa"/>
            <w:tcBorders>
              <w:top w:val="nil"/>
              <w:left w:val="nil"/>
              <w:bottom w:val="nil"/>
              <w:right w:val="nil"/>
            </w:tcBorders>
            <w:shd w:val="clear" w:color="auto" w:fill="auto"/>
            <w:noWrap/>
            <w:vAlign w:val="bottom"/>
            <w:hideMark/>
          </w:tcPr>
          <w:p w14:paraId="3C1F0B1A"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hAnsi="Arial" w:cs="Arial"/>
                <w:color w:val="000000"/>
              </w:rPr>
              <w:t>80%</w:t>
            </w:r>
          </w:p>
        </w:tc>
      </w:tr>
      <w:tr w:rsidR="00063BAE" w:rsidRPr="008A39AD" w14:paraId="188882D2" w14:textId="77777777" w:rsidTr="00A21BA3">
        <w:trPr>
          <w:trHeight w:val="297"/>
        </w:trPr>
        <w:tc>
          <w:tcPr>
            <w:tcW w:w="3541" w:type="dxa"/>
            <w:tcBorders>
              <w:top w:val="nil"/>
              <w:left w:val="nil"/>
              <w:bottom w:val="single" w:sz="4" w:space="0" w:color="auto"/>
              <w:right w:val="nil"/>
            </w:tcBorders>
            <w:shd w:val="clear" w:color="auto" w:fill="auto"/>
            <w:noWrap/>
            <w:vAlign w:val="bottom"/>
            <w:hideMark/>
          </w:tcPr>
          <w:p w14:paraId="2FF37110" w14:textId="77777777" w:rsidR="00063BAE" w:rsidRPr="008A39AD" w:rsidRDefault="00063BAE" w:rsidP="00063BAE">
            <w:pPr>
              <w:spacing w:after="0" w:line="240" w:lineRule="auto"/>
              <w:rPr>
                <w:rFonts w:ascii="Arial" w:eastAsia="Times New Roman" w:hAnsi="Arial" w:cs="Arial"/>
                <w:color w:val="000000"/>
              </w:rPr>
            </w:pPr>
            <w:r w:rsidRPr="008A39AD">
              <w:rPr>
                <w:rFonts w:ascii="Arial" w:eastAsia="Times New Roman" w:hAnsi="Arial" w:cs="Arial"/>
                <w:color w:val="000000"/>
              </w:rPr>
              <w:t xml:space="preserve">Routine multidisciplinary review </w:t>
            </w:r>
          </w:p>
        </w:tc>
        <w:tc>
          <w:tcPr>
            <w:tcW w:w="1576" w:type="dxa"/>
            <w:tcBorders>
              <w:top w:val="nil"/>
              <w:left w:val="nil"/>
              <w:bottom w:val="single" w:sz="4" w:space="0" w:color="auto"/>
              <w:right w:val="nil"/>
            </w:tcBorders>
            <w:shd w:val="clear" w:color="auto" w:fill="auto"/>
            <w:noWrap/>
            <w:vAlign w:val="bottom"/>
            <w:hideMark/>
          </w:tcPr>
          <w:p w14:paraId="29453487"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50%</w:t>
            </w:r>
          </w:p>
        </w:tc>
        <w:tc>
          <w:tcPr>
            <w:tcW w:w="1576" w:type="dxa"/>
            <w:tcBorders>
              <w:top w:val="nil"/>
              <w:left w:val="nil"/>
              <w:bottom w:val="single" w:sz="4" w:space="0" w:color="auto"/>
              <w:right w:val="nil"/>
            </w:tcBorders>
            <w:shd w:val="clear" w:color="auto" w:fill="auto"/>
            <w:noWrap/>
            <w:vAlign w:val="bottom"/>
            <w:hideMark/>
          </w:tcPr>
          <w:p w14:paraId="5EFCDDFB"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40%</w:t>
            </w:r>
          </w:p>
        </w:tc>
        <w:tc>
          <w:tcPr>
            <w:tcW w:w="1576" w:type="dxa"/>
            <w:tcBorders>
              <w:top w:val="nil"/>
              <w:left w:val="nil"/>
              <w:bottom w:val="single" w:sz="4" w:space="0" w:color="auto"/>
              <w:right w:val="nil"/>
            </w:tcBorders>
            <w:shd w:val="clear" w:color="auto" w:fill="auto"/>
            <w:noWrap/>
            <w:vAlign w:val="bottom"/>
            <w:hideMark/>
          </w:tcPr>
          <w:p w14:paraId="25DCD634"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69%</w:t>
            </w:r>
          </w:p>
        </w:tc>
        <w:tc>
          <w:tcPr>
            <w:tcW w:w="1576" w:type="dxa"/>
            <w:tcBorders>
              <w:top w:val="nil"/>
              <w:left w:val="nil"/>
              <w:bottom w:val="single" w:sz="4" w:space="0" w:color="auto"/>
              <w:right w:val="nil"/>
            </w:tcBorders>
            <w:shd w:val="clear" w:color="auto" w:fill="auto"/>
            <w:noWrap/>
            <w:vAlign w:val="bottom"/>
            <w:hideMark/>
          </w:tcPr>
          <w:p w14:paraId="24125193"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46%</w:t>
            </w:r>
          </w:p>
        </w:tc>
        <w:tc>
          <w:tcPr>
            <w:tcW w:w="1576" w:type="dxa"/>
            <w:tcBorders>
              <w:top w:val="nil"/>
              <w:left w:val="nil"/>
              <w:bottom w:val="single" w:sz="4" w:space="0" w:color="auto"/>
              <w:right w:val="nil"/>
            </w:tcBorders>
            <w:shd w:val="clear" w:color="auto" w:fill="auto"/>
            <w:noWrap/>
            <w:vAlign w:val="bottom"/>
            <w:hideMark/>
          </w:tcPr>
          <w:p w14:paraId="6DD02F38"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79%</w:t>
            </w:r>
          </w:p>
        </w:tc>
        <w:tc>
          <w:tcPr>
            <w:tcW w:w="1576" w:type="dxa"/>
            <w:tcBorders>
              <w:top w:val="nil"/>
              <w:left w:val="nil"/>
              <w:bottom w:val="single" w:sz="4" w:space="0" w:color="auto"/>
              <w:right w:val="nil"/>
            </w:tcBorders>
            <w:shd w:val="clear" w:color="auto" w:fill="auto"/>
            <w:noWrap/>
            <w:vAlign w:val="bottom"/>
            <w:hideMark/>
          </w:tcPr>
          <w:p w14:paraId="66B067BC" w14:textId="77777777" w:rsidR="00063BAE" w:rsidRPr="008A39AD" w:rsidRDefault="00063BAE" w:rsidP="00063BAE">
            <w:pPr>
              <w:spacing w:after="0" w:line="240" w:lineRule="auto"/>
              <w:jc w:val="center"/>
              <w:rPr>
                <w:rFonts w:ascii="Arial" w:eastAsia="Times New Roman" w:hAnsi="Arial" w:cs="Arial"/>
                <w:color w:val="000000"/>
              </w:rPr>
            </w:pPr>
            <w:r w:rsidRPr="008A39AD">
              <w:rPr>
                <w:rFonts w:ascii="Arial" w:eastAsia="Times New Roman" w:hAnsi="Arial" w:cs="Arial"/>
                <w:color w:val="000000"/>
              </w:rPr>
              <w:t>81%</w:t>
            </w:r>
          </w:p>
        </w:tc>
      </w:tr>
    </w:tbl>
    <w:p w14:paraId="6CE21B95" w14:textId="1C3F985B" w:rsidR="00E91155" w:rsidRPr="008A39AD" w:rsidRDefault="00E91155" w:rsidP="00034B5E">
      <w:pPr>
        <w:rPr>
          <w:rFonts w:ascii="Arial" w:hAnsi="Arial" w:cs="Arial"/>
        </w:rPr>
      </w:pPr>
    </w:p>
    <w:p w14:paraId="4EC4AC5C" w14:textId="22FD9E03" w:rsidR="00BD4557" w:rsidRPr="008A39AD" w:rsidRDefault="00E91155" w:rsidP="00E91155">
      <w:pPr>
        <w:rPr>
          <w:rFonts w:ascii="Arial" w:hAnsi="Arial" w:cs="Arial"/>
        </w:rPr>
        <w:sectPr w:rsidR="00BD4557" w:rsidRPr="008A39AD" w:rsidSect="00DD76B2">
          <w:pgSz w:w="15840" w:h="12240" w:orient="landscape"/>
          <w:pgMar w:top="1440" w:right="1440" w:bottom="1440" w:left="1440" w:header="720" w:footer="720" w:gutter="0"/>
          <w:cols w:space="720"/>
          <w:docGrid w:linePitch="360"/>
        </w:sectPr>
      </w:pPr>
      <w:r w:rsidRPr="008A39AD">
        <w:rPr>
          <w:rFonts w:ascii="Arial" w:hAnsi="Arial" w:cs="Arial"/>
        </w:rPr>
        <w:t>Results shown as prevalence, or median [interquartile range]</w:t>
      </w:r>
    </w:p>
    <w:p w14:paraId="3E01AF22" w14:textId="0D751E66" w:rsidR="00AF408F" w:rsidRPr="008A39AD" w:rsidRDefault="00AF408F" w:rsidP="00306D8A">
      <w:pPr>
        <w:spacing w:after="200" w:line="480" w:lineRule="auto"/>
        <w:rPr>
          <w:rFonts w:ascii="Arial" w:hAnsi="Arial" w:cs="Arial"/>
          <w:b/>
          <w:bCs/>
        </w:rPr>
      </w:pPr>
      <w:r w:rsidRPr="008A39AD">
        <w:rPr>
          <w:rFonts w:ascii="Arial" w:hAnsi="Arial" w:cs="Arial"/>
          <w:b/>
          <w:bCs/>
        </w:rPr>
        <w:lastRenderedPageBreak/>
        <w:t>Figure Legends</w:t>
      </w:r>
    </w:p>
    <w:p w14:paraId="157C5FA0" w14:textId="289478CD" w:rsidR="00AF408F" w:rsidRPr="008A39AD" w:rsidRDefault="00AF408F" w:rsidP="00976E66">
      <w:pPr>
        <w:spacing w:after="200" w:line="240" w:lineRule="auto"/>
        <w:rPr>
          <w:rFonts w:ascii="Arial" w:hAnsi="Arial" w:cs="Arial"/>
          <w:b/>
          <w:bCs/>
        </w:rPr>
      </w:pPr>
      <w:r w:rsidRPr="008A39AD">
        <w:rPr>
          <w:rFonts w:ascii="Arial" w:hAnsi="Arial" w:cs="Arial"/>
          <w:b/>
          <w:bCs/>
        </w:rPr>
        <w:t xml:space="preserve">Figure 1A. Cumulative </w:t>
      </w:r>
      <w:r w:rsidR="00EF5C9D" w:rsidRPr="008A39AD">
        <w:rPr>
          <w:rFonts w:ascii="Arial" w:hAnsi="Arial" w:cs="Arial"/>
          <w:b/>
          <w:bCs/>
        </w:rPr>
        <w:t xml:space="preserve">incidence </w:t>
      </w:r>
      <w:r w:rsidRPr="008A39AD">
        <w:rPr>
          <w:rFonts w:ascii="Arial" w:hAnsi="Arial" w:cs="Arial"/>
          <w:b/>
          <w:bCs/>
        </w:rPr>
        <w:t xml:space="preserve">curve of death, </w:t>
      </w:r>
      <w:r w:rsidR="00043585" w:rsidRPr="008A39AD">
        <w:rPr>
          <w:rFonts w:ascii="Arial" w:hAnsi="Arial" w:cs="Arial"/>
          <w:b/>
          <w:bCs/>
        </w:rPr>
        <w:t>HD TRANSFER</w:t>
      </w:r>
      <w:r w:rsidRPr="008A39AD">
        <w:rPr>
          <w:rFonts w:ascii="Arial" w:hAnsi="Arial" w:cs="Arial"/>
          <w:b/>
          <w:bCs/>
        </w:rPr>
        <w:t>, and transplant, in A/NZ.</w:t>
      </w:r>
    </w:p>
    <w:p w14:paraId="0725F14D" w14:textId="6FAF742B" w:rsidR="00AF408F" w:rsidRPr="008A39AD" w:rsidRDefault="00AF408F" w:rsidP="00976E66">
      <w:pPr>
        <w:spacing w:after="200" w:line="240" w:lineRule="auto"/>
        <w:rPr>
          <w:rFonts w:ascii="Arial" w:hAnsi="Arial" w:cs="Arial"/>
          <w:b/>
          <w:bCs/>
        </w:rPr>
      </w:pPr>
      <w:r w:rsidRPr="008A39AD">
        <w:rPr>
          <w:rFonts w:ascii="Arial" w:hAnsi="Arial" w:cs="Arial"/>
          <w:b/>
          <w:bCs/>
        </w:rPr>
        <w:t xml:space="preserve">Figure 1B. Cumulative </w:t>
      </w:r>
      <w:r w:rsidR="00EF5C9D" w:rsidRPr="008A39AD">
        <w:rPr>
          <w:rFonts w:ascii="Arial" w:hAnsi="Arial" w:cs="Arial"/>
          <w:b/>
          <w:bCs/>
        </w:rPr>
        <w:t xml:space="preserve">incidence </w:t>
      </w:r>
      <w:r w:rsidRPr="008A39AD">
        <w:rPr>
          <w:rFonts w:ascii="Arial" w:hAnsi="Arial" w:cs="Arial"/>
          <w:b/>
          <w:bCs/>
        </w:rPr>
        <w:t xml:space="preserve">curve of death, </w:t>
      </w:r>
      <w:r w:rsidR="00043585" w:rsidRPr="008A39AD">
        <w:rPr>
          <w:rFonts w:ascii="Arial" w:hAnsi="Arial" w:cs="Arial"/>
          <w:b/>
          <w:bCs/>
        </w:rPr>
        <w:t>HD TRANSFER</w:t>
      </w:r>
      <w:r w:rsidRPr="008A39AD">
        <w:rPr>
          <w:rFonts w:ascii="Arial" w:hAnsi="Arial" w:cs="Arial"/>
          <w:b/>
          <w:bCs/>
        </w:rPr>
        <w:t>, and transplant, in Canada.</w:t>
      </w:r>
    </w:p>
    <w:p w14:paraId="798C3CA3" w14:textId="1615B7AF" w:rsidR="00AF408F" w:rsidRPr="008A39AD" w:rsidRDefault="00AF408F" w:rsidP="00976E66">
      <w:pPr>
        <w:spacing w:after="200" w:line="240" w:lineRule="auto"/>
        <w:rPr>
          <w:rFonts w:ascii="Arial" w:hAnsi="Arial" w:cs="Arial"/>
          <w:b/>
          <w:bCs/>
        </w:rPr>
      </w:pPr>
      <w:r w:rsidRPr="008A39AD">
        <w:rPr>
          <w:rFonts w:ascii="Arial" w:hAnsi="Arial" w:cs="Arial"/>
          <w:b/>
          <w:bCs/>
        </w:rPr>
        <w:t xml:space="preserve">Figure 1C. Cumulative </w:t>
      </w:r>
      <w:r w:rsidR="00EF5C9D" w:rsidRPr="008A39AD">
        <w:rPr>
          <w:rFonts w:ascii="Arial" w:hAnsi="Arial" w:cs="Arial"/>
          <w:b/>
          <w:bCs/>
        </w:rPr>
        <w:t xml:space="preserve">incidence </w:t>
      </w:r>
      <w:r w:rsidRPr="008A39AD">
        <w:rPr>
          <w:rFonts w:ascii="Arial" w:hAnsi="Arial" w:cs="Arial"/>
          <w:b/>
          <w:bCs/>
        </w:rPr>
        <w:t xml:space="preserve">curve of death, </w:t>
      </w:r>
      <w:r w:rsidR="00043585" w:rsidRPr="008A39AD">
        <w:rPr>
          <w:rFonts w:ascii="Arial" w:hAnsi="Arial" w:cs="Arial"/>
          <w:b/>
          <w:bCs/>
        </w:rPr>
        <w:t>HD TRANSFER</w:t>
      </w:r>
      <w:r w:rsidRPr="008A39AD">
        <w:rPr>
          <w:rFonts w:ascii="Arial" w:hAnsi="Arial" w:cs="Arial"/>
          <w:b/>
          <w:bCs/>
        </w:rPr>
        <w:t>, and transplant, in Japan.</w:t>
      </w:r>
    </w:p>
    <w:p w14:paraId="40FA133D" w14:textId="2757AE98" w:rsidR="00AF408F" w:rsidRPr="008A39AD" w:rsidRDefault="00AF408F" w:rsidP="00976E66">
      <w:pPr>
        <w:spacing w:after="200" w:line="240" w:lineRule="auto"/>
        <w:rPr>
          <w:rFonts w:ascii="Arial" w:hAnsi="Arial" w:cs="Arial"/>
          <w:b/>
          <w:bCs/>
        </w:rPr>
      </w:pPr>
      <w:r w:rsidRPr="008A39AD">
        <w:rPr>
          <w:rFonts w:ascii="Arial" w:hAnsi="Arial" w:cs="Arial"/>
          <w:b/>
          <w:bCs/>
        </w:rPr>
        <w:t xml:space="preserve">Figure 1D. Cumulative </w:t>
      </w:r>
      <w:r w:rsidR="00EF5C9D" w:rsidRPr="008A39AD">
        <w:rPr>
          <w:rFonts w:ascii="Arial" w:hAnsi="Arial" w:cs="Arial"/>
          <w:b/>
          <w:bCs/>
        </w:rPr>
        <w:t xml:space="preserve">incidence </w:t>
      </w:r>
      <w:r w:rsidRPr="008A39AD">
        <w:rPr>
          <w:rFonts w:ascii="Arial" w:hAnsi="Arial" w:cs="Arial"/>
          <w:b/>
          <w:bCs/>
        </w:rPr>
        <w:t xml:space="preserve">curve of death, </w:t>
      </w:r>
      <w:r w:rsidR="00043585" w:rsidRPr="008A39AD">
        <w:rPr>
          <w:rFonts w:ascii="Arial" w:hAnsi="Arial" w:cs="Arial"/>
          <w:b/>
          <w:bCs/>
        </w:rPr>
        <w:t>HD TRANSFER</w:t>
      </w:r>
      <w:r w:rsidRPr="008A39AD">
        <w:rPr>
          <w:rFonts w:ascii="Arial" w:hAnsi="Arial" w:cs="Arial"/>
          <w:b/>
          <w:bCs/>
        </w:rPr>
        <w:t>, and transplant, in Thailand.</w:t>
      </w:r>
    </w:p>
    <w:p w14:paraId="1BFA370E" w14:textId="31231869" w:rsidR="00AF408F" w:rsidRPr="008A39AD" w:rsidRDefault="00AF408F" w:rsidP="00976E66">
      <w:pPr>
        <w:spacing w:after="200" w:line="240" w:lineRule="auto"/>
        <w:rPr>
          <w:rFonts w:ascii="Arial" w:hAnsi="Arial" w:cs="Arial"/>
          <w:b/>
          <w:bCs/>
        </w:rPr>
      </w:pPr>
      <w:r w:rsidRPr="008A39AD">
        <w:rPr>
          <w:rFonts w:ascii="Arial" w:hAnsi="Arial" w:cs="Arial"/>
          <w:b/>
          <w:bCs/>
        </w:rPr>
        <w:t xml:space="preserve">Figure 1E. Cumulative </w:t>
      </w:r>
      <w:r w:rsidR="00EF5C9D" w:rsidRPr="008A39AD">
        <w:rPr>
          <w:rFonts w:ascii="Arial" w:hAnsi="Arial" w:cs="Arial"/>
          <w:b/>
          <w:bCs/>
        </w:rPr>
        <w:t xml:space="preserve">incidence </w:t>
      </w:r>
      <w:r w:rsidRPr="008A39AD">
        <w:rPr>
          <w:rFonts w:ascii="Arial" w:hAnsi="Arial" w:cs="Arial"/>
          <w:b/>
          <w:bCs/>
        </w:rPr>
        <w:t xml:space="preserve">curve of death, </w:t>
      </w:r>
      <w:r w:rsidR="00043585" w:rsidRPr="008A39AD">
        <w:rPr>
          <w:rFonts w:ascii="Arial" w:hAnsi="Arial" w:cs="Arial"/>
          <w:b/>
          <w:bCs/>
        </w:rPr>
        <w:t>HD TRANSFER</w:t>
      </w:r>
      <w:r w:rsidRPr="008A39AD">
        <w:rPr>
          <w:rFonts w:ascii="Arial" w:hAnsi="Arial" w:cs="Arial"/>
          <w:b/>
          <w:bCs/>
        </w:rPr>
        <w:t>, and transplant, in UK.</w:t>
      </w:r>
    </w:p>
    <w:p w14:paraId="5E75BE7D" w14:textId="135563A2" w:rsidR="00AF408F" w:rsidRPr="008A39AD" w:rsidRDefault="00AF408F" w:rsidP="00976E66">
      <w:pPr>
        <w:spacing w:after="200" w:line="240" w:lineRule="auto"/>
        <w:rPr>
          <w:rFonts w:ascii="Arial" w:hAnsi="Arial" w:cs="Arial"/>
          <w:b/>
          <w:bCs/>
        </w:rPr>
      </w:pPr>
      <w:r w:rsidRPr="008A39AD">
        <w:rPr>
          <w:rFonts w:ascii="Arial" w:hAnsi="Arial" w:cs="Arial"/>
          <w:b/>
          <w:bCs/>
        </w:rPr>
        <w:t xml:space="preserve">Figure 1F. Cumulative </w:t>
      </w:r>
      <w:r w:rsidR="00EF5C9D" w:rsidRPr="008A39AD">
        <w:rPr>
          <w:rFonts w:ascii="Arial" w:hAnsi="Arial" w:cs="Arial"/>
          <w:b/>
          <w:bCs/>
        </w:rPr>
        <w:t xml:space="preserve">incidence </w:t>
      </w:r>
      <w:r w:rsidRPr="008A39AD">
        <w:rPr>
          <w:rFonts w:ascii="Arial" w:hAnsi="Arial" w:cs="Arial"/>
          <w:b/>
          <w:bCs/>
        </w:rPr>
        <w:t xml:space="preserve">curve of death, </w:t>
      </w:r>
      <w:r w:rsidR="00043585" w:rsidRPr="008A39AD">
        <w:rPr>
          <w:rFonts w:ascii="Arial" w:hAnsi="Arial" w:cs="Arial"/>
          <w:b/>
          <w:bCs/>
        </w:rPr>
        <w:t>HD TRANSFER</w:t>
      </w:r>
      <w:r w:rsidRPr="008A39AD">
        <w:rPr>
          <w:rFonts w:ascii="Arial" w:hAnsi="Arial" w:cs="Arial"/>
          <w:b/>
          <w:bCs/>
        </w:rPr>
        <w:t>, and transplant, in US.</w:t>
      </w:r>
    </w:p>
    <w:p w14:paraId="42400C98" w14:textId="0BCE3DC8" w:rsidR="00976E66" w:rsidRPr="008A39AD" w:rsidRDefault="00976E66" w:rsidP="00976E66">
      <w:pPr>
        <w:spacing w:after="200" w:line="240" w:lineRule="auto"/>
        <w:rPr>
          <w:rFonts w:ascii="Arial" w:hAnsi="Arial" w:cs="Arial"/>
          <w:b/>
          <w:bCs/>
        </w:rPr>
      </w:pPr>
      <w:r w:rsidRPr="008A39AD">
        <w:rPr>
          <w:rFonts w:ascii="Arial" w:hAnsi="Arial" w:cs="Arial"/>
          <w:b/>
          <w:bCs/>
        </w:rPr>
        <w:t>Figure 2. Hazard ratio of PD discontinuation due to death/</w:t>
      </w:r>
      <w:r w:rsidR="00043585" w:rsidRPr="008A39AD">
        <w:rPr>
          <w:rFonts w:ascii="Arial" w:hAnsi="Arial" w:cs="Arial"/>
          <w:b/>
          <w:bCs/>
        </w:rPr>
        <w:t>HD TRANSFER</w:t>
      </w:r>
      <w:r w:rsidRPr="008A39AD">
        <w:rPr>
          <w:rFonts w:ascii="Arial" w:hAnsi="Arial" w:cs="Arial"/>
          <w:b/>
          <w:bCs/>
        </w:rPr>
        <w:t xml:space="preserve">, death, </w:t>
      </w:r>
      <w:r w:rsidR="00043585" w:rsidRPr="008A39AD">
        <w:rPr>
          <w:rFonts w:ascii="Arial" w:hAnsi="Arial" w:cs="Arial"/>
          <w:b/>
          <w:bCs/>
        </w:rPr>
        <w:t>HD TRANSFER</w:t>
      </w:r>
      <w:r w:rsidRPr="008A39AD">
        <w:rPr>
          <w:rFonts w:ascii="Arial" w:hAnsi="Arial" w:cs="Arial"/>
          <w:b/>
          <w:bCs/>
        </w:rPr>
        <w:t>, or transplant, by country, compared to the US. Hazard ratios were estimated separately for each outcome using Cox models left truncated based on PD vintage. Models were adjusted for patient age, sex, BMI, Black race, heart disease, diabetes, psychiatric disorder, prior HD experience, urine volume, albumin, care giver involvement, transplant waitlist referred, and accounting for facility clustering. Transplant waitlist referred</w:t>
      </w:r>
      <w:r w:rsidRPr="008A39AD" w:rsidDel="009D2E11">
        <w:rPr>
          <w:rFonts w:ascii="Arial" w:hAnsi="Arial" w:cs="Arial"/>
          <w:b/>
          <w:bCs/>
        </w:rPr>
        <w:t xml:space="preserve"> </w:t>
      </w:r>
      <w:r w:rsidRPr="008A39AD">
        <w:rPr>
          <w:rFonts w:ascii="Arial" w:hAnsi="Arial" w:cs="Arial"/>
          <w:b/>
          <w:bCs/>
        </w:rPr>
        <w:t>was excluded as an adjustment from the model for transplant outcome.</w:t>
      </w:r>
    </w:p>
    <w:p w14:paraId="5860FDEC" w14:textId="6052D207" w:rsidR="00AF408F" w:rsidRPr="008A39AD" w:rsidRDefault="00976E66" w:rsidP="00976E66">
      <w:pPr>
        <w:spacing w:after="200" w:line="240" w:lineRule="auto"/>
        <w:rPr>
          <w:rFonts w:ascii="Arial" w:hAnsi="Arial" w:cs="Arial"/>
          <w:b/>
          <w:bCs/>
        </w:rPr>
      </w:pPr>
      <w:r w:rsidRPr="008A39AD">
        <w:rPr>
          <w:rFonts w:ascii="Arial" w:hAnsi="Arial" w:cs="Arial"/>
          <w:b/>
          <w:bCs/>
        </w:rPr>
        <w:t>Figure 3. Primary and secondary reasons patients switch to HD, A) by country, B) by PD vintage at time of modality switch. Excluding EHR data where no reason was reported, with 287 events. Another 196 events were excluded due to missing reason.</w:t>
      </w:r>
    </w:p>
    <w:p w14:paraId="74DB4012" w14:textId="77777777" w:rsidR="00976E66" w:rsidRPr="008A39AD" w:rsidRDefault="00976E66" w:rsidP="00976E66">
      <w:pPr>
        <w:rPr>
          <w:rFonts w:ascii="Arial" w:hAnsi="Arial" w:cs="Arial"/>
          <w:b/>
          <w:bCs/>
        </w:rPr>
      </w:pPr>
      <w:r w:rsidRPr="008A39AD">
        <w:rPr>
          <w:rFonts w:ascii="Arial" w:hAnsi="Arial" w:cs="Arial"/>
          <w:b/>
          <w:bCs/>
        </w:rPr>
        <w:t>Figure 4A. Hazard ratio for patient characteristics. Hazard ratio was estimated using left truncated Cox model based on PD vintage. Model adjusted for patient age, sex, BMI, black race, heart disease, diabetes, psychiatric disorder, prior HD experience, urine volume, albumin, care giver involvement, transplant waitlist referred, and accounting for facility clustering. Separate models for each outcome.</w:t>
      </w:r>
    </w:p>
    <w:p w14:paraId="2329D37E" w14:textId="543289E1" w:rsidR="00E5392F" w:rsidRPr="00B41DFB" w:rsidRDefault="00976E66" w:rsidP="00E5392F">
      <w:pPr>
        <w:rPr>
          <w:rFonts w:ascii="Arial" w:hAnsi="Arial" w:cs="Arial"/>
        </w:rPr>
        <w:sectPr w:rsidR="00E5392F" w:rsidRPr="00B41DFB" w:rsidSect="00B97561">
          <w:pgSz w:w="12240" w:h="15840"/>
          <w:pgMar w:top="1440" w:right="1440" w:bottom="1440" w:left="1440" w:header="720" w:footer="720" w:gutter="0"/>
          <w:cols w:space="720"/>
          <w:docGrid w:linePitch="360"/>
        </w:sectPr>
      </w:pPr>
      <w:r w:rsidRPr="008A39AD">
        <w:rPr>
          <w:rFonts w:ascii="Arial" w:hAnsi="Arial" w:cs="Arial"/>
          <w:b/>
          <w:bCs/>
        </w:rPr>
        <w:t>Figure 4B. Adjusted hazard ratio of facility factors. Hazard ratio was estimated using left truncated Cox model based on PD vintage. Model adjusted for patient age, sex, BMI, black race, heart disease, diabetes, psychiatric disorder, prior HD experience, urine volume, albumin, care giver involvement, transplant waitlist referred, and accounting for facility clustering. Separate models for each outcome.</w:t>
      </w:r>
      <w:r w:rsidR="00E5392F" w:rsidRPr="008A39AD">
        <w:rPr>
          <w:rFonts w:ascii="Arial" w:hAnsi="Arial" w:cs="Arial"/>
          <w:b/>
          <w:bCs/>
        </w:rPr>
        <w:t xml:space="preserve"> </w:t>
      </w:r>
      <w:r w:rsidR="00E5392F" w:rsidRPr="008A39AD">
        <w:rPr>
          <w:rFonts w:ascii="Arial" w:hAnsi="Arial" w:cs="Arial"/>
        </w:rPr>
        <w:t>For facility size and patient nurse ratio, small&lt;=q1, large&gt;=q3, medium q1-q3, within country. Median IQR were listed in Table 1B.</w:t>
      </w:r>
    </w:p>
    <w:p w14:paraId="20F668A2" w14:textId="16A358F3" w:rsidR="00976E66" w:rsidRPr="00E5392F" w:rsidRDefault="00976E66" w:rsidP="00976E66">
      <w:pPr>
        <w:rPr>
          <w:rFonts w:ascii="Arial" w:hAnsi="Arial" w:cs="Arial"/>
          <w:b/>
          <w:bCs/>
        </w:rPr>
      </w:pPr>
    </w:p>
    <w:sectPr w:rsidR="00976E66" w:rsidRPr="00E5392F" w:rsidSect="008F78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C33F" w14:textId="77777777" w:rsidR="002E3FC4" w:rsidRDefault="002E3FC4" w:rsidP="00763090">
      <w:pPr>
        <w:spacing w:after="0" w:line="240" w:lineRule="auto"/>
      </w:pPr>
      <w:r>
        <w:separator/>
      </w:r>
    </w:p>
  </w:endnote>
  <w:endnote w:type="continuationSeparator" w:id="0">
    <w:p w14:paraId="4C2D85AB" w14:textId="77777777" w:rsidR="002E3FC4" w:rsidRDefault="002E3FC4" w:rsidP="0076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CEC70" w14:textId="77777777" w:rsidR="002E3FC4" w:rsidRDefault="002E3FC4" w:rsidP="00763090">
      <w:pPr>
        <w:spacing w:after="0" w:line="240" w:lineRule="auto"/>
      </w:pPr>
      <w:r>
        <w:separator/>
      </w:r>
    </w:p>
  </w:footnote>
  <w:footnote w:type="continuationSeparator" w:id="0">
    <w:p w14:paraId="07576147" w14:textId="77777777" w:rsidR="002E3FC4" w:rsidRDefault="002E3FC4" w:rsidP="00763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859181"/>
      <w:docPartObj>
        <w:docPartGallery w:val="Page Numbers (Top of Page)"/>
        <w:docPartUnique/>
      </w:docPartObj>
    </w:sdtPr>
    <w:sdtEndPr>
      <w:rPr>
        <w:noProof/>
      </w:rPr>
    </w:sdtEndPr>
    <w:sdtContent>
      <w:p w14:paraId="2117CF38" w14:textId="2BBAB9F3" w:rsidR="00125DB6" w:rsidRDefault="00125DB6">
        <w:pPr>
          <w:pStyle w:val="Header"/>
          <w:jc w:val="right"/>
        </w:pPr>
        <w:r>
          <w:fldChar w:fldCharType="begin"/>
        </w:r>
        <w:r>
          <w:instrText xml:space="preserve"> PAGE   \* MERGEFORMAT </w:instrText>
        </w:r>
        <w:r>
          <w:fldChar w:fldCharType="separate"/>
        </w:r>
        <w:r w:rsidR="00D3491A">
          <w:rPr>
            <w:noProof/>
          </w:rPr>
          <w:t>15</w:t>
        </w:r>
        <w:r>
          <w:rPr>
            <w:noProof/>
          </w:rPr>
          <w:fldChar w:fldCharType="end"/>
        </w:r>
      </w:p>
    </w:sdtContent>
  </w:sdt>
  <w:p w14:paraId="20EA5734" w14:textId="77777777" w:rsidR="00125DB6" w:rsidRDefault="00125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178"/>
    <w:multiLevelType w:val="hybridMultilevel"/>
    <w:tmpl w:val="0B448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36AF2"/>
    <w:multiLevelType w:val="hybridMultilevel"/>
    <w:tmpl w:val="0AD62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C62A5"/>
    <w:multiLevelType w:val="multilevel"/>
    <w:tmpl w:val="25CC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A6"/>
    <w:rsid w:val="0000186E"/>
    <w:rsid w:val="00001CF2"/>
    <w:rsid w:val="000116F2"/>
    <w:rsid w:val="00015A56"/>
    <w:rsid w:val="00016D5C"/>
    <w:rsid w:val="00016F4C"/>
    <w:rsid w:val="0001717F"/>
    <w:rsid w:val="000223CA"/>
    <w:rsid w:val="00034B5E"/>
    <w:rsid w:val="00035803"/>
    <w:rsid w:val="000372EB"/>
    <w:rsid w:val="00040AF3"/>
    <w:rsid w:val="000426E7"/>
    <w:rsid w:val="00042F51"/>
    <w:rsid w:val="00043585"/>
    <w:rsid w:val="00043E6D"/>
    <w:rsid w:val="00045A7E"/>
    <w:rsid w:val="00045B26"/>
    <w:rsid w:val="00047295"/>
    <w:rsid w:val="00060B2A"/>
    <w:rsid w:val="000614B1"/>
    <w:rsid w:val="00063BAE"/>
    <w:rsid w:val="00064911"/>
    <w:rsid w:val="00064A6A"/>
    <w:rsid w:val="00067AFF"/>
    <w:rsid w:val="00071604"/>
    <w:rsid w:val="000719C2"/>
    <w:rsid w:val="00072C2F"/>
    <w:rsid w:val="00080BD9"/>
    <w:rsid w:val="00083B79"/>
    <w:rsid w:val="00084A3A"/>
    <w:rsid w:val="00085D96"/>
    <w:rsid w:val="000866AF"/>
    <w:rsid w:val="00091AF2"/>
    <w:rsid w:val="00094103"/>
    <w:rsid w:val="000A1487"/>
    <w:rsid w:val="000A19A6"/>
    <w:rsid w:val="000A32A9"/>
    <w:rsid w:val="000A393A"/>
    <w:rsid w:val="000A45DF"/>
    <w:rsid w:val="000A4B39"/>
    <w:rsid w:val="000A4D20"/>
    <w:rsid w:val="000B3FAE"/>
    <w:rsid w:val="000B5308"/>
    <w:rsid w:val="000B5B2B"/>
    <w:rsid w:val="000B62A5"/>
    <w:rsid w:val="000B718D"/>
    <w:rsid w:val="000C08A7"/>
    <w:rsid w:val="000C0FBA"/>
    <w:rsid w:val="000C3972"/>
    <w:rsid w:val="000C4526"/>
    <w:rsid w:val="000D3996"/>
    <w:rsid w:val="000D6746"/>
    <w:rsid w:val="000D7905"/>
    <w:rsid w:val="000E26A2"/>
    <w:rsid w:val="000E2D2D"/>
    <w:rsid w:val="000E339F"/>
    <w:rsid w:val="000E6663"/>
    <w:rsid w:val="000E78DD"/>
    <w:rsid w:val="000F6096"/>
    <w:rsid w:val="000F6C11"/>
    <w:rsid w:val="000F7FAD"/>
    <w:rsid w:val="00104784"/>
    <w:rsid w:val="001051BD"/>
    <w:rsid w:val="00105D2D"/>
    <w:rsid w:val="001060EE"/>
    <w:rsid w:val="00107294"/>
    <w:rsid w:val="0011097B"/>
    <w:rsid w:val="00112D0F"/>
    <w:rsid w:val="0011697F"/>
    <w:rsid w:val="001170CB"/>
    <w:rsid w:val="00123BFB"/>
    <w:rsid w:val="00124310"/>
    <w:rsid w:val="00124466"/>
    <w:rsid w:val="001247FD"/>
    <w:rsid w:val="00125DB6"/>
    <w:rsid w:val="001335D3"/>
    <w:rsid w:val="001342B9"/>
    <w:rsid w:val="001373A7"/>
    <w:rsid w:val="00140F10"/>
    <w:rsid w:val="001417D6"/>
    <w:rsid w:val="001439AE"/>
    <w:rsid w:val="00144EB9"/>
    <w:rsid w:val="0014574B"/>
    <w:rsid w:val="00145A0D"/>
    <w:rsid w:val="0014699F"/>
    <w:rsid w:val="001469FB"/>
    <w:rsid w:val="00147F86"/>
    <w:rsid w:val="001502C2"/>
    <w:rsid w:val="00151993"/>
    <w:rsid w:val="00152735"/>
    <w:rsid w:val="00153EEA"/>
    <w:rsid w:val="001548C6"/>
    <w:rsid w:val="0015636F"/>
    <w:rsid w:val="001600A5"/>
    <w:rsid w:val="00161A42"/>
    <w:rsid w:val="0016284D"/>
    <w:rsid w:val="001633D1"/>
    <w:rsid w:val="001709E2"/>
    <w:rsid w:val="00175508"/>
    <w:rsid w:val="00175530"/>
    <w:rsid w:val="00176E3B"/>
    <w:rsid w:val="0017783C"/>
    <w:rsid w:val="00184A4B"/>
    <w:rsid w:val="00192CB0"/>
    <w:rsid w:val="00193FAF"/>
    <w:rsid w:val="0019403D"/>
    <w:rsid w:val="00197723"/>
    <w:rsid w:val="001A2688"/>
    <w:rsid w:val="001A44FD"/>
    <w:rsid w:val="001A4D14"/>
    <w:rsid w:val="001A71CB"/>
    <w:rsid w:val="001A7CA6"/>
    <w:rsid w:val="001B078E"/>
    <w:rsid w:val="001B0B31"/>
    <w:rsid w:val="001B4D1A"/>
    <w:rsid w:val="001C03B3"/>
    <w:rsid w:val="001C1332"/>
    <w:rsid w:val="001C1AF7"/>
    <w:rsid w:val="001C24AA"/>
    <w:rsid w:val="001C266B"/>
    <w:rsid w:val="001C48CC"/>
    <w:rsid w:val="001C4E1B"/>
    <w:rsid w:val="001C7BFD"/>
    <w:rsid w:val="001D788B"/>
    <w:rsid w:val="001E0453"/>
    <w:rsid w:val="001E0B66"/>
    <w:rsid w:val="001E187D"/>
    <w:rsid w:val="001E2E72"/>
    <w:rsid w:val="001E410C"/>
    <w:rsid w:val="001E5E63"/>
    <w:rsid w:val="001F35D8"/>
    <w:rsid w:val="001F6B05"/>
    <w:rsid w:val="00202732"/>
    <w:rsid w:val="00202F35"/>
    <w:rsid w:val="00203CCD"/>
    <w:rsid w:val="002041F8"/>
    <w:rsid w:val="002048E6"/>
    <w:rsid w:val="00206AA1"/>
    <w:rsid w:val="00214801"/>
    <w:rsid w:val="0021493B"/>
    <w:rsid w:val="00214A05"/>
    <w:rsid w:val="00220ADA"/>
    <w:rsid w:val="00220D47"/>
    <w:rsid w:val="00223407"/>
    <w:rsid w:val="00224336"/>
    <w:rsid w:val="00225019"/>
    <w:rsid w:val="00225B67"/>
    <w:rsid w:val="002271EC"/>
    <w:rsid w:val="00234F67"/>
    <w:rsid w:val="00237A87"/>
    <w:rsid w:val="002417AE"/>
    <w:rsid w:val="00241A30"/>
    <w:rsid w:val="002454BA"/>
    <w:rsid w:val="00245BBE"/>
    <w:rsid w:val="00245BF2"/>
    <w:rsid w:val="002531FE"/>
    <w:rsid w:val="0025347C"/>
    <w:rsid w:val="0025445E"/>
    <w:rsid w:val="00255948"/>
    <w:rsid w:val="00257E47"/>
    <w:rsid w:val="00260FC8"/>
    <w:rsid w:val="00261D24"/>
    <w:rsid w:val="00261F66"/>
    <w:rsid w:val="00262793"/>
    <w:rsid w:val="00262BA0"/>
    <w:rsid w:val="00262D5B"/>
    <w:rsid w:val="00264F69"/>
    <w:rsid w:val="0026708D"/>
    <w:rsid w:val="00272AA8"/>
    <w:rsid w:val="00273D3E"/>
    <w:rsid w:val="00274A77"/>
    <w:rsid w:val="00274C1D"/>
    <w:rsid w:val="00277D55"/>
    <w:rsid w:val="00282AE4"/>
    <w:rsid w:val="00284DD8"/>
    <w:rsid w:val="002863D7"/>
    <w:rsid w:val="00286B18"/>
    <w:rsid w:val="00286B78"/>
    <w:rsid w:val="00287D51"/>
    <w:rsid w:val="002909B4"/>
    <w:rsid w:val="00290B3B"/>
    <w:rsid w:val="00290E08"/>
    <w:rsid w:val="002A050F"/>
    <w:rsid w:val="002A34A7"/>
    <w:rsid w:val="002A4D1D"/>
    <w:rsid w:val="002A68D8"/>
    <w:rsid w:val="002A7AFA"/>
    <w:rsid w:val="002B323D"/>
    <w:rsid w:val="002B34D4"/>
    <w:rsid w:val="002B4301"/>
    <w:rsid w:val="002B480E"/>
    <w:rsid w:val="002C60D3"/>
    <w:rsid w:val="002C7F28"/>
    <w:rsid w:val="002D1458"/>
    <w:rsid w:val="002D174E"/>
    <w:rsid w:val="002D266D"/>
    <w:rsid w:val="002D44B6"/>
    <w:rsid w:val="002D7451"/>
    <w:rsid w:val="002E07EC"/>
    <w:rsid w:val="002E3FC4"/>
    <w:rsid w:val="002E4AC2"/>
    <w:rsid w:val="002E51A6"/>
    <w:rsid w:val="002F0BD7"/>
    <w:rsid w:val="002F29C4"/>
    <w:rsid w:val="002F52AF"/>
    <w:rsid w:val="002F769A"/>
    <w:rsid w:val="00305221"/>
    <w:rsid w:val="00306D8A"/>
    <w:rsid w:val="00306ECD"/>
    <w:rsid w:val="003072A8"/>
    <w:rsid w:val="00307DA7"/>
    <w:rsid w:val="003120C8"/>
    <w:rsid w:val="0031560D"/>
    <w:rsid w:val="00315AF9"/>
    <w:rsid w:val="00316399"/>
    <w:rsid w:val="003163B3"/>
    <w:rsid w:val="00316C16"/>
    <w:rsid w:val="003206E8"/>
    <w:rsid w:val="0032352B"/>
    <w:rsid w:val="00325E7B"/>
    <w:rsid w:val="00325F03"/>
    <w:rsid w:val="0033160C"/>
    <w:rsid w:val="00331FE8"/>
    <w:rsid w:val="00334851"/>
    <w:rsid w:val="00335978"/>
    <w:rsid w:val="00341AC4"/>
    <w:rsid w:val="00345295"/>
    <w:rsid w:val="0035107D"/>
    <w:rsid w:val="00351596"/>
    <w:rsid w:val="003518D2"/>
    <w:rsid w:val="00353F77"/>
    <w:rsid w:val="00355382"/>
    <w:rsid w:val="00362259"/>
    <w:rsid w:val="00362B76"/>
    <w:rsid w:val="00362FF0"/>
    <w:rsid w:val="00364C85"/>
    <w:rsid w:val="003727DB"/>
    <w:rsid w:val="003766FA"/>
    <w:rsid w:val="003774F9"/>
    <w:rsid w:val="003811EC"/>
    <w:rsid w:val="0038128E"/>
    <w:rsid w:val="003860A0"/>
    <w:rsid w:val="00387639"/>
    <w:rsid w:val="003A3D19"/>
    <w:rsid w:val="003A5A1E"/>
    <w:rsid w:val="003A742D"/>
    <w:rsid w:val="003B200E"/>
    <w:rsid w:val="003B5B34"/>
    <w:rsid w:val="003C16B0"/>
    <w:rsid w:val="003C2A79"/>
    <w:rsid w:val="003D1447"/>
    <w:rsid w:val="003D1503"/>
    <w:rsid w:val="003D2CEE"/>
    <w:rsid w:val="003D4C67"/>
    <w:rsid w:val="003E30C2"/>
    <w:rsid w:val="003E61C4"/>
    <w:rsid w:val="003F102C"/>
    <w:rsid w:val="003F1A19"/>
    <w:rsid w:val="003F2369"/>
    <w:rsid w:val="003F63D0"/>
    <w:rsid w:val="004001EB"/>
    <w:rsid w:val="004018E3"/>
    <w:rsid w:val="004044C1"/>
    <w:rsid w:val="0040489D"/>
    <w:rsid w:val="0040773D"/>
    <w:rsid w:val="00410A3C"/>
    <w:rsid w:val="004136A2"/>
    <w:rsid w:val="00416CA9"/>
    <w:rsid w:val="00417515"/>
    <w:rsid w:val="00422872"/>
    <w:rsid w:val="00423909"/>
    <w:rsid w:val="004265DB"/>
    <w:rsid w:val="00427577"/>
    <w:rsid w:val="0043015D"/>
    <w:rsid w:val="00432634"/>
    <w:rsid w:val="00435C98"/>
    <w:rsid w:val="004417C5"/>
    <w:rsid w:val="00441BB8"/>
    <w:rsid w:val="00442A8E"/>
    <w:rsid w:val="00445A6A"/>
    <w:rsid w:val="00445BAB"/>
    <w:rsid w:val="00446217"/>
    <w:rsid w:val="00450986"/>
    <w:rsid w:val="00450E09"/>
    <w:rsid w:val="00450EB5"/>
    <w:rsid w:val="00453E26"/>
    <w:rsid w:val="00455BEF"/>
    <w:rsid w:val="00463A6F"/>
    <w:rsid w:val="00471301"/>
    <w:rsid w:val="00473471"/>
    <w:rsid w:val="00474B85"/>
    <w:rsid w:val="00477712"/>
    <w:rsid w:val="004807C0"/>
    <w:rsid w:val="004821E6"/>
    <w:rsid w:val="00483B8E"/>
    <w:rsid w:val="00484293"/>
    <w:rsid w:val="00485206"/>
    <w:rsid w:val="0048792D"/>
    <w:rsid w:val="0049131D"/>
    <w:rsid w:val="004918E0"/>
    <w:rsid w:val="00494A46"/>
    <w:rsid w:val="004A1AFC"/>
    <w:rsid w:val="004A20DD"/>
    <w:rsid w:val="004A38BC"/>
    <w:rsid w:val="004A46D0"/>
    <w:rsid w:val="004B0E3F"/>
    <w:rsid w:val="004B1731"/>
    <w:rsid w:val="004B1AB8"/>
    <w:rsid w:val="004B6340"/>
    <w:rsid w:val="004C15C4"/>
    <w:rsid w:val="004C4F77"/>
    <w:rsid w:val="004D2CE1"/>
    <w:rsid w:val="004E23FA"/>
    <w:rsid w:val="004E2AD9"/>
    <w:rsid w:val="004E51EC"/>
    <w:rsid w:val="004F1943"/>
    <w:rsid w:val="004F7D20"/>
    <w:rsid w:val="00501ED5"/>
    <w:rsid w:val="00502E1B"/>
    <w:rsid w:val="0051264E"/>
    <w:rsid w:val="0051296D"/>
    <w:rsid w:val="00514C8C"/>
    <w:rsid w:val="0052009C"/>
    <w:rsid w:val="005312C8"/>
    <w:rsid w:val="00532AEB"/>
    <w:rsid w:val="005350A4"/>
    <w:rsid w:val="0054303B"/>
    <w:rsid w:val="005437F7"/>
    <w:rsid w:val="00545401"/>
    <w:rsid w:val="0054676E"/>
    <w:rsid w:val="005474F9"/>
    <w:rsid w:val="00550967"/>
    <w:rsid w:val="00552652"/>
    <w:rsid w:val="00554B05"/>
    <w:rsid w:val="00555A4C"/>
    <w:rsid w:val="00556F76"/>
    <w:rsid w:val="00560C6A"/>
    <w:rsid w:val="00562328"/>
    <w:rsid w:val="00563085"/>
    <w:rsid w:val="005637AF"/>
    <w:rsid w:val="0056452B"/>
    <w:rsid w:val="0056474D"/>
    <w:rsid w:val="0056778B"/>
    <w:rsid w:val="00567C89"/>
    <w:rsid w:val="005730F5"/>
    <w:rsid w:val="005736B8"/>
    <w:rsid w:val="00575CFB"/>
    <w:rsid w:val="005774EB"/>
    <w:rsid w:val="005779B8"/>
    <w:rsid w:val="00592392"/>
    <w:rsid w:val="00593386"/>
    <w:rsid w:val="005951F4"/>
    <w:rsid w:val="00595A9C"/>
    <w:rsid w:val="005A2BEC"/>
    <w:rsid w:val="005B2DB9"/>
    <w:rsid w:val="005B4FA1"/>
    <w:rsid w:val="005B57EC"/>
    <w:rsid w:val="005B7E2C"/>
    <w:rsid w:val="005C02F0"/>
    <w:rsid w:val="005C3775"/>
    <w:rsid w:val="005D63CB"/>
    <w:rsid w:val="005D69FF"/>
    <w:rsid w:val="005E0D42"/>
    <w:rsid w:val="005E1FF7"/>
    <w:rsid w:val="005E261B"/>
    <w:rsid w:val="005E3C7C"/>
    <w:rsid w:val="005E4B17"/>
    <w:rsid w:val="005F006B"/>
    <w:rsid w:val="005F3EB4"/>
    <w:rsid w:val="006006B2"/>
    <w:rsid w:val="00601AF8"/>
    <w:rsid w:val="006032BD"/>
    <w:rsid w:val="00604ED1"/>
    <w:rsid w:val="006057FB"/>
    <w:rsid w:val="00607727"/>
    <w:rsid w:val="00610292"/>
    <w:rsid w:val="00612395"/>
    <w:rsid w:val="0062108A"/>
    <w:rsid w:val="00622AD1"/>
    <w:rsid w:val="00623CC7"/>
    <w:rsid w:val="0062799B"/>
    <w:rsid w:val="00630F16"/>
    <w:rsid w:val="006343AC"/>
    <w:rsid w:val="0064005C"/>
    <w:rsid w:val="00641D0F"/>
    <w:rsid w:val="006421C7"/>
    <w:rsid w:val="00642811"/>
    <w:rsid w:val="00644707"/>
    <w:rsid w:val="00644B28"/>
    <w:rsid w:val="00652B52"/>
    <w:rsid w:val="00654557"/>
    <w:rsid w:val="00654C69"/>
    <w:rsid w:val="00654EB6"/>
    <w:rsid w:val="006559BC"/>
    <w:rsid w:val="006615AE"/>
    <w:rsid w:val="0066700B"/>
    <w:rsid w:val="00677104"/>
    <w:rsid w:val="00684567"/>
    <w:rsid w:val="00687070"/>
    <w:rsid w:val="006927BF"/>
    <w:rsid w:val="00692F37"/>
    <w:rsid w:val="00693448"/>
    <w:rsid w:val="006946CE"/>
    <w:rsid w:val="00694C3B"/>
    <w:rsid w:val="00696312"/>
    <w:rsid w:val="006A0D62"/>
    <w:rsid w:val="006A1B06"/>
    <w:rsid w:val="006A2B4F"/>
    <w:rsid w:val="006A4E13"/>
    <w:rsid w:val="006B0539"/>
    <w:rsid w:val="006B1618"/>
    <w:rsid w:val="006B532E"/>
    <w:rsid w:val="006B6B54"/>
    <w:rsid w:val="006C166F"/>
    <w:rsid w:val="006C73EE"/>
    <w:rsid w:val="006D1288"/>
    <w:rsid w:val="006D3D34"/>
    <w:rsid w:val="006D4B87"/>
    <w:rsid w:val="006D58A6"/>
    <w:rsid w:val="006D61EE"/>
    <w:rsid w:val="006E0966"/>
    <w:rsid w:val="006E0F62"/>
    <w:rsid w:val="006E217A"/>
    <w:rsid w:val="006E27D8"/>
    <w:rsid w:val="006E4464"/>
    <w:rsid w:val="006E5FCE"/>
    <w:rsid w:val="006E6F86"/>
    <w:rsid w:val="006F0A92"/>
    <w:rsid w:val="006F5D7E"/>
    <w:rsid w:val="006F71DF"/>
    <w:rsid w:val="006F7CB4"/>
    <w:rsid w:val="007014E8"/>
    <w:rsid w:val="00705F9F"/>
    <w:rsid w:val="00706DDE"/>
    <w:rsid w:val="00710638"/>
    <w:rsid w:val="0071067B"/>
    <w:rsid w:val="00710A06"/>
    <w:rsid w:val="0072380C"/>
    <w:rsid w:val="00724996"/>
    <w:rsid w:val="00725F0D"/>
    <w:rsid w:val="007319AC"/>
    <w:rsid w:val="00731BE7"/>
    <w:rsid w:val="00734CEA"/>
    <w:rsid w:val="007404BA"/>
    <w:rsid w:val="007436D8"/>
    <w:rsid w:val="00743FBF"/>
    <w:rsid w:val="007453AA"/>
    <w:rsid w:val="00746290"/>
    <w:rsid w:val="007501FB"/>
    <w:rsid w:val="0075081D"/>
    <w:rsid w:val="007508CF"/>
    <w:rsid w:val="00751BC6"/>
    <w:rsid w:val="0075280C"/>
    <w:rsid w:val="007532B7"/>
    <w:rsid w:val="007555CD"/>
    <w:rsid w:val="00760771"/>
    <w:rsid w:val="00760C71"/>
    <w:rsid w:val="00760EE7"/>
    <w:rsid w:val="00763090"/>
    <w:rsid w:val="00763973"/>
    <w:rsid w:val="00764747"/>
    <w:rsid w:val="00765387"/>
    <w:rsid w:val="00767124"/>
    <w:rsid w:val="007745BD"/>
    <w:rsid w:val="007773D3"/>
    <w:rsid w:val="00780DC3"/>
    <w:rsid w:val="00782358"/>
    <w:rsid w:val="00782B27"/>
    <w:rsid w:val="00791041"/>
    <w:rsid w:val="007933B6"/>
    <w:rsid w:val="00795CE9"/>
    <w:rsid w:val="00796969"/>
    <w:rsid w:val="00797C18"/>
    <w:rsid w:val="007A0DDC"/>
    <w:rsid w:val="007A239E"/>
    <w:rsid w:val="007B12D5"/>
    <w:rsid w:val="007B1F87"/>
    <w:rsid w:val="007B5947"/>
    <w:rsid w:val="007C4B48"/>
    <w:rsid w:val="007D0522"/>
    <w:rsid w:val="007D5F58"/>
    <w:rsid w:val="007D7C88"/>
    <w:rsid w:val="007D7CAB"/>
    <w:rsid w:val="007E3D20"/>
    <w:rsid w:val="007E53FF"/>
    <w:rsid w:val="007E768D"/>
    <w:rsid w:val="007F4F50"/>
    <w:rsid w:val="007F5A6C"/>
    <w:rsid w:val="007F65B4"/>
    <w:rsid w:val="00804942"/>
    <w:rsid w:val="00805AB5"/>
    <w:rsid w:val="00810A75"/>
    <w:rsid w:val="0081562D"/>
    <w:rsid w:val="00821D88"/>
    <w:rsid w:val="00822CD1"/>
    <w:rsid w:val="008253C4"/>
    <w:rsid w:val="00826B38"/>
    <w:rsid w:val="008364A3"/>
    <w:rsid w:val="0083749B"/>
    <w:rsid w:val="00840918"/>
    <w:rsid w:val="00840BEF"/>
    <w:rsid w:val="0084560D"/>
    <w:rsid w:val="0084712A"/>
    <w:rsid w:val="008519CB"/>
    <w:rsid w:val="008539C5"/>
    <w:rsid w:val="00854E53"/>
    <w:rsid w:val="00857C04"/>
    <w:rsid w:val="00860475"/>
    <w:rsid w:val="00860D61"/>
    <w:rsid w:val="00862115"/>
    <w:rsid w:val="008706F9"/>
    <w:rsid w:val="0087138D"/>
    <w:rsid w:val="0087246D"/>
    <w:rsid w:val="008743E0"/>
    <w:rsid w:val="008744F3"/>
    <w:rsid w:val="00877CBF"/>
    <w:rsid w:val="00880BD1"/>
    <w:rsid w:val="00880F25"/>
    <w:rsid w:val="00881013"/>
    <w:rsid w:val="0088646F"/>
    <w:rsid w:val="0088657D"/>
    <w:rsid w:val="00886BE2"/>
    <w:rsid w:val="0089159D"/>
    <w:rsid w:val="00892CBA"/>
    <w:rsid w:val="0089380F"/>
    <w:rsid w:val="008939AC"/>
    <w:rsid w:val="008A06BE"/>
    <w:rsid w:val="008A39AD"/>
    <w:rsid w:val="008B5D6C"/>
    <w:rsid w:val="008C25E2"/>
    <w:rsid w:val="008C2AE3"/>
    <w:rsid w:val="008C395B"/>
    <w:rsid w:val="008C4E52"/>
    <w:rsid w:val="008C5FC7"/>
    <w:rsid w:val="008D0934"/>
    <w:rsid w:val="008D3044"/>
    <w:rsid w:val="008D70AD"/>
    <w:rsid w:val="008D7770"/>
    <w:rsid w:val="008E688C"/>
    <w:rsid w:val="008F3457"/>
    <w:rsid w:val="008F5EA2"/>
    <w:rsid w:val="008F78E4"/>
    <w:rsid w:val="009013F0"/>
    <w:rsid w:val="00902D02"/>
    <w:rsid w:val="00911091"/>
    <w:rsid w:val="00911562"/>
    <w:rsid w:val="00914D45"/>
    <w:rsid w:val="009152AA"/>
    <w:rsid w:val="00920269"/>
    <w:rsid w:val="0092201D"/>
    <w:rsid w:val="00923DB8"/>
    <w:rsid w:val="00925BE8"/>
    <w:rsid w:val="00926DBA"/>
    <w:rsid w:val="00934EBF"/>
    <w:rsid w:val="0093690A"/>
    <w:rsid w:val="00936BCD"/>
    <w:rsid w:val="00942E3C"/>
    <w:rsid w:val="0094422D"/>
    <w:rsid w:val="009510CB"/>
    <w:rsid w:val="00952170"/>
    <w:rsid w:val="00962178"/>
    <w:rsid w:val="00962391"/>
    <w:rsid w:val="00962754"/>
    <w:rsid w:val="00964841"/>
    <w:rsid w:val="009656D9"/>
    <w:rsid w:val="0097010D"/>
    <w:rsid w:val="00970B67"/>
    <w:rsid w:val="009734BD"/>
    <w:rsid w:val="00976E66"/>
    <w:rsid w:val="00977C44"/>
    <w:rsid w:val="00980DF9"/>
    <w:rsid w:val="00983F12"/>
    <w:rsid w:val="00984552"/>
    <w:rsid w:val="0098763A"/>
    <w:rsid w:val="00997DA1"/>
    <w:rsid w:val="009A7BEE"/>
    <w:rsid w:val="009B0C64"/>
    <w:rsid w:val="009B6D77"/>
    <w:rsid w:val="009B77FD"/>
    <w:rsid w:val="009C0C05"/>
    <w:rsid w:val="009C2594"/>
    <w:rsid w:val="009C2BED"/>
    <w:rsid w:val="009C531C"/>
    <w:rsid w:val="009C5580"/>
    <w:rsid w:val="009C7CF9"/>
    <w:rsid w:val="009D142E"/>
    <w:rsid w:val="009D2E11"/>
    <w:rsid w:val="009D571C"/>
    <w:rsid w:val="009D6668"/>
    <w:rsid w:val="009E13CA"/>
    <w:rsid w:val="009E21C3"/>
    <w:rsid w:val="009E30C8"/>
    <w:rsid w:val="009E3EF0"/>
    <w:rsid w:val="009E4E6E"/>
    <w:rsid w:val="009E660B"/>
    <w:rsid w:val="009F0103"/>
    <w:rsid w:val="009F1109"/>
    <w:rsid w:val="009F2377"/>
    <w:rsid w:val="009F456A"/>
    <w:rsid w:val="009F7372"/>
    <w:rsid w:val="00A0392E"/>
    <w:rsid w:val="00A07069"/>
    <w:rsid w:val="00A11992"/>
    <w:rsid w:val="00A11A29"/>
    <w:rsid w:val="00A122AA"/>
    <w:rsid w:val="00A123DA"/>
    <w:rsid w:val="00A21BA3"/>
    <w:rsid w:val="00A22E90"/>
    <w:rsid w:val="00A24E2F"/>
    <w:rsid w:val="00A25FAA"/>
    <w:rsid w:val="00A268CE"/>
    <w:rsid w:val="00A2727D"/>
    <w:rsid w:val="00A31E18"/>
    <w:rsid w:val="00A32951"/>
    <w:rsid w:val="00A347BF"/>
    <w:rsid w:val="00A36D9E"/>
    <w:rsid w:val="00A42CCB"/>
    <w:rsid w:val="00A453DD"/>
    <w:rsid w:val="00A46633"/>
    <w:rsid w:val="00A51EFF"/>
    <w:rsid w:val="00A53FDE"/>
    <w:rsid w:val="00A55B1B"/>
    <w:rsid w:val="00A60EF9"/>
    <w:rsid w:val="00A617FF"/>
    <w:rsid w:val="00A61AC1"/>
    <w:rsid w:val="00A66B28"/>
    <w:rsid w:val="00A72DCD"/>
    <w:rsid w:val="00A74142"/>
    <w:rsid w:val="00A8381D"/>
    <w:rsid w:val="00A91BEF"/>
    <w:rsid w:val="00AA132A"/>
    <w:rsid w:val="00AA180F"/>
    <w:rsid w:val="00AA60B9"/>
    <w:rsid w:val="00AB5A36"/>
    <w:rsid w:val="00AB7293"/>
    <w:rsid w:val="00AC5C75"/>
    <w:rsid w:val="00AC6FD1"/>
    <w:rsid w:val="00AE1BC2"/>
    <w:rsid w:val="00AE1CBF"/>
    <w:rsid w:val="00AE6328"/>
    <w:rsid w:val="00AF0570"/>
    <w:rsid w:val="00AF31C5"/>
    <w:rsid w:val="00AF408F"/>
    <w:rsid w:val="00AF48AA"/>
    <w:rsid w:val="00AF54FF"/>
    <w:rsid w:val="00AF55AB"/>
    <w:rsid w:val="00B00521"/>
    <w:rsid w:val="00B007DD"/>
    <w:rsid w:val="00B01CBA"/>
    <w:rsid w:val="00B043CE"/>
    <w:rsid w:val="00B25BC0"/>
    <w:rsid w:val="00B27D4A"/>
    <w:rsid w:val="00B319A5"/>
    <w:rsid w:val="00B31A34"/>
    <w:rsid w:val="00B32E12"/>
    <w:rsid w:val="00B32F61"/>
    <w:rsid w:val="00B379C3"/>
    <w:rsid w:val="00B40BBA"/>
    <w:rsid w:val="00B41DFB"/>
    <w:rsid w:val="00B41F4D"/>
    <w:rsid w:val="00B420B2"/>
    <w:rsid w:val="00B424D0"/>
    <w:rsid w:val="00B44B67"/>
    <w:rsid w:val="00B610CC"/>
    <w:rsid w:val="00B6690D"/>
    <w:rsid w:val="00B706CD"/>
    <w:rsid w:val="00B71262"/>
    <w:rsid w:val="00B7784E"/>
    <w:rsid w:val="00B778C2"/>
    <w:rsid w:val="00B80B0B"/>
    <w:rsid w:val="00B829BB"/>
    <w:rsid w:val="00B8429B"/>
    <w:rsid w:val="00B87997"/>
    <w:rsid w:val="00B90F18"/>
    <w:rsid w:val="00B97561"/>
    <w:rsid w:val="00BA2A1B"/>
    <w:rsid w:val="00BA3CED"/>
    <w:rsid w:val="00BB35C1"/>
    <w:rsid w:val="00BB3D4B"/>
    <w:rsid w:val="00BB7414"/>
    <w:rsid w:val="00BC00B0"/>
    <w:rsid w:val="00BC3720"/>
    <w:rsid w:val="00BC7D1A"/>
    <w:rsid w:val="00BD168F"/>
    <w:rsid w:val="00BD1FD3"/>
    <w:rsid w:val="00BD306C"/>
    <w:rsid w:val="00BD4557"/>
    <w:rsid w:val="00BE270B"/>
    <w:rsid w:val="00BF182B"/>
    <w:rsid w:val="00BF3A67"/>
    <w:rsid w:val="00BF5051"/>
    <w:rsid w:val="00BF598C"/>
    <w:rsid w:val="00C048ED"/>
    <w:rsid w:val="00C04C3F"/>
    <w:rsid w:val="00C06E04"/>
    <w:rsid w:val="00C07B15"/>
    <w:rsid w:val="00C1000C"/>
    <w:rsid w:val="00C106B5"/>
    <w:rsid w:val="00C13E9E"/>
    <w:rsid w:val="00C177A3"/>
    <w:rsid w:val="00C17D43"/>
    <w:rsid w:val="00C20C95"/>
    <w:rsid w:val="00C22656"/>
    <w:rsid w:val="00C260FE"/>
    <w:rsid w:val="00C2643E"/>
    <w:rsid w:val="00C31E6B"/>
    <w:rsid w:val="00C33C08"/>
    <w:rsid w:val="00C33E0A"/>
    <w:rsid w:val="00C340D8"/>
    <w:rsid w:val="00C35768"/>
    <w:rsid w:val="00C41679"/>
    <w:rsid w:val="00C43C01"/>
    <w:rsid w:val="00C44CC0"/>
    <w:rsid w:val="00C5066F"/>
    <w:rsid w:val="00C5219A"/>
    <w:rsid w:val="00C6351E"/>
    <w:rsid w:val="00C6455E"/>
    <w:rsid w:val="00C65464"/>
    <w:rsid w:val="00C65713"/>
    <w:rsid w:val="00C66732"/>
    <w:rsid w:val="00C724CD"/>
    <w:rsid w:val="00C83EA3"/>
    <w:rsid w:val="00C90457"/>
    <w:rsid w:val="00C90C6D"/>
    <w:rsid w:val="00C91AB7"/>
    <w:rsid w:val="00C91BB8"/>
    <w:rsid w:val="00C949B2"/>
    <w:rsid w:val="00C96206"/>
    <w:rsid w:val="00CA31DC"/>
    <w:rsid w:val="00CA38D0"/>
    <w:rsid w:val="00CA42EF"/>
    <w:rsid w:val="00CA4713"/>
    <w:rsid w:val="00CA5281"/>
    <w:rsid w:val="00CA6D15"/>
    <w:rsid w:val="00CA7707"/>
    <w:rsid w:val="00CB19CA"/>
    <w:rsid w:val="00CB1AE1"/>
    <w:rsid w:val="00CB32B1"/>
    <w:rsid w:val="00CC3409"/>
    <w:rsid w:val="00CC345E"/>
    <w:rsid w:val="00CC3FCC"/>
    <w:rsid w:val="00CC66A5"/>
    <w:rsid w:val="00CC7F93"/>
    <w:rsid w:val="00CD07E4"/>
    <w:rsid w:val="00CD0DCD"/>
    <w:rsid w:val="00CD36FE"/>
    <w:rsid w:val="00CD3F73"/>
    <w:rsid w:val="00CE1457"/>
    <w:rsid w:val="00CE27C9"/>
    <w:rsid w:val="00CE2BB3"/>
    <w:rsid w:val="00CE6920"/>
    <w:rsid w:val="00CE7E39"/>
    <w:rsid w:val="00CE7EA4"/>
    <w:rsid w:val="00CF3D47"/>
    <w:rsid w:val="00CF59C8"/>
    <w:rsid w:val="00CF6811"/>
    <w:rsid w:val="00D02FCB"/>
    <w:rsid w:val="00D072CA"/>
    <w:rsid w:val="00D1728D"/>
    <w:rsid w:val="00D260DE"/>
    <w:rsid w:val="00D30968"/>
    <w:rsid w:val="00D314A8"/>
    <w:rsid w:val="00D3240D"/>
    <w:rsid w:val="00D33388"/>
    <w:rsid w:val="00D33934"/>
    <w:rsid w:val="00D344F0"/>
    <w:rsid w:val="00D3491A"/>
    <w:rsid w:val="00D368AF"/>
    <w:rsid w:val="00D41D53"/>
    <w:rsid w:val="00D42522"/>
    <w:rsid w:val="00D432FB"/>
    <w:rsid w:val="00D43789"/>
    <w:rsid w:val="00D4721E"/>
    <w:rsid w:val="00D5032F"/>
    <w:rsid w:val="00D50C3D"/>
    <w:rsid w:val="00D52058"/>
    <w:rsid w:val="00D551F4"/>
    <w:rsid w:val="00D618D5"/>
    <w:rsid w:val="00D67E13"/>
    <w:rsid w:val="00D70B88"/>
    <w:rsid w:val="00D71115"/>
    <w:rsid w:val="00D72C85"/>
    <w:rsid w:val="00D77031"/>
    <w:rsid w:val="00D77F5D"/>
    <w:rsid w:val="00D8055A"/>
    <w:rsid w:val="00D80E27"/>
    <w:rsid w:val="00D81D17"/>
    <w:rsid w:val="00D83EEE"/>
    <w:rsid w:val="00D86BBA"/>
    <w:rsid w:val="00D94DC5"/>
    <w:rsid w:val="00D954D1"/>
    <w:rsid w:val="00D96E13"/>
    <w:rsid w:val="00DA299D"/>
    <w:rsid w:val="00DA39AA"/>
    <w:rsid w:val="00DA4265"/>
    <w:rsid w:val="00DA47C3"/>
    <w:rsid w:val="00DA55C8"/>
    <w:rsid w:val="00DA6F37"/>
    <w:rsid w:val="00DB4106"/>
    <w:rsid w:val="00DB42E5"/>
    <w:rsid w:val="00DB7B22"/>
    <w:rsid w:val="00DB7FAD"/>
    <w:rsid w:val="00DC53BC"/>
    <w:rsid w:val="00DD344F"/>
    <w:rsid w:val="00DD5E01"/>
    <w:rsid w:val="00DD76B2"/>
    <w:rsid w:val="00DE295F"/>
    <w:rsid w:val="00DE387F"/>
    <w:rsid w:val="00DE4472"/>
    <w:rsid w:val="00DE516C"/>
    <w:rsid w:val="00DE6C65"/>
    <w:rsid w:val="00DE6CEF"/>
    <w:rsid w:val="00DF0096"/>
    <w:rsid w:val="00DF0800"/>
    <w:rsid w:val="00DF208A"/>
    <w:rsid w:val="00DF3967"/>
    <w:rsid w:val="00DF614A"/>
    <w:rsid w:val="00DF7450"/>
    <w:rsid w:val="00E0068A"/>
    <w:rsid w:val="00E053F9"/>
    <w:rsid w:val="00E10EB1"/>
    <w:rsid w:val="00E11344"/>
    <w:rsid w:val="00E1554E"/>
    <w:rsid w:val="00E23AF6"/>
    <w:rsid w:val="00E24C58"/>
    <w:rsid w:val="00E312E2"/>
    <w:rsid w:val="00E33257"/>
    <w:rsid w:val="00E33BCE"/>
    <w:rsid w:val="00E43280"/>
    <w:rsid w:val="00E4480A"/>
    <w:rsid w:val="00E5026A"/>
    <w:rsid w:val="00E51F29"/>
    <w:rsid w:val="00E5392F"/>
    <w:rsid w:val="00E53FE2"/>
    <w:rsid w:val="00E54D46"/>
    <w:rsid w:val="00E60606"/>
    <w:rsid w:val="00E63ABD"/>
    <w:rsid w:val="00E64FA4"/>
    <w:rsid w:val="00E65E8F"/>
    <w:rsid w:val="00E6619E"/>
    <w:rsid w:val="00E73062"/>
    <w:rsid w:val="00E7584B"/>
    <w:rsid w:val="00E759AA"/>
    <w:rsid w:val="00E80D8A"/>
    <w:rsid w:val="00E842F1"/>
    <w:rsid w:val="00E86813"/>
    <w:rsid w:val="00E873E3"/>
    <w:rsid w:val="00E875D4"/>
    <w:rsid w:val="00E908D6"/>
    <w:rsid w:val="00E91155"/>
    <w:rsid w:val="00E94140"/>
    <w:rsid w:val="00E97BD8"/>
    <w:rsid w:val="00EA1126"/>
    <w:rsid w:val="00EA2ABB"/>
    <w:rsid w:val="00EA3F66"/>
    <w:rsid w:val="00EA53ED"/>
    <w:rsid w:val="00EA5AB8"/>
    <w:rsid w:val="00EB1CED"/>
    <w:rsid w:val="00EB259B"/>
    <w:rsid w:val="00EC22C5"/>
    <w:rsid w:val="00EC3118"/>
    <w:rsid w:val="00EC5BFD"/>
    <w:rsid w:val="00EC6A2E"/>
    <w:rsid w:val="00EC7C33"/>
    <w:rsid w:val="00EC7F77"/>
    <w:rsid w:val="00ED3414"/>
    <w:rsid w:val="00EE08E5"/>
    <w:rsid w:val="00EE2E40"/>
    <w:rsid w:val="00EE494C"/>
    <w:rsid w:val="00EE5384"/>
    <w:rsid w:val="00EF019A"/>
    <w:rsid w:val="00EF09CB"/>
    <w:rsid w:val="00EF1D6A"/>
    <w:rsid w:val="00EF4000"/>
    <w:rsid w:val="00EF5C9D"/>
    <w:rsid w:val="00EF6E81"/>
    <w:rsid w:val="00F01687"/>
    <w:rsid w:val="00F02B97"/>
    <w:rsid w:val="00F031EB"/>
    <w:rsid w:val="00F03F99"/>
    <w:rsid w:val="00F07165"/>
    <w:rsid w:val="00F1161B"/>
    <w:rsid w:val="00F11EEC"/>
    <w:rsid w:val="00F12B0F"/>
    <w:rsid w:val="00F137CC"/>
    <w:rsid w:val="00F13D22"/>
    <w:rsid w:val="00F14A3F"/>
    <w:rsid w:val="00F169CA"/>
    <w:rsid w:val="00F20019"/>
    <w:rsid w:val="00F2025F"/>
    <w:rsid w:val="00F22A7D"/>
    <w:rsid w:val="00F25305"/>
    <w:rsid w:val="00F253F2"/>
    <w:rsid w:val="00F27EAF"/>
    <w:rsid w:val="00F30235"/>
    <w:rsid w:val="00F3153B"/>
    <w:rsid w:val="00F348FD"/>
    <w:rsid w:val="00F34DB7"/>
    <w:rsid w:val="00F42299"/>
    <w:rsid w:val="00F424B1"/>
    <w:rsid w:val="00F46A09"/>
    <w:rsid w:val="00F46A7E"/>
    <w:rsid w:val="00F46DDB"/>
    <w:rsid w:val="00F4786C"/>
    <w:rsid w:val="00F52524"/>
    <w:rsid w:val="00F53295"/>
    <w:rsid w:val="00F54CD2"/>
    <w:rsid w:val="00F56789"/>
    <w:rsid w:val="00F609E9"/>
    <w:rsid w:val="00F60D88"/>
    <w:rsid w:val="00F61595"/>
    <w:rsid w:val="00F65835"/>
    <w:rsid w:val="00F677BB"/>
    <w:rsid w:val="00F72A29"/>
    <w:rsid w:val="00F7649C"/>
    <w:rsid w:val="00F7709A"/>
    <w:rsid w:val="00F820E8"/>
    <w:rsid w:val="00F826DC"/>
    <w:rsid w:val="00F83E0D"/>
    <w:rsid w:val="00F84B3F"/>
    <w:rsid w:val="00F853F0"/>
    <w:rsid w:val="00F91BE3"/>
    <w:rsid w:val="00F9358B"/>
    <w:rsid w:val="00F9454D"/>
    <w:rsid w:val="00F9629B"/>
    <w:rsid w:val="00FA2870"/>
    <w:rsid w:val="00FB1750"/>
    <w:rsid w:val="00FB2DA7"/>
    <w:rsid w:val="00FC409D"/>
    <w:rsid w:val="00FC5E60"/>
    <w:rsid w:val="00FC74D8"/>
    <w:rsid w:val="00FC7853"/>
    <w:rsid w:val="00FD5AD9"/>
    <w:rsid w:val="00FD7C92"/>
    <w:rsid w:val="00FE14B2"/>
    <w:rsid w:val="00FE1F30"/>
    <w:rsid w:val="00FF1A1C"/>
    <w:rsid w:val="00FF2D4C"/>
    <w:rsid w:val="00FF6C4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51C14"/>
  <w15:docId w15:val="{B8F3D70B-9D3A-5547-96EA-F49D987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8A6"/>
    <w:pPr>
      <w:keepNext/>
      <w:keepLines/>
      <w:spacing w:after="0" w:line="480" w:lineRule="auto"/>
      <w:outlineLvl w:val="0"/>
    </w:pPr>
    <w:rPr>
      <w:rFonts w:ascii="Times New Roman" w:eastAsiaTheme="majorEastAsia" w:hAnsi="Times New Roman" w:cs="Times New Roman"/>
      <w:b/>
      <w:color w:val="000000" w:themeColor="text1"/>
      <w:sz w:val="24"/>
      <w:szCs w:val="24"/>
      <w:lang w:val="en-GB" w:eastAsia="en-US"/>
    </w:rPr>
  </w:style>
  <w:style w:type="paragraph" w:styleId="Heading2">
    <w:name w:val="heading 2"/>
    <w:basedOn w:val="Normal"/>
    <w:next w:val="Normal"/>
    <w:link w:val="Heading2Char"/>
    <w:uiPriority w:val="9"/>
    <w:unhideWhenUsed/>
    <w:qFormat/>
    <w:rsid w:val="006D58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58A6"/>
    <w:rPr>
      <w:sz w:val="16"/>
      <w:szCs w:val="16"/>
    </w:rPr>
  </w:style>
  <w:style w:type="paragraph" w:styleId="CommentText">
    <w:name w:val="annotation text"/>
    <w:basedOn w:val="Normal"/>
    <w:link w:val="CommentTextChar"/>
    <w:uiPriority w:val="99"/>
    <w:unhideWhenUsed/>
    <w:rsid w:val="006D58A6"/>
    <w:pPr>
      <w:spacing w:line="240" w:lineRule="auto"/>
    </w:pPr>
    <w:rPr>
      <w:sz w:val="20"/>
      <w:szCs w:val="20"/>
    </w:rPr>
  </w:style>
  <w:style w:type="character" w:customStyle="1" w:styleId="CommentTextChar">
    <w:name w:val="Comment Text Char"/>
    <w:basedOn w:val="DefaultParagraphFont"/>
    <w:link w:val="CommentText"/>
    <w:uiPriority w:val="99"/>
    <w:rsid w:val="006D58A6"/>
    <w:rPr>
      <w:sz w:val="20"/>
      <w:szCs w:val="20"/>
    </w:rPr>
  </w:style>
  <w:style w:type="paragraph" w:styleId="CommentSubject">
    <w:name w:val="annotation subject"/>
    <w:basedOn w:val="CommentText"/>
    <w:next w:val="CommentText"/>
    <w:link w:val="CommentSubjectChar"/>
    <w:uiPriority w:val="99"/>
    <w:semiHidden/>
    <w:unhideWhenUsed/>
    <w:rsid w:val="006D58A6"/>
    <w:rPr>
      <w:b/>
      <w:bCs/>
    </w:rPr>
  </w:style>
  <w:style w:type="character" w:customStyle="1" w:styleId="CommentSubjectChar">
    <w:name w:val="Comment Subject Char"/>
    <w:basedOn w:val="CommentTextChar"/>
    <w:link w:val="CommentSubject"/>
    <w:uiPriority w:val="99"/>
    <w:semiHidden/>
    <w:rsid w:val="006D58A6"/>
    <w:rPr>
      <w:b/>
      <w:bCs/>
      <w:sz w:val="20"/>
      <w:szCs w:val="20"/>
    </w:rPr>
  </w:style>
  <w:style w:type="paragraph" w:styleId="BalloonText">
    <w:name w:val="Balloon Text"/>
    <w:basedOn w:val="Normal"/>
    <w:link w:val="BalloonTextChar"/>
    <w:uiPriority w:val="99"/>
    <w:semiHidden/>
    <w:unhideWhenUsed/>
    <w:rsid w:val="006D5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8A6"/>
    <w:rPr>
      <w:rFonts w:ascii="Segoe UI" w:hAnsi="Segoe UI" w:cs="Segoe UI"/>
      <w:sz w:val="18"/>
      <w:szCs w:val="18"/>
    </w:rPr>
  </w:style>
  <w:style w:type="character" w:customStyle="1" w:styleId="Heading1Char">
    <w:name w:val="Heading 1 Char"/>
    <w:basedOn w:val="DefaultParagraphFont"/>
    <w:link w:val="Heading1"/>
    <w:uiPriority w:val="9"/>
    <w:rsid w:val="006D58A6"/>
    <w:rPr>
      <w:rFonts w:ascii="Times New Roman" w:eastAsiaTheme="majorEastAsia" w:hAnsi="Times New Roman" w:cs="Times New Roman"/>
      <w:b/>
      <w:color w:val="000000" w:themeColor="text1"/>
      <w:sz w:val="24"/>
      <w:szCs w:val="24"/>
      <w:lang w:val="en-GB" w:eastAsia="en-US"/>
    </w:rPr>
  </w:style>
  <w:style w:type="character" w:customStyle="1" w:styleId="Heading2Char">
    <w:name w:val="Heading 2 Char"/>
    <w:basedOn w:val="DefaultParagraphFont"/>
    <w:link w:val="Heading2"/>
    <w:uiPriority w:val="9"/>
    <w:rsid w:val="006D58A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D58A6"/>
    <w:rPr>
      <w:color w:val="0000FF"/>
      <w:u w:val="single"/>
    </w:rPr>
  </w:style>
  <w:style w:type="paragraph" w:styleId="Header">
    <w:name w:val="header"/>
    <w:basedOn w:val="Normal"/>
    <w:link w:val="HeaderChar"/>
    <w:uiPriority w:val="99"/>
    <w:unhideWhenUsed/>
    <w:rsid w:val="0076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090"/>
  </w:style>
  <w:style w:type="paragraph" w:styleId="Footer">
    <w:name w:val="footer"/>
    <w:basedOn w:val="Normal"/>
    <w:link w:val="FooterChar"/>
    <w:uiPriority w:val="99"/>
    <w:unhideWhenUsed/>
    <w:rsid w:val="0076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090"/>
  </w:style>
  <w:style w:type="character" w:customStyle="1" w:styleId="msoins0">
    <w:name w:val="msoins"/>
    <w:basedOn w:val="DefaultParagraphFont"/>
    <w:rsid w:val="003206E8"/>
  </w:style>
  <w:style w:type="character" w:customStyle="1" w:styleId="apple-converted-space">
    <w:name w:val="apple-converted-space"/>
    <w:basedOn w:val="DefaultParagraphFont"/>
    <w:rsid w:val="003206E8"/>
  </w:style>
  <w:style w:type="paragraph" w:styleId="Revision">
    <w:name w:val="Revision"/>
    <w:hidden/>
    <w:uiPriority w:val="99"/>
    <w:semiHidden/>
    <w:rsid w:val="00914D45"/>
    <w:pPr>
      <w:spacing w:after="0" w:line="240" w:lineRule="auto"/>
    </w:pPr>
  </w:style>
  <w:style w:type="paragraph" w:styleId="NormalWeb">
    <w:name w:val="Normal (Web)"/>
    <w:basedOn w:val="Normal"/>
    <w:uiPriority w:val="99"/>
    <w:semiHidden/>
    <w:unhideWhenUsed/>
    <w:rsid w:val="00362259"/>
    <w:pPr>
      <w:spacing w:before="100" w:beforeAutospacing="1" w:after="100" w:afterAutospacing="1" w:line="240" w:lineRule="auto"/>
    </w:pPr>
    <w:rPr>
      <w:rFonts w:ascii="Times New Roman" w:eastAsia="Times New Roman" w:hAnsi="Times New Roman" w:cs="Times New Roman"/>
      <w:sz w:val="24"/>
      <w:szCs w:val="24"/>
      <w:lang w:val="en-CA" w:eastAsia="en-US"/>
    </w:rPr>
  </w:style>
  <w:style w:type="character" w:styleId="FollowedHyperlink">
    <w:name w:val="FollowedHyperlink"/>
    <w:basedOn w:val="DefaultParagraphFont"/>
    <w:uiPriority w:val="99"/>
    <w:semiHidden/>
    <w:unhideWhenUsed/>
    <w:rsid w:val="008A06BE"/>
    <w:rPr>
      <w:color w:val="954F72" w:themeColor="followedHyperlink"/>
      <w:u w:val="single"/>
    </w:rPr>
  </w:style>
  <w:style w:type="paragraph" w:styleId="ListParagraph">
    <w:name w:val="List Paragraph"/>
    <w:basedOn w:val="Normal"/>
    <w:uiPriority w:val="34"/>
    <w:qFormat/>
    <w:rsid w:val="00E0068A"/>
    <w:pPr>
      <w:ind w:left="720"/>
      <w:contextualSpacing/>
    </w:pPr>
  </w:style>
  <w:style w:type="character" w:styleId="UnresolvedMention">
    <w:name w:val="Unresolved Mention"/>
    <w:basedOn w:val="DefaultParagraphFont"/>
    <w:uiPriority w:val="99"/>
    <w:semiHidden/>
    <w:unhideWhenUsed/>
    <w:rsid w:val="00F348FD"/>
    <w:rPr>
      <w:color w:val="605E5C"/>
      <w:shd w:val="clear" w:color="auto" w:fill="E1DFDD"/>
    </w:rPr>
  </w:style>
  <w:style w:type="character" w:customStyle="1" w:styleId="highwire-cite-metadata-journal">
    <w:name w:val="highwire-cite-metadata-journal"/>
    <w:basedOn w:val="DefaultParagraphFont"/>
    <w:rsid w:val="0088646F"/>
  </w:style>
  <w:style w:type="character" w:customStyle="1" w:styleId="highwire-cite-metadata-date">
    <w:name w:val="highwire-cite-metadata-date"/>
    <w:basedOn w:val="DefaultParagraphFont"/>
    <w:rsid w:val="0088646F"/>
  </w:style>
  <w:style w:type="character" w:customStyle="1" w:styleId="highwire-cite-metadata-volume">
    <w:name w:val="highwire-cite-metadata-volume"/>
    <w:basedOn w:val="DefaultParagraphFont"/>
    <w:rsid w:val="0088646F"/>
  </w:style>
  <w:style w:type="character" w:customStyle="1" w:styleId="highwire-cite-metadata-issue">
    <w:name w:val="highwire-cite-metadata-issue"/>
    <w:basedOn w:val="DefaultParagraphFont"/>
    <w:rsid w:val="0088646F"/>
  </w:style>
  <w:style w:type="character" w:customStyle="1" w:styleId="highwire-cite-metadata-pages">
    <w:name w:val="highwire-cite-metadata-pages"/>
    <w:basedOn w:val="DefaultParagraphFont"/>
    <w:rsid w:val="0088646F"/>
  </w:style>
  <w:style w:type="character" w:customStyle="1" w:styleId="highwire-cite-metadata-doi">
    <w:name w:val="highwire-cite-metadata-doi"/>
    <w:basedOn w:val="DefaultParagraphFont"/>
    <w:rsid w:val="0088646F"/>
  </w:style>
  <w:style w:type="character" w:customStyle="1" w:styleId="period">
    <w:name w:val="period"/>
    <w:basedOn w:val="DefaultParagraphFont"/>
    <w:rsid w:val="0088646F"/>
  </w:style>
  <w:style w:type="character" w:customStyle="1" w:styleId="cit">
    <w:name w:val="cit"/>
    <w:basedOn w:val="DefaultParagraphFont"/>
    <w:rsid w:val="0088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3662">
      <w:bodyDiv w:val="1"/>
      <w:marLeft w:val="0"/>
      <w:marRight w:val="0"/>
      <w:marTop w:val="0"/>
      <w:marBottom w:val="0"/>
      <w:divBdr>
        <w:top w:val="none" w:sz="0" w:space="0" w:color="auto"/>
        <w:left w:val="none" w:sz="0" w:space="0" w:color="auto"/>
        <w:bottom w:val="none" w:sz="0" w:space="0" w:color="auto"/>
        <w:right w:val="none" w:sz="0" w:space="0" w:color="auto"/>
      </w:divBdr>
    </w:div>
    <w:div w:id="35391537">
      <w:bodyDiv w:val="1"/>
      <w:marLeft w:val="0"/>
      <w:marRight w:val="0"/>
      <w:marTop w:val="0"/>
      <w:marBottom w:val="0"/>
      <w:divBdr>
        <w:top w:val="none" w:sz="0" w:space="0" w:color="auto"/>
        <w:left w:val="none" w:sz="0" w:space="0" w:color="auto"/>
        <w:bottom w:val="none" w:sz="0" w:space="0" w:color="auto"/>
        <w:right w:val="none" w:sz="0" w:space="0" w:color="auto"/>
      </w:divBdr>
    </w:div>
    <w:div w:id="36707123">
      <w:bodyDiv w:val="1"/>
      <w:marLeft w:val="0"/>
      <w:marRight w:val="0"/>
      <w:marTop w:val="0"/>
      <w:marBottom w:val="0"/>
      <w:divBdr>
        <w:top w:val="none" w:sz="0" w:space="0" w:color="auto"/>
        <w:left w:val="none" w:sz="0" w:space="0" w:color="auto"/>
        <w:bottom w:val="none" w:sz="0" w:space="0" w:color="auto"/>
        <w:right w:val="none" w:sz="0" w:space="0" w:color="auto"/>
      </w:divBdr>
    </w:div>
    <w:div w:id="44914031">
      <w:bodyDiv w:val="1"/>
      <w:marLeft w:val="0"/>
      <w:marRight w:val="0"/>
      <w:marTop w:val="0"/>
      <w:marBottom w:val="0"/>
      <w:divBdr>
        <w:top w:val="none" w:sz="0" w:space="0" w:color="auto"/>
        <w:left w:val="none" w:sz="0" w:space="0" w:color="auto"/>
        <w:bottom w:val="none" w:sz="0" w:space="0" w:color="auto"/>
        <w:right w:val="none" w:sz="0" w:space="0" w:color="auto"/>
      </w:divBdr>
    </w:div>
    <w:div w:id="79566401">
      <w:bodyDiv w:val="1"/>
      <w:marLeft w:val="0"/>
      <w:marRight w:val="0"/>
      <w:marTop w:val="0"/>
      <w:marBottom w:val="0"/>
      <w:divBdr>
        <w:top w:val="none" w:sz="0" w:space="0" w:color="auto"/>
        <w:left w:val="none" w:sz="0" w:space="0" w:color="auto"/>
        <w:bottom w:val="none" w:sz="0" w:space="0" w:color="auto"/>
        <w:right w:val="none" w:sz="0" w:space="0" w:color="auto"/>
      </w:divBdr>
    </w:div>
    <w:div w:id="81225684">
      <w:bodyDiv w:val="1"/>
      <w:marLeft w:val="0"/>
      <w:marRight w:val="0"/>
      <w:marTop w:val="0"/>
      <w:marBottom w:val="0"/>
      <w:divBdr>
        <w:top w:val="none" w:sz="0" w:space="0" w:color="auto"/>
        <w:left w:val="none" w:sz="0" w:space="0" w:color="auto"/>
        <w:bottom w:val="none" w:sz="0" w:space="0" w:color="auto"/>
        <w:right w:val="none" w:sz="0" w:space="0" w:color="auto"/>
      </w:divBdr>
    </w:div>
    <w:div w:id="157232861">
      <w:bodyDiv w:val="1"/>
      <w:marLeft w:val="0"/>
      <w:marRight w:val="0"/>
      <w:marTop w:val="0"/>
      <w:marBottom w:val="0"/>
      <w:divBdr>
        <w:top w:val="none" w:sz="0" w:space="0" w:color="auto"/>
        <w:left w:val="none" w:sz="0" w:space="0" w:color="auto"/>
        <w:bottom w:val="none" w:sz="0" w:space="0" w:color="auto"/>
        <w:right w:val="none" w:sz="0" w:space="0" w:color="auto"/>
      </w:divBdr>
    </w:div>
    <w:div w:id="185289361">
      <w:bodyDiv w:val="1"/>
      <w:marLeft w:val="0"/>
      <w:marRight w:val="0"/>
      <w:marTop w:val="0"/>
      <w:marBottom w:val="0"/>
      <w:divBdr>
        <w:top w:val="none" w:sz="0" w:space="0" w:color="auto"/>
        <w:left w:val="none" w:sz="0" w:space="0" w:color="auto"/>
        <w:bottom w:val="none" w:sz="0" w:space="0" w:color="auto"/>
        <w:right w:val="none" w:sz="0" w:space="0" w:color="auto"/>
      </w:divBdr>
    </w:div>
    <w:div w:id="203366587">
      <w:bodyDiv w:val="1"/>
      <w:marLeft w:val="0"/>
      <w:marRight w:val="0"/>
      <w:marTop w:val="0"/>
      <w:marBottom w:val="0"/>
      <w:divBdr>
        <w:top w:val="none" w:sz="0" w:space="0" w:color="auto"/>
        <w:left w:val="none" w:sz="0" w:space="0" w:color="auto"/>
        <w:bottom w:val="none" w:sz="0" w:space="0" w:color="auto"/>
        <w:right w:val="none" w:sz="0" w:space="0" w:color="auto"/>
      </w:divBdr>
    </w:div>
    <w:div w:id="219482106">
      <w:bodyDiv w:val="1"/>
      <w:marLeft w:val="0"/>
      <w:marRight w:val="0"/>
      <w:marTop w:val="0"/>
      <w:marBottom w:val="0"/>
      <w:divBdr>
        <w:top w:val="none" w:sz="0" w:space="0" w:color="auto"/>
        <w:left w:val="none" w:sz="0" w:space="0" w:color="auto"/>
        <w:bottom w:val="none" w:sz="0" w:space="0" w:color="auto"/>
        <w:right w:val="none" w:sz="0" w:space="0" w:color="auto"/>
      </w:divBdr>
    </w:div>
    <w:div w:id="220406141">
      <w:bodyDiv w:val="1"/>
      <w:marLeft w:val="0"/>
      <w:marRight w:val="0"/>
      <w:marTop w:val="0"/>
      <w:marBottom w:val="0"/>
      <w:divBdr>
        <w:top w:val="none" w:sz="0" w:space="0" w:color="auto"/>
        <w:left w:val="none" w:sz="0" w:space="0" w:color="auto"/>
        <w:bottom w:val="none" w:sz="0" w:space="0" w:color="auto"/>
        <w:right w:val="none" w:sz="0" w:space="0" w:color="auto"/>
      </w:divBdr>
    </w:div>
    <w:div w:id="240019813">
      <w:bodyDiv w:val="1"/>
      <w:marLeft w:val="0"/>
      <w:marRight w:val="0"/>
      <w:marTop w:val="0"/>
      <w:marBottom w:val="0"/>
      <w:divBdr>
        <w:top w:val="none" w:sz="0" w:space="0" w:color="auto"/>
        <w:left w:val="none" w:sz="0" w:space="0" w:color="auto"/>
        <w:bottom w:val="none" w:sz="0" w:space="0" w:color="auto"/>
        <w:right w:val="none" w:sz="0" w:space="0" w:color="auto"/>
      </w:divBdr>
    </w:div>
    <w:div w:id="240407987">
      <w:bodyDiv w:val="1"/>
      <w:marLeft w:val="0"/>
      <w:marRight w:val="0"/>
      <w:marTop w:val="0"/>
      <w:marBottom w:val="0"/>
      <w:divBdr>
        <w:top w:val="none" w:sz="0" w:space="0" w:color="auto"/>
        <w:left w:val="none" w:sz="0" w:space="0" w:color="auto"/>
        <w:bottom w:val="none" w:sz="0" w:space="0" w:color="auto"/>
        <w:right w:val="none" w:sz="0" w:space="0" w:color="auto"/>
      </w:divBdr>
    </w:div>
    <w:div w:id="270556291">
      <w:bodyDiv w:val="1"/>
      <w:marLeft w:val="0"/>
      <w:marRight w:val="0"/>
      <w:marTop w:val="0"/>
      <w:marBottom w:val="0"/>
      <w:divBdr>
        <w:top w:val="none" w:sz="0" w:space="0" w:color="auto"/>
        <w:left w:val="none" w:sz="0" w:space="0" w:color="auto"/>
        <w:bottom w:val="none" w:sz="0" w:space="0" w:color="auto"/>
        <w:right w:val="none" w:sz="0" w:space="0" w:color="auto"/>
      </w:divBdr>
    </w:div>
    <w:div w:id="326906002">
      <w:bodyDiv w:val="1"/>
      <w:marLeft w:val="0"/>
      <w:marRight w:val="0"/>
      <w:marTop w:val="0"/>
      <w:marBottom w:val="0"/>
      <w:divBdr>
        <w:top w:val="none" w:sz="0" w:space="0" w:color="auto"/>
        <w:left w:val="none" w:sz="0" w:space="0" w:color="auto"/>
        <w:bottom w:val="none" w:sz="0" w:space="0" w:color="auto"/>
        <w:right w:val="none" w:sz="0" w:space="0" w:color="auto"/>
      </w:divBdr>
    </w:div>
    <w:div w:id="363405586">
      <w:bodyDiv w:val="1"/>
      <w:marLeft w:val="0"/>
      <w:marRight w:val="0"/>
      <w:marTop w:val="0"/>
      <w:marBottom w:val="0"/>
      <w:divBdr>
        <w:top w:val="none" w:sz="0" w:space="0" w:color="auto"/>
        <w:left w:val="none" w:sz="0" w:space="0" w:color="auto"/>
        <w:bottom w:val="none" w:sz="0" w:space="0" w:color="auto"/>
        <w:right w:val="none" w:sz="0" w:space="0" w:color="auto"/>
      </w:divBdr>
    </w:div>
    <w:div w:id="404226871">
      <w:bodyDiv w:val="1"/>
      <w:marLeft w:val="0"/>
      <w:marRight w:val="0"/>
      <w:marTop w:val="0"/>
      <w:marBottom w:val="0"/>
      <w:divBdr>
        <w:top w:val="none" w:sz="0" w:space="0" w:color="auto"/>
        <w:left w:val="none" w:sz="0" w:space="0" w:color="auto"/>
        <w:bottom w:val="none" w:sz="0" w:space="0" w:color="auto"/>
        <w:right w:val="none" w:sz="0" w:space="0" w:color="auto"/>
      </w:divBdr>
    </w:div>
    <w:div w:id="423914252">
      <w:bodyDiv w:val="1"/>
      <w:marLeft w:val="0"/>
      <w:marRight w:val="0"/>
      <w:marTop w:val="0"/>
      <w:marBottom w:val="0"/>
      <w:divBdr>
        <w:top w:val="none" w:sz="0" w:space="0" w:color="auto"/>
        <w:left w:val="none" w:sz="0" w:space="0" w:color="auto"/>
        <w:bottom w:val="none" w:sz="0" w:space="0" w:color="auto"/>
        <w:right w:val="none" w:sz="0" w:space="0" w:color="auto"/>
      </w:divBdr>
    </w:div>
    <w:div w:id="503783811">
      <w:bodyDiv w:val="1"/>
      <w:marLeft w:val="0"/>
      <w:marRight w:val="0"/>
      <w:marTop w:val="0"/>
      <w:marBottom w:val="0"/>
      <w:divBdr>
        <w:top w:val="none" w:sz="0" w:space="0" w:color="auto"/>
        <w:left w:val="none" w:sz="0" w:space="0" w:color="auto"/>
        <w:bottom w:val="none" w:sz="0" w:space="0" w:color="auto"/>
        <w:right w:val="none" w:sz="0" w:space="0" w:color="auto"/>
      </w:divBdr>
      <w:divsChild>
        <w:div w:id="654842893">
          <w:marLeft w:val="0"/>
          <w:marRight w:val="0"/>
          <w:marTop w:val="0"/>
          <w:marBottom w:val="0"/>
          <w:divBdr>
            <w:top w:val="none" w:sz="0" w:space="0" w:color="auto"/>
            <w:left w:val="none" w:sz="0" w:space="0" w:color="auto"/>
            <w:bottom w:val="none" w:sz="0" w:space="0" w:color="auto"/>
            <w:right w:val="none" w:sz="0" w:space="0" w:color="auto"/>
          </w:divBdr>
          <w:divsChild>
            <w:div w:id="1349257881">
              <w:marLeft w:val="0"/>
              <w:marRight w:val="0"/>
              <w:marTop w:val="0"/>
              <w:marBottom w:val="0"/>
              <w:divBdr>
                <w:top w:val="none" w:sz="0" w:space="0" w:color="auto"/>
                <w:left w:val="none" w:sz="0" w:space="0" w:color="auto"/>
                <w:bottom w:val="none" w:sz="0" w:space="0" w:color="auto"/>
                <w:right w:val="none" w:sz="0" w:space="0" w:color="auto"/>
              </w:divBdr>
              <w:divsChild>
                <w:div w:id="1453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32052">
      <w:bodyDiv w:val="1"/>
      <w:marLeft w:val="0"/>
      <w:marRight w:val="0"/>
      <w:marTop w:val="0"/>
      <w:marBottom w:val="0"/>
      <w:divBdr>
        <w:top w:val="none" w:sz="0" w:space="0" w:color="auto"/>
        <w:left w:val="none" w:sz="0" w:space="0" w:color="auto"/>
        <w:bottom w:val="none" w:sz="0" w:space="0" w:color="auto"/>
        <w:right w:val="none" w:sz="0" w:space="0" w:color="auto"/>
      </w:divBdr>
    </w:div>
    <w:div w:id="572785468">
      <w:bodyDiv w:val="1"/>
      <w:marLeft w:val="0"/>
      <w:marRight w:val="0"/>
      <w:marTop w:val="0"/>
      <w:marBottom w:val="0"/>
      <w:divBdr>
        <w:top w:val="none" w:sz="0" w:space="0" w:color="auto"/>
        <w:left w:val="none" w:sz="0" w:space="0" w:color="auto"/>
        <w:bottom w:val="none" w:sz="0" w:space="0" w:color="auto"/>
        <w:right w:val="none" w:sz="0" w:space="0" w:color="auto"/>
      </w:divBdr>
    </w:div>
    <w:div w:id="587277589">
      <w:bodyDiv w:val="1"/>
      <w:marLeft w:val="0"/>
      <w:marRight w:val="0"/>
      <w:marTop w:val="0"/>
      <w:marBottom w:val="0"/>
      <w:divBdr>
        <w:top w:val="none" w:sz="0" w:space="0" w:color="auto"/>
        <w:left w:val="none" w:sz="0" w:space="0" w:color="auto"/>
        <w:bottom w:val="none" w:sz="0" w:space="0" w:color="auto"/>
        <w:right w:val="none" w:sz="0" w:space="0" w:color="auto"/>
      </w:divBdr>
    </w:div>
    <w:div w:id="601646770">
      <w:bodyDiv w:val="1"/>
      <w:marLeft w:val="0"/>
      <w:marRight w:val="0"/>
      <w:marTop w:val="0"/>
      <w:marBottom w:val="0"/>
      <w:divBdr>
        <w:top w:val="none" w:sz="0" w:space="0" w:color="auto"/>
        <w:left w:val="none" w:sz="0" w:space="0" w:color="auto"/>
        <w:bottom w:val="none" w:sz="0" w:space="0" w:color="auto"/>
        <w:right w:val="none" w:sz="0" w:space="0" w:color="auto"/>
      </w:divBdr>
    </w:div>
    <w:div w:id="609120477">
      <w:bodyDiv w:val="1"/>
      <w:marLeft w:val="0"/>
      <w:marRight w:val="0"/>
      <w:marTop w:val="0"/>
      <w:marBottom w:val="0"/>
      <w:divBdr>
        <w:top w:val="none" w:sz="0" w:space="0" w:color="auto"/>
        <w:left w:val="none" w:sz="0" w:space="0" w:color="auto"/>
        <w:bottom w:val="none" w:sz="0" w:space="0" w:color="auto"/>
        <w:right w:val="none" w:sz="0" w:space="0" w:color="auto"/>
      </w:divBdr>
    </w:div>
    <w:div w:id="633877672">
      <w:bodyDiv w:val="1"/>
      <w:marLeft w:val="0"/>
      <w:marRight w:val="0"/>
      <w:marTop w:val="0"/>
      <w:marBottom w:val="0"/>
      <w:divBdr>
        <w:top w:val="none" w:sz="0" w:space="0" w:color="auto"/>
        <w:left w:val="none" w:sz="0" w:space="0" w:color="auto"/>
        <w:bottom w:val="none" w:sz="0" w:space="0" w:color="auto"/>
        <w:right w:val="none" w:sz="0" w:space="0" w:color="auto"/>
      </w:divBdr>
    </w:div>
    <w:div w:id="696468369">
      <w:bodyDiv w:val="1"/>
      <w:marLeft w:val="0"/>
      <w:marRight w:val="0"/>
      <w:marTop w:val="0"/>
      <w:marBottom w:val="0"/>
      <w:divBdr>
        <w:top w:val="none" w:sz="0" w:space="0" w:color="auto"/>
        <w:left w:val="none" w:sz="0" w:space="0" w:color="auto"/>
        <w:bottom w:val="none" w:sz="0" w:space="0" w:color="auto"/>
        <w:right w:val="none" w:sz="0" w:space="0" w:color="auto"/>
      </w:divBdr>
    </w:div>
    <w:div w:id="706686756">
      <w:bodyDiv w:val="1"/>
      <w:marLeft w:val="0"/>
      <w:marRight w:val="0"/>
      <w:marTop w:val="0"/>
      <w:marBottom w:val="0"/>
      <w:divBdr>
        <w:top w:val="none" w:sz="0" w:space="0" w:color="auto"/>
        <w:left w:val="none" w:sz="0" w:space="0" w:color="auto"/>
        <w:bottom w:val="none" w:sz="0" w:space="0" w:color="auto"/>
        <w:right w:val="none" w:sz="0" w:space="0" w:color="auto"/>
      </w:divBdr>
    </w:div>
    <w:div w:id="712460321">
      <w:bodyDiv w:val="1"/>
      <w:marLeft w:val="0"/>
      <w:marRight w:val="0"/>
      <w:marTop w:val="0"/>
      <w:marBottom w:val="0"/>
      <w:divBdr>
        <w:top w:val="none" w:sz="0" w:space="0" w:color="auto"/>
        <w:left w:val="none" w:sz="0" w:space="0" w:color="auto"/>
        <w:bottom w:val="none" w:sz="0" w:space="0" w:color="auto"/>
        <w:right w:val="none" w:sz="0" w:space="0" w:color="auto"/>
      </w:divBdr>
    </w:div>
    <w:div w:id="718284375">
      <w:bodyDiv w:val="1"/>
      <w:marLeft w:val="0"/>
      <w:marRight w:val="0"/>
      <w:marTop w:val="0"/>
      <w:marBottom w:val="0"/>
      <w:divBdr>
        <w:top w:val="none" w:sz="0" w:space="0" w:color="auto"/>
        <w:left w:val="none" w:sz="0" w:space="0" w:color="auto"/>
        <w:bottom w:val="none" w:sz="0" w:space="0" w:color="auto"/>
        <w:right w:val="none" w:sz="0" w:space="0" w:color="auto"/>
      </w:divBdr>
    </w:div>
    <w:div w:id="718362110">
      <w:bodyDiv w:val="1"/>
      <w:marLeft w:val="0"/>
      <w:marRight w:val="0"/>
      <w:marTop w:val="0"/>
      <w:marBottom w:val="0"/>
      <w:divBdr>
        <w:top w:val="none" w:sz="0" w:space="0" w:color="auto"/>
        <w:left w:val="none" w:sz="0" w:space="0" w:color="auto"/>
        <w:bottom w:val="none" w:sz="0" w:space="0" w:color="auto"/>
        <w:right w:val="none" w:sz="0" w:space="0" w:color="auto"/>
      </w:divBdr>
    </w:div>
    <w:div w:id="774641637">
      <w:bodyDiv w:val="1"/>
      <w:marLeft w:val="0"/>
      <w:marRight w:val="0"/>
      <w:marTop w:val="0"/>
      <w:marBottom w:val="0"/>
      <w:divBdr>
        <w:top w:val="none" w:sz="0" w:space="0" w:color="auto"/>
        <w:left w:val="none" w:sz="0" w:space="0" w:color="auto"/>
        <w:bottom w:val="none" w:sz="0" w:space="0" w:color="auto"/>
        <w:right w:val="none" w:sz="0" w:space="0" w:color="auto"/>
      </w:divBdr>
    </w:div>
    <w:div w:id="827210218">
      <w:bodyDiv w:val="1"/>
      <w:marLeft w:val="0"/>
      <w:marRight w:val="0"/>
      <w:marTop w:val="0"/>
      <w:marBottom w:val="0"/>
      <w:divBdr>
        <w:top w:val="none" w:sz="0" w:space="0" w:color="auto"/>
        <w:left w:val="none" w:sz="0" w:space="0" w:color="auto"/>
        <w:bottom w:val="none" w:sz="0" w:space="0" w:color="auto"/>
        <w:right w:val="none" w:sz="0" w:space="0" w:color="auto"/>
      </w:divBdr>
    </w:div>
    <w:div w:id="844251505">
      <w:bodyDiv w:val="1"/>
      <w:marLeft w:val="0"/>
      <w:marRight w:val="0"/>
      <w:marTop w:val="0"/>
      <w:marBottom w:val="0"/>
      <w:divBdr>
        <w:top w:val="none" w:sz="0" w:space="0" w:color="auto"/>
        <w:left w:val="none" w:sz="0" w:space="0" w:color="auto"/>
        <w:bottom w:val="none" w:sz="0" w:space="0" w:color="auto"/>
        <w:right w:val="none" w:sz="0" w:space="0" w:color="auto"/>
      </w:divBdr>
    </w:div>
    <w:div w:id="859398626">
      <w:bodyDiv w:val="1"/>
      <w:marLeft w:val="0"/>
      <w:marRight w:val="0"/>
      <w:marTop w:val="0"/>
      <w:marBottom w:val="0"/>
      <w:divBdr>
        <w:top w:val="none" w:sz="0" w:space="0" w:color="auto"/>
        <w:left w:val="none" w:sz="0" w:space="0" w:color="auto"/>
        <w:bottom w:val="none" w:sz="0" w:space="0" w:color="auto"/>
        <w:right w:val="none" w:sz="0" w:space="0" w:color="auto"/>
      </w:divBdr>
    </w:div>
    <w:div w:id="874923433">
      <w:bodyDiv w:val="1"/>
      <w:marLeft w:val="0"/>
      <w:marRight w:val="0"/>
      <w:marTop w:val="0"/>
      <w:marBottom w:val="0"/>
      <w:divBdr>
        <w:top w:val="none" w:sz="0" w:space="0" w:color="auto"/>
        <w:left w:val="none" w:sz="0" w:space="0" w:color="auto"/>
        <w:bottom w:val="none" w:sz="0" w:space="0" w:color="auto"/>
        <w:right w:val="none" w:sz="0" w:space="0" w:color="auto"/>
      </w:divBdr>
    </w:div>
    <w:div w:id="903224731">
      <w:bodyDiv w:val="1"/>
      <w:marLeft w:val="0"/>
      <w:marRight w:val="0"/>
      <w:marTop w:val="0"/>
      <w:marBottom w:val="0"/>
      <w:divBdr>
        <w:top w:val="none" w:sz="0" w:space="0" w:color="auto"/>
        <w:left w:val="none" w:sz="0" w:space="0" w:color="auto"/>
        <w:bottom w:val="none" w:sz="0" w:space="0" w:color="auto"/>
        <w:right w:val="none" w:sz="0" w:space="0" w:color="auto"/>
      </w:divBdr>
    </w:div>
    <w:div w:id="955529725">
      <w:bodyDiv w:val="1"/>
      <w:marLeft w:val="0"/>
      <w:marRight w:val="0"/>
      <w:marTop w:val="0"/>
      <w:marBottom w:val="0"/>
      <w:divBdr>
        <w:top w:val="none" w:sz="0" w:space="0" w:color="auto"/>
        <w:left w:val="none" w:sz="0" w:space="0" w:color="auto"/>
        <w:bottom w:val="none" w:sz="0" w:space="0" w:color="auto"/>
        <w:right w:val="none" w:sz="0" w:space="0" w:color="auto"/>
      </w:divBdr>
    </w:div>
    <w:div w:id="957027462">
      <w:bodyDiv w:val="1"/>
      <w:marLeft w:val="0"/>
      <w:marRight w:val="0"/>
      <w:marTop w:val="0"/>
      <w:marBottom w:val="0"/>
      <w:divBdr>
        <w:top w:val="none" w:sz="0" w:space="0" w:color="auto"/>
        <w:left w:val="none" w:sz="0" w:space="0" w:color="auto"/>
        <w:bottom w:val="none" w:sz="0" w:space="0" w:color="auto"/>
        <w:right w:val="none" w:sz="0" w:space="0" w:color="auto"/>
      </w:divBdr>
    </w:div>
    <w:div w:id="992682921">
      <w:bodyDiv w:val="1"/>
      <w:marLeft w:val="0"/>
      <w:marRight w:val="0"/>
      <w:marTop w:val="0"/>
      <w:marBottom w:val="0"/>
      <w:divBdr>
        <w:top w:val="none" w:sz="0" w:space="0" w:color="auto"/>
        <w:left w:val="none" w:sz="0" w:space="0" w:color="auto"/>
        <w:bottom w:val="none" w:sz="0" w:space="0" w:color="auto"/>
        <w:right w:val="none" w:sz="0" w:space="0" w:color="auto"/>
      </w:divBdr>
    </w:div>
    <w:div w:id="1007516809">
      <w:bodyDiv w:val="1"/>
      <w:marLeft w:val="0"/>
      <w:marRight w:val="0"/>
      <w:marTop w:val="0"/>
      <w:marBottom w:val="0"/>
      <w:divBdr>
        <w:top w:val="none" w:sz="0" w:space="0" w:color="auto"/>
        <w:left w:val="none" w:sz="0" w:space="0" w:color="auto"/>
        <w:bottom w:val="none" w:sz="0" w:space="0" w:color="auto"/>
        <w:right w:val="none" w:sz="0" w:space="0" w:color="auto"/>
      </w:divBdr>
    </w:div>
    <w:div w:id="1015887466">
      <w:bodyDiv w:val="1"/>
      <w:marLeft w:val="0"/>
      <w:marRight w:val="0"/>
      <w:marTop w:val="0"/>
      <w:marBottom w:val="0"/>
      <w:divBdr>
        <w:top w:val="none" w:sz="0" w:space="0" w:color="auto"/>
        <w:left w:val="none" w:sz="0" w:space="0" w:color="auto"/>
        <w:bottom w:val="none" w:sz="0" w:space="0" w:color="auto"/>
        <w:right w:val="none" w:sz="0" w:space="0" w:color="auto"/>
      </w:divBdr>
    </w:div>
    <w:div w:id="1087458261">
      <w:bodyDiv w:val="1"/>
      <w:marLeft w:val="0"/>
      <w:marRight w:val="0"/>
      <w:marTop w:val="0"/>
      <w:marBottom w:val="0"/>
      <w:divBdr>
        <w:top w:val="none" w:sz="0" w:space="0" w:color="auto"/>
        <w:left w:val="none" w:sz="0" w:space="0" w:color="auto"/>
        <w:bottom w:val="none" w:sz="0" w:space="0" w:color="auto"/>
        <w:right w:val="none" w:sz="0" w:space="0" w:color="auto"/>
      </w:divBdr>
    </w:div>
    <w:div w:id="1089540616">
      <w:bodyDiv w:val="1"/>
      <w:marLeft w:val="0"/>
      <w:marRight w:val="0"/>
      <w:marTop w:val="0"/>
      <w:marBottom w:val="0"/>
      <w:divBdr>
        <w:top w:val="none" w:sz="0" w:space="0" w:color="auto"/>
        <w:left w:val="none" w:sz="0" w:space="0" w:color="auto"/>
        <w:bottom w:val="none" w:sz="0" w:space="0" w:color="auto"/>
        <w:right w:val="none" w:sz="0" w:space="0" w:color="auto"/>
      </w:divBdr>
    </w:div>
    <w:div w:id="1099524789">
      <w:bodyDiv w:val="1"/>
      <w:marLeft w:val="0"/>
      <w:marRight w:val="0"/>
      <w:marTop w:val="0"/>
      <w:marBottom w:val="0"/>
      <w:divBdr>
        <w:top w:val="none" w:sz="0" w:space="0" w:color="auto"/>
        <w:left w:val="none" w:sz="0" w:space="0" w:color="auto"/>
        <w:bottom w:val="none" w:sz="0" w:space="0" w:color="auto"/>
        <w:right w:val="none" w:sz="0" w:space="0" w:color="auto"/>
      </w:divBdr>
    </w:div>
    <w:div w:id="1148472977">
      <w:bodyDiv w:val="1"/>
      <w:marLeft w:val="0"/>
      <w:marRight w:val="0"/>
      <w:marTop w:val="0"/>
      <w:marBottom w:val="0"/>
      <w:divBdr>
        <w:top w:val="none" w:sz="0" w:space="0" w:color="auto"/>
        <w:left w:val="none" w:sz="0" w:space="0" w:color="auto"/>
        <w:bottom w:val="none" w:sz="0" w:space="0" w:color="auto"/>
        <w:right w:val="none" w:sz="0" w:space="0" w:color="auto"/>
      </w:divBdr>
    </w:div>
    <w:div w:id="1171678700">
      <w:bodyDiv w:val="1"/>
      <w:marLeft w:val="0"/>
      <w:marRight w:val="0"/>
      <w:marTop w:val="0"/>
      <w:marBottom w:val="0"/>
      <w:divBdr>
        <w:top w:val="none" w:sz="0" w:space="0" w:color="auto"/>
        <w:left w:val="none" w:sz="0" w:space="0" w:color="auto"/>
        <w:bottom w:val="none" w:sz="0" w:space="0" w:color="auto"/>
        <w:right w:val="none" w:sz="0" w:space="0" w:color="auto"/>
      </w:divBdr>
    </w:div>
    <w:div w:id="1190952918">
      <w:bodyDiv w:val="1"/>
      <w:marLeft w:val="0"/>
      <w:marRight w:val="0"/>
      <w:marTop w:val="0"/>
      <w:marBottom w:val="0"/>
      <w:divBdr>
        <w:top w:val="none" w:sz="0" w:space="0" w:color="auto"/>
        <w:left w:val="none" w:sz="0" w:space="0" w:color="auto"/>
        <w:bottom w:val="none" w:sz="0" w:space="0" w:color="auto"/>
        <w:right w:val="none" w:sz="0" w:space="0" w:color="auto"/>
      </w:divBdr>
    </w:div>
    <w:div w:id="1193415702">
      <w:bodyDiv w:val="1"/>
      <w:marLeft w:val="0"/>
      <w:marRight w:val="0"/>
      <w:marTop w:val="0"/>
      <w:marBottom w:val="0"/>
      <w:divBdr>
        <w:top w:val="none" w:sz="0" w:space="0" w:color="auto"/>
        <w:left w:val="none" w:sz="0" w:space="0" w:color="auto"/>
        <w:bottom w:val="none" w:sz="0" w:space="0" w:color="auto"/>
        <w:right w:val="none" w:sz="0" w:space="0" w:color="auto"/>
      </w:divBdr>
    </w:div>
    <w:div w:id="1274943474">
      <w:bodyDiv w:val="1"/>
      <w:marLeft w:val="0"/>
      <w:marRight w:val="0"/>
      <w:marTop w:val="0"/>
      <w:marBottom w:val="0"/>
      <w:divBdr>
        <w:top w:val="none" w:sz="0" w:space="0" w:color="auto"/>
        <w:left w:val="none" w:sz="0" w:space="0" w:color="auto"/>
        <w:bottom w:val="none" w:sz="0" w:space="0" w:color="auto"/>
        <w:right w:val="none" w:sz="0" w:space="0" w:color="auto"/>
      </w:divBdr>
    </w:div>
    <w:div w:id="1284969196">
      <w:bodyDiv w:val="1"/>
      <w:marLeft w:val="0"/>
      <w:marRight w:val="0"/>
      <w:marTop w:val="0"/>
      <w:marBottom w:val="0"/>
      <w:divBdr>
        <w:top w:val="none" w:sz="0" w:space="0" w:color="auto"/>
        <w:left w:val="none" w:sz="0" w:space="0" w:color="auto"/>
        <w:bottom w:val="none" w:sz="0" w:space="0" w:color="auto"/>
        <w:right w:val="none" w:sz="0" w:space="0" w:color="auto"/>
      </w:divBdr>
    </w:div>
    <w:div w:id="1378773986">
      <w:bodyDiv w:val="1"/>
      <w:marLeft w:val="0"/>
      <w:marRight w:val="0"/>
      <w:marTop w:val="0"/>
      <w:marBottom w:val="0"/>
      <w:divBdr>
        <w:top w:val="none" w:sz="0" w:space="0" w:color="auto"/>
        <w:left w:val="none" w:sz="0" w:space="0" w:color="auto"/>
        <w:bottom w:val="none" w:sz="0" w:space="0" w:color="auto"/>
        <w:right w:val="none" w:sz="0" w:space="0" w:color="auto"/>
      </w:divBdr>
    </w:div>
    <w:div w:id="1385907132">
      <w:bodyDiv w:val="1"/>
      <w:marLeft w:val="0"/>
      <w:marRight w:val="0"/>
      <w:marTop w:val="0"/>
      <w:marBottom w:val="0"/>
      <w:divBdr>
        <w:top w:val="none" w:sz="0" w:space="0" w:color="auto"/>
        <w:left w:val="none" w:sz="0" w:space="0" w:color="auto"/>
        <w:bottom w:val="none" w:sz="0" w:space="0" w:color="auto"/>
        <w:right w:val="none" w:sz="0" w:space="0" w:color="auto"/>
      </w:divBdr>
    </w:div>
    <w:div w:id="1417166950">
      <w:bodyDiv w:val="1"/>
      <w:marLeft w:val="0"/>
      <w:marRight w:val="0"/>
      <w:marTop w:val="0"/>
      <w:marBottom w:val="0"/>
      <w:divBdr>
        <w:top w:val="none" w:sz="0" w:space="0" w:color="auto"/>
        <w:left w:val="none" w:sz="0" w:space="0" w:color="auto"/>
        <w:bottom w:val="none" w:sz="0" w:space="0" w:color="auto"/>
        <w:right w:val="none" w:sz="0" w:space="0" w:color="auto"/>
      </w:divBdr>
    </w:div>
    <w:div w:id="1427313614">
      <w:bodyDiv w:val="1"/>
      <w:marLeft w:val="0"/>
      <w:marRight w:val="0"/>
      <w:marTop w:val="0"/>
      <w:marBottom w:val="0"/>
      <w:divBdr>
        <w:top w:val="none" w:sz="0" w:space="0" w:color="auto"/>
        <w:left w:val="none" w:sz="0" w:space="0" w:color="auto"/>
        <w:bottom w:val="none" w:sz="0" w:space="0" w:color="auto"/>
        <w:right w:val="none" w:sz="0" w:space="0" w:color="auto"/>
      </w:divBdr>
    </w:div>
    <w:div w:id="1433933600">
      <w:bodyDiv w:val="1"/>
      <w:marLeft w:val="0"/>
      <w:marRight w:val="0"/>
      <w:marTop w:val="0"/>
      <w:marBottom w:val="0"/>
      <w:divBdr>
        <w:top w:val="none" w:sz="0" w:space="0" w:color="auto"/>
        <w:left w:val="none" w:sz="0" w:space="0" w:color="auto"/>
        <w:bottom w:val="none" w:sz="0" w:space="0" w:color="auto"/>
        <w:right w:val="none" w:sz="0" w:space="0" w:color="auto"/>
      </w:divBdr>
    </w:div>
    <w:div w:id="1435632474">
      <w:bodyDiv w:val="1"/>
      <w:marLeft w:val="0"/>
      <w:marRight w:val="0"/>
      <w:marTop w:val="0"/>
      <w:marBottom w:val="0"/>
      <w:divBdr>
        <w:top w:val="none" w:sz="0" w:space="0" w:color="auto"/>
        <w:left w:val="none" w:sz="0" w:space="0" w:color="auto"/>
        <w:bottom w:val="none" w:sz="0" w:space="0" w:color="auto"/>
        <w:right w:val="none" w:sz="0" w:space="0" w:color="auto"/>
      </w:divBdr>
    </w:div>
    <w:div w:id="1448161962">
      <w:bodyDiv w:val="1"/>
      <w:marLeft w:val="0"/>
      <w:marRight w:val="0"/>
      <w:marTop w:val="0"/>
      <w:marBottom w:val="0"/>
      <w:divBdr>
        <w:top w:val="none" w:sz="0" w:space="0" w:color="auto"/>
        <w:left w:val="none" w:sz="0" w:space="0" w:color="auto"/>
        <w:bottom w:val="none" w:sz="0" w:space="0" w:color="auto"/>
        <w:right w:val="none" w:sz="0" w:space="0" w:color="auto"/>
      </w:divBdr>
    </w:div>
    <w:div w:id="1463227476">
      <w:bodyDiv w:val="1"/>
      <w:marLeft w:val="0"/>
      <w:marRight w:val="0"/>
      <w:marTop w:val="0"/>
      <w:marBottom w:val="0"/>
      <w:divBdr>
        <w:top w:val="none" w:sz="0" w:space="0" w:color="auto"/>
        <w:left w:val="none" w:sz="0" w:space="0" w:color="auto"/>
        <w:bottom w:val="none" w:sz="0" w:space="0" w:color="auto"/>
        <w:right w:val="none" w:sz="0" w:space="0" w:color="auto"/>
      </w:divBdr>
    </w:div>
    <w:div w:id="1474449853">
      <w:bodyDiv w:val="1"/>
      <w:marLeft w:val="0"/>
      <w:marRight w:val="0"/>
      <w:marTop w:val="0"/>
      <w:marBottom w:val="0"/>
      <w:divBdr>
        <w:top w:val="none" w:sz="0" w:space="0" w:color="auto"/>
        <w:left w:val="none" w:sz="0" w:space="0" w:color="auto"/>
        <w:bottom w:val="none" w:sz="0" w:space="0" w:color="auto"/>
        <w:right w:val="none" w:sz="0" w:space="0" w:color="auto"/>
      </w:divBdr>
    </w:div>
    <w:div w:id="1516260778">
      <w:bodyDiv w:val="1"/>
      <w:marLeft w:val="0"/>
      <w:marRight w:val="0"/>
      <w:marTop w:val="0"/>
      <w:marBottom w:val="0"/>
      <w:divBdr>
        <w:top w:val="none" w:sz="0" w:space="0" w:color="auto"/>
        <w:left w:val="none" w:sz="0" w:space="0" w:color="auto"/>
        <w:bottom w:val="none" w:sz="0" w:space="0" w:color="auto"/>
        <w:right w:val="none" w:sz="0" w:space="0" w:color="auto"/>
      </w:divBdr>
    </w:div>
    <w:div w:id="1519193188">
      <w:bodyDiv w:val="1"/>
      <w:marLeft w:val="0"/>
      <w:marRight w:val="0"/>
      <w:marTop w:val="0"/>
      <w:marBottom w:val="0"/>
      <w:divBdr>
        <w:top w:val="none" w:sz="0" w:space="0" w:color="auto"/>
        <w:left w:val="none" w:sz="0" w:space="0" w:color="auto"/>
        <w:bottom w:val="none" w:sz="0" w:space="0" w:color="auto"/>
        <w:right w:val="none" w:sz="0" w:space="0" w:color="auto"/>
      </w:divBdr>
    </w:div>
    <w:div w:id="1520437155">
      <w:bodyDiv w:val="1"/>
      <w:marLeft w:val="0"/>
      <w:marRight w:val="0"/>
      <w:marTop w:val="0"/>
      <w:marBottom w:val="0"/>
      <w:divBdr>
        <w:top w:val="none" w:sz="0" w:space="0" w:color="auto"/>
        <w:left w:val="none" w:sz="0" w:space="0" w:color="auto"/>
        <w:bottom w:val="none" w:sz="0" w:space="0" w:color="auto"/>
        <w:right w:val="none" w:sz="0" w:space="0" w:color="auto"/>
      </w:divBdr>
    </w:div>
    <w:div w:id="1535771185">
      <w:bodyDiv w:val="1"/>
      <w:marLeft w:val="0"/>
      <w:marRight w:val="0"/>
      <w:marTop w:val="0"/>
      <w:marBottom w:val="0"/>
      <w:divBdr>
        <w:top w:val="none" w:sz="0" w:space="0" w:color="auto"/>
        <w:left w:val="none" w:sz="0" w:space="0" w:color="auto"/>
        <w:bottom w:val="none" w:sz="0" w:space="0" w:color="auto"/>
        <w:right w:val="none" w:sz="0" w:space="0" w:color="auto"/>
      </w:divBdr>
    </w:div>
    <w:div w:id="1542210338">
      <w:bodyDiv w:val="1"/>
      <w:marLeft w:val="0"/>
      <w:marRight w:val="0"/>
      <w:marTop w:val="0"/>
      <w:marBottom w:val="0"/>
      <w:divBdr>
        <w:top w:val="none" w:sz="0" w:space="0" w:color="auto"/>
        <w:left w:val="none" w:sz="0" w:space="0" w:color="auto"/>
        <w:bottom w:val="none" w:sz="0" w:space="0" w:color="auto"/>
        <w:right w:val="none" w:sz="0" w:space="0" w:color="auto"/>
      </w:divBdr>
    </w:div>
    <w:div w:id="1550602963">
      <w:bodyDiv w:val="1"/>
      <w:marLeft w:val="0"/>
      <w:marRight w:val="0"/>
      <w:marTop w:val="0"/>
      <w:marBottom w:val="0"/>
      <w:divBdr>
        <w:top w:val="none" w:sz="0" w:space="0" w:color="auto"/>
        <w:left w:val="none" w:sz="0" w:space="0" w:color="auto"/>
        <w:bottom w:val="none" w:sz="0" w:space="0" w:color="auto"/>
        <w:right w:val="none" w:sz="0" w:space="0" w:color="auto"/>
      </w:divBdr>
    </w:div>
    <w:div w:id="1567297124">
      <w:bodyDiv w:val="1"/>
      <w:marLeft w:val="0"/>
      <w:marRight w:val="0"/>
      <w:marTop w:val="0"/>
      <w:marBottom w:val="0"/>
      <w:divBdr>
        <w:top w:val="none" w:sz="0" w:space="0" w:color="auto"/>
        <w:left w:val="none" w:sz="0" w:space="0" w:color="auto"/>
        <w:bottom w:val="none" w:sz="0" w:space="0" w:color="auto"/>
        <w:right w:val="none" w:sz="0" w:space="0" w:color="auto"/>
      </w:divBdr>
    </w:div>
    <w:div w:id="1652175358">
      <w:bodyDiv w:val="1"/>
      <w:marLeft w:val="0"/>
      <w:marRight w:val="0"/>
      <w:marTop w:val="0"/>
      <w:marBottom w:val="0"/>
      <w:divBdr>
        <w:top w:val="none" w:sz="0" w:space="0" w:color="auto"/>
        <w:left w:val="none" w:sz="0" w:space="0" w:color="auto"/>
        <w:bottom w:val="none" w:sz="0" w:space="0" w:color="auto"/>
        <w:right w:val="none" w:sz="0" w:space="0" w:color="auto"/>
      </w:divBdr>
    </w:div>
    <w:div w:id="1660692575">
      <w:bodyDiv w:val="1"/>
      <w:marLeft w:val="0"/>
      <w:marRight w:val="0"/>
      <w:marTop w:val="0"/>
      <w:marBottom w:val="0"/>
      <w:divBdr>
        <w:top w:val="none" w:sz="0" w:space="0" w:color="auto"/>
        <w:left w:val="none" w:sz="0" w:space="0" w:color="auto"/>
        <w:bottom w:val="none" w:sz="0" w:space="0" w:color="auto"/>
        <w:right w:val="none" w:sz="0" w:space="0" w:color="auto"/>
      </w:divBdr>
    </w:div>
    <w:div w:id="1679692684">
      <w:bodyDiv w:val="1"/>
      <w:marLeft w:val="0"/>
      <w:marRight w:val="0"/>
      <w:marTop w:val="0"/>
      <w:marBottom w:val="0"/>
      <w:divBdr>
        <w:top w:val="none" w:sz="0" w:space="0" w:color="auto"/>
        <w:left w:val="none" w:sz="0" w:space="0" w:color="auto"/>
        <w:bottom w:val="none" w:sz="0" w:space="0" w:color="auto"/>
        <w:right w:val="none" w:sz="0" w:space="0" w:color="auto"/>
      </w:divBdr>
    </w:div>
    <w:div w:id="1689520427">
      <w:bodyDiv w:val="1"/>
      <w:marLeft w:val="0"/>
      <w:marRight w:val="0"/>
      <w:marTop w:val="0"/>
      <w:marBottom w:val="0"/>
      <w:divBdr>
        <w:top w:val="none" w:sz="0" w:space="0" w:color="auto"/>
        <w:left w:val="none" w:sz="0" w:space="0" w:color="auto"/>
        <w:bottom w:val="none" w:sz="0" w:space="0" w:color="auto"/>
        <w:right w:val="none" w:sz="0" w:space="0" w:color="auto"/>
      </w:divBdr>
    </w:div>
    <w:div w:id="1693919944">
      <w:bodyDiv w:val="1"/>
      <w:marLeft w:val="0"/>
      <w:marRight w:val="0"/>
      <w:marTop w:val="0"/>
      <w:marBottom w:val="0"/>
      <w:divBdr>
        <w:top w:val="none" w:sz="0" w:space="0" w:color="auto"/>
        <w:left w:val="none" w:sz="0" w:space="0" w:color="auto"/>
        <w:bottom w:val="none" w:sz="0" w:space="0" w:color="auto"/>
        <w:right w:val="none" w:sz="0" w:space="0" w:color="auto"/>
      </w:divBdr>
    </w:div>
    <w:div w:id="1706709772">
      <w:bodyDiv w:val="1"/>
      <w:marLeft w:val="0"/>
      <w:marRight w:val="0"/>
      <w:marTop w:val="0"/>
      <w:marBottom w:val="0"/>
      <w:divBdr>
        <w:top w:val="none" w:sz="0" w:space="0" w:color="auto"/>
        <w:left w:val="none" w:sz="0" w:space="0" w:color="auto"/>
        <w:bottom w:val="none" w:sz="0" w:space="0" w:color="auto"/>
        <w:right w:val="none" w:sz="0" w:space="0" w:color="auto"/>
      </w:divBdr>
    </w:div>
    <w:div w:id="1708211581">
      <w:bodyDiv w:val="1"/>
      <w:marLeft w:val="0"/>
      <w:marRight w:val="0"/>
      <w:marTop w:val="0"/>
      <w:marBottom w:val="0"/>
      <w:divBdr>
        <w:top w:val="none" w:sz="0" w:space="0" w:color="auto"/>
        <w:left w:val="none" w:sz="0" w:space="0" w:color="auto"/>
        <w:bottom w:val="none" w:sz="0" w:space="0" w:color="auto"/>
        <w:right w:val="none" w:sz="0" w:space="0" w:color="auto"/>
      </w:divBdr>
      <w:divsChild>
        <w:div w:id="765079711">
          <w:marLeft w:val="0"/>
          <w:marRight w:val="0"/>
          <w:marTop w:val="0"/>
          <w:marBottom w:val="0"/>
          <w:divBdr>
            <w:top w:val="none" w:sz="0" w:space="0" w:color="auto"/>
            <w:left w:val="none" w:sz="0" w:space="0" w:color="auto"/>
            <w:bottom w:val="none" w:sz="0" w:space="0" w:color="auto"/>
            <w:right w:val="none" w:sz="0" w:space="0" w:color="auto"/>
          </w:divBdr>
          <w:divsChild>
            <w:div w:id="3819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80250">
      <w:bodyDiv w:val="1"/>
      <w:marLeft w:val="0"/>
      <w:marRight w:val="0"/>
      <w:marTop w:val="0"/>
      <w:marBottom w:val="0"/>
      <w:divBdr>
        <w:top w:val="none" w:sz="0" w:space="0" w:color="auto"/>
        <w:left w:val="none" w:sz="0" w:space="0" w:color="auto"/>
        <w:bottom w:val="none" w:sz="0" w:space="0" w:color="auto"/>
        <w:right w:val="none" w:sz="0" w:space="0" w:color="auto"/>
      </w:divBdr>
    </w:div>
    <w:div w:id="1851067440">
      <w:bodyDiv w:val="1"/>
      <w:marLeft w:val="0"/>
      <w:marRight w:val="0"/>
      <w:marTop w:val="0"/>
      <w:marBottom w:val="0"/>
      <w:divBdr>
        <w:top w:val="none" w:sz="0" w:space="0" w:color="auto"/>
        <w:left w:val="none" w:sz="0" w:space="0" w:color="auto"/>
        <w:bottom w:val="none" w:sz="0" w:space="0" w:color="auto"/>
        <w:right w:val="none" w:sz="0" w:space="0" w:color="auto"/>
      </w:divBdr>
    </w:div>
    <w:div w:id="1857500823">
      <w:bodyDiv w:val="1"/>
      <w:marLeft w:val="0"/>
      <w:marRight w:val="0"/>
      <w:marTop w:val="0"/>
      <w:marBottom w:val="0"/>
      <w:divBdr>
        <w:top w:val="none" w:sz="0" w:space="0" w:color="auto"/>
        <w:left w:val="none" w:sz="0" w:space="0" w:color="auto"/>
        <w:bottom w:val="none" w:sz="0" w:space="0" w:color="auto"/>
        <w:right w:val="none" w:sz="0" w:space="0" w:color="auto"/>
      </w:divBdr>
    </w:div>
    <w:div w:id="1905989064">
      <w:bodyDiv w:val="1"/>
      <w:marLeft w:val="0"/>
      <w:marRight w:val="0"/>
      <w:marTop w:val="0"/>
      <w:marBottom w:val="0"/>
      <w:divBdr>
        <w:top w:val="none" w:sz="0" w:space="0" w:color="auto"/>
        <w:left w:val="none" w:sz="0" w:space="0" w:color="auto"/>
        <w:bottom w:val="none" w:sz="0" w:space="0" w:color="auto"/>
        <w:right w:val="none" w:sz="0" w:space="0" w:color="auto"/>
      </w:divBdr>
    </w:div>
    <w:div w:id="1913856373">
      <w:bodyDiv w:val="1"/>
      <w:marLeft w:val="0"/>
      <w:marRight w:val="0"/>
      <w:marTop w:val="0"/>
      <w:marBottom w:val="0"/>
      <w:divBdr>
        <w:top w:val="none" w:sz="0" w:space="0" w:color="auto"/>
        <w:left w:val="none" w:sz="0" w:space="0" w:color="auto"/>
        <w:bottom w:val="none" w:sz="0" w:space="0" w:color="auto"/>
        <w:right w:val="none" w:sz="0" w:space="0" w:color="auto"/>
      </w:divBdr>
    </w:div>
    <w:div w:id="1965496796">
      <w:bodyDiv w:val="1"/>
      <w:marLeft w:val="0"/>
      <w:marRight w:val="0"/>
      <w:marTop w:val="0"/>
      <w:marBottom w:val="0"/>
      <w:divBdr>
        <w:top w:val="none" w:sz="0" w:space="0" w:color="auto"/>
        <w:left w:val="none" w:sz="0" w:space="0" w:color="auto"/>
        <w:bottom w:val="none" w:sz="0" w:space="0" w:color="auto"/>
        <w:right w:val="none" w:sz="0" w:space="0" w:color="auto"/>
      </w:divBdr>
    </w:div>
    <w:div w:id="2014184258">
      <w:bodyDiv w:val="1"/>
      <w:marLeft w:val="0"/>
      <w:marRight w:val="0"/>
      <w:marTop w:val="0"/>
      <w:marBottom w:val="0"/>
      <w:divBdr>
        <w:top w:val="none" w:sz="0" w:space="0" w:color="auto"/>
        <w:left w:val="none" w:sz="0" w:space="0" w:color="auto"/>
        <w:bottom w:val="none" w:sz="0" w:space="0" w:color="auto"/>
        <w:right w:val="none" w:sz="0" w:space="0" w:color="auto"/>
      </w:divBdr>
    </w:div>
    <w:div w:id="2027242293">
      <w:bodyDiv w:val="1"/>
      <w:marLeft w:val="0"/>
      <w:marRight w:val="0"/>
      <w:marTop w:val="0"/>
      <w:marBottom w:val="0"/>
      <w:divBdr>
        <w:top w:val="none" w:sz="0" w:space="0" w:color="auto"/>
        <w:left w:val="none" w:sz="0" w:space="0" w:color="auto"/>
        <w:bottom w:val="none" w:sz="0" w:space="0" w:color="auto"/>
        <w:right w:val="none" w:sz="0" w:space="0" w:color="auto"/>
      </w:divBdr>
    </w:div>
    <w:div w:id="2030527090">
      <w:bodyDiv w:val="1"/>
      <w:marLeft w:val="0"/>
      <w:marRight w:val="0"/>
      <w:marTop w:val="0"/>
      <w:marBottom w:val="0"/>
      <w:divBdr>
        <w:top w:val="none" w:sz="0" w:space="0" w:color="auto"/>
        <w:left w:val="none" w:sz="0" w:space="0" w:color="auto"/>
        <w:bottom w:val="none" w:sz="0" w:space="0" w:color="auto"/>
        <w:right w:val="none" w:sz="0" w:space="0" w:color="auto"/>
      </w:divBdr>
    </w:div>
    <w:div w:id="2044936965">
      <w:bodyDiv w:val="1"/>
      <w:marLeft w:val="0"/>
      <w:marRight w:val="0"/>
      <w:marTop w:val="0"/>
      <w:marBottom w:val="0"/>
      <w:divBdr>
        <w:top w:val="none" w:sz="0" w:space="0" w:color="auto"/>
        <w:left w:val="none" w:sz="0" w:space="0" w:color="auto"/>
        <w:bottom w:val="none" w:sz="0" w:space="0" w:color="auto"/>
        <w:right w:val="none" w:sz="0" w:space="0" w:color="auto"/>
      </w:divBdr>
    </w:div>
    <w:div w:id="2072921209">
      <w:bodyDiv w:val="1"/>
      <w:marLeft w:val="0"/>
      <w:marRight w:val="0"/>
      <w:marTop w:val="0"/>
      <w:marBottom w:val="0"/>
      <w:divBdr>
        <w:top w:val="none" w:sz="0" w:space="0" w:color="auto"/>
        <w:left w:val="none" w:sz="0" w:space="0" w:color="auto"/>
        <w:bottom w:val="none" w:sz="0" w:space="0" w:color="auto"/>
        <w:right w:val="none" w:sz="0" w:space="0" w:color="auto"/>
      </w:divBdr>
    </w:div>
    <w:div w:id="2084789764">
      <w:bodyDiv w:val="1"/>
      <w:marLeft w:val="0"/>
      <w:marRight w:val="0"/>
      <w:marTop w:val="0"/>
      <w:marBottom w:val="0"/>
      <w:divBdr>
        <w:top w:val="none" w:sz="0" w:space="0" w:color="auto"/>
        <w:left w:val="none" w:sz="0" w:space="0" w:color="auto"/>
        <w:bottom w:val="none" w:sz="0" w:space="0" w:color="auto"/>
        <w:right w:val="none" w:sz="0" w:space="0" w:color="auto"/>
      </w:divBdr>
    </w:div>
    <w:div w:id="2092846626">
      <w:bodyDiv w:val="1"/>
      <w:marLeft w:val="0"/>
      <w:marRight w:val="0"/>
      <w:marTop w:val="0"/>
      <w:marBottom w:val="0"/>
      <w:divBdr>
        <w:top w:val="none" w:sz="0" w:space="0" w:color="auto"/>
        <w:left w:val="none" w:sz="0" w:space="0" w:color="auto"/>
        <w:bottom w:val="none" w:sz="0" w:space="0" w:color="auto"/>
        <w:right w:val="none" w:sz="0" w:space="0" w:color="auto"/>
      </w:divBdr>
    </w:div>
    <w:div w:id="2128548654">
      <w:bodyDiv w:val="1"/>
      <w:marLeft w:val="0"/>
      <w:marRight w:val="0"/>
      <w:marTop w:val="0"/>
      <w:marBottom w:val="0"/>
      <w:divBdr>
        <w:top w:val="none" w:sz="0" w:space="0" w:color="auto"/>
        <w:left w:val="none" w:sz="0" w:space="0" w:color="auto"/>
        <w:bottom w:val="none" w:sz="0" w:space="0" w:color="auto"/>
        <w:right w:val="none" w:sz="0" w:space="0" w:color="auto"/>
      </w:divBdr>
    </w:div>
    <w:div w:id="2142141601">
      <w:bodyDiv w:val="1"/>
      <w:marLeft w:val="0"/>
      <w:marRight w:val="0"/>
      <w:marTop w:val="0"/>
      <w:marBottom w:val="0"/>
      <w:divBdr>
        <w:top w:val="none" w:sz="0" w:space="0" w:color="auto"/>
        <w:left w:val="none" w:sz="0" w:space="0" w:color="auto"/>
        <w:bottom w:val="none" w:sz="0" w:space="0" w:color="auto"/>
        <w:right w:val="none" w:sz="0" w:space="0" w:color="auto"/>
      </w:divBdr>
    </w:div>
    <w:div w:id="2144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ffrey.perl@unityhealth.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opps.org/AboutUs/Support.aspx" TargetMode="External"/><Relationship Id="rId4" Type="http://schemas.openxmlformats.org/officeDocument/2006/relationships/settings" Target="settings.xml"/><Relationship Id="rId9" Type="http://schemas.openxmlformats.org/officeDocument/2006/relationships/hyperlink" Target="https://www.dopps.org/OurStudies/PeritonealDialysisPDOP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4322-D4A0-4A5C-84BA-CB86ECD9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7231</Words>
  <Characters>41221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Arbor Research Collaborative for Health</Company>
  <LinksUpToDate>false</LinksUpToDate>
  <CharactersWithSpaces>48356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Junhui Zhao</dc:creator>
  <cp:keywords/>
  <dc:description/>
  <cp:lastModifiedBy>Mark Lambie</cp:lastModifiedBy>
  <cp:revision>2</cp:revision>
  <cp:lastPrinted>2021-08-02T20:16:00Z</cp:lastPrinted>
  <dcterms:created xsi:type="dcterms:W3CDTF">2022-03-07T19:27:00Z</dcterms:created>
  <dcterms:modified xsi:type="dcterms:W3CDTF">2022-03-07T19:27:00Z</dcterms:modified>
</cp:coreProperties>
</file>