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BA" w:rsidRPr="001770BA" w:rsidRDefault="001770BA" w:rsidP="0078177D">
      <w:pPr>
        <w:spacing w:line="480" w:lineRule="auto"/>
        <w:rPr>
          <w:i/>
        </w:rPr>
      </w:pPr>
      <w:r w:rsidRPr="001770BA">
        <w:rPr>
          <w:i/>
        </w:rPr>
        <w:t>Musculoskeletal Care 2022</w:t>
      </w:r>
    </w:p>
    <w:p w:rsidR="0078177D" w:rsidRDefault="0078177D" w:rsidP="0078177D">
      <w:pPr>
        <w:spacing w:line="480" w:lineRule="auto"/>
        <w:rPr>
          <w:b/>
          <w:u w:val="single"/>
        </w:rPr>
      </w:pPr>
      <w:r>
        <w:rPr>
          <w:b/>
          <w:u w:val="single"/>
        </w:rPr>
        <w:t>Was the impact of COVID-19 on Spinal Triage Services as significant as expected? A retrospective service evaluation</w:t>
      </w:r>
      <w:r w:rsidRPr="008F5927">
        <w:rPr>
          <w:b/>
          <w:u w:val="single"/>
        </w:rPr>
        <w:t xml:space="preserve">: results and </w:t>
      </w:r>
      <w:r>
        <w:rPr>
          <w:b/>
          <w:u w:val="single"/>
        </w:rPr>
        <w:t>evaluation</w:t>
      </w:r>
    </w:p>
    <w:p w:rsidR="00DC3408" w:rsidRPr="001770BA" w:rsidRDefault="001770BA" w:rsidP="00B25B82">
      <w:pPr>
        <w:spacing w:line="480" w:lineRule="auto"/>
      </w:pPr>
      <w:r w:rsidRPr="001770BA">
        <w:t>Wood L, Eveleigh C, Dixon M, Dunstan E, Salem K</w:t>
      </w:r>
    </w:p>
    <w:p w:rsidR="00431248" w:rsidRDefault="00431248" w:rsidP="00431248">
      <w:pPr>
        <w:spacing w:line="480" w:lineRule="auto"/>
        <w:rPr>
          <w:b/>
          <w:u w:val="single"/>
        </w:rPr>
      </w:pPr>
      <w:r>
        <w:rPr>
          <w:b/>
          <w:u w:val="single"/>
        </w:rPr>
        <w:t>Abstract (250 words)</w:t>
      </w:r>
    </w:p>
    <w:p w:rsidR="00431248" w:rsidRDefault="00431248" w:rsidP="00431248">
      <w:pPr>
        <w:spacing w:line="480" w:lineRule="auto"/>
      </w:pPr>
      <w:r>
        <w:t>Objectives:  The aim of this evaluation was to review service outcomes for a spinal advanced practitioner physiotherapy (APP) triage service during COVID-19. The evaluation compares outcomes gathered against pre-pandemic data and evaluates the impact of the pandemic on service delivery.</w:t>
      </w:r>
    </w:p>
    <w:p w:rsidR="00431248" w:rsidRDefault="00431248" w:rsidP="00431248">
      <w:pPr>
        <w:spacing w:line="480" w:lineRule="auto"/>
      </w:pPr>
      <w:r>
        <w:t xml:space="preserve">Design: Service-level data were extracted between 2019 and 2021 including: total referrals, new and follow-up appointments, telehealth consultation rates, discharges at first appointment, magnetic resonance imaging (MRI) and injection request rates. Multidisciplinary-team (MDT) meeting notes with Spinal Surgeons were reviewed and surgical conversion calculated. Patient satisfaction data were collated using: Friends and Family test, specific questionnaires, individual and formal complaints and compliments, and telephone surveys. Analysis was performed by the lead author and results were compared between years using analysis of variance, as well as with previously reported data.  </w:t>
      </w:r>
    </w:p>
    <w:p w:rsidR="00431248" w:rsidRDefault="00431248" w:rsidP="00431248">
      <w:pPr>
        <w:spacing w:line="480" w:lineRule="auto"/>
      </w:pPr>
      <w:r>
        <w:t xml:space="preserve">Setting: “X” NHS Trust is a secondary care spinal unit, using APPs to triage, assess and manage spinal conditions. </w:t>
      </w:r>
    </w:p>
    <w:p w:rsidR="00431248" w:rsidRDefault="00431248" w:rsidP="00431248">
      <w:pPr>
        <w:spacing w:line="480" w:lineRule="auto"/>
      </w:pPr>
      <w:r>
        <w:t xml:space="preserve">Results: In 2020, 407 (22%; p=0.02) less patients were referred to the service, however, there was a significant increase in the number of telehealth attendances (mean=50% in 2020 from 2019, p=0.005). Only 13% (n=1342) patients were discussed at MDT, of which 8% (n=808) were discussed for surgical consideration, and 36% (n=268) were directly listed. High levels of patient satisfaction were reported by 89% (n=1028 of 1160) patients. </w:t>
      </w:r>
    </w:p>
    <w:p w:rsidR="00431248" w:rsidRDefault="00431248" w:rsidP="00431248">
      <w:pPr>
        <w:spacing w:line="480" w:lineRule="auto"/>
      </w:pPr>
      <w:r>
        <w:lastRenderedPageBreak/>
        <w:t>Conclusion: This service evaluation demonstrates a statistically significant change in numbers of patients referred and telehealth attendances in the year of the pandemic (2020). Surgical conversion declined during the pandemic, and did not recover post-pandemic.</w:t>
      </w:r>
    </w:p>
    <w:p w:rsidR="0050615C" w:rsidRDefault="0050615C" w:rsidP="00B25B82">
      <w:pPr>
        <w:spacing w:line="480" w:lineRule="auto"/>
        <w:rPr>
          <w:b/>
          <w:u w:val="single"/>
        </w:rPr>
      </w:pPr>
    </w:p>
    <w:p w:rsidR="00DC3408" w:rsidRDefault="00DC3408" w:rsidP="00B25B82">
      <w:pPr>
        <w:spacing w:line="480" w:lineRule="auto"/>
        <w:rPr>
          <w:b/>
          <w:u w:val="single"/>
        </w:rPr>
      </w:pPr>
      <w:r>
        <w:rPr>
          <w:b/>
          <w:u w:val="single"/>
        </w:rPr>
        <w:t>Keywords:</w:t>
      </w:r>
      <w:r w:rsidRPr="00DC3408">
        <w:t xml:space="preserve"> Spinal advanced </w:t>
      </w:r>
      <w:r w:rsidR="00B871CC">
        <w:t xml:space="preserve">triage </w:t>
      </w:r>
      <w:r w:rsidRPr="00DC3408">
        <w:t xml:space="preserve">practitioner, spinal services, service evaluation, multi-disciplinary meetings, </w:t>
      </w:r>
      <w:r w:rsidR="009E17B7">
        <w:t>spinal triage</w:t>
      </w:r>
    </w:p>
    <w:p w:rsidR="00754732" w:rsidRDefault="00754732">
      <w:pPr>
        <w:rPr>
          <w:b/>
          <w:u w:val="single"/>
        </w:rPr>
      </w:pPr>
      <w:r>
        <w:rPr>
          <w:b/>
          <w:u w:val="single"/>
        </w:rPr>
        <w:br w:type="page"/>
      </w:r>
    </w:p>
    <w:p w:rsidR="008F5927" w:rsidRDefault="008F5927" w:rsidP="00B25B82">
      <w:pPr>
        <w:spacing w:line="480" w:lineRule="auto"/>
        <w:rPr>
          <w:b/>
          <w:u w:val="single"/>
        </w:rPr>
      </w:pPr>
      <w:r>
        <w:rPr>
          <w:b/>
          <w:u w:val="single"/>
        </w:rPr>
        <w:lastRenderedPageBreak/>
        <w:t>Introduction</w:t>
      </w:r>
    </w:p>
    <w:p w:rsidR="00B72898" w:rsidRDefault="00F323B4" w:rsidP="00B25B82">
      <w:pPr>
        <w:spacing w:line="480" w:lineRule="auto"/>
      </w:pPr>
      <w:r>
        <w:t xml:space="preserve">Spinal </w:t>
      </w:r>
      <w:r w:rsidR="00B871CC">
        <w:t xml:space="preserve">advanced </w:t>
      </w:r>
      <w:r>
        <w:t>practitioner</w:t>
      </w:r>
      <w:r w:rsidR="00B871CC">
        <w:t xml:space="preserve"> physiotherapist</w:t>
      </w:r>
      <w:r>
        <w:t>s</w:t>
      </w:r>
      <w:r w:rsidR="00B72898">
        <w:t xml:space="preserve"> (</w:t>
      </w:r>
      <w:r w:rsidR="00A8685A">
        <w:t>APP</w:t>
      </w:r>
      <w:r w:rsidR="00B72898">
        <w:t>s)</w:t>
      </w:r>
      <w:r>
        <w:t xml:space="preserve"> </w:t>
      </w:r>
      <w:r w:rsidR="008F5927">
        <w:t xml:space="preserve">have become embedded in routine care for low back pain, radicular pain and degenerative conditions in spinal services </w:t>
      </w:r>
      <w:r w:rsidR="0069766C">
        <w:fldChar w:fldCharType="begin" w:fldLock="1"/>
      </w:r>
      <w:r w:rsidR="0069766C">
        <w:instrText>ADDIN CSL_CITATION {"citationItems":[{"id":"ITEM-1","itemData":{"author":[{"dropping-particle":"","family":"Hutton","given":"Mike","non-dropping-particle":"","parse-names":false,"suffix":""}],"id":"ITEM-1","issue":"January","issued":{"date-parts":[["2019"]]},"title":"Spinal Services","type":"article-journal"},"uris":["http://www.mendeley.com/documents/?uuid=15088c60-f05e-40ec-9783-ccbca4f14a99"]}],"mendeley":{"formattedCitation":"(1)","plainTextFormattedCitation":"(1)","previouslyFormattedCitation":"(1)"},"properties":{"noteIndex":0},"schema":"https://github.com/citation-style-language/schema/raw/master/csl-citation.json"}</w:instrText>
      </w:r>
      <w:r w:rsidR="0069766C">
        <w:fldChar w:fldCharType="separate"/>
      </w:r>
      <w:r w:rsidR="0069766C" w:rsidRPr="0069766C">
        <w:rPr>
          <w:noProof/>
        </w:rPr>
        <w:t>(1)</w:t>
      </w:r>
      <w:r w:rsidR="0069766C">
        <w:fldChar w:fldCharType="end"/>
      </w:r>
      <w:r w:rsidR="0069766C">
        <w:t>.</w:t>
      </w:r>
      <w:r>
        <w:t xml:space="preserve"> </w:t>
      </w:r>
      <w:r w:rsidR="00B72898">
        <w:t>In the United Kingdom (UK) National Health Service, waiting times are longest for mus</w:t>
      </w:r>
      <w:r w:rsidR="00ED276A">
        <w:t>culoskeletal conditions and out</w:t>
      </w:r>
      <w:r w:rsidR="00754732">
        <w:t xml:space="preserve">patient appointments. </w:t>
      </w:r>
      <w:r w:rsidR="00B72898">
        <w:t>Previous literature has suggested that 92% of those referred into a spinal secondary care unit may not require surgical review or consultation</w:t>
      </w:r>
      <w:r w:rsidR="0069766C">
        <w:t xml:space="preserve"> </w:t>
      </w:r>
      <w:r w:rsidR="0069766C">
        <w:fldChar w:fldCharType="begin" w:fldLock="1"/>
      </w:r>
      <w:r w:rsidR="0069766C">
        <w:instrText>ADDIN CSL_CITATION {"citationItems":[{"id":"ITEM-1","itemData":{"DOI":"10.1308/rcsann.2016.0054","ISSN":"00358843","abstract":"INTRODUCTION Spinal orthopaedic triage aims to reduce unnecessary referrals to surgical consultants, thereby reducing waiting times to be seen by a surgeon and to surgical intervention. This paper presents an evaluation of a spinal orthopaedic triage service in the third largest spinal unit in the UK. METHODS A retrospective service evaluation spanning 2012 to 2014 was undertaken by members of the extended scope practitioner (ESP) team to evaluate the ESPs' ability to manage patient care independently and triage surgical referrals appropriately. Data collected included rates of independent management, referral rates for surgical consideration and conversion to surgery. Patient satisfaction rates were evaluated retrospectively from questionnaires given to 5% of discharged patients. RESULTS A total of 2,651 patients were seen. The vast majority (92%) of all referrals seen by ESPs were managed independently. Only 8% required either a discussion with a surgeon to confirm management or for surgical review. Of the latter, 81% were considered to be suitable surgical referrals. A 99% satisfaction rate was reported by discharged patients. CONCLUSIONS ESP services in a specialist spinal service are effective in managing spinal conditions conservatively and identifying surgical candidates appropriately. Further research is needed to confirm ESPs' diagnostic accuracy, patient outcomes and cost effectiveness.","author":[{"dropping-particle":"","family":"Wood","given":"L.","non-dropping-particle":"","parse-names":false,"suffix":""},{"dropping-particle":"","family":"Hendrick","given":"P.","non-dropping-particle":"","parse-names":false,"suffix":""},{"dropping-particle":"","family":"Boszczyk","given":"B.","non-dropping-particle":"","parse-names":false,"suffix":""},{"dropping-particle":"","family":"Dunstan","given":"E.","non-dropping-particle":"","parse-names":false,"suffix":""}],"container-title":"Annals of the Royal College of Surgeons of England","id":"ITEM-1","issue":"3","issued":{"date-parts":[["2016"]]},"title":"A review of the surgical conversion rate and independent management of spinal extended scope practitioners in a secondary care setting","type":"article-journal","volume":"98"},"uris":["http://www.mendeley.com/documents/?uuid=7d215994-ba37-3409-a660-3ab0cfb2ac3d"]}],"mendeley":{"formattedCitation":"(2)","plainTextFormattedCitation":"(2)","previouslyFormattedCitation":"(2)"},"properties":{"noteIndex":0},"schema":"https://github.com/citation-style-language/schema/raw/master/csl-citation.json"}</w:instrText>
      </w:r>
      <w:r w:rsidR="0069766C">
        <w:fldChar w:fldCharType="separate"/>
      </w:r>
      <w:r w:rsidR="0069766C" w:rsidRPr="0069766C">
        <w:rPr>
          <w:noProof/>
        </w:rPr>
        <w:t>(2)</w:t>
      </w:r>
      <w:r w:rsidR="0069766C">
        <w:fldChar w:fldCharType="end"/>
      </w:r>
      <w:r w:rsidR="00B72898">
        <w:t xml:space="preserve">. These non-surgical </w:t>
      </w:r>
      <w:r w:rsidR="00EC5ADD">
        <w:t>patient</w:t>
      </w:r>
      <w:r w:rsidR="00B72898">
        <w:t xml:space="preserve">s create increased barriers to care for those requiring surgical intervention, as the time to diagnosis and treatment for all </w:t>
      </w:r>
      <w:r w:rsidR="00EC5ADD">
        <w:t>patient</w:t>
      </w:r>
      <w:r w:rsidR="00B72898">
        <w:t xml:space="preserve">s is increased.  </w:t>
      </w:r>
      <w:r w:rsidR="00A8685A">
        <w:t>APP</w:t>
      </w:r>
      <w:r w:rsidR="00383C5C">
        <w:t xml:space="preserve">s </w:t>
      </w:r>
      <w:r w:rsidR="00B94907">
        <w:t>have demonstrated</w:t>
      </w:r>
      <w:r w:rsidR="00B72898">
        <w:t xml:space="preserve"> benefit </w:t>
      </w:r>
      <w:r w:rsidR="00B94907">
        <w:t xml:space="preserve">and increased use </w:t>
      </w:r>
      <w:r w:rsidR="00B72898">
        <w:t xml:space="preserve">across </w:t>
      </w:r>
      <w:r w:rsidR="00383C5C">
        <w:t>orthopaedic and spinal services. However,</w:t>
      </w:r>
      <w:r w:rsidR="00B72898">
        <w:t xml:space="preserve"> few services in the UK have evaluated or audited their spinal </w:t>
      </w:r>
      <w:r w:rsidR="00A8685A">
        <w:t>APP</w:t>
      </w:r>
      <w:r w:rsidR="00B72898">
        <w:t xml:space="preserve"> services </w:t>
      </w:r>
      <w:r w:rsidR="0069766C">
        <w:fldChar w:fldCharType="begin" w:fldLock="1"/>
      </w:r>
      <w:r w:rsidR="00CC7D30">
        <w:instrText>ADDIN CSL_CITATION {"citationItems":[{"id":"ITEM-1","itemData":{"DOI":"10.1308/rcsann.2016.0054","ISSN":"00358843","abstract":"INTRODUCTION Spinal orthopaedic triage aims to reduce unnecessary referrals to surgical consultants, thereby reducing waiting times to be seen by a surgeon and to surgical intervention. This paper presents an evaluation of a spinal orthopaedic triage service in the third largest spinal unit in the UK. METHODS A retrospective service evaluation spanning 2012 to 2014 was undertaken by members of the extended scope practitioner (ESP) team to evaluate the ESPs' ability to manage patient care independently and triage surgical referrals appropriately. Data collected included rates of independent management, referral rates for surgical consideration and conversion to surgery. Patient satisfaction rates were evaluated retrospectively from questionnaires given to 5% of discharged patients. RESULTS A total of 2,651 patients were seen. The vast majority (92%) of all referrals seen by ESPs were managed independently. Only 8% required either a discussion with a surgeon to confirm management or for surgical review. Of the latter, 81% were considered to be suitable surgical referrals. A 99% satisfaction rate was reported by discharged patients. CONCLUSIONS ESP services in a specialist spinal service are effective in managing spinal conditions conservatively and identifying surgical candidates appropriately. Further research is needed to confirm ESPs' diagnostic accuracy, patient outcomes and cost effectiveness.","author":[{"dropping-particle":"","family":"Wood","given":"L.","non-dropping-particle":"","parse-names":false,"suffix":""},{"dropping-particle":"","family":"Hendrick","given":"P.","non-dropping-particle":"","parse-names":false,"suffix":""},{"dropping-particle":"","family":"Boszczyk","given":"B.","non-dropping-particle":"","parse-names":false,"suffix":""},{"dropping-particle":"","family":"Dunstan","given":"E.","non-dropping-particle":"","parse-names":false,"suffix":""}],"container-title":"Annals of the Royal College of Surgeons of England","id":"ITEM-1","issue":"3","issued":{"date-parts":[["2016"]]},"title":"A review of the surgical conversion rate and independent management of spinal extended scope practitioners in a secondary care setting","type":"article-journal","volume":"98"},"uris":["http://www.mendeley.com/documents/?uuid=7d215994-ba37-3409-a660-3ab0cfb2ac3d"]},{"id":"ITEM-2","itemData":{"DOI":"10.3399/bjgp13X663109","ISSN":"09601643","PMID":"23561693","abstract":"Background: Management of musculoskeletal conditions in the UK is increasingly delivered in multidisciplinary clinical assessment and treatment services (CATS) at the primary-secondary care interface. However, there is little evidence concerning the characteristics and management of patients attending CATS. Aim: To describe the characteristics, investigation, and treatment of adults attending a musculoskeletal CATS. Design and setting: Cross-sectional analysis of cohort study baseline data from a musculoskeletal CATS in Stoke-on-Trent Primary Care Trust, UK. Method: All patients referred from primary care between February 2008 and June 2009 were mailed a pre-consultation questionnaire concerning pain duration, general health status, anxiety, depression, employment status, and work absence due to musculoskeletal problems. At the consultation, clinical diagnoses, body region(s) affected, investigations, and treatment were recorded. Results: A total of 2166 (73%) completed questionnaires were received. Chronic pain duration &gt;1 year (55%), major physical limitation (76%), anxiety (49%), and depression (37%) were common. Of those currently employed, 516 (45%) had taken time off work in the last 6 months because of their musculoskeletal problem;325 (29%) were unable to do their usual job. The most frequent investigations were X-rays (23%), magnetic resonance imaging (18%), and blood tests (14%):1012 (48%) received no investigations. Injections were performed in 282 (13%) and 492 (23%) were referred to physiotherapy. Conclusion: Although most patients presented with musculoskeletal problems suitable for CATS, chronic pain, physical limitation, anxiety, depression, and work disability were commonplace, highlighting the need for a biopsychosocial model of care that addresses psychological, social, and work-related needs, as well as pain and physical disability. © British Journal of General Practice.","author":[{"dropping-particle":"","family":"Roddy","given":"Edward","non-dropping-particle":"","parse-names":false,"suffix":""},{"dropping-particle":"","family":"Zwierska","given":"Irena","non-dropping-particle":"","parse-names":false,"suffix":""},{"dropping-particle":"","family":"Jordan","given":"Kelvin P.","non-dropping-particle":"","parse-names":false,"suffix":""},{"dropping-particle":"","family":"Dawes","given":"Peter","non-dropping-particle":"","parse-names":false,"suffix":""},{"dropping-particle":"","family":"Hider","given":"Samantha L.","non-dropping-particle":"","parse-names":false,"suffix":""},{"dropping-particle":"","family":"Packham","given":"Jon","non-dropping-particle":"","parse-names":false,"suffix":""},{"dropping-particle":"","family":"Stevenson","given":"Kay","non-dropping-particle":"","parse-names":false,"suffix":""},{"dropping-particle":"","family":"Hay","given":"Elaine M.","non-dropping-particle":"","parse-names":false,"suffix":""}],"container-title":"British Journal of General Practice","id":"ITEM-2","issue":"607","issued":{"date-parts":[["2013"]]},"page":"141-148","title":"Musculoskeletal clinical assessment and treatment services at the primary-secondary care interface: An observational study","type":"article-journal","volume":"63"},"uris":["http://www.mendeley.com/documents/?uuid=0fbd87d6-75aa-4201-b9ab-3974334e875d"]},{"id":"ITEM-3","itemData":{"DOI":"10.1186/s12891-018-2106-7","ISSN":"14712474","PMID":"29859072","abstract":"Background: Many people with musculoskeletal (MSK) disorders wait several months or years for Consultant Doctor appointments, despite often not requiring medical or surgical interventions. To allow earlier patient access to orthopaedic and rheumatology services in Ireland, Advanced Practice Physiotherapists (APPs) were introduced at 16 major acute hospitals. This study performed the first national evaluation of APP triage services. Method: Throughout 2014, APPs (n = 22) entered clinical data on a national database. Analysis of these data using descriptive statistics determined patient wait times, Consultant Doctor involvement in clinical decisions, and patient clinical outcomes. Chi square tests were used to compare patient clinical outcomes across orthopaedic and rheumatology clinics. A pilot study at one site identified re-referral rates to orthopaedic/rheumatology services of patients managed by the APPs. Results: In one year, 13,981 new patients accessed specialist orthopaedic and rheumatology consultations via the APP. Median wait time for an appointment was 5.6 months. Patients most commonly presented with knee (23%), lower back (22%) and shoulder (15%) disorders. APPs made autonomous clinical decisions regarding patient management at 77% of appointments, and managed patient care pathways without onward referral to Consultant Doctors in more than 80% of cases. Other onward clinical pathways recommended by APPs were: physiotherapy referrals (42%); clinical investigations (29%); injections administered (4%); and surgical listing (2%). Of those managed by the APP, the pilot study identified that only 6.5% of patients were re-referred within one year. Conclusion: This national evaluation of APP services demonstrated that the majority of patients assessed by an APP did not require onward referral for a Consultant Doctor appointment. Therefore, patients gained earlier access to orthopaedic and rheumatology consultations in secondary care, with most patients conservatively managed.","author":[{"dropping-particle":"","family":"Fennelly","given":"Orna","non-dropping-particle":"","parse-names":false,"suffix":""},{"dropping-particle":"","family":"Blake","given":"Catherine","non-dropping-particle":"","parse-names":false,"suffix":""},{"dropping-particle":"","family":"Fitzgerald","given":"Oliver","non-dropping-particle":"","parse-names":false,"suffix":""},{"dropping-particle":"","family":"Breen","given":"Roisin","non-dropping-particle":"","parse-names":false,"suffix":""},{"dropping-particle":"","family":"Ashton","given":"Jennifer","non-dropping-particle":"","parse-names":false,"suffix":""},{"dropping-particle":"","family":"Brennan","given":"Aisling","non-dropping-particle":"","parse-names":false,"suffix":""},{"dropping-particle":"","family":"Caffrey","given":"Aoife","non-dropping-particle":"","parse-names":false,"suffix":""},{"dropping-particle":"","family":"Desmeules","given":"François","non-dropping-particle":"","parse-names":false,"suffix":""},{"dropping-particle":"","family":"Cunningham","given":"Caitriona","non-dropping-particle":"","parse-names":false,"suffix":""}],"container-title":"BMC Musculoskeletal Disorders","id":"ITEM-3","issue":"1","issued":{"date-parts":[["2018"]]},"page":"1-8","publisher":"BMC Musculoskeletal Disorders","title":"Advanced practice physiotherapy-led triage in Irish orthopaedic and rheumatology services: National data audit","type":"article-journal","volume":"19"},"uris":["http://www.mendeley.com/documents/?uuid=78090fea-303d-4857-8c45-1a49eabd67fe"]}],"mendeley":{"formattedCitation":"(2–4)","manualFormatting":"in recent years","plainTextFormattedCitation":"(2–4)","previouslyFormattedCitation":"(2–4)"},"properties":{"noteIndex":0},"schema":"https://github.com/citation-style-language/schema/raw/master/csl-citation.json"}</w:instrText>
      </w:r>
      <w:r w:rsidR="0069766C">
        <w:fldChar w:fldCharType="separate"/>
      </w:r>
      <w:r w:rsidR="00635052">
        <w:rPr>
          <w:noProof/>
        </w:rPr>
        <w:t>in recent years</w:t>
      </w:r>
      <w:r w:rsidR="0069766C">
        <w:fldChar w:fldCharType="end"/>
      </w:r>
      <w:r w:rsidR="00635052">
        <w:fldChar w:fldCharType="begin" w:fldLock="1"/>
      </w:r>
      <w:r w:rsidR="00635052">
        <w:instrText>ADDIN CSL_CITATION {"citationItems":[{"id":"ITEM-1","itemData":{"DOI":"10.1308/rcsann.2016.0054","ISSN":"00358843","abstract":"INTRODUCTION Spinal orthopaedic triage aims to reduce unnecessary referrals to surgical consultants, thereby reducing waiting times to be seen by a surgeon and to surgical intervention. This paper presents an evaluation of a spinal orthopaedic triage service in the third largest spinal unit in the UK. METHODS A retrospective service evaluation spanning 2012 to 2014 was undertaken by members of the extended scope practitioner (ESP) team to evaluate the ESPs' ability to manage patient care independently and triage surgical referrals appropriately. Data collected included rates of independent management, referral rates for surgical consideration and conversion to surgery. Patient satisfaction rates were evaluated retrospectively from questionnaires given to 5% of discharged patients. RESULTS A total of 2,651 patients were seen. The vast majority (92%) of all referrals seen by ESPs were managed independently. Only 8% required either a discussion with a surgeon to confirm management or for surgical review. Of the latter, 81% were considered to be suitable surgical referrals. A 99% satisfaction rate was reported by discharged patients. CONCLUSIONS ESP services in a specialist spinal service are effective in managing spinal conditions conservatively and identifying surgical candidates appropriately. Further research is needed to confirm ESPs' diagnostic accuracy, patient outcomes and cost effectiveness.","author":[{"dropping-particle":"","family":"Wood","given":"L.","non-dropping-particle":"","parse-names":false,"suffix":""},{"dropping-particle":"","family":"Hendrick","given":"P.","non-dropping-particle":"","parse-names":false,"suffix":""},{"dropping-particle":"","family":"Boszczyk","given":"B.","non-dropping-particle":"","parse-names":false,"suffix":""},{"dropping-particle":"","family":"Dunstan","given":"E.","non-dropping-particle":"","parse-names":false,"suffix":""}],"container-title":"Annals of the Royal College of Surgeons of England","id":"ITEM-1","issue":"3","issued":{"date-parts":[["2016"]]},"title":"A review of the surgical conversion rate and independent management of spinal extended scope practitioners in a secondary care setting","type":"article-journal","volume":"98"},"uris":["http://www.mendeley.com/documents/?uuid=7d215994-ba37-3409-a660-3ab0cfb2ac3d"]},{"id":"ITEM-2","itemData":{"DOI":"10.3399/bjgp13X663109","ISSN":"09601643","PMID":"23561693","abstract":"Background: Management of musculoskeletal conditions in the UK is increasingly delivered in multidisciplinary clinical assessment and treatment services (CATS) at the primary-secondary care interface. However, there is little evidence concerning the characteristics and management of patients attending CATS. Aim: To describe the characteristics, investigation, and treatment of adults attending a musculoskeletal CATS. Design and setting: Cross-sectional analysis of cohort study baseline data from a musculoskeletal CATS in Stoke-on-Trent Primary Care Trust, UK. Method: All patients referred from primary care between February 2008 and June 2009 were mailed a pre-consultation questionnaire concerning pain duration, general health status, anxiety, depression, employment status, and work absence due to musculoskeletal problems. At the consultation, clinical diagnoses, body region(s) affected, investigations, and treatment were recorded. Results: A total of 2166 (73%) completed questionnaires were received. Chronic pain duration &gt;1 year (55%), major physical limitation (76%), anxiety (49%), and depression (37%) were common. Of those currently employed, 516 (45%) had taken time off work in the last 6 months because of their musculoskeletal problem;325 (29%) were unable to do their usual job. The most frequent investigations were X-rays (23%), magnetic resonance imaging (18%), and blood tests (14%):1012 (48%) received no investigations. Injections were performed in 282 (13%) and 492 (23%) were referred to physiotherapy. Conclusion: Although most patients presented with musculoskeletal problems suitable for CATS, chronic pain, physical limitation, anxiety, depression, and work disability were commonplace, highlighting the need for a biopsychosocial model of care that addresses psychological, social, and work-related needs, as well as pain and physical disability. © British Journal of General Practice.","author":[{"dropping-particle":"","family":"Roddy","given":"Edward","non-dropping-particle":"","parse-names":false,"suffix":""},{"dropping-particle":"","family":"Zwierska","given":"Irena","non-dropping-particle":"","parse-names":false,"suffix":""},{"dropping-particle":"","family":"Jordan","given":"Kelvin P.","non-dropping-particle":"","parse-names":false,"suffix":""},{"dropping-particle":"","family":"Dawes","given":"Peter","non-dropping-particle":"","parse-names":false,"suffix":""},{"dropping-particle":"","family":"Hider","given":"Samantha L.","non-dropping-particle":"","parse-names":false,"suffix":""},{"dropping-particle":"","family":"Packham","given":"Jon","non-dropping-particle":"","parse-names":false,"suffix":""},{"dropping-particle":"","family":"Stevenson","given":"Kay","non-dropping-particle":"","parse-names":false,"suffix":""},{"dropping-particle":"","family":"Hay","given":"Elaine M.","non-dropping-particle":"","parse-names":false,"suffix":""}],"container-title":"British Journal of General Practice","id":"ITEM-2","issue":"607","issued":{"date-parts":[["2013"]]},"page":"141-148","title":"Musculoskeletal clinical assessment and treatment services at the primary-secondary care interface: An observational study","type":"article-journal","volume":"63"},"uris":["http://www.mendeley.com/documents/?uuid=0fbd87d6-75aa-4201-b9ab-3974334e875d"]},{"id":"ITEM-3","itemData":{"DOI":"10.1186/s12891-018-2106-7","ISSN":"14712474","PMID":"29859072","abstract":"Background: Many people with musculoskeletal (MSK) disorders wait several months or years for Consultant Doctor appointments, despite often not requiring medical or surgical interventions. To allow earlier patient access to orthopaedic and rheumatology services in Ireland, Advanced Practice Physiotherapists (APPs) were introduced at 16 major acute hospitals. This study performed the first national evaluation of APP triage services. Method: Throughout 2014, APPs (n = 22) entered clinical data on a national database. Analysis of these data using descriptive statistics determined patient wait times, Consultant Doctor involvement in clinical decisions, and patient clinical outcomes. Chi square tests were used to compare patient clinical outcomes across orthopaedic and rheumatology clinics. A pilot study at one site identified re-referral rates to orthopaedic/rheumatology services of patients managed by the APPs. Results: In one year, 13,981 new patients accessed specialist orthopaedic and rheumatology consultations via the APP. Median wait time for an appointment was 5.6 months. Patients most commonly presented with knee (23%), lower back (22%) and shoulder (15%) disorders. APPs made autonomous clinical decisions regarding patient management at 77% of appointments, and managed patient care pathways without onward referral to Consultant Doctors in more than 80% of cases. Other onward clinical pathways recommended by APPs were: physiotherapy referrals (42%); clinical investigations (29%); injections administered (4%); and surgical listing (2%). Of those managed by the APP, the pilot study identified that only 6.5% of patients were re-referred within one year. Conclusion: This national evaluation of APP services demonstrated that the majority of patients assessed by an APP did not require onward referral for a Consultant Doctor appointment. Therefore, patients gained earlier access to orthopaedic and rheumatology consultations in secondary care, with most patients conservatively managed.","author":[{"dropping-particle":"","family":"Fennelly","given":"Orna","non-dropping-particle":"","parse-names":false,"suffix":""},{"dropping-particle":"","family":"Blake","given":"Catherine","non-dropping-particle":"","parse-names":false,"suffix":""},{"dropping-particle":"","family":"Fitzgerald","given":"Oliver","non-dropping-particle":"","parse-names":false,"suffix":""},{"dropping-particle":"","family":"Breen","given":"Roisin","non-dropping-particle":"","parse-names":false,"suffix":""},{"dropping-particle":"","family":"Ashton","given":"Jennifer","non-dropping-particle":"","parse-names":false,"suffix":""},{"dropping-particle":"","family":"Brennan","given":"Aisling","non-dropping-particle":"","parse-names":false,"suffix":""},{"dropping-particle":"","family":"Caffrey","given":"Aoife","non-dropping-particle":"","parse-names":false,"suffix":""},{"dropping-particle":"","family":"Desmeules","given":"François","non-dropping-particle":"","parse-names":false,"suffix":""},{"dropping-particle":"","family":"Cunningham","given":"Caitriona","non-dropping-particle":"","parse-names":false,"suffix":""}],"container-title":"BMC Musculoskeletal Disorders","id":"ITEM-3","issue":"1","issued":{"date-parts":[["2018"]]},"page":"1-8","publisher":"BMC Musculoskeletal Disorders","title":"Advanced practice physiotherapy-led triage in Irish orthopaedic and rheumatology services: National data audit","type":"article-journal","volume":"19"},"uris":["http://www.mendeley.com/documents/?uuid=78090fea-303d-4857-8c45-1a49eabd67fe"]},{"id":"ITEM-4","itemData":{"author":[{"dropping-particle":"","family":"Flynn","given":"A","non-dropping-particle":"","parse-names":false,"suffix":""}],"container-title":"Orthoapaedic Proceedings","id":"ITEM-4","issue":"Supp_2","issued":{"date-parts":[["2018"]]},"title":"An audit of physiotherapy-led inpatient spinal triage in a private hospital","type":"article-journal","volume":"97-B"},"uris":["http://www.mendeley.com/documents/?uuid=b3c0a303-8a3d-44a1-8801-7531625929dc"]},{"id":"ITEM-5","itemData":{"DOI":"10.1108/IJHG-08-2015-0026","ISSN":"20594631","abstract":"Purpose - Clinical specialist physiotherapy (CSP)-led musculoskeletal triage clinics have been established in the UK as a means of managing patients referred for outpatient orthopaedic consultation. The purpose of this paper is to determine if a CSP could allocate patients into distinct diagnostic triage categories in line with national and international guidelines. A second aim was to describe the CSPs clinical decision making. Design/methodology/approach - A review of 100 spinal patients, consecutively referred between February and April 2013 to a CSP spinal triage clinic was undertaken. Patient demographics (age, gender, employment status), clinical diagnosis and diagnostic triage categories selected for each patient were recorded. Subsequently, if clinical triage led to further investigation or a consultant opinion then the onward management pathway was followed to calculate conversion to consultant surgical intervention. Findings - In total, 69 per cent of patients were independently managed by the CSP and discharged back to the General Practitioner or on to therapy. In total, 30 per cent of patients (n=30) were referred for consultant opinion, of these 12 underwent intervention. This represents a conversion rate to consultant intervention of 40 per cent. Originality/value - Findings suggest that a significant number of spinal patients referred for an orthopaedic consultation may be managed independently by a CSP. Referral for consultant review was deemed appropriate in terms of conversion to intervention, advice on further imaging, referral to other medical disciplines and patient counselling. This study suggests that CSPs can manage a significant number of patients with spinal conditions whilst providing high-quality referrals to surgical colleagues. This audit provides a novel insight into practitioner behaviour that supports the development of advanced practice for non-medical clinicians.","author":[{"dropping-particle":"","family":"Kerridge-Weeks","given":"Martin","non-dropping-particle":"","parse-names":false,"suffix":""},{"dropping-particle":"","family":"Langridge","given":"Neil John","non-dropping-particle":"","parse-names":false,"suffix":""}],"container-title":"International Journal of Health Governance","id":"ITEM-5","issue":"1","issued":{"date-parts":[["2016"]]},"page":"5-17","title":"Orthopaedic spinal triage: An evaluation of decision making and outcome in a physiotherapy led service","type":"article-journal","volume":"21"},"uris":["http://www.mendeley.com/documents/?uuid=61e7f3a7-6109-4bab-9515-04fa7f4af181"]}],"mendeley":{"formattedCitation":"(2–6)","plainTextFormattedCitation":"(2–6)","previouslyFormattedCitation":"(2–6)"},"properties":{"noteIndex":0},"schema":"https://github.com/citation-style-language/schema/raw/master/csl-citation.json"}</w:instrText>
      </w:r>
      <w:r w:rsidR="00635052">
        <w:fldChar w:fldCharType="separate"/>
      </w:r>
      <w:r w:rsidR="00635052" w:rsidRPr="00635052">
        <w:rPr>
          <w:noProof/>
        </w:rPr>
        <w:t>(2–6)</w:t>
      </w:r>
      <w:r w:rsidR="00635052">
        <w:fldChar w:fldCharType="end"/>
      </w:r>
      <w:r w:rsidR="00B72898">
        <w:t xml:space="preserve">. </w:t>
      </w:r>
    </w:p>
    <w:p w:rsidR="00F323B4" w:rsidRDefault="00A8685A" w:rsidP="00B25B82">
      <w:pPr>
        <w:spacing w:line="480" w:lineRule="auto"/>
      </w:pPr>
      <w:r>
        <w:t>APP</w:t>
      </w:r>
      <w:r w:rsidR="00383C5C">
        <w:t xml:space="preserve"> roles are “advanced practice” roles or “extended scope” as they extend beyond the remit of traditionally defined </w:t>
      </w:r>
      <w:r w:rsidR="00B94907">
        <w:t xml:space="preserve">non-medical </w:t>
      </w:r>
      <w:r w:rsidR="00383C5C">
        <w:t>roles, and perform tasks traditionally associated wi</w:t>
      </w:r>
      <w:r w:rsidR="00635052">
        <w:t xml:space="preserve">th other medical professionals </w:t>
      </w:r>
      <w:r w:rsidR="00635052">
        <w:fldChar w:fldCharType="begin" w:fldLock="1"/>
      </w:r>
      <w:r w:rsidR="00635052">
        <w:instrText>ADDIN CSL_CITATION {"citationItems":[{"id":"ITEM-1","itemData":{"author":[{"dropping-particle":"","family":"Syme","given":"Grant","non-dropping-particle":"","parse-names":false,"suffix":""},{"dropping-particle":"","family":"Rutter","given":"Marion","non-dropping-particle":"","parse-names":false,"suffix":""},{"dropping-particle":"","family":"Suckley","given":"Janet","non-dropping-particle":"","parse-names":false,"suffix":""},{"dropping-particle":"","family":"Payne","given":"C","non-dropping-particle":"","parse-names":false,"suffix":""},{"dropping-particle":"","family":"Russell","given":"V.","non-dropping-particle":"","parse-names":false,"suffix":""}],"container-title":"ESP A Professional Network of the Chartered Soceity of Physiotherapy","id":"ITEM-1","issued":{"date-parts":[["2013"]]},"number-of-pages":"1-243","title":"Resource Manual and Competencies for Extended Musculoskeletal Physiotherapy Roles in the United Kingdom","type":"report","volume":"2.1"},"uris":["http://www.mendeley.com/documents/?uuid=944f0dae-6798-4ee8-94c1-821240c8dbaa"]}],"mendeley":{"formattedCitation":"(7)","plainTextFormattedCitation":"(7)","previouslyFormattedCitation":"(7)"},"properties":{"noteIndex":0},"schema":"https://github.com/citation-style-language/schema/raw/master/csl-citation.json"}</w:instrText>
      </w:r>
      <w:r w:rsidR="00635052">
        <w:fldChar w:fldCharType="separate"/>
      </w:r>
      <w:r w:rsidR="00635052" w:rsidRPr="00635052">
        <w:rPr>
          <w:noProof/>
        </w:rPr>
        <w:t>(7)</w:t>
      </w:r>
      <w:r w:rsidR="00635052">
        <w:fldChar w:fldCharType="end"/>
      </w:r>
      <w:r w:rsidR="00383C5C">
        <w:t xml:space="preserve">. </w:t>
      </w:r>
      <w:r>
        <w:t>APP</w:t>
      </w:r>
      <w:r w:rsidR="00383C5C">
        <w:t>s frequently have post-graduate qualifications or a high level of experience and training within the</w:t>
      </w:r>
      <w:r w:rsidR="00B94907">
        <w:t>ir</w:t>
      </w:r>
      <w:r w:rsidR="00383C5C">
        <w:t xml:space="preserve"> role</w:t>
      </w:r>
      <w:r w:rsidR="00B94907">
        <w:t>,</w:t>
      </w:r>
      <w:r w:rsidR="00383C5C">
        <w:t xml:space="preserve"> and </w:t>
      </w:r>
      <w:r w:rsidR="00B94907">
        <w:t xml:space="preserve">work to </w:t>
      </w:r>
      <w:r w:rsidR="00B94907" w:rsidRPr="00CB503D">
        <w:t>the</w:t>
      </w:r>
      <w:r w:rsidR="00383C5C" w:rsidRPr="00CB503D">
        <w:t xml:space="preserve"> four pillars</w:t>
      </w:r>
      <w:r w:rsidR="00AC3BF2" w:rsidRPr="00CB503D">
        <w:t xml:space="preserve"> (clinical, education, research and </w:t>
      </w:r>
      <w:r w:rsidR="00F779D7" w:rsidRPr="00CB503D">
        <w:t>leadership</w:t>
      </w:r>
      <w:r w:rsidR="00AC3BF2" w:rsidRPr="00CB503D">
        <w:t>)</w:t>
      </w:r>
      <w:r w:rsidR="00383C5C" w:rsidRPr="00CB503D">
        <w:t xml:space="preserve"> of advanced practice in the UK</w:t>
      </w:r>
      <w:r w:rsidR="005006C0" w:rsidRPr="00CB503D">
        <w:t xml:space="preserve"> </w:t>
      </w:r>
      <w:r w:rsidR="00635052" w:rsidRPr="00CB503D">
        <w:fldChar w:fldCharType="begin" w:fldLock="1"/>
      </w:r>
      <w:r w:rsidR="00635052" w:rsidRPr="00CB503D">
        <w:instrText>ADDIN CSL_CITATION {"citationItems":[{"id":"ITEM-1","itemData":{"author":[{"dropping-particle":"","family":"Health Education England NHS England and Skills for Health","given":"","non-dropping-particle":"","parse-names":false,"suffix":""}],"id":"ITEM-1","issued":{"date-parts":[["2018"]]},"title":"Musculoskeletal core capabilities framework for first point of contact practitioners","type":"report"},"uris":["http://www.mendeley.com/documents/?uuid=99b1ff3e-7f1a-4b72-a3c6-097b4c01662a"]}],"mendeley":{"formattedCitation":"(8)","plainTextFormattedCitation":"(8)","previouslyFormattedCitation":"(8)"},"properties":{"noteIndex":0},"schema":"https://github.com/citation-style-language/schema/raw/master/csl-citation.json"}</w:instrText>
      </w:r>
      <w:r w:rsidR="00635052" w:rsidRPr="00CB503D">
        <w:fldChar w:fldCharType="separate"/>
      </w:r>
      <w:r w:rsidR="00635052" w:rsidRPr="00CB503D">
        <w:rPr>
          <w:noProof/>
        </w:rPr>
        <w:t>(8)</w:t>
      </w:r>
      <w:r w:rsidR="00635052" w:rsidRPr="00CB503D">
        <w:fldChar w:fldCharType="end"/>
      </w:r>
      <w:r w:rsidR="00383C5C" w:rsidRPr="00CB503D">
        <w:t>.</w:t>
      </w:r>
      <w:r w:rsidR="00383C5C">
        <w:t xml:space="preserve"> </w:t>
      </w:r>
      <w:r>
        <w:t>APP</w:t>
      </w:r>
      <w:r w:rsidR="00B94907">
        <w:t>s can</w:t>
      </w:r>
      <w:r w:rsidR="00C232C9">
        <w:t xml:space="preserve"> assess patients, arrange diagnostic testing, independently decid</w:t>
      </w:r>
      <w:r w:rsidR="00B94907">
        <w:t>e on management recommendations,</w:t>
      </w:r>
      <w:r w:rsidR="00383C5C">
        <w:t xml:space="preserve"> </w:t>
      </w:r>
      <w:r w:rsidR="00C232C9">
        <w:t>and have been described as “key to the success of spinal pathways” in the UK</w:t>
      </w:r>
      <w:r w:rsidR="00635052">
        <w:t xml:space="preserve"> </w:t>
      </w:r>
      <w:r w:rsidR="00635052">
        <w:fldChar w:fldCharType="begin" w:fldLock="1"/>
      </w:r>
      <w:r w:rsidR="00635052">
        <w:instrText>ADDIN CSL_CITATION {"citationItems":[{"id":"ITEM-1","itemData":{"author":[{"dropping-particle":"","family":"Hutton","given":"Mike","non-dropping-particle":"","parse-names":false,"suffix":""}],"id":"ITEM-1","issue":"January","issued":{"date-parts":[["2019"]]},"title":"Spinal Services","type":"article-journal"},"uris":["http://www.mendeley.com/documents/?uuid=15088c60-f05e-40ec-9783-ccbca4f14a99"]}],"mendeley":{"formattedCitation":"(1)","plainTextFormattedCitation":"(1)","previouslyFormattedCitation":"(1)"},"properties":{"noteIndex":0},"schema":"https://github.com/citation-style-language/schema/raw/master/csl-citation.json"}</w:instrText>
      </w:r>
      <w:r w:rsidR="00635052">
        <w:fldChar w:fldCharType="separate"/>
      </w:r>
      <w:r w:rsidR="00635052" w:rsidRPr="00635052">
        <w:rPr>
          <w:noProof/>
        </w:rPr>
        <w:t>(1)</w:t>
      </w:r>
      <w:r w:rsidR="00635052">
        <w:fldChar w:fldCharType="end"/>
      </w:r>
      <w:r w:rsidR="00C232C9">
        <w:t xml:space="preserve">. </w:t>
      </w:r>
      <w:r>
        <w:t>APP</w:t>
      </w:r>
      <w:r w:rsidR="00383C5C">
        <w:t xml:space="preserve"> roles were described in the UK a</w:t>
      </w:r>
      <w:r w:rsidR="00635052">
        <w:t xml:space="preserve">s early as 1994 </w:t>
      </w:r>
      <w:r w:rsidR="00635052">
        <w:fldChar w:fldCharType="begin" w:fldLock="1"/>
      </w:r>
      <w:r w:rsidR="00AC3BF2">
        <w:instrText>ADDIN CSL_CITATION {"citationItems":[{"id":"ITEM-1","itemData":{"ISSN":"0141-0768","PMID":"8182677","abstract":"To reduce waiting times and costs, a specially trained physiotherapist was employed to review 100 patients with back pain referred by general practitioners (GPs) to a spinal clinic; 78% proved to have a spinal disorder. Only 24% of the original referrals needed to see the surgeon, with 76% being successfully managed by the physiotherapist. Six per cent of referrals were deemed inappropriate and 16% of patients failed to attend. To evaluate the physio-therapist's assessments each case was discussed with the consultant surgeon, and the appropriateness of the management of each patient was similarly investigated. With appropriate training and a good working relationship with the surgeon, a chartered physiotherapist can successfully screen patients in a low back pain clinic, such that the efficiency of the unit is improved by improving the throughput whilst maintaining the same standard of care.","author":[{"dropping-particle":"","family":"Hourigan","given":"PG","non-dropping-particle":"","parse-names":false,"suffix":""},{"dropping-particle":"","family":"Weatherley","given":"CR","non-dropping-particle":"","parse-names":false,"suffix":""}],"container-title":"Journal of the Royal Society of Medicine","id":"ITEM-1","issue":"4","issued":{"date-parts":[["1994","4"]]},"page":"213-4","title":"Initial assessment and follow-up by a physiotherapist of patients with back pain referred to a spinal clinic.","type":"article-journal","volume":"87"},"uris":["http://www.mendeley.com/documents/?uuid=0eb5bdd8-421d-4615-b737-f19f988e8306"]},{"id":"ITEM-2","itemData":{"DOI":"10.1016/S0031-9406(05)66692-8","ISSN":"00319406","author":[{"dropping-particle":"","family":"Hourigan","given":"PG","non-dropping-particle":"","parse-names":false,"suffix":""},{"dropping-particle":"","family":"Weatherley","given":"CR","non-dropping-particle":"","parse-names":false,"suffix":""}],"container-title":"Physiotherapy","id":"ITEM-2","issue":"9","issued":{"date-parts":[["1995","9","9"]]},"language":"English","page":"546-548","publisher":"Elsevier","title":"The Physiotherapist as an Orthopaedic Assistant in a Back Pain Clinic","type":"article-journal","volume":"81"},"uris":["http://www.mendeley.com/documents/?uuid=cc31ee6b-3a08-4c2d-880a-31c3f8d315f7"]}],"mendeley":{"formattedCitation":"(9,10)","plainTextFormattedCitation":"(9,10)","previouslyFormattedCitation":"(9,10)"},"properties":{"noteIndex":0},"schema":"https://github.com/citation-style-language/schema/raw/master/csl-citation.json"}</w:instrText>
      </w:r>
      <w:r w:rsidR="00635052">
        <w:fldChar w:fldCharType="separate"/>
      </w:r>
      <w:r w:rsidR="00635052" w:rsidRPr="00635052">
        <w:rPr>
          <w:noProof/>
        </w:rPr>
        <w:t>(9,10)</w:t>
      </w:r>
      <w:r w:rsidR="00635052">
        <w:fldChar w:fldCharType="end"/>
      </w:r>
      <w:r w:rsidR="00B871CC">
        <w:t>, and have grown in utilisation across both primary and</w:t>
      </w:r>
      <w:r w:rsidR="00383C5C">
        <w:t xml:space="preserve"> secondary care orthopaedic </w:t>
      </w:r>
      <w:r w:rsidR="00C14878">
        <w:t>in the UK</w:t>
      </w:r>
      <w:r w:rsidR="00383C5C">
        <w:t xml:space="preserve">. </w:t>
      </w:r>
      <w:r w:rsidR="00CC7D30">
        <w:t>A recent meta-analysis demonstrated</w:t>
      </w:r>
      <w:r w:rsidR="00C14878">
        <w:t xml:space="preserve"> </w:t>
      </w:r>
      <w:r w:rsidR="00B72898">
        <w:t>reduced</w:t>
      </w:r>
      <w:r w:rsidR="00C14878">
        <w:t xml:space="preserve"> waiting times for patients</w:t>
      </w:r>
      <w:r w:rsidR="00B871CC">
        <w:t xml:space="preserve"> </w:t>
      </w:r>
      <w:r w:rsidR="00635052">
        <w:fldChar w:fldCharType="begin" w:fldLock="1"/>
      </w:r>
      <w:r w:rsidR="00635052">
        <w:instrText>ADDIN CSL_CITATION {"citationItems":[{"id":"ITEM-1","itemData":{"DOI":"10.1186/s12891-020-03673-9","ISSN":"14712474","PMID":"33038935","abstract":"Background: Physiotherapist-led (PT-led) orthopaedic triage is an evolving model of care for patients with musculoskeletal disorders. Objectives for this study were to establish the current evidence body on the impact of PT-led orthopaedic triage on health, quality, and service outcomes for patients referred for orthopaedic consultation, compared with standard (orthopaedic surgeon) care. Methods: Medline, EMBASE, Scopus and CINAHL were searched from inception until 7 May 2018; search updated 24 April 2020. Search terms (including derivatives) included physiotherapy, advanced/extended scope, musculoskeletal/orthopaedic, triage. The search was framed as Population = patients referred for orthopaedic consultation; Intervention = PT-led orthopaedic triage; Comparison = standard care; Outcomes = health, quality and process outcomes. Only randomised controlled trials (RCTs) and prospective comparative cohort studies were eligible for inclusion. Screening, study selection, data extraction, and assessment of methodological quality were performed independently by reviewer pairs. Quality was scored with the Downs and Black checklist. Certainty of evidence was determined using GRADE. PROSPERO registration number CRD42017070950. Results: We included two RCTs and eleven cohort studies (n = 1357 participants) of variable methodological quality (range 14-23 of possible 28). Certainty of evidence was low to moderate. There was no difference between PT-led orthopaedic triage and standard care for patient-reported outcomes (two RCTs). Perceived quality of care with PT-led orthopaedic triage was higher (two RCTs, four cohort studies) or equal (one cohort study) compared with standard care. PT-led orthopaedic triage had higher surgery conversion rates (one RCT, three cohort studies) (55-91% vs 22-38%), lower (two RCTs) or equal rate (two cohort studies) of referral for investigations, shorter waiting times (one RCT, one cohort study), and lower costs (one RCT). Furthermore, there was high agreement between physiotherapists' and orthopaedic surgeons' treatment approach (eight cohort studies), referral for investigation (five cohort studies), and diagnosis (nine cohort studies). Study limitations were the low number of RCTs, and variable methodological quality. Conclusions: Evidence of low to moderate certainty suggests that PT-led orthopaedic triage leads to similar diagnostic decisions as standard care, has a higher conversion-to-surgery rate, reduces waiting times, is cos…","author":[{"dropping-particle":"","family":"Samsson","given":"K. S.","non-dropping-particle":"","parse-names":false,"suffix":""},{"dropping-particle":"","family":"Grimmer","given":"K.","non-dropping-particle":"","parse-names":false,"suffix":""},{"dropping-particle":"","family":"Larsson","given":"M. E.H.","non-dropping-particle":"","parse-names":false,"suffix":""},{"dropping-particle":"","family":"Morris","given":"J.","non-dropping-particle":"","parse-names":false,"suffix":""},{"dropping-particle":"","family":"Bernhardsson","given":"S.","non-dropping-particle":"","parse-names":false,"suffix":""}],"container-title":"BMC Musculoskeletal Disorders","id":"ITEM-1","issue":"1","issued":{"date-parts":[["2020"]]},"page":"1-20","publisher":"BMC Musculoskeletal Disorders","title":"Effects on health and process outcomes of physiotherapist-led orthopaedic triage for patients with musculoskeletal disorders: A systematic review of comparative studies","type":"article-journal","volume":"21"},"uris":["http://www.mendeley.com/documents/?uuid=f4118c23-3de3-4089-b068-529e07753917"]}],"mendeley":{"formattedCitation":"(11)","plainTextFormattedCitation":"(11)","previouslyFormattedCitation":"(11)"},"properties":{"noteIndex":0},"schema":"https://github.com/citation-style-language/schema/raw/master/csl-citation.json"}</w:instrText>
      </w:r>
      <w:r w:rsidR="00635052">
        <w:fldChar w:fldCharType="separate"/>
      </w:r>
      <w:r w:rsidR="00635052" w:rsidRPr="00635052">
        <w:rPr>
          <w:noProof/>
        </w:rPr>
        <w:t>(11)</w:t>
      </w:r>
      <w:r w:rsidR="00635052">
        <w:fldChar w:fldCharType="end"/>
      </w:r>
      <w:r w:rsidR="00C14878">
        <w:t>, more holistic care packages</w:t>
      </w:r>
      <w:r w:rsidR="00635052">
        <w:t xml:space="preserve"> </w:t>
      </w:r>
      <w:r w:rsidR="00635052">
        <w:fldChar w:fldCharType="begin" w:fldLock="1"/>
      </w:r>
      <w:r w:rsidR="00635052">
        <w:instrText>ADDIN CSL_CITATION {"citationItems":[{"id":"ITEM-1","itemData":{"DOI":"10.1186/s12891-020-03673-9","ISSN":"14712474","PMID":"33038935","abstract":"Background: Physiotherapist-led (PT-led) orthopaedic triage is an evolving model of care for patients with musculoskeletal disorders. Objectives for this study were to establish the current evidence body on the impact of PT-led orthopaedic triage on health, quality, and service outcomes for patients referred for orthopaedic consultation, compared with standard (orthopaedic surgeon) care. Methods: Medline, EMBASE, Scopus and CINAHL were searched from inception until 7 May 2018; search updated 24 April 2020. Search terms (including derivatives) included physiotherapy, advanced/extended scope, musculoskeletal/orthopaedic, triage. The search was framed as Population = patients referred for orthopaedic consultation; Intervention = PT-led orthopaedic triage; Comparison = standard care; Outcomes = health, quality and process outcomes. Only randomised controlled trials (RCTs) and prospective comparative cohort studies were eligible for inclusion. Screening, study selection, data extraction, and assessment of methodological quality were performed independently by reviewer pairs. Quality was scored with the Downs and Black checklist. Certainty of evidence was determined using GRADE. PROSPERO registration number CRD42017070950. Results: We included two RCTs and eleven cohort studies (n = 1357 participants) of variable methodological quality (range 14-23 of possible 28). Certainty of evidence was low to moderate. There was no difference between PT-led orthopaedic triage and standard care for patient-reported outcomes (two RCTs). Perceived quality of care with PT-led orthopaedic triage was higher (two RCTs, four cohort studies) or equal (one cohort study) compared with standard care. PT-led orthopaedic triage had higher surgery conversion rates (one RCT, three cohort studies) (55-91% vs 22-38%), lower (two RCTs) or equal rate (two cohort studies) of referral for investigations, shorter waiting times (one RCT, one cohort study), and lower costs (one RCT). Furthermore, there was high agreement between physiotherapists' and orthopaedic surgeons' treatment approach (eight cohort studies), referral for investigation (five cohort studies), and diagnosis (nine cohort studies). Study limitations were the low number of RCTs, and variable methodological quality. Conclusions: Evidence of low to moderate certainty suggests that PT-led orthopaedic triage leads to similar diagnostic decisions as standard care, has a higher conversion-to-surgery rate, reduces waiting times, is cos…","author":[{"dropping-particle":"","family":"Samsson","given":"K. S.","non-dropping-particle":"","parse-names":false,"suffix":""},{"dropping-particle":"","family":"Grimmer","given":"K.","non-dropping-particle":"","parse-names":false,"suffix":""},{"dropping-particle":"","family":"Larsson","given":"M. E.H.","non-dropping-particle":"","parse-names":false,"suffix":""},{"dropping-particle":"","family":"Morris","given":"J.","non-dropping-particle":"","parse-names":false,"suffix":""},{"dropping-particle":"","family":"Bernhardsson","given":"S.","non-dropping-particle":"","parse-names":false,"suffix":""}],"container-title":"BMC Musculoskeletal Disorders","id":"ITEM-1","issue":"1","issued":{"date-parts":[["2020"]]},"page":"1-20","publisher":"BMC Musculoskeletal Disorders","title":"Effects on health and process outcomes of physiotherapist-led orthopaedic triage for patients with musculoskeletal disorders: A systematic review of comparative studies","type":"article-journal","volume":"21"},"uris":["http://www.mendeley.com/documents/?uuid=f4118c23-3de3-4089-b068-529e07753917"]},{"id":"ITEM-2","itemData":{"DOI":"10.3138/ptc.2011-29","ISSN":"0300-0508","PMID":"23997390","abstract":"PURPOSE: To describe the characteristics of participants in a physiotherapist spinal triage programme, compare the profiles of patients for whom surgery was and was not recommended by a surgeon, and determine the surgical yield among those referred to surgeons.\n\nMETHODS: Data were collected retrospectively by reviewing charts of people who used the service over a 3-year period (2003-2006). Data from up to1,096 people were used in the analysis; complete data were available for 299 people. Descriptive statistics were used to summarize demographics, clinical features, and management recommendations. Characteristics of those who were and were not recommended for surgery were examined using Pearson's chi-square or Fisher's Exact tests.\n\nRESULTS: The majority of 746 participants were classified as \"mechanical spine\" (92.5%), 2.9% were \"other body part,\" 2.5% were \"medical/other,\" and only 2% were classified as \"surgical spine.\" Recommendations for surgery (by a surgeon) were independent of patients' age, sex, duration of symptoms, residence (urban/rural), source of health care funding, and diagnosis. The surgical yield was 80%.\n\nCONCLUSIONS: Most people were not considered candidates for surgery. Triage assessment by physiotherapists can increase the efficiency of an orthopaedic surgeon's caseload by reducing the number of non-surgical referrals and can thus help to ensure more timely access to appropriate health care.\n\nAbstract available from the publisher.","author":[{"dropping-particle":"","family":"Bath","given":"Brenna","non-dropping-particle":"","parse-names":false,"suffix":""},{"dropping-particle":"","family":"Grona","given":"Stacey Lovo","non-dropping-particle":"","parse-names":false,"suffix":""},{"dropping-particle":"","family":"Janzen","given":"Bonnie","non-dropping-particle":"","parse-names":false,"suffix":""}],"container-title":"Physiotherapy Canada. Physiothérapie Canada","id":"ITEM-2","issue":"4","issued":{"date-parts":[["2012","1"]]},"page":"356-66","title":"A spinal triage programme delivered by physiotherapists in collaboration with orthopaedic surgeons.","type":"article-journal","volume":"64"},"uris":["http://www.mendeley.com/documents/?uuid=fe39dc56-2849-421a-9237-6458a87ad36a"]}],"mendeley":{"formattedCitation":"(11,12)","plainTextFormattedCitation":"(11,12)","previouslyFormattedCitation":"(11,12)"},"properties":{"noteIndex":0},"schema":"https://github.com/citation-style-language/schema/raw/master/csl-citation.json"}</w:instrText>
      </w:r>
      <w:r w:rsidR="00635052">
        <w:fldChar w:fldCharType="separate"/>
      </w:r>
      <w:r w:rsidR="00635052" w:rsidRPr="00635052">
        <w:rPr>
          <w:noProof/>
        </w:rPr>
        <w:t>(11,12)</w:t>
      </w:r>
      <w:r w:rsidR="00635052">
        <w:fldChar w:fldCharType="end"/>
      </w:r>
      <w:r w:rsidR="00C14878">
        <w:t>, high patient satisfaction rates</w:t>
      </w:r>
      <w:r w:rsidR="00635052">
        <w:t xml:space="preserve"> </w:t>
      </w:r>
      <w:r w:rsidR="00635052">
        <w:fldChar w:fldCharType="begin" w:fldLock="1"/>
      </w:r>
      <w:r w:rsidR="00635052">
        <w:instrText>ADDIN CSL_CITATION {"citationItems":[{"id":"ITEM-1","itemData":{"author":[{"dropping-particle":"","family":"Trostrup","given":"J","non-dropping-particle":"","parse-names":false,"suffix":""},{"dropping-particle":"","family":"Juhl","given":"C.B","non-dropping-particle":"","parse-names":false,"suffix":""},{"dropping-particle":"","family":"Mikklsen","given":"L.R.","non-dropping-particle":"","parse-names":false,"suffix":""}],"container-title":"Physiotherapy (United Kingdom)","id":"ITEM-1","issued":{"date-parts":[["2020"]]},"page":"120-128","title":"Effect of extended scope physiotherapists assessments in orthopaedic diagnostic setting: a systematic review","type":"article-journal","volume":"108"},"uris":["http://www.mendeley.com/documents/?uuid=daa067aa-59e6-43f9-9bcb-e747c1e625fb"]}],"mendeley":{"formattedCitation":"(13)","plainTextFormattedCitation":"(13)","previouslyFormattedCitation":"(13)"},"properties":{"noteIndex":0},"schema":"https://github.com/citation-style-language/schema/raw/master/csl-citation.json"}</w:instrText>
      </w:r>
      <w:r w:rsidR="00635052">
        <w:fldChar w:fldCharType="separate"/>
      </w:r>
      <w:r w:rsidR="00635052" w:rsidRPr="00635052">
        <w:rPr>
          <w:noProof/>
        </w:rPr>
        <w:t>(13)</w:t>
      </w:r>
      <w:r w:rsidR="00635052">
        <w:fldChar w:fldCharType="end"/>
      </w:r>
      <w:r w:rsidR="00C14878">
        <w:t>, high rates</w:t>
      </w:r>
      <w:r w:rsidR="00635052">
        <w:t xml:space="preserve"> of independent management </w:t>
      </w:r>
      <w:r w:rsidR="00635052">
        <w:fldChar w:fldCharType="begin" w:fldLock="1"/>
      </w:r>
      <w:r w:rsidR="0002508A">
        <w:instrText>ADDIN CSL_CITATION {"citationItems":[{"id":"ITEM-1","itemData":{"DOI":"10.1308/rcsann.2016.0054","ISSN":"00358843","abstract":"INTRODUCTION Spinal orthopaedic triage aims to reduce unnecessary referrals to surgical consultants, thereby reducing waiting times to be seen by a surgeon and to surgical intervention. This paper presents an evaluation of a spinal orthopaedic triage service in the third largest spinal unit in the UK. METHODS A retrospective service evaluation spanning 2012 to 2014 was undertaken by members of the extended scope practitioner (ESP) team to evaluate the ESPs' ability to manage patient care independently and triage surgical referrals appropriately. Data collected included rates of independent management, referral rates for surgical consideration and conversion to surgery. Patient satisfaction rates were evaluated retrospectively from questionnaires given to 5% of discharged patients. RESULTS A total of 2,651 patients were seen. The vast majority (92%) of all referrals seen by ESPs were managed independently. Only 8% required either a discussion with a surgeon to confirm management or for surgical review. Of the latter, 81% were considered to be suitable surgical referrals. A 99% satisfaction rate was reported by discharged patients. CONCLUSIONS ESP services in a specialist spinal service are effective in managing spinal conditions conservatively and identifying surgical candidates appropriately. Further research is needed to confirm ESPs' diagnostic accuracy, patient outcomes and cost effectiveness.","author":[{"dropping-particle":"","family":"Wood","given":"L.","non-dropping-particle":"","parse-names":false,"suffix":""},{"dropping-particle":"","family":"Hendrick","given":"P.","non-dropping-particle":"","parse-names":false,"suffix":""},{"dropping-particle":"","family":"Boszczyk","given":"B.","non-dropping-particle":"","parse-names":false,"suffix":""},{"dropping-particle":"","family":"Dunstan","given":"E.","non-dropping-particle":"","parse-names":false,"suffix":""}],"container-title":"Annals of the Royal College of Surgeons of England","id":"ITEM-1","issue":"3","issued":{"date-parts":[["2016"]]},"title":"A review of the surgical conversion rate and independent management of spinal extended scope practitioners in a secondary care setting","type":"article-journal","volume":"98"},"uris":["http://www.mendeley.com/documents/?uuid=7d215994-ba37-3409-a660-3ab0cfb2ac3d"]},{"id":"ITEM-2","itemData":{"DOI":"10.1186/s12891-018-2106-7","ISSN":"14712474","PMID":"29859072","abstract":"Background: Many people with musculoskeletal (MSK) disorders wait several months or years for Consultant Doctor appointments, despite often not requiring medical or surgical interventions. To allow earlier patient access to orthopaedic and rheumatology services in Ireland, Advanced Practice Physiotherapists (APPs) were introduced at 16 major acute hospitals. This study performed the first national evaluation of APP triage services. Method: Throughout 2014, APPs (n = 22) entered clinical data on a national database. Analysis of these data using descriptive statistics determined patient wait times, Consultant Doctor involvement in clinical decisions, and patient clinical outcomes. Chi square tests were used to compare patient clinical outcomes across orthopaedic and rheumatology clinics. A pilot study at one site identified re-referral rates to orthopaedic/rheumatology services of patients managed by the APPs. Results: In one year, 13,981 new patients accessed specialist orthopaedic and rheumatology consultations via the APP. Median wait time for an appointment was 5.6 months. Patients most commonly presented with knee (23%), lower back (22%) and shoulder (15%) disorders. APPs made autonomous clinical decisions regarding patient management at 77% of appointments, and managed patient care pathways without onward referral to Consultant Doctors in more than 80% of cases. Other onward clinical pathways recommended by APPs were: physiotherapy referrals (42%); clinical investigations (29%); injections administered (4%); and surgical listing (2%). Of those managed by the APP, the pilot study identified that only 6.5% of patients were re-referred within one year. Conclusion: This national evaluation of APP services demonstrated that the majority of patients assessed by an APP did not require onward referral for a Consultant Doctor appointment. Therefore, patients gained earlier access to orthopaedic and rheumatology consultations in secondary care, with most patients conservatively managed.","author":[{"dropping-particle":"","family":"Fennelly","given":"Orna","non-dropping-particle":"","parse-names":false,"suffix":""},{"dropping-particle":"","family":"Blake","given":"Catherine","non-dropping-particle":"","parse-names":false,"suffix":""},{"dropping-particle":"","family":"Fitzgerald","given":"Oliver","non-dropping-particle":"","parse-names":false,"suffix":""},{"dropping-particle":"","family":"Breen","given":"Roisin","non-dropping-particle":"","parse-names":false,"suffix":""},{"dropping-particle":"","family":"Ashton","given":"Jennifer","non-dropping-particle":"","parse-names":false,"suffix":""},{"dropping-particle":"","family":"Brennan","given":"Aisling","non-dropping-particle":"","parse-names":false,"suffix":""},{"dropping-particle":"","family":"Caffrey","given":"Aoife","non-dropping-particle":"","parse-names":false,"suffix":""},{"dropping-particle":"","family":"Desmeules","given":"François","non-dropping-particle":"","parse-names":false,"suffix":""},{"dropping-particle":"","family":"Cunningham","given":"Caitriona","non-dropping-particle":"","parse-names":false,"suffix":""}],"container-title":"BMC Musculoskeletal Disorders","id":"ITEM-2","issue":"1","issued":{"date-parts":[["2018"]]},"page":"1-8","publisher":"BMC Musculoskeletal Disorders","title":"Advanced practice physiotherapy-led triage in Irish orthopaedic and rheumatology services: National data audit","type":"article-journal","volume":"19"},"uris":["http://www.mendeley.com/documents/?uuid=78090fea-303d-4857-8c45-1a49eabd67fe"]},{"id":"ITEM-3","itemData":{"DOI":"10.1108/IJHG-08-2015-0026","ISSN":"20594631","abstract":"Purpose - Clinical specialist physiotherapy (CSP)-led musculoskeletal triage clinics have been established in the UK as a means of managing patients referred for outpatient orthopaedic consultation. The purpose of this paper is to determine if a CSP could allocate patients into distinct diagnostic triage categories in line with national and international guidelines. A second aim was to describe the CSPs clinical decision making. Design/methodology/approach - A review of 100 spinal patients, consecutively referred between February and April 2013 to a CSP spinal triage clinic was undertaken. Patient demographics (age, gender, employment status), clinical diagnosis and diagnostic triage categories selected for each patient were recorded. Subsequently, if clinical triage led to further investigation or a consultant opinion then the onward management pathway was followed to calculate conversion to consultant surgical intervention. Findings - In total, 69 per cent of patients were independently managed by the CSP and discharged back to the General Practitioner or on to therapy. In total, 30 per cent of patients (n=30) were referred for consultant opinion, of these 12 underwent intervention. This represents a conversion rate to consultant intervention of 40 per cent. Originality/value - Findings suggest that a significant number of spinal patients referred for an orthopaedic consultation may be managed independently by a CSP. Referral for consultant review was deemed appropriate in terms of conversion to intervention, advice on further imaging, referral to other medical disciplines and patient counselling. This study suggests that CSPs can manage a significant number of patients with spinal conditions whilst providing high-quality referrals to surgical colleagues. This audit provides a novel insight into practitioner behaviour that supports the development of advanced practice for non-medical clinicians.","author":[{"dropping-particle":"","family":"Kerridge-Weeks","given":"Martin","non-dropping-particle":"","parse-names":false,"suffix":""},{"dropping-particle":"","family":"Langridge","given":"Neil John","non-dropping-particle":"","parse-names":false,"suffix":""}],"container-title":"International Journal of Health Governance","id":"ITEM-3","issue":"1","issued":{"date-parts":[["2016"]]},"page":"5-17","title":"Orthopaedic spinal triage: An evaluation of decision making and outcome in a physiotherapy led service","type":"article-journal","volume":"21"},"uris":["http://www.mendeley.com/documents/?uuid=61e7f3a7-6109-4bab-9515-04fa7f4af181"]}],"mendeley":{"formattedCitation":"(2,4,6)","plainTextFormattedCitation":"(2,4,6)","previouslyFormattedCitation":"(2,4,6)"},"properties":{"noteIndex":0},"schema":"https://github.com/citation-style-language/schema/raw/master/csl-citation.json"}</w:instrText>
      </w:r>
      <w:r w:rsidR="00635052">
        <w:fldChar w:fldCharType="separate"/>
      </w:r>
      <w:r w:rsidR="0002508A" w:rsidRPr="0002508A">
        <w:rPr>
          <w:noProof/>
        </w:rPr>
        <w:t>(2,4,6)</w:t>
      </w:r>
      <w:r w:rsidR="00635052">
        <w:fldChar w:fldCharType="end"/>
      </w:r>
      <w:r w:rsidR="00635052">
        <w:t xml:space="preserve"> </w:t>
      </w:r>
      <w:r w:rsidR="00B72898">
        <w:t xml:space="preserve"> and lower costs </w:t>
      </w:r>
      <w:r w:rsidR="0002508A">
        <w:fldChar w:fldCharType="begin" w:fldLock="1"/>
      </w:r>
      <w:r w:rsidR="0002508A">
        <w:instrText>ADDIN CSL_CITATION {"citationItems":[{"id":"ITEM-1","itemData":{"author":[{"dropping-particle":"","family":"Trostrup","given":"J","non-dropping-particle":"","parse-names":false,"suffix":""},{"dropping-particle":"","family":"Juhl","given":"C.B","non-dropping-particle":"","parse-names":false,"suffix":""},{"dropping-particle":"","family":"Mikklsen","given":"L.R.","non-dropping-particle":"","parse-names":false,"suffix":""}],"container-title":"Physiotherapy (United Kingdom)","id":"ITEM-1","issued":{"date-parts":[["2020"]]},"page":"120-128","title":"Effect of extended scope physiotherapists assessments in orthopaedic diagnostic setting: a systematic review","type":"article-journal","volume":"108"},"uris":["http://www.mendeley.com/documents/?uuid=daa067aa-59e6-43f9-9bcb-e747c1e625fb"]},{"id":"ITEM-2","itemData":{"DOI":"10.1186/s12891-020-03673-9","ISSN":"14712474","PMID":"33038935","abstract":"Background: Physiotherapist-led (PT-led) orthopaedic triage is an evolving model of care for patients with musculoskeletal disorders. Objectives for this study were to establish the current evidence body on the impact of PT-led orthopaedic triage on health, quality, and service outcomes for patients referred for orthopaedic consultation, compared with standard (orthopaedic surgeon) care. Methods: Medline, EMBASE, Scopus and CINAHL were searched from inception until 7 May 2018; search updated 24 April 2020. Search terms (including derivatives) included physiotherapy, advanced/extended scope, musculoskeletal/orthopaedic, triage. The search was framed as Population = patients referred for orthopaedic consultation; Intervention = PT-led orthopaedic triage; Comparison = standard care; Outcomes = health, quality and process outcomes. Only randomised controlled trials (RCTs) and prospective comparative cohort studies were eligible for inclusion. Screening, study selection, data extraction, and assessment of methodological quality were performed independently by reviewer pairs. Quality was scored with the Downs and Black checklist. Certainty of evidence was determined using GRADE. PROSPERO registration number CRD42017070950. Results: We included two RCTs and eleven cohort studies (n = 1357 participants) of variable methodological quality (range 14-23 of possible 28). Certainty of evidence was low to moderate. There was no difference between PT-led orthopaedic triage and standard care for patient-reported outcomes (two RCTs). Perceived quality of care with PT-led orthopaedic triage was higher (two RCTs, four cohort studies) or equal (one cohort study) compared with standard care. PT-led orthopaedic triage had higher surgery conversion rates (one RCT, three cohort studies) (55-91% vs 22-38%), lower (two RCTs) or equal rate (two cohort studies) of referral for investigations, shorter waiting times (one RCT, one cohort study), and lower costs (one RCT). Furthermore, there was high agreement between physiotherapists' and orthopaedic surgeons' treatment approach (eight cohort studies), referral for investigation (five cohort studies), and diagnosis (nine cohort studies). Study limitations were the low number of RCTs, and variable methodological quality. Conclusions: Evidence of low to moderate certainty suggests that PT-led orthopaedic triage leads to similar diagnostic decisions as standard care, has a higher conversion-to-surgery rate, reduces waiting times, is cos…","author":[{"dropping-particle":"","family":"Samsson","given":"K. S.","non-dropping-particle":"","parse-names":false,"suffix":""},{"dropping-particle":"","family":"Grimmer","given":"K.","non-dropping-particle":"","parse-names":false,"suffix":""},{"dropping-particle":"","family":"Larsson","given":"M. E.H.","non-dropping-particle":"","parse-names":false,"suffix":""},{"dropping-particle":"","family":"Morris","given":"J.","non-dropping-particle":"","parse-names":false,"suffix":""},{"dropping-particle":"","family":"Bernhardsson","given":"S.","non-dropping-particle":"","parse-names":false,"suffix":""}],"container-title":"BMC Musculoskeletal Disorders","id":"ITEM-2","issue":"1","issued":{"date-parts":[["2020"]]},"page":"1-20","publisher":"BMC Musculoskeletal Disorders","title":"Effects on health and process outcomes of physiotherapist-led orthopaedic triage for patients with musculoskeletal disorders: A systematic review of comparative studies","type":"article-journal","volume":"21"},"uris":["http://www.mendeley.com/documents/?uuid=f4118c23-3de3-4089-b068-529e07753917"]}],"mendeley":{"formattedCitation":"(11,13)","plainTextFormattedCitation":"(11,13)","previouslyFormattedCitation":"(11,13)"},"properties":{"noteIndex":0},"schema":"https://github.com/citation-style-language/schema/raw/master/csl-citation.json"}</w:instrText>
      </w:r>
      <w:r w:rsidR="0002508A">
        <w:fldChar w:fldCharType="separate"/>
      </w:r>
      <w:r w:rsidR="0002508A" w:rsidRPr="0002508A">
        <w:rPr>
          <w:noProof/>
        </w:rPr>
        <w:t>(11,13)</w:t>
      </w:r>
      <w:r w:rsidR="0002508A">
        <w:fldChar w:fldCharType="end"/>
      </w:r>
      <w:r w:rsidR="0002508A">
        <w:t>.</w:t>
      </w:r>
    </w:p>
    <w:p w:rsidR="00A307BA" w:rsidRDefault="00383C5C" w:rsidP="00B25B82">
      <w:pPr>
        <w:spacing w:line="480" w:lineRule="auto"/>
      </w:pPr>
      <w:r>
        <w:t xml:space="preserve">The </w:t>
      </w:r>
      <w:r w:rsidR="009E2A87">
        <w:t xml:space="preserve">COVID-19 pandemic had far-reaching impacts on </w:t>
      </w:r>
      <w:r w:rsidR="00B94907">
        <w:t>National Health S</w:t>
      </w:r>
      <w:r w:rsidR="009E2A87">
        <w:t>ervices</w:t>
      </w:r>
      <w:r w:rsidR="00B94907">
        <w:t xml:space="preserve"> (NHS)</w:t>
      </w:r>
      <w:r w:rsidR="009E2A87">
        <w:t xml:space="preserve"> across the UK and the world. </w:t>
      </w:r>
      <w:r>
        <w:t>A</w:t>
      </w:r>
      <w:r w:rsidR="009E2A87">
        <w:t xml:space="preserve">ll face-to-face routine elective activity </w:t>
      </w:r>
      <w:r w:rsidR="005A1863">
        <w:t xml:space="preserve">was </w:t>
      </w:r>
      <w:r w:rsidR="009E2A87">
        <w:t xml:space="preserve">stopped </w:t>
      </w:r>
      <w:r w:rsidR="005A1863">
        <w:t>with</w:t>
      </w:r>
      <w:r>
        <w:t xml:space="preserve"> the nationally enforced lockdown</w:t>
      </w:r>
      <w:r w:rsidR="005A1863">
        <w:t>, resulting in</w:t>
      </w:r>
      <w:r w:rsidR="00B871CC">
        <w:t xml:space="preserve"> </w:t>
      </w:r>
      <w:r>
        <w:t xml:space="preserve">restriction </w:t>
      </w:r>
      <w:r w:rsidR="005A1863">
        <w:t>to</w:t>
      </w:r>
      <w:r>
        <w:t xml:space="preserve"> ca</w:t>
      </w:r>
      <w:r w:rsidR="00B94907">
        <w:t>re provision at varying levels</w:t>
      </w:r>
      <w:r>
        <w:t xml:space="preserve"> until the end of January 2022</w:t>
      </w:r>
      <w:r w:rsidR="009E2A87">
        <w:t xml:space="preserve">. The </w:t>
      </w:r>
      <w:r w:rsidR="005A1863">
        <w:t xml:space="preserve">initial impact saw </w:t>
      </w:r>
      <w:r w:rsidR="009E2A87">
        <w:t xml:space="preserve">increased hospital admissions, NHS staff </w:t>
      </w:r>
      <w:r w:rsidR="005A1863">
        <w:t xml:space="preserve">redeployment, </w:t>
      </w:r>
      <w:r w:rsidR="009E2A87">
        <w:t xml:space="preserve">and </w:t>
      </w:r>
      <w:r w:rsidR="005A1863">
        <w:t xml:space="preserve">conversion of </w:t>
      </w:r>
      <w:r w:rsidR="005A1863">
        <w:lastRenderedPageBreak/>
        <w:t>elective orthopaed</w:t>
      </w:r>
      <w:r w:rsidR="00B871CC">
        <w:t>ic wards to medical COVID wards</w:t>
      </w:r>
      <w:r w:rsidR="009E2A87">
        <w:t xml:space="preserve">. </w:t>
      </w:r>
      <w:r w:rsidR="00B94907">
        <w:t>Since the end of the pandemic, r</w:t>
      </w:r>
      <w:r>
        <w:t xml:space="preserve">eported NHS </w:t>
      </w:r>
      <w:r w:rsidR="00B94907">
        <w:t>analyses</w:t>
      </w:r>
      <w:r>
        <w:t xml:space="preserve"> suggest that elective orthopaedic surgery has only reached 50% of pre-COVID levels</w:t>
      </w:r>
      <w:r w:rsidR="00CC7D30">
        <w:t xml:space="preserve"> </w:t>
      </w:r>
      <w:r w:rsidR="00CC7D30">
        <w:fldChar w:fldCharType="begin" w:fldLock="1"/>
      </w:r>
      <w:r w:rsidR="00CC7D30">
        <w:instrText>ADDIN CSL_CITATION {"citationItems":[{"id":"ITEM-1","itemData":{"author":[{"dropping-particle":"","family":"Gregory","given":"Rob","non-dropping-particle":"","parse-names":false,"suffix":""}],"container-title":"BASS","id":"ITEM-1","issued":{"date-parts":[["2022"]]},"title":"The Effect of COVID-19 on Training","type":"paper-conference"},"uris":["http://www.mendeley.com/documents/?uuid=58ebbbda-1070-40f9-b687-07dcc2712a07"]}],"mendeley":{"formattedCitation":"(14)","plainTextFormattedCitation":"(14)","previouslyFormattedCitation":"(14)"},"properties":{"noteIndex":0},"schema":"https://github.com/citation-style-language/schema/raw/master/csl-citation.json"}</w:instrText>
      </w:r>
      <w:r w:rsidR="00CC7D30">
        <w:fldChar w:fldCharType="separate"/>
      </w:r>
      <w:r w:rsidR="00CC7D30" w:rsidRPr="00CC7D30">
        <w:rPr>
          <w:noProof/>
        </w:rPr>
        <w:t>(14)</w:t>
      </w:r>
      <w:r w:rsidR="00CC7D30">
        <w:fldChar w:fldCharType="end"/>
      </w:r>
      <w:r>
        <w:t xml:space="preserve">. </w:t>
      </w:r>
      <w:r w:rsidR="00A307BA">
        <w:t>For</w:t>
      </w:r>
      <w:r w:rsidR="00FC056A">
        <w:t xml:space="preserve"> </w:t>
      </w:r>
      <w:r w:rsidR="00B94907">
        <w:t>t</w:t>
      </w:r>
      <w:r w:rsidR="005A1863">
        <w:t>he</w:t>
      </w:r>
      <w:r w:rsidR="00B94907">
        <w:t xml:space="preserve"> </w:t>
      </w:r>
      <w:r w:rsidR="00C232C9">
        <w:t>patients</w:t>
      </w:r>
      <w:r w:rsidR="00A307BA">
        <w:t xml:space="preserve"> </w:t>
      </w:r>
      <w:r w:rsidR="00754732">
        <w:t xml:space="preserve">surgically </w:t>
      </w:r>
      <w:r w:rsidR="00A307BA">
        <w:t>listed and awaiting</w:t>
      </w:r>
      <w:r w:rsidR="00FC056A">
        <w:t xml:space="preserve"> spinal surgery</w:t>
      </w:r>
      <w:r w:rsidR="00A307BA">
        <w:t xml:space="preserve">, </w:t>
      </w:r>
      <w:r w:rsidR="005A1863">
        <w:t>significant delay had occurred.</w:t>
      </w:r>
      <w:r w:rsidR="00A307BA">
        <w:t xml:space="preserve"> </w:t>
      </w:r>
      <w:r w:rsidR="005A1863">
        <w:t>F</w:t>
      </w:r>
      <w:r w:rsidR="00A307BA">
        <w:t>or many</w:t>
      </w:r>
      <w:r w:rsidR="005A1863">
        <w:t>, the wait time has led to</w:t>
      </w:r>
      <w:r w:rsidR="00A307BA">
        <w:t xml:space="preserve"> gradual decline in both</w:t>
      </w:r>
      <w:r w:rsidR="00FC056A">
        <w:t xml:space="preserve"> neurological </w:t>
      </w:r>
      <w:r w:rsidR="00A307BA">
        <w:t>function and general medical well-being</w:t>
      </w:r>
      <w:r w:rsidR="00FC056A">
        <w:t xml:space="preserve">. This was evident in a review of cervical </w:t>
      </w:r>
      <w:r w:rsidR="00B94907">
        <w:t>myelopathy patients awaiting surgery seen at our NHS Trust</w:t>
      </w:r>
      <w:r w:rsidR="00CC7D30">
        <w:t xml:space="preserve"> </w:t>
      </w:r>
      <w:r w:rsidR="00CC7D30">
        <w:fldChar w:fldCharType="begin" w:fldLock="1"/>
      </w:r>
      <w:r w:rsidR="00CC7D30">
        <w:instrText>ADDIN CSL_CITATION {"citationItems":[{"id":"ITEM-1","itemData":{"author":[{"dropping-particle":"","family":"Dunstan","given":"Eleanor","non-dropping-particle":"","parse-names":false,"suffix":""},{"dropping-particle":"","family":"Dixon","given":"Matthew","non-dropping-particle":"","parse-names":false,"suffix":""},{"dropping-particle":"","family":"Wood","given":"Lianne","non-dropping-particle":"","parse-names":false,"suffix":""}],"container-title":"Society for Back Pain Research","id":"ITEM-1","issued":{"date-parts":[["2022"]]},"title":"Managing risk in degenerative cervical myelopathy(DCM): a service review in response to COVID-19 delays","type":"paper-conference"},"uris":["http://www.mendeley.com/documents/?uuid=5b6ea810-1558-4ad6-98e4-ce7e72b9f649"]}],"mendeley":{"formattedCitation":"(15)","plainTextFormattedCitation":"(15)","previouslyFormattedCitation":"(15)"},"properties":{"noteIndex":0},"schema":"https://github.com/citation-style-language/schema/raw/master/csl-citation.json"}</w:instrText>
      </w:r>
      <w:r w:rsidR="00CC7D30">
        <w:fldChar w:fldCharType="separate"/>
      </w:r>
      <w:r w:rsidR="00CC7D30" w:rsidRPr="00CC7D30">
        <w:rPr>
          <w:noProof/>
        </w:rPr>
        <w:t>(15)</w:t>
      </w:r>
      <w:r w:rsidR="00CC7D30">
        <w:fldChar w:fldCharType="end"/>
      </w:r>
      <w:r w:rsidR="00FC056A">
        <w:t xml:space="preserve">. </w:t>
      </w:r>
    </w:p>
    <w:p w:rsidR="00836BBA" w:rsidRDefault="00C232C9" w:rsidP="00B25B82">
      <w:pPr>
        <w:spacing w:line="480" w:lineRule="auto"/>
      </w:pPr>
      <w:r>
        <w:t xml:space="preserve">As a </w:t>
      </w:r>
      <w:r w:rsidR="008B58F5">
        <w:t xml:space="preserve">spinal </w:t>
      </w:r>
      <w:r w:rsidR="00A8685A">
        <w:t>APP</w:t>
      </w:r>
      <w:r w:rsidR="00FC056A">
        <w:t xml:space="preserve"> </w:t>
      </w:r>
      <w:r w:rsidR="00B871CC">
        <w:t xml:space="preserve">triage </w:t>
      </w:r>
      <w:r w:rsidR="00FC056A">
        <w:t xml:space="preserve">team, our service has continued </w:t>
      </w:r>
      <w:r w:rsidR="00B94907">
        <w:t xml:space="preserve">to function throughout COVID-19. </w:t>
      </w:r>
      <w:r w:rsidR="00BB4D71">
        <w:t xml:space="preserve">However, the effect of the pandemic has been far reaching and has influenced many aspects of the surgical triage pathway. </w:t>
      </w:r>
      <w:r w:rsidR="00836BBA">
        <w:t>This service evaluation aim</w:t>
      </w:r>
      <w:r w:rsidR="00BB4D71">
        <w:t>s</w:t>
      </w:r>
      <w:r w:rsidR="00836BBA">
        <w:t xml:space="preserve"> to evaluate </w:t>
      </w:r>
      <w:r>
        <w:t xml:space="preserve">the </w:t>
      </w:r>
      <w:r w:rsidR="00836BBA">
        <w:t>impact of COVID-19 on service delivery</w:t>
      </w:r>
      <w:r w:rsidR="007C3659">
        <w:t xml:space="preserve"> and surgical decision-making.</w:t>
      </w:r>
      <w:r w:rsidR="00836BBA">
        <w:t xml:space="preserve"> </w:t>
      </w:r>
      <w:r w:rsidR="007C3659">
        <w:t xml:space="preserve">A secondary objective </w:t>
      </w:r>
      <w:r w:rsidR="00BB4D71">
        <w:t>is</w:t>
      </w:r>
      <w:r w:rsidR="007C3659">
        <w:t xml:space="preserve"> to review the delivery and outcomes of the </w:t>
      </w:r>
      <w:r w:rsidR="00A8685A">
        <w:t>APP</w:t>
      </w:r>
      <w:r w:rsidR="007C3659">
        <w:t xml:space="preserve"> service in comparison to previously reported figures</w:t>
      </w:r>
      <w:r w:rsidR="0002508A">
        <w:t xml:space="preserve"> </w:t>
      </w:r>
      <w:r w:rsidR="0002508A">
        <w:fldChar w:fldCharType="begin" w:fldLock="1"/>
      </w:r>
      <w:r w:rsidR="0002508A">
        <w:instrText>ADDIN CSL_CITATION {"citationItems":[{"id":"ITEM-1","itemData":{"DOI":"10.1308/rcsann.2016.0054","ISSN":"00358843","abstract":"INTRODUCTION Spinal orthopaedic triage aims to reduce unnecessary referrals to surgical consultants, thereby reducing waiting times to be seen by a surgeon and to surgical intervention. This paper presents an evaluation of a spinal orthopaedic triage service in the third largest spinal unit in the UK. METHODS A retrospective service evaluation spanning 2012 to 2014 was undertaken by members of the extended scope practitioner (ESP) team to evaluate the ESPs' ability to manage patient care independently and triage surgical referrals appropriately. Data collected included rates of independent management, referral rates for surgical consideration and conversion to surgery. Patient satisfaction rates were evaluated retrospectively from questionnaires given to 5% of discharged patients. RESULTS A total of 2,651 patients were seen. The vast majority (92%) of all referrals seen by ESPs were managed independently. Only 8% required either a discussion with a surgeon to confirm management or for surgical review. Of the latter, 81% were considered to be suitable surgical referrals. A 99% satisfaction rate was reported by discharged patients. CONCLUSIONS ESP services in a specialist spinal service are effective in managing spinal conditions conservatively and identifying surgical candidates appropriately. Further research is needed to confirm ESPs' diagnostic accuracy, patient outcomes and cost effectiveness.","author":[{"dropping-particle":"","family":"Wood","given":"L.","non-dropping-particle":"","parse-names":false,"suffix":""},{"dropping-particle":"","family":"Hendrick","given":"P.","non-dropping-particle":"","parse-names":false,"suffix":""},{"dropping-particle":"","family":"Boszczyk","given":"B.","non-dropping-particle":"","parse-names":false,"suffix":""},{"dropping-particle":"","family":"Dunstan","given":"E.","non-dropping-particle":"","parse-names":false,"suffix":""}],"container-title":"Annals of the Royal College of Surgeons of England","id":"ITEM-1","issue":"3","issued":{"date-parts":[["2016"]]},"title":"A review of the surgical conversion rate and independent management of spinal extended scope practitioners in a secondary care setting","type":"article-journal","volume":"98"},"uris":["http://www.mendeley.com/documents/?uuid=7d215994-ba37-3409-a660-3ab0cfb2ac3d"]}],"mendeley":{"formattedCitation":"(2)","plainTextFormattedCitation":"(2)","previouslyFormattedCitation":"(2)"},"properties":{"noteIndex":0},"schema":"https://github.com/citation-style-language/schema/raw/master/csl-citation.json"}</w:instrText>
      </w:r>
      <w:r w:rsidR="0002508A">
        <w:fldChar w:fldCharType="separate"/>
      </w:r>
      <w:r w:rsidR="0002508A" w:rsidRPr="0002508A">
        <w:rPr>
          <w:noProof/>
        </w:rPr>
        <w:t>(2)</w:t>
      </w:r>
      <w:r w:rsidR="0002508A">
        <w:fldChar w:fldCharType="end"/>
      </w:r>
      <w:r w:rsidR="007C3659">
        <w:t>.</w:t>
      </w:r>
    </w:p>
    <w:p w:rsidR="00A1112A" w:rsidRPr="0058542F" w:rsidRDefault="00A1112A" w:rsidP="00B25B82">
      <w:pPr>
        <w:spacing w:line="480" w:lineRule="auto"/>
        <w:rPr>
          <w:i/>
          <w:iCs/>
        </w:rPr>
      </w:pPr>
      <w:r w:rsidRPr="0058542F">
        <w:rPr>
          <w:i/>
          <w:iCs/>
        </w:rPr>
        <w:t>Benchmarking Data:</w:t>
      </w:r>
    </w:p>
    <w:p w:rsidR="008F5927" w:rsidRDefault="008F5927" w:rsidP="00B25B82">
      <w:pPr>
        <w:spacing w:line="480" w:lineRule="auto"/>
      </w:pPr>
      <w:r>
        <w:t>A retrospective service evaluation was con</w:t>
      </w:r>
      <w:r w:rsidR="00E41031">
        <w:t>ducted over a three-year period</w:t>
      </w:r>
      <w:r>
        <w:t xml:space="preserve"> to assess the impact of COVID-19 on the </w:t>
      </w:r>
      <w:r w:rsidR="00A8685A">
        <w:t>APP</w:t>
      </w:r>
      <w:r w:rsidR="00E92995">
        <w:t xml:space="preserve"> </w:t>
      </w:r>
      <w:r w:rsidR="00BB4D71">
        <w:t xml:space="preserve">spinal triage </w:t>
      </w:r>
      <w:r>
        <w:t>service</w:t>
      </w:r>
      <w:r w:rsidR="00E92995">
        <w:t>, and evaluate the service as a whole</w:t>
      </w:r>
      <w:r>
        <w:t xml:space="preserve">. </w:t>
      </w:r>
      <w:r w:rsidR="00E41031">
        <w:t xml:space="preserve">This was based at the X NHS trust. The </w:t>
      </w:r>
      <w:r w:rsidR="00A8685A">
        <w:t>APP</w:t>
      </w:r>
      <w:r w:rsidR="00E41031">
        <w:t xml:space="preserve"> </w:t>
      </w:r>
      <w:r w:rsidR="00BB4D71">
        <w:t xml:space="preserve">spinal triage </w:t>
      </w:r>
      <w:r w:rsidR="00E41031">
        <w:t xml:space="preserve">service has been in place for the past 13 years. </w:t>
      </w:r>
      <w:r w:rsidR="00A340D2">
        <w:t xml:space="preserve">There are no nationally </w:t>
      </w:r>
      <w:r w:rsidR="00C232C9">
        <w:t xml:space="preserve">approved standards to which </w:t>
      </w:r>
      <w:r w:rsidR="00A8685A">
        <w:t>an</w:t>
      </w:r>
      <w:r w:rsidR="00C232C9">
        <w:t xml:space="preserve"> </w:t>
      </w:r>
      <w:r w:rsidR="00A8685A">
        <w:t>APP</w:t>
      </w:r>
      <w:r w:rsidR="00BB4D71">
        <w:t xml:space="preserve"> spinal triage</w:t>
      </w:r>
      <w:r w:rsidR="00C232C9">
        <w:t xml:space="preserve"> service should conform</w:t>
      </w:r>
      <w:r w:rsidR="0002508A">
        <w:t>, thus previously reported figures were used as a comparator (Table 1)</w:t>
      </w:r>
      <w:r w:rsidR="00C232C9">
        <w:t xml:space="preserve">. </w:t>
      </w:r>
    </w:p>
    <w:p w:rsidR="001770BA" w:rsidRDefault="001770BA" w:rsidP="001770BA">
      <w:pPr>
        <w:pStyle w:val="Caption"/>
        <w:keepNext/>
        <w:spacing w:line="480" w:lineRule="auto"/>
      </w:pPr>
      <w:r>
        <w:t xml:space="preserve">Table </w:t>
      </w:r>
      <w:r>
        <w:fldChar w:fldCharType="begin"/>
      </w:r>
      <w:r>
        <w:instrText xml:space="preserve"> SEQ Table \* ARABIC </w:instrText>
      </w:r>
      <w:r>
        <w:fldChar w:fldCharType="separate"/>
      </w:r>
      <w:r>
        <w:rPr>
          <w:noProof/>
        </w:rPr>
        <w:t>1</w:t>
      </w:r>
      <w:r>
        <w:rPr>
          <w:noProof/>
        </w:rPr>
        <w:fldChar w:fldCharType="end"/>
      </w:r>
      <w:r>
        <w:t>: Data previously reported in service evaluation between 2012 to 2014 (Wood et al., 2016)</w:t>
      </w:r>
    </w:p>
    <w:tbl>
      <w:tblPr>
        <w:tblStyle w:val="TableGrid"/>
        <w:tblW w:w="0" w:type="auto"/>
        <w:tblLook w:val="04A0" w:firstRow="1" w:lastRow="0" w:firstColumn="1" w:lastColumn="0" w:noHBand="0" w:noVBand="1"/>
      </w:tblPr>
      <w:tblGrid>
        <w:gridCol w:w="5665"/>
        <w:gridCol w:w="3119"/>
      </w:tblGrid>
      <w:tr w:rsidR="001770BA" w:rsidTr="00EF478F">
        <w:tc>
          <w:tcPr>
            <w:tcW w:w="5665" w:type="dxa"/>
          </w:tcPr>
          <w:p w:rsidR="001770BA" w:rsidRDefault="001770BA" w:rsidP="00EF478F"/>
        </w:tc>
        <w:tc>
          <w:tcPr>
            <w:tcW w:w="3119" w:type="dxa"/>
          </w:tcPr>
          <w:p w:rsidR="001770BA" w:rsidRDefault="001770BA" w:rsidP="00EF478F">
            <w:r>
              <w:t>Total (n, % of total)</w:t>
            </w:r>
          </w:p>
        </w:tc>
      </w:tr>
      <w:tr w:rsidR="001770BA" w:rsidTr="00EF478F">
        <w:tc>
          <w:tcPr>
            <w:tcW w:w="5665" w:type="dxa"/>
          </w:tcPr>
          <w:p w:rsidR="001770BA" w:rsidRDefault="001770BA" w:rsidP="00EF478F">
            <w:r>
              <w:t>Total seen</w:t>
            </w:r>
          </w:p>
        </w:tc>
        <w:tc>
          <w:tcPr>
            <w:tcW w:w="3119" w:type="dxa"/>
          </w:tcPr>
          <w:p w:rsidR="001770BA" w:rsidRDefault="001770BA" w:rsidP="00EF478F">
            <w:r>
              <w:t xml:space="preserve">2651 </w:t>
            </w:r>
          </w:p>
        </w:tc>
      </w:tr>
      <w:tr w:rsidR="001770BA" w:rsidTr="00EF478F">
        <w:tc>
          <w:tcPr>
            <w:tcW w:w="5665" w:type="dxa"/>
          </w:tcPr>
          <w:p w:rsidR="001770BA" w:rsidRDefault="001770BA" w:rsidP="00EF478F">
            <w:r>
              <w:t>2012 to 2013</w:t>
            </w:r>
          </w:p>
        </w:tc>
        <w:tc>
          <w:tcPr>
            <w:tcW w:w="3119" w:type="dxa"/>
          </w:tcPr>
          <w:p w:rsidR="001770BA" w:rsidRDefault="001770BA" w:rsidP="00EF478F">
            <w:r>
              <w:t xml:space="preserve">1248 </w:t>
            </w:r>
          </w:p>
        </w:tc>
      </w:tr>
      <w:tr w:rsidR="001770BA" w:rsidTr="00EF478F">
        <w:tc>
          <w:tcPr>
            <w:tcW w:w="5665" w:type="dxa"/>
          </w:tcPr>
          <w:p w:rsidR="001770BA" w:rsidRDefault="001770BA" w:rsidP="00EF478F">
            <w:r>
              <w:t>2013 to 2014</w:t>
            </w:r>
          </w:p>
        </w:tc>
        <w:tc>
          <w:tcPr>
            <w:tcW w:w="3119" w:type="dxa"/>
          </w:tcPr>
          <w:p w:rsidR="001770BA" w:rsidRDefault="001770BA" w:rsidP="00EF478F">
            <w:r>
              <w:t>1403</w:t>
            </w:r>
          </w:p>
        </w:tc>
      </w:tr>
      <w:tr w:rsidR="001770BA" w:rsidTr="00EF478F">
        <w:tc>
          <w:tcPr>
            <w:tcW w:w="5665" w:type="dxa"/>
          </w:tcPr>
          <w:p w:rsidR="001770BA" w:rsidRDefault="001770BA" w:rsidP="00EF478F">
            <w:r>
              <w:t>DNA total</w:t>
            </w:r>
          </w:p>
        </w:tc>
        <w:tc>
          <w:tcPr>
            <w:tcW w:w="3119" w:type="dxa"/>
          </w:tcPr>
          <w:p w:rsidR="001770BA" w:rsidRDefault="001770BA" w:rsidP="00EF478F">
            <w:r>
              <w:t>314 (12%)</w:t>
            </w:r>
          </w:p>
        </w:tc>
      </w:tr>
      <w:tr w:rsidR="001770BA" w:rsidTr="00EF478F">
        <w:tc>
          <w:tcPr>
            <w:tcW w:w="5665" w:type="dxa"/>
          </w:tcPr>
          <w:p w:rsidR="001770BA" w:rsidRDefault="001770BA" w:rsidP="00EF478F">
            <w:r>
              <w:t>DNA new patient appointment</w:t>
            </w:r>
          </w:p>
        </w:tc>
        <w:tc>
          <w:tcPr>
            <w:tcW w:w="3119" w:type="dxa"/>
          </w:tcPr>
          <w:p w:rsidR="001770BA" w:rsidRDefault="001770BA" w:rsidP="00EF478F">
            <w:r>
              <w:t>186 (7%)</w:t>
            </w:r>
          </w:p>
        </w:tc>
      </w:tr>
      <w:tr w:rsidR="001770BA" w:rsidTr="00EF478F">
        <w:tc>
          <w:tcPr>
            <w:tcW w:w="5665" w:type="dxa"/>
          </w:tcPr>
          <w:p w:rsidR="001770BA" w:rsidRDefault="001770BA" w:rsidP="00EF478F">
            <w:r>
              <w:t>DNA follow-up appointment</w:t>
            </w:r>
          </w:p>
        </w:tc>
        <w:tc>
          <w:tcPr>
            <w:tcW w:w="3119" w:type="dxa"/>
          </w:tcPr>
          <w:p w:rsidR="001770BA" w:rsidRDefault="001770BA" w:rsidP="00EF478F">
            <w:r>
              <w:t>128 (5%)</w:t>
            </w:r>
          </w:p>
        </w:tc>
      </w:tr>
      <w:tr w:rsidR="001770BA" w:rsidTr="00EF478F">
        <w:tc>
          <w:tcPr>
            <w:tcW w:w="5665" w:type="dxa"/>
          </w:tcPr>
          <w:p w:rsidR="001770BA" w:rsidRDefault="001770BA" w:rsidP="00EF478F">
            <w:r>
              <w:t>Discharged at first appointment</w:t>
            </w:r>
          </w:p>
        </w:tc>
        <w:tc>
          <w:tcPr>
            <w:tcW w:w="3119" w:type="dxa"/>
          </w:tcPr>
          <w:p w:rsidR="001770BA" w:rsidRDefault="001770BA" w:rsidP="00EF478F">
            <w:r>
              <w:t>383 (25%)</w:t>
            </w:r>
          </w:p>
        </w:tc>
      </w:tr>
      <w:tr w:rsidR="001770BA" w:rsidTr="00EF478F">
        <w:tc>
          <w:tcPr>
            <w:tcW w:w="5665" w:type="dxa"/>
          </w:tcPr>
          <w:p w:rsidR="001770BA" w:rsidRDefault="001770BA" w:rsidP="00EF478F">
            <w:r>
              <w:t>MRI</w:t>
            </w:r>
          </w:p>
        </w:tc>
        <w:tc>
          <w:tcPr>
            <w:tcW w:w="3119" w:type="dxa"/>
          </w:tcPr>
          <w:p w:rsidR="001770BA" w:rsidRDefault="001770BA" w:rsidP="00EF478F">
            <w:r>
              <w:t>629 (24%)</w:t>
            </w:r>
          </w:p>
        </w:tc>
      </w:tr>
      <w:tr w:rsidR="001770BA" w:rsidTr="00EF478F">
        <w:tc>
          <w:tcPr>
            <w:tcW w:w="5665" w:type="dxa"/>
          </w:tcPr>
          <w:p w:rsidR="001770BA" w:rsidRDefault="001770BA" w:rsidP="00EF478F">
            <w:r>
              <w:t>Injections</w:t>
            </w:r>
          </w:p>
        </w:tc>
        <w:tc>
          <w:tcPr>
            <w:tcW w:w="3119" w:type="dxa"/>
          </w:tcPr>
          <w:p w:rsidR="001770BA" w:rsidRDefault="001770BA" w:rsidP="00EF478F">
            <w:r>
              <w:t>477 (18%)</w:t>
            </w:r>
          </w:p>
        </w:tc>
      </w:tr>
      <w:tr w:rsidR="001770BA" w:rsidTr="00EF478F">
        <w:tc>
          <w:tcPr>
            <w:tcW w:w="5665" w:type="dxa"/>
          </w:tcPr>
          <w:p w:rsidR="001770BA" w:rsidRDefault="001770BA" w:rsidP="00EF478F">
            <w:r>
              <w:t>Surgical MDT discussion</w:t>
            </w:r>
          </w:p>
        </w:tc>
        <w:tc>
          <w:tcPr>
            <w:tcW w:w="3119" w:type="dxa"/>
          </w:tcPr>
          <w:p w:rsidR="001770BA" w:rsidRDefault="001770BA" w:rsidP="00EF478F">
            <w:r>
              <w:t>171 (7%)</w:t>
            </w:r>
          </w:p>
        </w:tc>
      </w:tr>
      <w:tr w:rsidR="001770BA" w:rsidTr="00EF478F">
        <w:tc>
          <w:tcPr>
            <w:tcW w:w="5665" w:type="dxa"/>
          </w:tcPr>
          <w:p w:rsidR="001770BA" w:rsidRDefault="001770BA" w:rsidP="00EF478F">
            <w:r>
              <w:t>Management MDT (% of total)</w:t>
            </w:r>
          </w:p>
        </w:tc>
        <w:tc>
          <w:tcPr>
            <w:tcW w:w="3119" w:type="dxa"/>
          </w:tcPr>
          <w:p w:rsidR="001770BA" w:rsidRDefault="001770BA" w:rsidP="00EF478F">
            <w:r>
              <w:t>36 (1%)</w:t>
            </w:r>
          </w:p>
        </w:tc>
      </w:tr>
      <w:tr w:rsidR="001770BA" w:rsidTr="00EF478F">
        <w:tc>
          <w:tcPr>
            <w:tcW w:w="5665" w:type="dxa"/>
          </w:tcPr>
          <w:p w:rsidR="001770BA" w:rsidRDefault="001770BA" w:rsidP="00EF478F">
            <w:r>
              <w:lastRenderedPageBreak/>
              <w:t>Surgical conversion (% of those discussed surgical MDT)</w:t>
            </w:r>
          </w:p>
        </w:tc>
        <w:tc>
          <w:tcPr>
            <w:tcW w:w="3119" w:type="dxa"/>
          </w:tcPr>
          <w:p w:rsidR="001770BA" w:rsidRDefault="001770BA" w:rsidP="00EF478F">
            <w:r>
              <w:t>138 (81%)</w:t>
            </w:r>
          </w:p>
        </w:tc>
      </w:tr>
      <w:tr w:rsidR="001770BA" w:rsidTr="00EF478F">
        <w:tc>
          <w:tcPr>
            <w:tcW w:w="5665" w:type="dxa"/>
          </w:tcPr>
          <w:p w:rsidR="001770BA" w:rsidRDefault="001770BA" w:rsidP="00EF478F">
            <w:r>
              <w:t xml:space="preserve">Patient satisfaction </w:t>
            </w:r>
          </w:p>
        </w:tc>
        <w:tc>
          <w:tcPr>
            <w:tcW w:w="3119" w:type="dxa"/>
          </w:tcPr>
          <w:p w:rsidR="001770BA" w:rsidRDefault="001770BA" w:rsidP="00EF478F">
            <w:r>
              <w:t>139 (5%)</w:t>
            </w:r>
          </w:p>
        </w:tc>
      </w:tr>
      <w:tr w:rsidR="001770BA" w:rsidTr="00EF478F">
        <w:tc>
          <w:tcPr>
            <w:tcW w:w="5665" w:type="dxa"/>
          </w:tcPr>
          <w:p w:rsidR="001770BA" w:rsidRDefault="001770BA" w:rsidP="00EF478F">
            <w:r>
              <w:t>Would recommend this service to family and friends</w:t>
            </w:r>
          </w:p>
        </w:tc>
        <w:tc>
          <w:tcPr>
            <w:tcW w:w="3119" w:type="dxa"/>
          </w:tcPr>
          <w:p w:rsidR="001770BA" w:rsidRDefault="001770BA" w:rsidP="00EF478F">
            <w:r>
              <w:t>137 (99%)</w:t>
            </w:r>
          </w:p>
        </w:tc>
      </w:tr>
    </w:tbl>
    <w:p w:rsidR="001770BA" w:rsidRPr="00107AFB" w:rsidRDefault="001770BA" w:rsidP="001770BA">
      <w:pPr>
        <w:spacing w:line="480" w:lineRule="auto"/>
        <w:rPr>
          <w:i/>
          <w:sz w:val="20"/>
        </w:rPr>
      </w:pPr>
      <w:r w:rsidRPr="00107AFB">
        <w:rPr>
          <w:i/>
          <w:sz w:val="20"/>
        </w:rPr>
        <w:t xml:space="preserve">Abbreviations used: DNA did not attend, MRI magnetic resonance imaging, MDT multidisciplinary team meeting. </w:t>
      </w:r>
    </w:p>
    <w:p w:rsidR="001770BA" w:rsidRDefault="001770BA" w:rsidP="001770BA"/>
    <w:p w:rsidR="00A1112A" w:rsidRDefault="00A1112A" w:rsidP="00B25B82">
      <w:pPr>
        <w:spacing w:line="480" w:lineRule="auto"/>
        <w:rPr>
          <w:i/>
        </w:rPr>
      </w:pPr>
      <w:r>
        <w:rPr>
          <w:i/>
        </w:rPr>
        <w:t>APP Service Structure</w:t>
      </w:r>
    </w:p>
    <w:p w:rsidR="00E92995" w:rsidRPr="0058542F" w:rsidRDefault="00BB4D71" w:rsidP="00B25B82">
      <w:pPr>
        <w:pStyle w:val="ListParagraph"/>
        <w:numPr>
          <w:ilvl w:val="0"/>
          <w:numId w:val="9"/>
        </w:numPr>
        <w:spacing w:line="480" w:lineRule="auto"/>
        <w:rPr>
          <w:i/>
        </w:rPr>
      </w:pPr>
      <w:r>
        <w:rPr>
          <w:i/>
        </w:rPr>
        <w:t xml:space="preserve">Paper </w:t>
      </w:r>
      <w:r w:rsidR="00E92995" w:rsidRPr="0058542F">
        <w:rPr>
          <w:i/>
        </w:rPr>
        <w:t>Triage</w:t>
      </w:r>
    </w:p>
    <w:p w:rsidR="00E92995" w:rsidRDefault="00E92995" w:rsidP="00B25B82">
      <w:pPr>
        <w:autoSpaceDE w:val="0"/>
        <w:autoSpaceDN w:val="0"/>
        <w:adjustRightInd w:val="0"/>
        <w:spacing w:after="0" w:line="480" w:lineRule="auto"/>
        <w:rPr>
          <w:rFonts w:cstheme="minorHAnsi"/>
          <w:szCs w:val="17"/>
        </w:rPr>
      </w:pPr>
      <w:r>
        <w:t xml:space="preserve">Since 2019, the </w:t>
      </w:r>
      <w:r w:rsidR="00A8685A">
        <w:t>APP</w:t>
      </w:r>
      <w:r>
        <w:t xml:space="preserve"> team has triaged all </w:t>
      </w:r>
      <w:r w:rsidR="00ED276A">
        <w:t>referrals into the spinal out</w:t>
      </w:r>
      <w:r>
        <w:t xml:space="preserve">patient department. Exclusions for the </w:t>
      </w:r>
      <w:r w:rsidR="00A8685A">
        <w:t>APP</w:t>
      </w:r>
      <w:r>
        <w:t xml:space="preserve"> team are scoliosis, acute fractures,</w:t>
      </w:r>
      <w:r>
        <w:rPr>
          <w:rFonts w:cstheme="minorHAnsi"/>
          <w:szCs w:val="17"/>
        </w:rPr>
        <w:t xml:space="preserve"> suspected metastatic disease </w:t>
      </w:r>
      <w:r w:rsidRPr="00C232C9">
        <w:rPr>
          <w:rFonts w:cstheme="minorHAnsi"/>
          <w:szCs w:val="17"/>
        </w:rPr>
        <w:t>and named referrals to certain consultants.</w:t>
      </w:r>
      <w:r>
        <w:rPr>
          <w:rFonts w:cstheme="minorHAnsi"/>
          <w:szCs w:val="17"/>
        </w:rPr>
        <w:t xml:space="preserve"> Appointment letters are sent by post and include a booklet describing the </w:t>
      </w:r>
      <w:r w:rsidR="00A8685A">
        <w:rPr>
          <w:rFonts w:cstheme="minorHAnsi"/>
          <w:szCs w:val="17"/>
        </w:rPr>
        <w:t>APP</w:t>
      </w:r>
      <w:r>
        <w:rPr>
          <w:rFonts w:cstheme="minorHAnsi"/>
          <w:szCs w:val="17"/>
        </w:rPr>
        <w:t xml:space="preserve"> service. This booklet was updated in 2021 with patient feedback.</w:t>
      </w:r>
    </w:p>
    <w:p w:rsidR="00E92995" w:rsidRPr="0058542F" w:rsidRDefault="00112596" w:rsidP="00B25B82">
      <w:pPr>
        <w:pStyle w:val="ListParagraph"/>
        <w:numPr>
          <w:ilvl w:val="0"/>
          <w:numId w:val="9"/>
        </w:numPr>
        <w:autoSpaceDE w:val="0"/>
        <w:autoSpaceDN w:val="0"/>
        <w:adjustRightInd w:val="0"/>
        <w:spacing w:after="0" w:line="480" w:lineRule="auto"/>
        <w:rPr>
          <w:rFonts w:cstheme="minorHAnsi"/>
          <w:i/>
          <w:szCs w:val="17"/>
        </w:rPr>
      </w:pPr>
      <w:r>
        <w:rPr>
          <w:rFonts w:cstheme="minorHAnsi"/>
          <w:i/>
          <w:szCs w:val="17"/>
        </w:rPr>
        <w:t xml:space="preserve">Surgical Triage </w:t>
      </w:r>
      <w:r w:rsidR="00E92995" w:rsidRPr="0058542F">
        <w:rPr>
          <w:rFonts w:cstheme="minorHAnsi"/>
          <w:i/>
          <w:szCs w:val="17"/>
        </w:rPr>
        <w:t xml:space="preserve"> </w:t>
      </w:r>
    </w:p>
    <w:p w:rsidR="00634256" w:rsidRDefault="00A8685A" w:rsidP="00B25B82">
      <w:pPr>
        <w:spacing w:line="480" w:lineRule="auto"/>
      </w:pPr>
      <w:r>
        <w:rPr>
          <w:rFonts w:cstheme="minorHAnsi"/>
          <w:szCs w:val="17"/>
        </w:rPr>
        <w:t>APP</w:t>
      </w:r>
      <w:r w:rsidR="00E92995">
        <w:rPr>
          <w:rFonts w:cstheme="minorHAnsi"/>
          <w:szCs w:val="17"/>
        </w:rPr>
        <w:t>s assessed patients in the spinal outpatient department. New patients received a 30-minute appointment, and foll</w:t>
      </w:r>
      <w:r w:rsidR="00107AFB">
        <w:rPr>
          <w:rFonts w:cstheme="minorHAnsi"/>
          <w:szCs w:val="17"/>
        </w:rPr>
        <w:t>ow-ups were either 30-minutes</w:t>
      </w:r>
      <w:r w:rsidR="00E92995">
        <w:rPr>
          <w:rFonts w:cstheme="minorHAnsi"/>
          <w:szCs w:val="17"/>
        </w:rPr>
        <w:t xml:space="preserve"> in-person, or 15-minutes </w:t>
      </w:r>
      <w:r w:rsidR="00107AFB">
        <w:rPr>
          <w:rFonts w:cstheme="minorHAnsi"/>
          <w:szCs w:val="17"/>
        </w:rPr>
        <w:t xml:space="preserve">for </w:t>
      </w:r>
      <w:r w:rsidR="00E92995">
        <w:rPr>
          <w:rFonts w:cstheme="minorHAnsi"/>
          <w:szCs w:val="17"/>
        </w:rPr>
        <w:t>telephone</w:t>
      </w:r>
      <w:r w:rsidR="00107AFB">
        <w:rPr>
          <w:rFonts w:cstheme="minorHAnsi"/>
          <w:szCs w:val="17"/>
        </w:rPr>
        <w:t xml:space="preserve"> follow-ups</w:t>
      </w:r>
      <w:r w:rsidR="00E92995">
        <w:rPr>
          <w:rFonts w:cstheme="minorHAnsi"/>
          <w:szCs w:val="17"/>
        </w:rPr>
        <w:t xml:space="preserve">. </w:t>
      </w:r>
      <w:r>
        <w:rPr>
          <w:rFonts w:cstheme="minorHAnsi"/>
          <w:szCs w:val="17"/>
        </w:rPr>
        <w:t>APP</w:t>
      </w:r>
      <w:r w:rsidR="00E92995">
        <w:rPr>
          <w:rFonts w:cstheme="minorHAnsi"/>
          <w:szCs w:val="17"/>
        </w:rPr>
        <w:t>s would assess the patient, agree a management plan, organise any imaging or diagnostic requests and dictate a letter to the referrer (with the patient copied in) during this time</w:t>
      </w:r>
      <w:r w:rsidR="00B871CC">
        <w:rPr>
          <w:rFonts w:cstheme="minorHAnsi"/>
          <w:szCs w:val="17"/>
        </w:rPr>
        <w:t>.</w:t>
      </w:r>
    </w:p>
    <w:p w:rsidR="00E92995" w:rsidRPr="0058542F" w:rsidRDefault="00E92995" w:rsidP="00B25B82">
      <w:pPr>
        <w:pStyle w:val="ListParagraph"/>
        <w:numPr>
          <w:ilvl w:val="0"/>
          <w:numId w:val="9"/>
        </w:numPr>
        <w:autoSpaceDE w:val="0"/>
        <w:autoSpaceDN w:val="0"/>
        <w:adjustRightInd w:val="0"/>
        <w:spacing w:after="0" w:line="480" w:lineRule="auto"/>
        <w:rPr>
          <w:i/>
        </w:rPr>
      </w:pPr>
      <w:r w:rsidRPr="0058542F">
        <w:rPr>
          <w:i/>
        </w:rPr>
        <w:t>Consultant Review</w:t>
      </w:r>
    </w:p>
    <w:p w:rsidR="00A1112A" w:rsidRDefault="00107AFB" w:rsidP="00B25B82">
      <w:pPr>
        <w:autoSpaceDE w:val="0"/>
        <w:autoSpaceDN w:val="0"/>
        <w:adjustRightInd w:val="0"/>
        <w:spacing w:after="0" w:line="480" w:lineRule="auto"/>
        <w:rPr>
          <w:rFonts w:cstheme="minorHAnsi"/>
          <w:szCs w:val="17"/>
        </w:rPr>
      </w:pPr>
      <w:r>
        <w:t>At</w:t>
      </w:r>
      <w:r w:rsidR="00E92995">
        <w:t xml:space="preserve"> the start of 2019, two dedicated multi-disciplinary team (MDT) meetings with Consultant Spinal </w:t>
      </w:r>
      <w:r w:rsidR="00833624">
        <w:t>surgeon</w:t>
      </w:r>
      <w:r w:rsidR="0058542F">
        <w:t xml:space="preserve"> occurred</w:t>
      </w:r>
      <w:r w:rsidR="00E92995">
        <w:t xml:space="preserve">. </w:t>
      </w:r>
      <w:r>
        <w:t xml:space="preserve">Each MDT meeting was held with </w:t>
      </w:r>
      <w:r w:rsidR="00A8685A">
        <w:t>an</w:t>
      </w:r>
      <w:r>
        <w:t xml:space="preserve"> </w:t>
      </w:r>
      <w:r w:rsidR="00A8685A">
        <w:t>APP</w:t>
      </w:r>
      <w:r>
        <w:t xml:space="preserve"> and Consultant Spinal </w:t>
      </w:r>
      <w:r w:rsidR="00833624">
        <w:t>surgeon</w:t>
      </w:r>
      <w:r>
        <w:t>. At</w:t>
      </w:r>
      <w:r w:rsidR="00E92995">
        <w:t xml:space="preserve"> the end of 2019, </w:t>
      </w:r>
      <w:r>
        <w:t xml:space="preserve">one </w:t>
      </w:r>
      <w:r w:rsidR="00E92995">
        <w:t xml:space="preserve">Consultant </w:t>
      </w:r>
      <w:r>
        <w:t xml:space="preserve">Spinal Surgeon </w:t>
      </w:r>
      <w:r w:rsidR="00E92995">
        <w:t xml:space="preserve">in parallel with the Consultant Physiotherapist began monthly in-person 3-hour </w:t>
      </w:r>
      <w:r>
        <w:t xml:space="preserve">MDT </w:t>
      </w:r>
      <w:r w:rsidR="00E92995">
        <w:t xml:space="preserve">clinics to see more complex patients for surgical suitability. Spreadsheets including patient information for </w:t>
      </w:r>
      <w:r>
        <w:t>MDT</w:t>
      </w:r>
      <w:r w:rsidR="00E92995">
        <w:t xml:space="preserve"> meetings with Consultant Spinal </w:t>
      </w:r>
      <w:r w:rsidR="0058542F">
        <w:t>S</w:t>
      </w:r>
      <w:r w:rsidR="00833624">
        <w:t xml:space="preserve">urgeons </w:t>
      </w:r>
      <w:r w:rsidR="00E92995">
        <w:t xml:space="preserve">(two per month) and face-to-face MDTs (one per month) were retrospectively reviewed by two clinicians independently to count number discussed, reason for discussion, surgical listing and outcome. </w:t>
      </w:r>
    </w:p>
    <w:p w:rsidR="00B871CC" w:rsidRPr="00B871CC" w:rsidRDefault="00B871CC" w:rsidP="00B25B82">
      <w:pPr>
        <w:autoSpaceDE w:val="0"/>
        <w:autoSpaceDN w:val="0"/>
        <w:adjustRightInd w:val="0"/>
        <w:spacing w:after="0" w:line="480" w:lineRule="auto"/>
        <w:rPr>
          <w:rFonts w:cstheme="minorHAnsi"/>
          <w:szCs w:val="17"/>
        </w:rPr>
      </w:pPr>
    </w:p>
    <w:p w:rsidR="00A1112A" w:rsidRPr="0058542F" w:rsidRDefault="00A1112A" w:rsidP="00B25B82">
      <w:pPr>
        <w:spacing w:line="480" w:lineRule="auto"/>
        <w:rPr>
          <w:b/>
        </w:rPr>
      </w:pPr>
      <w:r w:rsidRPr="0058542F">
        <w:rPr>
          <w:b/>
        </w:rPr>
        <w:lastRenderedPageBreak/>
        <w:t>Study Methods:</w:t>
      </w:r>
    </w:p>
    <w:p w:rsidR="008B58F5" w:rsidRPr="00451F41" w:rsidRDefault="008B58F5" w:rsidP="00B25B82">
      <w:pPr>
        <w:spacing w:line="480" w:lineRule="auto"/>
        <w:rPr>
          <w:i/>
        </w:rPr>
      </w:pPr>
      <w:r w:rsidRPr="00451F41">
        <w:rPr>
          <w:i/>
        </w:rPr>
        <w:t>Data Collection</w:t>
      </w:r>
    </w:p>
    <w:p w:rsidR="0088109F" w:rsidRDefault="00D66E34" w:rsidP="00B25B82">
      <w:pPr>
        <w:spacing w:line="480" w:lineRule="auto"/>
      </w:pPr>
      <w:r>
        <w:t>C</w:t>
      </w:r>
      <w:r w:rsidR="001D503F">
        <w:t xml:space="preserve">linic utilisation </w:t>
      </w:r>
      <w:r>
        <w:t xml:space="preserve">data </w:t>
      </w:r>
      <w:r w:rsidR="008F5927">
        <w:t xml:space="preserve">extracted from the </w:t>
      </w:r>
      <w:r w:rsidR="0088109F">
        <w:t>hospital’s</w:t>
      </w:r>
      <w:r w:rsidR="008F5927">
        <w:t xml:space="preserve"> online dashboard </w:t>
      </w:r>
      <w:r>
        <w:t>were</w:t>
      </w:r>
      <w:r w:rsidR="008F5927">
        <w:t xml:space="preserve"> compared across years with counts and percentages. Data extracted included number and percentage of new and follow-up</w:t>
      </w:r>
      <w:r w:rsidR="0088109F">
        <w:t xml:space="preserve"> appointme</w:t>
      </w:r>
      <w:r w:rsidR="008F5927">
        <w:t>n</w:t>
      </w:r>
      <w:r w:rsidR="0088109F">
        <w:t>t</w:t>
      </w:r>
      <w:r w:rsidR="008F5927">
        <w:t>s</w:t>
      </w:r>
      <w:r w:rsidR="002E3F99">
        <w:t>, telehealth</w:t>
      </w:r>
      <w:r w:rsidR="008F5927">
        <w:t xml:space="preserve"> appointments, number discharged at first contact, </w:t>
      </w:r>
      <w:r w:rsidR="00C232C9">
        <w:t>non</w:t>
      </w:r>
      <w:r w:rsidR="0088109F">
        <w:t>-attendance rates</w:t>
      </w:r>
      <w:r w:rsidR="00C232C9">
        <w:t>, average weeks wait for new</w:t>
      </w:r>
      <w:r w:rsidR="00950564">
        <w:t>-</w:t>
      </w:r>
      <w:r w:rsidR="00C232C9">
        <w:t xml:space="preserve"> and follow-up appointments</w:t>
      </w:r>
      <w:r w:rsidR="00B871CC">
        <w:t>. Further data were</w:t>
      </w:r>
      <w:r w:rsidR="0088109F">
        <w:t xml:space="preserve"> </w:t>
      </w:r>
      <w:r>
        <w:t>extracted</w:t>
      </w:r>
      <w:r w:rsidR="0088109F">
        <w:t xml:space="preserve"> using the business intelligence function inbuilt onto the</w:t>
      </w:r>
      <w:r w:rsidR="0058542F">
        <w:t xml:space="preserve"> local hospital</w:t>
      </w:r>
      <w:r w:rsidR="0088109F">
        <w:t xml:space="preserve"> system </w:t>
      </w:r>
      <w:r w:rsidR="0058542F">
        <w:t xml:space="preserve">(Medway) </w:t>
      </w:r>
      <w:r w:rsidR="0088109F">
        <w:t>to allow for injections requested and number of MRIs requested.</w:t>
      </w:r>
      <w:r w:rsidR="00F2338B">
        <w:t xml:space="preserve"> Data regarding</w:t>
      </w:r>
      <w:r w:rsidR="00B871CC">
        <w:t xml:space="preserve"> wait-list clinic initiatives were</w:t>
      </w:r>
      <w:r w:rsidR="00F2338B">
        <w:t xml:space="preserve"> </w:t>
      </w:r>
      <w:r>
        <w:t>extracte</w:t>
      </w:r>
      <w:r w:rsidR="00F2338B">
        <w:t>d retrospectively from submitted claim forms, with hours claimed per document</w:t>
      </w:r>
      <w:r>
        <w:t xml:space="preserve"> per clinician</w:t>
      </w:r>
      <w:r w:rsidR="00F2338B">
        <w:t xml:space="preserve"> counted and summed</w:t>
      </w:r>
      <w:r w:rsidR="00C232C9">
        <w:t xml:space="preserve">. </w:t>
      </w:r>
      <w:r w:rsidR="0088109F">
        <w:t xml:space="preserve"> </w:t>
      </w:r>
    </w:p>
    <w:p w:rsidR="00451F41" w:rsidRPr="00451F41" w:rsidRDefault="00451F41" w:rsidP="00B25B82">
      <w:pPr>
        <w:spacing w:line="480" w:lineRule="auto"/>
        <w:rPr>
          <w:i/>
        </w:rPr>
      </w:pPr>
      <w:r w:rsidRPr="00451F41">
        <w:rPr>
          <w:i/>
        </w:rPr>
        <w:t>Patient Satisfaction Data</w:t>
      </w:r>
    </w:p>
    <w:p w:rsidR="00451F41" w:rsidRDefault="00451F41" w:rsidP="00B25B82">
      <w:pPr>
        <w:spacing w:line="480" w:lineRule="auto"/>
      </w:pPr>
      <w:r>
        <w:t>Patient satisfaction</w:t>
      </w:r>
      <w:r w:rsidR="00D66E34">
        <w:t xml:space="preserve"> data were</w:t>
      </w:r>
      <w:r w:rsidR="00E92995">
        <w:t xml:space="preserve"> col</w:t>
      </w:r>
      <w:r w:rsidR="00761DC4">
        <w:t>lected through five main methods:</w:t>
      </w:r>
      <w:r>
        <w:t xml:space="preserve"> </w:t>
      </w:r>
    </w:p>
    <w:p w:rsidR="00451F41" w:rsidRDefault="0002508A" w:rsidP="00B25B82">
      <w:pPr>
        <w:pStyle w:val="ListParagraph"/>
        <w:numPr>
          <w:ilvl w:val="0"/>
          <w:numId w:val="5"/>
        </w:numPr>
        <w:spacing w:line="480" w:lineRule="auto"/>
      </w:pPr>
      <w:r>
        <w:t>The F</w:t>
      </w:r>
      <w:r w:rsidR="00451F41">
        <w:t xml:space="preserve">riends and </w:t>
      </w:r>
      <w:r>
        <w:t>F</w:t>
      </w:r>
      <w:r w:rsidR="00451F41">
        <w:t>amily test</w:t>
      </w:r>
      <w:r w:rsidR="00950564">
        <w:t xml:space="preserve"> </w:t>
      </w:r>
      <w:r>
        <w:fldChar w:fldCharType="begin" w:fldLock="1"/>
      </w:r>
      <w:r w:rsidR="00CC7D30">
        <w:instrText>ADDIN CSL_CITATION {"citationItems":[{"id":"ITEM-1","itemData":{"author":[{"dropping-particle":"","family":"NHS England","given":"","non-dropping-particle":"","parse-names":false,"suffix":""}],"id":"ITEM-1","issued":{"date-parts":[["2013"]]},"title":"Friends and Family Test","type":"webpage"},"uris":["http://www.mendeley.com/documents/?uuid=c3c47f7b-0200-485c-843d-f0db73c94ddc"]}],"mendeley":{"formattedCitation":"(16)","plainTextFormattedCitation":"(16)","previouslyFormattedCitation":"(16)"},"properties":{"noteIndex":0},"schema":"https://github.com/citation-style-language/schema/raw/master/csl-citation.json"}</w:instrText>
      </w:r>
      <w:r>
        <w:fldChar w:fldCharType="separate"/>
      </w:r>
      <w:r w:rsidR="00CC7D30" w:rsidRPr="00CC7D30">
        <w:rPr>
          <w:noProof/>
        </w:rPr>
        <w:t>(16)</w:t>
      </w:r>
      <w:r>
        <w:fldChar w:fldCharType="end"/>
      </w:r>
      <w:r w:rsidR="00451F41">
        <w:t xml:space="preserve"> reports for the spinal outpatient department were </w:t>
      </w:r>
      <w:r w:rsidR="00D66E34">
        <w:t xml:space="preserve">extracted </w:t>
      </w:r>
      <w:r w:rsidR="00451F41">
        <w:t xml:space="preserve">using business </w:t>
      </w:r>
      <w:r w:rsidR="00451F41" w:rsidRPr="00CB503D">
        <w:t>intelligence.</w:t>
      </w:r>
      <w:r w:rsidR="00AC3BF2" w:rsidRPr="00CB503D">
        <w:t xml:space="preserve"> This tests requests responders to rate their likelihood of referring the service to their friends and family </w:t>
      </w:r>
      <w:r w:rsidR="00AC3BF2" w:rsidRPr="00CB503D">
        <w:fldChar w:fldCharType="begin" w:fldLock="1"/>
      </w:r>
      <w:r w:rsidR="00AC3BF2" w:rsidRPr="00CB503D">
        <w:instrText>ADDIN CSL_CITATION {"citationItems":[{"id":"ITEM-1","itemData":{"URL":"https://www.england.nhs.uk/fft/","accessed":{"date-parts":[["2021","2","7"]]},"author":[{"dropping-particle":"","family":"NHS","given":"","non-dropping-particle":"","parse-names":false,"suffix":""}],"id":"ITEM-1","issued":{"date-parts":[["2015"]]},"title":"Friends and Family Test","type":"webpage"},"uris":["http://www.mendeley.com/documents/?uuid=a11592c3-a61e-416f-b7e5-4d5eabf1783a"]}],"mendeley":{"formattedCitation":"(17)","plainTextFormattedCitation":"(17)"},"properties":{"noteIndex":0},"schema":"https://github.com/citation-style-language/schema/raw/master/csl-citation.json"}</w:instrText>
      </w:r>
      <w:r w:rsidR="00AC3BF2" w:rsidRPr="00CB503D">
        <w:fldChar w:fldCharType="separate"/>
      </w:r>
      <w:r w:rsidR="00AC3BF2" w:rsidRPr="00CB503D">
        <w:rPr>
          <w:noProof/>
        </w:rPr>
        <w:t>(17)</w:t>
      </w:r>
      <w:r w:rsidR="00AC3BF2" w:rsidRPr="00CB503D">
        <w:fldChar w:fldCharType="end"/>
      </w:r>
      <w:r w:rsidR="00AC3BF2" w:rsidRPr="00CB503D">
        <w:t>.</w:t>
      </w:r>
      <w:r w:rsidR="00AC3BF2">
        <w:t xml:space="preserve"> </w:t>
      </w:r>
      <w:r w:rsidR="00451F41">
        <w:t xml:space="preserve">This </w:t>
      </w:r>
      <w:r w:rsidR="00D66E34">
        <w:t>report</w:t>
      </w:r>
      <w:r w:rsidR="00451F41">
        <w:t xml:space="preserve"> was for the whole of spinal outpatients, not for the </w:t>
      </w:r>
      <w:r w:rsidR="00A8685A">
        <w:t>APP</w:t>
      </w:r>
      <w:r w:rsidR="00451F41">
        <w:t xml:space="preserve"> service only.</w:t>
      </w:r>
      <w:r w:rsidR="008967B0">
        <w:t xml:space="preserve"> The data analysts were only able to</w:t>
      </w:r>
      <w:r w:rsidR="00D66E34">
        <w:t xml:space="preserve"> extract</w:t>
      </w:r>
      <w:r w:rsidR="008967B0">
        <w:t xml:space="preserve"> this for complete years and so the data represented was for April 2019 to March 2020, and April 2020 to </w:t>
      </w:r>
      <w:r w:rsidR="00256353">
        <w:t>December 2021.</w:t>
      </w:r>
    </w:p>
    <w:p w:rsidR="00451F41" w:rsidRDefault="00451F41" w:rsidP="00B25B82">
      <w:pPr>
        <w:pStyle w:val="ListParagraph"/>
        <w:numPr>
          <w:ilvl w:val="0"/>
          <w:numId w:val="5"/>
        </w:numPr>
        <w:spacing w:line="480" w:lineRule="auto"/>
      </w:pPr>
      <w:r>
        <w:t xml:space="preserve">Health care assistants contacted a convenience sample of patients in early May 2020 who had had a new </w:t>
      </w:r>
      <w:r w:rsidR="002E3F99">
        <w:t>telehealth</w:t>
      </w:r>
      <w:r>
        <w:t xml:space="preserve"> consultation using the Doctor, Doctor </w:t>
      </w:r>
      <w:r w:rsidR="00A8685A">
        <w:t>Platform</w:t>
      </w:r>
      <w:r>
        <w:t xml:space="preserve">. Their experience was sought using predefined questions: mobility status, distance from hospital, whether video was more or less convenient, communication ease, and </w:t>
      </w:r>
      <w:r w:rsidRPr="00AC3BF2">
        <w:rPr>
          <w:i/>
        </w:rPr>
        <w:t>their</w:t>
      </w:r>
      <w:r>
        <w:t xml:space="preserve"> choice for future appointments. </w:t>
      </w:r>
    </w:p>
    <w:p w:rsidR="00451F41" w:rsidRDefault="00E92995" w:rsidP="00B25B82">
      <w:pPr>
        <w:pStyle w:val="ListParagraph"/>
        <w:numPr>
          <w:ilvl w:val="0"/>
          <w:numId w:val="5"/>
        </w:numPr>
        <w:spacing w:line="480" w:lineRule="auto"/>
      </w:pPr>
      <w:r>
        <w:lastRenderedPageBreak/>
        <w:t>Patient satisfaction questionnaires were collected anonymously by health care assistants after appointments were completed in t</w:t>
      </w:r>
      <w:r w:rsidR="00761DC4">
        <w:t xml:space="preserve">he spinal outpatient department. </w:t>
      </w:r>
      <w:r w:rsidR="00451F41">
        <w:t xml:space="preserve">The patient satisfaction questionnaire has been used in previous </w:t>
      </w:r>
      <w:r w:rsidR="00A8685A">
        <w:t>APP</w:t>
      </w:r>
      <w:r w:rsidR="00451F41">
        <w:t xml:space="preserve"> evaluations. It seeks to understand whether patients were satisfied with the outcomes and recommendations of their consultation, whether they were involved as much as they would have liked to be, and whether they would recommend the service. </w:t>
      </w:r>
    </w:p>
    <w:p w:rsidR="00451F41" w:rsidRDefault="002A0BF9" w:rsidP="00B25B82">
      <w:pPr>
        <w:pStyle w:val="ListParagraph"/>
        <w:numPr>
          <w:ilvl w:val="0"/>
          <w:numId w:val="5"/>
        </w:numPr>
        <w:spacing w:line="480" w:lineRule="auto"/>
      </w:pPr>
      <w:r>
        <w:t xml:space="preserve">Patients reporting frustration or dissatisfaction with the service received were consented to be contacted by the lead author (LW), </w:t>
      </w:r>
      <w:r w:rsidR="00451F41">
        <w:t>their stories heard, and mitigating changes suggested and addressed where possible to prevent repeat of the frustrations encountered. Each patient had a 1</w:t>
      </w:r>
      <w:r>
        <w:t>-</w:t>
      </w:r>
      <w:r w:rsidR="00451F41">
        <w:t>hour telephonic consultation and journey review, and was offered to attend a meeting where responses and proposed changes were fed back as a group. As a result of this group meeting, one further meeting was held with patient documentation for approval.</w:t>
      </w:r>
    </w:p>
    <w:p w:rsidR="00E92995" w:rsidRDefault="00E92995" w:rsidP="00B25B82">
      <w:pPr>
        <w:pStyle w:val="ListParagraph"/>
        <w:numPr>
          <w:ilvl w:val="0"/>
          <w:numId w:val="5"/>
        </w:numPr>
        <w:spacing w:line="480" w:lineRule="auto"/>
      </w:pPr>
      <w:r>
        <w:t xml:space="preserve">Concerns, compliments and complaints sent to the team via the Patient Advisory Liaison Service (PALS) were captured on a spreadsheet and counted. Themes were reviewed retrospectively. </w:t>
      </w:r>
    </w:p>
    <w:p w:rsidR="00993BE5" w:rsidRPr="008967B0" w:rsidRDefault="00E92995" w:rsidP="00B25B82">
      <w:pPr>
        <w:shd w:val="clear" w:color="auto" w:fill="FFFFFF"/>
        <w:spacing w:line="480" w:lineRule="auto"/>
        <w:rPr>
          <w:rFonts w:eastAsia="Times New Roman" w:cstheme="minorHAnsi"/>
          <w:i/>
          <w:color w:val="111111"/>
          <w:szCs w:val="21"/>
          <w:lang w:eastAsia="en-GB"/>
        </w:rPr>
      </w:pPr>
      <w:r>
        <w:rPr>
          <w:rFonts w:eastAsia="Times New Roman" w:cstheme="minorHAnsi"/>
          <w:i/>
          <w:color w:val="111111"/>
          <w:szCs w:val="21"/>
          <w:lang w:eastAsia="en-GB"/>
        </w:rPr>
        <w:t>Data</w:t>
      </w:r>
      <w:r w:rsidR="00993BE5" w:rsidRPr="008967B0">
        <w:rPr>
          <w:rFonts w:eastAsia="Times New Roman" w:cstheme="minorHAnsi"/>
          <w:i/>
          <w:color w:val="111111"/>
          <w:szCs w:val="21"/>
          <w:lang w:eastAsia="en-GB"/>
        </w:rPr>
        <w:t xml:space="preserve"> analysis: </w:t>
      </w:r>
    </w:p>
    <w:p w:rsidR="005A0917" w:rsidRPr="00F211EF" w:rsidRDefault="005A0917" w:rsidP="00B25B82">
      <w:pPr>
        <w:shd w:val="clear" w:color="auto" w:fill="FFFFFF"/>
        <w:spacing w:line="480" w:lineRule="auto"/>
        <w:rPr>
          <w:rFonts w:eastAsia="Times New Roman" w:cstheme="minorHAnsi"/>
          <w:color w:val="111111"/>
          <w:szCs w:val="21"/>
          <w:lang w:eastAsia="en-GB"/>
        </w:rPr>
      </w:pPr>
      <w:r w:rsidRPr="00F211EF">
        <w:rPr>
          <w:rFonts w:eastAsia="Times New Roman" w:cstheme="minorHAnsi"/>
          <w:color w:val="111111"/>
          <w:szCs w:val="21"/>
          <w:lang w:eastAsia="en-GB"/>
        </w:rPr>
        <w:t xml:space="preserve">Data </w:t>
      </w:r>
      <w:r w:rsidR="00F211EF" w:rsidRPr="00F211EF">
        <w:rPr>
          <w:rFonts w:eastAsia="Times New Roman" w:cstheme="minorHAnsi"/>
          <w:color w:val="111111"/>
          <w:szCs w:val="21"/>
          <w:lang w:eastAsia="en-GB"/>
        </w:rPr>
        <w:t xml:space="preserve">extracted </w:t>
      </w:r>
      <w:r w:rsidRPr="00F211EF">
        <w:rPr>
          <w:rFonts w:eastAsia="Times New Roman" w:cstheme="minorHAnsi"/>
          <w:color w:val="111111"/>
          <w:szCs w:val="21"/>
          <w:lang w:eastAsia="en-GB"/>
        </w:rPr>
        <w:t>were compared</w:t>
      </w:r>
      <w:r w:rsidR="00B871CC">
        <w:rPr>
          <w:rFonts w:eastAsia="Times New Roman" w:cstheme="minorHAnsi"/>
          <w:color w:val="111111"/>
          <w:szCs w:val="21"/>
          <w:lang w:eastAsia="en-GB"/>
        </w:rPr>
        <w:t xml:space="preserve"> </w:t>
      </w:r>
      <w:r w:rsidRPr="00F211EF">
        <w:rPr>
          <w:rFonts w:eastAsia="Times New Roman" w:cstheme="minorHAnsi"/>
          <w:color w:val="111111"/>
          <w:szCs w:val="21"/>
          <w:lang w:eastAsia="en-GB"/>
        </w:rPr>
        <w:t>to</w:t>
      </w:r>
      <w:r w:rsidR="00B871CC">
        <w:rPr>
          <w:rFonts w:eastAsia="Times New Roman" w:cstheme="minorHAnsi"/>
          <w:color w:val="111111"/>
          <w:szCs w:val="21"/>
          <w:lang w:eastAsia="en-GB"/>
        </w:rPr>
        <w:t xml:space="preserve"> </w:t>
      </w:r>
      <w:r w:rsidRPr="00F211EF">
        <w:rPr>
          <w:rFonts w:eastAsia="Times New Roman" w:cstheme="minorHAnsi"/>
          <w:color w:val="111111"/>
          <w:szCs w:val="21"/>
          <w:lang w:eastAsia="en-GB"/>
        </w:rPr>
        <w:t xml:space="preserve">previous service evaluation </w:t>
      </w:r>
      <w:r w:rsidR="00112596">
        <w:rPr>
          <w:rFonts w:eastAsia="Times New Roman" w:cstheme="minorHAnsi"/>
          <w:color w:val="111111"/>
          <w:szCs w:val="21"/>
          <w:lang w:eastAsia="en-GB"/>
        </w:rPr>
        <w:t>data.</w:t>
      </w:r>
      <w:r w:rsidRPr="00F211EF">
        <w:rPr>
          <w:rFonts w:eastAsia="Times New Roman" w:cstheme="minorHAnsi"/>
          <w:color w:val="111111"/>
          <w:szCs w:val="21"/>
          <w:lang w:eastAsia="en-GB"/>
        </w:rPr>
        <w:t xml:space="preserve"> </w:t>
      </w:r>
      <w:r w:rsidR="00F211EF" w:rsidRPr="00F211EF">
        <w:rPr>
          <w:rFonts w:eastAsia="Times New Roman" w:cstheme="minorHAnsi"/>
          <w:color w:val="111111"/>
          <w:szCs w:val="21"/>
          <w:lang w:eastAsia="en-GB"/>
        </w:rPr>
        <w:t xml:space="preserve">Each value was </w:t>
      </w:r>
      <w:r w:rsidR="002A0037" w:rsidRPr="00F211EF">
        <w:rPr>
          <w:rFonts w:eastAsia="Times New Roman" w:cstheme="minorHAnsi"/>
          <w:color w:val="111111"/>
          <w:szCs w:val="21"/>
          <w:lang w:eastAsia="en-GB"/>
        </w:rPr>
        <w:t>described</w:t>
      </w:r>
      <w:r w:rsidR="00B871CC">
        <w:rPr>
          <w:rFonts w:eastAsia="Times New Roman" w:cstheme="minorHAnsi"/>
          <w:color w:val="111111"/>
          <w:szCs w:val="21"/>
          <w:lang w:eastAsia="en-GB"/>
        </w:rPr>
        <w:t xml:space="preserve"> as</w:t>
      </w:r>
      <w:r w:rsidR="00F211EF" w:rsidRPr="00F211EF">
        <w:rPr>
          <w:rFonts w:eastAsia="Times New Roman" w:cstheme="minorHAnsi"/>
          <w:color w:val="111111"/>
          <w:szCs w:val="21"/>
          <w:lang w:eastAsia="en-GB"/>
        </w:rPr>
        <w:t xml:space="preserve"> counts and percentages of the total. </w:t>
      </w:r>
      <w:r w:rsidRPr="00F211EF">
        <w:rPr>
          <w:rFonts w:eastAsia="Times New Roman" w:cstheme="minorHAnsi"/>
          <w:color w:val="111111"/>
          <w:szCs w:val="21"/>
          <w:lang w:eastAsia="en-GB"/>
        </w:rPr>
        <w:t xml:space="preserve"> Direct comparisons </w:t>
      </w:r>
      <w:r w:rsidR="00F211EF" w:rsidRPr="00F211EF">
        <w:rPr>
          <w:rFonts w:eastAsia="Times New Roman" w:cstheme="minorHAnsi"/>
          <w:color w:val="111111"/>
          <w:szCs w:val="21"/>
          <w:lang w:eastAsia="en-GB"/>
        </w:rPr>
        <w:t xml:space="preserve">were made between the years evaluated (2019, 2020, and 2021). </w:t>
      </w:r>
      <w:r w:rsidR="00C34D8A">
        <w:rPr>
          <w:rFonts w:eastAsia="Times New Roman" w:cstheme="minorHAnsi"/>
          <w:color w:val="111111"/>
          <w:szCs w:val="21"/>
          <w:lang w:eastAsia="en-GB"/>
        </w:rPr>
        <w:t xml:space="preserve">Where monthly data was collected, 3-way analysis of variance (ANOVA) testing was applied to test for differences between the years. Where statistically significant differences were identified, univariate regression with </w:t>
      </w:r>
      <w:proofErr w:type="spellStart"/>
      <w:r w:rsidR="00C34D8A">
        <w:rPr>
          <w:rFonts w:eastAsia="Times New Roman" w:cstheme="minorHAnsi"/>
          <w:color w:val="111111"/>
          <w:szCs w:val="21"/>
          <w:lang w:eastAsia="en-GB"/>
        </w:rPr>
        <w:t>Sheffe</w:t>
      </w:r>
      <w:proofErr w:type="spellEnd"/>
      <w:r w:rsidR="00C34D8A">
        <w:rPr>
          <w:rFonts w:eastAsia="Times New Roman" w:cstheme="minorHAnsi"/>
          <w:color w:val="111111"/>
          <w:szCs w:val="21"/>
          <w:lang w:eastAsia="en-GB"/>
        </w:rPr>
        <w:t xml:space="preserve"> and Tukey post-hoc analysis was performed to test for year on year statistically significant findings</w:t>
      </w:r>
      <w:r w:rsidR="00ED01E3">
        <w:rPr>
          <w:rFonts w:eastAsia="Times New Roman" w:cstheme="minorHAnsi"/>
          <w:color w:val="111111"/>
          <w:szCs w:val="21"/>
          <w:lang w:eastAsia="en-GB"/>
        </w:rPr>
        <w:t>, reported in reported as mean difference (MD) and F value</w:t>
      </w:r>
      <w:r w:rsidR="00C34D8A">
        <w:rPr>
          <w:rFonts w:eastAsia="Times New Roman" w:cstheme="minorHAnsi"/>
          <w:color w:val="111111"/>
          <w:szCs w:val="21"/>
          <w:lang w:eastAsia="en-GB"/>
        </w:rPr>
        <w:t xml:space="preserve">. </w:t>
      </w:r>
    </w:p>
    <w:p w:rsidR="008403D7" w:rsidRDefault="008403D7" w:rsidP="00B25B82">
      <w:pPr>
        <w:spacing w:line="480" w:lineRule="auto"/>
        <w:rPr>
          <w:b/>
          <w:u w:val="single"/>
        </w:rPr>
      </w:pPr>
    </w:p>
    <w:p w:rsidR="00993BE5" w:rsidRPr="00C57C4C" w:rsidRDefault="00993BE5" w:rsidP="00B25B82">
      <w:pPr>
        <w:spacing w:line="480" w:lineRule="auto"/>
        <w:rPr>
          <w:b/>
          <w:u w:val="single"/>
        </w:rPr>
      </w:pPr>
      <w:r w:rsidRPr="00C57C4C">
        <w:rPr>
          <w:b/>
          <w:u w:val="single"/>
        </w:rPr>
        <w:lastRenderedPageBreak/>
        <w:t xml:space="preserve">Results: </w:t>
      </w:r>
    </w:p>
    <w:p w:rsidR="00C9219C" w:rsidRPr="008967B0" w:rsidRDefault="00C9219C" w:rsidP="00B25B82">
      <w:pPr>
        <w:spacing w:line="480" w:lineRule="auto"/>
        <w:rPr>
          <w:i/>
        </w:rPr>
      </w:pPr>
      <w:r w:rsidRPr="008967B0">
        <w:rPr>
          <w:i/>
        </w:rPr>
        <w:t>Clinic Utilisation:</w:t>
      </w:r>
    </w:p>
    <w:p w:rsidR="00451F41" w:rsidRDefault="00C71A35" w:rsidP="00B25B82">
      <w:pPr>
        <w:spacing w:line="480" w:lineRule="auto"/>
      </w:pPr>
      <w:r>
        <w:t xml:space="preserve">A total of 10635 </w:t>
      </w:r>
      <w:r w:rsidR="00C71CC2">
        <w:t>p</w:t>
      </w:r>
      <w:r w:rsidR="00FA5CF9">
        <w:t>atient</w:t>
      </w:r>
      <w:r w:rsidR="00C71CC2">
        <w:t>s</w:t>
      </w:r>
      <w:r w:rsidR="00FA5CF9">
        <w:t xml:space="preserve"> </w:t>
      </w:r>
      <w:r>
        <w:t xml:space="preserve">were </w:t>
      </w:r>
      <w:r w:rsidR="00C71CC2">
        <w:t xml:space="preserve">seen </w:t>
      </w:r>
      <w:r>
        <w:t xml:space="preserve">by the </w:t>
      </w:r>
      <w:r w:rsidR="00A8685A">
        <w:t>APP</w:t>
      </w:r>
      <w:r>
        <w:t xml:space="preserve"> service between 2019 and 2021</w:t>
      </w:r>
      <w:r w:rsidR="002626AC">
        <w:t xml:space="preserve"> (see Table 2)</w:t>
      </w:r>
      <w:r w:rsidR="00C71CC2">
        <w:t xml:space="preserve">. Over the COVID-19 pandemic (2020) a </w:t>
      </w:r>
      <w:r w:rsidR="00FA5CF9">
        <w:t>decline</w:t>
      </w:r>
      <w:r w:rsidR="005D3431">
        <w:t xml:space="preserve"> of n=407 </w:t>
      </w:r>
      <w:r w:rsidR="00AA5211">
        <w:t>(</w:t>
      </w:r>
      <w:r w:rsidR="005D3431">
        <w:t>22%)</w:t>
      </w:r>
      <w:r w:rsidR="00FA5CF9">
        <w:t xml:space="preserve"> </w:t>
      </w:r>
      <w:r w:rsidR="00C71CC2">
        <w:t xml:space="preserve">was </w:t>
      </w:r>
      <w:r w:rsidR="00FA5CF9">
        <w:t xml:space="preserve">noted in referrals </w:t>
      </w:r>
      <w:r w:rsidR="00C71CC2">
        <w:t xml:space="preserve">as well as </w:t>
      </w:r>
      <w:r>
        <w:t>in new</w:t>
      </w:r>
      <w:r w:rsidR="00FA5CF9">
        <w:t xml:space="preserve"> patients seen</w:t>
      </w:r>
      <w:r w:rsidR="005D3431">
        <w:t xml:space="preserve"> (</w:t>
      </w:r>
      <w:r w:rsidR="001344DB">
        <w:t>n=</w:t>
      </w:r>
      <w:r>
        <w:t>385 less</w:t>
      </w:r>
      <w:r w:rsidR="00ED01E3">
        <w:t>; p=0.02</w:t>
      </w:r>
      <w:r w:rsidR="001344DB">
        <w:t>)</w:t>
      </w:r>
      <w:r w:rsidR="00A46D6D">
        <w:t xml:space="preserve">. However, there was a significant increase in the number of </w:t>
      </w:r>
      <w:r w:rsidR="00ED01E3">
        <w:t xml:space="preserve">telehealth </w:t>
      </w:r>
      <w:r w:rsidR="00A46D6D">
        <w:t xml:space="preserve">new patient </w:t>
      </w:r>
      <w:r>
        <w:t>attendances</w:t>
      </w:r>
      <w:r w:rsidR="00EB23AF">
        <w:t xml:space="preserve"> (mean=50% in 2020</w:t>
      </w:r>
      <w:r w:rsidR="00ED01E3">
        <w:t>, p&lt;0.01</w:t>
      </w:r>
      <w:r w:rsidR="00EB23AF">
        <w:t xml:space="preserve">). </w:t>
      </w:r>
      <w:r w:rsidR="002007FC">
        <w:t>Waiting times for new patient</w:t>
      </w:r>
      <w:r w:rsidR="00ED01E3">
        <w:t xml:space="preserve"> (2019 to 2021 -2.11 MD, p=0.02) and follow-up</w:t>
      </w:r>
      <w:r w:rsidR="002007FC">
        <w:t xml:space="preserve"> </w:t>
      </w:r>
      <w:r w:rsidR="00ED01E3">
        <w:t xml:space="preserve">(2019 to 2021 -2.14 MD, p=0.02) </w:t>
      </w:r>
      <w:r w:rsidR="002007FC">
        <w:t>appointment</w:t>
      </w:r>
      <w:r w:rsidR="002626AC">
        <w:t xml:space="preserve">s with the </w:t>
      </w:r>
      <w:r w:rsidR="00A8685A">
        <w:t>APP</w:t>
      </w:r>
      <w:r w:rsidR="002626AC">
        <w:t xml:space="preserve"> team</w:t>
      </w:r>
      <w:r w:rsidR="002007FC">
        <w:t xml:space="preserve"> gradually</w:t>
      </w:r>
      <w:r w:rsidR="00F211EF">
        <w:t xml:space="preserve"> increase</w:t>
      </w:r>
      <w:r w:rsidR="002626AC">
        <w:t>d</w:t>
      </w:r>
      <w:r w:rsidR="00F211EF">
        <w:t xml:space="preserve"> over the three-</w:t>
      </w:r>
      <w:r w:rsidR="002007FC">
        <w:t xml:space="preserve">year period. </w:t>
      </w:r>
      <w:r w:rsidR="00C6082E" w:rsidRPr="00C6082E">
        <w:t>W</w:t>
      </w:r>
      <w:r w:rsidR="002007FC" w:rsidRPr="00C6082E">
        <w:t xml:space="preserve">hen compared to </w:t>
      </w:r>
      <w:r w:rsidR="00F211EF" w:rsidRPr="00C6082E">
        <w:t xml:space="preserve">Spinal </w:t>
      </w:r>
      <w:r w:rsidR="00C6082E" w:rsidRPr="00C6082E">
        <w:t xml:space="preserve">Surgical </w:t>
      </w:r>
      <w:r w:rsidR="002007FC" w:rsidRPr="00C6082E">
        <w:t>Consultants within the service</w:t>
      </w:r>
      <w:r w:rsidR="00931144" w:rsidRPr="00C6082E">
        <w:t xml:space="preserve"> over the same time frame</w:t>
      </w:r>
      <w:r w:rsidR="00C6082E" w:rsidRPr="00C6082E">
        <w:t>,</w:t>
      </w:r>
      <w:r w:rsidR="002007FC" w:rsidRPr="00C6082E">
        <w:t xml:space="preserve"> </w:t>
      </w:r>
      <w:r w:rsidR="00C6082E" w:rsidRPr="00C6082E">
        <w:t xml:space="preserve">the </w:t>
      </w:r>
      <w:r w:rsidR="002007FC" w:rsidRPr="00C6082E">
        <w:t>averag</w:t>
      </w:r>
      <w:r w:rsidR="00F211EF" w:rsidRPr="00C6082E">
        <w:t xml:space="preserve">e </w:t>
      </w:r>
      <w:r w:rsidR="00C6082E" w:rsidRPr="00C6082E">
        <w:t>wait for new patient appointments was</w:t>
      </w:r>
      <w:r w:rsidR="002007FC" w:rsidRPr="00C6082E">
        <w:t xml:space="preserve"> 10 </w:t>
      </w:r>
      <w:r w:rsidR="00092724" w:rsidRPr="00C6082E">
        <w:t>week</w:t>
      </w:r>
      <w:r w:rsidR="00C6082E" w:rsidRPr="00C6082E">
        <w:t>s (range 7.3 to 14.0 weeks)</w:t>
      </w:r>
      <w:r w:rsidR="00C6082E">
        <w:t>.</w:t>
      </w:r>
      <w:r w:rsidR="002007FC">
        <w:t xml:space="preserve"> </w:t>
      </w:r>
      <w:r w:rsidR="00ED01E3">
        <w:t>W</w:t>
      </w:r>
      <w:r w:rsidR="008967B0">
        <w:t xml:space="preserve">aiting times for follow-up appointments with the </w:t>
      </w:r>
      <w:r w:rsidR="00A8685A">
        <w:t>APP</w:t>
      </w:r>
      <w:r w:rsidR="008967B0">
        <w:t xml:space="preserve"> team averaged 6.5 weeks</w:t>
      </w:r>
      <w:r w:rsidR="00931144">
        <w:t xml:space="preserve"> (5.3 to 7.7) compared to 12.9 weeks (range 8.7 to 17.0) </w:t>
      </w:r>
      <w:r w:rsidR="008967B0">
        <w:t xml:space="preserve">for a follow-up appointment with a Spinal Consultant.  </w:t>
      </w:r>
    </w:p>
    <w:p w:rsidR="001770BA" w:rsidRDefault="001770BA">
      <w:pPr>
        <w:rPr>
          <w:b/>
          <w:bCs/>
          <w:color w:val="4F81BD" w:themeColor="accent1"/>
          <w:sz w:val="18"/>
          <w:szCs w:val="18"/>
        </w:rPr>
      </w:pPr>
      <w:r>
        <w:br w:type="page"/>
      </w:r>
    </w:p>
    <w:p w:rsidR="001770BA" w:rsidRDefault="001770BA" w:rsidP="001770BA">
      <w:pPr>
        <w:pStyle w:val="Caption"/>
        <w:keepNext/>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Counts and percentages of patients seen in the ASP service between 2019 and 2021</w:t>
      </w:r>
    </w:p>
    <w:tbl>
      <w:tblPr>
        <w:tblStyle w:val="TableGrid"/>
        <w:tblW w:w="9209" w:type="dxa"/>
        <w:tblLook w:val="04A0" w:firstRow="1" w:lastRow="0" w:firstColumn="1" w:lastColumn="0" w:noHBand="0" w:noVBand="1"/>
      </w:tblPr>
      <w:tblGrid>
        <w:gridCol w:w="2522"/>
        <w:gridCol w:w="1415"/>
        <w:gridCol w:w="1728"/>
        <w:gridCol w:w="1418"/>
        <w:gridCol w:w="1134"/>
        <w:gridCol w:w="992"/>
      </w:tblGrid>
      <w:tr w:rsidR="001770BA" w:rsidTr="00EF478F">
        <w:tc>
          <w:tcPr>
            <w:tcW w:w="2522" w:type="dxa"/>
            <w:shd w:val="clear" w:color="auto" w:fill="auto"/>
          </w:tcPr>
          <w:p w:rsidR="001770BA" w:rsidRDefault="001770BA" w:rsidP="00EF478F"/>
        </w:tc>
        <w:tc>
          <w:tcPr>
            <w:tcW w:w="1415" w:type="dxa"/>
            <w:shd w:val="clear" w:color="auto" w:fill="auto"/>
          </w:tcPr>
          <w:p w:rsidR="001770BA" w:rsidRPr="009C4615" w:rsidRDefault="001770BA" w:rsidP="00EF478F">
            <w:pPr>
              <w:rPr>
                <w:b/>
              </w:rPr>
            </w:pPr>
            <w:r w:rsidRPr="009C4615">
              <w:rPr>
                <w:b/>
              </w:rPr>
              <w:t>2019</w:t>
            </w:r>
          </w:p>
        </w:tc>
        <w:tc>
          <w:tcPr>
            <w:tcW w:w="1728" w:type="dxa"/>
            <w:shd w:val="clear" w:color="auto" w:fill="auto"/>
          </w:tcPr>
          <w:p w:rsidR="001770BA" w:rsidRPr="009C4615" w:rsidRDefault="001770BA" w:rsidP="00EF478F">
            <w:pPr>
              <w:rPr>
                <w:b/>
              </w:rPr>
            </w:pPr>
            <w:r w:rsidRPr="009C4615">
              <w:rPr>
                <w:b/>
              </w:rPr>
              <w:t>2020</w:t>
            </w:r>
          </w:p>
        </w:tc>
        <w:tc>
          <w:tcPr>
            <w:tcW w:w="1418" w:type="dxa"/>
            <w:shd w:val="clear" w:color="auto" w:fill="auto"/>
          </w:tcPr>
          <w:p w:rsidR="001770BA" w:rsidRPr="009C4615" w:rsidRDefault="001770BA" w:rsidP="00EF478F">
            <w:pPr>
              <w:rPr>
                <w:b/>
              </w:rPr>
            </w:pPr>
            <w:r w:rsidRPr="009C4615">
              <w:rPr>
                <w:b/>
              </w:rPr>
              <w:t>2021</w:t>
            </w:r>
          </w:p>
        </w:tc>
        <w:tc>
          <w:tcPr>
            <w:tcW w:w="1134" w:type="dxa"/>
            <w:shd w:val="clear" w:color="auto" w:fill="auto"/>
          </w:tcPr>
          <w:p w:rsidR="001770BA" w:rsidRPr="009C4615" w:rsidRDefault="001770BA" w:rsidP="00EF478F">
            <w:pPr>
              <w:rPr>
                <w:b/>
              </w:rPr>
            </w:pPr>
            <w:r>
              <w:rPr>
                <w:b/>
              </w:rPr>
              <w:t>Sig (using ANOVA)</w:t>
            </w:r>
          </w:p>
        </w:tc>
        <w:tc>
          <w:tcPr>
            <w:tcW w:w="992" w:type="dxa"/>
            <w:shd w:val="clear" w:color="auto" w:fill="auto"/>
          </w:tcPr>
          <w:p w:rsidR="001770BA" w:rsidRDefault="001770BA" w:rsidP="00EF478F">
            <w:pPr>
              <w:rPr>
                <w:b/>
              </w:rPr>
            </w:pPr>
            <w:r>
              <w:rPr>
                <w:b/>
              </w:rPr>
              <w:t>F value</w:t>
            </w:r>
          </w:p>
        </w:tc>
      </w:tr>
      <w:tr w:rsidR="001770BA" w:rsidTr="00EF478F">
        <w:tc>
          <w:tcPr>
            <w:tcW w:w="2522" w:type="dxa"/>
            <w:shd w:val="clear" w:color="auto" w:fill="auto"/>
          </w:tcPr>
          <w:p w:rsidR="001770BA" w:rsidRDefault="001770BA" w:rsidP="00EF478F">
            <w:r>
              <w:t>Total seen (n)</w:t>
            </w:r>
          </w:p>
        </w:tc>
        <w:tc>
          <w:tcPr>
            <w:tcW w:w="1415" w:type="dxa"/>
            <w:shd w:val="clear" w:color="auto" w:fill="auto"/>
          </w:tcPr>
          <w:p w:rsidR="001770BA" w:rsidRDefault="001770BA" w:rsidP="00EF478F">
            <w:r>
              <w:t xml:space="preserve">3360 </w:t>
            </w:r>
          </w:p>
        </w:tc>
        <w:tc>
          <w:tcPr>
            <w:tcW w:w="1728" w:type="dxa"/>
            <w:shd w:val="clear" w:color="auto" w:fill="auto"/>
          </w:tcPr>
          <w:p w:rsidR="001770BA" w:rsidRDefault="001770BA" w:rsidP="00EF478F">
            <w:r>
              <w:t xml:space="preserve">3272 </w:t>
            </w:r>
          </w:p>
        </w:tc>
        <w:tc>
          <w:tcPr>
            <w:tcW w:w="1418" w:type="dxa"/>
            <w:shd w:val="clear" w:color="auto" w:fill="auto"/>
          </w:tcPr>
          <w:p w:rsidR="001770BA" w:rsidRDefault="001770BA" w:rsidP="00EF478F">
            <w:r>
              <w:t xml:space="preserve">4003 </w:t>
            </w:r>
          </w:p>
        </w:tc>
        <w:tc>
          <w:tcPr>
            <w:tcW w:w="1134" w:type="dxa"/>
            <w:shd w:val="clear" w:color="auto" w:fill="auto"/>
          </w:tcPr>
          <w:p w:rsidR="001770BA" w:rsidRDefault="001770BA" w:rsidP="00EF478F"/>
        </w:tc>
        <w:tc>
          <w:tcPr>
            <w:tcW w:w="992" w:type="dxa"/>
            <w:shd w:val="clear" w:color="auto" w:fill="auto"/>
          </w:tcPr>
          <w:p w:rsidR="001770BA" w:rsidRDefault="001770BA" w:rsidP="00EF478F"/>
        </w:tc>
      </w:tr>
      <w:tr w:rsidR="001770BA" w:rsidTr="00EF478F">
        <w:tc>
          <w:tcPr>
            <w:tcW w:w="2522" w:type="dxa"/>
            <w:shd w:val="clear" w:color="auto" w:fill="auto"/>
          </w:tcPr>
          <w:p w:rsidR="001770BA" w:rsidRDefault="001770BA" w:rsidP="00EF478F">
            <w:r>
              <w:t>New Referrals (% of total seen per year)</w:t>
            </w:r>
          </w:p>
        </w:tc>
        <w:tc>
          <w:tcPr>
            <w:tcW w:w="1415" w:type="dxa"/>
            <w:shd w:val="clear" w:color="auto" w:fill="auto"/>
          </w:tcPr>
          <w:p w:rsidR="001770BA" w:rsidRDefault="001770BA" w:rsidP="00EF478F">
            <w:r>
              <w:t>1884 (56%)</w:t>
            </w:r>
          </w:p>
        </w:tc>
        <w:tc>
          <w:tcPr>
            <w:tcW w:w="1728" w:type="dxa"/>
            <w:shd w:val="clear" w:color="auto" w:fill="auto"/>
          </w:tcPr>
          <w:p w:rsidR="001770BA" w:rsidRDefault="001770BA" w:rsidP="00EF478F">
            <w:r>
              <w:t>1477 (45%)</w:t>
            </w:r>
          </w:p>
        </w:tc>
        <w:tc>
          <w:tcPr>
            <w:tcW w:w="1418" w:type="dxa"/>
            <w:shd w:val="clear" w:color="auto" w:fill="auto"/>
          </w:tcPr>
          <w:p w:rsidR="001770BA" w:rsidRDefault="001770BA" w:rsidP="00EF478F">
            <w:r>
              <w:t>1633 (41%)</w:t>
            </w:r>
          </w:p>
        </w:tc>
        <w:tc>
          <w:tcPr>
            <w:tcW w:w="1134" w:type="dxa"/>
            <w:shd w:val="clear" w:color="auto" w:fill="auto"/>
          </w:tcPr>
          <w:p w:rsidR="001770BA" w:rsidRDefault="001770BA" w:rsidP="00EF478F">
            <w:r>
              <w:t>0.026*</w:t>
            </w:r>
          </w:p>
        </w:tc>
        <w:tc>
          <w:tcPr>
            <w:tcW w:w="992" w:type="dxa"/>
            <w:shd w:val="clear" w:color="auto" w:fill="auto"/>
          </w:tcPr>
          <w:p w:rsidR="001770BA" w:rsidRDefault="001770BA" w:rsidP="00EF478F">
            <w:r>
              <w:t>4.075</w:t>
            </w:r>
          </w:p>
        </w:tc>
      </w:tr>
      <w:tr w:rsidR="001770BA" w:rsidTr="00EF478F">
        <w:tc>
          <w:tcPr>
            <w:tcW w:w="2522" w:type="dxa"/>
            <w:shd w:val="clear" w:color="auto" w:fill="auto"/>
          </w:tcPr>
          <w:p w:rsidR="001770BA" w:rsidRDefault="001770BA" w:rsidP="00EF478F">
            <w:r>
              <w:t>Total new patient appointments (% of total seen per year)</w:t>
            </w:r>
          </w:p>
        </w:tc>
        <w:tc>
          <w:tcPr>
            <w:tcW w:w="1415" w:type="dxa"/>
            <w:shd w:val="clear" w:color="auto" w:fill="auto"/>
          </w:tcPr>
          <w:p w:rsidR="001770BA" w:rsidRDefault="001770BA" w:rsidP="00EF478F">
            <w:r>
              <w:t>1709 (51%)</w:t>
            </w:r>
          </w:p>
        </w:tc>
        <w:tc>
          <w:tcPr>
            <w:tcW w:w="1728" w:type="dxa"/>
            <w:shd w:val="clear" w:color="auto" w:fill="auto"/>
          </w:tcPr>
          <w:p w:rsidR="001770BA" w:rsidRDefault="001770BA" w:rsidP="00EF478F">
            <w:r>
              <w:t>1324 (40%)</w:t>
            </w:r>
          </w:p>
        </w:tc>
        <w:tc>
          <w:tcPr>
            <w:tcW w:w="1418" w:type="dxa"/>
            <w:shd w:val="clear" w:color="auto" w:fill="auto"/>
          </w:tcPr>
          <w:p w:rsidR="001770BA" w:rsidRDefault="001770BA" w:rsidP="00EF478F">
            <w:r>
              <w:t>1349 (34%)</w:t>
            </w:r>
          </w:p>
        </w:tc>
        <w:tc>
          <w:tcPr>
            <w:tcW w:w="1134" w:type="dxa"/>
            <w:shd w:val="clear" w:color="auto" w:fill="auto"/>
          </w:tcPr>
          <w:p w:rsidR="001770BA" w:rsidRDefault="001770BA" w:rsidP="00EF478F">
            <w:r>
              <w:t>0.042*</w:t>
            </w:r>
          </w:p>
        </w:tc>
        <w:tc>
          <w:tcPr>
            <w:tcW w:w="992" w:type="dxa"/>
            <w:shd w:val="clear" w:color="auto" w:fill="auto"/>
          </w:tcPr>
          <w:p w:rsidR="001770BA" w:rsidRDefault="001770BA" w:rsidP="00EF478F">
            <w:r>
              <w:t>3.490</w:t>
            </w:r>
          </w:p>
        </w:tc>
      </w:tr>
      <w:tr w:rsidR="001770BA" w:rsidTr="00EF478F">
        <w:tc>
          <w:tcPr>
            <w:tcW w:w="2522" w:type="dxa"/>
            <w:shd w:val="clear" w:color="auto" w:fill="auto"/>
          </w:tcPr>
          <w:p w:rsidR="001770BA" w:rsidRDefault="001770BA" w:rsidP="00EF478F">
            <w:r>
              <w:t>Telehealth new patient appointments (% of new patients)</w:t>
            </w:r>
          </w:p>
        </w:tc>
        <w:tc>
          <w:tcPr>
            <w:tcW w:w="1415" w:type="dxa"/>
            <w:shd w:val="clear" w:color="auto" w:fill="auto"/>
          </w:tcPr>
          <w:p w:rsidR="001770BA" w:rsidRDefault="001770BA" w:rsidP="00EF478F">
            <w:r>
              <w:t>13 (&lt;1%)</w:t>
            </w:r>
          </w:p>
        </w:tc>
        <w:tc>
          <w:tcPr>
            <w:tcW w:w="1728" w:type="dxa"/>
            <w:shd w:val="clear" w:color="auto" w:fill="auto"/>
          </w:tcPr>
          <w:p w:rsidR="001770BA" w:rsidRDefault="001770BA" w:rsidP="00EF478F">
            <w:r>
              <w:t>660 (50%)</w:t>
            </w:r>
          </w:p>
        </w:tc>
        <w:tc>
          <w:tcPr>
            <w:tcW w:w="1418" w:type="dxa"/>
            <w:shd w:val="clear" w:color="auto" w:fill="auto"/>
          </w:tcPr>
          <w:p w:rsidR="001770BA" w:rsidRDefault="001770BA" w:rsidP="00EF478F">
            <w:r>
              <w:t>333 (25%)</w:t>
            </w:r>
          </w:p>
        </w:tc>
        <w:tc>
          <w:tcPr>
            <w:tcW w:w="1134" w:type="dxa"/>
            <w:shd w:val="clear" w:color="auto" w:fill="auto"/>
          </w:tcPr>
          <w:p w:rsidR="001770BA" w:rsidRDefault="001770BA" w:rsidP="00EF478F">
            <w:r>
              <w:t>0.005**</w:t>
            </w:r>
          </w:p>
        </w:tc>
        <w:tc>
          <w:tcPr>
            <w:tcW w:w="992" w:type="dxa"/>
            <w:shd w:val="clear" w:color="auto" w:fill="auto"/>
          </w:tcPr>
          <w:p w:rsidR="001770BA" w:rsidRDefault="001770BA" w:rsidP="00EF478F">
            <w:r>
              <w:t>6.386</w:t>
            </w:r>
          </w:p>
        </w:tc>
      </w:tr>
      <w:tr w:rsidR="001770BA" w:rsidTr="00EF478F">
        <w:tc>
          <w:tcPr>
            <w:tcW w:w="2522" w:type="dxa"/>
            <w:shd w:val="clear" w:color="auto" w:fill="auto"/>
          </w:tcPr>
          <w:p w:rsidR="001770BA" w:rsidRDefault="001770BA" w:rsidP="00EF478F">
            <w:r>
              <w:t xml:space="preserve">Average number weeks wait for new appointment </w:t>
            </w:r>
          </w:p>
        </w:tc>
        <w:tc>
          <w:tcPr>
            <w:tcW w:w="1415" w:type="dxa"/>
            <w:shd w:val="clear" w:color="auto" w:fill="auto"/>
          </w:tcPr>
          <w:p w:rsidR="001770BA" w:rsidRDefault="001770BA" w:rsidP="00EF478F">
            <w:r>
              <w:t>5.4</w:t>
            </w:r>
          </w:p>
        </w:tc>
        <w:tc>
          <w:tcPr>
            <w:tcW w:w="1728" w:type="dxa"/>
            <w:shd w:val="clear" w:color="auto" w:fill="auto"/>
          </w:tcPr>
          <w:p w:rsidR="001770BA" w:rsidRDefault="001770BA" w:rsidP="00EF478F">
            <w:r>
              <w:t>5.9</w:t>
            </w:r>
          </w:p>
        </w:tc>
        <w:tc>
          <w:tcPr>
            <w:tcW w:w="1418" w:type="dxa"/>
            <w:shd w:val="clear" w:color="auto" w:fill="auto"/>
          </w:tcPr>
          <w:p w:rsidR="001770BA" w:rsidRDefault="001770BA" w:rsidP="00EF478F">
            <w:r>
              <w:t>7.5</w:t>
            </w:r>
          </w:p>
        </w:tc>
        <w:tc>
          <w:tcPr>
            <w:tcW w:w="1134" w:type="dxa"/>
            <w:shd w:val="clear" w:color="auto" w:fill="auto"/>
          </w:tcPr>
          <w:p w:rsidR="001770BA" w:rsidRDefault="001770BA" w:rsidP="00EF478F">
            <w:r>
              <w:t>0.022*</w:t>
            </w:r>
          </w:p>
        </w:tc>
        <w:tc>
          <w:tcPr>
            <w:tcW w:w="992" w:type="dxa"/>
            <w:shd w:val="clear" w:color="auto" w:fill="auto"/>
          </w:tcPr>
          <w:p w:rsidR="001770BA" w:rsidRDefault="001770BA" w:rsidP="00EF478F">
            <w:r>
              <w:t>4.309</w:t>
            </w:r>
          </w:p>
        </w:tc>
      </w:tr>
      <w:tr w:rsidR="001770BA" w:rsidTr="00EF478F">
        <w:tc>
          <w:tcPr>
            <w:tcW w:w="2522" w:type="dxa"/>
            <w:shd w:val="clear" w:color="auto" w:fill="auto"/>
          </w:tcPr>
          <w:p w:rsidR="001770BA" w:rsidRDefault="001770BA" w:rsidP="00EF478F">
            <w:r>
              <w:t>Total follow-up appointments  (n, % of total seen per year)</w:t>
            </w:r>
          </w:p>
        </w:tc>
        <w:tc>
          <w:tcPr>
            <w:tcW w:w="1415" w:type="dxa"/>
            <w:shd w:val="clear" w:color="auto" w:fill="auto"/>
          </w:tcPr>
          <w:p w:rsidR="001770BA" w:rsidRDefault="001770BA" w:rsidP="00EF478F">
            <w:r>
              <w:t>1651 (49%)</w:t>
            </w:r>
          </w:p>
        </w:tc>
        <w:tc>
          <w:tcPr>
            <w:tcW w:w="1728" w:type="dxa"/>
            <w:shd w:val="clear" w:color="auto" w:fill="auto"/>
          </w:tcPr>
          <w:p w:rsidR="001770BA" w:rsidRDefault="001770BA" w:rsidP="00EF478F">
            <w:r>
              <w:t>1948 (60%)</w:t>
            </w:r>
          </w:p>
        </w:tc>
        <w:tc>
          <w:tcPr>
            <w:tcW w:w="1418" w:type="dxa"/>
            <w:shd w:val="clear" w:color="auto" w:fill="auto"/>
          </w:tcPr>
          <w:p w:rsidR="001770BA" w:rsidRDefault="001770BA" w:rsidP="00EF478F">
            <w:r>
              <w:t>2654 (66%)</w:t>
            </w:r>
          </w:p>
        </w:tc>
        <w:tc>
          <w:tcPr>
            <w:tcW w:w="1134" w:type="dxa"/>
            <w:shd w:val="clear" w:color="auto" w:fill="auto"/>
          </w:tcPr>
          <w:p w:rsidR="001770BA" w:rsidRDefault="001770BA" w:rsidP="00EF478F">
            <w:r>
              <w:t>0.000**</w:t>
            </w:r>
          </w:p>
        </w:tc>
        <w:tc>
          <w:tcPr>
            <w:tcW w:w="992" w:type="dxa"/>
            <w:shd w:val="clear" w:color="auto" w:fill="auto"/>
          </w:tcPr>
          <w:p w:rsidR="001770BA" w:rsidRDefault="001770BA" w:rsidP="00EF478F">
            <w:r>
              <w:t>10.563</w:t>
            </w:r>
          </w:p>
        </w:tc>
      </w:tr>
      <w:tr w:rsidR="001770BA" w:rsidTr="00EF478F">
        <w:tc>
          <w:tcPr>
            <w:tcW w:w="2522" w:type="dxa"/>
            <w:shd w:val="clear" w:color="auto" w:fill="auto"/>
          </w:tcPr>
          <w:p w:rsidR="001770BA" w:rsidRDefault="001770BA" w:rsidP="00EF478F">
            <w:r>
              <w:t>Telehealth follow-up appointments (n, % of follow-ups)</w:t>
            </w:r>
          </w:p>
        </w:tc>
        <w:tc>
          <w:tcPr>
            <w:tcW w:w="1415" w:type="dxa"/>
            <w:shd w:val="clear" w:color="auto" w:fill="auto"/>
          </w:tcPr>
          <w:p w:rsidR="001770BA" w:rsidRDefault="001770BA" w:rsidP="00EF478F">
            <w:r>
              <w:t>375 (11%)</w:t>
            </w:r>
          </w:p>
        </w:tc>
        <w:tc>
          <w:tcPr>
            <w:tcW w:w="1728" w:type="dxa"/>
            <w:shd w:val="clear" w:color="auto" w:fill="auto"/>
          </w:tcPr>
          <w:p w:rsidR="001770BA" w:rsidRDefault="001770BA" w:rsidP="00EF478F">
            <w:r>
              <w:t>991 (51%)</w:t>
            </w:r>
          </w:p>
        </w:tc>
        <w:tc>
          <w:tcPr>
            <w:tcW w:w="1418" w:type="dxa"/>
            <w:shd w:val="clear" w:color="auto" w:fill="auto"/>
          </w:tcPr>
          <w:p w:rsidR="001770BA" w:rsidRDefault="001770BA" w:rsidP="00EF478F">
            <w:r>
              <w:t>1063 (40%)</w:t>
            </w:r>
          </w:p>
        </w:tc>
        <w:tc>
          <w:tcPr>
            <w:tcW w:w="1134" w:type="dxa"/>
            <w:shd w:val="clear" w:color="auto" w:fill="auto"/>
          </w:tcPr>
          <w:p w:rsidR="001770BA" w:rsidRDefault="001770BA" w:rsidP="00EF478F">
            <w:r>
              <w:t>0.000**</w:t>
            </w:r>
          </w:p>
        </w:tc>
        <w:tc>
          <w:tcPr>
            <w:tcW w:w="992" w:type="dxa"/>
            <w:shd w:val="clear" w:color="auto" w:fill="auto"/>
          </w:tcPr>
          <w:p w:rsidR="001770BA" w:rsidRDefault="001770BA" w:rsidP="00EF478F">
            <w:r>
              <w:t>33.051</w:t>
            </w:r>
          </w:p>
        </w:tc>
      </w:tr>
      <w:tr w:rsidR="001770BA" w:rsidTr="00EF478F">
        <w:tc>
          <w:tcPr>
            <w:tcW w:w="2522" w:type="dxa"/>
            <w:shd w:val="clear" w:color="auto" w:fill="auto"/>
          </w:tcPr>
          <w:p w:rsidR="001770BA" w:rsidRDefault="001770BA" w:rsidP="00EF478F">
            <w:r>
              <w:t>Average number weeks wait for follow-up appointment</w:t>
            </w:r>
          </w:p>
        </w:tc>
        <w:tc>
          <w:tcPr>
            <w:tcW w:w="1415" w:type="dxa"/>
            <w:shd w:val="clear" w:color="auto" w:fill="auto"/>
          </w:tcPr>
          <w:p w:rsidR="001770BA" w:rsidRDefault="001770BA" w:rsidP="00EF478F">
            <w:r>
              <w:t>5.3</w:t>
            </w:r>
          </w:p>
        </w:tc>
        <w:tc>
          <w:tcPr>
            <w:tcW w:w="1728" w:type="dxa"/>
            <w:shd w:val="clear" w:color="auto" w:fill="auto"/>
          </w:tcPr>
          <w:p w:rsidR="001770BA" w:rsidRDefault="001770BA" w:rsidP="00EF478F">
            <w:r>
              <w:t>6.1</w:t>
            </w:r>
          </w:p>
        </w:tc>
        <w:tc>
          <w:tcPr>
            <w:tcW w:w="1418" w:type="dxa"/>
            <w:shd w:val="clear" w:color="auto" w:fill="auto"/>
          </w:tcPr>
          <w:p w:rsidR="001770BA" w:rsidRDefault="001770BA" w:rsidP="00EF478F">
            <w:r>
              <w:t>7.7</w:t>
            </w:r>
          </w:p>
        </w:tc>
        <w:tc>
          <w:tcPr>
            <w:tcW w:w="1134" w:type="dxa"/>
            <w:shd w:val="clear" w:color="auto" w:fill="auto"/>
          </w:tcPr>
          <w:p w:rsidR="001770BA" w:rsidRDefault="001770BA" w:rsidP="00EF478F">
            <w:r>
              <w:t>0.020*</w:t>
            </w:r>
          </w:p>
        </w:tc>
        <w:tc>
          <w:tcPr>
            <w:tcW w:w="992" w:type="dxa"/>
            <w:shd w:val="clear" w:color="auto" w:fill="auto"/>
          </w:tcPr>
          <w:p w:rsidR="001770BA" w:rsidRDefault="001770BA" w:rsidP="00EF478F">
            <w:r>
              <w:t>4.432</w:t>
            </w:r>
          </w:p>
        </w:tc>
      </w:tr>
      <w:tr w:rsidR="001770BA" w:rsidTr="00EF478F">
        <w:tc>
          <w:tcPr>
            <w:tcW w:w="2522" w:type="dxa"/>
            <w:shd w:val="clear" w:color="auto" w:fill="auto"/>
          </w:tcPr>
          <w:p w:rsidR="001770BA" w:rsidRDefault="001770BA" w:rsidP="00EF478F">
            <w:r>
              <w:t>Total did not attend (DNA)  (n, % of total seen)</w:t>
            </w:r>
          </w:p>
        </w:tc>
        <w:tc>
          <w:tcPr>
            <w:tcW w:w="1415" w:type="dxa"/>
            <w:shd w:val="clear" w:color="auto" w:fill="auto"/>
          </w:tcPr>
          <w:p w:rsidR="001770BA" w:rsidRDefault="001770BA" w:rsidP="00EF478F">
            <w:r>
              <w:t>261 (8%)</w:t>
            </w:r>
          </w:p>
        </w:tc>
        <w:tc>
          <w:tcPr>
            <w:tcW w:w="1728" w:type="dxa"/>
            <w:shd w:val="clear" w:color="auto" w:fill="auto"/>
          </w:tcPr>
          <w:p w:rsidR="001770BA" w:rsidRDefault="001770BA" w:rsidP="00EF478F">
            <w:r>
              <w:t>342 (10%)</w:t>
            </w:r>
          </w:p>
        </w:tc>
        <w:tc>
          <w:tcPr>
            <w:tcW w:w="1418" w:type="dxa"/>
            <w:shd w:val="clear" w:color="auto" w:fill="auto"/>
          </w:tcPr>
          <w:p w:rsidR="001770BA" w:rsidRDefault="001770BA" w:rsidP="00EF478F">
            <w:r>
              <w:t>577 (14%)</w:t>
            </w:r>
          </w:p>
        </w:tc>
        <w:tc>
          <w:tcPr>
            <w:tcW w:w="1134" w:type="dxa"/>
            <w:shd w:val="clear" w:color="auto" w:fill="auto"/>
          </w:tcPr>
          <w:p w:rsidR="001770BA" w:rsidRDefault="001770BA" w:rsidP="00EF478F"/>
        </w:tc>
        <w:tc>
          <w:tcPr>
            <w:tcW w:w="992" w:type="dxa"/>
            <w:shd w:val="clear" w:color="auto" w:fill="auto"/>
          </w:tcPr>
          <w:p w:rsidR="001770BA" w:rsidRDefault="001770BA" w:rsidP="00EF478F"/>
        </w:tc>
      </w:tr>
      <w:tr w:rsidR="001770BA" w:rsidTr="00EF478F">
        <w:tc>
          <w:tcPr>
            <w:tcW w:w="2522" w:type="dxa"/>
            <w:shd w:val="clear" w:color="auto" w:fill="auto"/>
          </w:tcPr>
          <w:p w:rsidR="001770BA" w:rsidRDefault="001770BA" w:rsidP="00EF478F">
            <w:r>
              <w:t>DNA new (n, % of new patients)</w:t>
            </w:r>
          </w:p>
        </w:tc>
        <w:tc>
          <w:tcPr>
            <w:tcW w:w="1415" w:type="dxa"/>
            <w:shd w:val="clear" w:color="auto" w:fill="auto"/>
          </w:tcPr>
          <w:p w:rsidR="001770BA" w:rsidRDefault="001770BA" w:rsidP="00EF478F">
            <w:r>
              <w:t>133 (8%)</w:t>
            </w:r>
          </w:p>
        </w:tc>
        <w:tc>
          <w:tcPr>
            <w:tcW w:w="1728" w:type="dxa"/>
            <w:shd w:val="clear" w:color="auto" w:fill="auto"/>
          </w:tcPr>
          <w:p w:rsidR="001770BA" w:rsidRDefault="001770BA" w:rsidP="00EF478F">
            <w:r>
              <w:t>135 (10%)</w:t>
            </w:r>
          </w:p>
        </w:tc>
        <w:tc>
          <w:tcPr>
            <w:tcW w:w="1418" w:type="dxa"/>
            <w:shd w:val="clear" w:color="auto" w:fill="auto"/>
          </w:tcPr>
          <w:p w:rsidR="001770BA" w:rsidRDefault="001770BA" w:rsidP="00EF478F">
            <w:r>
              <w:t>144 (11%)</w:t>
            </w:r>
          </w:p>
        </w:tc>
        <w:tc>
          <w:tcPr>
            <w:tcW w:w="1134" w:type="dxa"/>
            <w:shd w:val="clear" w:color="auto" w:fill="auto"/>
          </w:tcPr>
          <w:p w:rsidR="001770BA" w:rsidRDefault="001770BA" w:rsidP="00EF478F">
            <w:r>
              <w:t>0.893</w:t>
            </w:r>
          </w:p>
        </w:tc>
        <w:tc>
          <w:tcPr>
            <w:tcW w:w="992" w:type="dxa"/>
            <w:shd w:val="clear" w:color="auto" w:fill="auto"/>
          </w:tcPr>
          <w:p w:rsidR="001770BA" w:rsidRDefault="001770BA" w:rsidP="00EF478F">
            <w:r>
              <w:t>0.113</w:t>
            </w:r>
          </w:p>
        </w:tc>
      </w:tr>
      <w:tr w:rsidR="001770BA" w:rsidTr="00EF478F">
        <w:tc>
          <w:tcPr>
            <w:tcW w:w="2522" w:type="dxa"/>
            <w:shd w:val="clear" w:color="auto" w:fill="auto"/>
          </w:tcPr>
          <w:p w:rsidR="001770BA" w:rsidRDefault="001770BA" w:rsidP="00EF478F">
            <w:r>
              <w:t>DNA FU (n, % of follow-ups)</w:t>
            </w:r>
          </w:p>
        </w:tc>
        <w:tc>
          <w:tcPr>
            <w:tcW w:w="1415" w:type="dxa"/>
            <w:shd w:val="clear" w:color="auto" w:fill="auto"/>
          </w:tcPr>
          <w:p w:rsidR="001770BA" w:rsidRDefault="001770BA" w:rsidP="00EF478F">
            <w:r>
              <w:t>128 (8%)</w:t>
            </w:r>
          </w:p>
        </w:tc>
        <w:tc>
          <w:tcPr>
            <w:tcW w:w="1728" w:type="dxa"/>
            <w:shd w:val="clear" w:color="auto" w:fill="auto"/>
          </w:tcPr>
          <w:p w:rsidR="001770BA" w:rsidRDefault="001770BA" w:rsidP="00EF478F">
            <w:r>
              <w:t>207 (11%)</w:t>
            </w:r>
          </w:p>
        </w:tc>
        <w:tc>
          <w:tcPr>
            <w:tcW w:w="1418" w:type="dxa"/>
            <w:shd w:val="clear" w:color="auto" w:fill="auto"/>
          </w:tcPr>
          <w:p w:rsidR="001770BA" w:rsidRDefault="001770BA" w:rsidP="00EF478F">
            <w:r>
              <w:t>433 (16%)</w:t>
            </w:r>
          </w:p>
        </w:tc>
        <w:tc>
          <w:tcPr>
            <w:tcW w:w="1134" w:type="dxa"/>
            <w:shd w:val="clear" w:color="auto" w:fill="auto"/>
          </w:tcPr>
          <w:p w:rsidR="001770BA" w:rsidRDefault="001770BA" w:rsidP="00EF478F">
            <w:r>
              <w:t>0.000**</w:t>
            </w:r>
          </w:p>
        </w:tc>
        <w:tc>
          <w:tcPr>
            <w:tcW w:w="992" w:type="dxa"/>
            <w:shd w:val="clear" w:color="auto" w:fill="auto"/>
          </w:tcPr>
          <w:p w:rsidR="001770BA" w:rsidRDefault="001770BA" w:rsidP="00EF478F">
            <w:r>
              <w:t>17.846</w:t>
            </w:r>
          </w:p>
        </w:tc>
      </w:tr>
      <w:tr w:rsidR="001770BA" w:rsidRPr="0076258B" w:rsidTr="00EF478F">
        <w:tc>
          <w:tcPr>
            <w:tcW w:w="2522" w:type="dxa"/>
            <w:shd w:val="clear" w:color="auto" w:fill="auto"/>
          </w:tcPr>
          <w:p w:rsidR="001770BA" w:rsidRPr="0076258B" w:rsidRDefault="001770BA" w:rsidP="00EF478F">
            <w:r w:rsidRPr="0076258B">
              <w:t>D</w:t>
            </w:r>
            <w:r>
              <w:t xml:space="preserve">ischarged </w:t>
            </w:r>
            <w:r w:rsidRPr="0076258B">
              <w:t>at first attendance</w:t>
            </w:r>
            <w:r>
              <w:t xml:space="preserve"> (n, % of new appointments)</w:t>
            </w:r>
          </w:p>
        </w:tc>
        <w:tc>
          <w:tcPr>
            <w:tcW w:w="1415" w:type="dxa"/>
            <w:shd w:val="clear" w:color="auto" w:fill="auto"/>
          </w:tcPr>
          <w:p w:rsidR="001770BA" w:rsidRPr="0076258B" w:rsidRDefault="001770BA" w:rsidP="00EF478F">
            <w:r>
              <w:t>423 (25%)</w:t>
            </w:r>
          </w:p>
        </w:tc>
        <w:tc>
          <w:tcPr>
            <w:tcW w:w="1728" w:type="dxa"/>
            <w:shd w:val="clear" w:color="auto" w:fill="auto"/>
          </w:tcPr>
          <w:p w:rsidR="001770BA" w:rsidRPr="004D2C5A" w:rsidRDefault="001770BA" w:rsidP="00EF478F">
            <w:r w:rsidRPr="004D2C5A">
              <w:t>335 (25%)</w:t>
            </w:r>
          </w:p>
        </w:tc>
        <w:tc>
          <w:tcPr>
            <w:tcW w:w="1418" w:type="dxa"/>
            <w:shd w:val="clear" w:color="auto" w:fill="auto"/>
          </w:tcPr>
          <w:p w:rsidR="001770BA" w:rsidRPr="004D2C5A" w:rsidRDefault="001770BA" w:rsidP="00EF478F">
            <w:r w:rsidRPr="004D2C5A">
              <w:t>376 (28%)</w:t>
            </w:r>
          </w:p>
        </w:tc>
        <w:tc>
          <w:tcPr>
            <w:tcW w:w="1134" w:type="dxa"/>
            <w:shd w:val="clear" w:color="auto" w:fill="auto"/>
          </w:tcPr>
          <w:p w:rsidR="001770BA" w:rsidRPr="004D2C5A" w:rsidRDefault="001770BA" w:rsidP="00EF478F">
            <w:r>
              <w:t>NA</w:t>
            </w:r>
          </w:p>
        </w:tc>
        <w:tc>
          <w:tcPr>
            <w:tcW w:w="992" w:type="dxa"/>
            <w:shd w:val="clear" w:color="auto" w:fill="auto"/>
          </w:tcPr>
          <w:p w:rsidR="001770BA" w:rsidRPr="004D2C5A" w:rsidRDefault="001770BA" w:rsidP="00EF478F"/>
        </w:tc>
      </w:tr>
      <w:tr w:rsidR="001770BA" w:rsidRPr="0076258B" w:rsidTr="00EF478F">
        <w:tc>
          <w:tcPr>
            <w:tcW w:w="2522" w:type="dxa"/>
            <w:shd w:val="clear" w:color="auto" w:fill="auto"/>
          </w:tcPr>
          <w:p w:rsidR="001770BA" w:rsidRPr="0076258B" w:rsidRDefault="001770BA" w:rsidP="00EF478F">
            <w:r w:rsidRPr="0076258B">
              <w:t>MRI’s requested</w:t>
            </w:r>
          </w:p>
        </w:tc>
        <w:tc>
          <w:tcPr>
            <w:tcW w:w="1415" w:type="dxa"/>
            <w:shd w:val="clear" w:color="auto" w:fill="auto"/>
          </w:tcPr>
          <w:p w:rsidR="001770BA" w:rsidRPr="0076258B" w:rsidRDefault="001770BA" w:rsidP="00EF478F">
            <w:r w:rsidRPr="0076258B">
              <w:t>631</w:t>
            </w:r>
            <w:r>
              <w:t xml:space="preserve"> (17%)</w:t>
            </w:r>
          </w:p>
        </w:tc>
        <w:tc>
          <w:tcPr>
            <w:tcW w:w="1728" w:type="dxa"/>
            <w:shd w:val="clear" w:color="auto" w:fill="auto"/>
          </w:tcPr>
          <w:p w:rsidR="001770BA" w:rsidRPr="0076258B" w:rsidRDefault="001770BA" w:rsidP="00EF478F">
            <w:r w:rsidRPr="0076258B">
              <w:t>582</w:t>
            </w:r>
            <w:r>
              <w:t xml:space="preserve"> (18%)</w:t>
            </w:r>
          </w:p>
        </w:tc>
        <w:tc>
          <w:tcPr>
            <w:tcW w:w="1418" w:type="dxa"/>
            <w:shd w:val="clear" w:color="auto" w:fill="auto"/>
          </w:tcPr>
          <w:p w:rsidR="001770BA" w:rsidRPr="0076258B" w:rsidRDefault="001770BA" w:rsidP="00EF478F">
            <w:r w:rsidRPr="0076258B">
              <w:t>1623</w:t>
            </w:r>
            <w:r>
              <w:t xml:space="preserve"> (41%)</w:t>
            </w:r>
          </w:p>
        </w:tc>
        <w:tc>
          <w:tcPr>
            <w:tcW w:w="1134" w:type="dxa"/>
            <w:shd w:val="clear" w:color="auto" w:fill="auto"/>
          </w:tcPr>
          <w:p w:rsidR="001770BA" w:rsidRDefault="001770BA" w:rsidP="00EF478F">
            <w:r>
              <w:t>NA</w:t>
            </w:r>
          </w:p>
        </w:tc>
        <w:tc>
          <w:tcPr>
            <w:tcW w:w="992" w:type="dxa"/>
            <w:shd w:val="clear" w:color="auto" w:fill="auto"/>
          </w:tcPr>
          <w:p w:rsidR="001770BA" w:rsidRDefault="001770BA" w:rsidP="00EF478F"/>
        </w:tc>
      </w:tr>
      <w:tr w:rsidR="001770BA" w:rsidTr="00EF478F">
        <w:tc>
          <w:tcPr>
            <w:tcW w:w="2522" w:type="dxa"/>
            <w:shd w:val="clear" w:color="auto" w:fill="auto"/>
          </w:tcPr>
          <w:p w:rsidR="001770BA" w:rsidRPr="0076258B" w:rsidRDefault="001770BA" w:rsidP="00EF478F">
            <w:r w:rsidRPr="0076258B">
              <w:t>Injections requested</w:t>
            </w:r>
          </w:p>
        </w:tc>
        <w:tc>
          <w:tcPr>
            <w:tcW w:w="1415" w:type="dxa"/>
            <w:shd w:val="clear" w:color="auto" w:fill="auto"/>
          </w:tcPr>
          <w:p w:rsidR="001770BA" w:rsidRPr="0076258B" w:rsidRDefault="001770BA" w:rsidP="00EF478F">
            <w:r w:rsidRPr="0076258B">
              <w:t>289</w:t>
            </w:r>
            <w:r>
              <w:t xml:space="preserve"> (9%)</w:t>
            </w:r>
          </w:p>
        </w:tc>
        <w:tc>
          <w:tcPr>
            <w:tcW w:w="1728" w:type="dxa"/>
            <w:shd w:val="clear" w:color="auto" w:fill="auto"/>
          </w:tcPr>
          <w:p w:rsidR="001770BA" w:rsidRPr="0076258B" w:rsidRDefault="001770BA" w:rsidP="00EF478F">
            <w:r w:rsidRPr="0076258B">
              <w:t>278</w:t>
            </w:r>
            <w:r>
              <w:t xml:space="preserve"> (8%)</w:t>
            </w:r>
          </w:p>
        </w:tc>
        <w:tc>
          <w:tcPr>
            <w:tcW w:w="1418" w:type="dxa"/>
            <w:shd w:val="clear" w:color="auto" w:fill="auto"/>
          </w:tcPr>
          <w:p w:rsidR="001770BA" w:rsidRDefault="001770BA" w:rsidP="00EF478F">
            <w:r w:rsidRPr="0076258B">
              <w:t>454</w:t>
            </w:r>
            <w:r>
              <w:t xml:space="preserve"> (11%)</w:t>
            </w:r>
          </w:p>
        </w:tc>
        <w:tc>
          <w:tcPr>
            <w:tcW w:w="1134" w:type="dxa"/>
            <w:shd w:val="clear" w:color="auto" w:fill="auto"/>
          </w:tcPr>
          <w:p w:rsidR="001770BA" w:rsidRDefault="001770BA" w:rsidP="00EF478F">
            <w:r>
              <w:t>NA</w:t>
            </w:r>
          </w:p>
        </w:tc>
        <w:tc>
          <w:tcPr>
            <w:tcW w:w="992" w:type="dxa"/>
            <w:shd w:val="clear" w:color="auto" w:fill="auto"/>
          </w:tcPr>
          <w:p w:rsidR="001770BA" w:rsidRDefault="001770BA" w:rsidP="00EF478F"/>
        </w:tc>
      </w:tr>
    </w:tbl>
    <w:p w:rsidR="001770BA" w:rsidRPr="00ED01E3" w:rsidRDefault="001770BA" w:rsidP="001770BA">
      <w:pPr>
        <w:spacing w:line="240" w:lineRule="auto"/>
        <w:rPr>
          <w:sz w:val="20"/>
        </w:rPr>
      </w:pPr>
      <w:r w:rsidRPr="00ED01E3">
        <w:rPr>
          <w:sz w:val="20"/>
        </w:rPr>
        <w:t>*For additional data regarding univariate regression between years, please see supplementary table.</w:t>
      </w:r>
      <w:r>
        <w:rPr>
          <w:sz w:val="20"/>
        </w:rPr>
        <w:t xml:space="preserve">NA refers to values where ANOVA testing was unable to be performed due to the type of data extracted. </w:t>
      </w:r>
    </w:p>
    <w:p w:rsidR="001770BA" w:rsidRDefault="001770BA" w:rsidP="00B25B82">
      <w:pPr>
        <w:spacing w:line="480" w:lineRule="auto"/>
        <w:rPr>
          <w:b/>
          <w:bCs/>
          <w:color w:val="4F81BD" w:themeColor="accent1"/>
          <w:sz w:val="18"/>
          <w:szCs w:val="18"/>
        </w:rPr>
      </w:pPr>
    </w:p>
    <w:p w:rsidR="00E92995" w:rsidRDefault="00413F40" w:rsidP="00B25B82">
      <w:pPr>
        <w:spacing w:line="480" w:lineRule="auto"/>
      </w:pPr>
      <w:r>
        <w:t>Numbers of patients seen in total</w:t>
      </w:r>
      <w:r w:rsidR="001F5D87">
        <w:t xml:space="preserve"> remained similar between 2019 and 2020, but then increased </w:t>
      </w:r>
      <w:r w:rsidR="001F5D87" w:rsidRPr="001D503F">
        <w:t>into 2021</w:t>
      </w:r>
      <w:r w:rsidR="001F5D87">
        <w:t xml:space="preserve"> </w:t>
      </w:r>
      <w:r w:rsidR="00655BF1">
        <w:t>(18% increase in workload)</w:t>
      </w:r>
      <w:r w:rsidR="007D387F">
        <w:t>.</w:t>
      </w:r>
      <w:r w:rsidR="001F5D87">
        <w:t xml:space="preserve"> </w:t>
      </w:r>
      <w:r w:rsidR="00655BF1">
        <w:t>The observed increase in work</w:t>
      </w:r>
      <w:r w:rsidR="0097598D">
        <w:t xml:space="preserve">load in 2021 was absorbed through an increase in waiting list initiatives </w:t>
      </w:r>
      <w:r w:rsidR="00634256">
        <w:t xml:space="preserve">to mitigate the capacity limitations </w:t>
      </w:r>
      <w:r w:rsidR="0097598D">
        <w:t xml:space="preserve">with an additional </w:t>
      </w:r>
      <w:r w:rsidR="00655BF1">
        <w:t>305</w:t>
      </w:r>
      <w:r w:rsidR="001F5D87" w:rsidRPr="001D503F">
        <w:t xml:space="preserve"> hours of wait-lis</w:t>
      </w:r>
      <w:r w:rsidR="00EB23AF">
        <w:t>t initiative clinics delivered (see Table 3)</w:t>
      </w:r>
      <w:r w:rsidR="00655BF1">
        <w:t>.</w:t>
      </w:r>
    </w:p>
    <w:p w:rsidR="001770BA" w:rsidRDefault="001770BA">
      <w:pPr>
        <w:rPr>
          <w:i/>
        </w:rPr>
      </w:pPr>
      <w:r>
        <w:rPr>
          <w:i/>
        </w:rPr>
        <w:br w:type="page"/>
      </w:r>
    </w:p>
    <w:p w:rsidR="001770BA" w:rsidRDefault="001770BA" w:rsidP="001770BA">
      <w:pPr>
        <w:pStyle w:val="Caption"/>
        <w:keepNext/>
      </w:pPr>
      <w:r>
        <w:lastRenderedPageBreak/>
        <w:t xml:space="preserve">Table </w:t>
      </w:r>
      <w:r>
        <w:fldChar w:fldCharType="begin"/>
      </w:r>
      <w:r>
        <w:instrText xml:space="preserve"> SEQ Table \* ARABIC </w:instrText>
      </w:r>
      <w:r>
        <w:fldChar w:fldCharType="separate"/>
      </w:r>
      <w:r>
        <w:rPr>
          <w:noProof/>
        </w:rPr>
        <w:t>3</w:t>
      </w:r>
      <w:r>
        <w:rPr>
          <w:noProof/>
        </w:rPr>
        <w:fldChar w:fldCharType="end"/>
      </w:r>
      <w:r>
        <w:t>: Table to demonstrate service changes between 2019-2021</w:t>
      </w:r>
    </w:p>
    <w:tbl>
      <w:tblPr>
        <w:tblStyle w:val="TableGrid"/>
        <w:tblW w:w="0" w:type="auto"/>
        <w:tblLook w:val="04A0" w:firstRow="1" w:lastRow="0" w:firstColumn="1" w:lastColumn="0" w:noHBand="0" w:noVBand="1"/>
      </w:tblPr>
      <w:tblGrid>
        <w:gridCol w:w="5478"/>
        <w:gridCol w:w="1132"/>
        <w:gridCol w:w="1274"/>
        <w:gridCol w:w="1132"/>
      </w:tblGrid>
      <w:tr w:rsidR="001770BA" w:rsidTr="00EF478F">
        <w:trPr>
          <w:trHeight w:val="237"/>
        </w:trPr>
        <w:tc>
          <w:tcPr>
            <w:tcW w:w="5495" w:type="dxa"/>
          </w:tcPr>
          <w:p w:rsidR="001770BA" w:rsidRDefault="001770BA" w:rsidP="00EF478F">
            <w:pPr>
              <w:rPr>
                <w:b/>
                <w:u w:val="single"/>
              </w:rPr>
            </w:pPr>
            <w:r>
              <w:rPr>
                <w:b/>
                <w:u w:val="single"/>
              </w:rPr>
              <w:t>Team</w:t>
            </w:r>
          </w:p>
        </w:tc>
        <w:tc>
          <w:tcPr>
            <w:tcW w:w="1134" w:type="dxa"/>
          </w:tcPr>
          <w:p w:rsidR="001770BA" w:rsidRDefault="001770BA" w:rsidP="00EF478F">
            <w:pPr>
              <w:rPr>
                <w:b/>
                <w:u w:val="single"/>
              </w:rPr>
            </w:pPr>
            <w:r>
              <w:rPr>
                <w:b/>
                <w:u w:val="single"/>
              </w:rPr>
              <w:t>2019</w:t>
            </w:r>
          </w:p>
        </w:tc>
        <w:tc>
          <w:tcPr>
            <w:tcW w:w="1276" w:type="dxa"/>
          </w:tcPr>
          <w:p w:rsidR="001770BA" w:rsidRDefault="001770BA" w:rsidP="00EF478F">
            <w:pPr>
              <w:rPr>
                <w:b/>
                <w:u w:val="single"/>
              </w:rPr>
            </w:pPr>
            <w:r>
              <w:rPr>
                <w:b/>
                <w:u w:val="single"/>
              </w:rPr>
              <w:t>2020</w:t>
            </w:r>
          </w:p>
        </w:tc>
        <w:tc>
          <w:tcPr>
            <w:tcW w:w="1134" w:type="dxa"/>
          </w:tcPr>
          <w:p w:rsidR="001770BA" w:rsidRDefault="001770BA" w:rsidP="00EF478F">
            <w:pPr>
              <w:rPr>
                <w:b/>
                <w:u w:val="single"/>
              </w:rPr>
            </w:pPr>
            <w:r>
              <w:rPr>
                <w:b/>
                <w:u w:val="single"/>
              </w:rPr>
              <w:t>2021</w:t>
            </w:r>
          </w:p>
        </w:tc>
      </w:tr>
      <w:tr w:rsidR="001770BA" w:rsidTr="00EF478F">
        <w:trPr>
          <w:trHeight w:val="337"/>
        </w:trPr>
        <w:tc>
          <w:tcPr>
            <w:tcW w:w="5495" w:type="dxa"/>
          </w:tcPr>
          <w:p w:rsidR="001770BA" w:rsidRPr="005A0917" w:rsidRDefault="001770BA" w:rsidP="00EF478F">
            <w:r w:rsidRPr="005A0917">
              <w:t>Clinical hours delivered (average</w:t>
            </w:r>
            <w:r>
              <w:t xml:space="preserve"> per week</w:t>
            </w:r>
            <w:r w:rsidRPr="005A0917">
              <w:t>)</w:t>
            </w:r>
          </w:p>
        </w:tc>
        <w:tc>
          <w:tcPr>
            <w:tcW w:w="1134" w:type="dxa"/>
          </w:tcPr>
          <w:p w:rsidR="001770BA" w:rsidRPr="00FA5CF9" w:rsidRDefault="001770BA" w:rsidP="00EF478F">
            <w:r w:rsidRPr="00FA5CF9">
              <w:t>96</w:t>
            </w:r>
          </w:p>
        </w:tc>
        <w:tc>
          <w:tcPr>
            <w:tcW w:w="1276" w:type="dxa"/>
          </w:tcPr>
          <w:p w:rsidR="001770BA" w:rsidRPr="00FA5CF9" w:rsidRDefault="001770BA" w:rsidP="00EF478F">
            <w:r w:rsidRPr="00FA5CF9">
              <w:t>94</w:t>
            </w:r>
          </w:p>
        </w:tc>
        <w:tc>
          <w:tcPr>
            <w:tcW w:w="1134" w:type="dxa"/>
            <w:shd w:val="clear" w:color="auto" w:fill="D9D9D9" w:themeFill="background1" w:themeFillShade="D9"/>
          </w:tcPr>
          <w:p w:rsidR="001770BA" w:rsidRPr="00FA5CF9" w:rsidRDefault="001770BA" w:rsidP="00EF478F">
            <w:r w:rsidRPr="00FA5CF9">
              <w:t>127</w:t>
            </w:r>
          </w:p>
        </w:tc>
      </w:tr>
      <w:tr w:rsidR="001770BA" w:rsidTr="00EF478F">
        <w:trPr>
          <w:trHeight w:val="257"/>
        </w:trPr>
        <w:tc>
          <w:tcPr>
            <w:tcW w:w="5495" w:type="dxa"/>
          </w:tcPr>
          <w:p w:rsidR="001770BA" w:rsidRPr="005A0917" w:rsidRDefault="001770BA" w:rsidP="00EF478F">
            <w:r>
              <w:t xml:space="preserve">Additional hours delivered over the year </w:t>
            </w:r>
          </w:p>
        </w:tc>
        <w:tc>
          <w:tcPr>
            <w:tcW w:w="1134" w:type="dxa"/>
          </w:tcPr>
          <w:p w:rsidR="001770BA" w:rsidRPr="00FA5CF9" w:rsidRDefault="001770BA" w:rsidP="00EF478F">
            <w:r>
              <w:t>103.5</w:t>
            </w:r>
          </w:p>
        </w:tc>
        <w:tc>
          <w:tcPr>
            <w:tcW w:w="1276" w:type="dxa"/>
          </w:tcPr>
          <w:p w:rsidR="001770BA" w:rsidRPr="00FA5CF9" w:rsidRDefault="001770BA" w:rsidP="00EF478F">
            <w:r>
              <w:t>56.5</w:t>
            </w:r>
          </w:p>
        </w:tc>
        <w:tc>
          <w:tcPr>
            <w:tcW w:w="1134" w:type="dxa"/>
            <w:shd w:val="clear" w:color="auto" w:fill="D9D9D9" w:themeFill="background1" w:themeFillShade="D9"/>
          </w:tcPr>
          <w:p w:rsidR="001770BA" w:rsidRPr="00FA5CF9" w:rsidRDefault="001770BA" w:rsidP="00EF478F">
            <w:r>
              <w:t>305</w:t>
            </w:r>
          </w:p>
        </w:tc>
      </w:tr>
    </w:tbl>
    <w:p w:rsidR="001770BA" w:rsidRDefault="001770BA" w:rsidP="00B25B82">
      <w:pPr>
        <w:spacing w:line="480" w:lineRule="auto"/>
        <w:rPr>
          <w:i/>
        </w:rPr>
      </w:pPr>
    </w:p>
    <w:p w:rsidR="00C9219C" w:rsidRPr="008967B0" w:rsidRDefault="001F5D87" w:rsidP="00B25B82">
      <w:pPr>
        <w:spacing w:line="480" w:lineRule="auto"/>
        <w:rPr>
          <w:i/>
        </w:rPr>
      </w:pPr>
      <w:r w:rsidRPr="008967B0">
        <w:rPr>
          <w:i/>
        </w:rPr>
        <w:t>Multi-disciplinary Review</w:t>
      </w:r>
    </w:p>
    <w:p w:rsidR="005A0917" w:rsidRDefault="001914C1" w:rsidP="00B25B82">
      <w:pPr>
        <w:spacing w:line="480" w:lineRule="auto"/>
      </w:pPr>
      <w:r>
        <w:t>Only 13% (1305) patients required Consultant input into their care</w:t>
      </w:r>
      <w:r w:rsidR="001770BA">
        <w:t xml:space="preserve"> (see Table 4)</w:t>
      </w:r>
      <w:r>
        <w:t xml:space="preserve">. </w:t>
      </w:r>
      <w:r w:rsidR="00C71A35">
        <w:t>A</w:t>
      </w:r>
      <w:r w:rsidR="00DE44A9">
        <w:t xml:space="preserve"> total of </w:t>
      </w:r>
      <w:r>
        <w:t xml:space="preserve">808 </w:t>
      </w:r>
      <w:r w:rsidR="00C84C10">
        <w:t>patient</w:t>
      </w:r>
      <w:r w:rsidR="00DE44A9">
        <w:t>s (</w:t>
      </w:r>
      <w:r>
        <w:t>8</w:t>
      </w:r>
      <w:r w:rsidR="00DE44A9">
        <w:t>%) were discussed in an MDT setting</w:t>
      </w:r>
      <w:r w:rsidR="001F5D87">
        <w:t xml:space="preserve"> with a </w:t>
      </w:r>
      <w:r w:rsidR="00C71A35">
        <w:t xml:space="preserve">Consultant </w:t>
      </w:r>
      <w:r w:rsidR="001F5D87">
        <w:t xml:space="preserve">Spinal </w:t>
      </w:r>
      <w:r w:rsidR="00655BF1">
        <w:t>S</w:t>
      </w:r>
      <w:r w:rsidR="00F97533">
        <w:t xml:space="preserve">urgeon </w:t>
      </w:r>
      <w:r>
        <w:t xml:space="preserve">for a surgical opinion. </w:t>
      </w:r>
      <w:r w:rsidR="00C84C10">
        <w:t xml:space="preserve">Most of these patients were either listed directly for surgery or reviewed in consultant clinic, however there was an increase in patients reviewed by consultants in 2020, and a slight reduction in directly listed patients. </w:t>
      </w:r>
      <w:r w:rsidR="001F5D87">
        <w:t xml:space="preserve">Face-to-face </w:t>
      </w:r>
      <w:r w:rsidR="00C71A35">
        <w:t xml:space="preserve">MDTs </w:t>
      </w:r>
      <w:r w:rsidR="00141222">
        <w:t xml:space="preserve">demonstrated a </w:t>
      </w:r>
      <w:r w:rsidR="00C84C10">
        <w:t>similar</w:t>
      </w:r>
      <w:r w:rsidR="00141222">
        <w:t xml:space="preserve"> surgical dire</w:t>
      </w:r>
      <w:r w:rsidR="00C84C10">
        <w:t>ct listing than virtual MDTs (36</w:t>
      </w:r>
      <w:r w:rsidR="00141222">
        <w:t xml:space="preserve">% vs </w:t>
      </w:r>
      <w:r w:rsidR="00C84C10">
        <w:t>33</w:t>
      </w:r>
      <w:r w:rsidR="00141222">
        <w:t xml:space="preserve">%). </w:t>
      </w:r>
      <w:r w:rsidR="00655BF1">
        <w:t>Only</w:t>
      </w:r>
      <w:r w:rsidR="00141222">
        <w:t xml:space="preserve"> a small proportion of total patients were seen in face-to-face MDT (2%</w:t>
      </w:r>
      <w:r w:rsidR="00C84C10">
        <w:t xml:space="preserve"> of total seen</w:t>
      </w:r>
      <w:r w:rsidR="00141222">
        <w:t xml:space="preserve">). </w:t>
      </w:r>
    </w:p>
    <w:p w:rsidR="001770BA" w:rsidRDefault="001770BA" w:rsidP="001770BA">
      <w:pPr>
        <w:pStyle w:val="Caption"/>
        <w:keepNext/>
      </w:pPr>
      <w:r>
        <w:t xml:space="preserve">Table </w:t>
      </w:r>
      <w:r>
        <w:fldChar w:fldCharType="begin"/>
      </w:r>
      <w:r>
        <w:instrText xml:space="preserve"> SEQ Table \* ARABIC </w:instrText>
      </w:r>
      <w:r>
        <w:fldChar w:fldCharType="separate"/>
      </w:r>
      <w:r>
        <w:rPr>
          <w:noProof/>
        </w:rPr>
        <w:t>4</w:t>
      </w:r>
      <w:r>
        <w:rPr>
          <w:noProof/>
        </w:rPr>
        <w:fldChar w:fldCharType="end"/>
      </w:r>
      <w:r>
        <w:t>: Counts and percentages of patients discussed at virtual Consultant multi-disciplinary meetings from 2019 to 2021</w:t>
      </w:r>
    </w:p>
    <w:tbl>
      <w:tblPr>
        <w:tblStyle w:val="TableGrid"/>
        <w:tblW w:w="0" w:type="auto"/>
        <w:tblLook w:val="04A0" w:firstRow="1" w:lastRow="0" w:firstColumn="1" w:lastColumn="0" w:noHBand="0" w:noVBand="1"/>
      </w:tblPr>
      <w:tblGrid>
        <w:gridCol w:w="5240"/>
        <w:gridCol w:w="1134"/>
        <w:gridCol w:w="1276"/>
        <w:gridCol w:w="1276"/>
      </w:tblGrid>
      <w:tr w:rsidR="001770BA" w:rsidTr="00EF478F">
        <w:tc>
          <w:tcPr>
            <w:tcW w:w="5240" w:type="dxa"/>
          </w:tcPr>
          <w:p w:rsidR="001770BA" w:rsidRDefault="001770BA" w:rsidP="00EF478F">
            <w:pPr>
              <w:rPr>
                <w:b/>
                <w:u w:val="single"/>
              </w:rPr>
            </w:pPr>
          </w:p>
        </w:tc>
        <w:tc>
          <w:tcPr>
            <w:tcW w:w="1134" w:type="dxa"/>
          </w:tcPr>
          <w:p w:rsidR="001770BA" w:rsidRDefault="001770BA" w:rsidP="00EF478F">
            <w:pPr>
              <w:rPr>
                <w:b/>
                <w:u w:val="single"/>
              </w:rPr>
            </w:pPr>
            <w:r>
              <w:rPr>
                <w:b/>
                <w:u w:val="single"/>
              </w:rPr>
              <w:t>2019</w:t>
            </w:r>
          </w:p>
        </w:tc>
        <w:tc>
          <w:tcPr>
            <w:tcW w:w="1276" w:type="dxa"/>
          </w:tcPr>
          <w:p w:rsidR="001770BA" w:rsidRDefault="001770BA" w:rsidP="00EF478F">
            <w:pPr>
              <w:rPr>
                <w:b/>
                <w:u w:val="single"/>
              </w:rPr>
            </w:pPr>
            <w:r>
              <w:rPr>
                <w:b/>
                <w:u w:val="single"/>
              </w:rPr>
              <w:t>2020</w:t>
            </w:r>
          </w:p>
        </w:tc>
        <w:tc>
          <w:tcPr>
            <w:tcW w:w="1276" w:type="dxa"/>
          </w:tcPr>
          <w:p w:rsidR="001770BA" w:rsidRDefault="001770BA" w:rsidP="00EF478F">
            <w:pPr>
              <w:rPr>
                <w:b/>
                <w:u w:val="single"/>
              </w:rPr>
            </w:pPr>
            <w:r>
              <w:rPr>
                <w:b/>
                <w:u w:val="single"/>
              </w:rPr>
              <w:t>2021</w:t>
            </w:r>
          </w:p>
        </w:tc>
      </w:tr>
      <w:tr w:rsidR="001770BA" w:rsidTr="00EF478F">
        <w:tc>
          <w:tcPr>
            <w:tcW w:w="5240" w:type="dxa"/>
          </w:tcPr>
          <w:p w:rsidR="001770BA" w:rsidRPr="00141222" w:rsidRDefault="001770BA" w:rsidP="00EF478F">
            <w:pPr>
              <w:rPr>
                <w:i/>
              </w:rPr>
            </w:pPr>
            <w:r>
              <w:rPr>
                <w:i/>
              </w:rPr>
              <w:t>Total Seen in the Year</w:t>
            </w:r>
          </w:p>
        </w:tc>
        <w:tc>
          <w:tcPr>
            <w:tcW w:w="1134" w:type="dxa"/>
          </w:tcPr>
          <w:p w:rsidR="001770BA" w:rsidRDefault="001770BA" w:rsidP="00EF478F">
            <w:r>
              <w:t>3360</w:t>
            </w:r>
          </w:p>
        </w:tc>
        <w:tc>
          <w:tcPr>
            <w:tcW w:w="1276" w:type="dxa"/>
          </w:tcPr>
          <w:p w:rsidR="001770BA" w:rsidRDefault="001770BA" w:rsidP="00EF478F">
            <w:r>
              <w:t>3272</w:t>
            </w:r>
          </w:p>
        </w:tc>
        <w:tc>
          <w:tcPr>
            <w:tcW w:w="1276" w:type="dxa"/>
          </w:tcPr>
          <w:p w:rsidR="001770BA" w:rsidRDefault="001770BA" w:rsidP="00EF478F">
            <w:r>
              <w:t>4003</w:t>
            </w:r>
          </w:p>
        </w:tc>
      </w:tr>
      <w:tr w:rsidR="001770BA" w:rsidTr="00EF478F">
        <w:tc>
          <w:tcPr>
            <w:tcW w:w="5240" w:type="dxa"/>
          </w:tcPr>
          <w:p w:rsidR="001770BA" w:rsidRPr="00141222" w:rsidRDefault="001770BA" w:rsidP="00EF478F">
            <w:pPr>
              <w:rPr>
                <w:i/>
              </w:rPr>
            </w:pPr>
            <w:r w:rsidRPr="00141222">
              <w:rPr>
                <w:i/>
              </w:rPr>
              <w:t>Virtual MDT</w:t>
            </w:r>
          </w:p>
        </w:tc>
        <w:tc>
          <w:tcPr>
            <w:tcW w:w="1134" w:type="dxa"/>
          </w:tcPr>
          <w:p w:rsidR="001770BA" w:rsidRDefault="001770BA" w:rsidP="00EF478F"/>
        </w:tc>
        <w:tc>
          <w:tcPr>
            <w:tcW w:w="1276" w:type="dxa"/>
          </w:tcPr>
          <w:p w:rsidR="001770BA" w:rsidRDefault="001770BA" w:rsidP="00EF478F"/>
        </w:tc>
        <w:tc>
          <w:tcPr>
            <w:tcW w:w="1276" w:type="dxa"/>
          </w:tcPr>
          <w:p w:rsidR="001770BA" w:rsidRDefault="001770BA" w:rsidP="00EF478F"/>
        </w:tc>
      </w:tr>
      <w:tr w:rsidR="001770BA" w:rsidTr="00EF478F">
        <w:tc>
          <w:tcPr>
            <w:tcW w:w="5240" w:type="dxa"/>
          </w:tcPr>
          <w:p w:rsidR="001770BA" w:rsidRPr="00DE44A9" w:rsidRDefault="001770BA" w:rsidP="00EF478F">
            <w:r>
              <w:t>Patient</w:t>
            </w:r>
            <w:r w:rsidRPr="00DE44A9">
              <w:t>s discussed</w:t>
            </w:r>
            <w:r>
              <w:t xml:space="preserve"> for surgical consideration (% of total seen in that year)</w:t>
            </w:r>
          </w:p>
        </w:tc>
        <w:tc>
          <w:tcPr>
            <w:tcW w:w="1134" w:type="dxa"/>
          </w:tcPr>
          <w:p w:rsidR="001770BA" w:rsidRDefault="001770BA" w:rsidP="00EF478F">
            <w:r>
              <w:t>241 (7%)</w:t>
            </w:r>
          </w:p>
        </w:tc>
        <w:tc>
          <w:tcPr>
            <w:tcW w:w="1276" w:type="dxa"/>
          </w:tcPr>
          <w:p w:rsidR="001770BA" w:rsidRPr="00C84C10" w:rsidRDefault="001770BA" w:rsidP="00EF478F">
            <w:r w:rsidRPr="00C84C10">
              <w:t>210 (6%)</w:t>
            </w:r>
          </w:p>
        </w:tc>
        <w:tc>
          <w:tcPr>
            <w:tcW w:w="1276" w:type="dxa"/>
          </w:tcPr>
          <w:p w:rsidR="001770BA" w:rsidRPr="00C84C10" w:rsidRDefault="001770BA" w:rsidP="00EF478F">
            <w:r w:rsidRPr="00C84C10">
              <w:t>296 (7%)</w:t>
            </w:r>
          </w:p>
        </w:tc>
      </w:tr>
      <w:tr w:rsidR="001770BA" w:rsidTr="00EF478F">
        <w:tc>
          <w:tcPr>
            <w:tcW w:w="5240" w:type="dxa"/>
          </w:tcPr>
          <w:p w:rsidR="001770BA" w:rsidRPr="00DE44A9" w:rsidRDefault="001770BA" w:rsidP="00EF478F">
            <w:r w:rsidRPr="00DE44A9">
              <w:t>Surgical Listing</w:t>
            </w:r>
            <w:r>
              <w:t xml:space="preserve"> (% of discussed)</w:t>
            </w:r>
          </w:p>
        </w:tc>
        <w:tc>
          <w:tcPr>
            <w:tcW w:w="1134" w:type="dxa"/>
          </w:tcPr>
          <w:p w:rsidR="001770BA" w:rsidRPr="0041078D" w:rsidRDefault="001770BA" w:rsidP="00EF478F">
            <w:r>
              <w:t>94 (39%)</w:t>
            </w:r>
          </w:p>
        </w:tc>
        <w:tc>
          <w:tcPr>
            <w:tcW w:w="1276" w:type="dxa"/>
            <w:shd w:val="clear" w:color="auto" w:fill="D9D9D9" w:themeFill="background1" w:themeFillShade="D9"/>
          </w:tcPr>
          <w:p w:rsidR="001770BA" w:rsidRPr="00C84C10" w:rsidRDefault="001770BA" w:rsidP="00EF478F">
            <w:r w:rsidRPr="00C84C10">
              <w:t>67 (32%)</w:t>
            </w:r>
          </w:p>
        </w:tc>
        <w:tc>
          <w:tcPr>
            <w:tcW w:w="1276" w:type="dxa"/>
            <w:shd w:val="clear" w:color="auto" w:fill="D9D9D9" w:themeFill="background1" w:themeFillShade="D9"/>
          </w:tcPr>
          <w:p w:rsidR="001770BA" w:rsidRPr="00C84C10" w:rsidRDefault="001770BA" w:rsidP="00EF478F">
            <w:r w:rsidRPr="00C84C10">
              <w:t>107 (36%)</w:t>
            </w:r>
          </w:p>
        </w:tc>
      </w:tr>
      <w:tr w:rsidR="001770BA" w:rsidTr="00EF478F">
        <w:tc>
          <w:tcPr>
            <w:tcW w:w="5240" w:type="dxa"/>
          </w:tcPr>
          <w:p w:rsidR="001770BA" w:rsidRPr="00DE44A9" w:rsidRDefault="001770BA" w:rsidP="00EF478F">
            <w:r>
              <w:t>Consultant Review (% of discussed)</w:t>
            </w:r>
          </w:p>
        </w:tc>
        <w:tc>
          <w:tcPr>
            <w:tcW w:w="1134" w:type="dxa"/>
          </w:tcPr>
          <w:p w:rsidR="001770BA" w:rsidRPr="0041078D" w:rsidRDefault="001770BA" w:rsidP="00EF478F">
            <w:r>
              <w:t>73 (30%)</w:t>
            </w:r>
          </w:p>
        </w:tc>
        <w:tc>
          <w:tcPr>
            <w:tcW w:w="1276" w:type="dxa"/>
          </w:tcPr>
          <w:p w:rsidR="001770BA" w:rsidRPr="0041078D" w:rsidRDefault="001770BA" w:rsidP="00EF478F">
            <w:r>
              <w:t>100 (48%)</w:t>
            </w:r>
          </w:p>
        </w:tc>
        <w:tc>
          <w:tcPr>
            <w:tcW w:w="1276" w:type="dxa"/>
          </w:tcPr>
          <w:p w:rsidR="001770BA" w:rsidRPr="0041078D" w:rsidRDefault="001770BA" w:rsidP="00EF478F">
            <w:r>
              <w:t>109 (37%)</w:t>
            </w:r>
          </w:p>
        </w:tc>
      </w:tr>
      <w:tr w:rsidR="001770BA" w:rsidTr="00EF478F">
        <w:tc>
          <w:tcPr>
            <w:tcW w:w="5240" w:type="dxa"/>
          </w:tcPr>
          <w:p w:rsidR="001770BA" w:rsidRDefault="001770BA" w:rsidP="00EF478F">
            <w:r>
              <w:t>Surgically Appropriate (% of discussed)</w:t>
            </w:r>
          </w:p>
        </w:tc>
        <w:tc>
          <w:tcPr>
            <w:tcW w:w="1134" w:type="dxa"/>
          </w:tcPr>
          <w:p w:rsidR="001770BA" w:rsidRDefault="001770BA" w:rsidP="00EF478F">
            <w:r>
              <w:t>166 (69%)</w:t>
            </w:r>
          </w:p>
        </w:tc>
        <w:tc>
          <w:tcPr>
            <w:tcW w:w="1276" w:type="dxa"/>
          </w:tcPr>
          <w:p w:rsidR="001770BA" w:rsidRDefault="001770BA" w:rsidP="00EF478F">
            <w:r>
              <w:t>167 (80%)</w:t>
            </w:r>
          </w:p>
        </w:tc>
        <w:tc>
          <w:tcPr>
            <w:tcW w:w="1276" w:type="dxa"/>
          </w:tcPr>
          <w:p w:rsidR="001770BA" w:rsidRDefault="001770BA" w:rsidP="00EF478F">
            <w:r>
              <w:t>216 (73%)</w:t>
            </w:r>
          </w:p>
        </w:tc>
      </w:tr>
      <w:tr w:rsidR="001770BA" w:rsidTr="00EF478F">
        <w:tc>
          <w:tcPr>
            <w:tcW w:w="5240" w:type="dxa"/>
          </w:tcPr>
          <w:p w:rsidR="001770BA" w:rsidRDefault="001770BA" w:rsidP="00EF478F">
            <w:r>
              <w:t>Patients discussed for management plan (% of total seen in that year)</w:t>
            </w:r>
          </w:p>
        </w:tc>
        <w:tc>
          <w:tcPr>
            <w:tcW w:w="1134" w:type="dxa"/>
          </w:tcPr>
          <w:p w:rsidR="001770BA" w:rsidRPr="0041078D" w:rsidRDefault="001770BA" w:rsidP="00EF478F">
            <w:r>
              <w:t>262 (8%)</w:t>
            </w:r>
          </w:p>
        </w:tc>
        <w:tc>
          <w:tcPr>
            <w:tcW w:w="1276" w:type="dxa"/>
            <w:shd w:val="clear" w:color="auto" w:fill="D9D9D9" w:themeFill="background1" w:themeFillShade="D9"/>
          </w:tcPr>
          <w:p w:rsidR="001770BA" w:rsidRPr="0041078D" w:rsidRDefault="001770BA" w:rsidP="00EF478F">
            <w:r>
              <w:t>166 (5%)</w:t>
            </w:r>
          </w:p>
        </w:tc>
        <w:tc>
          <w:tcPr>
            <w:tcW w:w="1276" w:type="dxa"/>
            <w:shd w:val="clear" w:color="auto" w:fill="D9D9D9" w:themeFill="background1" w:themeFillShade="D9"/>
          </w:tcPr>
          <w:p w:rsidR="001770BA" w:rsidRPr="0041078D" w:rsidRDefault="001770BA" w:rsidP="00EF478F">
            <w:r>
              <w:t>166 (&lt;1%)</w:t>
            </w:r>
          </w:p>
        </w:tc>
      </w:tr>
      <w:tr w:rsidR="001770BA" w:rsidTr="00EF478F">
        <w:tc>
          <w:tcPr>
            <w:tcW w:w="5240" w:type="dxa"/>
          </w:tcPr>
          <w:p w:rsidR="001770BA" w:rsidRPr="00141222" w:rsidRDefault="001770BA" w:rsidP="00EF478F">
            <w:pPr>
              <w:rPr>
                <w:i/>
              </w:rPr>
            </w:pPr>
            <w:r w:rsidRPr="00141222">
              <w:rPr>
                <w:i/>
              </w:rPr>
              <w:t>Face-to-Face MDT</w:t>
            </w:r>
          </w:p>
        </w:tc>
        <w:tc>
          <w:tcPr>
            <w:tcW w:w="1134" w:type="dxa"/>
          </w:tcPr>
          <w:p w:rsidR="001770BA" w:rsidRPr="0041078D" w:rsidRDefault="001770BA" w:rsidP="00EF478F"/>
        </w:tc>
        <w:tc>
          <w:tcPr>
            <w:tcW w:w="1276" w:type="dxa"/>
          </w:tcPr>
          <w:p w:rsidR="001770BA" w:rsidRPr="0041078D" w:rsidRDefault="001770BA" w:rsidP="00EF478F"/>
        </w:tc>
        <w:tc>
          <w:tcPr>
            <w:tcW w:w="1276" w:type="dxa"/>
          </w:tcPr>
          <w:p w:rsidR="001770BA" w:rsidRPr="0041078D" w:rsidRDefault="001770BA" w:rsidP="00EF478F"/>
        </w:tc>
      </w:tr>
      <w:tr w:rsidR="001770BA" w:rsidTr="00EF478F">
        <w:tc>
          <w:tcPr>
            <w:tcW w:w="5240" w:type="dxa"/>
          </w:tcPr>
          <w:p w:rsidR="001770BA" w:rsidRPr="00DE44A9" w:rsidRDefault="001770BA" w:rsidP="00EF478F">
            <w:r>
              <w:t>Patient</w:t>
            </w:r>
            <w:r w:rsidRPr="00DE44A9">
              <w:t xml:space="preserve">s </w:t>
            </w:r>
            <w:r>
              <w:t>reviewed (% of total seen)</w:t>
            </w:r>
          </w:p>
        </w:tc>
        <w:tc>
          <w:tcPr>
            <w:tcW w:w="1134" w:type="dxa"/>
          </w:tcPr>
          <w:p w:rsidR="001770BA" w:rsidRPr="0041078D" w:rsidRDefault="001770BA" w:rsidP="00EF478F">
            <w:r>
              <w:t>9 (&lt;1%)</w:t>
            </w:r>
          </w:p>
        </w:tc>
        <w:tc>
          <w:tcPr>
            <w:tcW w:w="1276" w:type="dxa"/>
          </w:tcPr>
          <w:p w:rsidR="001770BA" w:rsidRPr="0041078D" w:rsidRDefault="001770BA" w:rsidP="00EF478F">
            <w:r>
              <w:t xml:space="preserve">84 (3%) </w:t>
            </w:r>
          </w:p>
        </w:tc>
        <w:tc>
          <w:tcPr>
            <w:tcW w:w="1276" w:type="dxa"/>
          </w:tcPr>
          <w:p w:rsidR="001770BA" w:rsidRPr="0041078D" w:rsidRDefault="001770BA" w:rsidP="00EF478F">
            <w:r>
              <w:t>128 (3%)</w:t>
            </w:r>
          </w:p>
        </w:tc>
      </w:tr>
      <w:tr w:rsidR="001770BA" w:rsidTr="00EF478F">
        <w:tc>
          <w:tcPr>
            <w:tcW w:w="5240" w:type="dxa"/>
          </w:tcPr>
          <w:p w:rsidR="001770BA" w:rsidRPr="00DE44A9" w:rsidRDefault="001770BA" w:rsidP="00EF478F">
            <w:r w:rsidRPr="00DE44A9">
              <w:t>Surgical Listing</w:t>
            </w:r>
            <w:r>
              <w:t xml:space="preserve"> (% of discussed)</w:t>
            </w:r>
          </w:p>
        </w:tc>
        <w:tc>
          <w:tcPr>
            <w:tcW w:w="1134" w:type="dxa"/>
          </w:tcPr>
          <w:p w:rsidR="001770BA" w:rsidRPr="0041078D" w:rsidRDefault="001770BA" w:rsidP="00EF478F">
            <w:r>
              <w:t>3 (30%)</w:t>
            </w:r>
          </w:p>
        </w:tc>
        <w:tc>
          <w:tcPr>
            <w:tcW w:w="1276" w:type="dxa"/>
            <w:shd w:val="clear" w:color="auto" w:fill="D9D9D9" w:themeFill="background1" w:themeFillShade="D9"/>
          </w:tcPr>
          <w:p w:rsidR="001770BA" w:rsidRPr="0041078D" w:rsidRDefault="001770BA" w:rsidP="00EF478F">
            <w:r>
              <w:t>32 (38%)</w:t>
            </w:r>
          </w:p>
        </w:tc>
        <w:tc>
          <w:tcPr>
            <w:tcW w:w="1276" w:type="dxa"/>
          </w:tcPr>
          <w:p w:rsidR="001770BA" w:rsidRPr="0041078D" w:rsidRDefault="001770BA" w:rsidP="00EF478F">
            <w:r>
              <w:t>37 (29%)</w:t>
            </w:r>
          </w:p>
        </w:tc>
      </w:tr>
      <w:tr w:rsidR="001770BA" w:rsidTr="00EF478F">
        <w:tc>
          <w:tcPr>
            <w:tcW w:w="5240" w:type="dxa"/>
          </w:tcPr>
          <w:p w:rsidR="001770BA" w:rsidRPr="00DE44A9" w:rsidRDefault="001770BA" w:rsidP="00EF478F">
            <w:r>
              <w:t>Consultant Review(% of discussed)</w:t>
            </w:r>
          </w:p>
        </w:tc>
        <w:tc>
          <w:tcPr>
            <w:tcW w:w="1134" w:type="dxa"/>
          </w:tcPr>
          <w:p w:rsidR="001770BA" w:rsidRPr="0041078D" w:rsidRDefault="001770BA" w:rsidP="00EF478F">
            <w:r>
              <w:t>N/A</w:t>
            </w:r>
          </w:p>
        </w:tc>
        <w:tc>
          <w:tcPr>
            <w:tcW w:w="1276" w:type="dxa"/>
          </w:tcPr>
          <w:p w:rsidR="001770BA" w:rsidRPr="0041078D" w:rsidRDefault="001770BA" w:rsidP="00EF478F">
            <w:r>
              <w:t>14 (17%)</w:t>
            </w:r>
          </w:p>
        </w:tc>
        <w:tc>
          <w:tcPr>
            <w:tcW w:w="1276" w:type="dxa"/>
          </w:tcPr>
          <w:p w:rsidR="001770BA" w:rsidRPr="0041078D" w:rsidRDefault="001770BA" w:rsidP="00EF478F">
            <w:r>
              <w:t>32 (25%)</w:t>
            </w:r>
          </w:p>
        </w:tc>
      </w:tr>
    </w:tbl>
    <w:p w:rsidR="001770BA" w:rsidRDefault="001770BA" w:rsidP="001770BA">
      <w:pPr>
        <w:spacing w:line="240" w:lineRule="auto"/>
      </w:pPr>
    </w:p>
    <w:p w:rsidR="00D66E34" w:rsidRDefault="00D66E34">
      <w:pPr>
        <w:rPr>
          <w:i/>
        </w:rPr>
      </w:pPr>
    </w:p>
    <w:p w:rsidR="00AA5211" w:rsidRPr="008967B0" w:rsidRDefault="00AA5211" w:rsidP="00B25B82">
      <w:pPr>
        <w:spacing w:line="480" w:lineRule="auto"/>
        <w:rPr>
          <w:i/>
        </w:rPr>
      </w:pPr>
      <w:r w:rsidRPr="008967B0">
        <w:rPr>
          <w:i/>
        </w:rPr>
        <w:t xml:space="preserve">Patient </w:t>
      </w:r>
      <w:r w:rsidR="00F2338B" w:rsidRPr="008967B0">
        <w:rPr>
          <w:i/>
        </w:rPr>
        <w:t>Satisfaction</w:t>
      </w:r>
    </w:p>
    <w:p w:rsidR="003B37EC" w:rsidRDefault="00EC5ADD" w:rsidP="00B25B82">
      <w:pPr>
        <w:spacing w:line="480" w:lineRule="auto"/>
      </w:pPr>
      <w:r>
        <w:t>Over the three-</w:t>
      </w:r>
      <w:r w:rsidR="00F2338B">
        <w:t>ye</w:t>
      </w:r>
      <w:r w:rsidR="00754732">
        <w:t>ar period, satisfaction data were</w:t>
      </w:r>
      <w:r w:rsidR="00F2338B">
        <w:t xml:space="preserve"> inconsistently collected.</w:t>
      </w:r>
      <w:r w:rsidR="00EB43EC">
        <w:t xml:space="preserve"> </w:t>
      </w:r>
      <w:r w:rsidR="00B71C2E">
        <w:t xml:space="preserve">A total of 1160 </w:t>
      </w:r>
      <w:r w:rsidR="00EF34C9">
        <w:t xml:space="preserve">(11% total patients seen) </w:t>
      </w:r>
      <w:r w:rsidR="00B71C2E">
        <w:t xml:space="preserve">Friends and Family test responses were gathered via the different methods, with </w:t>
      </w:r>
      <w:r w:rsidR="00B71C2E">
        <w:lastRenderedPageBreak/>
        <w:t xml:space="preserve">89% (n=1028) recommending the </w:t>
      </w:r>
      <w:r w:rsidR="00A8685A">
        <w:t>APP</w:t>
      </w:r>
      <w:r w:rsidR="00B71C2E">
        <w:t xml:space="preserve"> service.</w:t>
      </w:r>
      <w:r w:rsidR="0058302F">
        <w:t xml:space="preserve"> Please see table </w:t>
      </w:r>
      <w:r w:rsidR="00EF34C9">
        <w:t xml:space="preserve">5 for more detail of the various methods </w:t>
      </w:r>
      <w:r w:rsidR="00347739">
        <w:t xml:space="preserve">and results of </w:t>
      </w:r>
      <w:r w:rsidR="00EF34C9">
        <w:t>pa</w:t>
      </w:r>
      <w:r w:rsidR="00347739">
        <w:t>tient satisfaction</w:t>
      </w:r>
      <w:r w:rsidR="00EF34C9">
        <w:t xml:space="preserve">. </w:t>
      </w:r>
    </w:p>
    <w:p w:rsidR="003B37EC" w:rsidRDefault="00347739" w:rsidP="00B25B82">
      <w:pPr>
        <w:spacing w:line="480" w:lineRule="auto"/>
      </w:pPr>
      <w:r>
        <w:t>Patients responding to the telephone survey reported that the video consultations more convenient (n=13, 62%) but found communication more difficult (n=8, 38%) most often because they found it difficult to explain their problem. Comments included that “video was more convenient”, but also that face-to-face was “essential for a proper diagnosis”.</w:t>
      </w:r>
      <w:r w:rsidRPr="00347739">
        <w:t xml:space="preserve"> </w:t>
      </w:r>
      <w:r>
        <w:t xml:space="preserve">These survey results led to face-to-face new patient appointments offered to all patients from September 2020, allowing them choice according to their preference.  </w:t>
      </w:r>
    </w:p>
    <w:p w:rsidR="00347739" w:rsidRDefault="00347739" w:rsidP="00B25B82">
      <w:pPr>
        <w:spacing w:line="480" w:lineRule="auto"/>
      </w:pPr>
      <w:r>
        <w:t xml:space="preserve">Six patients expressed frustration and disappointment with the service received from the APP service. Themes from the individual discussions highlighted problems with communication, clinics running late, </w:t>
      </w:r>
      <w:r w:rsidR="00AC3BF2" w:rsidRPr="00CB503D">
        <w:t xml:space="preserve">lack of </w:t>
      </w:r>
      <w:r w:rsidRPr="00CB503D">
        <w:t xml:space="preserve">information leaflets, </w:t>
      </w:r>
      <w:r w:rsidR="00AC3BF2" w:rsidRPr="00CB503D">
        <w:t xml:space="preserve">unclear </w:t>
      </w:r>
      <w:r w:rsidRPr="00CB503D">
        <w:t>expectations for clinic appointments,</w:t>
      </w:r>
      <w:r>
        <w:t xml:space="preserve"> difficul</w:t>
      </w:r>
      <w:r w:rsidR="00EC5ADD">
        <w:t>ty in contacting the spinal out</w:t>
      </w:r>
      <w:r>
        <w:t xml:space="preserve">patient team and delays in receiving treatment. </w:t>
      </w:r>
    </w:p>
    <w:p w:rsidR="003B37EC" w:rsidRDefault="003B37EC" w:rsidP="00B25B82">
      <w:pPr>
        <w:spacing w:line="480" w:lineRule="auto"/>
      </w:pPr>
      <w:r>
        <w:t>The formally submitted concerns raised related to loss to follow up (n=4), inability to contact the team (n=2), desiring a second opinion (n=2), delays to MRI scans (n=2) and communication difficulties (n=2). The formal complaints involved delays to treatment wherein the patient had a complex presentation which led to multiple Virtual MDT discussions and MRI scans before finally being listed for surgery, and secondly due to assessment by an APP instead of a spinal surgeon.</w:t>
      </w:r>
    </w:p>
    <w:p w:rsidR="001770BA" w:rsidRDefault="001770BA">
      <w:pPr>
        <w:rPr>
          <w:b/>
          <w:bCs/>
          <w:color w:val="4F81BD" w:themeColor="accent1"/>
          <w:sz w:val="18"/>
          <w:szCs w:val="18"/>
        </w:rPr>
      </w:pPr>
      <w:r>
        <w:br w:type="page"/>
      </w:r>
    </w:p>
    <w:p w:rsidR="001770BA" w:rsidRDefault="001770BA" w:rsidP="001770BA">
      <w:pPr>
        <w:pStyle w:val="Caption"/>
        <w:keepNext/>
      </w:pPr>
      <w:r>
        <w:lastRenderedPageBreak/>
        <w:t xml:space="preserve">Table </w:t>
      </w:r>
      <w:r>
        <w:fldChar w:fldCharType="begin"/>
      </w:r>
      <w:r>
        <w:instrText xml:space="preserve"> SEQ Table \* ARABIC </w:instrText>
      </w:r>
      <w:r>
        <w:fldChar w:fldCharType="separate"/>
      </w:r>
      <w:r>
        <w:rPr>
          <w:noProof/>
        </w:rPr>
        <w:t>5</w:t>
      </w:r>
      <w:r>
        <w:rPr>
          <w:noProof/>
        </w:rPr>
        <w:fldChar w:fldCharType="end"/>
      </w:r>
      <w:r>
        <w:t>: Summary of Patient Satisfaction Responses</w:t>
      </w:r>
    </w:p>
    <w:tbl>
      <w:tblPr>
        <w:tblStyle w:val="TableGrid"/>
        <w:tblW w:w="0" w:type="auto"/>
        <w:tblLook w:val="04A0" w:firstRow="1" w:lastRow="0" w:firstColumn="1" w:lastColumn="0" w:noHBand="0" w:noVBand="1"/>
      </w:tblPr>
      <w:tblGrid>
        <w:gridCol w:w="1803"/>
        <w:gridCol w:w="1803"/>
        <w:gridCol w:w="1803"/>
        <w:gridCol w:w="1803"/>
        <w:gridCol w:w="1804"/>
      </w:tblGrid>
      <w:tr w:rsidR="001770BA" w:rsidTr="00EF478F">
        <w:tc>
          <w:tcPr>
            <w:tcW w:w="1803" w:type="dxa"/>
          </w:tcPr>
          <w:p w:rsidR="001770BA" w:rsidRDefault="001770BA" w:rsidP="00EF478F"/>
        </w:tc>
        <w:tc>
          <w:tcPr>
            <w:tcW w:w="1803" w:type="dxa"/>
          </w:tcPr>
          <w:p w:rsidR="001770BA" w:rsidRDefault="001770BA" w:rsidP="00EF478F">
            <w:r>
              <w:t>Sample derived from</w:t>
            </w:r>
          </w:p>
        </w:tc>
        <w:tc>
          <w:tcPr>
            <w:tcW w:w="1803" w:type="dxa"/>
          </w:tcPr>
          <w:p w:rsidR="001770BA" w:rsidRDefault="001770BA" w:rsidP="00EF478F">
            <w:r>
              <w:t>Total Responses</w:t>
            </w:r>
          </w:p>
        </w:tc>
        <w:tc>
          <w:tcPr>
            <w:tcW w:w="1803" w:type="dxa"/>
          </w:tcPr>
          <w:p w:rsidR="001770BA" w:rsidRDefault="001770BA" w:rsidP="00EF478F">
            <w:r>
              <w:t>Recommend the service</w:t>
            </w:r>
          </w:p>
        </w:tc>
        <w:tc>
          <w:tcPr>
            <w:tcW w:w="1804" w:type="dxa"/>
          </w:tcPr>
          <w:p w:rsidR="001770BA" w:rsidRDefault="001770BA" w:rsidP="00EF478F">
            <w:r>
              <w:t>Strongly recommend the service</w:t>
            </w:r>
          </w:p>
        </w:tc>
      </w:tr>
      <w:tr w:rsidR="001770BA" w:rsidTr="00EF478F">
        <w:tc>
          <w:tcPr>
            <w:tcW w:w="1803" w:type="dxa"/>
          </w:tcPr>
          <w:p w:rsidR="001770BA" w:rsidRDefault="001770BA" w:rsidP="00EF478F">
            <w:r>
              <w:t xml:space="preserve">Total Friends and Family Tests </w:t>
            </w:r>
          </w:p>
        </w:tc>
        <w:tc>
          <w:tcPr>
            <w:tcW w:w="1803" w:type="dxa"/>
          </w:tcPr>
          <w:p w:rsidR="001770BA" w:rsidRDefault="001770BA" w:rsidP="00EF478F">
            <w:r>
              <w:t>Spinal Out-patient Department</w:t>
            </w:r>
          </w:p>
        </w:tc>
        <w:tc>
          <w:tcPr>
            <w:tcW w:w="1803" w:type="dxa"/>
          </w:tcPr>
          <w:p w:rsidR="001770BA" w:rsidRDefault="001770BA" w:rsidP="00EF478F">
            <w:r>
              <w:t>1068 (10% of total seen 2019-2021)</w:t>
            </w:r>
          </w:p>
        </w:tc>
        <w:tc>
          <w:tcPr>
            <w:tcW w:w="1803" w:type="dxa"/>
          </w:tcPr>
          <w:p w:rsidR="001770BA" w:rsidRDefault="001770BA" w:rsidP="00EF478F">
            <w:r>
              <w:t>939 (88%)</w:t>
            </w:r>
          </w:p>
        </w:tc>
        <w:tc>
          <w:tcPr>
            <w:tcW w:w="1804" w:type="dxa"/>
          </w:tcPr>
          <w:p w:rsidR="001770BA" w:rsidRDefault="001770BA" w:rsidP="00EF478F">
            <w:r>
              <w:t>610 (57%)</w:t>
            </w:r>
          </w:p>
        </w:tc>
      </w:tr>
      <w:tr w:rsidR="001770BA" w:rsidTr="00EF478F">
        <w:tc>
          <w:tcPr>
            <w:tcW w:w="1803" w:type="dxa"/>
          </w:tcPr>
          <w:p w:rsidR="001770BA" w:rsidRDefault="001770BA" w:rsidP="00EF478F">
            <w:r>
              <w:t>Telephone Survey</w:t>
            </w:r>
          </w:p>
        </w:tc>
        <w:tc>
          <w:tcPr>
            <w:tcW w:w="1803" w:type="dxa"/>
          </w:tcPr>
          <w:p w:rsidR="001770BA" w:rsidRDefault="001770BA" w:rsidP="00EF478F">
            <w:r>
              <w:t>Spinal Practitioner Virtual New Patient Appointments</w:t>
            </w:r>
          </w:p>
        </w:tc>
        <w:tc>
          <w:tcPr>
            <w:tcW w:w="1803" w:type="dxa"/>
          </w:tcPr>
          <w:p w:rsidR="001770BA" w:rsidRDefault="001770BA" w:rsidP="00EF478F">
            <w:r>
              <w:t>21 (20% of 100 new patients seen in the month of April 2020)</w:t>
            </w:r>
          </w:p>
        </w:tc>
        <w:tc>
          <w:tcPr>
            <w:tcW w:w="1803" w:type="dxa"/>
          </w:tcPr>
          <w:p w:rsidR="001770BA" w:rsidRDefault="001770BA" w:rsidP="00EF478F">
            <w:r>
              <w:t>18 (of 19 responses, 95%)</w:t>
            </w:r>
          </w:p>
        </w:tc>
        <w:tc>
          <w:tcPr>
            <w:tcW w:w="1804" w:type="dxa"/>
          </w:tcPr>
          <w:p w:rsidR="001770BA" w:rsidRDefault="001770BA" w:rsidP="00EF478F">
            <w:r>
              <w:t>10 (53%)</w:t>
            </w:r>
          </w:p>
        </w:tc>
      </w:tr>
      <w:tr w:rsidR="001770BA" w:rsidTr="00EF478F">
        <w:tc>
          <w:tcPr>
            <w:tcW w:w="1803" w:type="dxa"/>
          </w:tcPr>
          <w:p w:rsidR="001770BA" w:rsidRDefault="001770BA" w:rsidP="00EF478F">
            <w:r>
              <w:t>Patient Satisfaction Questionnaires</w:t>
            </w:r>
          </w:p>
        </w:tc>
        <w:tc>
          <w:tcPr>
            <w:tcW w:w="1803" w:type="dxa"/>
          </w:tcPr>
          <w:p w:rsidR="001770BA" w:rsidRDefault="001770BA" w:rsidP="00EF478F">
            <w:r>
              <w:t>Spinal Practitioner Patients</w:t>
            </w:r>
          </w:p>
        </w:tc>
        <w:tc>
          <w:tcPr>
            <w:tcW w:w="1803" w:type="dxa"/>
          </w:tcPr>
          <w:p w:rsidR="001770BA" w:rsidRDefault="001770BA" w:rsidP="00EF478F">
            <w:r>
              <w:t>73 (2% of total seen in 2020)</w:t>
            </w:r>
          </w:p>
        </w:tc>
        <w:tc>
          <w:tcPr>
            <w:tcW w:w="1803" w:type="dxa"/>
          </w:tcPr>
          <w:p w:rsidR="001770BA" w:rsidRDefault="001770BA" w:rsidP="00EF478F">
            <w:r>
              <w:t>71 (97%)</w:t>
            </w:r>
          </w:p>
        </w:tc>
        <w:tc>
          <w:tcPr>
            <w:tcW w:w="1804" w:type="dxa"/>
          </w:tcPr>
          <w:p w:rsidR="001770BA" w:rsidRDefault="001770BA" w:rsidP="00EF478F"/>
        </w:tc>
      </w:tr>
      <w:tr w:rsidR="001770BA" w:rsidTr="00EF478F">
        <w:tc>
          <w:tcPr>
            <w:tcW w:w="1803" w:type="dxa"/>
          </w:tcPr>
          <w:p w:rsidR="001770BA" w:rsidRDefault="001770BA" w:rsidP="00EF478F">
            <w:r>
              <w:t>Individual Patient Reported Frustrations</w:t>
            </w:r>
          </w:p>
        </w:tc>
        <w:tc>
          <w:tcPr>
            <w:tcW w:w="1803" w:type="dxa"/>
          </w:tcPr>
          <w:p w:rsidR="001770BA" w:rsidRDefault="001770BA" w:rsidP="00EF478F">
            <w:r>
              <w:t>Spinal Practitioner Patients</w:t>
            </w:r>
          </w:p>
        </w:tc>
        <w:tc>
          <w:tcPr>
            <w:tcW w:w="1803" w:type="dxa"/>
          </w:tcPr>
          <w:p w:rsidR="001770BA" w:rsidRDefault="001770BA" w:rsidP="00EF478F">
            <w:r>
              <w:t>6 (&lt;1% total seen in 2021)</w:t>
            </w:r>
          </w:p>
        </w:tc>
        <w:tc>
          <w:tcPr>
            <w:tcW w:w="1803" w:type="dxa"/>
          </w:tcPr>
          <w:p w:rsidR="001770BA" w:rsidRDefault="001770BA" w:rsidP="00EF478F">
            <w:r>
              <w:t>N/A</w:t>
            </w:r>
          </w:p>
        </w:tc>
        <w:tc>
          <w:tcPr>
            <w:tcW w:w="1804" w:type="dxa"/>
          </w:tcPr>
          <w:p w:rsidR="001770BA" w:rsidRDefault="001770BA" w:rsidP="00EF478F">
            <w:r>
              <w:t>N/A</w:t>
            </w:r>
          </w:p>
        </w:tc>
      </w:tr>
      <w:tr w:rsidR="001770BA" w:rsidTr="00EF478F">
        <w:tc>
          <w:tcPr>
            <w:tcW w:w="1803" w:type="dxa"/>
          </w:tcPr>
          <w:p w:rsidR="001770BA" w:rsidRDefault="001770BA" w:rsidP="00EF478F">
            <w:r>
              <w:t>Formal Complaints and Compliments</w:t>
            </w:r>
          </w:p>
        </w:tc>
        <w:tc>
          <w:tcPr>
            <w:tcW w:w="1803" w:type="dxa"/>
          </w:tcPr>
          <w:p w:rsidR="001770BA" w:rsidRDefault="001770BA" w:rsidP="00EF478F">
            <w:r>
              <w:t>Spinal Practitioner Patients</w:t>
            </w:r>
          </w:p>
        </w:tc>
        <w:tc>
          <w:tcPr>
            <w:tcW w:w="1803" w:type="dxa"/>
          </w:tcPr>
          <w:p w:rsidR="001770BA" w:rsidRDefault="001770BA" w:rsidP="00EF478F">
            <w:r>
              <w:t>13 (&lt;1% total seen 2019-2021)</w:t>
            </w:r>
          </w:p>
        </w:tc>
        <w:tc>
          <w:tcPr>
            <w:tcW w:w="1803" w:type="dxa"/>
          </w:tcPr>
          <w:p w:rsidR="001770BA" w:rsidRDefault="001770BA" w:rsidP="00EF478F">
            <w:r>
              <w:t>2 compliments raised, 9 concerns, 2 compliments</w:t>
            </w:r>
          </w:p>
        </w:tc>
        <w:tc>
          <w:tcPr>
            <w:tcW w:w="1804" w:type="dxa"/>
          </w:tcPr>
          <w:p w:rsidR="001770BA" w:rsidRDefault="001770BA" w:rsidP="00EF478F"/>
        </w:tc>
      </w:tr>
      <w:tr w:rsidR="001770BA" w:rsidTr="00EF478F">
        <w:tc>
          <w:tcPr>
            <w:tcW w:w="1803" w:type="dxa"/>
          </w:tcPr>
          <w:p w:rsidR="001770BA" w:rsidRDefault="001770BA" w:rsidP="00EF478F">
            <w:r>
              <w:t>Total</w:t>
            </w:r>
          </w:p>
        </w:tc>
        <w:tc>
          <w:tcPr>
            <w:tcW w:w="1803" w:type="dxa"/>
          </w:tcPr>
          <w:p w:rsidR="001770BA" w:rsidRDefault="001770BA" w:rsidP="00EF478F">
            <w:r>
              <w:t xml:space="preserve">All </w:t>
            </w:r>
          </w:p>
        </w:tc>
        <w:tc>
          <w:tcPr>
            <w:tcW w:w="1803" w:type="dxa"/>
          </w:tcPr>
          <w:p w:rsidR="001770BA" w:rsidRDefault="001770BA" w:rsidP="00EF478F">
            <w:r>
              <w:t>1162</w:t>
            </w:r>
          </w:p>
        </w:tc>
        <w:tc>
          <w:tcPr>
            <w:tcW w:w="1803" w:type="dxa"/>
          </w:tcPr>
          <w:p w:rsidR="001770BA" w:rsidRDefault="001770BA" w:rsidP="00EF478F">
            <w:r>
              <w:t>1028 (88%)</w:t>
            </w:r>
          </w:p>
        </w:tc>
        <w:tc>
          <w:tcPr>
            <w:tcW w:w="1804" w:type="dxa"/>
          </w:tcPr>
          <w:p w:rsidR="001770BA" w:rsidRDefault="001770BA" w:rsidP="00EF478F">
            <w:r>
              <w:t>620 (53%)</w:t>
            </w:r>
          </w:p>
        </w:tc>
      </w:tr>
    </w:tbl>
    <w:p w:rsidR="001770BA" w:rsidRDefault="001770BA" w:rsidP="001770BA">
      <w:pPr>
        <w:spacing w:line="240" w:lineRule="auto"/>
      </w:pPr>
    </w:p>
    <w:p w:rsidR="001770BA" w:rsidRDefault="001770BA" w:rsidP="001770BA">
      <w:pPr>
        <w:spacing w:line="240" w:lineRule="auto"/>
      </w:pPr>
    </w:p>
    <w:p w:rsidR="00836BBA" w:rsidRDefault="001770BA" w:rsidP="00B25B82">
      <w:pPr>
        <w:spacing w:line="480" w:lineRule="auto"/>
        <w:rPr>
          <w:b/>
          <w:u w:val="single"/>
        </w:rPr>
      </w:pPr>
      <w:r>
        <w:rPr>
          <w:b/>
          <w:u w:val="single"/>
        </w:rPr>
        <w:t>D</w:t>
      </w:r>
      <w:r w:rsidR="00836BBA" w:rsidRPr="00836BBA">
        <w:rPr>
          <w:b/>
          <w:u w:val="single"/>
        </w:rPr>
        <w:t>iscussion</w:t>
      </w:r>
    </w:p>
    <w:p w:rsidR="00476DF0" w:rsidRDefault="00931144" w:rsidP="00B25B82">
      <w:pPr>
        <w:spacing w:line="480" w:lineRule="auto"/>
      </w:pPr>
      <w:r>
        <w:t xml:space="preserve">This service evaluation demonstrates that although there was a </w:t>
      </w:r>
      <w:r w:rsidR="00D87357">
        <w:t>statistically significant</w:t>
      </w:r>
      <w:r>
        <w:t xml:space="preserve"> decrease in </w:t>
      </w:r>
      <w:r w:rsidR="006F7F72">
        <w:t>referrals received</w:t>
      </w:r>
      <w:r>
        <w:t xml:space="preserve"> due to COVID-19 in 2</w:t>
      </w:r>
      <w:r w:rsidR="001914C1">
        <w:t>020</w:t>
      </w:r>
      <w:r w:rsidR="00D87357">
        <w:t xml:space="preserve"> compared to 2019</w:t>
      </w:r>
      <w:r w:rsidR="001914C1">
        <w:t>, the</w:t>
      </w:r>
      <w:r w:rsidR="00476DF0">
        <w:t xml:space="preserve"> </w:t>
      </w:r>
      <w:r w:rsidR="00A8685A">
        <w:t>APP</w:t>
      </w:r>
      <w:r w:rsidR="001914C1">
        <w:t xml:space="preserve"> service has </w:t>
      </w:r>
      <w:r w:rsidR="00476DF0">
        <w:t xml:space="preserve">exceeded previous activity </w:t>
      </w:r>
      <w:r w:rsidR="006F7F72">
        <w:t>in the year following COVID-19</w:t>
      </w:r>
      <w:r w:rsidR="00D87357">
        <w:t xml:space="preserve"> through both telehealth appointments, and follow-up activity</w:t>
      </w:r>
      <w:r w:rsidR="00D87357" w:rsidRPr="00C84C10">
        <w:t>. However, t</w:t>
      </w:r>
      <w:r w:rsidR="00CA2DEB" w:rsidRPr="00C84C10">
        <w:t xml:space="preserve">here was </w:t>
      </w:r>
      <w:r w:rsidR="00135F60" w:rsidRPr="00C84C10">
        <w:t>a reduction</w:t>
      </w:r>
      <w:r w:rsidR="00CA2DEB" w:rsidRPr="00C84C10">
        <w:t xml:space="preserve"> in </w:t>
      </w:r>
      <w:r w:rsidR="006F7F72" w:rsidRPr="00C84C10">
        <w:t>the number</w:t>
      </w:r>
      <w:r w:rsidR="00135F60" w:rsidRPr="00C84C10">
        <w:t xml:space="preserve"> of patients listed for </w:t>
      </w:r>
      <w:r w:rsidR="00CA2DEB" w:rsidRPr="00C84C10">
        <w:t>surg</w:t>
      </w:r>
      <w:r w:rsidR="00135F60" w:rsidRPr="00C84C10">
        <w:t>ery and consultant clinics from MDT</w:t>
      </w:r>
      <w:r w:rsidR="00CA2DEB" w:rsidRPr="00C84C10">
        <w:t xml:space="preserve"> </w:t>
      </w:r>
      <w:r w:rsidR="00C84C10" w:rsidRPr="00C84C10">
        <w:t>during the pandemic</w:t>
      </w:r>
      <w:r w:rsidR="00135F60">
        <w:t xml:space="preserve">. In comparison to previously reported figures, the </w:t>
      </w:r>
      <w:r w:rsidR="00A8685A">
        <w:t>APP</w:t>
      </w:r>
      <w:r w:rsidR="00135F60">
        <w:t xml:space="preserve"> service delivered </w:t>
      </w:r>
      <w:r w:rsidR="00184D5D">
        <w:t xml:space="preserve">on </w:t>
      </w:r>
      <w:r w:rsidR="00184D5D" w:rsidRPr="00C84C10">
        <w:t xml:space="preserve">average 3 times </w:t>
      </w:r>
      <w:r w:rsidR="00135F60" w:rsidRPr="00C84C10">
        <w:t>more activity</w:t>
      </w:r>
      <w:r w:rsidR="00184D5D" w:rsidRPr="00C84C10">
        <w:t xml:space="preserve"> than that delivered in our previous evaluation (2.85 times busier than 2012/3, 3.2 times busier than 2013/4).</w:t>
      </w:r>
      <w:r w:rsidR="00184D5D">
        <w:t xml:space="preserve"> </w:t>
      </w:r>
      <w:r w:rsidR="001914C1">
        <w:t xml:space="preserve">Despite this increase in activity, rates of independent management remained </w:t>
      </w:r>
      <w:r w:rsidR="00135F60">
        <w:t>high: o</w:t>
      </w:r>
      <w:r w:rsidR="001914C1">
        <w:t>nly 8% of patients seen were discussed for a surgi</w:t>
      </w:r>
      <w:r w:rsidR="00515750">
        <w:t>cal opinion, and 5</w:t>
      </w:r>
      <w:r w:rsidR="001914C1">
        <w:t>%</w:t>
      </w:r>
      <w:r w:rsidR="00515750">
        <w:t xml:space="preserve"> required management </w:t>
      </w:r>
      <w:r w:rsidR="006F7F72">
        <w:t>discussion</w:t>
      </w:r>
      <w:r w:rsidR="00515750">
        <w:t xml:space="preserve">. </w:t>
      </w:r>
    </w:p>
    <w:p w:rsidR="006F7F72" w:rsidRDefault="00135F60" w:rsidP="00B25B82">
      <w:pPr>
        <w:spacing w:line="480" w:lineRule="auto"/>
      </w:pPr>
      <w:r>
        <w:t xml:space="preserve">The impact of COVID-19 on the service appeared to be most marked by </w:t>
      </w:r>
      <w:r w:rsidR="00ED276A">
        <w:t xml:space="preserve">increase in work-load post-pandemic, </w:t>
      </w:r>
      <w:r>
        <w:t>the reduction in referrals</w:t>
      </w:r>
      <w:r w:rsidR="00ED276A">
        <w:t xml:space="preserve"> during the pandemic</w:t>
      </w:r>
      <w:r>
        <w:t xml:space="preserve"> and subsequent impact on new patient </w:t>
      </w:r>
      <w:r>
        <w:lastRenderedPageBreak/>
        <w:t xml:space="preserve">appointments. </w:t>
      </w:r>
      <w:r w:rsidR="00D66E34">
        <w:t>T</w:t>
      </w:r>
      <w:r w:rsidR="002E3F99">
        <w:t xml:space="preserve">elehealth </w:t>
      </w:r>
      <w:r>
        <w:t>appointments increased in 2020 (50% new patient appointments</w:t>
      </w:r>
      <w:r w:rsidR="00256353">
        <w:t xml:space="preserve"> p&lt;0.01</w:t>
      </w:r>
      <w:r>
        <w:t>, 51% follow up appointments</w:t>
      </w:r>
      <w:r w:rsidR="00256353">
        <w:t xml:space="preserve"> p &lt;0.0001</w:t>
      </w:r>
      <w:r w:rsidR="00D66E34">
        <w:t>). However,</w:t>
      </w:r>
      <w:r>
        <w:t xml:space="preserve"> patient and clinician feedback resulted in sustained virtual follow-up activity in 2021 (40%) and</w:t>
      </w:r>
      <w:r w:rsidR="00D66E34">
        <w:t xml:space="preserve"> a reduction in </w:t>
      </w:r>
      <w:r w:rsidR="002E3F99">
        <w:t>tel</w:t>
      </w:r>
      <w:r w:rsidR="00256353">
        <w:t>ehealth</w:t>
      </w:r>
      <w:r>
        <w:t xml:space="preserve"> new patient appointments (8%).</w:t>
      </w:r>
      <w:r w:rsidR="00D66E34">
        <w:t xml:space="preserve"> </w:t>
      </w:r>
      <w:r w:rsidR="00ED6807">
        <w:t xml:space="preserve">The findings of our small patient-evaluation are confirmed by </w:t>
      </w:r>
      <w:r w:rsidR="00CC7D30">
        <w:t xml:space="preserve">Craig et al. </w:t>
      </w:r>
      <w:r w:rsidR="00CC7D30">
        <w:fldChar w:fldCharType="begin" w:fldLock="1"/>
      </w:r>
      <w:r w:rsidR="00AC3BF2">
        <w:instrText>ADDIN CSL_CITATION {"citationItems":[{"id":"ITEM-1","itemData":{"DOI":"10.1016/j.inat.2021.101462","ISSN":"22147519","abstract":"Objectives: We aimed to identify patient specific characteristics associated with a favourable telehealth experience in patients undergoing outpatient spine consultation. Methods: We enrolled consecutive patients undergoing telehealth spine consultation during the initial months of the COVID 19 pandemic. We used an online, patient reported survey that collected demographic and disease specific information, as well as validated patient reported outcome measures. Survey items also assessed patients’ perspective of their telehealth experience. We performed univariate analysis to assess for any relationship between patient satisfaction and demographic and disease specific factors, and also collected qualitative responses regarding telehealth. Results: 170 unique responses were collected. 35.8% of patients were satisfied with telehealth. When stratified into satisfied (n = 61) and unsatisfied (n = 109), female patients were exclusively unsatisfied with their experience (100% unsatisfied vs male patients 30% unsatisfied, p &lt; 0.01). The groups were similar in terms of age, travel burden, and disease severity. Qualitative responses focussed on the patients’ concerns being able to adequately express their symptoms and functional limitations. Conclusions: Patients attending outpatient spinal consultation via telehealth reported a satisfaction rate of 35.8%. Female patients were less likely to be satisfied with telehealth. Patients described concerns being able to express themselves via telehealth. This may be amenable to further study and intervention as telehealth becomes a more prominent part of spinal care.","author":[{"dropping-particle":"","family":"Craig","given":"Michael","non-dropping-particle":"","parse-names":false,"suffix":""},{"dropping-particle":"","family":"Chopra","given":"Akash","non-dropping-particle":"","parse-names":false,"suffix":""},{"dropping-particle":"","family":"Lasry","given":"Oliver","non-dropping-particle":"","parse-names":false,"suffix":""},{"dropping-particle":"","family":"Dea","given":"Nicolas","non-dropping-particle":"","parse-names":false,"suffix":""},{"dropping-particle":"","family":"Charest-Morin","given":"Raphaele","non-dropping-particle":"","parse-names":false,"suffix":""},{"dropping-particle":"","family":"Street","given":"John","non-dropping-particle":"","parse-names":false,"suffix":""},{"dropping-particle":"","family":"Paquette","given":"Scott","non-dropping-particle":"","parse-names":false,"suffix":""},{"dropping-particle":"","family":"Dvorak","given":"Marcel","non-dropping-particle":"","parse-names":false,"suffix":""},{"dropping-particle":"","family":"Kwon","given":"Brian K.","non-dropping-particle":"","parse-names":false,"suffix":""},{"dropping-particle":"","family":"Fisher","given":"Charles","non-dropping-particle":"","parse-names":false,"suffix":""},{"dropping-particle":"","family":"Ailon","given":"Tamir","non-dropping-particle":"","parse-names":false,"suffix":""}],"container-title":"Interdisciplinary Neurosurgery: Advanced Techniques and Case Management","id":"ITEM-1","issue":"November 2021","issued":{"date-parts":[["2022"]]},"page":"101462","publisher":"Elsevier B.V.","title":"Telehealth for outpatient spine consultation: What do the patients think?","type":"article-journal","volume":"28"},"uris":["http://www.mendeley.com/documents/?uuid=551117ab-d7cb-4925-8928-6321c57dc53b"]}],"mendeley":{"formattedCitation":"(18)","plainTextFormattedCitation":"(18)","previouslyFormattedCitation":"(18)"},"properties":{"noteIndex":0},"schema":"https://github.com/citation-style-language/schema/raw/master/csl-citation.json"}</w:instrText>
      </w:r>
      <w:r w:rsidR="00CC7D30">
        <w:fldChar w:fldCharType="separate"/>
      </w:r>
      <w:r w:rsidR="00AC3BF2" w:rsidRPr="00AC3BF2">
        <w:rPr>
          <w:noProof/>
        </w:rPr>
        <w:t>(18)</w:t>
      </w:r>
      <w:r w:rsidR="00CC7D30">
        <w:fldChar w:fldCharType="end"/>
      </w:r>
      <w:r w:rsidR="00CC7D30">
        <w:t xml:space="preserve"> </w:t>
      </w:r>
      <w:r w:rsidR="00ED6807">
        <w:t>who reported a satisfaction rate of 36% with telehealth consultations. Qualitative feedback suggested that patients struggled to express themselves, and 78% preferred the option of an in-person appointment</w:t>
      </w:r>
      <w:r w:rsidR="002754C0">
        <w:t xml:space="preserve">. </w:t>
      </w:r>
      <w:r w:rsidR="00ED6807">
        <w:t xml:space="preserve">These findings are in contrast to those of </w:t>
      </w:r>
      <w:proofErr w:type="spellStart"/>
      <w:r w:rsidR="00ED6807">
        <w:t>Greven</w:t>
      </w:r>
      <w:proofErr w:type="spellEnd"/>
      <w:r w:rsidR="00ED6807">
        <w:t xml:space="preserve"> et al</w:t>
      </w:r>
      <w:r w:rsidR="00CC7D30">
        <w:t>.</w:t>
      </w:r>
      <w:r w:rsidR="00ED6807">
        <w:t xml:space="preserve"> </w:t>
      </w:r>
      <w:r w:rsidR="00CC7D30">
        <w:fldChar w:fldCharType="begin" w:fldLock="1"/>
      </w:r>
      <w:r w:rsidR="00AC3BF2">
        <w:instrText>ADDIN CSL_CITATION {"citationItems":[{"id":"ITEM-1","itemData":{"DOI":"10.1097/BRS.0000000000003821","ISBN":"0000000000","ISSN":"15281159","PMID":"33186272","abstract":"STUDY DESIGN: Retrospective questionnaire study of all patients seen via telemedicine during the COVID-19 pandemic at a large academic institution. OBJECTIVE: This aim of this study was to compare patient satisfaction of telemedicine clinic to in-person visits; to evaluate the preference for telemedicine to in-person visits; to assess patients' willingness to proceed with major surgery and/or a minor procedure based on a telemedicine visit alone. SUMMARY OF BACKGROUND DATA: One study showed promising utility of mobile health applications for spine patients. No studies have investigated telemedicine in the evaluation and management of spine patients. METHODS: An 11-part questionnaire was developed to assess the attitudes toward telemedicine for all patients seen within a 7-week period during the COVID-19 crisis. Patients were called by phone to participate in the survey. χ2 and the Wilcoxon Rank-Sum Test were performed to determine significance. RESULTS: Ninety-five percent were \"satisfied\" or \"very satisfied\" with their telemedicine visit, with 62% stating it was \"the same\" or \"better\" than previous in-person appointments. Patients saved a median of 105 minutes by using telemedicine compared to in-person visits. Fifty-two percent of patients have to take off work for in-person visits, compared to 7% for telemedicine. Thirty-seven percent preferred telemedicine to in-person visits. Patients who preferred telemedicine had significantly longer patient-reported in-person visit times (score mean of 171) compared to patients who preferred in-person visits (score mean of 137, P = 0.0007). Thirty-seven percent of patients would proceed with surgery and 73% would proceed with a minor procedure based on a telemedicine visit alone. CONCLUSION: Telemedicine can increase access to specialty care for patients with prolonged travel time to in-person visits and decrease the socioeconomic burden for both patients and hospital systems. The high satisfaction with telemedicine and willingness to proceed with surgery suggest that remote visits may be useful for both routine management and initial surgical evaluation for spine surgery candidates.Level of Evidence: 3.","author":[{"dropping-particle":"","family":"Greven","given":"Alexander C.M.","non-dropping-particle":"","parse-names":false,"suffix":""},{"dropping-particle":"","family":"McGinley","given":"Beau M.","non-dropping-particle":"","parse-names":false,"suffix":""},{"dropping-particle":"","family":"Guisse","given":"Ndeye F.","non-dropping-particle":"","parse-names":false,"suffix":""},{"dropping-particle":"","family":"McGee","given":"Lynessa J.","non-dropping-particle":"","parse-names":false,"suffix":""},{"dropping-particle":"","family":"Pirkle","given":"Sarah","non-dropping-particle":"","parse-names":false,"suffix":""},{"dropping-particle":"","family":"Malcolm","given":"James G.","non-dropping-particle":"","parse-names":false,"suffix":""},{"dropping-particle":"","family":"Rodts","given":"Gerald E.","non-dropping-particle":"","parse-names":false,"suffix":""},{"dropping-particle":"","family":"Refai","given":"Daniel","non-dropping-particle":"","parse-names":false,"suffix":""},{"dropping-particle":"","family":"Gary","given":"Matthew F.","non-dropping-particle":"","parse-names":false,"suffix":""}],"container-title":"Spine","id":"ITEM-1","issue":"7","issued":{"date-parts":[["2021"]]},"page":"472-477","title":"Telemedicine in the Evaluation and Management of Neurosurgical Spine Patients: Questionnaire Assessment of 346 Consecutive Patients","type":"article-journal","volume":"46"},"uris":["http://www.mendeley.com/documents/?uuid=f32ae22f-3b35-4b1c-8070-4e9ad285f1f9"]}],"mendeley":{"formattedCitation":"(19)","plainTextFormattedCitation":"(19)","previouslyFormattedCitation":"(19)"},"properties":{"noteIndex":0},"schema":"https://github.com/citation-style-language/schema/raw/master/csl-citation.json"}</w:instrText>
      </w:r>
      <w:r w:rsidR="00CC7D30">
        <w:fldChar w:fldCharType="separate"/>
      </w:r>
      <w:r w:rsidR="00AC3BF2" w:rsidRPr="00AC3BF2">
        <w:rPr>
          <w:noProof/>
        </w:rPr>
        <w:t>(19)</w:t>
      </w:r>
      <w:r w:rsidR="00CC7D30">
        <w:fldChar w:fldCharType="end"/>
      </w:r>
      <w:r w:rsidR="00CC7D30">
        <w:t xml:space="preserve"> </w:t>
      </w:r>
      <w:r w:rsidR="00ED6807">
        <w:t xml:space="preserve">who reported 95% were satisfied or very satisfied with their telehealth consultation. Our service has continued to use telehealth consultations for follow-up appointments, but informal feedback from clinicians </w:t>
      </w:r>
      <w:r w:rsidR="00C02FF7">
        <w:t>suggested</w:t>
      </w:r>
      <w:r w:rsidR="00ED6807">
        <w:t xml:space="preserve"> the ability to validate a patient’s symptoms by both the subjective and objective assessment</w:t>
      </w:r>
      <w:r w:rsidR="00D87357">
        <w:t xml:space="preserve"> in the first consultation allowed</w:t>
      </w:r>
      <w:r w:rsidR="00ED6807">
        <w:t xml:space="preserve"> greater confidence when discharging after the first consultation. </w:t>
      </w:r>
    </w:p>
    <w:p w:rsidR="00C02FF7" w:rsidRDefault="00C02FF7" w:rsidP="00B25B82">
      <w:pPr>
        <w:spacing w:line="480" w:lineRule="auto"/>
      </w:pPr>
      <w:r>
        <w:t xml:space="preserve">The </w:t>
      </w:r>
      <w:r w:rsidR="00A8685A">
        <w:t>APP</w:t>
      </w:r>
      <w:r>
        <w:t xml:space="preserve"> service continued to demonstrate high rates of independent management, similar to other sources of literature</w:t>
      </w:r>
      <w:r w:rsidR="00543E74">
        <w:t xml:space="preserve"> and our previous evaluation</w:t>
      </w:r>
      <w:r>
        <w:t>.</w:t>
      </w:r>
      <w:r w:rsidR="00543E74">
        <w:t xml:space="preserve"> </w:t>
      </w:r>
      <w:r w:rsidR="00EC5ADD">
        <w:t>S</w:t>
      </w:r>
      <w:r w:rsidR="00543E74">
        <w:t xml:space="preserve">ince the initial service review in 2016, the service has grown to see increasingly complex patients, </w:t>
      </w:r>
      <w:r w:rsidR="00CA4243">
        <w:t xml:space="preserve">most likely due to </w:t>
      </w:r>
      <w:r w:rsidR="00543E74">
        <w:t xml:space="preserve">Consultants </w:t>
      </w:r>
      <w:r w:rsidR="00CA4243">
        <w:t xml:space="preserve">reducing or </w:t>
      </w:r>
      <w:r w:rsidR="00543E74">
        <w:t xml:space="preserve">ceasing their </w:t>
      </w:r>
      <w:r w:rsidR="00CA4243">
        <w:t>degenerative new patient activity</w:t>
      </w:r>
      <w:r w:rsidR="00543E74">
        <w:t xml:space="preserve">. </w:t>
      </w:r>
      <w:r w:rsidR="00EC5ADD">
        <w:t xml:space="preserve">Despite this, the MDT discussion rate has remained similar, with 7% discussed for surgical consideration in 2012-2014 and a similar proportion discussed in this evaluation, despite the increase in patients seen. There was an increase in the number of patients discussed for management opinions (1% in 2012-2014) however, this number has reduced steadily over the three-year period (from 8% to &lt;1% of total patients seen), suggesting staff factors and COVID-19 may have been partly responsible. </w:t>
      </w:r>
      <w:r>
        <w:t xml:space="preserve">This evaluation suggests that at least 85% of patients were managed independently by </w:t>
      </w:r>
      <w:r w:rsidR="00A8685A">
        <w:t>APP</w:t>
      </w:r>
      <w:r>
        <w:t xml:space="preserve">s, comparable to </w:t>
      </w:r>
      <w:r w:rsidR="002E3F99">
        <w:t>o</w:t>
      </w:r>
      <w:r>
        <w:t>the</w:t>
      </w:r>
      <w:r w:rsidR="002E3F99">
        <w:t xml:space="preserve">r spinal </w:t>
      </w:r>
      <w:r w:rsidR="00A8685A">
        <w:t>APP</w:t>
      </w:r>
      <w:r w:rsidR="002E3F99">
        <w:t xml:space="preserve"> services: LaFrance et al</w:t>
      </w:r>
      <w:r w:rsidR="00CC7D30">
        <w:t>.</w:t>
      </w:r>
      <w:r w:rsidR="00CC7D30">
        <w:fldChar w:fldCharType="begin" w:fldLock="1"/>
      </w:r>
      <w:r w:rsidR="00AC3BF2">
        <w:instrText>ADDIN CSL_CITATION {"citationItems":[{"id":"ITEM-1","itemData":{"DOI":"10.1007/s00586-020-06648-5","ISSN":"14320932","PMID":"33123757","abstract":"Objective: To appraise the available evidence on advanced practice physiotherapy (APP) models of care (MoC) in specialized secondary care such as orthopaedic, rheumatology or neurosurgery outpatients’ clinics for adults with spinal pain. Methods: Systematic review with meta-analysis. Electronic searches were conducted up to July 2020 in Medline, Embase, Cochrane CENTRAL and CINAHL. Studies on APP MoC in specialized secondary care for adults with spinal pain were included. Results: Eighteen studies (n = 9405), including two randomized controlled trials and sixteen observational studies were included. One study was considered at high quality, fourteen studies were considered of moderate quality and three were considered of low quality. Pooled results for change in disability for patients with spinal pain reported no significant difference between APP and usual medical care (UMC). Mean wait time for initial consultation was lower with APP (1–9.4 weeks) than with UMC MoC (23–65 weeks). Following the implementation of APP MoC, wait time for a consultation with a medical specialist was reduced (6–16 weeks). Physiotherapists in APP MoC managed independently 89.2% of the patients referred (n = 8393). Stakeholders and patients reported high satisfaction with APP care. Conclusions: APP MoC and UMC likely result in comparable pain, disability and quality of life improvement for adults with spinal pain. However, APP MoC have the potential to improve health care access by reducing wait time for consultation in specialized care and maintaining a high level of satisfaction among stakeholders and patients.","author":[{"dropping-particle":"","family":"Lafrance","given":"Simon","non-dropping-particle":"","parse-names":false,"suffix":""},{"dropping-particle":"","family":"Lapalme","given":"Jean Gabriel","non-dropping-particle":"","parse-names":false,"suffix":""},{"dropping-particle":"","family":"Méquignon","given":"Marianne","non-dropping-particle":"","parse-names":false,"suffix":""},{"dropping-particle":"","family":"Santaguida","given":"Carlo","non-dropping-particle":"","parse-names":false,"suffix":""},{"dropping-particle":"","family":"Fernandes","given":"Julio","non-dropping-particle":"","parse-names":false,"suffix":""},{"dropping-particle":"","family":"Desmeules","given":"François","non-dropping-particle":"","parse-names":false,"suffix":""}],"container-title":"European Spine Journal","id":"ITEM-1","issue":"4","issued":{"date-parts":[["2021"]]},"page":"990-1003","publisher":"Springer Berlin Heidelberg","title":"Advanced practice physiotherapy for adults with spinal pain: a systematic review with meta-analysis","type":"article-journal","volume":"30"},"uris":["http://www.mendeley.com/documents/?uuid=84803964-1861-460b-85d8-a3d117460d81"]}],"mendeley":{"formattedCitation":"(20)","plainTextFormattedCitation":"(20)","previouslyFormattedCitation":"(20)"},"properties":{"noteIndex":0},"schema":"https://github.com/citation-style-language/schema/raw/master/csl-citation.json"}</w:instrText>
      </w:r>
      <w:r w:rsidR="00CC7D30">
        <w:fldChar w:fldCharType="separate"/>
      </w:r>
      <w:r w:rsidR="00AC3BF2" w:rsidRPr="00AC3BF2">
        <w:rPr>
          <w:noProof/>
        </w:rPr>
        <w:t>(20)</w:t>
      </w:r>
      <w:r w:rsidR="00CC7D30">
        <w:fldChar w:fldCharType="end"/>
      </w:r>
      <w:r w:rsidR="002E3F99">
        <w:t xml:space="preserve"> demonstrated</w:t>
      </w:r>
      <w:r>
        <w:t xml:space="preserve"> an 89.2% independent management</w:t>
      </w:r>
      <w:r w:rsidR="00CC7D30">
        <w:t xml:space="preserve">; </w:t>
      </w:r>
      <w:proofErr w:type="spellStart"/>
      <w:r w:rsidR="00CC7D30">
        <w:t>Fennelly</w:t>
      </w:r>
      <w:proofErr w:type="spellEnd"/>
      <w:r w:rsidR="00CC7D30">
        <w:t xml:space="preserve"> et al. </w:t>
      </w:r>
      <w:r w:rsidR="00CC7D30">
        <w:fldChar w:fldCharType="begin" w:fldLock="1"/>
      </w:r>
      <w:r w:rsidR="00CC7D30">
        <w:instrText>ADDIN CSL_CITATION {"citationItems":[{"id":"ITEM-1","itemData":{"DOI":"10.1186/s12891-018-2106-7","ISSN":"14712474","PMID":"29859072","abstract":"Background: Many people with musculoskeletal (MSK) disorders wait several months or years for Consultant Doctor appointments, despite often not requiring medical or surgical interventions. To allow earlier patient access to orthopaedic and rheumatology services in Ireland, Advanced Practice Physiotherapists (APPs) were introduced at 16 major acute hospitals. This study performed the first national evaluation of APP triage services. Method: Throughout 2014, APPs (n = 22) entered clinical data on a national database. Analysis of these data using descriptive statistics determined patient wait times, Consultant Doctor involvement in clinical decisions, and patient clinical outcomes. Chi square tests were used to compare patient clinical outcomes across orthopaedic and rheumatology clinics. A pilot study at one site identified re-referral rates to orthopaedic/rheumatology services of patients managed by the APPs. Results: In one year, 13,981 new patients accessed specialist orthopaedic and rheumatology consultations via the APP. Median wait time for an appointment was 5.6 months. Patients most commonly presented with knee (23%), lower back (22%) and shoulder (15%) disorders. APPs made autonomous clinical decisions regarding patient management at 77% of appointments, and managed patient care pathways without onward referral to Consultant Doctors in more than 80% of cases. Other onward clinical pathways recommended by APPs were: physiotherapy referrals (42%); clinical investigations (29%); injections administered (4%); and surgical listing (2%). Of those managed by the APP, the pilot study identified that only 6.5% of patients were re-referred within one year. Conclusion: This national evaluation of APP services demonstrated that the majority of patients assessed by an APP did not require onward referral for a Consultant Doctor appointment. Therefore, patients gained earlier access to orthopaedic and rheumatology consultations in secondary care, with most patients conservatively managed.","author":[{"dropping-particle":"","family":"Fennelly","given":"Orna","non-dropping-particle":"","parse-names":false,"suffix":""},{"dropping-particle":"","family":"Blake","given":"Catherine","non-dropping-particle":"","parse-names":false,"suffix":""},{"dropping-particle":"","family":"Fitzgerald","given":"Oliver","non-dropping-particle":"","parse-names":false,"suffix":""},{"dropping-particle":"","family":"Breen","given":"Roisin","non-dropping-particle":"","parse-names":false,"suffix":""},{"dropping-particle":"","family":"Ashton","given":"Jennifer","non-dropping-particle":"","parse-names":false,"suffix":""},{"dropping-particle":"","family":"Brennan","given":"Aisling","non-dropping-particle":"","parse-names":false,"suffix":""},{"dropping-particle":"","family":"Caffrey","given":"Aoife","non-dropping-particle":"","parse-names":false,"suffix":""},{"dropping-particle":"","family":"Desmeules","given":"François","non-dropping-particle":"","parse-names":false,"suffix":""},{"dropping-particle":"","family":"Cunningham","given":"Caitriona","non-dropping-particle":"","parse-names":false,"suffix":""}],"container-title":"BMC Musculoskeletal Disorders","id":"ITEM-1","issue":"1","issued":{"date-parts":[["2018"]]},"page":"1-8","publisher":"BMC Musculoskeletal Disorders","title":"Advanced practice physiotherapy-led triage in Irish orthopaedic and rheumatology services: National data audit","type":"article-journal","volume":"19"},"uris":["http://www.mendeley.com/documents/?uuid=78090fea-303d-4857-8c45-1a49eabd67fe"]}],"mendeley":{"formattedCitation":"(4)","plainTextFormattedCitation":"(4)","previouslyFormattedCitation":"(4)"},"properties":{"noteIndex":0},"schema":"https://github.com/citation-style-language/schema/raw/master/csl-citation.json"}</w:instrText>
      </w:r>
      <w:r w:rsidR="00CC7D30">
        <w:fldChar w:fldCharType="separate"/>
      </w:r>
      <w:r w:rsidR="00CC7D30" w:rsidRPr="00CC7D30">
        <w:rPr>
          <w:noProof/>
        </w:rPr>
        <w:t>(4)</w:t>
      </w:r>
      <w:r w:rsidR="00CC7D30">
        <w:fldChar w:fldCharType="end"/>
      </w:r>
      <w:r w:rsidR="002E3F99">
        <w:t xml:space="preserve"> reported 80% indep</w:t>
      </w:r>
      <w:r w:rsidR="00D87357">
        <w:t xml:space="preserve">endent management, and </w:t>
      </w:r>
      <w:proofErr w:type="spellStart"/>
      <w:r w:rsidR="00D87357">
        <w:t>Kerridge</w:t>
      </w:r>
      <w:proofErr w:type="spellEnd"/>
      <w:r w:rsidR="00D87357">
        <w:t>-</w:t>
      </w:r>
      <w:r w:rsidR="002E3F99">
        <w:t xml:space="preserve">Weeks </w:t>
      </w:r>
      <w:r w:rsidR="00CC7D30">
        <w:t xml:space="preserve">and Langridge </w:t>
      </w:r>
      <w:r w:rsidR="00CC7D30">
        <w:fldChar w:fldCharType="begin" w:fldLock="1"/>
      </w:r>
      <w:r w:rsidR="00CC7D30">
        <w:instrText>ADDIN CSL_CITATION {"citationItems":[{"id":"ITEM-1","itemData":{"DOI":"10.1108/IJHG-08-2015-0026","ISSN":"20594631","abstract":"Purpose - Clinical specialist physiotherapy (CSP)-led musculoskeletal triage clinics have been established in the UK as a means of managing patients referred for outpatient orthopaedic consultation. The purpose of this paper is to determine if a CSP could allocate patients into distinct diagnostic triage categories in line with national and international guidelines. A second aim was to describe the CSPs clinical decision making. Design/methodology/approach - A review of 100 spinal patients, consecutively referred between February and April 2013 to a CSP spinal triage clinic was undertaken. Patient demographics (age, gender, employment status), clinical diagnosis and diagnostic triage categories selected for each patient were recorded. Subsequently, if clinical triage led to further investigation or a consultant opinion then the onward management pathway was followed to calculate conversion to consultant surgical intervention. Findings - In total, 69 per cent of patients were independently managed by the CSP and discharged back to the General Practitioner or on to therapy. In total, 30 per cent of patients (n=30) were referred for consultant opinion, of these 12 underwent intervention. This represents a conversion rate to consultant intervention of 40 per cent. Originality/value - Findings suggest that a significant number of spinal patients referred for an orthopaedic consultation may be managed independently by a CSP. Referral for consultant review was deemed appropriate in terms of conversion to intervention, advice on further imaging, referral to other medical disciplines and patient counselling. This study suggests that CSPs can manage a significant number of patients with spinal conditions whilst providing high-quality referrals to surgical colleagues. This audit provides a novel insight into practitioner behaviour that supports the development of advanced practice for non-medical clinicians.","author":[{"dropping-particle":"","family":"Kerridge-Weeks","given":"Martin","non-dropping-particle":"","parse-names":false,"suffix":""},{"dropping-particle":"","family":"Langridge","given":"Neil John","non-dropping-particle":"","parse-names":false,"suffix":""}],"container-title":"International Journal of Health Governance","id":"ITEM-1","issue":"1","issued":{"date-parts":[["2016"]]},"page":"5-17","title":"Orthopaedic spinal triage: An evaluation of decision making and outcome in a physiotherapy led service","type":"article-journal","volume":"21"},"uris":["http://www.mendeley.com/documents/?uuid=61e7f3a7-6109-4bab-9515-04fa7f4af181"]}],"mendeley":{"formattedCitation":"(6)","plainTextFormattedCitation":"(6)","previouslyFormattedCitation":"(6)"},"properties":{"noteIndex":0},"schema":"https://github.com/citation-style-language/schema/raw/master/csl-citation.json"}</w:instrText>
      </w:r>
      <w:r w:rsidR="00CC7D30">
        <w:fldChar w:fldCharType="separate"/>
      </w:r>
      <w:r w:rsidR="00CC7D30" w:rsidRPr="00CC7D30">
        <w:rPr>
          <w:noProof/>
        </w:rPr>
        <w:t>(6)</w:t>
      </w:r>
      <w:r w:rsidR="00CC7D30">
        <w:fldChar w:fldCharType="end"/>
      </w:r>
      <w:r w:rsidR="002E3F99">
        <w:t xml:space="preserve"> reported 69% independent management</w:t>
      </w:r>
      <w:r>
        <w:t>.</w:t>
      </w:r>
      <w:r w:rsidR="002E3F99">
        <w:t xml:space="preserve"> </w:t>
      </w:r>
      <w:r>
        <w:t>Of those discussed in MDT there was a reduction in surgical listing from MDT meetings during 2020 from 2019 (18% from 20%), and an increase in consultant review (27% from 20%).</w:t>
      </w:r>
      <w:r w:rsidRPr="00EF10E4">
        <w:t xml:space="preserve"> </w:t>
      </w:r>
      <w:r w:rsidR="00184D5D">
        <w:t xml:space="preserve">In contrast to our </w:t>
      </w:r>
      <w:r w:rsidR="00184D5D">
        <w:lastRenderedPageBreak/>
        <w:t>previous evaluation</w:t>
      </w:r>
      <w:r w:rsidR="00CC7D30">
        <w:t xml:space="preserve"> </w:t>
      </w:r>
      <w:r w:rsidR="00CC7D30">
        <w:fldChar w:fldCharType="begin" w:fldLock="1"/>
      </w:r>
      <w:r w:rsidR="005006C0">
        <w:instrText>ADDIN CSL_CITATION {"citationItems":[{"id":"ITEM-1","itemData":{"DOI":"10.1308/rcsann.2016.0054","ISSN":"00358843","abstract":"INTRODUCTION Spinal orthopaedic triage aims to reduce unnecessary referrals to surgical consultants, thereby reducing waiting times to be seen by a surgeon and to surgical intervention. This paper presents an evaluation of a spinal orthopaedic triage service in the third largest spinal unit in the UK. METHODS A retrospective service evaluation spanning 2012 to 2014 was undertaken by members of the extended scope practitioner (ESP) team to evaluate the ESPs' ability to manage patient care independently and triage surgical referrals appropriately. Data collected included rates of independent management, referral rates for surgical consideration and conversion to surgery. Patient satisfaction rates were evaluated retrospectively from questionnaires given to 5% of discharged patients. RESULTS A total of 2,651 patients were seen. The vast majority (92%) of all referrals seen by ESPs were managed independently. Only 8% required either a discussion with a surgeon to confirm management or for surgical review. Of the latter, 81% were considered to be suitable surgical referrals. A 99% satisfaction rate was reported by discharged patients. CONCLUSIONS ESP services in a specialist spinal service are effective in managing spinal conditions conservatively and identifying surgical candidates appropriately. Further research is needed to confirm ESPs' diagnostic accuracy, patient outcomes and cost effectiveness.","author":[{"dropping-particle":"","family":"Wood","given":"L.","non-dropping-particle":"","parse-names":false,"suffix":""},{"dropping-particle":"","family":"Hendrick","given":"P.","non-dropping-particle":"","parse-names":false,"suffix":""},{"dropping-particle":"","family":"Boszczyk","given":"B.","non-dropping-particle":"","parse-names":false,"suffix":""},{"dropping-particle":"","family":"Dunstan","given":"E.","non-dropping-particle":"","parse-names":false,"suffix":""}],"container-title":"Annals of the Royal College of Surgeons of England","id":"ITEM-1","issue":"3","issued":{"date-parts":[["2016"]]},"title":"A review of the surgical conversion rate and independent management of spinal extended scope practitioners in a secondary care setting","type":"article-journal","volume":"98"},"uris":["http://www.mendeley.com/documents/?uuid=7d215994-ba37-3409-a660-3ab0cfb2ac3d"]}],"mendeley":{"formattedCitation":"(2)","plainTextFormattedCitation":"(2)","previouslyFormattedCitation":"(2)"},"properties":{"noteIndex":0},"schema":"https://github.com/citation-style-language/schema/raw/master/csl-citation.json"}</w:instrText>
      </w:r>
      <w:r w:rsidR="00CC7D30">
        <w:fldChar w:fldCharType="separate"/>
      </w:r>
      <w:r w:rsidR="00CC7D30" w:rsidRPr="00CC7D30">
        <w:rPr>
          <w:noProof/>
        </w:rPr>
        <w:t>(2)</w:t>
      </w:r>
      <w:r w:rsidR="00CC7D30">
        <w:fldChar w:fldCharType="end"/>
      </w:r>
      <w:r w:rsidR="00184D5D">
        <w:t xml:space="preserve">, more patients were discussed at MDT (average 13%) than in the previous review (8%). </w:t>
      </w:r>
      <w:r w:rsidR="002E3F99">
        <w:t>A reason for this</w:t>
      </w:r>
      <w:r w:rsidR="00184D5D">
        <w:t xml:space="preserve"> may be that more complex patients not previously triaged to </w:t>
      </w:r>
      <w:r w:rsidR="00A8685A">
        <w:t>APP</w:t>
      </w:r>
      <w:r w:rsidR="00184D5D">
        <w:t xml:space="preserve"> clinics </w:t>
      </w:r>
      <w:r>
        <w:t xml:space="preserve">were now seen in </w:t>
      </w:r>
      <w:r w:rsidR="00A8685A">
        <w:t>APP</w:t>
      </w:r>
      <w:r>
        <w:t xml:space="preserve"> clinics</w:t>
      </w:r>
      <w:r w:rsidR="002E3F99">
        <w:t xml:space="preserve"> as the </w:t>
      </w:r>
      <w:r w:rsidR="00A8685A">
        <w:t>APP</w:t>
      </w:r>
      <w:r w:rsidR="002E3F99">
        <w:t>s have become more established</w:t>
      </w:r>
      <w:r w:rsidR="00184D5D">
        <w:t xml:space="preserve">, </w:t>
      </w:r>
      <w:r w:rsidR="002E3F99">
        <w:t>and</w:t>
      </w:r>
      <w:r w:rsidR="00184D5D">
        <w:t xml:space="preserve"> many Consultants </w:t>
      </w:r>
      <w:r>
        <w:t xml:space="preserve">had </w:t>
      </w:r>
      <w:r w:rsidR="00184D5D">
        <w:t xml:space="preserve">reduced their new patient appointment capacity. </w:t>
      </w:r>
      <w:r w:rsidR="00135F60">
        <w:t xml:space="preserve">To mitigate the high numbers of patients discussed in MDT for management </w:t>
      </w:r>
      <w:r>
        <w:t>reasons</w:t>
      </w:r>
      <w:r w:rsidR="00135F60">
        <w:t xml:space="preserve"> in 2019, the team developed pathways that were ratified and approved by Consultant Spinal surgeons to improve the management of frequently discussed </w:t>
      </w:r>
      <w:r w:rsidR="00EC5ADD">
        <w:t>patient</w:t>
      </w:r>
      <w:r w:rsidR="00135F60">
        <w:t xml:space="preserve">s such as asymptomatic </w:t>
      </w:r>
      <w:proofErr w:type="spellStart"/>
      <w:r w:rsidR="00135F60">
        <w:t>myelopaths</w:t>
      </w:r>
      <w:proofErr w:type="spellEnd"/>
      <w:r w:rsidR="00CC7D30">
        <w:t xml:space="preserve"> </w:t>
      </w:r>
      <w:r w:rsidR="005006C0">
        <w:fldChar w:fldCharType="begin" w:fldLock="1"/>
      </w:r>
      <w:r w:rsidR="00AC3BF2">
        <w:instrText>ADDIN CSL_CITATION {"citationItems":[{"id":"ITEM-1","itemData":{"author":[{"dropping-particle":"","family":"Clarke","given":"Holly","non-dropping-particle":"","parse-names":false,"suffix":""},{"dropping-particle":"","family":"Eveleigh","given":"Carla","non-dropping-particle":"","parse-names":false,"suffix":""},{"dropping-particle":"","family":"Wood","given":"Lianne","non-dropping-particle":"","parse-names":false,"suffix":""}],"container-title":"Virtual Physiotherapy","id":"ITEM-1","issued":{"date-parts":[["2021"]]},"title":"Developing a pathway for the management of patients presenting with suspected myelopathy in secondary care.","type":"paper-conference"},"uris":["http://www.mendeley.com/documents/?uuid=846666da-544b-40a8-87cf-4686f704ca9a"]}],"mendeley":{"formattedCitation":"(21)","plainTextFormattedCitation":"(21)","previouslyFormattedCitation":"(21)"},"properties":{"noteIndex":0},"schema":"https://github.com/citation-style-language/schema/raw/master/csl-citation.json"}</w:instrText>
      </w:r>
      <w:r w:rsidR="005006C0">
        <w:fldChar w:fldCharType="separate"/>
      </w:r>
      <w:r w:rsidR="00AC3BF2" w:rsidRPr="00AC3BF2">
        <w:rPr>
          <w:noProof/>
        </w:rPr>
        <w:t>(21)</w:t>
      </w:r>
      <w:r w:rsidR="005006C0">
        <w:fldChar w:fldCharType="end"/>
      </w:r>
      <w:r w:rsidR="00135F60">
        <w:t xml:space="preserve">. </w:t>
      </w:r>
      <w:r w:rsidR="00655BF1">
        <w:t xml:space="preserve">. </w:t>
      </w:r>
    </w:p>
    <w:p w:rsidR="00EB23AF" w:rsidRDefault="00135F60" w:rsidP="00B25B82">
      <w:pPr>
        <w:spacing w:line="480" w:lineRule="auto"/>
      </w:pPr>
      <w:r>
        <w:t>COVID-19 may have made many surgeons more hesitant to consider interventional treatment during the pandemic</w:t>
      </w:r>
      <w:r w:rsidR="002E3F99">
        <w:t>, possibly due to restrictions i</w:t>
      </w:r>
      <w:r>
        <w:t>n waiting list</w:t>
      </w:r>
      <w:r w:rsidR="00EB23AF">
        <w:t>s and capacity</w:t>
      </w:r>
      <w:r>
        <w:t>,</w:t>
      </w:r>
      <w:r w:rsidR="00EB23AF">
        <w:t xml:space="preserve"> and local pathway</w:t>
      </w:r>
      <w:r>
        <w:t xml:space="preserve"> restrictions on patient suitability</w:t>
      </w:r>
      <w:r w:rsidR="00EB23AF">
        <w:t xml:space="preserve"> due to perceived greater risk</w:t>
      </w:r>
      <w:r>
        <w:t xml:space="preserve">. In Nottingham, all patients over the 65 were </w:t>
      </w:r>
      <w:r w:rsidR="00EB23AF">
        <w:t xml:space="preserve">restricted from receiving injection therapy in the initial stages of the pandemic. Gregory et al. </w:t>
      </w:r>
      <w:r w:rsidR="005006C0">
        <w:fldChar w:fldCharType="begin" w:fldLock="1"/>
      </w:r>
      <w:r w:rsidR="00256353">
        <w:instrText>ADDIN CSL_CITATION {"citationItems":[{"id":"ITEM-1","itemData":{"author":[{"dropping-particle":"","family":"Gregory","given":"Rob","non-dropping-particle":"","parse-names":false,"suffix":""}],"container-title":"BASS","id":"ITEM-1","issued":{"date-parts":[["2022"]]},"title":"The Effect of COVID-19 on Training","type":"paper-conference"},"uris":["http://www.mendeley.com/documents/?uuid=58ebbbda-1070-40f9-b687-07dcc2712a07"]}],"mendeley":{"formattedCitation":"(14)","plainTextFormattedCitation":"(14)","previouslyFormattedCitation":"(14)"},"properties":{"noteIndex":0},"schema":"https://github.com/citation-style-language/schema/raw/master/csl-citation.json"}</w:instrText>
      </w:r>
      <w:r w:rsidR="005006C0">
        <w:fldChar w:fldCharType="separate"/>
      </w:r>
      <w:r w:rsidR="005006C0" w:rsidRPr="005006C0">
        <w:rPr>
          <w:noProof/>
        </w:rPr>
        <w:t>(14)</w:t>
      </w:r>
      <w:r w:rsidR="005006C0">
        <w:fldChar w:fldCharType="end"/>
      </w:r>
      <w:r w:rsidR="005006C0">
        <w:t xml:space="preserve"> </w:t>
      </w:r>
      <w:r w:rsidR="00EB23AF">
        <w:t>reported that overall elective activity in the East Midlands reduced to 36% of pre-pandemic levels post-pandemic (</w:t>
      </w:r>
      <w:r w:rsidR="00C02FF7">
        <w:t>2022</w:t>
      </w:r>
      <w:r w:rsidR="00EB23AF">
        <w:t xml:space="preserve">). </w:t>
      </w:r>
    </w:p>
    <w:p w:rsidR="00EF10E4" w:rsidRPr="00256353" w:rsidRDefault="00EF10E4" w:rsidP="00B25B82">
      <w:pPr>
        <w:spacing w:line="480" w:lineRule="auto"/>
        <w:rPr>
          <w:i/>
        </w:rPr>
      </w:pPr>
      <w:r w:rsidRPr="00256353">
        <w:rPr>
          <w:i/>
        </w:rPr>
        <w:t>Strengths and Weaknesses</w:t>
      </w:r>
    </w:p>
    <w:p w:rsidR="00D87357" w:rsidRDefault="002626AC" w:rsidP="00B25B82">
      <w:pPr>
        <w:spacing w:line="480" w:lineRule="auto"/>
      </w:pPr>
      <w:r>
        <w:t>This servi</w:t>
      </w:r>
      <w:r w:rsidR="002E3F99">
        <w:t xml:space="preserve">ce evaluation </w:t>
      </w:r>
      <w:r>
        <w:t xml:space="preserve">builds on previously published data to demonstrate the growth of </w:t>
      </w:r>
      <w:r w:rsidR="00A8685A">
        <w:t>an</w:t>
      </w:r>
      <w:r>
        <w:t xml:space="preserve"> </w:t>
      </w:r>
      <w:r w:rsidR="00A8685A">
        <w:t>APP</w:t>
      </w:r>
      <w:r>
        <w:t xml:space="preserve"> service over a ten-year period. The evaluation co</w:t>
      </w:r>
      <w:r w:rsidR="00EC5ADD">
        <w:t>mpares the service over a three-</w:t>
      </w:r>
      <w:r>
        <w:t>year period, allowing comparisons to be made pre</w:t>
      </w:r>
      <w:r w:rsidR="002E3F99">
        <w:t xml:space="preserve">- and post- pandemic, although </w:t>
      </w:r>
      <w:r>
        <w:t>the staff</w:t>
      </w:r>
      <w:r w:rsidR="002E3F99">
        <w:t>ing team</w:t>
      </w:r>
      <w:r>
        <w:t xml:space="preserve"> changed at each of these time points. This makes MDT data not directly comparable </w:t>
      </w:r>
      <w:r w:rsidR="00256353">
        <w:t xml:space="preserve">between years </w:t>
      </w:r>
      <w:r>
        <w:t>as new staff</w:t>
      </w:r>
      <w:r w:rsidR="00256353">
        <w:t xml:space="preserve"> changes occurred </w:t>
      </w:r>
      <w:r w:rsidR="00EC5ADD">
        <w:t>in</w:t>
      </w:r>
      <w:r w:rsidR="002E3F99">
        <w:t xml:space="preserve"> </w:t>
      </w:r>
      <w:r w:rsidR="00EC5ADD">
        <w:t>each year</w:t>
      </w:r>
      <w:r>
        <w:t xml:space="preserve">. The data demonstrated here are unique to this service, and may not be generalizable to other services or regions across the UK or world. </w:t>
      </w:r>
      <w:r w:rsidR="002E3F99">
        <w:t>A further limitation is the small proportion of patient feedback in comparison to the overall numbers of patients seen in the clinics</w:t>
      </w:r>
      <w:r w:rsidR="00EC5ADD">
        <w:t>, with limited ability to compare across years</w:t>
      </w:r>
      <w:r w:rsidR="002E3F99">
        <w:t>. This may be in part due to the increase in telemedicine use</w:t>
      </w:r>
      <w:r w:rsidR="00EC5ADD">
        <w:t xml:space="preserve"> and reduced footfall in the hospital</w:t>
      </w:r>
      <w:r w:rsidR="002E3F99">
        <w:t xml:space="preserve">. </w:t>
      </w:r>
      <w:r w:rsidR="00D87357">
        <w:t xml:space="preserve">Overall, the </w:t>
      </w:r>
      <w:r w:rsidR="00A8685A">
        <w:t>APP</w:t>
      </w:r>
      <w:r w:rsidR="00D87357">
        <w:t xml:space="preserve"> team gr</w:t>
      </w:r>
      <w:r w:rsidR="00B25B82">
        <w:t>ew significantly over the three-</w:t>
      </w:r>
      <w:r w:rsidR="00D87357">
        <w:t xml:space="preserve">year period, despite COVID-19. The addition of new staff to deliver the </w:t>
      </w:r>
      <w:r w:rsidR="00A8685A">
        <w:t>APP</w:t>
      </w:r>
      <w:r w:rsidR="00D87357">
        <w:t xml:space="preserve">-led same-day emergency care unit </w:t>
      </w:r>
      <w:r w:rsidR="00D87357">
        <w:fldChar w:fldCharType="begin" w:fldLock="1"/>
      </w:r>
      <w:r w:rsidR="00AC3BF2">
        <w:instrText>ADDIN CSL_CITATION {"citationItems":[{"id":"ITEM-1","itemData":{"author":[{"dropping-particle":"","family":"Wood","given":"L","non-dropping-particle":"","parse-names":false,"suffix":""},{"dropping-particle":"","family":"Dunstan","given":"E","non-dropping-particle":"","parse-names":false,"suffix":""}],"container-title":"Virtual Britspine","id":"ITEM-1","issued":{"date-parts":[["2021"]]},"title":"A Same Day Emergency Care (SDEC) Unit for Atraumatic Spinal Pain – Preliminary Results.","type":"paper-conference"},"uris":["http://www.mendeley.com/documents/?uuid=212a0dc1-bdb9-4477-83ce-b3715d4e5703"]}],"mendeley":{"formattedCitation":"(22)","plainTextFormattedCitation":"(22)","previouslyFormattedCitation":"(22)"},"properties":{"noteIndex":0},"schema":"https://github.com/citation-style-language/schema/raw/master/csl-citation.json"}</w:instrText>
      </w:r>
      <w:r w:rsidR="00D87357">
        <w:fldChar w:fldCharType="separate"/>
      </w:r>
      <w:r w:rsidR="00AC3BF2" w:rsidRPr="00AC3BF2">
        <w:rPr>
          <w:noProof/>
        </w:rPr>
        <w:t>(22)</w:t>
      </w:r>
      <w:r w:rsidR="00D87357">
        <w:fldChar w:fldCharType="end"/>
      </w:r>
      <w:r w:rsidR="00D87357">
        <w:t xml:space="preserve">, may have over-inflated the reported MRI requests as it was not possible to isolate the </w:t>
      </w:r>
      <w:r w:rsidR="00D87357">
        <w:lastRenderedPageBreak/>
        <w:t xml:space="preserve">location of the staff member requesting imaging. Staff managing patients on the acute emergency care pathway are more likely to request imaging than in the chronic degenerative pathway where more patients are likely to present with existing imaging.  </w:t>
      </w:r>
    </w:p>
    <w:p w:rsidR="00EF10E4" w:rsidRPr="00256353" w:rsidRDefault="00EF10E4" w:rsidP="00B25B82">
      <w:pPr>
        <w:spacing w:line="480" w:lineRule="auto"/>
        <w:rPr>
          <w:i/>
        </w:rPr>
      </w:pPr>
      <w:r w:rsidRPr="00256353">
        <w:rPr>
          <w:i/>
        </w:rPr>
        <w:t>Clinical implications</w:t>
      </w:r>
    </w:p>
    <w:p w:rsidR="001D26E4" w:rsidRDefault="00EF10E4" w:rsidP="00B25B82">
      <w:pPr>
        <w:spacing w:line="480" w:lineRule="auto"/>
      </w:pPr>
      <w:r>
        <w:t xml:space="preserve">This service evaluation </w:t>
      </w:r>
      <w:r w:rsidR="006B781E">
        <w:t>demonstrates the immediate impacts of COVID-19 were not as impactful as initially expected</w:t>
      </w:r>
      <w:r>
        <w:t xml:space="preserve">. As </w:t>
      </w:r>
      <w:r w:rsidR="00A8685A">
        <w:t>APP</w:t>
      </w:r>
      <w:r>
        <w:t xml:space="preserve"> services become more entrenched in spinal triage delivery, the </w:t>
      </w:r>
      <w:r w:rsidR="00EC5ADD">
        <w:t>patient</w:t>
      </w:r>
      <w:r>
        <w:t xml:space="preserve"> mix is likely to become increasingly complex. This is potentially represented in this </w:t>
      </w:r>
      <w:r w:rsidR="006B781E">
        <w:t>review</w:t>
      </w:r>
      <w:r>
        <w:t>, as despite a highly experienced team, the surgical con</w:t>
      </w:r>
      <w:r w:rsidR="002626AC">
        <w:t xml:space="preserve">version rate reduced over time. The impact of listing to consultant clinics instead of to </w:t>
      </w:r>
      <w:r w:rsidR="006B781E">
        <w:t>direct surgical lists</w:t>
      </w:r>
      <w:r w:rsidR="002626AC">
        <w:t xml:space="preserve"> may add an additional unnecessary delay to patients, and clinicians should be mindful of this trend to improve efficiency </w:t>
      </w:r>
      <w:r w:rsidR="006B781E">
        <w:t>and the</w:t>
      </w:r>
      <w:r w:rsidR="002626AC">
        <w:t xml:space="preserve"> patient journey. Ensuring patient’s voices are heard is an important part of improving service delivery. Regular, routine patient satisfaction data allows for improved data capture and more objective measure across </w:t>
      </w:r>
      <w:r w:rsidR="006B781E">
        <w:t>time</w:t>
      </w:r>
      <w:r w:rsidR="002626AC">
        <w:t xml:space="preserve"> and staff delivery</w:t>
      </w:r>
      <w:r w:rsidR="006B781E">
        <w:t>,</w:t>
      </w:r>
      <w:r w:rsidR="002626AC">
        <w:t xml:space="preserve"> and should be encouraged. </w:t>
      </w:r>
    </w:p>
    <w:p w:rsidR="002626AC" w:rsidRPr="00256353" w:rsidRDefault="002626AC" w:rsidP="00B25B82">
      <w:pPr>
        <w:spacing w:line="480" w:lineRule="auto"/>
        <w:rPr>
          <w:b/>
        </w:rPr>
      </w:pPr>
      <w:r w:rsidRPr="00256353">
        <w:rPr>
          <w:b/>
          <w:u w:val="single"/>
        </w:rPr>
        <w:t>Conclusions</w:t>
      </w:r>
    </w:p>
    <w:p w:rsidR="002626AC" w:rsidRDefault="00ED276A" w:rsidP="00B25B82">
      <w:pPr>
        <w:spacing w:line="480" w:lineRule="auto"/>
      </w:pPr>
      <w:r>
        <w:t xml:space="preserve">The COVID-19 pandemic initially resulted in a reduction in referrals and interventional management, with a resultant increase in activity levels and demand. </w:t>
      </w:r>
      <w:r w:rsidR="0002508A">
        <w:t xml:space="preserve">This service evaluation provides further retrospective evidence of </w:t>
      </w:r>
      <w:r w:rsidR="002626AC">
        <w:t>high rates of independent management (87%) and surgical conversion rates (56%)</w:t>
      </w:r>
      <w:r w:rsidR="00B25B82">
        <w:t xml:space="preserve"> </w:t>
      </w:r>
      <w:r>
        <w:t>that were sustained despite the pandemic</w:t>
      </w:r>
      <w:r w:rsidR="002626AC">
        <w:t xml:space="preserve">. Reported patient satisfaction levels are high, with most patients likely to recommend the service to their friends and family. </w:t>
      </w:r>
    </w:p>
    <w:p w:rsidR="002626AC" w:rsidRDefault="002626AC" w:rsidP="00B25B82">
      <w:pPr>
        <w:spacing w:line="480" w:lineRule="auto"/>
      </w:pPr>
    </w:p>
    <w:p w:rsidR="00B871CC" w:rsidRDefault="00B871CC" w:rsidP="00B25B82">
      <w:pPr>
        <w:spacing w:line="480" w:lineRule="auto"/>
      </w:pPr>
    </w:p>
    <w:p w:rsidR="00B871CC" w:rsidRDefault="00B871CC" w:rsidP="00B25B82">
      <w:pPr>
        <w:spacing w:line="480" w:lineRule="auto"/>
      </w:pPr>
    </w:p>
    <w:p w:rsidR="00B871CC" w:rsidRDefault="00B871CC" w:rsidP="00B25B82">
      <w:pPr>
        <w:spacing w:line="480" w:lineRule="auto"/>
      </w:pPr>
    </w:p>
    <w:p w:rsidR="00DC3408" w:rsidRDefault="00DC3408" w:rsidP="00B25B82">
      <w:pPr>
        <w:spacing w:line="480" w:lineRule="auto"/>
      </w:pPr>
      <w:r>
        <w:lastRenderedPageBreak/>
        <w:t xml:space="preserve">Ethical Approval: This retrospective service evaluation used service level data and was not deemed to require ethics using the HRA decision making tool. </w:t>
      </w:r>
    </w:p>
    <w:p w:rsidR="00DC3408" w:rsidRDefault="00DC3408" w:rsidP="00B25B82">
      <w:pPr>
        <w:spacing w:line="480" w:lineRule="auto"/>
      </w:pPr>
      <w:r>
        <w:t xml:space="preserve">Funding: </w:t>
      </w:r>
      <w:r w:rsidR="00E41031">
        <w:t xml:space="preserve"> This research did not receive any specific grant from funding agencies in the public, commercial, or not-for-profit sectors.</w:t>
      </w:r>
    </w:p>
    <w:p w:rsidR="00DC3408" w:rsidRDefault="00DC3408" w:rsidP="00B25B82">
      <w:pPr>
        <w:spacing w:line="480" w:lineRule="auto"/>
      </w:pPr>
      <w:r>
        <w:t xml:space="preserve">Conflict of interest: No conflicts of interest. </w:t>
      </w:r>
    </w:p>
    <w:p w:rsidR="00D66E34" w:rsidRDefault="00D66E34">
      <w:pPr>
        <w:rPr>
          <w:b/>
        </w:rPr>
      </w:pPr>
      <w:r>
        <w:rPr>
          <w:b/>
        </w:rPr>
        <w:br w:type="page"/>
      </w:r>
    </w:p>
    <w:p w:rsidR="00256353" w:rsidRPr="00256353" w:rsidRDefault="00256353" w:rsidP="00B25B82">
      <w:pPr>
        <w:spacing w:line="480" w:lineRule="auto"/>
        <w:rPr>
          <w:b/>
        </w:rPr>
      </w:pPr>
      <w:r w:rsidRPr="00256353">
        <w:rPr>
          <w:b/>
        </w:rPr>
        <w:lastRenderedPageBreak/>
        <w:t>References</w:t>
      </w:r>
    </w:p>
    <w:p w:rsidR="00AC3BF2" w:rsidRPr="00AC3BF2" w:rsidRDefault="00256353" w:rsidP="00AC3BF2">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AC3BF2" w:rsidRPr="00AC3BF2">
        <w:rPr>
          <w:rFonts w:ascii="Calibri" w:hAnsi="Calibri" w:cs="Calibri"/>
          <w:noProof/>
          <w:szCs w:val="24"/>
        </w:rPr>
        <w:t xml:space="preserve">1. </w:t>
      </w:r>
      <w:r w:rsidR="00AC3BF2" w:rsidRPr="00AC3BF2">
        <w:rPr>
          <w:rFonts w:ascii="Calibri" w:hAnsi="Calibri" w:cs="Calibri"/>
          <w:noProof/>
          <w:szCs w:val="24"/>
        </w:rPr>
        <w:tab/>
        <w:t xml:space="preserve">Hutton M. Spinal Services. 2019;(January).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2. </w:t>
      </w:r>
      <w:r w:rsidRPr="00AC3BF2">
        <w:rPr>
          <w:rFonts w:ascii="Calibri" w:hAnsi="Calibri" w:cs="Calibri"/>
          <w:noProof/>
          <w:szCs w:val="24"/>
        </w:rPr>
        <w:tab/>
        <w:t xml:space="preserve">Wood L, Hendrick P, Boszczyk B, Dunstan E. A review of the surgical conversion rate and independent management of spinal extended scope practitioners in a secondary care setting. Ann R Coll Surg Engl. 2016;98(3).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3. </w:t>
      </w:r>
      <w:r w:rsidRPr="00AC3BF2">
        <w:rPr>
          <w:rFonts w:ascii="Calibri" w:hAnsi="Calibri" w:cs="Calibri"/>
          <w:noProof/>
          <w:szCs w:val="24"/>
        </w:rPr>
        <w:tab/>
        <w:t xml:space="preserve">Roddy E, Zwierska I, Jordan KP, Dawes P, Hider SL, Packham J, et al. Musculoskeletal clinical assessment and treatment services at the primary-secondary care interface: An observational study. Br J Gen Pract. 2013;63(607):141–8.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4. </w:t>
      </w:r>
      <w:r w:rsidRPr="00AC3BF2">
        <w:rPr>
          <w:rFonts w:ascii="Calibri" w:hAnsi="Calibri" w:cs="Calibri"/>
          <w:noProof/>
          <w:szCs w:val="24"/>
        </w:rPr>
        <w:tab/>
        <w:t xml:space="preserve">Fennelly O, Blake C, Fitzgerald O, Breen R, Ashton J, Brennan A, et al. Advanced practice physiotherapy-led triage in Irish orthopaedic and rheumatology services: National data audit. BMC Musculoskelet Disord. 2018;19(1):1–8.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5. </w:t>
      </w:r>
      <w:r w:rsidRPr="00AC3BF2">
        <w:rPr>
          <w:rFonts w:ascii="Calibri" w:hAnsi="Calibri" w:cs="Calibri"/>
          <w:noProof/>
          <w:szCs w:val="24"/>
        </w:rPr>
        <w:tab/>
        <w:t xml:space="preserve">Flynn A. An audit of physiotherapy-led inpatient spinal triage in a private hospital. Orthoapaedic Proc. 2018;97-B(Supp_2).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6. </w:t>
      </w:r>
      <w:r w:rsidRPr="00AC3BF2">
        <w:rPr>
          <w:rFonts w:ascii="Calibri" w:hAnsi="Calibri" w:cs="Calibri"/>
          <w:noProof/>
          <w:szCs w:val="24"/>
        </w:rPr>
        <w:tab/>
        <w:t xml:space="preserve">Kerridge-Weeks M, Langridge NJ. Orthopaedic spinal triage: An evaluation of decision making and outcome in a physiotherapy led service. Int J Heal Gov. 2016;21(1):5–17.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7. </w:t>
      </w:r>
      <w:r w:rsidRPr="00AC3BF2">
        <w:rPr>
          <w:rFonts w:ascii="Calibri" w:hAnsi="Calibri" w:cs="Calibri"/>
          <w:noProof/>
          <w:szCs w:val="24"/>
        </w:rPr>
        <w:tab/>
        <w:t xml:space="preserve">Syme G, Rutter M, Suckley J, Payne C, Russell V. Resource Manual and Competencies for Extended Musculoskeletal Physiotherapy Roles in the United Kingdom. Vol. 2.1, ESP A Professional Network of the Chartered Soceity of Physiotherapy. 2013.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8. </w:t>
      </w:r>
      <w:r w:rsidRPr="00AC3BF2">
        <w:rPr>
          <w:rFonts w:ascii="Calibri" w:hAnsi="Calibri" w:cs="Calibri"/>
          <w:noProof/>
          <w:szCs w:val="24"/>
        </w:rPr>
        <w:tab/>
        <w:t>Health Education England NHS England and Skills for Health. Musculoskeletal core capabilities framework for first point of contact practitioners [Internet]. 2018. Available from: https://www.csp.org.uk/system/files/musculoskeletal_framework2.pdf</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9. </w:t>
      </w:r>
      <w:r w:rsidRPr="00AC3BF2">
        <w:rPr>
          <w:rFonts w:ascii="Calibri" w:hAnsi="Calibri" w:cs="Calibri"/>
          <w:noProof/>
          <w:szCs w:val="24"/>
        </w:rPr>
        <w:tab/>
        <w:t xml:space="preserve">Hourigan P, Weatherley C. Initial assessment and follow-up by a physiotherapist of patients with back pain referred to a spinal clinic. J R Soc Med [Internet]. 1994 Apr [cited 2014 Dec </w:t>
      </w:r>
      <w:r w:rsidRPr="00AC3BF2">
        <w:rPr>
          <w:rFonts w:ascii="Calibri" w:hAnsi="Calibri" w:cs="Calibri"/>
          <w:noProof/>
          <w:szCs w:val="24"/>
        </w:rPr>
        <w:lastRenderedPageBreak/>
        <w:t>21];87(4):213–4. Available from: http://www.pubmedcentral.nih.gov/articlerender.fcgi?artid=1294445&amp;tool=pmcentrez&amp;rendertype=abstract</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10. </w:t>
      </w:r>
      <w:r w:rsidRPr="00AC3BF2">
        <w:rPr>
          <w:rFonts w:ascii="Calibri" w:hAnsi="Calibri" w:cs="Calibri"/>
          <w:noProof/>
          <w:szCs w:val="24"/>
        </w:rPr>
        <w:tab/>
        <w:t>Hourigan P, Weatherley C. The Physiotherapist as an Orthopaedic Assistant in a Back Pain Clinic. Physiotherapy [Internet]. 1995 Sep 9 [cited 2014 Dec 21];81(9):546–8. Available from: http://www.physiotherapyjournal.com/article/S0031940605666928/fulltext</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11. </w:t>
      </w:r>
      <w:r w:rsidRPr="00AC3BF2">
        <w:rPr>
          <w:rFonts w:ascii="Calibri" w:hAnsi="Calibri" w:cs="Calibri"/>
          <w:noProof/>
          <w:szCs w:val="24"/>
        </w:rPr>
        <w:tab/>
        <w:t xml:space="preserve">Samsson KS, Grimmer K, Larsson MEH, Morris J, Bernhardsson S. Effects on health and process outcomes of physiotherapist-led orthopaedic triage for patients with musculoskeletal disorders: A systematic review of comparative studies. BMC Musculoskelet Disord. 2020;21(1):1–20.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12. </w:t>
      </w:r>
      <w:r w:rsidRPr="00AC3BF2">
        <w:rPr>
          <w:rFonts w:ascii="Calibri" w:hAnsi="Calibri" w:cs="Calibri"/>
          <w:noProof/>
          <w:szCs w:val="24"/>
        </w:rPr>
        <w:tab/>
        <w:t>Bath B, Grona SL, Janzen B. A spinal triage programme delivered by physiotherapists in collaboration with orthopaedic surgeons. Physiother Can [Internet]. 2012 Jan [cited 2014 Dec 21];64(4):356–66. Available from: http://www.pubmedcentral.nih.gov/articlerender.fcgi?artid=3484906&amp;tool=pmcentrez&amp;rendertype=abstract</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13. </w:t>
      </w:r>
      <w:r w:rsidRPr="00AC3BF2">
        <w:rPr>
          <w:rFonts w:ascii="Calibri" w:hAnsi="Calibri" w:cs="Calibri"/>
          <w:noProof/>
          <w:szCs w:val="24"/>
        </w:rPr>
        <w:tab/>
        <w:t xml:space="preserve">Trostrup J, Juhl C., Mikklsen LR. Effect of extended scope physiotherapists assessments in orthopaedic diagnostic setting: a systematic review. Physiother (United Kingdom). 2020;108:120–8.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14. </w:t>
      </w:r>
      <w:r w:rsidRPr="00AC3BF2">
        <w:rPr>
          <w:rFonts w:ascii="Calibri" w:hAnsi="Calibri" w:cs="Calibri"/>
          <w:noProof/>
          <w:szCs w:val="24"/>
        </w:rPr>
        <w:tab/>
        <w:t xml:space="preserve">Gregory R. The Effect of COVID-19 on Training. In: BASS. 2022.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15. </w:t>
      </w:r>
      <w:r w:rsidRPr="00AC3BF2">
        <w:rPr>
          <w:rFonts w:ascii="Calibri" w:hAnsi="Calibri" w:cs="Calibri"/>
          <w:noProof/>
          <w:szCs w:val="24"/>
        </w:rPr>
        <w:tab/>
        <w:t xml:space="preserve">Dunstan E, Dixon M, Wood L. Managing risk in degenerative cervical myelopathy(DCM): a service review in response to COVID-19 delays. In: Society for Back Pain Research. 2022.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16. </w:t>
      </w:r>
      <w:r w:rsidRPr="00AC3BF2">
        <w:rPr>
          <w:rFonts w:ascii="Calibri" w:hAnsi="Calibri" w:cs="Calibri"/>
          <w:noProof/>
          <w:szCs w:val="24"/>
        </w:rPr>
        <w:tab/>
        <w:t xml:space="preserve">NHS England. Friends and Family Test. 2013.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17. </w:t>
      </w:r>
      <w:r w:rsidRPr="00AC3BF2">
        <w:rPr>
          <w:rFonts w:ascii="Calibri" w:hAnsi="Calibri" w:cs="Calibri"/>
          <w:noProof/>
          <w:szCs w:val="24"/>
        </w:rPr>
        <w:tab/>
        <w:t xml:space="preserve">NHS. Friends and Family Test [Internet]. 2015 [cited 2021 Feb 7]. Available from: </w:t>
      </w:r>
      <w:r w:rsidRPr="00AC3BF2">
        <w:rPr>
          <w:rFonts w:ascii="Calibri" w:hAnsi="Calibri" w:cs="Calibri"/>
          <w:noProof/>
          <w:szCs w:val="24"/>
        </w:rPr>
        <w:lastRenderedPageBreak/>
        <w:t>https://www.england.nhs.uk/fft/</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18. </w:t>
      </w:r>
      <w:r w:rsidRPr="00AC3BF2">
        <w:rPr>
          <w:rFonts w:ascii="Calibri" w:hAnsi="Calibri" w:cs="Calibri"/>
          <w:noProof/>
          <w:szCs w:val="24"/>
        </w:rPr>
        <w:tab/>
        <w:t>Craig M, Chopra A, Lasry O, Dea N, Charest-Morin R, Street J, et al. Telehealth for outpatient spine consultation: What do the patients think? Interdiscip Neurosurg Adv Tech Case Manag [Internet]. 2022;28(November 2021):101462. Available from: https://doi.org/10.1016/j.inat.2021.101462</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19. </w:t>
      </w:r>
      <w:r w:rsidRPr="00AC3BF2">
        <w:rPr>
          <w:rFonts w:ascii="Calibri" w:hAnsi="Calibri" w:cs="Calibri"/>
          <w:noProof/>
          <w:szCs w:val="24"/>
        </w:rPr>
        <w:tab/>
        <w:t xml:space="preserve">Greven ACM, McGinley BM, Guisse NF, McGee LJ, Pirkle S, Malcolm JG, et al. Telemedicine in the Evaluation and Management of Neurosurgical Spine Patients: Questionnaire Assessment of 346 Consecutive Patients. Spine (Phila Pa 1976). 2021;46(7):472–7.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20. </w:t>
      </w:r>
      <w:r w:rsidRPr="00AC3BF2">
        <w:rPr>
          <w:rFonts w:ascii="Calibri" w:hAnsi="Calibri" w:cs="Calibri"/>
          <w:noProof/>
          <w:szCs w:val="24"/>
        </w:rPr>
        <w:tab/>
        <w:t>Lafrance S, Lapalme JG, Méquignon M, Santaguida C, Fernandes J, Desmeules F. Advanced practice physiotherapy for adults with spinal pain: a systematic review with meta-analysis. Eur Spine J [Internet]. 2021;30(4):990–1003. Available from: https://doi.org/10.1007/s00586-020-06648-5</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szCs w:val="24"/>
        </w:rPr>
      </w:pPr>
      <w:r w:rsidRPr="00AC3BF2">
        <w:rPr>
          <w:rFonts w:ascii="Calibri" w:hAnsi="Calibri" w:cs="Calibri"/>
          <w:noProof/>
          <w:szCs w:val="24"/>
        </w:rPr>
        <w:t xml:space="preserve">21. </w:t>
      </w:r>
      <w:r w:rsidRPr="00AC3BF2">
        <w:rPr>
          <w:rFonts w:ascii="Calibri" w:hAnsi="Calibri" w:cs="Calibri"/>
          <w:noProof/>
          <w:szCs w:val="24"/>
        </w:rPr>
        <w:tab/>
        <w:t xml:space="preserve">Clarke H, Eveleigh C, Wood L. Developing a pathway for the management of patients presenting with suspected myelopathy in secondary care. In: Virtual Physiotherapy. 2021. </w:t>
      </w:r>
    </w:p>
    <w:p w:rsidR="00AC3BF2" w:rsidRPr="00AC3BF2" w:rsidRDefault="00AC3BF2" w:rsidP="00AC3BF2">
      <w:pPr>
        <w:widowControl w:val="0"/>
        <w:autoSpaceDE w:val="0"/>
        <w:autoSpaceDN w:val="0"/>
        <w:adjustRightInd w:val="0"/>
        <w:spacing w:line="480" w:lineRule="auto"/>
        <w:ind w:left="640" w:hanging="640"/>
        <w:rPr>
          <w:rFonts w:ascii="Calibri" w:hAnsi="Calibri" w:cs="Calibri"/>
          <w:noProof/>
        </w:rPr>
      </w:pPr>
      <w:r w:rsidRPr="00AC3BF2">
        <w:rPr>
          <w:rFonts w:ascii="Calibri" w:hAnsi="Calibri" w:cs="Calibri"/>
          <w:noProof/>
          <w:szCs w:val="24"/>
        </w:rPr>
        <w:t xml:space="preserve">22. </w:t>
      </w:r>
      <w:r w:rsidRPr="00AC3BF2">
        <w:rPr>
          <w:rFonts w:ascii="Calibri" w:hAnsi="Calibri" w:cs="Calibri"/>
          <w:noProof/>
          <w:szCs w:val="24"/>
        </w:rPr>
        <w:tab/>
        <w:t xml:space="preserve">Wood L, Dunstan E. A Same Day Emergency Care (SDEC) Unit for Atraumatic Spinal Pain – Preliminary Results. In: Virtual Britspine. 2021. </w:t>
      </w:r>
    </w:p>
    <w:p w:rsidR="00256353" w:rsidRDefault="00256353" w:rsidP="00B25B82">
      <w:pPr>
        <w:spacing w:line="480" w:lineRule="auto"/>
      </w:pPr>
      <w:r>
        <w:fldChar w:fldCharType="end"/>
      </w:r>
    </w:p>
    <w:p w:rsidR="00DC3408" w:rsidRDefault="00DC3408" w:rsidP="00B25B82">
      <w:pPr>
        <w:spacing w:line="480" w:lineRule="auto"/>
      </w:pPr>
    </w:p>
    <w:p w:rsidR="001770BA" w:rsidRDefault="007004A3" w:rsidP="00393DAA">
      <w:pPr>
        <w:spacing w:line="480" w:lineRule="auto"/>
        <w:sectPr w:rsidR="001770BA" w:rsidSect="00B25B82">
          <w:footerReference w:type="default" r:id="rId8"/>
          <w:pgSz w:w="11906" w:h="16838"/>
          <w:pgMar w:top="1440" w:right="1440" w:bottom="1440" w:left="1440" w:header="708" w:footer="708" w:gutter="0"/>
          <w:lnNumType w:countBy="1" w:restart="continuous"/>
          <w:cols w:space="708"/>
          <w:docGrid w:linePitch="360"/>
        </w:sectPr>
      </w:pPr>
      <w:r>
        <w:br w:type="page"/>
      </w:r>
    </w:p>
    <w:p w:rsidR="001770BA" w:rsidRPr="00256353" w:rsidRDefault="001770BA" w:rsidP="001770BA">
      <w:pPr>
        <w:spacing w:line="480" w:lineRule="auto"/>
        <w:rPr>
          <w:rFonts w:cstheme="minorHAnsi"/>
          <w:b/>
          <w:color w:val="333333"/>
          <w:szCs w:val="21"/>
          <w:u w:val="single"/>
        </w:rPr>
      </w:pPr>
      <w:r w:rsidRPr="00256353">
        <w:rPr>
          <w:rFonts w:cstheme="minorHAnsi"/>
          <w:b/>
          <w:color w:val="333333"/>
          <w:szCs w:val="21"/>
          <w:u w:val="single"/>
        </w:rPr>
        <w:lastRenderedPageBreak/>
        <w:t xml:space="preserve">Appendix </w:t>
      </w:r>
    </w:p>
    <w:tbl>
      <w:tblPr>
        <w:tblStyle w:val="TableGrid"/>
        <w:tblW w:w="0" w:type="auto"/>
        <w:tblLook w:val="04A0" w:firstRow="1" w:lastRow="0" w:firstColumn="1" w:lastColumn="0" w:noHBand="0" w:noVBand="1"/>
      </w:tblPr>
      <w:tblGrid>
        <w:gridCol w:w="2093"/>
        <w:gridCol w:w="1134"/>
        <w:gridCol w:w="850"/>
        <w:gridCol w:w="993"/>
        <w:gridCol w:w="1701"/>
        <w:gridCol w:w="1134"/>
        <w:gridCol w:w="1275"/>
        <w:gridCol w:w="1560"/>
        <w:gridCol w:w="1559"/>
      </w:tblGrid>
      <w:tr w:rsidR="001770BA" w:rsidTr="00EF478F">
        <w:tc>
          <w:tcPr>
            <w:tcW w:w="2093" w:type="dxa"/>
          </w:tcPr>
          <w:p w:rsidR="001770BA" w:rsidRDefault="001770BA" w:rsidP="001770BA">
            <w:pPr>
              <w:rPr>
                <w:u w:val="single"/>
              </w:rPr>
            </w:pPr>
          </w:p>
        </w:tc>
        <w:tc>
          <w:tcPr>
            <w:tcW w:w="1134" w:type="dxa"/>
          </w:tcPr>
          <w:p w:rsidR="001770BA" w:rsidRDefault="001770BA" w:rsidP="001770BA">
            <w:pPr>
              <w:rPr>
                <w:u w:val="single"/>
              </w:rPr>
            </w:pPr>
          </w:p>
        </w:tc>
        <w:tc>
          <w:tcPr>
            <w:tcW w:w="850" w:type="dxa"/>
          </w:tcPr>
          <w:p w:rsidR="001770BA" w:rsidRPr="00DF314D" w:rsidRDefault="001770BA" w:rsidP="001770BA">
            <w:r w:rsidRPr="00DF314D">
              <w:t>Year</w:t>
            </w:r>
            <w:r>
              <w:t xml:space="preserve"> A</w:t>
            </w:r>
          </w:p>
        </w:tc>
        <w:tc>
          <w:tcPr>
            <w:tcW w:w="993" w:type="dxa"/>
          </w:tcPr>
          <w:p w:rsidR="001770BA" w:rsidRPr="00DF314D" w:rsidRDefault="001770BA" w:rsidP="001770BA">
            <w:r w:rsidRPr="00DF314D">
              <w:t>Year</w:t>
            </w:r>
            <w:r>
              <w:t xml:space="preserve"> B</w:t>
            </w:r>
          </w:p>
        </w:tc>
        <w:tc>
          <w:tcPr>
            <w:tcW w:w="1701" w:type="dxa"/>
          </w:tcPr>
          <w:p w:rsidR="001770BA" w:rsidRPr="00DF314D" w:rsidRDefault="001770BA" w:rsidP="001770BA">
            <w:r w:rsidRPr="00DF314D">
              <w:t>Mean Difference</w:t>
            </w:r>
            <w:r>
              <w:t xml:space="preserve"> (A-B)</w:t>
            </w:r>
          </w:p>
        </w:tc>
        <w:tc>
          <w:tcPr>
            <w:tcW w:w="1134" w:type="dxa"/>
          </w:tcPr>
          <w:p w:rsidR="001770BA" w:rsidRPr="00DF314D" w:rsidRDefault="001770BA" w:rsidP="001770BA">
            <w:r w:rsidRPr="00DF314D">
              <w:t>Std. Error</w:t>
            </w:r>
          </w:p>
        </w:tc>
        <w:tc>
          <w:tcPr>
            <w:tcW w:w="1275" w:type="dxa"/>
          </w:tcPr>
          <w:p w:rsidR="001770BA" w:rsidRPr="00DF314D" w:rsidRDefault="001770BA" w:rsidP="001770BA">
            <w:r w:rsidRPr="00DF314D">
              <w:t>Significance</w:t>
            </w:r>
          </w:p>
        </w:tc>
        <w:tc>
          <w:tcPr>
            <w:tcW w:w="3119" w:type="dxa"/>
            <w:gridSpan w:val="2"/>
          </w:tcPr>
          <w:p w:rsidR="001770BA" w:rsidRPr="00DF314D" w:rsidRDefault="001770BA" w:rsidP="001770BA">
            <w:r w:rsidRPr="00DF314D">
              <w:t>95% CI</w:t>
            </w:r>
          </w:p>
        </w:tc>
      </w:tr>
      <w:tr w:rsidR="001770BA" w:rsidTr="00EF478F">
        <w:tc>
          <w:tcPr>
            <w:tcW w:w="2093" w:type="dxa"/>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tc>
        <w:tc>
          <w:tcPr>
            <w:tcW w:w="1701" w:type="dxa"/>
          </w:tcPr>
          <w:p w:rsidR="001770BA" w:rsidRPr="00916B6D" w:rsidRDefault="001770BA" w:rsidP="001770BA"/>
        </w:tc>
        <w:tc>
          <w:tcPr>
            <w:tcW w:w="1134" w:type="dxa"/>
          </w:tcPr>
          <w:p w:rsidR="001770BA" w:rsidRPr="00916B6D" w:rsidRDefault="001770BA" w:rsidP="001770BA"/>
        </w:tc>
        <w:tc>
          <w:tcPr>
            <w:tcW w:w="1275" w:type="dxa"/>
          </w:tcPr>
          <w:p w:rsidR="001770BA" w:rsidRPr="00916B6D" w:rsidRDefault="001770BA" w:rsidP="001770BA"/>
        </w:tc>
        <w:tc>
          <w:tcPr>
            <w:tcW w:w="1560" w:type="dxa"/>
          </w:tcPr>
          <w:p w:rsidR="001770BA" w:rsidRPr="00916B6D" w:rsidRDefault="001770BA" w:rsidP="001770BA">
            <w:r w:rsidRPr="00916B6D">
              <w:t>Lower</w:t>
            </w:r>
          </w:p>
        </w:tc>
        <w:tc>
          <w:tcPr>
            <w:tcW w:w="1559" w:type="dxa"/>
          </w:tcPr>
          <w:p w:rsidR="001770BA" w:rsidRPr="00916B6D" w:rsidRDefault="001770BA" w:rsidP="001770BA">
            <w:r w:rsidRPr="00916B6D">
              <w:t>Upper</w:t>
            </w:r>
          </w:p>
        </w:tc>
      </w:tr>
      <w:tr w:rsidR="001770BA" w:rsidTr="00EF478F">
        <w:tc>
          <w:tcPr>
            <w:tcW w:w="2093" w:type="dxa"/>
            <w:vMerge w:val="restart"/>
          </w:tcPr>
          <w:p w:rsidR="001770BA" w:rsidRPr="00916B6D" w:rsidRDefault="001770BA" w:rsidP="001770BA">
            <w:r>
              <w:t xml:space="preserve">NP </w:t>
            </w:r>
            <w:r w:rsidRPr="00916B6D">
              <w:t>Referrals</w:t>
            </w:r>
            <w:r>
              <w:t xml:space="preserve"> </w:t>
            </w:r>
          </w:p>
        </w:tc>
        <w:tc>
          <w:tcPr>
            <w:tcW w:w="1134" w:type="dxa"/>
            <w:shd w:val="clear" w:color="auto" w:fill="D9D9D9" w:themeFill="background1" w:themeFillShade="D9"/>
          </w:tcPr>
          <w:p w:rsidR="001770BA" w:rsidRPr="00916B6D" w:rsidRDefault="001770BA" w:rsidP="001770BA">
            <w:r w:rsidRPr="00916B6D">
              <w:t>Tukey</w:t>
            </w:r>
          </w:p>
        </w:tc>
        <w:tc>
          <w:tcPr>
            <w:tcW w:w="850" w:type="dxa"/>
            <w:shd w:val="clear" w:color="auto" w:fill="D9D9D9" w:themeFill="background1" w:themeFillShade="D9"/>
          </w:tcPr>
          <w:p w:rsidR="001770BA" w:rsidRPr="00916B6D" w:rsidRDefault="001770BA" w:rsidP="001770BA">
            <w:r w:rsidRPr="00916B6D">
              <w:t>2019</w:t>
            </w:r>
          </w:p>
        </w:tc>
        <w:tc>
          <w:tcPr>
            <w:tcW w:w="993" w:type="dxa"/>
            <w:shd w:val="clear" w:color="auto" w:fill="D9D9D9" w:themeFill="background1" w:themeFillShade="D9"/>
          </w:tcPr>
          <w:p w:rsidR="001770BA" w:rsidRPr="00916B6D" w:rsidRDefault="001770BA" w:rsidP="001770BA">
            <w:r w:rsidRPr="00916B6D">
              <w:t>2020</w:t>
            </w:r>
          </w:p>
        </w:tc>
        <w:tc>
          <w:tcPr>
            <w:tcW w:w="1701" w:type="dxa"/>
            <w:shd w:val="clear" w:color="auto" w:fill="D9D9D9" w:themeFill="background1" w:themeFillShade="D9"/>
          </w:tcPr>
          <w:p w:rsidR="001770BA" w:rsidRPr="00916B6D" w:rsidRDefault="001770BA" w:rsidP="001770BA">
            <w:r w:rsidRPr="00916B6D">
              <w:t>33.92</w:t>
            </w:r>
          </w:p>
        </w:tc>
        <w:tc>
          <w:tcPr>
            <w:tcW w:w="1134" w:type="dxa"/>
            <w:shd w:val="clear" w:color="auto" w:fill="D9D9D9" w:themeFill="background1" w:themeFillShade="D9"/>
          </w:tcPr>
          <w:p w:rsidR="001770BA" w:rsidRPr="00916B6D" w:rsidRDefault="001770BA" w:rsidP="001770BA">
            <w:r>
              <w:t>12.00</w:t>
            </w:r>
          </w:p>
        </w:tc>
        <w:tc>
          <w:tcPr>
            <w:tcW w:w="1275" w:type="dxa"/>
            <w:shd w:val="clear" w:color="auto" w:fill="D9D9D9" w:themeFill="background1" w:themeFillShade="D9"/>
          </w:tcPr>
          <w:p w:rsidR="001770BA" w:rsidRPr="00916B6D" w:rsidRDefault="001770BA" w:rsidP="001770BA">
            <w:r>
              <w:t>0.02</w:t>
            </w:r>
          </w:p>
        </w:tc>
        <w:tc>
          <w:tcPr>
            <w:tcW w:w="1560" w:type="dxa"/>
            <w:shd w:val="clear" w:color="auto" w:fill="D9D9D9" w:themeFill="background1" w:themeFillShade="D9"/>
          </w:tcPr>
          <w:p w:rsidR="001770BA" w:rsidRPr="00916B6D" w:rsidRDefault="001770BA" w:rsidP="001770BA">
            <w:r w:rsidRPr="00916B6D">
              <w:t>4.47</w:t>
            </w:r>
          </w:p>
        </w:tc>
        <w:tc>
          <w:tcPr>
            <w:tcW w:w="1559" w:type="dxa"/>
            <w:shd w:val="clear" w:color="auto" w:fill="D9D9D9" w:themeFill="background1" w:themeFillShade="D9"/>
          </w:tcPr>
          <w:p w:rsidR="001770BA" w:rsidRPr="00916B6D" w:rsidRDefault="001770BA" w:rsidP="001770BA">
            <w:r w:rsidRPr="00916B6D">
              <w:t>63.37</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rsidRPr="00916B6D">
              <w:t>2021</w:t>
            </w:r>
          </w:p>
        </w:tc>
        <w:tc>
          <w:tcPr>
            <w:tcW w:w="1701" w:type="dxa"/>
          </w:tcPr>
          <w:p w:rsidR="001770BA" w:rsidRPr="00916B6D" w:rsidRDefault="001770BA" w:rsidP="001770BA">
            <w:r w:rsidRPr="00916B6D">
              <w:t>21.17</w:t>
            </w:r>
          </w:p>
        </w:tc>
        <w:tc>
          <w:tcPr>
            <w:tcW w:w="1134" w:type="dxa"/>
          </w:tcPr>
          <w:p w:rsidR="001770BA" w:rsidRDefault="001770BA" w:rsidP="001770BA">
            <w:r w:rsidRPr="00DB3E41">
              <w:t>12.00</w:t>
            </w:r>
          </w:p>
        </w:tc>
        <w:tc>
          <w:tcPr>
            <w:tcW w:w="1275" w:type="dxa"/>
          </w:tcPr>
          <w:p w:rsidR="001770BA" w:rsidRPr="00916B6D" w:rsidRDefault="001770BA" w:rsidP="001770BA">
            <w:r>
              <w:t>0.20</w:t>
            </w:r>
          </w:p>
        </w:tc>
        <w:tc>
          <w:tcPr>
            <w:tcW w:w="1560" w:type="dxa"/>
          </w:tcPr>
          <w:p w:rsidR="001770BA" w:rsidRPr="00916B6D" w:rsidRDefault="001770BA" w:rsidP="001770BA">
            <w:r w:rsidRPr="00916B6D">
              <w:t>-8.28</w:t>
            </w:r>
          </w:p>
        </w:tc>
        <w:tc>
          <w:tcPr>
            <w:tcW w:w="1559" w:type="dxa"/>
          </w:tcPr>
          <w:p w:rsidR="001770BA" w:rsidRPr="00916B6D" w:rsidRDefault="001770BA" w:rsidP="001770BA">
            <w:r w:rsidRPr="00916B6D">
              <w:t>50.62</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rsidRPr="00916B6D">
              <w:t>2020</w:t>
            </w:r>
          </w:p>
        </w:tc>
        <w:tc>
          <w:tcPr>
            <w:tcW w:w="993" w:type="dxa"/>
          </w:tcPr>
          <w:p w:rsidR="001770BA" w:rsidRPr="00916B6D" w:rsidRDefault="001770BA" w:rsidP="001770BA">
            <w:r w:rsidRPr="00916B6D">
              <w:t>2021</w:t>
            </w:r>
          </w:p>
        </w:tc>
        <w:tc>
          <w:tcPr>
            <w:tcW w:w="1701" w:type="dxa"/>
          </w:tcPr>
          <w:p w:rsidR="001770BA" w:rsidRPr="00916B6D" w:rsidRDefault="001770BA" w:rsidP="001770BA">
            <w:r w:rsidRPr="00916B6D">
              <w:t>-12.75</w:t>
            </w:r>
          </w:p>
        </w:tc>
        <w:tc>
          <w:tcPr>
            <w:tcW w:w="1134" w:type="dxa"/>
          </w:tcPr>
          <w:p w:rsidR="001770BA" w:rsidRDefault="001770BA" w:rsidP="001770BA">
            <w:r w:rsidRPr="00DB3E41">
              <w:t>12.00</w:t>
            </w:r>
          </w:p>
        </w:tc>
        <w:tc>
          <w:tcPr>
            <w:tcW w:w="1275" w:type="dxa"/>
          </w:tcPr>
          <w:p w:rsidR="001770BA" w:rsidRPr="00916B6D" w:rsidRDefault="001770BA" w:rsidP="001770BA">
            <w:r w:rsidRPr="00916B6D">
              <w:t>0.54</w:t>
            </w:r>
          </w:p>
        </w:tc>
        <w:tc>
          <w:tcPr>
            <w:tcW w:w="1560" w:type="dxa"/>
          </w:tcPr>
          <w:p w:rsidR="001770BA" w:rsidRPr="00916B6D" w:rsidRDefault="001770BA" w:rsidP="001770BA">
            <w:r w:rsidRPr="00916B6D">
              <w:t>-42.20</w:t>
            </w:r>
          </w:p>
        </w:tc>
        <w:tc>
          <w:tcPr>
            <w:tcW w:w="1559" w:type="dxa"/>
          </w:tcPr>
          <w:p w:rsidR="001770BA" w:rsidRPr="00916B6D" w:rsidRDefault="001770BA" w:rsidP="001770BA">
            <w:r w:rsidRPr="00916B6D">
              <w:t>16.70</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proofErr w:type="spellStart"/>
            <w:r>
              <w:t>Scheffe</w:t>
            </w:r>
            <w:proofErr w:type="spellEnd"/>
          </w:p>
        </w:tc>
        <w:tc>
          <w:tcPr>
            <w:tcW w:w="850" w:type="dxa"/>
            <w:shd w:val="clear" w:color="auto" w:fill="D9D9D9" w:themeFill="background1" w:themeFillShade="D9"/>
          </w:tcPr>
          <w:p w:rsidR="001770BA" w:rsidRPr="00916B6D" w:rsidRDefault="001770BA" w:rsidP="001770BA">
            <w:r w:rsidRPr="00916B6D">
              <w:t>2019</w:t>
            </w:r>
          </w:p>
        </w:tc>
        <w:tc>
          <w:tcPr>
            <w:tcW w:w="993" w:type="dxa"/>
            <w:shd w:val="clear" w:color="auto" w:fill="D9D9D9" w:themeFill="background1" w:themeFillShade="D9"/>
          </w:tcPr>
          <w:p w:rsidR="001770BA" w:rsidRPr="00916B6D" w:rsidRDefault="001770BA" w:rsidP="001770BA">
            <w:r w:rsidRPr="00916B6D">
              <w:t>2020</w:t>
            </w:r>
          </w:p>
        </w:tc>
        <w:tc>
          <w:tcPr>
            <w:tcW w:w="1701" w:type="dxa"/>
            <w:shd w:val="clear" w:color="auto" w:fill="D9D9D9" w:themeFill="background1" w:themeFillShade="D9"/>
          </w:tcPr>
          <w:p w:rsidR="001770BA" w:rsidRPr="00916B6D" w:rsidRDefault="001770BA" w:rsidP="001770BA">
            <w:r>
              <w:t>33.92</w:t>
            </w:r>
          </w:p>
        </w:tc>
        <w:tc>
          <w:tcPr>
            <w:tcW w:w="1134" w:type="dxa"/>
            <w:shd w:val="clear" w:color="auto" w:fill="D9D9D9" w:themeFill="background1" w:themeFillShade="D9"/>
          </w:tcPr>
          <w:p w:rsidR="001770BA" w:rsidRDefault="001770BA" w:rsidP="001770BA">
            <w:r w:rsidRPr="00DB3E41">
              <w:t>12.00</w:t>
            </w:r>
          </w:p>
        </w:tc>
        <w:tc>
          <w:tcPr>
            <w:tcW w:w="1275" w:type="dxa"/>
            <w:shd w:val="clear" w:color="auto" w:fill="D9D9D9" w:themeFill="background1" w:themeFillShade="D9"/>
          </w:tcPr>
          <w:p w:rsidR="001770BA" w:rsidRPr="00916B6D" w:rsidRDefault="001770BA" w:rsidP="001770BA">
            <w:r>
              <w:t>0.03</w:t>
            </w:r>
          </w:p>
        </w:tc>
        <w:tc>
          <w:tcPr>
            <w:tcW w:w="1560" w:type="dxa"/>
            <w:shd w:val="clear" w:color="auto" w:fill="D9D9D9" w:themeFill="background1" w:themeFillShade="D9"/>
          </w:tcPr>
          <w:p w:rsidR="001770BA" w:rsidRPr="00916B6D" w:rsidRDefault="001770BA" w:rsidP="001770BA">
            <w:r>
              <w:t>3.15</w:t>
            </w:r>
          </w:p>
        </w:tc>
        <w:tc>
          <w:tcPr>
            <w:tcW w:w="1559" w:type="dxa"/>
            <w:shd w:val="clear" w:color="auto" w:fill="D9D9D9" w:themeFill="background1" w:themeFillShade="D9"/>
          </w:tcPr>
          <w:p w:rsidR="001770BA" w:rsidRPr="00916B6D" w:rsidRDefault="001770BA" w:rsidP="001770BA">
            <w:r>
              <w:t>64.68</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rsidRPr="00916B6D">
              <w:t>2021</w:t>
            </w:r>
          </w:p>
        </w:tc>
        <w:tc>
          <w:tcPr>
            <w:tcW w:w="1701" w:type="dxa"/>
          </w:tcPr>
          <w:p w:rsidR="001770BA" w:rsidRPr="00916B6D" w:rsidRDefault="001770BA" w:rsidP="001770BA">
            <w:r>
              <w:t>21.17</w:t>
            </w:r>
          </w:p>
        </w:tc>
        <w:tc>
          <w:tcPr>
            <w:tcW w:w="1134" w:type="dxa"/>
          </w:tcPr>
          <w:p w:rsidR="001770BA" w:rsidRDefault="001770BA" w:rsidP="001770BA">
            <w:r w:rsidRPr="00DB3E41">
              <w:t>12.00</w:t>
            </w:r>
          </w:p>
        </w:tc>
        <w:tc>
          <w:tcPr>
            <w:tcW w:w="1275" w:type="dxa"/>
          </w:tcPr>
          <w:p w:rsidR="001770BA" w:rsidRPr="00916B6D" w:rsidRDefault="001770BA" w:rsidP="001770BA">
            <w:r>
              <w:t>0.23</w:t>
            </w:r>
          </w:p>
        </w:tc>
        <w:tc>
          <w:tcPr>
            <w:tcW w:w="1560" w:type="dxa"/>
          </w:tcPr>
          <w:p w:rsidR="001770BA" w:rsidRPr="00916B6D" w:rsidRDefault="001770BA" w:rsidP="001770BA">
            <w:r>
              <w:t>-9.60</w:t>
            </w:r>
          </w:p>
        </w:tc>
        <w:tc>
          <w:tcPr>
            <w:tcW w:w="1559" w:type="dxa"/>
          </w:tcPr>
          <w:p w:rsidR="001770BA" w:rsidRPr="00916B6D" w:rsidRDefault="001770BA" w:rsidP="001770BA">
            <w:r>
              <w:t>51.93</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rsidRPr="00916B6D">
              <w:t>2020</w:t>
            </w:r>
          </w:p>
        </w:tc>
        <w:tc>
          <w:tcPr>
            <w:tcW w:w="993" w:type="dxa"/>
          </w:tcPr>
          <w:p w:rsidR="001770BA" w:rsidRPr="00916B6D" w:rsidRDefault="001770BA" w:rsidP="001770BA">
            <w:r w:rsidRPr="00916B6D">
              <w:t>2021</w:t>
            </w:r>
          </w:p>
        </w:tc>
        <w:tc>
          <w:tcPr>
            <w:tcW w:w="1701" w:type="dxa"/>
          </w:tcPr>
          <w:p w:rsidR="001770BA" w:rsidRPr="00916B6D" w:rsidRDefault="001770BA" w:rsidP="001770BA">
            <w:r>
              <w:t>-12.75</w:t>
            </w:r>
          </w:p>
        </w:tc>
        <w:tc>
          <w:tcPr>
            <w:tcW w:w="1134" w:type="dxa"/>
          </w:tcPr>
          <w:p w:rsidR="001770BA" w:rsidRDefault="001770BA" w:rsidP="001770BA">
            <w:r w:rsidRPr="00DB3E41">
              <w:t>12.00</w:t>
            </w:r>
          </w:p>
        </w:tc>
        <w:tc>
          <w:tcPr>
            <w:tcW w:w="1275" w:type="dxa"/>
          </w:tcPr>
          <w:p w:rsidR="001770BA" w:rsidRPr="00916B6D" w:rsidRDefault="001770BA" w:rsidP="001770BA">
            <w:r>
              <w:t>0.57</w:t>
            </w:r>
          </w:p>
        </w:tc>
        <w:tc>
          <w:tcPr>
            <w:tcW w:w="1560" w:type="dxa"/>
          </w:tcPr>
          <w:p w:rsidR="001770BA" w:rsidRPr="00916B6D" w:rsidRDefault="001770BA" w:rsidP="001770BA">
            <w:r>
              <w:t>-43.51</w:t>
            </w:r>
          </w:p>
        </w:tc>
        <w:tc>
          <w:tcPr>
            <w:tcW w:w="1559" w:type="dxa"/>
          </w:tcPr>
          <w:p w:rsidR="001770BA" w:rsidRPr="00916B6D" w:rsidRDefault="001770BA" w:rsidP="001770BA">
            <w:r>
              <w:t>18.01</w:t>
            </w:r>
          </w:p>
        </w:tc>
      </w:tr>
      <w:tr w:rsidR="001770BA" w:rsidTr="00EF478F">
        <w:tc>
          <w:tcPr>
            <w:tcW w:w="2093" w:type="dxa"/>
            <w:vMerge w:val="restart"/>
          </w:tcPr>
          <w:p w:rsidR="001770BA" w:rsidRPr="00916B6D" w:rsidRDefault="001770BA" w:rsidP="001770BA">
            <w:r>
              <w:t>NP appointments</w:t>
            </w:r>
          </w:p>
        </w:tc>
        <w:tc>
          <w:tcPr>
            <w:tcW w:w="1134" w:type="dxa"/>
          </w:tcPr>
          <w:p w:rsidR="001770BA" w:rsidRPr="00916B6D" w:rsidRDefault="001770BA" w:rsidP="001770BA">
            <w:r>
              <w:t>Tukey</w:t>
            </w:r>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Pr="00916B6D" w:rsidRDefault="001770BA" w:rsidP="001770BA">
            <w:r>
              <w:t>32.08</w:t>
            </w:r>
          </w:p>
        </w:tc>
        <w:tc>
          <w:tcPr>
            <w:tcW w:w="1134" w:type="dxa"/>
          </w:tcPr>
          <w:p w:rsidR="001770BA" w:rsidRPr="00916B6D" w:rsidRDefault="001770BA" w:rsidP="001770BA">
            <w:r>
              <w:t>13.59</w:t>
            </w:r>
          </w:p>
        </w:tc>
        <w:tc>
          <w:tcPr>
            <w:tcW w:w="1275" w:type="dxa"/>
          </w:tcPr>
          <w:p w:rsidR="001770BA" w:rsidRPr="00916B6D" w:rsidRDefault="001770BA" w:rsidP="001770BA">
            <w:r>
              <w:t>0.06</w:t>
            </w:r>
          </w:p>
        </w:tc>
        <w:tc>
          <w:tcPr>
            <w:tcW w:w="1560" w:type="dxa"/>
          </w:tcPr>
          <w:p w:rsidR="001770BA" w:rsidRPr="00916B6D" w:rsidRDefault="001770BA" w:rsidP="001770BA">
            <w:r>
              <w:t>-1.27</w:t>
            </w:r>
          </w:p>
        </w:tc>
        <w:tc>
          <w:tcPr>
            <w:tcW w:w="1559" w:type="dxa"/>
          </w:tcPr>
          <w:p w:rsidR="001770BA" w:rsidRPr="00916B6D" w:rsidRDefault="001770BA" w:rsidP="001770BA">
            <w:r>
              <w:t>65.43</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t>2021</w:t>
            </w:r>
          </w:p>
        </w:tc>
        <w:tc>
          <w:tcPr>
            <w:tcW w:w="1701" w:type="dxa"/>
          </w:tcPr>
          <w:p w:rsidR="001770BA" w:rsidRPr="00916B6D" w:rsidRDefault="001770BA" w:rsidP="001770BA">
            <w:r>
              <w:t>20.00</w:t>
            </w:r>
          </w:p>
        </w:tc>
        <w:tc>
          <w:tcPr>
            <w:tcW w:w="1134" w:type="dxa"/>
          </w:tcPr>
          <w:p w:rsidR="001770BA" w:rsidRPr="00916B6D" w:rsidRDefault="001770BA" w:rsidP="001770BA">
            <w:r>
              <w:t>13.59</w:t>
            </w:r>
          </w:p>
        </w:tc>
        <w:tc>
          <w:tcPr>
            <w:tcW w:w="1275" w:type="dxa"/>
          </w:tcPr>
          <w:p w:rsidR="001770BA" w:rsidRPr="00916B6D" w:rsidRDefault="001770BA" w:rsidP="001770BA">
            <w:r>
              <w:t>0.09</w:t>
            </w:r>
          </w:p>
        </w:tc>
        <w:tc>
          <w:tcPr>
            <w:tcW w:w="1560" w:type="dxa"/>
          </w:tcPr>
          <w:p w:rsidR="001770BA" w:rsidRPr="00916B6D" w:rsidRDefault="001770BA" w:rsidP="001770BA">
            <w:r>
              <w:t>-3.35</w:t>
            </w:r>
          </w:p>
        </w:tc>
        <w:tc>
          <w:tcPr>
            <w:tcW w:w="1559" w:type="dxa"/>
          </w:tcPr>
          <w:p w:rsidR="001770BA" w:rsidRPr="00916B6D" w:rsidRDefault="001770BA" w:rsidP="001770BA">
            <w:r>
              <w:t>63.35</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Pr="00916B6D" w:rsidRDefault="001770BA" w:rsidP="001770BA">
            <w:r>
              <w:t>2021</w:t>
            </w:r>
          </w:p>
        </w:tc>
        <w:tc>
          <w:tcPr>
            <w:tcW w:w="1701" w:type="dxa"/>
          </w:tcPr>
          <w:p w:rsidR="001770BA" w:rsidRPr="00916B6D" w:rsidRDefault="001770BA" w:rsidP="001770BA">
            <w:r>
              <w:t>-2.08</w:t>
            </w:r>
          </w:p>
        </w:tc>
        <w:tc>
          <w:tcPr>
            <w:tcW w:w="1134" w:type="dxa"/>
          </w:tcPr>
          <w:p w:rsidR="001770BA" w:rsidRPr="00916B6D" w:rsidRDefault="001770BA" w:rsidP="001770BA">
            <w:r>
              <w:t>13.59</w:t>
            </w:r>
          </w:p>
        </w:tc>
        <w:tc>
          <w:tcPr>
            <w:tcW w:w="1275" w:type="dxa"/>
          </w:tcPr>
          <w:p w:rsidR="001770BA" w:rsidRPr="00916B6D" w:rsidRDefault="001770BA" w:rsidP="001770BA">
            <w:r>
              <w:t>0.99</w:t>
            </w:r>
          </w:p>
        </w:tc>
        <w:tc>
          <w:tcPr>
            <w:tcW w:w="1560" w:type="dxa"/>
          </w:tcPr>
          <w:p w:rsidR="001770BA" w:rsidRPr="00916B6D" w:rsidRDefault="001770BA" w:rsidP="001770BA">
            <w:r>
              <w:t>-35.43</w:t>
            </w:r>
          </w:p>
        </w:tc>
        <w:tc>
          <w:tcPr>
            <w:tcW w:w="1559" w:type="dxa"/>
          </w:tcPr>
          <w:p w:rsidR="001770BA" w:rsidRPr="00916B6D" w:rsidRDefault="001770BA" w:rsidP="001770BA">
            <w:r>
              <w:t>31.27</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proofErr w:type="spellStart"/>
            <w:r>
              <w:t>Scheffe</w:t>
            </w:r>
            <w:proofErr w:type="spellEnd"/>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Pr="00916B6D" w:rsidRDefault="001770BA" w:rsidP="001770BA">
            <w:r>
              <w:t>32.08</w:t>
            </w:r>
          </w:p>
        </w:tc>
        <w:tc>
          <w:tcPr>
            <w:tcW w:w="1134" w:type="dxa"/>
          </w:tcPr>
          <w:p w:rsidR="001770BA" w:rsidRPr="00916B6D" w:rsidRDefault="001770BA" w:rsidP="001770BA">
            <w:r>
              <w:t>13.59</w:t>
            </w:r>
          </w:p>
        </w:tc>
        <w:tc>
          <w:tcPr>
            <w:tcW w:w="1275" w:type="dxa"/>
          </w:tcPr>
          <w:p w:rsidR="001770BA" w:rsidRPr="00916B6D" w:rsidRDefault="001770BA" w:rsidP="001770BA">
            <w:r>
              <w:t>0.08</w:t>
            </w:r>
          </w:p>
        </w:tc>
        <w:tc>
          <w:tcPr>
            <w:tcW w:w="1560" w:type="dxa"/>
          </w:tcPr>
          <w:p w:rsidR="001770BA" w:rsidRPr="00916B6D" w:rsidRDefault="001770BA" w:rsidP="001770BA">
            <w:r>
              <w:t>-2.75</w:t>
            </w:r>
          </w:p>
        </w:tc>
        <w:tc>
          <w:tcPr>
            <w:tcW w:w="1559" w:type="dxa"/>
          </w:tcPr>
          <w:p w:rsidR="001770BA" w:rsidRPr="00916B6D" w:rsidRDefault="001770BA" w:rsidP="001770BA">
            <w:r>
              <w:t>66.92</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t>2021</w:t>
            </w:r>
          </w:p>
        </w:tc>
        <w:tc>
          <w:tcPr>
            <w:tcW w:w="1701" w:type="dxa"/>
          </w:tcPr>
          <w:p w:rsidR="001770BA" w:rsidRPr="00916B6D" w:rsidRDefault="001770BA" w:rsidP="001770BA">
            <w:r>
              <w:t>30.00</w:t>
            </w:r>
          </w:p>
        </w:tc>
        <w:tc>
          <w:tcPr>
            <w:tcW w:w="1134" w:type="dxa"/>
          </w:tcPr>
          <w:p w:rsidR="001770BA" w:rsidRPr="00916B6D" w:rsidRDefault="001770BA" w:rsidP="001770BA">
            <w:r>
              <w:t>13.59</w:t>
            </w:r>
          </w:p>
        </w:tc>
        <w:tc>
          <w:tcPr>
            <w:tcW w:w="1275" w:type="dxa"/>
          </w:tcPr>
          <w:p w:rsidR="001770BA" w:rsidRPr="00916B6D" w:rsidRDefault="001770BA" w:rsidP="001770BA">
            <w:r>
              <w:t>0.10</w:t>
            </w:r>
          </w:p>
        </w:tc>
        <w:tc>
          <w:tcPr>
            <w:tcW w:w="1560" w:type="dxa"/>
          </w:tcPr>
          <w:p w:rsidR="001770BA" w:rsidRPr="00916B6D" w:rsidRDefault="001770BA" w:rsidP="001770BA">
            <w:r>
              <w:t>-4.84</w:t>
            </w:r>
          </w:p>
        </w:tc>
        <w:tc>
          <w:tcPr>
            <w:tcW w:w="1559" w:type="dxa"/>
          </w:tcPr>
          <w:p w:rsidR="001770BA" w:rsidRPr="00916B6D" w:rsidRDefault="001770BA" w:rsidP="001770BA">
            <w:r>
              <w:t>64.84</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Default="001770BA" w:rsidP="001770BA">
            <w:r>
              <w:t>2021</w:t>
            </w:r>
          </w:p>
        </w:tc>
        <w:tc>
          <w:tcPr>
            <w:tcW w:w="1701" w:type="dxa"/>
          </w:tcPr>
          <w:p w:rsidR="001770BA" w:rsidRDefault="001770BA" w:rsidP="001770BA">
            <w:r>
              <w:t>-2.08</w:t>
            </w:r>
          </w:p>
        </w:tc>
        <w:tc>
          <w:tcPr>
            <w:tcW w:w="1134" w:type="dxa"/>
          </w:tcPr>
          <w:p w:rsidR="001770BA" w:rsidRDefault="001770BA" w:rsidP="001770BA">
            <w:r>
              <w:t>13.59</w:t>
            </w:r>
          </w:p>
        </w:tc>
        <w:tc>
          <w:tcPr>
            <w:tcW w:w="1275" w:type="dxa"/>
          </w:tcPr>
          <w:p w:rsidR="001770BA" w:rsidRDefault="001770BA" w:rsidP="001770BA">
            <w:r>
              <w:t>0.99</w:t>
            </w:r>
          </w:p>
        </w:tc>
        <w:tc>
          <w:tcPr>
            <w:tcW w:w="1560" w:type="dxa"/>
          </w:tcPr>
          <w:p w:rsidR="001770BA" w:rsidRDefault="001770BA" w:rsidP="001770BA">
            <w:r>
              <w:t>-36.92</w:t>
            </w:r>
          </w:p>
        </w:tc>
        <w:tc>
          <w:tcPr>
            <w:tcW w:w="1559" w:type="dxa"/>
          </w:tcPr>
          <w:p w:rsidR="001770BA" w:rsidRDefault="001770BA" w:rsidP="001770BA">
            <w:r>
              <w:t>32.75</w:t>
            </w:r>
          </w:p>
        </w:tc>
      </w:tr>
      <w:tr w:rsidR="001770BA" w:rsidTr="00EF478F">
        <w:tc>
          <w:tcPr>
            <w:tcW w:w="2093" w:type="dxa"/>
            <w:vMerge w:val="restart"/>
          </w:tcPr>
          <w:p w:rsidR="001770BA" w:rsidRPr="00916B6D" w:rsidRDefault="001770BA" w:rsidP="001770BA">
            <w:r>
              <w:t xml:space="preserve">Telehealth new patient appointments </w:t>
            </w:r>
          </w:p>
        </w:tc>
        <w:tc>
          <w:tcPr>
            <w:tcW w:w="1134" w:type="dxa"/>
          </w:tcPr>
          <w:p w:rsidR="001770BA" w:rsidRPr="00916B6D" w:rsidRDefault="001770BA" w:rsidP="001770BA">
            <w:r>
              <w:t>Tukey</w:t>
            </w:r>
          </w:p>
        </w:tc>
        <w:tc>
          <w:tcPr>
            <w:tcW w:w="850" w:type="dxa"/>
            <w:shd w:val="clear" w:color="auto" w:fill="D9D9D9" w:themeFill="background1" w:themeFillShade="D9"/>
          </w:tcPr>
          <w:p w:rsidR="001770BA" w:rsidRPr="00916B6D" w:rsidRDefault="001770BA" w:rsidP="001770BA">
            <w:r>
              <w:t>2019</w:t>
            </w:r>
          </w:p>
        </w:tc>
        <w:tc>
          <w:tcPr>
            <w:tcW w:w="993" w:type="dxa"/>
            <w:shd w:val="clear" w:color="auto" w:fill="D9D9D9" w:themeFill="background1" w:themeFillShade="D9"/>
          </w:tcPr>
          <w:p w:rsidR="001770BA" w:rsidRPr="00916B6D" w:rsidRDefault="001770BA" w:rsidP="001770BA">
            <w:r>
              <w:t>2020</w:t>
            </w:r>
          </w:p>
        </w:tc>
        <w:tc>
          <w:tcPr>
            <w:tcW w:w="1701" w:type="dxa"/>
            <w:shd w:val="clear" w:color="auto" w:fill="D9D9D9" w:themeFill="background1" w:themeFillShade="D9"/>
          </w:tcPr>
          <w:p w:rsidR="001770BA" w:rsidRDefault="001770BA" w:rsidP="001770BA">
            <w:r>
              <w:t>-59.76</w:t>
            </w:r>
          </w:p>
        </w:tc>
        <w:tc>
          <w:tcPr>
            <w:tcW w:w="1134" w:type="dxa"/>
            <w:shd w:val="clear" w:color="auto" w:fill="D9D9D9" w:themeFill="background1" w:themeFillShade="D9"/>
          </w:tcPr>
          <w:p w:rsidR="001770BA" w:rsidRDefault="001770BA" w:rsidP="001770BA">
            <w:r>
              <w:t>16.77</w:t>
            </w:r>
          </w:p>
        </w:tc>
        <w:tc>
          <w:tcPr>
            <w:tcW w:w="1275" w:type="dxa"/>
            <w:shd w:val="clear" w:color="auto" w:fill="D9D9D9" w:themeFill="background1" w:themeFillShade="D9"/>
          </w:tcPr>
          <w:p w:rsidR="001770BA" w:rsidRDefault="001770BA" w:rsidP="001770BA">
            <w:r>
              <w:t>&lt;0.01</w:t>
            </w:r>
          </w:p>
        </w:tc>
        <w:tc>
          <w:tcPr>
            <w:tcW w:w="1560" w:type="dxa"/>
            <w:shd w:val="clear" w:color="auto" w:fill="D9D9D9" w:themeFill="background1" w:themeFillShade="D9"/>
          </w:tcPr>
          <w:p w:rsidR="001770BA" w:rsidRDefault="001770BA" w:rsidP="001770BA">
            <w:r>
              <w:t>-100.91</w:t>
            </w:r>
          </w:p>
        </w:tc>
        <w:tc>
          <w:tcPr>
            <w:tcW w:w="1559" w:type="dxa"/>
            <w:shd w:val="clear" w:color="auto" w:fill="D9D9D9" w:themeFill="background1" w:themeFillShade="D9"/>
          </w:tcPr>
          <w:p w:rsidR="001770BA" w:rsidRDefault="001770BA" w:rsidP="001770BA">
            <w:r>
              <w:t>-18.61</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t>2021</w:t>
            </w:r>
          </w:p>
        </w:tc>
        <w:tc>
          <w:tcPr>
            <w:tcW w:w="1701" w:type="dxa"/>
          </w:tcPr>
          <w:p w:rsidR="001770BA" w:rsidRDefault="001770BA" w:rsidP="001770BA">
            <w:r>
              <w:t>-26.01</w:t>
            </w:r>
          </w:p>
        </w:tc>
        <w:tc>
          <w:tcPr>
            <w:tcW w:w="1134" w:type="dxa"/>
          </w:tcPr>
          <w:p w:rsidR="001770BA" w:rsidRDefault="001770BA" w:rsidP="001770BA">
            <w:r>
              <w:t>16.77</w:t>
            </w:r>
          </w:p>
        </w:tc>
        <w:tc>
          <w:tcPr>
            <w:tcW w:w="1275" w:type="dxa"/>
          </w:tcPr>
          <w:p w:rsidR="001770BA" w:rsidRDefault="001770BA" w:rsidP="001770BA">
            <w:r>
              <w:t>0.28</w:t>
            </w:r>
          </w:p>
        </w:tc>
        <w:tc>
          <w:tcPr>
            <w:tcW w:w="1560" w:type="dxa"/>
          </w:tcPr>
          <w:p w:rsidR="001770BA" w:rsidRDefault="001770BA" w:rsidP="001770BA">
            <w:r>
              <w:t>-67.16</w:t>
            </w:r>
          </w:p>
        </w:tc>
        <w:tc>
          <w:tcPr>
            <w:tcW w:w="1559" w:type="dxa"/>
          </w:tcPr>
          <w:p w:rsidR="001770BA" w:rsidRDefault="001770BA" w:rsidP="001770BA">
            <w:r>
              <w:t>15.14</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Pr="00916B6D" w:rsidRDefault="001770BA" w:rsidP="001770BA">
            <w:r>
              <w:t>2021</w:t>
            </w:r>
          </w:p>
        </w:tc>
        <w:tc>
          <w:tcPr>
            <w:tcW w:w="1701" w:type="dxa"/>
          </w:tcPr>
          <w:p w:rsidR="001770BA" w:rsidRDefault="001770BA" w:rsidP="001770BA">
            <w:r>
              <w:t>33.75</w:t>
            </w:r>
          </w:p>
        </w:tc>
        <w:tc>
          <w:tcPr>
            <w:tcW w:w="1134" w:type="dxa"/>
          </w:tcPr>
          <w:p w:rsidR="001770BA" w:rsidRDefault="001770BA" w:rsidP="001770BA">
            <w:r>
              <w:t>16.77</w:t>
            </w:r>
          </w:p>
        </w:tc>
        <w:tc>
          <w:tcPr>
            <w:tcW w:w="1275" w:type="dxa"/>
          </w:tcPr>
          <w:p w:rsidR="001770BA" w:rsidRDefault="001770BA" w:rsidP="001770BA">
            <w:r>
              <w:t>0.13</w:t>
            </w:r>
          </w:p>
        </w:tc>
        <w:tc>
          <w:tcPr>
            <w:tcW w:w="1560" w:type="dxa"/>
          </w:tcPr>
          <w:p w:rsidR="001770BA" w:rsidRDefault="001770BA" w:rsidP="001770BA">
            <w:r>
              <w:t>-7.40</w:t>
            </w:r>
          </w:p>
        </w:tc>
        <w:tc>
          <w:tcPr>
            <w:tcW w:w="1559" w:type="dxa"/>
          </w:tcPr>
          <w:p w:rsidR="001770BA" w:rsidRDefault="001770BA" w:rsidP="001770BA">
            <w:r>
              <w:t>74.91</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proofErr w:type="spellStart"/>
            <w:r>
              <w:t>Scheffe</w:t>
            </w:r>
            <w:proofErr w:type="spellEnd"/>
          </w:p>
        </w:tc>
        <w:tc>
          <w:tcPr>
            <w:tcW w:w="850" w:type="dxa"/>
            <w:shd w:val="clear" w:color="auto" w:fill="D9D9D9" w:themeFill="background1" w:themeFillShade="D9"/>
          </w:tcPr>
          <w:p w:rsidR="001770BA" w:rsidRPr="00916B6D" w:rsidRDefault="001770BA" w:rsidP="001770BA">
            <w:r>
              <w:t>2019</w:t>
            </w:r>
          </w:p>
        </w:tc>
        <w:tc>
          <w:tcPr>
            <w:tcW w:w="993" w:type="dxa"/>
            <w:shd w:val="clear" w:color="auto" w:fill="D9D9D9" w:themeFill="background1" w:themeFillShade="D9"/>
          </w:tcPr>
          <w:p w:rsidR="001770BA" w:rsidRPr="00916B6D" w:rsidRDefault="001770BA" w:rsidP="001770BA">
            <w:r>
              <w:t>2020</w:t>
            </w:r>
          </w:p>
        </w:tc>
        <w:tc>
          <w:tcPr>
            <w:tcW w:w="1701" w:type="dxa"/>
            <w:shd w:val="clear" w:color="auto" w:fill="D9D9D9" w:themeFill="background1" w:themeFillShade="D9"/>
          </w:tcPr>
          <w:p w:rsidR="001770BA" w:rsidRDefault="001770BA" w:rsidP="001770BA">
            <w:r>
              <w:t>-59.76</w:t>
            </w:r>
          </w:p>
        </w:tc>
        <w:tc>
          <w:tcPr>
            <w:tcW w:w="1134" w:type="dxa"/>
            <w:shd w:val="clear" w:color="auto" w:fill="D9D9D9" w:themeFill="background1" w:themeFillShade="D9"/>
          </w:tcPr>
          <w:p w:rsidR="001770BA" w:rsidRDefault="001770BA" w:rsidP="001770BA">
            <w:r>
              <w:t>16.77</w:t>
            </w:r>
          </w:p>
        </w:tc>
        <w:tc>
          <w:tcPr>
            <w:tcW w:w="1275" w:type="dxa"/>
            <w:shd w:val="clear" w:color="auto" w:fill="D9D9D9" w:themeFill="background1" w:themeFillShade="D9"/>
          </w:tcPr>
          <w:p w:rsidR="001770BA" w:rsidRDefault="001770BA" w:rsidP="001770BA">
            <w:r>
              <w:t>0.01</w:t>
            </w:r>
          </w:p>
        </w:tc>
        <w:tc>
          <w:tcPr>
            <w:tcW w:w="1560" w:type="dxa"/>
            <w:shd w:val="clear" w:color="auto" w:fill="D9D9D9" w:themeFill="background1" w:themeFillShade="D9"/>
          </w:tcPr>
          <w:p w:rsidR="001770BA" w:rsidRDefault="001770BA" w:rsidP="001770BA">
            <w:r>
              <w:t>-102.75</w:t>
            </w:r>
          </w:p>
        </w:tc>
        <w:tc>
          <w:tcPr>
            <w:tcW w:w="1559" w:type="dxa"/>
            <w:shd w:val="clear" w:color="auto" w:fill="D9D9D9" w:themeFill="background1" w:themeFillShade="D9"/>
          </w:tcPr>
          <w:p w:rsidR="001770BA" w:rsidRDefault="001770BA" w:rsidP="001770BA">
            <w:r>
              <w:t>-16.78</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t>2021</w:t>
            </w:r>
          </w:p>
        </w:tc>
        <w:tc>
          <w:tcPr>
            <w:tcW w:w="1701" w:type="dxa"/>
          </w:tcPr>
          <w:p w:rsidR="001770BA" w:rsidRDefault="001770BA" w:rsidP="001770BA">
            <w:r>
              <w:t>33.75</w:t>
            </w:r>
          </w:p>
        </w:tc>
        <w:tc>
          <w:tcPr>
            <w:tcW w:w="1134" w:type="dxa"/>
          </w:tcPr>
          <w:p w:rsidR="001770BA" w:rsidRDefault="001770BA" w:rsidP="001770BA">
            <w:r>
              <w:t>16.77</w:t>
            </w:r>
          </w:p>
        </w:tc>
        <w:tc>
          <w:tcPr>
            <w:tcW w:w="1275" w:type="dxa"/>
          </w:tcPr>
          <w:p w:rsidR="001770BA" w:rsidRDefault="001770BA" w:rsidP="001770BA">
            <w:r>
              <w:t>0.15</w:t>
            </w:r>
          </w:p>
        </w:tc>
        <w:tc>
          <w:tcPr>
            <w:tcW w:w="1560" w:type="dxa"/>
          </w:tcPr>
          <w:p w:rsidR="001770BA" w:rsidRDefault="001770BA" w:rsidP="001770BA">
            <w:r>
              <w:t>-9.23</w:t>
            </w:r>
          </w:p>
        </w:tc>
        <w:tc>
          <w:tcPr>
            <w:tcW w:w="1559" w:type="dxa"/>
          </w:tcPr>
          <w:p w:rsidR="001770BA" w:rsidRDefault="001770BA" w:rsidP="001770BA">
            <w:r>
              <w:t>76.74</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Default="001770BA" w:rsidP="001770BA">
            <w:r>
              <w:t>2021</w:t>
            </w:r>
          </w:p>
        </w:tc>
        <w:tc>
          <w:tcPr>
            <w:tcW w:w="1701" w:type="dxa"/>
          </w:tcPr>
          <w:p w:rsidR="001770BA" w:rsidRDefault="001770BA" w:rsidP="001770BA">
            <w:r>
              <w:t>33.75</w:t>
            </w:r>
          </w:p>
        </w:tc>
        <w:tc>
          <w:tcPr>
            <w:tcW w:w="1134" w:type="dxa"/>
          </w:tcPr>
          <w:p w:rsidR="001770BA" w:rsidRDefault="001770BA" w:rsidP="001770BA">
            <w:r>
              <w:t>16.77</w:t>
            </w:r>
          </w:p>
        </w:tc>
        <w:tc>
          <w:tcPr>
            <w:tcW w:w="1275" w:type="dxa"/>
          </w:tcPr>
          <w:p w:rsidR="001770BA" w:rsidRDefault="001770BA" w:rsidP="001770BA">
            <w:r>
              <w:t>0.15</w:t>
            </w:r>
          </w:p>
        </w:tc>
        <w:tc>
          <w:tcPr>
            <w:tcW w:w="1560" w:type="dxa"/>
          </w:tcPr>
          <w:p w:rsidR="001770BA" w:rsidRDefault="001770BA" w:rsidP="001770BA">
            <w:r>
              <w:t>-9.23</w:t>
            </w:r>
          </w:p>
        </w:tc>
        <w:tc>
          <w:tcPr>
            <w:tcW w:w="1559" w:type="dxa"/>
          </w:tcPr>
          <w:p w:rsidR="001770BA" w:rsidRDefault="001770BA" w:rsidP="001770BA">
            <w:r>
              <w:t>76.74</w:t>
            </w:r>
          </w:p>
        </w:tc>
      </w:tr>
      <w:tr w:rsidR="001770BA" w:rsidTr="00EF478F">
        <w:tc>
          <w:tcPr>
            <w:tcW w:w="2093" w:type="dxa"/>
            <w:vMerge w:val="restart"/>
          </w:tcPr>
          <w:p w:rsidR="001770BA" w:rsidRDefault="001770BA" w:rsidP="001770BA">
            <w:r>
              <w:t xml:space="preserve">Follow-up appointments  </w:t>
            </w:r>
          </w:p>
        </w:tc>
        <w:tc>
          <w:tcPr>
            <w:tcW w:w="1134" w:type="dxa"/>
          </w:tcPr>
          <w:p w:rsidR="001770BA" w:rsidRPr="00916B6D" w:rsidRDefault="001770BA" w:rsidP="001770BA">
            <w:r>
              <w:t>Tukey</w:t>
            </w:r>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-26.42</w:t>
            </w:r>
          </w:p>
        </w:tc>
        <w:tc>
          <w:tcPr>
            <w:tcW w:w="1134" w:type="dxa"/>
          </w:tcPr>
          <w:p w:rsidR="001770BA" w:rsidRDefault="001770BA" w:rsidP="001770BA">
            <w:r w:rsidRPr="00DC7B15">
              <w:t>18.79</w:t>
            </w:r>
          </w:p>
        </w:tc>
        <w:tc>
          <w:tcPr>
            <w:tcW w:w="1275" w:type="dxa"/>
          </w:tcPr>
          <w:p w:rsidR="001770BA" w:rsidRDefault="001770BA" w:rsidP="001770BA">
            <w:r>
              <w:t>0.35</w:t>
            </w:r>
          </w:p>
        </w:tc>
        <w:tc>
          <w:tcPr>
            <w:tcW w:w="1560" w:type="dxa"/>
          </w:tcPr>
          <w:p w:rsidR="001770BA" w:rsidRDefault="001770BA" w:rsidP="001770BA">
            <w:r>
              <w:t>-72.52</w:t>
            </w:r>
          </w:p>
        </w:tc>
        <w:tc>
          <w:tcPr>
            <w:tcW w:w="1559" w:type="dxa"/>
          </w:tcPr>
          <w:p w:rsidR="001770BA" w:rsidRDefault="001770BA" w:rsidP="001770BA">
            <w:r>
              <w:t>19.69</w:t>
            </w:r>
          </w:p>
        </w:tc>
      </w:tr>
      <w:tr w:rsidR="001770BA" w:rsidTr="00EF478F">
        <w:tc>
          <w:tcPr>
            <w:tcW w:w="2093" w:type="dxa"/>
            <w:vMerge/>
          </w:tcPr>
          <w:p w:rsidR="001770BA"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-84.42</w:t>
            </w:r>
          </w:p>
        </w:tc>
        <w:tc>
          <w:tcPr>
            <w:tcW w:w="1134" w:type="dxa"/>
            <w:shd w:val="clear" w:color="auto" w:fill="D9D9D9" w:themeFill="background1" w:themeFillShade="D9"/>
          </w:tcPr>
          <w:p w:rsidR="001770BA" w:rsidRDefault="001770BA" w:rsidP="001770BA">
            <w:r w:rsidRPr="00DC7B15">
              <w:t>18.79</w:t>
            </w:r>
          </w:p>
        </w:tc>
        <w:tc>
          <w:tcPr>
            <w:tcW w:w="1275" w:type="dxa"/>
            <w:shd w:val="clear" w:color="auto" w:fill="D9D9D9" w:themeFill="background1" w:themeFillShade="D9"/>
          </w:tcPr>
          <w:p w:rsidR="001770BA" w:rsidRDefault="001770BA" w:rsidP="001770BA">
            <w:r>
              <w:t>&lt;0.001</w:t>
            </w:r>
          </w:p>
        </w:tc>
        <w:tc>
          <w:tcPr>
            <w:tcW w:w="1560" w:type="dxa"/>
            <w:shd w:val="clear" w:color="auto" w:fill="D9D9D9" w:themeFill="background1" w:themeFillShade="D9"/>
          </w:tcPr>
          <w:p w:rsidR="001770BA" w:rsidRDefault="001770BA" w:rsidP="001770BA">
            <w:r>
              <w:t>-130.52</w:t>
            </w:r>
          </w:p>
        </w:tc>
        <w:tc>
          <w:tcPr>
            <w:tcW w:w="1559" w:type="dxa"/>
            <w:shd w:val="clear" w:color="auto" w:fill="D9D9D9" w:themeFill="background1" w:themeFillShade="D9"/>
          </w:tcPr>
          <w:p w:rsidR="001770BA" w:rsidRDefault="001770BA" w:rsidP="001770BA">
            <w:r>
              <w:t>-38.31</w:t>
            </w:r>
          </w:p>
        </w:tc>
      </w:tr>
      <w:tr w:rsidR="001770BA" w:rsidTr="00EF478F">
        <w:tc>
          <w:tcPr>
            <w:tcW w:w="2093" w:type="dxa"/>
            <w:vMerge/>
          </w:tcPr>
          <w:p w:rsidR="001770BA" w:rsidRDefault="001770BA" w:rsidP="001770BA"/>
        </w:tc>
        <w:tc>
          <w:tcPr>
            <w:tcW w:w="1134" w:type="dxa"/>
          </w:tcPr>
          <w:p w:rsidR="001770BA" w:rsidRPr="00916B6D" w:rsidRDefault="001770BA" w:rsidP="001770BA"/>
        </w:tc>
        <w:tc>
          <w:tcPr>
            <w:tcW w:w="850" w:type="dxa"/>
            <w:shd w:val="clear" w:color="auto" w:fill="D9D9D9" w:themeFill="background1" w:themeFillShade="D9"/>
          </w:tcPr>
          <w:p w:rsidR="001770BA" w:rsidRPr="00916B6D" w:rsidRDefault="001770BA" w:rsidP="001770BA">
            <w:r>
              <w:t>2020</w:t>
            </w:r>
          </w:p>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-58.00</w:t>
            </w:r>
          </w:p>
        </w:tc>
        <w:tc>
          <w:tcPr>
            <w:tcW w:w="1134" w:type="dxa"/>
            <w:shd w:val="clear" w:color="auto" w:fill="D9D9D9" w:themeFill="background1" w:themeFillShade="D9"/>
          </w:tcPr>
          <w:p w:rsidR="001770BA" w:rsidRDefault="001770BA" w:rsidP="001770BA">
            <w:r w:rsidRPr="00DC7B15">
              <w:t>18.79</w:t>
            </w:r>
          </w:p>
        </w:tc>
        <w:tc>
          <w:tcPr>
            <w:tcW w:w="1275" w:type="dxa"/>
            <w:shd w:val="clear" w:color="auto" w:fill="D9D9D9" w:themeFill="background1" w:themeFillShade="D9"/>
          </w:tcPr>
          <w:p w:rsidR="001770BA" w:rsidRDefault="001770BA" w:rsidP="001770BA">
            <w:r>
              <w:t>0.01</w:t>
            </w:r>
          </w:p>
        </w:tc>
        <w:tc>
          <w:tcPr>
            <w:tcW w:w="1560" w:type="dxa"/>
            <w:shd w:val="clear" w:color="auto" w:fill="D9D9D9" w:themeFill="background1" w:themeFillShade="D9"/>
          </w:tcPr>
          <w:p w:rsidR="001770BA" w:rsidRDefault="001770BA" w:rsidP="001770BA">
            <w:r>
              <w:t>-104.11</w:t>
            </w:r>
          </w:p>
        </w:tc>
        <w:tc>
          <w:tcPr>
            <w:tcW w:w="1559" w:type="dxa"/>
            <w:shd w:val="clear" w:color="auto" w:fill="D9D9D9" w:themeFill="background1" w:themeFillShade="D9"/>
          </w:tcPr>
          <w:p w:rsidR="001770BA" w:rsidRDefault="001770BA" w:rsidP="001770BA">
            <w:r>
              <w:t>-11.89</w:t>
            </w:r>
          </w:p>
        </w:tc>
      </w:tr>
      <w:tr w:rsidR="001770BA" w:rsidTr="00EF478F">
        <w:tc>
          <w:tcPr>
            <w:tcW w:w="2093" w:type="dxa"/>
            <w:vMerge/>
          </w:tcPr>
          <w:p w:rsidR="001770BA" w:rsidRDefault="001770BA" w:rsidP="001770BA"/>
        </w:tc>
        <w:tc>
          <w:tcPr>
            <w:tcW w:w="1134" w:type="dxa"/>
          </w:tcPr>
          <w:p w:rsidR="001770BA" w:rsidRPr="00916B6D" w:rsidRDefault="001770BA" w:rsidP="001770BA">
            <w:proofErr w:type="spellStart"/>
            <w:r>
              <w:t>Scheffe</w:t>
            </w:r>
            <w:proofErr w:type="spellEnd"/>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-26.42</w:t>
            </w:r>
          </w:p>
        </w:tc>
        <w:tc>
          <w:tcPr>
            <w:tcW w:w="1134" w:type="dxa"/>
          </w:tcPr>
          <w:p w:rsidR="001770BA" w:rsidRDefault="001770BA" w:rsidP="001770BA">
            <w:r w:rsidRPr="00DC7B15">
              <w:t>18.79</w:t>
            </w:r>
          </w:p>
        </w:tc>
        <w:tc>
          <w:tcPr>
            <w:tcW w:w="1275" w:type="dxa"/>
          </w:tcPr>
          <w:p w:rsidR="001770BA" w:rsidRDefault="001770BA" w:rsidP="001770BA">
            <w:r>
              <w:t>0.38</w:t>
            </w:r>
          </w:p>
        </w:tc>
        <w:tc>
          <w:tcPr>
            <w:tcW w:w="1560" w:type="dxa"/>
          </w:tcPr>
          <w:p w:rsidR="001770BA" w:rsidRDefault="001770BA" w:rsidP="001770BA">
            <w:r>
              <w:t>-74.58</w:t>
            </w:r>
          </w:p>
        </w:tc>
        <w:tc>
          <w:tcPr>
            <w:tcW w:w="1559" w:type="dxa"/>
          </w:tcPr>
          <w:p w:rsidR="001770BA" w:rsidRDefault="001770BA" w:rsidP="001770BA">
            <w:r>
              <w:t>21.74</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-84.42</w:t>
            </w:r>
          </w:p>
        </w:tc>
        <w:tc>
          <w:tcPr>
            <w:tcW w:w="1134" w:type="dxa"/>
            <w:shd w:val="clear" w:color="auto" w:fill="D9D9D9" w:themeFill="background1" w:themeFillShade="D9"/>
          </w:tcPr>
          <w:p w:rsidR="001770BA" w:rsidRDefault="001770BA" w:rsidP="001770BA">
            <w:r w:rsidRPr="00DC7B15">
              <w:t>18.79</w:t>
            </w:r>
          </w:p>
        </w:tc>
        <w:tc>
          <w:tcPr>
            <w:tcW w:w="1275" w:type="dxa"/>
            <w:shd w:val="clear" w:color="auto" w:fill="D9D9D9" w:themeFill="background1" w:themeFillShade="D9"/>
          </w:tcPr>
          <w:p w:rsidR="001770BA" w:rsidRDefault="001770BA" w:rsidP="001770BA">
            <w:r>
              <w:t>&lt;0.001</w:t>
            </w:r>
          </w:p>
        </w:tc>
        <w:tc>
          <w:tcPr>
            <w:tcW w:w="1560" w:type="dxa"/>
            <w:shd w:val="clear" w:color="auto" w:fill="D9D9D9" w:themeFill="background1" w:themeFillShade="D9"/>
          </w:tcPr>
          <w:p w:rsidR="001770BA" w:rsidRDefault="001770BA" w:rsidP="001770BA">
            <w:r>
              <w:t>-132.58</w:t>
            </w:r>
          </w:p>
        </w:tc>
        <w:tc>
          <w:tcPr>
            <w:tcW w:w="1559" w:type="dxa"/>
            <w:shd w:val="clear" w:color="auto" w:fill="D9D9D9" w:themeFill="background1" w:themeFillShade="D9"/>
          </w:tcPr>
          <w:p w:rsidR="001770BA" w:rsidRDefault="001770BA" w:rsidP="001770BA">
            <w:r>
              <w:t>-36.26</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shd w:val="clear" w:color="auto" w:fill="D9D9D9" w:themeFill="background1" w:themeFillShade="D9"/>
          </w:tcPr>
          <w:p w:rsidR="001770BA" w:rsidRPr="00916B6D" w:rsidRDefault="001770BA" w:rsidP="001770BA">
            <w:r>
              <w:t>2020</w:t>
            </w:r>
          </w:p>
        </w:tc>
        <w:tc>
          <w:tcPr>
            <w:tcW w:w="993" w:type="dxa"/>
            <w:shd w:val="clear" w:color="auto" w:fill="D9D9D9" w:themeFill="background1" w:themeFillShade="D9"/>
          </w:tcPr>
          <w:p w:rsidR="001770BA" w:rsidRDefault="001770BA" w:rsidP="001770BA">
            <w:r>
              <w:t>2021</w:t>
            </w:r>
          </w:p>
        </w:tc>
        <w:tc>
          <w:tcPr>
            <w:tcW w:w="1701" w:type="dxa"/>
            <w:shd w:val="clear" w:color="auto" w:fill="D9D9D9" w:themeFill="background1" w:themeFillShade="D9"/>
          </w:tcPr>
          <w:p w:rsidR="001770BA" w:rsidRDefault="001770BA" w:rsidP="001770BA">
            <w:r>
              <w:t>-58.00</w:t>
            </w:r>
          </w:p>
        </w:tc>
        <w:tc>
          <w:tcPr>
            <w:tcW w:w="1134" w:type="dxa"/>
            <w:shd w:val="clear" w:color="auto" w:fill="D9D9D9" w:themeFill="background1" w:themeFillShade="D9"/>
          </w:tcPr>
          <w:p w:rsidR="001770BA" w:rsidRDefault="001770BA" w:rsidP="001770BA">
            <w:r w:rsidRPr="00DC7B15">
              <w:t>18.79</w:t>
            </w:r>
          </w:p>
        </w:tc>
        <w:tc>
          <w:tcPr>
            <w:tcW w:w="1275" w:type="dxa"/>
            <w:shd w:val="clear" w:color="auto" w:fill="D9D9D9" w:themeFill="background1" w:themeFillShade="D9"/>
          </w:tcPr>
          <w:p w:rsidR="001770BA" w:rsidRDefault="001770BA" w:rsidP="001770BA">
            <w:r>
              <w:t>0.02</w:t>
            </w:r>
          </w:p>
        </w:tc>
        <w:tc>
          <w:tcPr>
            <w:tcW w:w="1560" w:type="dxa"/>
            <w:shd w:val="clear" w:color="auto" w:fill="D9D9D9" w:themeFill="background1" w:themeFillShade="D9"/>
          </w:tcPr>
          <w:p w:rsidR="001770BA" w:rsidRDefault="001770BA" w:rsidP="001770BA">
            <w:r>
              <w:t>-106.16</w:t>
            </w:r>
          </w:p>
        </w:tc>
        <w:tc>
          <w:tcPr>
            <w:tcW w:w="1559" w:type="dxa"/>
            <w:shd w:val="clear" w:color="auto" w:fill="D9D9D9" w:themeFill="background1" w:themeFillShade="D9"/>
          </w:tcPr>
          <w:p w:rsidR="001770BA" w:rsidRDefault="001770BA" w:rsidP="001770BA">
            <w:r>
              <w:t>-9.84</w:t>
            </w:r>
          </w:p>
        </w:tc>
      </w:tr>
      <w:tr w:rsidR="001770BA" w:rsidTr="00EF478F">
        <w:tc>
          <w:tcPr>
            <w:tcW w:w="2093" w:type="dxa"/>
            <w:vMerge w:val="restart"/>
          </w:tcPr>
          <w:p w:rsidR="001770BA" w:rsidRDefault="001770BA" w:rsidP="001770BA">
            <w:r>
              <w:t xml:space="preserve">Telehealth follow-up appointments </w:t>
            </w:r>
          </w:p>
        </w:tc>
        <w:tc>
          <w:tcPr>
            <w:tcW w:w="1134" w:type="dxa"/>
          </w:tcPr>
          <w:p w:rsidR="001770BA" w:rsidRPr="00916B6D" w:rsidRDefault="001770BA" w:rsidP="001770BA">
            <w:r>
              <w:t>Tukey</w:t>
            </w:r>
          </w:p>
        </w:tc>
        <w:tc>
          <w:tcPr>
            <w:tcW w:w="850" w:type="dxa"/>
            <w:shd w:val="clear" w:color="auto" w:fill="D9D9D9" w:themeFill="background1" w:themeFillShade="D9"/>
          </w:tcPr>
          <w:p w:rsidR="001770BA" w:rsidRPr="00916B6D" w:rsidRDefault="001770BA" w:rsidP="001770BA">
            <w:r>
              <w:t>2019</w:t>
            </w:r>
          </w:p>
        </w:tc>
        <w:tc>
          <w:tcPr>
            <w:tcW w:w="993" w:type="dxa"/>
            <w:shd w:val="clear" w:color="auto" w:fill="D9D9D9" w:themeFill="background1" w:themeFillShade="D9"/>
          </w:tcPr>
          <w:p w:rsidR="001770BA" w:rsidRPr="00916B6D" w:rsidRDefault="001770BA" w:rsidP="001770BA">
            <w:r>
              <w:t>2020</w:t>
            </w:r>
          </w:p>
        </w:tc>
        <w:tc>
          <w:tcPr>
            <w:tcW w:w="1701" w:type="dxa"/>
            <w:shd w:val="clear" w:color="auto" w:fill="D9D9D9" w:themeFill="background1" w:themeFillShade="D9"/>
          </w:tcPr>
          <w:p w:rsidR="001770BA" w:rsidRDefault="001770BA" w:rsidP="001770BA">
            <w:r>
              <w:t>-86.66</w:t>
            </w:r>
          </w:p>
        </w:tc>
        <w:tc>
          <w:tcPr>
            <w:tcW w:w="1134" w:type="dxa"/>
            <w:shd w:val="clear" w:color="auto" w:fill="D9D9D9" w:themeFill="background1" w:themeFillShade="D9"/>
          </w:tcPr>
          <w:p w:rsidR="001770BA" w:rsidRDefault="001770BA" w:rsidP="001770BA">
            <w:r>
              <w:t>14.63</w:t>
            </w:r>
          </w:p>
        </w:tc>
        <w:tc>
          <w:tcPr>
            <w:tcW w:w="1275" w:type="dxa"/>
            <w:shd w:val="clear" w:color="auto" w:fill="D9D9D9" w:themeFill="background1" w:themeFillShade="D9"/>
          </w:tcPr>
          <w:p w:rsidR="001770BA" w:rsidRDefault="001770BA" w:rsidP="001770BA">
            <w:r>
              <w:t>&lt;0.00001</w:t>
            </w:r>
          </w:p>
        </w:tc>
        <w:tc>
          <w:tcPr>
            <w:tcW w:w="1560" w:type="dxa"/>
            <w:shd w:val="clear" w:color="auto" w:fill="D9D9D9" w:themeFill="background1" w:themeFillShade="D9"/>
          </w:tcPr>
          <w:p w:rsidR="001770BA" w:rsidRDefault="001770BA" w:rsidP="001770BA">
            <w:r>
              <w:t>-122.55</w:t>
            </w:r>
          </w:p>
        </w:tc>
        <w:tc>
          <w:tcPr>
            <w:tcW w:w="1559" w:type="dxa"/>
            <w:shd w:val="clear" w:color="auto" w:fill="D9D9D9" w:themeFill="background1" w:themeFillShade="D9"/>
          </w:tcPr>
          <w:p w:rsidR="001770BA" w:rsidRDefault="001770BA" w:rsidP="001770BA">
            <w:r>
              <w:t>-50.76</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shd w:val="clear" w:color="auto" w:fill="D9D9D9" w:themeFill="background1" w:themeFillShade="D9"/>
          </w:tcPr>
          <w:p w:rsidR="001770BA" w:rsidRPr="00916B6D" w:rsidRDefault="001770BA" w:rsidP="001770BA"/>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-113.87</w:t>
            </w:r>
          </w:p>
        </w:tc>
        <w:tc>
          <w:tcPr>
            <w:tcW w:w="1134" w:type="dxa"/>
            <w:shd w:val="clear" w:color="auto" w:fill="D9D9D9" w:themeFill="background1" w:themeFillShade="D9"/>
          </w:tcPr>
          <w:p w:rsidR="001770BA" w:rsidRDefault="001770BA" w:rsidP="001770BA">
            <w:r>
              <w:t>14.63</w:t>
            </w:r>
          </w:p>
        </w:tc>
        <w:tc>
          <w:tcPr>
            <w:tcW w:w="1275" w:type="dxa"/>
            <w:shd w:val="clear" w:color="auto" w:fill="D9D9D9" w:themeFill="background1" w:themeFillShade="D9"/>
          </w:tcPr>
          <w:p w:rsidR="001770BA" w:rsidRDefault="001770BA" w:rsidP="001770BA">
            <w:r>
              <w:t>&lt;0.00001</w:t>
            </w:r>
          </w:p>
        </w:tc>
        <w:tc>
          <w:tcPr>
            <w:tcW w:w="1560" w:type="dxa"/>
            <w:shd w:val="clear" w:color="auto" w:fill="D9D9D9" w:themeFill="background1" w:themeFillShade="D9"/>
          </w:tcPr>
          <w:p w:rsidR="001770BA" w:rsidRDefault="001770BA" w:rsidP="001770BA">
            <w:r>
              <w:t>-149.76</w:t>
            </w:r>
          </w:p>
        </w:tc>
        <w:tc>
          <w:tcPr>
            <w:tcW w:w="1559" w:type="dxa"/>
            <w:shd w:val="clear" w:color="auto" w:fill="D9D9D9" w:themeFill="background1" w:themeFillShade="D9"/>
          </w:tcPr>
          <w:p w:rsidR="001770BA" w:rsidRDefault="001770BA" w:rsidP="001770BA">
            <w:r>
              <w:t>-77.97</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Pr="00916B6D" w:rsidRDefault="001770BA" w:rsidP="001770BA">
            <w:r>
              <w:t>2021</w:t>
            </w:r>
          </w:p>
        </w:tc>
        <w:tc>
          <w:tcPr>
            <w:tcW w:w="1701" w:type="dxa"/>
          </w:tcPr>
          <w:p w:rsidR="001770BA" w:rsidRDefault="001770BA" w:rsidP="001770BA">
            <w:r>
              <w:t>-27.21</w:t>
            </w:r>
          </w:p>
        </w:tc>
        <w:tc>
          <w:tcPr>
            <w:tcW w:w="1134" w:type="dxa"/>
          </w:tcPr>
          <w:p w:rsidR="001770BA" w:rsidRDefault="001770BA" w:rsidP="001770BA">
            <w:r>
              <w:t>14.63</w:t>
            </w:r>
          </w:p>
        </w:tc>
        <w:tc>
          <w:tcPr>
            <w:tcW w:w="1275" w:type="dxa"/>
          </w:tcPr>
          <w:p w:rsidR="001770BA" w:rsidRDefault="001770BA" w:rsidP="001770BA">
            <w:r>
              <w:t>0.17</w:t>
            </w:r>
          </w:p>
        </w:tc>
        <w:tc>
          <w:tcPr>
            <w:tcW w:w="1560" w:type="dxa"/>
          </w:tcPr>
          <w:p w:rsidR="001770BA" w:rsidRDefault="001770BA" w:rsidP="001770BA">
            <w:r>
              <w:t>-63.104</w:t>
            </w:r>
          </w:p>
        </w:tc>
        <w:tc>
          <w:tcPr>
            <w:tcW w:w="1559" w:type="dxa"/>
          </w:tcPr>
          <w:p w:rsidR="001770BA" w:rsidRDefault="001770BA" w:rsidP="001770BA">
            <w:r>
              <w:t>8.68</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proofErr w:type="spellStart"/>
            <w:r>
              <w:t>Scheffe</w:t>
            </w:r>
            <w:proofErr w:type="spellEnd"/>
          </w:p>
        </w:tc>
        <w:tc>
          <w:tcPr>
            <w:tcW w:w="850" w:type="dxa"/>
          </w:tcPr>
          <w:p w:rsidR="001770BA" w:rsidRPr="00916B6D" w:rsidRDefault="001770BA" w:rsidP="001770BA">
            <w:r>
              <w:t>2019</w:t>
            </w:r>
          </w:p>
        </w:tc>
        <w:tc>
          <w:tcPr>
            <w:tcW w:w="993" w:type="dxa"/>
            <w:shd w:val="clear" w:color="auto" w:fill="D9D9D9" w:themeFill="background1" w:themeFillShade="D9"/>
          </w:tcPr>
          <w:p w:rsidR="001770BA" w:rsidRPr="00916B6D" w:rsidRDefault="001770BA" w:rsidP="001770BA">
            <w:r>
              <w:t>2020</w:t>
            </w:r>
          </w:p>
        </w:tc>
        <w:tc>
          <w:tcPr>
            <w:tcW w:w="1701" w:type="dxa"/>
            <w:shd w:val="clear" w:color="auto" w:fill="D9D9D9" w:themeFill="background1" w:themeFillShade="D9"/>
          </w:tcPr>
          <w:p w:rsidR="001770BA" w:rsidRDefault="001770BA" w:rsidP="001770BA">
            <w:r>
              <w:t>-86.66</w:t>
            </w:r>
          </w:p>
        </w:tc>
        <w:tc>
          <w:tcPr>
            <w:tcW w:w="1134" w:type="dxa"/>
            <w:shd w:val="clear" w:color="auto" w:fill="D9D9D9" w:themeFill="background1" w:themeFillShade="D9"/>
          </w:tcPr>
          <w:p w:rsidR="001770BA" w:rsidRDefault="001770BA" w:rsidP="001770BA">
            <w:r>
              <w:t>14.63</w:t>
            </w:r>
          </w:p>
        </w:tc>
        <w:tc>
          <w:tcPr>
            <w:tcW w:w="1275" w:type="dxa"/>
            <w:shd w:val="clear" w:color="auto" w:fill="D9D9D9" w:themeFill="background1" w:themeFillShade="D9"/>
          </w:tcPr>
          <w:p w:rsidR="001770BA" w:rsidRDefault="001770BA" w:rsidP="001770BA">
            <w:r>
              <w:t>&lt;0.00001</w:t>
            </w:r>
          </w:p>
        </w:tc>
        <w:tc>
          <w:tcPr>
            <w:tcW w:w="1560" w:type="dxa"/>
            <w:shd w:val="clear" w:color="auto" w:fill="D9D9D9" w:themeFill="background1" w:themeFillShade="D9"/>
          </w:tcPr>
          <w:p w:rsidR="001770BA" w:rsidRDefault="001770BA" w:rsidP="001770BA">
            <w:r>
              <w:t>-124.15</w:t>
            </w:r>
          </w:p>
        </w:tc>
        <w:tc>
          <w:tcPr>
            <w:tcW w:w="1559" w:type="dxa"/>
            <w:shd w:val="clear" w:color="auto" w:fill="D9D9D9" w:themeFill="background1" w:themeFillShade="D9"/>
          </w:tcPr>
          <w:p w:rsidR="001770BA" w:rsidRDefault="001770BA" w:rsidP="001770BA">
            <w:r>
              <w:t>-49.163</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-113.87</w:t>
            </w:r>
          </w:p>
        </w:tc>
        <w:tc>
          <w:tcPr>
            <w:tcW w:w="1134" w:type="dxa"/>
            <w:shd w:val="clear" w:color="auto" w:fill="D9D9D9" w:themeFill="background1" w:themeFillShade="D9"/>
          </w:tcPr>
          <w:p w:rsidR="001770BA" w:rsidRDefault="001770BA" w:rsidP="001770BA">
            <w:r>
              <w:t>14.63</w:t>
            </w:r>
          </w:p>
        </w:tc>
        <w:tc>
          <w:tcPr>
            <w:tcW w:w="1275" w:type="dxa"/>
            <w:shd w:val="clear" w:color="auto" w:fill="D9D9D9" w:themeFill="background1" w:themeFillShade="D9"/>
          </w:tcPr>
          <w:p w:rsidR="001770BA" w:rsidRDefault="001770BA" w:rsidP="001770BA">
            <w:r>
              <w:t>&lt;0.00001</w:t>
            </w:r>
          </w:p>
        </w:tc>
        <w:tc>
          <w:tcPr>
            <w:tcW w:w="1560" w:type="dxa"/>
            <w:shd w:val="clear" w:color="auto" w:fill="D9D9D9" w:themeFill="background1" w:themeFillShade="D9"/>
          </w:tcPr>
          <w:p w:rsidR="001770BA" w:rsidRDefault="001770BA" w:rsidP="001770BA">
            <w:r>
              <w:t>-151.36</w:t>
            </w:r>
          </w:p>
        </w:tc>
        <w:tc>
          <w:tcPr>
            <w:tcW w:w="1559" w:type="dxa"/>
            <w:shd w:val="clear" w:color="auto" w:fill="D9D9D9" w:themeFill="background1" w:themeFillShade="D9"/>
          </w:tcPr>
          <w:p w:rsidR="001770BA" w:rsidRDefault="001770BA" w:rsidP="001770BA">
            <w:r>
              <w:t>-76.37</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Default="001770BA" w:rsidP="001770BA">
            <w:r>
              <w:t>2021</w:t>
            </w:r>
          </w:p>
        </w:tc>
        <w:tc>
          <w:tcPr>
            <w:tcW w:w="1701" w:type="dxa"/>
          </w:tcPr>
          <w:p w:rsidR="001770BA" w:rsidRDefault="001770BA" w:rsidP="001770BA">
            <w:r>
              <w:t>-27.21</w:t>
            </w:r>
          </w:p>
        </w:tc>
        <w:tc>
          <w:tcPr>
            <w:tcW w:w="1134" w:type="dxa"/>
          </w:tcPr>
          <w:p w:rsidR="001770BA" w:rsidRDefault="001770BA" w:rsidP="001770BA">
            <w:r>
              <w:t>14.63</w:t>
            </w:r>
          </w:p>
        </w:tc>
        <w:tc>
          <w:tcPr>
            <w:tcW w:w="1275" w:type="dxa"/>
          </w:tcPr>
          <w:p w:rsidR="001770BA" w:rsidRDefault="001770BA" w:rsidP="001770BA">
            <w:r>
              <w:t>0.19</w:t>
            </w:r>
          </w:p>
        </w:tc>
        <w:tc>
          <w:tcPr>
            <w:tcW w:w="1560" w:type="dxa"/>
          </w:tcPr>
          <w:p w:rsidR="001770BA" w:rsidRDefault="001770BA" w:rsidP="001770BA">
            <w:r>
              <w:t>-64.70</w:t>
            </w:r>
          </w:p>
        </w:tc>
        <w:tc>
          <w:tcPr>
            <w:tcW w:w="1559" w:type="dxa"/>
          </w:tcPr>
          <w:p w:rsidR="001770BA" w:rsidRDefault="001770BA" w:rsidP="001770BA">
            <w:r>
              <w:t>10.28</w:t>
            </w:r>
          </w:p>
        </w:tc>
      </w:tr>
      <w:tr w:rsidR="001770BA" w:rsidTr="00EF478F">
        <w:tc>
          <w:tcPr>
            <w:tcW w:w="2093" w:type="dxa"/>
            <w:vMerge w:val="restart"/>
          </w:tcPr>
          <w:p w:rsidR="001770BA" w:rsidRPr="00916B6D" w:rsidRDefault="001770BA" w:rsidP="001770BA">
            <w:r>
              <w:t>Average number weeks wait for new appointment (over year)</w:t>
            </w:r>
          </w:p>
        </w:tc>
        <w:tc>
          <w:tcPr>
            <w:tcW w:w="1134" w:type="dxa"/>
          </w:tcPr>
          <w:p w:rsidR="001770BA" w:rsidRPr="00916B6D" w:rsidRDefault="001770BA" w:rsidP="001770BA">
            <w:r>
              <w:t>Tukey</w:t>
            </w:r>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-0.717</w:t>
            </w:r>
          </w:p>
        </w:tc>
        <w:tc>
          <w:tcPr>
            <w:tcW w:w="1134" w:type="dxa"/>
          </w:tcPr>
          <w:p w:rsidR="001770BA" w:rsidRDefault="001770BA" w:rsidP="001770BA">
            <w:r>
              <w:t>0.73</w:t>
            </w:r>
          </w:p>
        </w:tc>
        <w:tc>
          <w:tcPr>
            <w:tcW w:w="1275" w:type="dxa"/>
          </w:tcPr>
          <w:p w:rsidR="001770BA" w:rsidRDefault="001770BA" w:rsidP="001770BA">
            <w:r>
              <w:t>0.59</w:t>
            </w:r>
          </w:p>
        </w:tc>
        <w:tc>
          <w:tcPr>
            <w:tcW w:w="1560" w:type="dxa"/>
          </w:tcPr>
          <w:p w:rsidR="001770BA" w:rsidRDefault="001770BA" w:rsidP="001770BA">
            <w:r>
              <w:t>-2.51</w:t>
            </w:r>
          </w:p>
        </w:tc>
        <w:tc>
          <w:tcPr>
            <w:tcW w:w="1559" w:type="dxa"/>
          </w:tcPr>
          <w:p w:rsidR="001770BA" w:rsidRDefault="001770BA" w:rsidP="001770BA">
            <w:r>
              <w:t>1.08</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-2.108</w:t>
            </w:r>
          </w:p>
        </w:tc>
        <w:tc>
          <w:tcPr>
            <w:tcW w:w="1134" w:type="dxa"/>
            <w:shd w:val="clear" w:color="auto" w:fill="D9D9D9" w:themeFill="background1" w:themeFillShade="D9"/>
          </w:tcPr>
          <w:p w:rsidR="001770BA" w:rsidRDefault="001770BA" w:rsidP="001770BA">
            <w:r>
              <w:t>0.73</w:t>
            </w:r>
          </w:p>
        </w:tc>
        <w:tc>
          <w:tcPr>
            <w:tcW w:w="1275" w:type="dxa"/>
            <w:shd w:val="clear" w:color="auto" w:fill="D9D9D9" w:themeFill="background1" w:themeFillShade="D9"/>
          </w:tcPr>
          <w:p w:rsidR="001770BA" w:rsidRDefault="001770BA" w:rsidP="001770BA">
            <w:r>
              <w:t>0.02</w:t>
            </w:r>
          </w:p>
        </w:tc>
        <w:tc>
          <w:tcPr>
            <w:tcW w:w="1560" w:type="dxa"/>
            <w:shd w:val="clear" w:color="auto" w:fill="D9D9D9" w:themeFill="background1" w:themeFillShade="D9"/>
          </w:tcPr>
          <w:p w:rsidR="001770BA" w:rsidRDefault="001770BA" w:rsidP="001770BA">
            <w:r>
              <w:t>-3.90</w:t>
            </w:r>
          </w:p>
        </w:tc>
        <w:tc>
          <w:tcPr>
            <w:tcW w:w="1559" w:type="dxa"/>
            <w:shd w:val="clear" w:color="auto" w:fill="D9D9D9" w:themeFill="background1" w:themeFillShade="D9"/>
          </w:tcPr>
          <w:p w:rsidR="001770BA" w:rsidRDefault="001770BA" w:rsidP="001770BA">
            <w:r>
              <w:t>-0.32</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Pr="00916B6D" w:rsidRDefault="001770BA" w:rsidP="001770BA">
            <w:r>
              <w:t>2021</w:t>
            </w:r>
          </w:p>
        </w:tc>
        <w:tc>
          <w:tcPr>
            <w:tcW w:w="1701" w:type="dxa"/>
          </w:tcPr>
          <w:p w:rsidR="001770BA" w:rsidRDefault="001770BA" w:rsidP="001770BA">
            <w:r>
              <w:t>-1.392</w:t>
            </w:r>
          </w:p>
        </w:tc>
        <w:tc>
          <w:tcPr>
            <w:tcW w:w="1134" w:type="dxa"/>
          </w:tcPr>
          <w:p w:rsidR="001770BA" w:rsidRDefault="001770BA" w:rsidP="001770BA">
            <w:r>
              <w:t>0.73</w:t>
            </w:r>
          </w:p>
        </w:tc>
        <w:tc>
          <w:tcPr>
            <w:tcW w:w="1275" w:type="dxa"/>
          </w:tcPr>
          <w:p w:rsidR="001770BA" w:rsidRDefault="001770BA" w:rsidP="001770BA">
            <w:r>
              <w:t>0.15</w:t>
            </w:r>
          </w:p>
        </w:tc>
        <w:tc>
          <w:tcPr>
            <w:tcW w:w="1560" w:type="dxa"/>
          </w:tcPr>
          <w:p w:rsidR="001770BA" w:rsidRDefault="001770BA" w:rsidP="001770BA">
            <w:r>
              <w:t>-3.18</w:t>
            </w:r>
          </w:p>
        </w:tc>
        <w:tc>
          <w:tcPr>
            <w:tcW w:w="1559" w:type="dxa"/>
          </w:tcPr>
          <w:p w:rsidR="001770BA" w:rsidRDefault="001770BA" w:rsidP="001770BA">
            <w:r>
              <w:t>0.40</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proofErr w:type="spellStart"/>
            <w:r>
              <w:t>Scheffe</w:t>
            </w:r>
            <w:proofErr w:type="spellEnd"/>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-0.717</w:t>
            </w:r>
          </w:p>
        </w:tc>
        <w:tc>
          <w:tcPr>
            <w:tcW w:w="1134" w:type="dxa"/>
          </w:tcPr>
          <w:p w:rsidR="001770BA" w:rsidRDefault="001770BA" w:rsidP="001770BA">
            <w:r>
              <w:t>0.73</w:t>
            </w:r>
          </w:p>
        </w:tc>
        <w:tc>
          <w:tcPr>
            <w:tcW w:w="1275" w:type="dxa"/>
          </w:tcPr>
          <w:p w:rsidR="001770BA" w:rsidRDefault="001770BA" w:rsidP="001770BA">
            <w:r>
              <w:t>0.62</w:t>
            </w:r>
          </w:p>
        </w:tc>
        <w:tc>
          <w:tcPr>
            <w:tcW w:w="1560" w:type="dxa"/>
          </w:tcPr>
          <w:p w:rsidR="001770BA" w:rsidRDefault="001770BA" w:rsidP="001770BA">
            <w:r>
              <w:t>-2.59</w:t>
            </w:r>
          </w:p>
        </w:tc>
        <w:tc>
          <w:tcPr>
            <w:tcW w:w="1559" w:type="dxa"/>
          </w:tcPr>
          <w:p w:rsidR="001770BA" w:rsidRDefault="001770BA" w:rsidP="001770BA">
            <w:r>
              <w:t>1.16</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-2.108</w:t>
            </w:r>
          </w:p>
        </w:tc>
        <w:tc>
          <w:tcPr>
            <w:tcW w:w="1134" w:type="dxa"/>
            <w:shd w:val="clear" w:color="auto" w:fill="D9D9D9" w:themeFill="background1" w:themeFillShade="D9"/>
          </w:tcPr>
          <w:p w:rsidR="001770BA" w:rsidRDefault="001770BA" w:rsidP="001770BA">
            <w:r>
              <w:t>0.73</w:t>
            </w:r>
          </w:p>
        </w:tc>
        <w:tc>
          <w:tcPr>
            <w:tcW w:w="1275" w:type="dxa"/>
            <w:shd w:val="clear" w:color="auto" w:fill="D9D9D9" w:themeFill="background1" w:themeFillShade="D9"/>
          </w:tcPr>
          <w:p w:rsidR="001770BA" w:rsidRDefault="001770BA" w:rsidP="001770BA">
            <w:r>
              <w:t>0.02</w:t>
            </w:r>
          </w:p>
        </w:tc>
        <w:tc>
          <w:tcPr>
            <w:tcW w:w="1560" w:type="dxa"/>
            <w:shd w:val="clear" w:color="auto" w:fill="D9D9D9" w:themeFill="background1" w:themeFillShade="D9"/>
          </w:tcPr>
          <w:p w:rsidR="001770BA" w:rsidRDefault="001770BA" w:rsidP="001770BA">
            <w:r>
              <w:t>-3.98</w:t>
            </w:r>
          </w:p>
        </w:tc>
        <w:tc>
          <w:tcPr>
            <w:tcW w:w="1559" w:type="dxa"/>
            <w:shd w:val="clear" w:color="auto" w:fill="D9D9D9" w:themeFill="background1" w:themeFillShade="D9"/>
          </w:tcPr>
          <w:p w:rsidR="001770BA" w:rsidRDefault="001770BA" w:rsidP="001770BA">
            <w:r>
              <w:t>-0.24</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Default="001770BA" w:rsidP="001770BA">
            <w:r>
              <w:t>2021</w:t>
            </w:r>
          </w:p>
        </w:tc>
        <w:tc>
          <w:tcPr>
            <w:tcW w:w="1701" w:type="dxa"/>
          </w:tcPr>
          <w:p w:rsidR="001770BA" w:rsidRDefault="001770BA" w:rsidP="001770BA">
            <w:r>
              <w:t>-1.392</w:t>
            </w:r>
          </w:p>
        </w:tc>
        <w:tc>
          <w:tcPr>
            <w:tcW w:w="1134" w:type="dxa"/>
          </w:tcPr>
          <w:p w:rsidR="001770BA" w:rsidRDefault="001770BA" w:rsidP="001770BA">
            <w:r>
              <w:t>0.73</w:t>
            </w:r>
          </w:p>
        </w:tc>
        <w:tc>
          <w:tcPr>
            <w:tcW w:w="1275" w:type="dxa"/>
          </w:tcPr>
          <w:p w:rsidR="001770BA" w:rsidRDefault="001770BA" w:rsidP="001770BA">
            <w:r>
              <w:t>0.18</w:t>
            </w:r>
          </w:p>
        </w:tc>
        <w:tc>
          <w:tcPr>
            <w:tcW w:w="1560" w:type="dxa"/>
          </w:tcPr>
          <w:p w:rsidR="001770BA" w:rsidRDefault="001770BA" w:rsidP="001770BA">
            <w:r>
              <w:t>-3.26</w:t>
            </w:r>
          </w:p>
        </w:tc>
        <w:tc>
          <w:tcPr>
            <w:tcW w:w="1559" w:type="dxa"/>
          </w:tcPr>
          <w:p w:rsidR="001770BA" w:rsidRDefault="001770BA" w:rsidP="001770BA">
            <w:r>
              <w:t>0.48</w:t>
            </w:r>
          </w:p>
        </w:tc>
      </w:tr>
      <w:tr w:rsidR="001770BA" w:rsidTr="00EF478F">
        <w:tc>
          <w:tcPr>
            <w:tcW w:w="2093" w:type="dxa"/>
            <w:vMerge w:val="restart"/>
          </w:tcPr>
          <w:p w:rsidR="001770BA" w:rsidRPr="00916B6D" w:rsidRDefault="001770BA" w:rsidP="001770BA">
            <w:r>
              <w:t>Average number weeks wait for follow-up appointment (over year)</w:t>
            </w:r>
          </w:p>
        </w:tc>
        <w:tc>
          <w:tcPr>
            <w:tcW w:w="1134" w:type="dxa"/>
          </w:tcPr>
          <w:p w:rsidR="001770BA" w:rsidRPr="00916B6D" w:rsidRDefault="001770BA" w:rsidP="001770BA">
            <w:r>
              <w:t>Tukey</w:t>
            </w:r>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-0.758</w:t>
            </w:r>
          </w:p>
        </w:tc>
        <w:tc>
          <w:tcPr>
            <w:tcW w:w="1134" w:type="dxa"/>
          </w:tcPr>
          <w:p w:rsidR="001770BA" w:rsidRDefault="001770BA" w:rsidP="001770BA">
            <w:r>
              <w:t>0.73</w:t>
            </w:r>
          </w:p>
        </w:tc>
        <w:tc>
          <w:tcPr>
            <w:tcW w:w="1275" w:type="dxa"/>
          </w:tcPr>
          <w:p w:rsidR="001770BA" w:rsidRDefault="001770BA" w:rsidP="001770BA">
            <w:r>
              <w:t>0.56</w:t>
            </w:r>
          </w:p>
        </w:tc>
        <w:tc>
          <w:tcPr>
            <w:tcW w:w="1560" w:type="dxa"/>
          </w:tcPr>
          <w:p w:rsidR="001770BA" w:rsidRDefault="001770BA" w:rsidP="001770BA">
            <w:r>
              <w:t>-2.55</w:t>
            </w:r>
          </w:p>
        </w:tc>
        <w:tc>
          <w:tcPr>
            <w:tcW w:w="1559" w:type="dxa"/>
          </w:tcPr>
          <w:p w:rsidR="001770BA" w:rsidRDefault="001770BA" w:rsidP="001770BA">
            <w:r>
              <w:t>1.03</w:t>
            </w:r>
          </w:p>
        </w:tc>
      </w:tr>
      <w:tr w:rsidR="001770BA" w:rsidTr="00EF478F">
        <w:tc>
          <w:tcPr>
            <w:tcW w:w="2093" w:type="dxa"/>
            <w:vMerge/>
          </w:tcPr>
          <w:p w:rsidR="001770BA"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shd w:val="clear" w:color="auto" w:fill="D9D9D9" w:themeFill="background1" w:themeFillShade="D9"/>
          </w:tcPr>
          <w:p w:rsidR="001770BA" w:rsidRPr="00916B6D" w:rsidRDefault="001770BA" w:rsidP="001770BA">
            <w:r>
              <w:t>2021</w:t>
            </w:r>
          </w:p>
        </w:tc>
        <w:tc>
          <w:tcPr>
            <w:tcW w:w="1701" w:type="dxa"/>
            <w:shd w:val="clear" w:color="auto" w:fill="D9D9D9" w:themeFill="background1" w:themeFillShade="D9"/>
          </w:tcPr>
          <w:p w:rsidR="001770BA" w:rsidRDefault="001770BA" w:rsidP="001770BA">
            <w:r>
              <w:t>-2.142</w:t>
            </w:r>
          </w:p>
        </w:tc>
        <w:tc>
          <w:tcPr>
            <w:tcW w:w="1134" w:type="dxa"/>
            <w:shd w:val="clear" w:color="auto" w:fill="D9D9D9" w:themeFill="background1" w:themeFillShade="D9"/>
          </w:tcPr>
          <w:p w:rsidR="001770BA" w:rsidRDefault="001770BA" w:rsidP="001770BA">
            <w:r>
              <w:t>0.73</w:t>
            </w:r>
          </w:p>
        </w:tc>
        <w:tc>
          <w:tcPr>
            <w:tcW w:w="1275" w:type="dxa"/>
            <w:shd w:val="clear" w:color="auto" w:fill="D9D9D9" w:themeFill="background1" w:themeFillShade="D9"/>
          </w:tcPr>
          <w:p w:rsidR="001770BA" w:rsidRDefault="001770BA" w:rsidP="001770BA">
            <w:r>
              <w:t>0.02</w:t>
            </w:r>
          </w:p>
        </w:tc>
        <w:tc>
          <w:tcPr>
            <w:tcW w:w="1560" w:type="dxa"/>
            <w:shd w:val="clear" w:color="auto" w:fill="D9D9D9" w:themeFill="background1" w:themeFillShade="D9"/>
          </w:tcPr>
          <w:p w:rsidR="001770BA" w:rsidRDefault="001770BA" w:rsidP="001770BA">
            <w:r>
              <w:t>-3.93</w:t>
            </w:r>
          </w:p>
        </w:tc>
        <w:tc>
          <w:tcPr>
            <w:tcW w:w="1559" w:type="dxa"/>
            <w:shd w:val="clear" w:color="auto" w:fill="D9D9D9" w:themeFill="background1" w:themeFillShade="D9"/>
          </w:tcPr>
          <w:p w:rsidR="001770BA" w:rsidRDefault="001770BA" w:rsidP="001770BA">
            <w:r>
              <w:t>-0.35</w:t>
            </w:r>
          </w:p>
        </w:tc>
      </w:tr>
      <w:tr w:rsidR="001770BA" w:rsidTr="00EF478F">
        <w:tc>
          <w:tcPr>
            <w:tcW w:w="2093" w:type="dxa"/>
            <w:vMerge/>
          </w:tcPr>
          <w:p w:rsidR="001770BA"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Pr="00916B6D" w:rsidRDefault="001770BA" w:rsidP="001770BA">
            <w:r>
              <w:t>2021</w:t>
            </w:r>
          </w:p>
        </w:tc>
        <w:tc>
          <w:tcPr>
            <w:tcW w:w="1701" w:type="dxa"/>
          </w:tcPr>
          <w:p w:rsidR="001770BA" w:rsidRDefault="001770BA" w:rsidP="001770BA">
            <w:r>
              <w:t>-1.383</w:t>
            </w:r>
          </w:p>
        </w:tc>
        <w:tc>
          <w:tcPr>
            <w:tcW w:w="1134" w:type="dxa"/>
          </w:tcPr>
          <w:p w:rsidR="001770BA" w:rsidRDefault="001770BA" w:rsidP="001770BA">
            <w:r>
              <w:t>0.73</w:t>
            </w:r>
          </w:p>
        </w:tc>
        <w:tc>
          <w:tcPr>
            <w:tcW w:w="1275" w:type="dxa"/>
          </w:tcPr>
          <w:p w:rsidR="001770BA" w:rsidRDefault="001770BA" w:rsidP="001770BA">
            <w:r>
              <w:t>0.16</w:t>
            </w:r>
          </w:p>
        </w:tc>
        <w:tc>
          <w:tcPr>
            <w:tcW w:w="1560" w:type="dxa"/>
          </w:tcPr>
          <w:p w:rsidR="001770BA" w:rsidRDefault="001770BA" w:rsidP="001770BA">
            <w:r>
              <w:t>-3.17</w:t>
            </w:r>
          </w:p>
        </w:tc>
        <w:tc>
          <w:tcPr>
            <w:tcW w:w="1559" w:type="dxa"/>
          </w:tcPr>
          <w:p w:rsidR="001770BA" w:rsidRDefault="001770BA" w:rsidP="001770BA">
            <w:r>
              <w:t>0.41</w:t>
            </w:r>
          </w:p>
        </w:tc>
      </w:tr>
      <w:tr w:rsidR="001770BA" w:rsidTr="00EF478F">
        <w:tc>
          <w:tcPr>
            <w:tcW w:w="2093" w:type="dxa"/>
            <w:vMerge/>
          </w:tcPr>
          <w:p w:rsidR="001770BA" w:rsidRDefault="001770BA" w:rsidP="001770BA"/>
        </w:tc>
        <w:tc>
          <w:tcPr>
            <w:tcW w:w="1134" w:type="dxa"/>
          </w:tcPr>
          <w:p w:rsidR="001770BA" w:rsidRPr="00916B6D" w:rsidRDefault="001770BA" w:rsidP="001770BA">
            <w:proofErr w:type="spellStart"/>
            <w:r>
              <w:t>Scheffe</w:t>
            </w:r>
            <w:proofErr w:type="spellEnd"/>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-0.758</w:t>
            </w:r>
          </w:p>
        </w:tc>
        <w:tc>
          <w:tcPr>
            <w:tcW w:w="1134" w:type="dxa"/>
          </w:tcPr>
          <w:p w:rsidR="001770BA" w:rsidRDefault="001770BA" w:rsidP="001770BA">
            <w:r>
              <w:t>0.73</w:t>
            </w:r>
          </w:p>
        </w:tc>
        <w:tc>
          <w:tcPr>
            <w:tcW w:w="1275" w:type="dxa"/>
          </w:tcPr>
          <w:p w:rsidR="001770BA" w:rsidRDefault="001770BA" w:rsidP="001770BA">
            <w:r>
              <w:t>0.59</w:t>
            </w:r>
          </w:p>
        </w:tc>
        <w:tc>
          <w:tcPr>
            <w:tcW w:w="1560" w:type="dxa"/>
          </w:tcPr>
          <w:p w:rsidR="001770BA" w:rsidRDefault="001770BA" w:rsidP="001770BA">
            <w:r>
              <w:t>-2.63</w:t>
            </w:r>
          </w:p>
        </w:tc>
        <w:tc>
          <w:tcPr>
            <w:tcW w:w="1559" w:type="dxa"/>
          </w:tcPr>
          <w:p w:rsidR="001770BA" w:rsidRDefault="001770BA" w:rsidP="001770BA">
            <w:r>
              <w:t>1.11</w:t>
            </w:r>
          </w:p>
        </w:tc>
      </w:tr>
      <w:tr w:rsidR="001770BA" w:rsidTr="00EF478F">
        <w:tc>
          <w:tcPr>
            <w:tcW w:w="2093" w:type="dxa"/>
            <w:vMerge/>
          </w:tcPr>
          <w:p w:rsidR="001770BA"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t>2021</w:t>
            </w:r>
          </w:p>
        </w:tc>
        <w:tc>
          <w:tcPr>
            <w:tcW w:w="1701" w:type="dxa"/>
          </w:tcPr>
          <w:p w:rsidR="001770BA" w:rsidRDefault="001770BA" w:rsidP="001770BA">
            <w:r>
              <w:t>-2.142</w:t>
            </w:r>
          </w:p>
        </w:tc>
        <w:tc>
          <w:tcPr>
            <w:tcW w:w="1134" w:type="dxa"/>
          </w:tcPr>
          <w:p w:rsidR="001770BA" w:rsidRDefault="001770BA" w:rsidP="001770BA">
            <w:r>
              <w:t>0.73</w:t>
            </w:r>
          </w:p>
        </w:tc>
        <w:tc>
          <w:tcPr>
            <w:tcW w:w="1275" w:type="dxa"/>
          </w:tcPr>
          <w:p w:rsidR="001770BA" w:rsidRDefault="001770BA" w:rsidP="001770BA">
            <w:r>
              <w:t>0.02</w:t>
            </w:r>
          </w:p>
        </w:tc>
        <w:tc>
          <w:tcPr>
            <w:tcW w:w="1560" w:type="dxa"/>
          </w:tcPr>
          <w:p w:rsidR="001770BA" w:rsidRDefault="001770BA" w:rsidP="001770BA">
            <w:r>
              <w:t>-4.01</w:t>
            </w:r>
          </w:p>
        </w:tc>
        <w:tc>
          <w:tcPr>
            <w:tcW w:w="1559" w:type="dxa"/>
          </w:tcPr>
          <w:p w:rsidR="001770BA" w:rsidRDefault="001770BA" w:rsidP="001770BA">
            <w:r>
              <w:t>-0.27</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shd w:val="clear" w:color="auto" w:fill="D9D9D9" w:themeFill="background1" w:themeFillShade="D9"/>
          </w:tcPr>
          <w:p w:rsidR="001770BA" w:rsidRDefault="001770BA" w:rsidP="001770BA">
            <w:r>
              <w:t>2021</w:t>
            </w:r>
          </w:p>
        </w:tc>
        <w:tc>
          <w:tcPr>
            <w:tcW w:w="1701" w:type="dxa"/>
            <w:shd w:val="clear" w:color="auto" w:fill="D9D9D9" w:themeFill="background1" w:themeFillShade="D9"/>
          </w:tcPr>
          <w:p w:rsidR="001770BA" w:rsidRDefault="001770BA" w:rsidP="001770BA">
            <w:r>
              <w:t>-1.383</w:t>
            </w:r>
          </w:p>
        </w:tc>
        <w:tc>
          <w:tcPr>
            <w:tcW w:w="1134" w:type="dxa"/>
            <w:shd w:val="clear" w:color="auto" w:fill="D9D9D9" w:themeFill="background1" w:themeFillShade="D9"/>
          </w:tcPr>
          <w:p w:rsidR="001770BA" w:rsidRDefault="001770BA" w:rsidP="001770BA">
            <w:r>
              <w:t>0.73</w:t>
            </w:r>
          </w:p>
        </w:tc>
        <w:tc>
          <w:tcPr>
            <w:tcW w:w="1275" w:type="dxa"/>
            <w:shd w:val="clear" w:color="auto" w:fill="D9D9D9" w:themeFill="background1" w:themeFillShade="D9"/>
          </w:tcPr>
          <w:p w:rsidR="001770BA" w:rsidRDefault="001770BA" w:rsidP="001770BA">
            <w:r>
              <w:t>0.18</w:t>
            </w:r>
          </w:p>
        </w:tc>
        <w:tc>
          <w:tcPr>
            <w:tcW w:w="1560" w:type="dxa"/>
            <w:shd w:val="clear" w:color="auto" w:fill="D9D9D9" w:themeFill="background1" w:themeFillShade="D9"/>
          </w:tcPr>
          <w:p w:rsidR="001770BA" w:rsidRDefault="001770BA" w:rsidP="001770BA">
            <w:r>
              <w:t>-3.25</w:t>
            </w:r>
          </w:p>
        </w:tc>
        <w:tc>
          <w:tcPr>
            <w:tcW w:w="1559" w:type="dxa"/>
            <w:shd w:val="clear" w:color="auto" w:fill="D9D9D9" w:themeFill="background1" w:themeFillShade="D9"/>
          </w:tcPr>
          <w:p w:rsidR="001770BA" w:rsidRDefault="001770BA" w:rsidP="001770BA">
            <w:r>
              <w:t>0.49</w:t>
            </w:r>
          </w:p>
        </w:tc>
      </w:tr>
      <w:tr w:rsidR="001770BA" w:rsidTr="00EF478F">
        <w:tc>
          <w:tcPr>
            <w:tcW w:w="2093" w:type="dxa"/>
            <w:vMerge w:val="restart"/>
          </w:tcPr>
          <w:p w:rsidR="001770BA" w:rsidRDefault="001770BA" w:rsidP="001770BA">
            <w:r>
              <w:t>DNA NP</w:t>
            </w:r>
          </w:p>
        </w:tc>
        <w:tc>
          <w:tcPr>
            <w:tcW w:w="1134" w:type="dxa"/>
          </w:tcPr>
          <w:p w:rsidR="001770BA" w:rsidRPr="00916B6D" w:rsidRDefault="001770BA" w:rsidP="001770BA">
            <w:r>
              <w:t>Tukey</w:t>
            </w:r>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-0.50</w:t>
            </w:r>
          </w:p>
        </w:tc>
        <w:tc>
          <w:tcPr>
            <w:tcW w:w="1134" w:type="dxa"/>
          </w:tcPr>
          <w:p w:rsidR="001770BA" w:rsidRDefault="001770BA" w:rsidP="001770BA">
            <w:r>
              <w:t>2.46</w:t>
            </w:r>
          </w:p>
        </w:tc>
        <w:tc>
          <w:tcPr>
            <w:tcW w:w="1275" w:type="dxa"/>
          </w:tcPr>
          <w:p w:rsidR="001770BA" w:rsidRDefault="001770BA" w:rsidP="001770BA">
            <w:r>
              <w:t>0.98</w:t>
            </w:r>
          </w:p>
        </w:tc>
        <w:tc>
          <w:tcPr>
            <w:tcW w:w="1560" w:type="dxa"/>
          </w:tcPr>
          <w:p w:rsidR="001770BA" w:rsidRDefault="001770BA" w:rsidP="001770BA">
            <w:r>
              <w:t>-6.53</w:t>
            </w:r>
          </w:p>
        </w:tc>
        <w:tc>
          <w:tcPr>
            <w:tcW w:w="1559" w:type="dxa"/>
          </w:tcPr>
          <w:p w:rsidR="001770BA" w:rsidRDefault="001770BA" w:rsidP="001770BA">
            <w:r>
              <w:t>5.53</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t>2021</w:t>
            </w:r>
          </w:p>
        </w:tc>
        <w:tc>
          <w:tcPr>
            <w:tcW w:w="1701" w:type="dxa"/>
          </w:tcPr>
          <w:p w:rsidR="001770BA" w:rsidRDefault="001770BA" w:rsidP="001770BA">
            <w:r>
              <w:t>-1.17</w:t>
            </w:r>
          </w:p>
        </w:tc>
        <w:tc>
          <w:tcPr>
            <w:tcW w:w="1134" w:type="dxa"/>
          </w:tcPr>
          <w:p w:rsidR="001770BA" w:rsidRDefault="001770BA" w:rsidP="001770BA">
            <w:r>
              <w:t>2.46</w:t>
            </w:r>
          </w:p>
        </w:tc>
        <w:tc>
          <w:tcPr>
            <w:tcW w:w="1275" w:type="dxa"/>
          </w:tcPr>
          <w:p w:rsidR="001770BA" w:rsidRDefault="001770BA" w:rsidP="001770BA">
            <w:r>
              <w:t>0.88</w:t>
            </w:r>
          </w:p>
        </w:tc>
        <w:tc>
          <w:tcPr>
            <w:tcW w:w="1560" w:type="dxa"/>
          </w:tcPr>
          <w:p w:rsidR="001770BA" w:rsidRDefault="001770BA" w:rsidP="001770BA">
            <w:r>
              <w:t>-7.20</w:t>
            </w:r>
          </w:p>
        </w:tc>
        <w:tc>
          <w:tcPr>
            <w:tcW w:w="1559" w:type="dxa"/>
          </w:tcPr>
          <w:p w:rsidR="001770BA" w:rsidRDefault="001770BA" w:rsidP="001770BA">
            <w:r>
              <w:t>4.86</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Pr="00916B6D" w:rsidRDefault="001770BA" w:rsidP="001770BA">
            <w:r>
              <w:t>2021</w:t>
            </w:r>
          </w:p>
        </w:tc>
        <w:tc>
          <w:tcPr>
            <w:tcW w:w="1701" w:type="dxa"/>
          </w:tcPr>
          <w:p w:rsidR="001770BA" w:rsidRDefault="001770BA" w:rsidP="001770BA">
            <w:r>
              <w:t>-0.67</w:t>
            </w:r>
          </w:p>
        </w:tc>
        <w:tc>
          <w:tcPr>
            <w:tcW w:w="1134" w:type="dxa"/>
          </w:tcPr>
          <w:p w:rsidR="001770BA" w:rsidRDefault="001770BA" w:rsidP="001770BA">
            <w:r>
              <w:t>2.46</w:t>
            </w:r>
          </w:p>
        </w:tc>
        <w:tc>
          <w:tcPr>
            <w:tcW w:w="1275" w:type="dxa"/>
          </w:tcPr>
          <w:p w:rsidR="001770BA" w:rsidRDefault="001770BA" w:rsidP="001770BA">
            <w:r>
              <w:t>0.96</w:t>
            </w:r>
          </w:p>
        </w:tc>
        <w:tc>
          <w:tcPr>
            <w:tcW w:w="1560" w:type="dxa"/>
          </w:tcPr>
          <w:p w:rsidR="001770BA" w:rsidRDefault="001770BA" w:rsidP="001770BA">
            <w:r>
              <w:t>-6.70</w:t>
            </w:r>
          </w:p>
        </w:tc>
        <w:tc>
          <w:tcPr>
            <w:tcW w:w="1559" w:type="dxa"/>
          </w:tcPr>
          <w:p w:rsidR="001770BA" w:rsidRDefault="001770BA" w:rsidP="001770BA">
            <w:r>
              <w:t>5.36</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proofErr w:type="spellStart"/>
            <w:r>
              <w:t>Scheffe</w:t>
            </w:r>
            <w:proofErr w:type="spellEnd"/>
          </w:p>
        </w:tc>
        <w:tc>
          <w:tcPr>
            <w:tcW w:w="850" w:type="dxa"/>
          </w:tcPr>
          <w:p w:rsidR="001770BA" w:rsidRPr="00916B6D" w:rsidRDefault="001770BA" w:rsidP="001770BA">
            <w:r>
              <w:t>2019</w:t>
            </w:r>
          </w:p>
        </w:tc>
        <w:tc>
          <w:tcPr>
            <w:tcW w:w="993" w:type="dxa"/>
          </w:tcPr>
          <w:p w:rsidR="001770BA" w:rsidRPr="00916B6D" w:rsidRDefault="001770BA" w:rsidP="001770BA">
            <w:r>
              <w:t>2020</w:t>
            </w:r>
          </w:p>
        </w:tc>
        <w:tc>
          <w:tcPr>
            <w:tcW w:w="1701" w:type="dxa"/>
          </w:tcPr>
          <w:p w:rsidR="001770BA" w:rsidRDefault="001770BA" w:rsidP="001770BA">
            <w:r>
              <w:t>-0.50</w:t>
            </w:r>
          </w:p>
        </w:tc>
        <w:tc>
          <w:tcPr>
            <w:tcW w:w="1134" w:type="dxa"/>
          </w:tcPr>
          <w:p w:rsidR="001770BA" w:rsidRDefault="001770BA" w:rsidP="001770BA">
            <w:r>
              <w:t>2.46</w:t>
            </w:r>
          </w:p>
        </w:tc>
        <w:tc>
          <w:tcPr>
            <w:tcW w:w="1275" w:type="dxa"/>
          </w:tcPr>
          <w:p w:rsidR="001770BA" w:rsidRDefault="001770BA" w:rsidP="001770BA">
            <w:r>
              <w:t>0.98</w:t>
            </w:r>
          </w:p>
        </w:tc>
        <w:tc>
          <w:tcPr>
            <w:tcW w:w="1560" w:type="dxa"/>
          </w:tcPr>
          <w:p w:rsidR="001770BA" w:rsidRDefault="001770BA" w:rsidP="001770BA">
            <w:r>
              <w:t>-6.80</w:t>
            </w:r>
          </w:p>
        </w:tc>
        <w:tc>
          <w:tcPr>
            <w:tcW w:w="1559" w:type="dxa"/>
          </w:tcPr>
          <w:p w:rsidR="001770BA" w:rsidRDefault="001770BA" w:rsidP="001770BA">
            <w:r>
              <w:t>5.80</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tc>
        <w:tc>
          <w:tcPr>
            <w:tcW w:w="993" w:type="dxa"/>
          </w:tcPr>
          <w:p w:rsidR="001770BA" w:rsidRPr="00916B6D" w:rsidRDefault="001770BA" w:rsidP="001770BA">
            <w:r>
              <w:t>2021</w:t>
            </w:r>
          </w:p>
        </w:tc>
        <w:tc>
          <w:tcPr>
            <w:tcW w:w="1701" w:type="dxa"/>
          </w:tcPr>
          <w:p w:rsidR="001770BA" w:rsidRDefault="001770BA" w:rsidP="001770BA">
            <w:r>
              <w:t>-1.17</w:t>
            </w:r>
          </w:p>
        </w:tc>
        <w:tc>
          <w:tcPr>
            <w:tcW w:w="1134" w:type="dxa"/>
          </w:tcPr>
          <w:p w:rsidR="001770BA" w:rsidRDefault="001770BA" w:rsidP="001770BA">
            <w:r>
              <w:t>2.46</w:t>
            </w:r>
          </w:p>
        </w:tc>
        <w:tc>
          <w:tcPr>
            <w:tcW w:w="1275" w:type="dxa"/>
          </w:tcPr>
          <w:p w:rsidR="001770BA" w:rsidRDefault="001770BA" w:rsidP="001770BA">
            <w:r>
              <w:t>0.89</w:t>
            </w:r>
          </w:p>
        </w:tc>
        <w:tc>
          <w:tcPr>
            <w:tcW w:w="1560" w:type="dxa"/>
          </w:tcPr>
          <w:p w:rsidR="001770BA" w:rsidRDefault="001770BA" w:rsidP="001770BA">
            <w:r>
              <w:t>-7.47</w:t>
            </w:r>
          </w:p>
        </w:tc>
        <w:tc>
          <w:tcPr>
            <w:tcW w:w="1559" w:type="dxa"/>
          </w:tcPr>
          <w:p w:rsidR="001770BA" w:rsidRDefault="001770BA" w:rsidP="001770BA">
            <w:r>
              <w:t>5.13</w:t>
            </w:r>
          </w:p>
        </w:tc>
      </w:tr>
      <w:tr w:rsidR="001770BA" w:rsidTr="00EF478F">
        <w:tc>
          <w:tcPr>
            <w:tcW w:w="2093" w:type="dxa"/>
            <w:vMerge/>
          </w:tcPr>
          <w:p w:rsidR="001770BA" w:rsidRPr="00916B6D" w:rsidRDefault="001770BA" w:rsidP="001770BA"/>
        </w:tc>
        <w:tc>
          <w:tcPr>
            <w:tcW w:w="1134" w:type="dxa"/>
          </w:tcPr>
          <w:p w:rsidR="001770BA" w:rsidRPr="00916B6D" w:rsidRDefault="001770BA" w:rsidP="001770BA"/>
        </w:tc>
        <w:tc>
          <w:tcPr>
            <w:tcW w:w="850" w:type="dxa"/>
          </w:tcPr>
          <w:p w:rsidR="001770BA" w:rsidRPr="00916B6D" w:rsidRDefault="001770BA" w:rsidP="001770BA">
            <w:r>
              <w:t>2020</w:t>
            </w:r>
          </w:p>
        </w:tc>
        <w:tc>
          <w:tcPr>
            <w:tcW w:w="993" w:type="dxa"/>
          </w:tcPr>
          <w:p w:rsidR="001770BA" w:rsidRDefault="001770BA" w:rsidP="001770BA">
            <w:r>
              <w:t>2021</w:t>
            </w:r>
          </w:p>
        </w:tc>
        <w:tc>
          <w:tcPr>
            <w:tcW w:w="1701" w:type="dxa"/>
          </w:tcPr>
          <w:p w:rsidR="001770BA" w:rsidRDefault="001770BA" w:rsidP="001770BA">
            <w:r>
              <w:t>-0.67</w:t>
            </w:r>
          </w:p>
        </w:tc>
        <w:tc>
          <w:tcPr>
            <w:tcW w:w="1134" w:type="dxa"/>
          </w:tcPr>
          <w:p w:rsidR="001770BA" w:rsidRDefault="001770BA" w:rsidP="001770BA">
            <w:r>
              <w:t>2.46</w:t>
            </w:r>
          </w:p>
        </w:tc>
        <w:tc>
          <w:tcPr>
            <w:tcW w:w="1275" w:type="dxa"/>
          </w:tcPr>
          <w:p w:rsidR="001770BA" w:rsidRDefault="001770BA" w:rsidP="001770BA">
            <w:r>
              <w:t>0.96</w:t>
            </w:r>
          </w:p>
        </w:tc>
        <w:tc>
          <w:tcPr>
            <w:tcW w:w="1560" w:type="dxa"/>
          </w:tcPr>
          <w:p w:rsidR="001770BA" w:rsidRDefault="001770BA" w:rsidP="001770BA">
            <w:r>
              <w:t>-6.97</w:t>
            </w:r>
          </w:p>
        </w:tc>
        <w:tc>
          <w:tcPr>
            <w:tcW w:w="1559" w:type="dxa"/>
          </w:tcPr>
          <w:p w:rsidR="001770BA" w:rsidRDefault="001770BA" w:rsidP="001770BA">
            <w:r>
              <w:t>5.63</w:t>
            </w:r>
          </w:p>
        </w:tc>
      </w:tr>
    </w:tbl>
    <w:p w:rsidR="001770BA" w:rsidRDefault="001770BA" w:rsidP="001770BA"/>
    <w:p w:rsidR="00476DF0" w:rsidRDefault="00476DF0" w:rsidP="00393DAA">
      <w:pPr>
        <w:spacing w:line="480" w:lineRule="auto"/>
      </w:pPr>
    </w:p>
    <w:p w:rsidR="001770BA" w:rsidRDefault="001770BA">
      <w:pPr>
        <w:rPr>
          <w:rFonts w:ascii="Helvetica" w:hAnsi="Helvetica" w:cs="Helvetica"/>
          <w:color w:val="333333"/>
          <w:sz w:val="21"/>
          <w:szCs w:val="21"/>
        </w:rPr>
      </w:pPr>
      <w:r>
        <w:rPr>
          <w:rFonts w:ascii="Helvetica" w:hAnsi="Helvetica" w:cs="Helvetica"/>
          <w:color w:val="333333"/>
          <w:sz w:val="21"/>
          <w:szCs w:val="21"/>
        </w:rPr>
        <w:br w:type="page"/>
      </w:r>
    </w:p>
    <w:p w:rsidR="001770BA" w:rsidRDefault="001770BA" w:rsidP="001770BA">
      <w:pPr>
        <w:shd w:val="clear" w:color="auto" w:fill="FCFCFC"/>
        <w:spacing w:after="100" w:afterAutospacing="1" w:line="480" w:lineRule="auto"/>
        <w:textAlignment w:val="center"/>
        <w:rPr>
          <w:rFonts w:ascii="Helvetica" w:hAnsi="Helvetica" w:cs="Helvetica"/>
          <w:color w:val="333333"/>
          <w:sz w:val="21"/>
          <w:szCs w:val="21"/>
        </w:rPr>
        <w:sectPr w:rsidR="001770BA" w:rsidSect="000879AC">
          <w:pgSz w:w="16838" w:h="11906" w:orient="landscape"/>
          <w:pgMar w:top="1440" w:right="1440" w:bottom="1440" w:left="1440" w:header="708" w:footer="708" w:gutter="0"/>
          <w:cols w:space="708"/>
          <w:docGrid w:linePitch="360"/>
        </w:sectPr>
      </w:pPr>
    </w:p>
    <w:p w:rsidR="001770BA" w:rsidRDefault="001770BA" w:rsidP="001770BA">
      <w:pPr>
        <w:shd w:val="clear" w:color="auto" w:fill="FCFCFC"/>
        <w:spacing w:after="100" w:afterAutospacing="1" w:line="480" w:lineRule="auto"/>
        <w:textAlignment w:val="center"/>
        <w:rPr>
          <w:rFonts w:ascii="Helvetica" w:hAnsi="Helvetica" w:cs="Helvetica"/>
          <w:color w:val="333333"/>
          <w:sz w:val="21"/>
          <w:szCs w:val="21"/>
        </w:rPr>
      </w:pPr>
      <w:r>
        <w:rPr>
          <w:rFonts w:ascii="Helvetica" w:hAnsi="Helvetica" w:cs="Helvetica"/>
          <w:color w:val="333333"/>
          <w:sz w:val="21"/>
          <w:szCs w:val="21"/>
        </w:rPr>
        <w:lastRenderedPageBreak/>
        <w:t>Appendix 2: Patient Satisfaction Results</w:t>
      </w:r>
    </w:p>
    <w:p w:rsidR="001770BA" w:rsidRDefault="001770BA" w:rsidP="001770BA">
      <w:pPr>
        <w:pStyle w:val="Caption"/>
        <w:keepNext/>
        <w:spacing w:line="480" w:lineRule="auto"/>
      </w:pPr>
      <w:r>
        <w:t>Friends and Family Test Responses for the Spinal Out-Patient Unit</w:t>
      </w:r>
    </w:p>
    <w:tbl>
      <w:tblPr>
        <w:tblStyle w:val="TableGrid"/>
        <w:tblW w:w="0" w:type="auto"/>
        <w:tblLook w:val="04A0" w:firstRow="1" w:lastRow="0" w:firstColumn="1" w:lastColumn="0" w:noHBand="0" w:noVBand="1"/>
      </w:tblPr>
      <w:tblGrid>
        <w:gridCol w:w="2085"/>
        <w:gridCol w:w="1400"/>
        <w:gridCol w:w="1618"/>
        <w:gridCol w:w="1821"/>
        <w:gridCol w:w="2092"/>
      </w:tblGrid>
      <w:tr w:rsidR="001770BA" w:rsidTr="001770BA">
        <w:tc>
          <w:tcPr>
            <w:tcW w:w="3823" w:type="dxa"/>
          </w:tcPr>
          <w:p w:rsidR="001770BA" w:rsidRPr="00302D4F" w:rsidRDefault="001770BA" w:rsidP="00EF478F">
            <w:pPr>
              <w:spacing w:line="480" w:lineRule="auto"/>
            </w:pPr>
          </w:p>
        </w:tc>
        <w:tc>
          <w:tcPr>
            <w:tcW w:w="1842" w:type="dxa"/>
          </w:tcPr>
          <w:p w:rsidR="001770BA" w:rsidRPr="00302D4F" w:rsidRDefault="001770BA" w:rsidP="00EF478F">
            <w:pPr>
              <w:spacing w:line="480" w:lineRule="auto"/>
            </w:pPr>
            <w:r w:rsidRPr="00302D4F">
              <w:t>Responses</w:t>
            </w:r>
          </w:p>
        </w:tc>
        <w:tc>
          <w:tcPr>
            <w:tcW w:w="2127" w:type="dxa"/>
          </w:tcPr>
          <w:p w:rsidR="001770BA" w:rsidRPr="00302D4F" w:rsidRDefault="001770BA" w:rsidP="00EF478F">
            <w:pPr>
              <w:spacing w:line="480" w:lineRule="auto"/>
            </w:pPr>
            <w:r w:rsidRPr="00302D4F">
              <w:t>Attendances</w:t>
            </w:r>
          </w:p>
        </w:tc>
        <w:tc>
          <w:tcPr>
            <w:tcW w:w="2693" w:type="dxa"/>
          </w:tcPr>
          <w:p w:rsidR="001770BA" w:rsidRPr="00302D4F" w:rsidRDefault="001770BA" w:rsidP="00EF478F">
            <w:pPr>
              <w:spacing w:line="480" w:lineRule="auto"/>
            </w:pPr>
            <w:r w:rsidRPr="00302D4F">
              <w:t>Recommend (%)</w:t>
            </w:r>
          </w:p>
        </w:tc>
        <w:tc>
          <w:tcPr>
            <w:tcW w:w="3463" w:type="dxa"/>
          </w:tcPr>
          <w:p w:rsidR="001770BA" w:rsidRPr="00302D4F" w:rsidRDefault="001770BA" w:rsidP="00EF478F">
            <w:pPr>
              <w:spacing w:line="480" w:lineRule="auto"/>
            </w:pPr>
            <w:r w:rsidRPr="00302D4F">
              <w:t>Not Recommend (%)</w:t>
            </w:r>
          </w:p>
        </w:tc>
      </w:tr>
      <w:tr w:rsidR="001770BA" w:rsidTr="001770BA">
        <w:tc>
          <w:tcPr>
            <w:tcW w:w="3823" w:type="dxa"/>
          </w:tcPr>
          <w:p w:rsidR="001770BA" w:rsidRPr="00302D4F" w:rsidRDefault="001770BA" w:rsidP="00EF478F">
            <w:pPr>
              <w:spacing w:line="480" w:lineRule="auto"/>
            </w:pPr>
            <w:r w:rsidRPr="00302D4F">
              <w:t>April 2019- March 2020</w:t>
            </w:r>
          </w:p>
        </w:tc>
        <w:tc>
          <w:tcPr>
            <w:tcW w:w="1842" w:type="dxa"/>
          </w:tcPr>
          <w:p w:rsidR="001770BA" w:rsidRPr="00302D4F" w:rsidRDefault="001770BA" w:rsidP="00EF478F">
            <w:pPr>
              <w:spacing w:line="480" w:lineRule="auto"/>
            </w:pPr>
            <w:r>
              <w:t>840</w:t>
            </w:r>
          </w:p>
        </w:tc>
        <w:tc>
          <w:tcPr>
            <w:tcW w:w="2127" w:type="dxa"/>
          </w:tcPr>
          <w:p w:rsidR="001770BA" w:rsidRPr="00302D4F" w:rsidRDefault="001770BA" w:rsidP="00EF478F">
            <w:pPr>
              <w:spacing w:line="480" w:lineRule="auto"/>
            </w:pPr>
            <w:r>
              <w:t>9869</w:t>
            </w:r>
          </w:p>
        </w:tc>
        <w:tc>
          <w:tcPr>
            <w:tcW w:w="2693" w:type="dxa"/>
          </w:tcPr>
          <w:p w:rsidR="001770BA" w:rsidRPr="00302D4F" w:rsidRDefault="001770BA" w:rsidP="00EF478F">
            <w:pPr>
              <w:spacing w:line="480" w:lineRule="auto"/>
            </w:pPr>
            <w:r>
              <w:t>742 (88.3%)</w:t>
            </w:r>
          </w:p>
        </w:tc>
        <w:tc>
          <w:tcPr>
            <w:tcW w:w="3463" w:type="dxa"/>
          </w:tcPr>
          <w:p w:rsidR="001770BA" w:rsidRPr="00302D4F" w:rsidRDefault="001770BA" w:rsidP="00EF478F">
            <w:pPr>
              <w:spacing w:line="480" w:lineRule="auto"/>
            </w:pPr>
            <w:r>
              <w:t>28 (3.3%)</w:t>
            </w:r>
          </w:p>
        </w:tc>
      </w:tr>
      <w:tr w:rsidR="001770BA" w:rsidTr="001770BA">
        <w:tc>
          <w:tcPr>
            <w:tcW w:w="3823" w:type="dxa"/>
          </w:tcPr>
          <w:p w:rsidR="001770BA" w:rsidRPr="00302D4F" w:rsidRDefault="001770BA" w:rsidP="00EF478F">
            <w:pPr>
              <w:spacing w:line="480" w:lineRule="auto"/>
            </w:pPr>
            <w:r w:rsidRPr="00302D4F">
              <w:t>April 2020- March 2021</w:t>
            </w:r>
          </w:p>
        </w:tc>
        <w:tc>
          <w:tcPr>
            <w:tcW w:w="1842" w:type="dxa"/>
          </w:tcPr>
          <w:p w:rsidR="001770BA" w:rsidRPr="00302D4F" w:rsidRDefault="001770BA" w:rsidP="00EF478F">
            <w:pPr>
              <w:spacing w:line="480" w:lineRule="auto"/>
            </w:pPr>
            <w:r>
              <w:t>228</w:t>
            </w:r>
          </w:p>
        </w:tc>
        <w:tc>
          <w:tcPr>
            <w:tcW w:w="2127" w:type="dxa"/>
          </w:tcPr>
          <w:p w:rsidR="001770BA" w:rsidRPr="00302D4F" w:rsidRDefault="001770BA" w:rsidP="00EF478F">
            <w:pPr>
              <w:spacing w:line="480" w:lineRule="auto"/>
            </w:pPr>
            <w:r>
              <w:t>18478</w:t>
            </w:r>
          </w:p>
        </w:tc>
        <w:tc>
          <w:tcPr>
            <w:tcW w:w="2693" w:type="dxa"/>
          </w:tcPr>
          <w:p w:rsidR="001770BA" w:rsidRPr="00302D4F" w:rsidRDefault="001770BA" w:rsidP="00EF478F">
            <w:pPr>
              <w:spacing w:line="480" w:lineRule="auto"/>
            </w:pPr>
            <w:r>
              <w:t>197 (86.4%)</w:t>
            </w:r>
          </w:p>
        </w:tc>
        <w:tc>
          <w:tcPr>
            <w:tcW w:w="3463" w:type="dxa"/>
          </w:tcPr>
          <w:p w:rsidR="001770BA" w:rsidRPr="00302D4F" w:rsidRDefault="001770BA" w:rsidP="00EF478F">
            <w:pPr>
              <w:spacing w:line="480" w:lineRule="auto"/>
            </w:pPr>
            <w:r>
              <w:t>6 (2.6%)</w:t>
            </w:r>
          </w:p>
        </w:tc>
      </w:tr>
      <w:tr w:rsidR="001770BA" w:rsidTr="001770BA">
        <w:tc>
          <w:tcPr>
            <w:tcW w:w="3823" w:type="dxa"/>
          </w:tcPr>
          <w:p w:rsidR="001770BA" w:rsidRPr="00302D4F" w:rsidRDefault="001770BA" w:rsidP="00EF478F">
            <w:pPr>
              <w:spacing w:line="480" w:lineRule="auto"/>
            </w:pPr>
            <w:r>
              <w:t>April 2021- December 2021</w:t>
            </w:r>
          </w:p>
        </w:tc>
        <w:tc>
          <w:tcPr>
            <w:tcW w:w="1842" w:type="dxa"/>
          </w:tcPr>
          <w:p w:rsidR="001770BA" w:rsidRDefault="001770BA" w:rsidP="00EF478F">
            <w:pPr>
              <w:spacing w:line="480" w:lineRule="auto"/>
            </w:pPr>
            <w:r>
              <w:t>199</w:t>
            </w:r>
          </w:p>
        </w:tc>
        <w:tc>
          <w:tcPr>
            <w:tcW w:w="2127" w:type="dxa"/>
          </w:tcPr>
          <w:p w:rsidR="001770BA" w:rsidRDefault="001770BA" w:rsidP="00EF478F">
            <w:pPr>
              <w:spacing w:line="480" w:lineRule="auto"/>
            </w:pPr>
            <w:r>
              <w:t>1717</w:t>
            </w:r>
          </w:p>
        </w:tc>
        <w:tc>
          <w:tcPr>
            <w:tcW w:w="2693" w:type="dxa"/>
          </w:tcPr>
          <w:p w:rsidR="001770BA" w:rsidRDefault="001770BA" w:rsidP="00EF478F">
            <w:pPr>
              <w:spacing w:line="480" w:lineRule="auto"/>
            </w:pPr>
            <w:r>
              <w:t>189 (94.4%)</w:t>
            </w:r>
          </w:p>
        </w:tc>
        <w:tc>
          <w:tcPr>
            <w:tcW w:w="3463" w:type="dxa"/>
          </w:tcPr>
          <w:p w:rsidR="001770BA" w:rsidRDefault="001770BA" w:rsidP="00EF478F">
            <w:pPr>
              <w:spacing w:line="480" w:lineRule="auto"/>
            </w:pPr>
            <w:r>
              <w:t>3 (1.5%)</w:t>
            </w:r>
          </w:p>
        </w:tc>
      </w:tr>
      <w:tr w:rsidR="001770BA" w:rsidTr="001770BA">
        <w:tc>
          <w:tcPr>
            <w:tcW w:w="3823" w:type="dxa"/>
          </w:tcPr>
          <w:p w:rsidR="001770BA" w:rsidRPr="00302D4F" w:rsidRDefault="001770BA" w:rsidP="00EF478F">
            <w:pPr>
              <w:spacing w:line="480" w:lineRule="auto"/>
            </w:pPr>
            <w:r>
              <w:t>Total</w:t>
            </w:r>
          </w:p>
        </w:tc>
        <w:tc>
          <w:tcPr>
            <w:tcW w:w="1842" w:type="dxa"/>
          </w:tcPr>
          <w:p w:rsidR="001770BA" w:rsidRPr="00DB6CC3" w:rsidRDefault="001770BA" w:rsidP="00EF478F">
            <w:pPr>
              <w:spacing w:line="480" w:lineRule="auto"/>
            </w:pPr>
            <w:r w:rsidRPr="00DB6CC3">
              <w:t>1267</w:t>
            </w:r>
            <w:r>
              <w:t xml:space="preserve"> (4</w:t>
            </w:r>
            <w:r w:rsidRPr="00DB6CC3">
              <w:t>%)</w:t>
            </w:r>
          </w:p>
        </w:tc>
        <w:tc>
          <w:tcPr>
            <w:tcW w:w="2127" w:type="dxa"/>
          </w:tcPr>
          <w:p w:rsidR="001770BA" w:rsidRPr="00DB6CC3" w:rsidRDefault="001770BA" w:rsidP="00EF478F">
            <w:pPr>
              <w:spacing w:line="480" w:lineRule="auto"/>
            </w:pPr>
            <w:r w:rsidRPr="00DB6CC3">
              <w:t>30064</w:t>
            </w:r>
          </w:p>
        </w:tc>
        <w:tc>
          <w:tcPr>
            <w:tcW w:w="2693" w:type="dxa"/>
          </w:tcPr>
          <w:p w:rsidR="001770BA" w:rsidRPr="00DB6CC3" w:rsidRDefault="001770BA" w:rsidP="00EF478F">
            <w:pPr>
              <w:spacing w:line="480" w:lineRule="auto"/>
            </w:pPr>
            <w:r w:rsidRPr="00DB6CC3">
              <w:t>1128 (89%)</w:t>
            </w:r>
          </w:p>
        </w:tc>
        <w:tc>
          <w:tcPr>
            <w:tcW w:w="3463" w:type="dxa"/>
          </w:tcPr>
          <w:p w:rsidR="001770BA" w:rsidRPr="00DB6CC3" w:rsidRDefault="001770BA" w:rsidP="00EF478F">
            <w:pPr>
              <w:spacing w:line="480" w:lineRule="auto"/>
            </w:pPr>
            <w:r w:rsidRPr="00DB6CC3">
              <w:t>37 (3.2%)</w:t>
            </w:r>
          </w:p>
        </w:tc>
      </w:tr>
    </w:tbl>
    <w:p w:rsidR="001770BA" w:rsidRDefault="001770BA" w:rsidP="001770BA">
      <w:pPr>
        <w:spacing w:line="480" w:lineRule="auto"/>
      </w:pPr>
    </w:p>
    <w:p w:rsidR="001770BA" w:rsidRDefault="001770BA" w:rsidP="001770BA">
      <w:pPr>
        <w:spacing w:line="480" w:lineRule="auto"/>
      </w:pPr>
      <w:r>
        <w:t>Video Consultation results</w:t>
      </w:r>
    </w:p>
    <w:p w:rsidR="001770BA" w:rsidRDefault="001770BA" w:rsidP="001770BA">
      <w:pPr>
        <w:pStyle w:val="Caption"/>
        <w:keepNext/>
        <w:spacing w:line="480" w:lineRule="auto"/>
      </w:pPr>
      <w:r>
        <w:t>Responses and counts from Video Consultation evaluation</w:t>
      </w:r>
    </w:p>
    <w:tbl>
      <w:tblPr>
        <w:tblStyle w:val="TableGrid"/>
        <w:tblW w:w="0" w:type="auto"/>
        <w:tblLook w:val="04A0" w:firstRow="1" w:lastRow="0" w:firstColumn="1" w:lastColumn="0" w:noHBand="0" w:noVBand="1"/>
      </w:tblPr>
      <w:tblGrid>
        <w:gridCol w:w="4077"/>
        <w:gridCol w:w="4820"/>
      </w:tblGrid>
      <w:tr w:rsidR="001770BA" w:rsidTr="00EF478F">
        <w:tc>
          <w:tcPr>
            <w:tcW w:w="4077" w:type="dxa"/>
          </w:tcPr>
          <w:p w:rsidR="001770BA" w:rsidRDefault="001770BA" w:rsidP="00EF478F">
            <w:pPr>
              <w:spacing w:line="480" w:lineRule="auto"/>
            </w:pPr>
          </w:p>
        </w:tc>
        <w:tc>
          <w:tcPr>
            <w:tcW w:w="4820" w:type="dxa"/>
          </w:tcPr>
          <w:p w:rsidR="001770BA" w:rsidRDefault="001770BA" w:rsidP="00EF478F">
            <w:pPr>
              <w:spacing w:line="480" w:lineRule="auto"/>
            </w:pPr>
            <w:r>
              <w:t>Responses</w:t>
            </w:r>
          </w:p>
        </w:tc>
      </w:tr>
      <w:tr w:rsidR="001770BA" w:rsidTr="00EF478F">
        <w:tc>
          <w:tcPr>
            <w:tcW w:w="4077" w:type="dxa"/>
          </w:tcPr>
          <w:p w:rsidR="001770BA" w:rsidRDefault="001770BA" w:rsidP="00EF478F">
            <w:pPr>
              <w:spacing w:line="480" w:lineRule="auto"/>
            </w:pPr>
            <w:r>
              <w:t>Age (mean, range)</w:t>
            </w:r>
          </w:p>
        </w:tc>
        <w:tc>
          <w:tcPr>
            <w:tcW w:w="4820" w:type="dxa"/>
          </w:tcPr>
          <w:p w:rsidR="001770BA" w:rsidRDefault="001770BA" w:rsidP="00EF478F">
            <w:pPr>
              <w:spacing w:line="480" w:lineRule="auto"/>
            </w:pPr>
            <w:r>
              <w:t>54.7 (28 to 74 years)</w:t>
            </w:r>
          </w:p>
        </w:tc>
      </w:tr>
      <w:tr w:rsidR="001770BA" w:rsidTr="00EF478F">
        <w:tc>
          <w:tcPr>
            <w:tcW w:w="4077" w:type="dxa"/>
          </w:tcPr>
          <w:p w:rsidR="001770BA" w:rsidRDefault="001770BA" w:rsidP="00EF478F">
            <w:pPr>
              <w:spacing w:line="480" w:lineRule="auto"/>
            </w:pPr>
            <w:r>
              <w:t>Gender (n, % female) (n=21 responses)</w:t>
            </w:r>
          </w:p>
        </w:tc>
        <w:tc>
          <w:tcPr>
            <w:tcW w:w="4820" w:type="dxa"/>
          </w:tcPr>
          <w:p w:rsidR="001770BA" w:rsidRDefault="001770BA" w:rsidP="00EF478F">
            <w:pPr>
              <w:spacing w:line="480" w:lineRule="auto"/>
            </w:pPr>
            <w:r>
              <w:t>12 (57%)</w:t>
            </w:r>
          </w:p>
        </w:tc>
      </w:tr>
      <w:tr w:rsidR="001770BA" w:rsidTr="00EF478F">
        <w:tc>
          <w:tcPr>
            <w:tcW w:w="4077" w:type="dxa"/>
          </w:tcPr>
          <w:p w:rsidR="001770BA" w:rsidRDefault="001770BA" w:rsidP="00EF478F">
            <w:pPr>
              <w:spacing w:line="480" w:lineRule="auto"/>
            </w:pPr>
            <w:r>
              <w:t>Mobility status (n=16 responses)</w:t>
            </w:r>
          </w:p>
        </w:tc>
        <w:tc>
          <w:tcPr>
            <w:tcW w:w="4820" w:type="dxa"/>
          </w:tcPr>
          <w:p w:rsidR="001770BA" w:rsidRDefault="001770BA" w:rsidP="00EF478F">
            <w:pPr>
              <w:spacing w:line="480" w:lineRule="auto"/>
            </w:pPr>
            <w:r>
              <w:t>2 required an aid (10%)</w:t>
            </w:r>
          </w:p>
        </w:tc>
      </w:tr>
      <w:tr w:rsidR="001770BA" w:rsidTr="00EF478F">
        <w:tc>
          <w:tcPr>
            <w:tcW w:w="4077" w:type="dxa"/>
          </w:tcPr>
          <w:p w:rsidR="001770BA" w:rsidRDefault="001770BA" w:rsidP="00EF478F">
            <w:pPr>
              <w:spacing w:line="480" w:lineRule="auto"/>
            </w:pPr>
            <w:r>
              <w:t>Distance from hospital (mean, range) (n=15 responses)</w:t>
            </w:r>
          </w:p>
        </w:tc>
        <w:tc>
          <w:tcPr>
            <w:tcW w:w="4820" w:type="dxa"/>
          </w:tcPr>
          <w:p w:rsidR="001770BA" w:rsidRDefault="001770BA" w:rsidP="00EF478F">
            <w:pPr>
              <w:spacing w:line="480" w:lineRule="auto"/>
            </w:pPr>
            <w:r>
              <w:t>16.6 (2 to 70 miles)</w:t>
            </w:r>
          </w:p>
        </w:tc>
      </w:tr>
      <w:tr w:rsidR="001770BA" w:rsidTr="00EF478F">
        <w:tc>
          <w:tcPr>
            <w:tcW w:w="4077" w:type="dxa"/>
          </w:tcPr>
          <w:p w:rsidR="001770BA" w:rsidRDefault="001770BA" w:rsidP="00EF478F">
            <w:pPr>
              <w:spacing w:line="480" w:lineRule="auto"/>
            </w:pPr>
            <w:r>
              <w:t>Video more or less convenient</w:t>
            </w:r>
          </w:p>
        </w:tc>
        <w:tc>
          <w:tcPr>
            <w:tcW w:w="4820" w:type="dxa"/>
          </w:tcPr>
          <w:p w:rsidR="001770BA" w:rsidRDefault="001770BA" w:rsidP="00EF478F">
            <w:pPr>
              <w:spacing w:line="480" w:lineRule="auto"/>
            </w:pPr>
            <w:r>
              <w:t>13 (62%) more convenient</w:t>
            </w:r>
          </w:p>
          <w:p w:rsidR="001770BA" w:rsidRDefault="001770BA" w:rsidP="00EF478F">
            <w:pPr>
              <w:spacing w:line="480" w:lineRule="auto"/>
            </w:pPr>
            <w:r>
              <w:t>3 (14) less convenient</w:t>
            </w:r>
          </w:p>
          <w:p w:rsidR="001770BA" w:rsidRDefault="001770BA" w:rsidP="00EF478F">
            <w:pPr>
              <w:spacing w:line="480" w:lineRule="auto"/>
            </w:pPr>
            <w:r>
              <w:t>4 (19%) technical issue and converted to telephone</w:t>
            </w:r>
          </w:p>
        </w:tc>
      </w:tr>
      <w:tr w:rsidR="001770BA" w:rsidTr="00EF478F">
        <w:tc>
          <w:tcPr>
            <w:tcW w:w="4077" w:type="dxa"/>
          </w:tcPr>
          <w:p w:rsidR="001770BA" w:rsidRDefault="001770BA" w:rsidP="00EF478F">
            <w:pPr>
              <w:spacing w:line="480" w:lineRule="auto"/>
            </w:pPr>
            <w:r>
              <w:t>Communication ease (n=17)</w:t>
            </w:r>
          </w:p>
        </w:tc>
        <w:tc>
          <w:tcPr>
            <w:tcW w:w="4820" w:type="dxa"/>
          </w:tcPr>
          <w:p w:rsidR="001770BA" w:rsidRDefault="001770BA" w:rsidP="00EF478F">
            <w:pPr>
              <w:spacing w:line="480" w:lineRule="auto"/>
            </w:pPr>
            <w:r>
              <w:t>8 (47%) more difficult</w:t>
            </w:r>
          </w:p>
          <w:p w:rsidR="001770BA" w:rsidRDefault="001770BA" w:rsidP="00EF478F">
            <w:pPr>
              <w:spacing w:line="480" w:lineRule="auto"/>
            </w:pPr>
            <w:r>
              <w:t>4 (24%) less difficult</w:t>
            </w:r>
          </w:p>
          <w:p w:rsidR="001770BA" w:rsidRDefault="001770BA" w:rsidP="00EF478F">
            <w:pPr>
              <w:spacing w:line="480" w:lineRule="auto"/>
            </w:pPr>
            <w:r>
              <w:lastRenderedPageBreak/>
              <w:t>5 (29%) no difference</w:t>
            </w:r>
          </w:p>
        </w:tc>
      </w:tr>
      <w:tr w:rsidR="001770BA" w:rsidTr="00EF478F">
        <w:tc>
          <w:tcPr>
            <w:tcW w:w="4077" w:type="dxa"/>
          </w:tcPr>
          <w:p w:rsidR="001770BA" w:rsidRDefault="001770BA" w:rsidP="00EF478F">
            <w:pPr>
              <w:spacing w:line="480" w:lineRule="auto"/>
            </w:pPr>
            <w:r>
              <w:lastRenderedPageBreak/>
              <w:t>outcome</w:t>
            </w:r>
          </w:p>
        </w:tc>
        <w:tc>
          <w:tcPr>
            <w:tcW w:w="4820" w:type="dxa"/>
          </w:tcPr>
          <w:p w:rsidR="001770BA" w:rsidRDefault="001770BA" w:rsidP="00EF478F">
            <w:pPr>
              <w:spacing w:line="480" w:lineRule="auto"/>
            </w:pPr>
            <w:r>
              <w:t>6 (30%) In-person appointment</w:t>
            </w:r>
          </w:p>
          <w:p w:rsidR="001770BA" w:rsidRDefault="001770BA" w:rsidP="00EF478F">
            <w:pPr>
              <w:spacing w:line="480" w:lineRule="auto"/>
            </w:pPr>
            <w:r>
              <w:t>6 (30%) Treatment and follow-up</w:t>
            </w:r>
          </w:p>
          <w:p w:rsidR="001770BA" w:rsidRDefault="001770BA" w:rsidP="00EF478F">
            <w:pPr>
              <w:spacing w:line="480" w:lineRule="auto"/>
            </w:pPr>
            <w:r>
              <w:t>5 (25%) Treatment and discharge</w:t>
            </w:r>
          </w:p>
          <w:p w:rsidR="001770BA" w:rsidRDefault="001770BA" w:rsidP="00EF478F">
            <w:pPr>
              <w:spacing w:line="480" w:lineRule="auto"/>
            </w:pPr>
            <w:r>
              <w:t>3 (15%) Referred to other service</w:t>
            </w:r>
          </w:p>
        </w:tc>
      </w:tr>
      <w:tr w:rsidR="001770BA" w:rsidTr="00EF478F">
        <w:tc>
          <w:tcPr>
            <w:tcW w:w="4077" w:type="dxa"/>
          </w:tcPr>
          <w:p w:rsidR="001770BA" w:rsidRDefault="001770BA" w:rsidP="00EF478F">
            <w:pPr>
              <w:spacing w:line="480" w:lineRule="auto"/>
            </w:pPr>
            <w:r>
              <w:t>Choice of follow-up for future</w:t>
            </w:r>
          </w:p>
        </w:tc>
        <w:tc>
          <w:tcPr>
            <w:tcW w:w="4820" w:type="dxa"/>
          </w:tcPr>
          <w:p w:rsidR="001770BA" w:rsidRDefault="001770BA" w:rsidP="00EF478F">
            <w:pPr>
              <w:spacing w:line="480" w:lineRule="auto"/>
            </w:pPr>
            <w:r>
              <w:t>11(55%) In-person appointment</w:t>
            </w:r>
          </w:p>
          <w:p w:rsidR="001770BA" w:rsidRDefault="001770BA" w:rsidP="00EF478F">
            <w:pPr>
              <w:spacing w:line="480" w:lineRule="auto"/>
            </w:pPr>
            <w:r>
              <w:t>4 (20%) Video</w:t>
            </w:r>
          </w:p>
          <w:p w:rsidR="001770BA" w:rsidRDefault="001770BA" w:rsidP="00EF478F">
            <w:pPr>
              <w:spacing w:line="480" w:lineRule="auto"/>
            </w:pPr>
            <w:r>
              <w:t>5 (25%) No preference</w:t>
            </w:r>
          </w:p>
        </w:tc>
      </w:tr>
      <w:tr w:rsidR="001770BA" w:rsidTr="00EF478F">
        <w:tc>
          <w:tcPr>
            <w:tcW w:w="4077" w:type="dxa"/>
          </w:tcPr>
          <w:p w:rsidR="001770BA" w:rsidRDefault="001770BA" w:rsidP="00EF478F">
            <w:pPr>
              <w:spacing w:line="480" w:lineRule="auto"/>
            </w:pPr>
            <w:r>
              <w:t>How likely to recommend (n=19)</w:t>
            </w:r>
          </w:p>
        </w:tc>
        <w:tc>
          <w:tcPr>
            <w:tcW w:w="4820" w:type="dxa"/>
          </w:tcPr>
          <w:p w:rsidR="001770BA" w:rsidRDefault="001770BA" w:rsidP="00EF478F">
            <w:pPr>
              <w:spacing w:line="480" w:lineRule="auto"/>
            </w:pPr>
            <w:r>
              <w:t>10 (53%) extremely likely</w:t>
            </w:r>
          </w:p>
          <w:p w:rsidR="001770BA" w:rsidRDefault="001770BA" w:rsidP="00EF478F">
            <w:pPr>
              <w:spacing w:line="480" w:lineRule="auto"/>
            </w:pPr>
            <w:r>
              <w:t>8 (42%) likely</w:t>
            </w:r>
          </w:p>
          <w:p w:rsidR="001770BA" w:rsidRDefault="001770BA" w:rsidP="00EF478F">
            <w:pPr>
              <w:spacing w:line="480" w:lineRule="auto"/>
            </w:pPr>
            <w:r>
              <w:t>1 (5%) unlikely</w:t>
            </w:r>
          </w:p>
        </w:tc>
      </w:tr>
    </w:tbl>
    <w:p w:rsidR="001770BA" w:rsidRDefault="001770BA" w:rsidP="001770BA">
      <w:pPr>
        <w:spacing w:after="160" w:line="259" w:lineRule="auto"/>
        <w:rPr>
          <w:u w:val="single"/>
        </w:rPr>
      </w:pPr>
      <w:bookmarkStart w:id="0" w:name="_GoBack"/>
      <w:bookmarkEnd w:id="0"/>
    </w:p>
    <w:p w:rsidR="001770BA" w:rsidRPr="00D27B1F" w:rsidRDefault="001770BA" w:rsidP="001770BA">
      <w:pPr>
        <w:spacing w:line="480" w:lineRule="auto"/>
        <w:rPr>
          <w:u w:val="single"/>
        </w:rPr>
      </w:pPr>
      <w:r w:rsidRPr="00D27B1F">
        <w:rPr>
          <w:u w:val="single"/>
        </w:rPr>
        <w:t xml:space="preserve">Small Group Workings with individual patients: </w:t>
      </w:r>
    </w:p>
    <w:p w:rsidR="001770BA" w:rsidRDefault="001770BA" w:rsidP="001770BA">
      <w:pPr>
        <w:pStyle w:val="ListParagraph"/>
        <w:numPr>
          <w:ilvl w:val="0"/>
          <w:numId w:val="6"/>
        </w:numPr>
        <w:spacing w:line="480" w:lineRule="auto"/>
      </w:pPr>
      <w:r>
        <w:t xml:space="preserve">Communication issues were reported where clinicians had come across as over-familiar, or had not had good telephone lines and connections but had continued with the call irrespective. Patients felt that when unexpected, being discharged over the telephone was not respectful to their condition or the impact it was having on their life. This was fed back to the team in a training session regarding breaking bad news, and improving communication skills. </w:t>
      </w:r>
    </w:p>
    <w:p w:rsidR="001770BA" w:rsidRDefault="001770BA" w:rsidP="001770BA">
      <w:pPr>
        <w:pStyle w:val="ListParagraph"/>
        <w:numPr>
          <w:ilvl w:val="0"/>
          <w:numId w:val="6"/>
        </w:numPr>
        <w:spacing w:line="480" w:lineRule="auto"/>
      </w:pPr>
      <w:r>
        <w:t xml:space="preserve">Where clinics were running late, patients were frustrated by clinicians not being respectful of their time or apologising for the inconvenience. This was reported to clinicians and nursing staff to improve transparency. </w:t>
      </w:r>
    </w:p>
    <w:p w:rsidR="001770BA" w:rsidRDefault="001770BA" w:rsidP="001770BA">
      <w:pPr>
        <w:pStyle w:val="ListParagraph"/>
        <w:numPr>
          <w:ilvl w:val="0"/>
          <w:numId w:val="6"/>
        </w:numPr>
        <w:spacing w:line="480" w:lineRule="auto"/>
      </w:pPr>
      <w:r>
        <w:t xml:space="preserve">New booklets were designed for injections, with information for pre-injection and immediate post-care. Patients reported they had not been receiving the APP booklets designed to go out with clinic appointments. All booklets received patient input and agreement on design and content.  APP service booklets have been redistributed to central </w:t>
      </w:r>
      <w:r>
        <w:lastRenderedPageBreak/>
        <w:t xml:space="preserve">appointments office and are now actively distributed with new patient appointments. Injection booklets will be used in </w:t>
      </w:r>
      <w:proofErr w:type="spellStart"/>
      <w:r>
        <w:t>daycase</w:t>
      </w:r>
      <w:proofErr w:type="spellEnd"/>
      <w:r>
        <w:t xml:space="preserve"> procedures. These booklets were designed to improve patients’ expectations for what the APP and spinal service could provide and highlighted that if there was no spinal surgical target, then discharge to pain clinics would be advised. </w:t>
      </w:r>
    </w:p>
    <w:p w:rsidR="001770BA" w:rsidRDefault="001770BA" w:rsidP="001770BA">
      <w:pPr>
        <w:pStyle w:val="ListParagraph"/>
        <w:numPr>
          <w:ilvl w:val="0"/>
          <w:numId w:val="6"/>
        </w:numPr>
        <w:spacing w:line="480" w:lineRule="auto"/>
      </w:pPr>
      <w:r>
        <w:t xml:space="preserve">Many patients had difficulty contacting the spinal unit as telephone lines were often very busy or were not answered. The APP team now have a dedicated secretary and her details have been added to all letters dictated by the APP team for patients to contact her directly. This appears to be more successful in allowing triage of calls to APP team members. </w:t>
      </w:r>
    </w:p>
    <w:p w:rsidR="001770BA" w:rsidRDefault="001770BA" w:rsidP="001770BA">
      <w:pPr>
        <w:pStyle w:val="ListParagraph"/>
        <w:numPr>
          <w:ilvl w:val="0"/>
          <w:numId w:val="6"/>
        </w:numPr>
        <w:spacing w:line="480" w:lineRule="auto"/>
      </w:pPr>
      <w:r>
        <w:t xml:space="preserve">Where delays in treatment were reported, the individual’s case record was reviewed and any potential errors were acted on and apologised for. </w:t>
      </w:r>
    </w:p>
    <w:p w:rsidR="001770BA" w:rsidRDefault="001770BA" w:rsidP="001770BA">
      <w:pPr>
        <w:spacing w:line="480" w:lineRule="auto"/>
      </w:pPr>
    </w:p>
    <w:p w:rsidR="001770BA" w:rsidRDefault="001770BA" w:rsidP="001770BA">
      <w:pPr>
        <w:spacing w:line="480" w:lineRule="auto"/>
      </w:pPr>
    </w:p>
    <w:sectPr w:rsidR="001770BA" w:rsidSect="001770B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F00AD" w16cex:dateUtc="2022-04-23T21:48:00Z"/>
  <w16cex:commentExtensible w16cex:durableId="260F0073" w16cex:dateUtc="2022-04-23T21:47:00Z"/>
  <w16cex:commentExtensible w16cex:durableId="260F0284" w16cex:dateUtc="2022-04-23T21:56:00Z"/>
  <w16cex:commentExtensible w16cex:durableId="260F03EE" w16cex:dateUtc="2022-04-23T22:02:00Z"/>
  <w16cex:commentExtensible w16cex:durableId="260F09A2" w16cex:dateUtc="2022-04-23T22:26:00Z"/>
  <w16cex:commentExtensible w16cex:durableId="260F067E" w16cex:dateUtc="2022-04-23T22:13:00Z"/>
  <w16cex:commentExtensible w16cex:durableId="260F0735" w16cex:dateUtc="2022-04-23T22:13:00Z"/>
  <w16cex:commentExtensible w16cex:durableId="260F07F1" w16cex:dateUtc="2022-04-23T22:19:00Z"/>
  <w16cex:commentExtensible w16cex:durableId="260F069A" w16cex:dateUtc="2022-04-23T22:13:00Z"/>
  <w16cex:commentExtensible w16cex:durableId="260F0A97" w16cex:dateUtc="2022-04-23T22:30:00Z"/>
  <w16cex:commentExtensible w16cex:durableId="260F0B96" w16cex:dateUtc="2022-04-23T22:34:00Z"/>
  <w16cex:commentExtensible w16cex:durableId="26103E50" w16cex:dateUtc="2022-04-24T20:23:00Z"/>
  <w16cex:commentExtensible w16cex:durableId="26103E97" w16cex:dateUtc="2022-04-24T20:24:00Z"/>
  <w16cex:commentExtensible w16cex:durableId="26103F07" w16cex:dateUtc="2022-04-24T20:26:00Z"/>
  <w16cex:commentExtensible w16cex:durableId="26103FB9" w16cex:dateUtc="2022-04-24T20:29:00Z"/>
  <w16cex:commentExtensible w16cex:durableId="26103FD2" w16cex:dateUtc="2022-04-24T20:29:00Z"/>
  <w16cex:commentExtensible w16cex:durableId="26104039" w16cex:dateUtc="2022-04-24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5925E" w16cid:durableId="260F00AD"/>
  <w16cid:commentId w16cid:paraId="21DE7B1C" w16cid:durableId="260F0073"/>
  <w16cid:commentId w16cid:paraId="52264749" w16cid:durableId="260F0284"/>
  <w16cid:commentId w16cid:paraId="47EA767F" w16cid:durableId="260F03EE"/>
  <w16cid:commentId w16cid:paraId="035BF89C" w16cid:durableId="260F09A2"/>
  <w16cid:commentId w16cid:paraId="492B60B6" w16cid:durableId="260F067E"/>
  <w16cid:commentId w16cid:paraId="2DDE25B5" w16cid:durableId="260F0735"/>
  <w16cid:commentId w16cid:paraId="1E7090A8" w16cid:durableId="260F07F1"/>
  <w16cid:commentId w16cid:paraId="7967A523" w16cid:durableId="260F069A"/>
  <w16cid:commentId w16cid:paraId="33777C13" w16cid:durableId="260F0A97"/>
  <w16cid:commentId w16cid:paraId="2C9715BF" w16cid:durableId="260F0B96"/>
  <w16cid:commentId w16cid:paraId="3C305E27" w16cid:durableId="26103E50"/>
  <w16cid:commentId w16cid:paraId="4EC5342A" w16cid:durableId="26103E97"/>
  <w16cid:commentId w16cid:paraId="19CF816F" w16cid:durableId="26103F07"/>
  <w16cid:commentId w16cid:paraId="2D2AF191" w16cid:durableId="26103FB9"/>
  <w16cid:commentId w16cid:paraId="6C9B17DD" w16cid:durableId="26103FD2"/>
  <w16cid:commentId w16cid:paraId="32403E58" w16cid:durableId="261040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36" w:rsidRDefault="00EE3136" w:rsidP="00B25B82">
      <w:pPr>
        <w:spacing w:after="0" w:line="240" w:lineRule="auto"/>
      </w:pPr>
      <w:r>
        <w:separator/>
      </w:r>
    </w:p>
  </w:endnote>
  <w:endnote w:type="continuationSeparator" w:id="0">
    <w:p w:rsidR="00EE3136" w:rsidRDefault="00EE3136" w:rsidP="00B2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45662"/>
      <w:docPartObj>
        <w:docPartGallery w:val="Page Numbers (Bottom of Page)"/>
        <w:docPartUnique/>
      </w:docPartObj>
    </w:sdtPr>
    <w:sdtEndPr>
      <w:rPr>
        <w:noProof/>
      </w:rPr>
    </w:sdtEndPr>
    <w:sdtContent>
      <w:p w:rsidR="00B25B82" w:rsidRDefault="00B25B82">
        <w:pPr>
          <w:pStyle w:val="Footer"/>
          <w:jc w:val="right"/>
        </w:pPr>
        <w:r>
          <w:fldChar w:fldCharType="begin"/>
        </w:r>
        <w:r>
          <w:instrText xml:space="preserve"> PAGE   \* MERGEFORMAT </w:instrText>
        </w:r>
        <w:r>
          <w:fldChar w:fldCharType="separate"/>
        </w:r>
        <w:r w:rsidR="001770BA">
          <w:rPr>
            <w:noProof/>
          </w:rPr>
          <w:t>13</w:t>
        </w:r>
        <w:r>
          <w:rPr>
            <w:noProof/>
          </w:rPr>
          <w:fldChar w:fldCharType="end"/>
        </w:r>
      </w:p>
    </w:sdtContent>
  </w:sdt>
  <w:p w:rsidR="00B25B82" w:rsidRDefault="00B25B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36" w:rsidRDefault="00EE3136" w:rsidP="00B25B82">
      <w:pPr>
        <w:spacing w:after="0" w:line="240" w:lineRule="auto"/>
      </w:pPr>
      <w:r>
        <w:separator/>
      </w:r>
    </w:p>
  </w:footnote>
  <w:footnote w:type="continuationSeparator" w:id="0">
    <w:p w:rsidR="00EE3136" w:rsidRDefault="00EE3136" w:rsidP="00B2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B43"/>
    <w:multiLevelType w:val="hybridMultilevel"/>
    <w:tmpl w:val="12A6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832E7"/>
    <w:multiLevelType w:val="hybridMultilevel"/>
    <w:tmpl w:val="C6CE56A6"/>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161FF"/>
    <w:multiLevelType w:val="hybridMultilevel"/>
    <w:tmpl w:val="7FD2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67E6A"/>
    <w:multiLevelType w:val="hybridMultilevel"/>
    <w:tmpl w:val="052E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26436"/>
    <w:multiLevelType w:val="hybridMultilevel"/>
    <w:tmpl w:val="09D224D4"/>
    <w:lvl w:ilvl="0" w:tplc="2F901A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E531E"/>
    <w:multiLevelType w:val="hybridMultilevel"/>
    <w:tmpl w:val="CE4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65123"/>
    <w:multiLevelType w:val="hybridMultilevel"/>
    <w:tmpl w:val="5B18F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52B1F"/>
    <w:multiLevelType w:val="multilevel"/>
    <w:tmpl w:val="0236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B449E"/>
    <w:multiLevelType w:val="multilevel"/>
    <w:tmpl w:val="465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7"/>
  </w:num>
  <w:num w:numId="5">
    <w:abstractNumId w:val="1"/>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79"/>
    <w:rsid w:val="000038CB"/>
    <w:rsid w:val="0001007B"/>
    <w:rsid w:val="000136A1"/>
    <w:rsid w:val="0002508A"/>
    <w:rsid w:val="000375F0"/>
    <w:rsid w:val="000912F6"/>
    <w:rsid w:val="00092724"/>
    <w:rsid w:val="0010552E"/>
    <w:rsid w:val="00107AFB"/>
    <w:rsid w:val="00112596"/>
    <w:rsid w:val="001344DB"/>
    <w:rsid w:val="00134DBC"/>
    <w:rsid w:val="00135F60"/>
    <w:rsid w:val="00141222"/>
    <w:rsid w:val="00154350"/>
    <w:rsid w:val="00164EEE"/>
    <w:rsid w:val="001770BA"/>
    <w:rsid w:val="00183B06"/>
    <w:rsid w:val="00184D5D"/>
    <w:rsid w:val="001914C1"/>
    <w:rsid w:val="001B775D"/>
    <w:rsid w:val="001D26E4"/>
    <w:rsid w:val="001D503F"/>
    <w:rsid w:val="001F20D4"/>
    <w:rsid w:val="001F5D87"/>
    <w:rsid w:val="002007FC"/>
    <w:rsid w:val="00206D7D"/>
    <w:rsid w:val="00255D79"/>
    <w:rsid w:val="00256353"/>
    <w:rsid w:val="002626AC"/>
    <w:rsid w:val="00266B65"/>
    <w:rsid w:val="002754C0"/>
    <w:rsid w:val="00276433"/>
    <w:rsid w:val="002A0037"/>
    <w:rsid w:val="002A0BF9"/>
    <w:rsid w:val="002C3F14"/>
    <w:rsid w:val="002D5E0B"/>
    <w:rsid w:val="002E3F99"/>
    <w:rsid w:val="00302D4F"/>
    <w:rsid w:val="00315797"/>
    <w:rsid w:val="00347739"/>
    <w:rsid w:val="00383C5C"/>
    <w:rsid w:val="00393DAA"/>
    <w:rsid w:val="003B37EC"/>
    <w:rsid w:val="003E0B09"/>
    <w:rsid w:val="003F0D25"/>
    <w:rsid w:val="00407C86"/>
    <w:rsid w:val="0041078D"/>
    <w:rsid w:val="00411BB0"/>
    <w:rsid w:val="00413F40"/>
    <w:rsid w:val="004149DB"/>
    <w:rsid w:val="00420BCA"/>
    <w:rsid w:val="00430561"/>
    <w:rsid w:val="00431248"/>
    <w:rsid w:val="00433E44"/>
    <w:rsid w:val="004353DB"/>
    <w:rsid w:val="00451F41"/>
    <w:rsid w:val="0045749C"/>
    <w:rsid w:val="00476DF0"/>
    <w:rsid w:val="004B5FED"/>
    <w:rsid w:val="004E0119"/>
    <w:rsid w:val="005006C0"/>
    <w:rsid w:val="00501022"/>
    <w:rsid w:val="0050615C"/>
    <w:rsid w:val="005138E0"/>
    <w:rsid w:val="00515750"/>
    <w:rsid w:val="00517348"/>
    <w:rsid w:val="00520CE6"/>
    <w:rsid w:val="00543E74"/>
    <w:rsid w:val="0058302F"/>
    <w:rsid w:val="00583C56"/>
    <w:rsid w:val="0058542F"/>
    <w:rsid w:val="00592DB2"/>
    <w:rsid w:val="005A0917"/>
    <w:rsid w:val="005A1863"/>
    <w:rsid w:val="005D3431"/>
    <w:rsid w:val="005E1F4A"/>
    <w:rsid w:val="005E27D8"/>
    <w:rsid w:val="00600739"/>
    <w:rsid w:val="00610756"/>
    <w:rsid w:val="00612F08"/>
    <w:rsid w:val="00626197"/>
    <w:rsid w:val="00634256"/>
    <w:rsid w:val="00635052"/>
    <w:rsid w:val="00655BF1"/>
    <w:rsid w:val="00656BF3"/>
    <w:rsid w:val="0066540F"/>
    <w:rsid w:val="0069766C"/>
    <w:rsid w:val="006B5F6E"/>
    <w:rsid w:val="006B781E"/>
    <w:rsid w:val="006C66AB"/>
    <w:rsid w:val="006F7F72"/>
    <w:rsid w:val="007004A3"/>
    <w:rsid w:val="00713C85"/>
    <w:rsid w:val="00730145"/>
    <w:rsid w:val="007365F0"/>
    <w:rsid w:val="00754732"/>
    <w:rsid w:val="00761DC4"/>
    <w:rsid w:val="0076258B"/>
    <w:rsid w:val="00775B82"/>
    <w:rsid w:val="0078177D"/>
    <w:rsid w:val="007A3F2B"/>
    <w:rsid w:val="007C3659"/>
    <w:rsid w:val="007D387F"/>
    <w:rsid w:val="008215B3"/>
    <w:rsid w:val="00833624"/>
    <w:rsid w:val="00836BBA"/>
    <w:rsid w:val="008403D7"/>
    <w:rsid w:val="008445D1"/>
    <w:rsid w:val="0087204B"/>
    <w:rsid w:val="0088109F"/>
    <w:rsid w:val="00893609"/>
    <w:rsid w:val="008967B0"/>
    <w:rsid w:val="008B58F5"/>
    <w:rsid w:val="008E205F"/>
    <w:rsid w:val="008E240B"/>
    <w:rsid w:val="008E359E"/>
    <w:rsid w:val="008F5927"/>
    <w:rsid w:val="00916B6D"/>
    <w:rsid w:val="00931144"/>
    <w:rsid w:val="00950564"/>
    <w:rsid w:val="0096263E"/>
    <w:rsid w:val="00974463"/>
    <w:rsid w:val="0097598D"/>
    <w:rsid w:val="00976087"/>
    <w:rsid w:val="00976147"/>
    <w:rsid w:val="00983FC2"/>
    <w:rsid w:val="00993BE5"/>
    <w:rsid w:val="00994F05"/>
    <w:rsid w:val="009A4A7F"/>
    <w:rsid w:val="009C4615"/>
    <w:rsid w:val="009D0ECB"/>
    <w:rsid w:val="009E17B7"/>
    <w:rsid w:val="009E2768"/>
    <w:rsid w:val="009E2A87"/>
    <w:rsid w:val="009F134E"/>
    <w:rsid w:val="009F4452"/>
    <w:rsid w:val="00A1112A"/>
    <w:rsid w:val="00A307BA"/>
    <w:rsid w:val="00A340D2"/>
    <w:rsid w:val="00A400C7"/>
    <w:rsid w:val="00A46D6D"/>
    <w:rsid w:val="00A5137F"/>
    <w:rsid w:val="00A543C3"/>
    <w:rsid w:val="00A74FC8"/>
    <w:rsid w:val="00A85537"/>
    <w:rsid w:val="00A8685A"/>
    <w:rsid w:val="00AA5211"/>
    <w:rsid w:val="00AC2B2C"/>
    <w:rsid w:val="00AC2F9E"/>
    <w:rsid w:val="00AC3BF2"/>
    <w:rsid w:val="00AF4A07"/>
    <w:rsid w:val="00B25B82"/>
    <w:rsid w:val="00B42874"/>
    <w:rsid w:val="00B54E66"/>
    <w:rsid w:val="00B71C2E"/>
    <w:rsid w:val="00B72898"/>
    <w:rsid w:val="00B871CC"/>
    <w:rsid w:val="00B9051F"/>
    <w:rsid w:val="00B9397D"/>
    <w:rsid w:val="00B94907"/>
    <w:rsid w:val="00BA38E3"/>
    <w:rsid w:val="00BB4D71"/>
    <w:rsid w:val="00C02FF7"/>
    <w:rsid w:val="00C14878"/>
    <w:rsid w:val="00C232C9"/>
    <w:rsid w:val="00C34D8A"/>
    <w:rsid w:val="00C50F76"/>
    <w:rsid w:val="00C57C4C"/>
    <w:rsid w:val="00C6082E"/>
    <w:rsid w:val="00C71A35"/>
    <w:rsid w:val="00C71CC2"/>
    <w:rsid w:val="00C84C10"/>
    <w:rsid w:val="00C9219C"/>
    <w:rsid w:val="00CA2DEB"/>
    <w:rsid w:val="00CA4243"/>
    <w:rsid w:val="00CB503D"/>
    <w:rsid w:val="00CC7D30"/>
    <w:rsid w:val="00D26075"/>
    <w:rsid w:val="00D26328"/>
    <w:rsid w:val="00D66E34"/>
    <w:rsid w:val="00D74031"/>
    <w:rsid w:val="00D87357"/>
    <w:rsid w:val="00DA1D94"/>
    <w:rsid w:val="00DA2B3D"/>
    <w:rsid w:val="00DB6CC3"/>
    <w:rsid w:val="00DC1EF7"/>
    <w:rsid w:val="00DC3408"/>
    <w:rsid w:val="00DE44A9"/>
    <w:rsid w:val="00DF314D"/>
    <w:rsid w:val="00DF7F44"/>
    <w:rsid w:val="00E02899"/>
    <w:rsid w:val="00E41031"/>
    <w:rsid w:val="00E90752"/>
    <w:rsid w:val="00E92995"/>
    <w:rsid w:val="00EB23AF"/>
    <w:rsid w:val="00EB43EC"/>
    <w:rsid w:val="00EC5ADD"/>
    <w:rsid w:val="00ED01E3"/>
    <w:rsid w:val="00ED276A"/>
    <w:rsid w:val="00ED6807"/>
    <w:rsid w:val="00EE3136"/>
    <w:rsid w:val="00EF10E4"/>
    <w:rsid w:val="00EF34C9"/>
    <w:rsid w:val="00F211EF"/>
    <w:rsid w:val="00F2338B"/>
    <w:rsid w:val="00F323B4"/>
    <w:rsid w:val="00F63106"/>
    <w:rsid w:val="00F6443D"/>
    <w:rsid w:val="00F779D7"/>
    <w:rsid w:val="00F97533"/>
    <w:rsid w:val="00FA5CF9"/>
    <w:rsid w:val="00FC056A"/>
    <w:rsid w:val="00FD4C6E"/>
    <w:rsid w:val="00FD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7F365"/>
  <w15:docId w15:val="{F213EB6A-CC9E-8548-BFCB-8160471A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81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C8"/>
    <w:pPr>
      <w:ind w:left="720"/>
      <w:contextualSpacing/>
    </w:pPr>
  </w:style>
  <w:style w:type="table" w:styleId="TableGrid">
    <w:name w:val="Table Grid"/>
    <w:basedOn w:val="TableNormal"/>
    <w:uiPriority w:val="59"/>
    <w:rsid w:val="00DA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109F"/>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88109F"/>
  </w:style>
  <w:style w:type="character" w:styleId="Strong">
    <w:name w:val="Strong"/>
    <w:basedOn w:val="DefaultParagraphFont"/>
    <w:uiPriority w:val="22"/>
    <w:qFormat/>
    <w:rsid w:val="0088109F"/>
    <w:rPr>
      <w:b/>
      <w:bCs/>
    </w:rPr>
  </w:style>
  <w:style w:type="paragraph" w:customStyle="1" w:styleId="test-locationinconferenceproceeding">
    <w:name w:val="test-locationinconferenceproceeding"/>
    <w:basedOn w:val="Normal"/>
    <w:rsid w:val="00881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oktitle">
    <w:name w:val="booktitle"/>
    <w:basedOn w:val="DefaultParagraphFont"/>
    <w:rsid w:val="0088109F"/>
  </w:style>
  <w:style w:type="character" w:styleId="Hyperlink">
    <w:name w:val="Hyperlink"/>
    <w:basedOn w:val="DefaultParagraphFont"/>
    <w:uiPriority w:val="99"/>
    <w:semiHidden/>
    <w:unhideWhenUsed/>
    <w:rsid w:val="0088109F"/>
    <w:rPr>
      <w:color w:val="0000FF"/>
      <w:u w:val="single"/>
    </w:rPr>
  </w:style>
  <w:style w:type="character" w:customStyle="1" w:styleId="page-numbers-info">
    <w:name w:val="page-numbers-info"/>
    <w:basedOn w:val="DefaultParagraphFont"/>
    <w:rsid w:val="0088109F"/>
  </w:style>
  <w:style w:type="character" w:customStyle="1" w:styleId="u-inline-block">
    <w:name w:val="u-inline-block"/>
    <w:basedOn w:val="DefaultParagraphFont"/>
    <w:rsid w:val="0088109F"/>
  </w:style>
  <w:style w:type="character" w:customStyle="1" w:styleId="authorsname">
    <w:name w:val="authors__name"/>
    <w:basedOn w:val="DefaultParagraphFont"/>
    <w:rsid w:val="0088109F"/>
  </w:style>
  <w:style w:type="character" w:customStyle="1" w:styleId="authorscontact">
    <w:name w:val="authors__contact"/>
    <w:basedOn w:val="DefaultParagraphFont"/>
    <w:rsid w:val="0088109F"/>
  </w:style>
  <w:style w:type="character" w:customStyle="1" w:styleId="Heading2Char">
    <w:name w:val="Heading 2 Char"/>
    <w:basedOn w:val="DefaultParagraphFont"/>
    <w:link w:val="Heading2"/>
    <w:uiPriority w:val="9"/>
    <w:semiHidden/>
    <w:rsid w:val="0088109F"/>
    <w:rPr>
      <w:rFonts w:asciiTheme="majorHAnsi" w:eastAsiaTheme="majorEastAsia" w:hAnsiTheme="majorHAnsi" w:cstheme="majorBidi"/>
      <w:b/>
      <w:bCs/>
      <w:color w:val="4F81BD" w:themeColor="accent1"/>
      <w:sz w:val="26"/>
      <w:szCs w:val="26"/>
    </w:rPr>
  </w:style>
  <w:style w:type="character" w:customStyle="1" w:styleId="sr-only">
    <w:name w:val="sr-only"/>
    <w:basedOn w:val="DefaultParagraphFont"/>
    <w:rsid w:val="0088109F"/>
  </w:style>
  <w:style w:type="character" w:customStyle="1" w:styleId="text">
    <w:name w:val="text"/>
    <w:basedOn w:val="DefaultParagraphFont"/>
    <w:rsid w:val="0088109F"/>
  </w:style>
  <w:style w:type="paragraph" w:styleId="BalloonText">
    <w:name w:val="Balloon Text"/>
    <w:basedOn w:val="Normal"/>
    <w:link w:val="BalloonTextChar"/>
    <w:uiPriority w:val="99"/>
    <w:semiHidden/>
    <w:unhideWhenUsed/>
    <w:rsid w:val="0088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9F"/>
    <w:rPr>
      <w:rFonts w:ascii="Tahoma" w:hAnsi="Tahoma" w:cs="Tahoma"/>
      <w:sz w:val="16"/>
      <w:szCs w:val="16"/>
    </w:rPr>
  </w:style>
  <w:style w:type="paragraph" w:styleId="Caption">
    <w:name w:val="caption"/>
    <w:basedOn w:val="Normal"/>
    <w:next w:val="Normal"/>
    <w:uiPriority w:val="35"/>
    <w:unhideWhenUsed/>
    <w:qFormat/>
    <w:rsid w:val="0041078D"/>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94907"/>
    <w:rPr>
      <w:sz w:val="16"/>
      <w:szCs w:val="16"/>
    </w:rPr>
  </w:style>
  <w:style w:type="paragraph" w:styleId="CommentText">
    <w:name w:val="annotation text"/>
    <w:basedOn w:val="Normal"/>
    <w:link w:val="CommentTextChar"/>
    <w:uiPriority w:val="99"/>
    <w:semiHidden/>
    <w:unhideWhenUsed/>
    <w:rsid w:val="00B94907"/>
    <w:pPr>
      <w:spacing w:line="240" w:lineRule="auto"/>
    </w:pPr>
    <w:rPr>
      <w:sz w:val="20"/>
      <w:szCs w:val="20"/>
    </w:rPr>
  </w:style>
  <w:style w:type="character" w:customStyle="1" w:styleId="CommentTextChar">
    <w:name w:val="Comment Text Char"/>
    <w:basedOn w:val="DefaultParagraphFont"/>
    <w:link w:val="CommentText"/>
    <w:uiPriority w:val="99"/>
    <w:semiHidden/>
    <w:rsid w:val="00B94907"/>
    <w:rPr>
      <w:sz w:val="20"/>
      <w:szCs w:val="20"/>
    </w:rPr>
  </w:style>
  <w:style w:type="paragraph" w:styleId="CommentSubject">
    <w:name w:val="annotation subject"/>
    <w:basedOn w:val="CommentText"/>
    <w:next w:val="CommentText"/>
    <w:link w:val="CommentSubjectChar"/>
    <w:uiPriority w:val="99"/>
    <w:semiHidden/>
    <w:unhideWhenUsed/>
    <w:rsid w:val="00B94907"/>
    <w:rPr>
      <w:b/>
      <w:bCs/>
    </w:rPr>
  </w:style>
  <w:style w:type="character" w:customStyle="1" w:styleId="CommentSubjectChar">
    <w:name w:val="Comment Subject Char"/>
    <w:basedOn w:val="CommentTextChar"/>
    <w:link w:val="CommentSubject"/>
    <w:uiPriority w:val="99"/>
    <w:semiHidden/>
    <w:rsid w:val="00B94907"/>
    <w:rPr>
      <w:b/>
      <w:bCs/>
      <w:sz w:val="20"/>
      <w:szCs w:val="20"/>
    </w:rPr>
  </w:style>
  <w:style w:type="character" w:styleId="LineNumber">
    <w:name w:val="line number"/>
    <w:basedOn w:val="DefaultParagraphFont"/>
    <w:uiPriority w:val="99"/>
    <w:semiHidden/>
    <w:unhideWhenUsed/>
    <w:rsid w:val="00B25B82"/>
  </w:style>
  <w:style w:type="paragraph" w:styleId="Header">
    <w:name w:val="header"/>
    <w:basedOn w:val="Normal"/>
    <w:link w:val="HeaderChar"/>
    <w:uiPriority w:val="99"/>
    <w:unhideWhenUsed/>
    <w:rsid w:val="00B2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B82"/>
  </w:style>
  <w:style w:type="paragraph" w:styleId="Footer">
    <w:name w:val="footer"/>
    <w:basedOn w:val="Normal"/>
    <w:link w:val="FooterChar"/>
    <w:uiPriority w:val="99"/>
    <w:unhideWhenUsed/>
    <w:rsid w:val="00B2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534">
      <w:bodyDiv w:val="1"/>
      <w:marLeft w:val="0"/>
      <w:marRight w:val="0"/>
      <w:marTop w:val="0"/>
      <w:marBottom w:val="0"/>
      <w:divBdr>
        <w:top w:val="none" w:sz="0" w:space="0" w:color="auto"/>
        <w:left w:val="none" w:sz="0" w:space="0" w:color="auto"/>
        <w:bottom w:val="none" w:sz="0" w:space="0" w:color="auto"/>
        <w:right w:val="none" w:sz="0" w:space="0" w:color="auto"/>
      </w:divBdr>
    </w:div>
    <w:div w:id="199824085">
      <w:bodyDiv w:val="1"/>
      <w:marLeft w:val="0"/>
      <w:marRight w:val="0"/>
      <w:marTop w:val="0"/>
      <w:marBottom w:val="0"/>
      <w:divBdr>
        <w:top w:val="none" w:sz="0" w:space="0" w:color="auto"/>
        <w:left w:val="none" w:sz="0" w:space="0" w:color="auto"/>
        <w:bottom w:val="none" w:sz="0" w:space="0" w:color="auto"/>
        <w:right w:val="none" w:sz="0" w:space="0" w:color="auto"/>
      </w:divBdr>
    </w:div>
    <w:div w:id="337466307">
      <w:bodyDiv w:val="1"/>
      <w:marLeft w:val="0"/>
      <w:marRight w:val="0"/>
      <w:marTop w:val="0"/>
      <w:marBottom w:val="0"/>
      <w:divBdr>
        <w:top w:val="none" w:sz="0" w:space="0" w:color="auto"/>
        <w:left w:val="none" w:sz="0" w:space="0" w:color="auto"/>
        <w:bottom w:val="none" w:sz="0" w:space="0" w:color="auto"/>
        <w:right w:val="none" w:sz="0" w:space="0" w:color="auto"/>
      </w:divBdr>
      <w:divsChild>
        <w:div w:id="1520195311">
          <w:marLeft w:val="0"/>
          <w:marRight w:val="0"/>
          <w:marTop w:val="0"/>
          <w:marBottom w:val="120"/>
          <w:divBdr>
            <w:top w:val="none" w:sz="0" w:space="0" w:color="auto"/>
            <w:left w:val="none" w:sz="0" w:space="0" w:color="auto"/>
            <w:bottom w:val="single" w:sz="12" w:space="9" w:color="EBEBEB"/>
            <w:right w:val="none" w:sz="0" w:space="0" w:color="auto"/>
          </w:divBdr>
          <w:divsChild>
            <w:div w:id="1369838429">
              <w:marLeft w:val="0"/>
              <w:marRight w:val="0"/>
              <w:marTop w:val="100"/>
              <w:marBottom w:val="100"/>
              <w:divBdr>
                <w:top w:val="none" w:sz="0" w:space="0" w:color="auto"/>
                <w:left w:val="none" w:sz="0" w:space="0" w:color="auto"/>
                <w:bottom w:val="none" w:sz="0" w:space="0" w:color="auto"/>
                <w:right w:val="none" w:sz="0" w:space="0" w:color="auto"/>
              </w:divBdr>
              <w:divsChild>
                <w:div w:id="18595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156">
          <w:marLeft w:val="0"/>
          <w:marRight w:val="0"/>
          <w:marTop w:val="0"/>
          <w:marBottom w:val="0"/>
          <w:divBdr>
            <w:top w:val="none" w:sz="0" w:space="0" w:color="auto"/>
            <w:left w:val="none" w:sz="0" w:space="0" w:color="auto"/>
            <w:bottom w:val="none" w:sz="0" w:space="0" w:color="auto"/>
            <w:right w:val="none" w:sz="0" w:space="0" w:color="auto"/>
          </w:divBdr>
        </w:div>
        <w:div w:id="1135757337">
          <w:marLeft w:val="0"/>
          <w:marRight w:val="0"/>
          <w:marTop w:val="0"/>
          <w:marBottom w:val="120"/>
          <w:divBdr>
            <w:top w:val="none" w:sz="0" w:space="0" w:color="auto"/>
            <w:left w:val="none" w:sz="0" w:space="0" w:color="auto"/>
            <w:bottom w:val="none" w:sz="0" w:space="0" w:color="auto"/>
            <w:right w:val="none" w:sz="0" w:space="0" w:color="auto"/>
          </w:divBdr>
          <w:divsChild>
            <w:div w:id="269705688">
              <w:marLeft w:val="0"/>
              <w:marRight w:val="0"/>
              <w:marTop w:val="0"/>
              <w:marBottom w:val="0"/>
              <w:divBdr>
                <w:top w:val="none" w:sz="0" w:space="0" w:color="auto"/>
                <w:left w:val="none" w:sz="0" w:space="0" w:color="auto"/>
                <w:bottom w:val="none" w:sz="0" w:space="0" w:color="auto"/>
                <w:right w:val="none" w:sz="0" w:space="0" w:color="auto"/>
              </w:divBdr>
              <w:divsChild>
                <w:div w:id="1237666184">
                  <w:marLeft w:val="0"/>
                  <w:marRight w:val="0"/>
                  <w:marTop w:val="0"/>
                  <w:marBottom w:val="0"/>
                  <w:divBdr>
                    <w:top w:val="none" w:sz="0" w:space="0" w:color="auto"/>
                    <w:left w:val="none" w:sz="0" w:space="0" w:color="auto"/>
                    <w:bottom w:val="none" w:sz="0" w:space="0" w:color="auto"/>
                    <w:right w:val="none" w:sz="0" w:space="0" w:color="auto"/>
                  </w:divBdr>
                  <w:divsChild>
                    <w:div w:id="5536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4113">
      <w:bodyDiv w:val="1"/>
      <w:marLeft w:val="0"/>
      <w:marRight w:val="0"/>
      <w:marTop w:val="0"/>
      <w:marBottom w:val="0"/>
      <w:divBdr>
        <w:top w:val="none" w:sz="0" w:space="0" w:color="auto"/>
        <w:left w:val="none" w:sz="0" w:space="0" w:color="auto"/>
        <w:bottom w:val="none" w:sz="0" w:space="0" w:color="auto"/>
        <w:right w:val="none" w:sz="0" w:space="0" w:color="auto"/>
      </w:divBdr>
      <w:divsChild>
        <w:div w:id="1215390460">
          <w:marLeft w:val="0"/>
          <w:marRight w:val="0"/>
          <w:marTop w:val="0"/>
          <w:marBottom w:val="225"/>
          <w:divBdr>
            <w:top w:val="none" w:sz="0" w:space="0" w:color="auto"/>
            <w:left w:val="none" w:sz="0" w:space="0" w:color="auto"/>
            <w:bottom w:val="none" w:sz="0" w:space="0" w:color="auto"/>
            <w:right w:val="none" w:sz="0" w:space="0" w:color="auto"/>
          </w:divBdr>
        </w:div>
        <w:div w:id="2020160238">
          <w:marLeft w:val="0"/>
          <w:marRight w:val="0"/>
          <w:marTop w:val="0"/>
          <w:marBottom w:val="225"/>
          <w:divBdr>
            <w:top w:val="none" w:sz="0" w:space="0" w:color="auto"/>
            <w:left w:val="none" w:sz="0" w:space="0" w:color="auto"/>
            <w:bottom w:val="none" w:sz="0" w:space="0" w:color="auto"/>
            <w:right w:val="none" w:sz="0" w:space="0" w:color="auto"/>
          </w:divBdr>
        </w:div>
        <w:div w:id="2056271212">
          <w:marLeft w:val="0"/>
          <w:marRight w:val="0"/>
          <w:marTop w:val="0"/>
          <w:marBottom w:val="225"/>
          <w:divBdr>
            <w:top w:val="none" w:sz="0" w:space="0" w:color="auto"/>
            <w:left w:val="none" w:sz="0" w:space="0" w:color="auto"/>
            <w:bottom w:val="none" w:sz="0" w:space="0" w:color="auto"/>
            <w:right w:val="none" w:sz="0" w:space="0" w:color="auto"/>
          </w:divBdr>
        </w:div>
        <w:div w:id="144245907">
          <w:marLeft w:val="0"/>
          <w:marRight w:val="0"/>
          <w:marTop w:val="0"/>
          <w:marBottom w:val="225"/>
          <w:divBdr>
            <w:top w:val="none" w:sz="0" w:space="0" w:color="auto"/>
            <w:left w:val="none" w:sz="0" w:space="0" w:color="auto"/>
            <w:bottom w:val="none" w:sz="0" w:space="0" w:color="auto"/>
            <w:right w:val="none" w:sz="0" w:space="0" w:color="auto"/>
          </w:divBdr>
        </w:div>
        <w:div w:id="2009597148">
          <w:marLeft w:val="0"/>
          <w:marRight w:val="0"/>
          <w:marTop w:val="0"/>
          <w:marBottom w:val="225"/>
          <w:divBdr>
            <w:top w:val="none" w:sz="0" w:space="0" w:color="auto"/>
            <w:left w:val="none" w:sz="0" w:space="0" w:color="auto"/>
            <w:bottom w:val="none" w:sz="0" w:space="0" w:color="auto"/>
            <w:right w:val="none" w:sz="0" w:space="0" w:color="auto"/>
          </w:divBdr>
        </w:div>
        <w:div w:id="1905141848">
          <w:marLeft w:val="0"/>
          <w:marRight w:val="0"/>
          <w:marTop w:val="0"/>
          <w:marBottom w:val="225"/>
          <w:divBdr>
            <w:top w:val="none" w:sz="0" w:space="0" w:color="auto"/>
            <w:left w:val="none" w:sz="0" w:space="0" w:color="auto"/>
            <w:bottom w:val="none" w:sz="0" w:space="0" w:color="auto"/>
            <w:right w:val="none" w:sz="0" w:space="0" w:color="auto"/>
          </w:divBdr>
        </w:div>
        <w:div w:id="1517574793">
          <w:marLeft w:val="0"/>
          <w:marRight w:val="0"/>
          <w:marTop w:val="0"/>
          <w:marBottom w:val="225"/>
          <w:divBdr>
            <w:top w:val="none" w:sz="0" w:space="0" w:color="auto"/>
            <w:left w:val="none" w:sz="0" w:space="0" w:color="auto"/>
            <w:bottom w:val="none" w:sz="0" w:space="0" w:color="auto"/>
            <w:right w:val="none" w:sz="0" w:space="0" w:color="auto"/>
          </w:divBdr>
        </w:div>
        <w:div w:id="1483277859">
          <w:marLeft w:val="0"/>
          <w:marRight w:val="0"/>
          <w:marTop w:val="0"/>
          <w:marBottom w:val="225"/>
          <w:divBdr>
            <w:top w:val="none" w:sz="0" w:space="0" w:color="auto"/>
            <w:left w:val="none" w:sz="0" w:space="0" w:color="auto"/>
            <w:bottom w:val="none" w:sz="0" w:space="0" w:color="auto"/>
            <w:right w:val="none" w:sz="0" w:space="0" w:color="auto"/>
          </w:divBdr>
        </w:div>
        <w:div w:id="2085489740">
          <w:marLeft w:val="0"/>
          <w:marRight w:val="0"/>
          <w:marTop w:val="0"/>
          <w:marBottom w:val="225"/>
          <w:divBdr>
            <w:top w:val="none" w:sz="0" w:space="0" w:color="auto"/>
            <w:left w:val="none" w:sz="0" w:space="0" w:color="auto"/>
            <w:bottom w:val="none" w:sz="0" w:space="0" w:color="auto"/>
            <w:right w:val="none" w:sz="0" w:space="0" w:color="auto"/>
          </w:divBdr>
        </w:div>
        <w:div w:id="1393968776">
          <w:marLeft w:val="0"/>
          <w:marRight w:val="0"/>
          <w:marTop w:val="0"/>
          <w:marBottom w:val="225"/>
          <w:divBdr>
            <w:top w:val="none" w:sz="0" w:space="0" w:color="auto"/>
            <w:left w:val="none" w:sz="0" w:space="0" w:color="auto"/>
            <w:bottom w:val="none" w:sz="0" w:space="0" w:color="auto"/>
            <w:right w:val="none" w:sz="0" w:space="0" w:color="auto"/>
          </w:divBdr>
        </w:div>
      </w:divsChild>
    </w:div>
    <w:div w:id="1717269335">
      <w:bodyDiv w:val="1"/>
      <w:marLeft w:val="0"/>
      <w:marRight w:val="0"/>
      <w:marTop w:val="0"/>
      <w:marBottom w:val="0"/>
      <w:divBdr>
        <w:top w:val="none" w:sz="0" w:space="0" w:color="auto"/>
        <w:left w:val="none" w:sz="0" w:space="0" w:color="auto"/>
        <w:bottom w:val="none" w:sz="0" w:space="0" w:color="auto"/>
        <w:right w:val="none" w:sz="0" w:space="0" w:color="auto"/>
      </w:divBdr>
      <w:divsChild>
        <w:div w:id="2116249899">
          <w:marLeft w:val="0"/>
          <w:marRight w:val="0"/>
          <w:marTop w:val="0"/>
          <w:marBottom w:val="120"/>
          <w:divBdr>
            <w:top w:val="none" w:sz="0" w:space="0" w:color="auto"/>
            <w:left w:val="none" w:sz="0" w:space="0" w:color="auto"/>
            <w:bottom w:val="none" w:sz="0" w:space="0" w:color="auto"/>
            <w:right w:val="none" w:sz="0" w:space="0" w:color="auto"/>
          </w:divBdr>
        </w:div>
        <w:div w:id="1261570452">
          <w:marLeft w:val="0"/>
          <w:marRight w:val="0"/>
          <w:marTop w:val="0"/>
          <w:marBottom w:val="360"/>
          <w:divBdr>
            <w:top w:val="none" w:sz="0" w:space="0" w:color="auto"/>
            <w:left w:val="none" w:sz="0" w:space="0" w:color="auto"/>
            <w:bottom w:val="none" w:sz="0" w:space="0" w:color="auto"/>
            <w:right w:val="none" w:sz="0" w:space="0" w:color="auto"/>
          </w:divBdr>
        </w:div>
        <w:div w:id="744883199">
          <w:marLeft w:val="0"/>
          <w:marRight w:val="0"/>
          <w:marTop w:val="0"/>
          <w:marBottom w:val="0"/>
          <w:divBdr>
            <w:top w:val="none" w:sz="0" w:space="0" w:color="auto"/>
            <w:left w:val="none" w:sz="0" w:space="0" w:color="auto"/>
            <w:bottom w:val="none" w:sz="0" w:space="0" w:color="auto"/>
            <w:right w:val="none" w:sz="0" w:space="0" w:color="auto"/>
          </w:divBdr>
          <w:divsChild>
            <w:div w:id="2013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F6D2-EC15-4C1C-93E6-48EFDE6E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18079</Words>
  <Characters>103052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120890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Lianne 2 (Spinal)</dc:creator>
  <cp:lastModifiedBy>pcsrc</cp:lastModifiedBy>
  <cp:revision>4</cp:revision>
  <dcterms:created xsi:type="dcterms:W3CDTF">2022-07-18T09:38:00Z</dcterms:created>
  <dcterms:modified xsi:type="dcterms:W3CDTF">2022-08-26T09:29:00Z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http://csl.mendeley.com/styles/25096791/JAMA-HopinLee</vt:lpwstr>
  </property>
  <property fmtid="{D5CDD505-2E9C-101B-9397-08002B2CF9AE}" pid="3" name="Mendeley Recent Style Name 0_1">
    <vt:lpwstr>American Medical Association - Hopin Lee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http://www.zotero.org/styles/journal-of-orthopaedic-and-sports-physical-therapy</vt:lpwstr>
  </property>
  <property fmtid="{D5CDD505-2E9C-101B-9397-08002B2CF9AE}" pid="13" name="Mendeley Recent Style Name 5_1">
    <vt:lpwstr>Journal of Orthopaedic &amp; Sports Physical Therapy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http://www.zotero.org/styles/the-journal-of-pain</vt:lpwstr>
  </property>
  <property fmtid="{D5CDD505-2E9C-101B-9397-08002B2CF9AE}" pid="19" name="Mendeley Recent Style Name 8_1">
    <vt:lpwstr>The Journal of Pain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fba753ec-2f0c-344f-96b0-6f3f25dc2bd4</vt:lpwstr>
  </property>
</Properties>
</file>