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94A0B" w14:textId="181617EB" w:rsidR="0092039B" w:rsidRDefault="0092039B" w:rsidP="00975FF1">
      <w:pPr>
        <w:pStyle w:val="NormalWeb"/>
        <w:spacing w:line="480" w:lineRule="auto"/>
        <w:jc w:val="both"/>
        <w:rPr>
          <w:b/>
          <w:bCs/>
          <w:color w:val="000000" w:themeColor="text1"/>
        </w:rPr>
      </w:pPr>
      <w:r>
        <w:rPr>
          <w:b/>
          <w:bCs/>
          <w:color w:val="000000" w:themeColor="text1"/>
        </w:rPr>
        <w:t>Corresponding Author: Professor Gabe Mythen, University of Liverpool, UK.</w:t>
      </w:r>
    </w:p>
    <w:p w14:paraId="7499125D" w14:textId="77777777" w:rsidR="0092039B" w:rsidRPr="00F76087" w:rsidRDefault="0092039B" w:rsidP="0092039B">
      <w:pPr>
        <w:shd w:val="clear" w:color="auto" w:fill="FFFFFF"/>
        <w:rPr>
          <w:color w:val="333333"/>
        </w:rPr>
      </w:pPr>
      <w:r w:rsidRPr="00F76087">
        <w:rPr>
          <w:color w:val="333333"/>
        </w:rPr>
        <w:t>Department of Sociology, Social Policy and Criminology</w:t>
      </w:r>
    </w:p>
    <w:p w14:paraId="4B5E5537" w14:textId="77777777" w:rsidR="0092039B" w:rsidRPr="00F76087" w:rsidRDefault="0092039B" w:rsidP="0092039B">
      <w:pPr>
        <w:shd w:val="clear" w:color="auto" w:fill="FFFFFF"/>
        <w:rPr>
          <w:color w:val="333333"/>
        </w:rPr>
      </w:pPr>
      <w:r w:rsidRPr="00F76087">
        <w:rPr>
          <w:color w:val="333333"/>
        </w:rPr>
        <w:t>School of Law and Social Justice Building</w:t>
      </w:r>
    </w:p>
    <w:p w14:paraId="6B6985C4" w14:textId="47A9779B" w:rsidR="0092039B" w:rsidRPr="00F76087" w:rsidRDefault="0092039B" w:rsidP="0092039B">
      <w:pPr>
        <w:shd w:val="clear" w:color="auto" w:fill="FFFFFF"/>
        <w:rPr>
          <w:color w:val="333333"/>
        </w:rPr>
      </w:pPr>
      <w:r w:rsidRPr="00F76087">
        <w:rPr>
          <w:color w:val="333333"/>
        </w:rPr>
        <w:t>Chatham Street</w:t>
      </w:r>
    </w:p>
    <w:p w14:paraId="4A3D974E" w14:textId="7CF80BFF" w:rsidR="0092039B" w:rsidRPr="00F76087" w:rsidRDefault="0092039B" w:rsidP="0092039B">
      <w:pPr>
        <w:shd w:val="clear" w:color="auto" w:fill="FFFFFF"/>
        <w:rPr>
          <w:color w:val="333333"/>
        </w:rPr>
      </w:pPr>
      <w:r w:rsidRPr="00F76087">
        <w:rPr>
          <w:color w:val="333333"/>
        </w:rPr>
        <w:t>University of Liverpool</w:t>
      </w:r>
    </w:p>
    <w:p w14:paraId="37E262C7" w14:textId="073F0FE0" w:rsidR="0092039B" w:rsidRPr="00F76087" w:rsidRDefault="0092039B" w:rsidP="0092039B">
      <w:pPr>
        <w:shd w:val="clear" w:color="auto" w:fill="FFFFFF"/>
        <w:rPr>
          <w:color w:val="333333"/>
        </w:rPr>
      </w:pPr>
      <w:r w:rsidRPr="00F76087">
        <w:rPr>
          <w:color w:val="333333"/>
        </w:rPr>
        <w:t>L69 7ZR</w:t>
      </w:r>
    </w:p>
    <w:p w14:paraId="22A04FD0" w14:textId="0733B1F5" w:rsidR="0092039B" w:rsidRPr="00F76087" w:rsidRDefault="0092039B" w:rsidP="00F76087">
      <w:pPr>
        <w:shd w:val="clear" w:color="auto" w:fill="FFFFFF"/>
        <w:rPr>
          <w:color w:val="333333"/>
        </w:rPr>
      </w:pPr>
      <w:r w:rsidRPr="00F76087">
        <w:rPr>
          <w:color w:val="333333"/>
        </w:rPr>
        <w:t>Email: g.mythen@liverpool.ac.uk</w:t>
      </w:r>
    </w:p>
    <w:p w14:paraId="27F9BFD0" w14:textId="334045F0" w:rsidR="00CE383B" w:rsidRDefault="0092039B" w:rsidP="00975FF1">
      <w:pPr>
        <w:pStyle w:val="NormalWeb"/>
        <w:spacing w:line="480" w:lineRule="auto"/>
        <w:jc w:val="both"/>
        <w:rPr>
          <w:b/>
          <w:bCs/>
          <w:color w:val="000000" w:themeColor="text1"/>
        </w:rPr>
      </w:pPr>
      <w:r w:rsidRPr="0092039B">
        <w:rPr>
          <w:b/>
          <w:bCs/>
          <w:color w:val="000000" w:themeColor="text1"/>
        </w:rPr>
        <w:t xml:space="preserve">Co-Author: Dr Samantha Weston, </w:t>
      </w:r>
      <w:proofErr w:type="spellStart"/>
      <w:r w:rsidRPr="0092039B">
        <w:rPr>
          <w:b/>
          <w:bCs/>
          <w:color w:val="000000" w:themeColor="text1"/>
        </w:rPr>
        <w:t>Keele</w:t>
      </w:r>
      <w:proofErr w:type="spellEnd"/>
      <w:r w:rsidRPr="0092039B">
        <w:rPr>
          <w:b/>
          <w:bCs/>
          <w:color w:val="000000" w:themeColor="text1"/>
        </w:rPr>
        <w:t xml:space="preserve"> University, UK</w:t>
      </w:r>
    </w:p>
    <w:p w14:paraId="63CE4308" w14:textId="11B79E53" w:rsidR="00CE383B" w:rsidRPr="00F76087" w:rsidRDefault="00CE383B" w:rsidP="00F76087">
      <w:pPr>
        <w:pStyle w:val="NormalWeb"/>
        <w:spacing w:before="0" w:beforeAutospacing="0" w:after="0" w:afterAutospacing="0"/>
        <w:jc w:val="both"/>
        <w:rPr>
          <w:bCs/>
          <w:color w:val="000000" w:themeColor="text1"/>
        </w:rPr>
      </w:pPr>
      <w:r w:rsidRPr="00F76087">
        <w:rPr>
          <w:bCs/>
          <w:color w:val="000000" w:themeColor="text1"/>
        </w:rPr>
        <w:t>School of Social, Political and Global Studies</w:t>
      </w:r>
    </w:p>
    <w:p w14:paraId="4C418475" w14:textId="2FEA6851" w:rsidR="00CE383B" w:rsidRPr="00F76087" w:rsidRDefault="00CE383B" w:rsidP="00F76087">
      <w:pPr>
        <w:pStyle w:val="NormalWeb"/>
        <w:spacing w:before="0" w:beforeAutospacing="0" w:after="0" w:afterAutospacing="0"/>
        <w:jc w:val="both"/>
        <w:rPr>
          <w:bCs/>
          <w:color w:val="000000" w:themeColor="text1"/>
        </w:rPr>
      </w:pPr>
      <w:r w:rsidRPr="00F76087">
        <w:rPr>
          <w:bCs/>
          <w:color w:val="000000" w:themeColor="text1"/>
        </w:rPr>
        <w:t>Chancellor’s Building</w:t>
      </w:r>
    </w:p>
    <w:p w14:paraId="61CD4B0A" w14:textId="0E0888E6" w:rsidR="00CE383B" w:rsidRPr="00F76087" w:rsidRDefault="00CE383B" w:rsidP="00F76087">
      <w:pPr>
        <w:pStyle w:val="NormalWeb"/>
        <w:spacing w:before="0" w:beforeAutospacing="0" w:after="0" w:afterAutospacing="0"/>
        <w:jc w:val="both"/>
        <w:rPr>
          <w:bCs/>
          <w:color w:val="000000" w:themeColor="text1"/>
        </w:rPr>
      </w:pPr>
      <w:proofErr w:type="spellStart"/>
      <w:r w:rsidRPr="00F76087">
        <w:rPr>
          <w:bCs/>
          <w:color w:val="000000" w:themeColor="text1"/>
        </w:rPr>
        <w:t>Keele</w:t>
      </w:r>
      <w:proofErr w:type="spellEnd"/>
      <w:r w:rsidRPr="00F76087">
        <w:rPr>
          <w:bCs/>
          <w:color w:val="000000" w:themeColor="text1"/>
        </w:rPr>
        <w:t xml:space="preserve"> University</w:t>
      </w:r>
    </w:p>
    <w:p w14:paraId="5D052401" w14:textId="77777777" w:rsidR="00CE383B" w:rsidRDefault="00CE383B" w:rsidP="00CE383B">
      <w:pPr>
        <w:pStyle w:val="NormalWeb"/>
        <w:spacing w:before="0" w:beforeAutospacing="0" w:after="0" w:afterAutospacing="0"/>
        <w:jc w:val="both"/>
        <w:rPr>
          <w:bCs/>
          <w:color w:val="000000" w:themeColor="text1"/>
        </w:rPr>
      </w:pPr>
      <w:r w:rsidRPr="00F76087">
        <w:rPr>
          <w:bCs/>
          <w:color w:val="000000" w:themeColor="text1"/>
        </w:rPr>
        <w:t>ST5 5BG</w:t>
      </w:r>
    </w:p>
    <w:p w14:paraId="3364EC19" w14:textId="0EF80C86" w:rsidR="0092039B" w:rsidRPr="00F76087" w:rsidRDefault="0092039B" w:rsidP="00F76087">
      <w:pPr>
        <w:pStyle w:val="NormalWeb"/>
        <w:spacing w:before="0" w:beforeAutospacing="0" w:after="0" w:afterAutospacing="0"/>
        <w:jc w:val="both"/>
        <w:rPr>
          <w:bCs/>
          <w:color w:val="000000" w:themeColor="text1"/>
        </w:rPr>
      </w:pPr>
      <w:r w:rsidRPr="00F76087">
        <w:rPr>
          <w:bCs/>
          <w:color w:val="000000" w:themeColor="text1"/>
        </w:rPr>
        <w:t>Email: s.k.weston@keele.ac.uk</w:t>
      </w:r>
    </w:p>
    <w:p w14:paraId="4CAD6B00" w14:textId="77777777" w:rsidR="00CE383B" w:rsidRDefault="00CE383B" w:rsidP="00CE383B">
      <w:pPr>
        <w:pStyle w:val="NormalWeb"/>
        <w:spacing w:line="480" w:lineRule="auto"/>
        <w:jc w:val="both"/>
        <w:rPr>
          <w:b/>
          <w:bCs/>
          <w:color w:val="000000" w:themeColor="text1"/>
        </w:rPr>
      </w:pPr>
    </w:p>
    <w:p w14:paraId="31E00F0C" w14:textId="236DF71A" w:rsidR="00CE383B" w:rsidRDefault="0092039B" w:rsidP="00CE383B">
      <w:pPr>
        <w:pStyle w:val="NormalWeb"/>
        <w:spacing w:line="480" w:lineRule="auto"/>
        <w:jc w:val="both"/>
        <w:rPr>
          <w:b/>
          <w:bCs/>
          <w:color w:val="000000" w:themeColor="text1"/>
        </w:rPr>
      </w:pPr>
      <w:r>
        <w:rPr>
          <w:b/>
          <w:bCs/>
          <w:color w:val="000000" w:themeColor="text1"/>
        </w:rPr>
        <w:t>Abstract</w:t>
      </w:r>
    </w:p>
    <w:p w14:paraId="604BD3BC" w14:textId="77777777" w:rsidR="00CE383B" w:rsidRPr="00F76087" w:rsidRDefault="00CE383B" w:rsidP="00CE383B">
      <w:pPr>
        <w:pStyle w:val="NormalWeb"/>
        <w:spacing w:line="480" w:lineRule="auto"/>
        <w:jc w:val="both"/>
      </w:pPr>
      <w:r w:rsidRPr="00F76087">
        <w:t xml:space="preserve">This article draws on data collected from a qualitative study designed to assess the effectiveness of an early intervention programme aimed to raise awareness of Child Sexual Exploitation (CSE) among young people. The programme was implemented by a large police force area referred to as </w:t>
      </w:r>
      <w:proofErr w:type="spellStart"/>
      <w:r w:rsidRPr="00F76087">
        <w:t>Shireland</w:t>
      </w:r>
      <w:proofErr w:type="spellEnd"/>
      <w:r w:rsidRPr="00F76087">
        <w:t xml:space="preserve">. Drawing on semi-structured interviews with those involved in delivering the prevention initiative, we focus on the mobilisation of perceptions of risk and vulnerability as they translate in professional social work practice. More specifically, we wish to examine the extent to which blurring occurs between constructions of ‘risk’ and ‘vulnerability’ in relation to practitioners’ understandings of the dangerousness of young people’s behaviour. Drawing on empirical data, we draw attention to a palpable tension shared between those involved in delivering the programme between expressed understandings which on the one hand universalise vulnerability and, on the other, extricate specific risk factors. </w:t>
      </w:r>
    </w:p>
    <w:p w14:paraId="1D633F68" w14:textId="7BAE1440" w:rsidR="00CE383B" w:rsidRPr="00F76087" w:rsidRDefault="00CE383B" w:rsidP="00F76087">
      <w:pPr>
        <w:pStyle w:val="NormalWeb"/>
        <w:spacing w:line="480" w:lineRule="auto"/>
        <w:jc w:val="both"/>
        <w:rPr>
          <w:b/>
          <w:bCs/>
        </w:rPr>
      </w:pPr>
      <w:r w:rsidRPr="00F76087">
        <w:rPr>
          <w:b/>
        </w:rPr>
        <w:t>Key Words:</w:t>
      </w:r>
      <w:r w:rsidRPr="00F76087">
        <w:t xml:space="preserve"> Child Sexual Exploitation, Pre-emptive Strategies, Risk, Vulnerability.</w:t>
      </w:r>
    </w:p>
    <w:p w14:paraId="4411FE1F" w14:textId="77777777" w:rsidR="0092039B" w:rsidRDefault="0092039B" w:rsidP="00975FF1">
      <w:pPr>
        <w:pStyle w:val="NormalWeb"/>
        <w:spacing w:line="480" w:lineRule="auto"/>
        <w:jc w:val="both"/>
        <w:rPr>
          <w:b/>
          <w:bCs/>
          <w:color w:val="000000" w:themeColor="text1"/>
        </w:rPr>
      </w:pPr>
    </w:p>
    <w:p w14:paraId="01B4412D" w14:textId="77777777" w:rsidR="00E8777E" w:rsidRPr="00E8777E" w:rsidRDefault="00E8777E" w:rsidP="00975FF1">
      <w:pPr>
        <w:pStyle w:val="NormalWeb"/>
        <w:spacing w:line="480" w:lineRule="auto"/>
        <w:jc w:val="both"/>
        <w:rPr>
          <w:b/>
          <w:bCs/>
          <w:color w:val="000000" w:themeColor="text1"/>
        </w:rPr>
      </w:pPr>
      <w:r w:rsidRPr="00E8777E">
        <w:rPr>
          <w:b/>
          <w:bCs/>
          <w:color w:val="000000" w:themeColor="text1"/>
        </w:rPr>
        <w:t>Introduction</w:t>
      </w:r>
    </w:p>
    <w:p w14:paraId="63B05CED" w14:textId="2CFCD138" w:rsidR="00B232E6" w:rsidRDefault="00025388" w:rsidP="00975FF1">
      <w:pPr>
        <w:pStyle w:val="NormalWeb"/>
        <w:spacing w:line="480" w:lineRule="auto"/>
        <w:jc w:val="both"/>
        <w:rPr>
          <w:color w:val="000000" w:themeColor="text1"/>
        </w:rPr>
      </w:pPr>
      <w:r>
        <w:rPr>
          <w:color w:val="000000" w:themeColor="text1"/>
        </w:rPr>
        <w:t xml:space="preserve">In the United Kingdom, responsibility for the </w:t>
      </w:r>
      <w:r w:rsidRPr="00880191">
        <w:rPr>
          <w:color w:val="000000" w:themeColor="text1"/>
        </w:rPr>
        <w:t>protection and safeguarding of children ha</w:t>
      </w:r>
      <w:r>
        <w:rPr>
          <w:color w:val="000000" w:themeColor="text1"/>
        </w:rPr>
        <w:t>s</w:t>
      </w:r>
      <w:r w:rsidRPr="00880191">
        <w:rPr>
          <w:color w:val="000000" w:themeColor="text1"/>
        </w:rPr>
        <w:t xml:space="preserve"> </w:t>
      </w:r>
      <w:r>
        <w:rPr>
          <w:color w:val="000000" w:themeColor="text1"/>
        </w:rPr>
        <w:t xml:space="preserve">historically fallen within </w:t>
      </w:r>
      <w:r w:rsidRPr="00880191">
        <w:rPr>
          <w:color w:val="000000" w:themeColor="text1"/>
        </w:rPr>
        <w:t xml:space="preserve">the </w:t>
      </w:r>
      <w:r>
        <w:rPr>
          <w:color w:val="000000" w:themeColor="text1"/>
        </w:rPr>
        <w:t xml:space="preserve">vocational </w:t>
      </w:r>
      <w:r w:rsidRPr="00880191">
        <w:rPr>
          <w:color w:val="000000" w:themeColor="text1"/>
        </w:rPr>
        <w:t>remit of social work</w:t>
      </w:r>
      <w:r>
        <w:rPr>
          <w:color w:val="000000" w:themeColor="text1"/>
        </w:rPr>
        <w:t>ers</w:t>
      </w:r>
      <w:r w:rsidRPr="00880191">
        <w:rPr>
          <w:color w:val="000000" w:themeColor="text1"/>
        </w:rPr>
        <w:t xml:space="preserve">. However, </w:t>
      </w:r>
      <w:r>
        <w:rPr>
          <w:color w:val="000000" w:themeColor="text1"/>
        </w:rPr>
        <w:t xml:space="preserve">over the last two decades, </w:t>
      </w:r>
      <w:r w:rsidRPr="00880191">
        <w:rPr>
          <w:color w:val="000000" w:themeColor="text1"/>
        </w:rPr>
        <w:t xml:space="preserve">as caseloads </w:t>
      </w:r>
      <w:r>
        <w:rPr>
          <w:color w:val="000000" w:themeColor="text1"/>
        </w:rPr>
        <w:t xml:space="preserve">within the profession have </w:t>
      </w:r>
      <w:r w:rsidRPr="00880191">
        <w:rPr>
          <w:color w:val="000000" w:themeColor="text1"/>
        </w:rPr>
        <w:t>increase</w:t>
      </w:r>
      <w:r>
        <w:rPr>
          <w:color w:val="000000" w:themeColor="text1"/>
        </w:rPr>
        <w:t>d in</w:t>
      </w:r>
      <w:r w:rsidR="00927239">
        <w:rPr>
          <w:color w:val="000000" w:themeColor="text1"/>
        </w:rPr>
        <w:t xml:space="preserve"> line</w:t>
      </w:r>
      <w:r>
        <w:rPr>
          <w:color w:val="000000" w:themeColor="text1"/>
        </w:rPr>
        <w:t xml:space="preserve"> </w:t>
      </w:r>
      <w:r w:rsidR="00927239">
        <w:rPr>
          <w:color w:val="000000" w:themeColor="text1"/>
        </w:rPr>
        <w:t xml:space="preserve">with </w:t>
      </w:r>
      <w:r>
        <w:rPr>
          <w:color w:val="000000" w:themeColor="text1"/>
        </w:rPr>
        <w:t>rising demands,</w:t>
      </w:r>
      <w:r w:rsidRPr="00880191">
        <w:rPr>
          <w:color w:val="000000" w:themeColor="text1"/>
        </w:rPr>
        <w:t xml:space="preserve"> the boundaries of social care pr</w:t>
      </w:r>
      <w:r>
        <w:rPr>
          <w:color w:val="000000" w:themeColor="text1"/>
        </w:rPr>
        <w:t>ovision</w:t>
      </w:r>
      <w:r w:rsidRPr="00880191">
        <w:rPr>
          <w:color w:val="000000" w:themeColor="text1"/>
        </w:rPr>
        <w:t xml:space="preserve"> </w:t>
      </w:r>
      <w:r>
        <w:rPr>
          <w:color w:val="000000" w:themeColor="text1"/>
        </w:rPr>
        <w:t xml:space="preserve">have </w:t>
      </w:r>
      <w:r w:rsidRPr="00880191">
        <w:rPr>
          <w:color w:val="000000" w:themeColor="text1"/>
        </w:rPr>
        <w:t>expand</w:t>
      </w:r>
      <w:r>
        <w:rPr>
          <w:color w:val="000000" w:themeColor="text1"/>
        </w:rPr>
        <w:t>ed</w:t>
      </w:r>
      <w:r w:rsidR="00927239">
        <w:rPr>
          <w:color w:val="000000" w:themeColor="text1"/>
        </w:rPr>
        <w:t xml:space="preserve">. Social work interfaces with a </w:t>
      </w:r>
      <w:r>
        <w:rPr>
          <w:color w:val="000000" w:themeColor="text1"/>
        </w:rPr>
        <w:t>range of adjunct agencies</w:t>
      </w:r>
      <w:r w:rsidR="00927239">
        <w:rPr>
          <w:color w:val="000000" w:themeColor="text1"/>
        </w:rPr>
        <w:t xml:space="preserve"> - </w:t>
      </w:r>
      <w:r w:rsidR="00B232E6">
        <w:rPr>
          <w:color w:val="000000" w:themeColor="text1"/>
        </w:rPr>
        <w:t xml:space="preserve">including </w:t>
      </w:r>
      <w:r>
        <w:rPr>
          <w:color w:val="000000" w:themeColor="text1"/>
        </w:rPr>
        <w:t>the police service</w:t>
      </w:r>
      <w:r w:rsidR="00927239">
        <w:rPr>
          <w:color w:val="000000" w:themeColor="text1"/>
        </w:rPr>
        <w:t xml:space="preserve"> - have proliferated in areas of safeguarding, with </w:t>
      </w:r>
      <w:r>
        <w:rPr>
          <w:color w:val="000000" w:themeColor="text1"/>
        </w:rPr>
        <w:t xml:space="preserve">multi-agency partnerships </w:t>
      </w:r>
      <w:r w:rsidR="00927239">
        <w:rPr>
          <w:color w:val="000000" w:themeColor="text1"/>
        </w:rPr>
        <w:t>designed to protect those</w:t>
      </w:r>
      <w:r>
        <w:rPr>
          <w:color w:val="000000" w:themeColor="text1"/>
        </w:rPr>
        <w:t xml:space="preserve"> ‘at risk’ and/or ‘vulnerable’ various domains</w:t>
      </w:r>
      <w:r w:rsidR="00927239">
        <w:rPr>
          <w:color w:val="000000" w:themeColor="text1"/>
        </w:rPr>
        <w:t xml:space="preserve"> becoming commonplace</w:t>
      </w:r>
      <w:r w:rsidR="0046733A">
        <w:rPr>
          <w:color w:val="000000" w:themeColor="text1"/>
        </w:rPr>
        <w:t>.</w:t>
      </w:r>
      <w:r>
        <w:rPr>
          <w:color w:val="000000" w:themeColor="text1"/>
        </w:rPr>
        <w:t xml:space="preserve"> </w:t>
      </w:r>
    </w:p>
    <w:p w14:paraId="4A14895C" w14:textId="77F267DC" w:rsidR="0046733A" w:rsidRPr="0084099E" w:rsidRDefault="0046733A" w:rsidP="0084099E">
      <w:pPr>
        <w:pStyle w:val="NormalWeb"/>
        <w:spacing w:line="480" w:lineRule="auto"/>
        <w:jc w:val="both"/>
        <w:rPr>
          <w:color w:val="000000" w:themeColor="text1"/>
        </w:rPr>
      </w:pPr>
      <w:r>
        <w:rPr>
          <w:color w:val="000000" w:themeColor="text1"/>
        </w:rPr>
        <w:t xml:space="preserve">One such example, </w:t>
      </w:r>
      <w:r w:rsidR="006F2AA3">
        <w:rPr>
          <w:color w:val="000000" w:themeColor="text1"/>
        </w:rPr>
        <w:t xml:space="preserve">which constitutes </w:t>
      </w:r>
      <w:r>
        <w:rPr>
          <w:color w:val="000000" w:themeColor="text1"/>
        </w:rPr>
        <w:t xml:space="preserve">the focus of this paper, has been the </w:t>
      </w:r>
      <w:r w:rsidR="00CE54DA">
        <w:rPr>
          <w:color w:val="000000" w:themeColor="text1"/>
        </w:rPr>
        <w:t xml:space="preserve">way in which agencies protect and safeguard those thought to be ‘at risk’ and/or ‘vulnerable’ to CSE. </w:t>
      </w:r>
      <w:r w:rsidRPr="000A4A83">
        <w:rPr>
          <w:color w:val="000000" w:themeColor="text1"/>
        </w:rPr>
        <w:t>Following the charges brought against organized ‘gang’ members targeting girls and young women in Rochdale, Derby and Oxford, CSE has been subject to significant national media attention.</w:t>
      </w:r>
      <w:r>
        <w:rPr>
          <w:color w:val="000000" w:themeColor="text1"/>
        </w:rPr>
        <w:t xml:space="preserve"> </w:t>
      </w:r>
      <w:r w:rsidRPr="009422C2">
        <w:rPr>
          <w:color w:val="000000"/>
        </w:rPr>
        <w:t xml:space="preserve">The Independent Inquiry into </w:t>
      </w:r>
      <w:r>
        <w:rPr>
          <w:color w:val="000000"/>
        </w:rPr>
        <w:t xml:space="preserve">the cases </w:t>
      </w:r>
      <w:r w:rsidRPr="009422C2">
        <w:rPr>
          <w:color w:val="000000"/>
        </w:rPr>
        <w:t>in Rotherham catalogued a range of individual and institutional failures</w:t>
      </w:r>
      <w:r>
        <w:rPr>
          <w:color w:val="000000"/>
        </w:rPr>
        <w:t xml:space="preserve"> (Jay, 2014) and raised concerns </w:t>
      </w:r>
      <w:r w:rsidRPr="000A4A83">
        <w:rPr>
          <w:color w:val="000000" w:themeColor="text1"/>
        </w:rPr>
        <w:t>about a lack of awareness amongst professionals about the vulnerabilities that young people may have and the risks that they may be exposed to.</w:t>
      </w:r>
      <w:r>
        <w:rPr>
          <w:color w:val="000000"/>
        </w:rPr>
        <w:t xml:space="preserve"> Not only did these cases highlight the gaps in identifying risk</w:t>
      </w:r>
      <w:r w:rsidR="00576280">
        <w:rPr>
          <w:color w:val="000000"/>
        </w:rPr>
        <w:t>,</w:t>
      </w:r>
      <w:r>
        <w:rPr>
          <w:color w:val="000000"/>
        </w:rPr>
        <w:t xml:space="preserve"> </w:t>
      </w:r>
      <w:r w:rsidR="006F2AA3">
        <w:rPr>
          <w:color w:val="000000"/>
        </w:rPr>
        <w:t>alongside</w:t>
      </w:r>
      <w:r>
        <w:rPr>
          <w:color w:val="000000"/>
        </w:rPr>
        <w:t xml:space="preserve"> failures to respond to complaints made</w:t>
      </w:r>
      <w:r w:rsidR="00576280">
        <w:rPr>
          <w:color w:val="000000"/>
        </w:rPr>
        <w:t>,</w:t>
      </w:r>
      <w:r w:rsidR="006F2AA3">
        <w:rPr>
          <w:color w:val="000000"/>
        </w:rPr>
        <w:t xml:space="preserve"> they</w:t>
      </w:r>
      <w:r>
        <w:rPr>
          <w:color w:val="000000"/>
        </w:rPr>
        <w:t xml:space="preserve"> </w:t>
      </w:r>
      <w:r w:rsidR="006F2AA3">
        <w:rPr>
          <w:color w:val="000000"/>
        </w:rPr>
        <w:t xml:space="preserve">also </w:t>
      </w:r>
      <w:r>
        <w:rPr>
          <w:color w:val="000000"/>
        </w:rPr>
        <w:t xml:space="preserve">prompted </w:t>
      </w:r>
      <w:r>
        <w:rPr>
          <w:color w:val="000000" w:themeColor="text1"/>
        </w:rPr>
        <w:t xml:space="preserve">political and public debate about the </w:t>
      </w:r>
      <w:r w:rsidR="006F2AA3">
        <w:rPr>
          <w:color w:val="000000" w:themeColor="text1"/>
        </w:rPr>
        <w:t xml:space="preserve">widespread nature of the </w:t>
      </w:r>
      <w:r>
        <w:rPr>
          <w:color w:val="000000" w:themeColor="text1"/>
        </w:rPr>
        <w:t>problem of ‘grooming’, whereby children and young people are encouraged into abusive sexual relationships by predatory males.</w:t>
      </w:r>
    </w:p>
    <w:p w14:paraId="74755BE7" w14:textId="6DD37039" w:rsidR="0046733A" w:rsidRPr="0084099E" w:rsidRDefault="0046733A" w:rsidP="0084099E">
      <w:pPr>
        <w:spacing w:line="480" w:lineRule="auto"/>
        <w:jc w:val="both"/>
        <w:rPr>
          <w:color w:val="000000"/>
        </w:rPr>
      </w:pPr>
      <w:r>
        <w:rPr>
          <w:rFonts w:eastAsia="Calibri"/>
        </w:rPr>
        <w:t>C</w:t>
      </w:r>
      <w:r w:rsidR="006F2AA3">
        <w:rPr>
          <w:rFonts w:eastAsia="Calibri"/>
        </w:rPr>
        <w:t xml:space="preserve">oncern and anxiety </w:t>
      </w:r>
      <w:r>
        <w:rPr>
          <w:rFonts w:eastAsia="Calibri"/>
        </w:rPr>
        <w:t>about the behaviour of young people ha</w:t>
      </w:r>
      <w:r w:rsidR="006F2AA3">
        <w:rPr>
          <w:rFonts w:eastAsia="Calibri"/>
        </w:rPr>
        <w:t>s</w:t>
      </w:r>
      <w:r>
        <w:rPr>
          <w:rFonts w:eastAsia="Calibri"/>
        </w:rPr>
        <w:t xml:space="preserve"> become an increasing</w:t>
      </w:r>
      <w:r w:rsidR="006F2AA3">
        <w:rPr>
          <w:rFonts w:eastAsia="Calibri"/>
        </w:rPr>
        <w:t>ly prevalent</w:t>
      </w:r>
      <w:r>
        <w:rPr>
          <w:rFonts w:eastAsia="Calibri"/>
        </w:rPr>
        <w:t xml:space="preserve"> feature in </w:t>
      </w:r>
      <w:r w:rsidR="006F2AA3">
        <w:rPr>
          <w:rFonts w:eastAsia="Calibri"/>
        </w:rPr>
        <w:t xml:space="preserve">media and policy </w:t>
      </w:r>
      <w:r>
        <w:rPr>
          <w:rFonts w:eastAsia="Calibri"/>
        </w:rPr>
        <w:t xml:space="preserve">discourses surrounding young people’s use of online technology, </w:t>
      </w:r>
      <w:r>
        <w:rPr>
          <w:color w:val="000000" w:themeColor="text1"/>
        </w:rPr>
        <w:t>which has been indexed to various ‘</w:t>
      </w:r>
      <w:r w:rsidRPr="009B51E3">
        <w:rPr>
          <w:color w:val="000000" w:themeColor="text1"/>
        </w:rPr>
        <w:t>risk</w:t>
      </w:r>
      <w:r>
        <w:rPr>
          <w:color w:val="000000" w:themeColor="text1"/>
        </w:rPr>
        <w:t>-</w:t>
      </w:r>
      <w:r w:rsidRPr="009B51E3">
        <w:rPr>
          <w:color w:val="000000" w:themeColor="text1"/>
        </w:rPr>
        <w:t xml:space="preserve">taking </w:t>
      </w:r>
      <w:r>
        <w:rPr>
          <w:color w:val="000000" w:themeColor="text1"/>
        </w:rPr>
        <w:t xml:space="preserve">behaviours’, including sexual </w:t>
      </w:r>
      <w:r>
        <w:rPr>
          <w:color w:val="000000" w:themeColor="text1"/>
        </w:rPr>
        <w:lastRenderedPageBreak/>
        <w:t xml:space="preserve">promiscuity, gambling and the glorification of acts of violence. The online space for young people within popular narratives is commonly depicted as one where various </w:t>
      </w:r>
      <w:r w:rsidR="006F2AA3">
        <w:rPr>
          <w:color w:val="000000" w:themeColor="text1"/>
        </w:rPr>
        <w:t xml:space="preserve">character </w:t>
      </w:r>
      <w:r>
        <w:rPr>
          <w:color w:val="000000" w:themeColor="text1"/>
        </w:rPr>
        <w:t xml:space="preserve">flaws and traits </w:t>
      </w:r>
      <w:r w:rsidR="006F2AA3">
        <w:rPr>
          <w:color w:val="000000" w:themeColor="text1"/>
        </w:rPr>
        <w:t>-</w:t>
      </w:r>
      <w:r>
        <w:rPr>
          <w:color w:val="000000" w:themeColor="text1"/>
        </w:rPr>
        <w:t xml:space="preserve"> such as recklessness, nihilism </w:t>
      </w:r>
      <w:r w:rsidRPr="009B51E3">
        <w:rPr>
          <w:color w:val="000000" w:themeColor="text1"/>
        </w:rPr>
        <w:t xml:space="preserve">and </w:t>
      </w:r>
      <w:r>
        <w:rPr>
          <w:color w:val="000000" w:themeColor="text1"/>
        </w:rPr>
        <w:t xml:space="preserve">irresponsible </w:t>
      </w:r>
      <w:r w:rsidRPr="009B51E3">
        <w:rPr>
          <w:color w:val="000000" w:themeColor="text1"/>
        </w:rPr>
        <w:t>decision</w:t>
      </w:r>
      <w:r>
        <w:rPr>
          <w:color w:val="000000" w:themeColor="text1"/>
        </w:rPr>
        <w:t>-</w:t>
      </w:r>
      <w:r w:rsidRPr="009B51E3">
        <w:rPr>
          <w:color w:val="000000" w:themeColor="text1"/>
        </w:rPr>
        <w:t>making</w:t>
      </w:r>
      <w:r>
        <w:rPr>
          <w:color w:val="000000" w:themeColor="text1"/>
        </w:rPr>
        <w:t xml:space="preserve"> </w:t>
      </w:r>
      <w:r w:rsidR="006F2AA3">
        <w:rPr>
          <w:color w:val="000000" w:themeColor="text1"/>
        </w:rPr>
        <w:t>-</w:t>
      </w:r>
      <w:r>
        <w:rPr>
          <w:color w:val="000000" w:themeColor="text1"/>
        </w:rPr>
        <w:t xml:space="preserve"> are </w:t>
      </w:r>
      <w:r w:rsidR="006F2AA3">
        <w:rPr>
          <w:color w:val="000000" w:themeColor="text1"/>
        </w:rPr>
        <w:t xml:space="preserve">both </w:t>
      </w:r>
      <w:r>
        <w:rPr>
          <w:color w:val="000000" w:themeColor="text1"/>
        </w:rPr>
        <w:t>exhibited</w:t>
      </w:r>
      <w:r w:rsidR="006F2AA3">
        <w:rPr>
          <w:color w:val="000000" w:themeColor="text1"/>
        </w:rPr>
        <w:t xml:space="preserve"> and exploited</w:t>
      </w:r>
      <w:r>
        <w:rPr>
          <w:color w:val="000000" w:themeColor="text1"/>
        </w:rPr>
        <w:t xml:space="preserve">. </w:t>
      </w:r>
      <w:r>
        <w:rPr>
          <w:color w:val="000000"/>
        </w:rPr>
        <w:t>D</w:t>
      </w:r>
      <w:r w:rsidRPr="009422C2">
        <w:rPr>
          <w:color w:val="000000"/>
        </w:rPr>
        <w:t xml:space="preserve">espite </w:t>
      </w:r>
      <w:r w:rsidR="006F2AA3">
        <w:rPr>
          <w:color w:val="000000"/>
        </w:rPr>
        <w:t xml:space="preserve">contrary evidence regarding </w:t>
      </w:r>
      <w:r>
        <w:rPr>
          <w:color w:val="000000"/>
        </w:rPr>
        <w:t xml:space="preserve">the </w:t>
      </w:r>
      <w:r w:rsidRPr="009422C2">
        <w:rPr>
          <w:color w:val="000000"/>
        </w:rPr>
        <w:t xml:space="preserve">positive learning experiences </w:t>
      </w:r>
      <w:r w:rsidR="006F2AA3">
        <w:rPr>
          <w:color w:val="000000"/>
        </w:rPr>
        <w:t xml:space="preserve">that can be accrued through </w:t>
      </w:r>
      <w:r w:rsidRPr="009422C2">
        <w:rPr>
          <w:color w:val="000000"/>
        </w:rPr>
        <w:t xml:space="preserve">internet </w:t>
      </w:r>
      <w:r w:rsidR="006F2AA3">
        <w:rPr>
          <w:color w:val="000000"/>
        </w:rPr>
        <w:t>engagement</w:t>
      </w:r>
      <w:r w:rsidRPr="009422C2">
        <w:rPr>
          <w:color w:val="000000"/>
        </w:rPr>
        <w:t xml:space="preserve"> </w:t>
      </w:r>
      <w:r>
        <w:rPr>
          <w:color w:val="000000"/>
        </w:rPr>
        <w:t xml:space="preserve">(see Brown, et al. 2009; </w:t>
      </w:r>
      <w:r w:rsidRPr="009422C2">
        <w:rPr>
          <w:color w:val="000000"/>
        </w:rPr>
        <w:t>O’Keeffe, et al.</w:t>
      </w:r>
      <w:r>
        <w:rPr>
          <w:color w:val="000000"/>
        </w:rPr>
        <w:t>, 2011)</w:t>
      </w:r>
      <w:r w:rsidRPr="009422C2">
        <w:rPr>
          <w:color w:val="000000"/>
        </w:rPr>
        <w:t>, organisations such as the NSPCC (2019),</w:t>
      </w:r>
      <w:r>
        <w:rPr>
          <w:color w:val="000000"/>
        </w:rPr>
        <w:t xml:space="preserve"> the National Crime Agency (2017) and</w:t>
      </w:r>
      <w:r w:rsidRPr="009422C2">
        <w:rPr>
          <w:color w:val="000000"/>
        </w:rPr>
        <w:t xml:space="preserve"> Know About CSE (2015) have </w:t>
      </w:r>
      <w:r>
        <w:rPr>
          <w:color w:val="000000"/>
        </w:rPr>
        <w:t xml:space="preserve">defined </w:t>
      </w:r>
      <w:r w:rsidRPr="009422C2">
        <w:rPr>
          <w:color w:val="000000"/>
        </w:rPr>
        <w:t xml:space="preserve">the technological environment as </w:t>
      </w:r>
      <w:r>
        <w:rPr>
          <w:color w:val="000000"/>
        </w:rPr>
        <w:t xml:space="preserve">a milieu which is </w:t>
      </w:r>
      <w:r w:rsidRPr="009422C2">
        <w:rPr>
          <w:color w:val="000000"/>
        </w:rPr>
        <w:t>saturated with risk</w:t>
      </w:r>
      <w:r>
        <w:rPr>
          <w:color w:val="000000"/>
        </w:rPr>
        <w:t>s</w:t>
      </w:r>
      <w:r w:rsidRPr="009422C2">
        <w:rPr>
          <w:color w:val="000000"/>
        </w:rPr>
        <w:t xml:space="preserve">, from </w:t>
      </w:r>
      <w:r>
        <w:rPr>
          <w:color w:val="000000"/>
        </w:rPr>
        <w:t xml:space="preserve">internet </w:t>
      </w:r>
      <w:r w:rsidRPr="009422C2">
        <w:rPr>
          <w:color w:val="000000"/>
        </w:rPr>
        <w:t xml:space="preserve">trolls and </w:t>
      </w:r>
      <w:r>
        <w:rPr>
          <w:color w:val="000000"/>
        </w:rPr>
        <w:t xml:space="preserve">radicalisers </w:t>
      </w:r>
      <w:r w:rsidRPr="009422C2">
        <w:rPr>
          <w:color w:val="000000"/>
        </w:rPr>
        <w:t xml:space="preserve">to opportunistic paedophiles. </w:t>
      </w:r>
      <w:r w:rsidR="006F2AA3">
        <w:rPr>
          <w:color w:val="000000"/>
        </w:rPr>
        <w:t xml:space="preserve">Such expressed </w:t>
      </w:r>
      <w:r>
        <w:rPr>
          <w:color w:val="000000"/>
        </w:rPr>
        <w:t>anxieties</w:t>
      </w:r>
      <w:r w:rsidR="00DC715A">
        <w:rPr>
          <w:color w:val="000000"/>
        </w:rPr>
        <w:t xml:space="preserve"> - </w:t>
      </w:r>
      <w:r>
        <w:rPr>
          <w:color w:val="000000"/>
        </w:rPr>
        <w:t xml:space="preserve">coupled with the exposure </w:t>
      </w:r>
      <w:r w:rsidRPr="009422C2">
        <w:rPr>
          <w:color w:val="000000"/>
        </w:rPr>
        <w:t>of high-</w:t>
      </w:r>
      <w:r>
        <w:rPr>
          <w:color w:val="000000"/>
        </w:rPr>
        <w:t xml:space="preserve">profile cases of CSE </w:t>
      </w:r>
      <w:r w:rsidRPr="009422C2">
        <w:rPr>
          <w:color w:val="000000"/>
        </w:rPr>
        <w:t>and transmuting sexual practices amongst young people</w:t>
      </w:r>
      <w:r w:rsidR="00DC715A">
        <w:rPr>
          <w:color w:val="000000"/>
        </w:rPr>
        <w:t xml:space="preserve"> - </w:t>
      </w:r>
      <w:r w:rsidRPr="009422C2">
        <w:rPr>
          <w:color w:val="000000"/>
        </w:rPr>
        <w:t>have placed risk regulating institutions and agencies under increasing p</w:t>
      </w:r>
      <w:r>
        <w:rPr>
          <w:color w:val="000000"/>
        </w:rPr>
        <w:t>ressure to develop pre-emptive safeguarding strategies</w:t>
      </w:r>
      <w:r w:rsidR="006F2AA3">
        <w:rPr>
          <w:color w:val="000000"/>
        </w:rPr>
        <w:t xml:space="preserve">. The Police Service in particular have been </w:t>
      </w:r>
      <w:r>
        <w:rPr>
          <w:color w:val="000000"/>
        </w:rPr>
        <w:t xml:space="preserve">identified as one of the leading agencies to </w:t>
      </w:r>
      <w:r w:rsidR="006F2AA3">
        <w:rPr>
          <w:color w:val="000000"/>
        </w:rPr>
        <w:t>head up and deliver safeguarding initiatives</w:t>
      </w:r>
      <w:r>
        <w:rPr>
          <w:color w:val="000000"/>
        </w:rPr>
        <w:t xml:space="preserve">. Post </w:t>
      </w:r>
      <w:r w:rsidRPr="009422C2">
        <w:rPr>
          <w:color w:val="000000"/>
        </w:rPr>
        <w:t>th</w:t>
      </w:r>
      <w:r>
        <w:rPr>
          <w:color w:val="000000"/>
        </w:rPr>
        <w:t xml:space="preserve">e publication of the Jay Report (2014), </w:t>
      </w:r>
      <w:r w:rsidRPr="009422C2">
        <w:rPr>
          <w:color w:val="000000"/>
        </w:rPr>
        <w:t xml:space="preserve">the </w:t>
      </w:r>
      <w:r w:rsidRPr="000F0C8B">
        <w:t xml:space="preserve">then Prime Minister </w:t>
      </w:r>
      <w:r>
        <w:rPr>
          <w:color w:val="000000"/>
        </w:rPr>
        <w:t>David Cameron</w:t>
      </w:r>
      <w:r w:rsidRPr="009422C2">
        <w:rPr>
          <w:color w:val="000000"/>
        </w:rPr>
        <w:t xml:space="preserve"> categorized CSE as a ‘national threat’</w:t>
      </w:r>
      <w:r>
        <w:rPr>
          <w:color w:val="000000"/>
        </w:rPr>
        <w:t>,</w:t>
      </w:r>
      <w:r w:rsidRPr="009422C2">
        <w:rPr>
          <w:color w:val="000000"/>
        </w:rPr>
        <w:t xml:space="preserve"> directing police forces to collaborate more effectively across regional boundaries </w:t>
      </w:r>
      <w:r>
        <w:rPr>
          <w:color w:val="000000"/>
        </w:rPr>
        <w:t xml:space="preserve">in order to better protect </w:t>
      </w:r>
      <w:r w:rsidRPr="009422C2">
        <w:rPr>
          <w:color w:val="000000"/>
        </w:rPr>
        <w:t>children (</w:t>
      </w:r>
      <w:r>
        <w:rPr>
          <w:color w:val="000000"/>
        </w:rPr>
        <w:t xml:space="preserve">see </w:t>
      </w:r>
      <w:r w:rsidRPr="009422C2">
        <w:rPr>
          <w:color w:val="000000"/>
        </w:rPr>
        <w:t xml:space="preserve">HM Government, 2015). </w:t>
      </w:r>
      <w:r>
        <w:rPr>
          <w:color w:val="000000"/>
        </w:rPr>
        <w:t xml:space="preserve">To this end, policing agencies have taken on an increasingly prominent role across a wide range of social and welfare demand </w:t>
      </w:r>
      <w:r w:rsidR="0074096B">
        <w:rPr>
          <w:color w:val="000000"/>
        </w:rPr>
        <w:t xml:space="preserve">associated with protecting vulnerable people </w:t>
      </w:r>
      <w:r>
        <w:rPr>
          <w:color w:val="000000"/>
        </w:rPr>
        <w:t>(</w:t>
      </w:r>
      <w:r w:rsidR="006F2AA3">
        <w:rPr>
          <w:color w:val="000000"/>
        </w:rPr>
        <w:t xml:space="preserve">see </w:t>
      </w:r>
      <w:r w:rsidR="0074096B">
        <w:rPr>
          <w:color w:val="000000"/>
        </w:rPr>
        <w:t xml:space="preserve">National Police Chief’s Council, 2018; </w:t>
      </w:r>
      <w:r>
        <w:rPr>
          <w:color w:val="000000"/>
        </w:rPr>
        <w:t xml:space="preserve">Walley and Adams, 2019) with </w:t>
      </w:r>
      <w:r w:rsidR="00CE54DA">
        <w:rPr>
          <w:color w:val="000000"/>
        </w:rPr>
        <w:t xml:space="preserve">some </w:t>
      </w:r>
      <w:r w:rsidR="006F2AA3">
        <w:rPr>
          <w:color w:val="000000"/>
        </w:rPr>
        <w:t xml:space="preserve">going as far as </w:t>
      </w:r>
      <w:r w:rsidR="00CE54DA">
        <w:rPr>
          <w:color w:val="000000"/>
        </w:rPr>
        <w:t xml:space="preserve">suggesting that </w:t>
      </w:r>
      <w:r>
        <w:rPr>
          <w:color w:val="000000"/>
        </w:rPr>
        <w:t xml:space="preserve">the portfolio of the police service </w:t>
      </w:r>
      <w:r w:rsidR="00CE54DA">
        <w:rPr>
          <w:color w:val="000000"/>
        </w:rPr>
        <w:t xml:space="preserve">has broadened </w:t>
      </w:r>
      <w:r>
        <w:rPr>
          <w:color w:val="000000"/>
        </w:rPr>
        <w:t>‘to fill the gaps that other agencies cannot’ (HMIC, 2017).</w:t>
      </w:r>
    </w:p>
    <w:p w14:paraId="40761899" w14:textId="7565DD36" w:rsidR="001311A1" w:rsidRPr="00E8777E" w:rsidRDefault="00CB36CC" w:rsidP="00975FF1">
      <w:pPr>
        <w:pStyle w:val="NormalWeb"/>
        <w:spacing w:line="480" w:lineRule="auto"/>
        <w:jc w:val="both"/>
        <w:rPr>
          <w:color w:val="000000" w:themeColor="text1"/>
        </w:rPr>
      </w:pPr>
      <w:r w:rsidRPr="00E8777E">
        <w:rPr>
          <w:color w:val="000000" w:themeColor="text1"/>
        </w:rPr>
        <w:t xml:space="preserve">This trend notwithstanding, </w:t>
      </w:r>
      <w:r w:rsidR="001311A1" w:rsidRPr="00E8777E">
        <w:rPr>
          <w:color w:val="000000" w:themeColor="text1"/>
        </w:rPr>
        <w:t xml:space="preserve">the way in which concepts of ‘risk’ and ‘vulnerability’ are operationalised </w:t>
      </w:r>
      <w:r w:rsidR="00CE54DA">
        <w:rPr>
          <w:color w:val="000000" w:themeColor="text1"/>
        </w:rPr>
        <w:t xml:space="preserve">within these types of </w:t>
      </w:r>
      <w:r w:rsidR="001311A1" w:rsidRPr="00E8777E">
        <w:rPr>
          <w:color w:val="000000" w:themeColor="text1"/>
        </w:rPr>
        <w:t xml:space="preserve">social work </w:t>
      </w:r>
      <w:r w:rsidR="008B0102">
        <w:rPr>
          <w:color w:val="000000" w:themeColor="text1"/>
        </w:rPr>
        <w:t>spaces</w:t>
      </w:r>
      <w:r w:rsidR="008B0102" w:rsidRPr="00E8777E">
        <w:rPr>
          <w:color w:val="000000" w:themeColor="text1"/>
        </w:rPr>
        <w:t xml:space="preserve"> </w:t>
      </w:r>
      <w:r w:rsidR="001311A1" w:rsidRPr="00E8777E">
        <w:rPr>
          <w:color w:val="000000" w:themeColor="text1"/>
        </w:rPr>
        <w:t>is ill defined</w:t>
      </w:r>
      <w:r w:rsidRPr="00E8777E">
        <w:rPr>
          <w:color w:val="000000" w:themeColor="text1"/>
        </w:rPr>
        <w:t xml:space="preserve"> and requires</w:t>
      </w:r>
      <w:r w:rsidR="00E8777E" w:rsidRPr="00E8777E">
        <w:rPr>
          <w:color w:val="000000" w:themeColor="text1"/>
        </w:rPr>
        <w:t xml:space="preserve"> examination</w:t>
      </w:r>
      <w:r w:rsidRPr="00E8777E">
        <w:rPr>
          <w:color w:val="000000" w:themeColor="text1"/>
        </w:rPr>
        <w:t xml:space="preserve">. </w:t>
      </w:r>
      <w:r w:rsidR="00036D2C" w:rsidRPr="00E8777E">
        <w:rPr>
          <w:color w:val="000000" w:themeColor="text1"/>
        </w:rPr>
        <w:t xml:space="preserve">In </w:t>
      </w:r>
      <w:r w:rsidRPr="00E8777E">
        <w:rPr>
          <w:color w:val="000000" w:themeColor="text1"/>
        </w:rPr>
        <w:t xml:space="preserve">this article we wish to </w:t>
      </w:r>
      <w:r w:rsidR="00E8777E" w:rsidRPr="00E8777E">
        <w:rPr>
          <w:color w:val="000000" w:themeColor="text1"/>
        </w:rPr>
        <w:t xml:space="preserve">elucidate some of </w:t>
      </w:r>
      <w:r w:rsidRPr="00E8777E">
        <w:rPr>
          <w:color w:val="000000" w:themeColor="text1"/>
        </w:rPr>
        <w:t xml:space="preserve">the key dilemmas and conundrums that those involved in delivering social work </w:t>
      </w:r>
      <w:r w:rsidR="00036D2C" w:rsidRPr="00E8777E">
        <w:rPr>
          <w:color w:val="000000" w:themeColor="text1"/>
        </w:rPr>
        <w:t xml:space="preserve">in one particular context </w:t>
      </w:r>
      <w:r w:rsidRPr="00E8777E">
        <w:rPr>
          <w:color w:val="000000" w:themeColor="text1"/>
        </w:rPr>
        <w:t>face in their day-to-day professional lives</w:t>
      </w:r>
      <w:r w:rsidR="001311A1" w:rsidRPr="00E8777E">
        <w:rPr>
          <w:color w:val="000000" w:themeColor="text1"/>
        </w:rPr>
        <w:t>.</w:t>
      </w:r>
      <w:r w:rsidR="00036D2C" w:rsidRPr="00E8777E">
        <w:rPr>
          <w:color w:val="000000" w:themeColor="text1"/>
        </w:rPr>
        <w:t xml:space="preserve"> </w:t>
      </w:r>
      <w:r w:rsidR="0074096B">
        <w:rPr>
          <w:color w:val="000000" w:themeColor="text1"/>
        </w:rPr>
        <w:t>I</w:t>
      </w:r>
      <w:r w:rsidRPr="00E8777E">
        <w:rPr>
          <w:color w:val="000000" w:themeColor="text1"/>
        </w:rPr>
        <w:t>t is our primary intention</w:t>
      </w:r>
      <w:r w:rsidR="00DC715A">
        <w:rPr>
          <w:color w:val="000000" w:themeColor="text1"/>
        </w:rPr>
        <w:t xml:space="preserve"> </w:t>
      </w:r>
      <w:r w:rsidRPr="00E8777E">
        <w:rPr>
          <w:color w:val="000000" w:themeColor="text1"/>
        </w:rPr>
        <w:t xml:space="preserve">to </w:t>
      </w:r>
      <w:r w:rsidR="00DC715A">
        <w:rPr>
          <w:color w:val="000000" w:themeColor="text1"/>
        </w:rPr>
        <w:t xml:space="preserve">excavate and </w:t>
      </w:r>
      <w:r w:rsidRPr="00E8777E">
        <w:rPr>
          <w:color w:val="000000" w:themeColor="text1"/>
        </w:rPr>
        <w:t xml:space="preserve">problematise the mobilisation of </w:t>
      </w:r>
      <w:r w:rsidRPr="00E8777E">
        <w:rPr>
          <w:color w:val="000000" w:themeColor="text1"/>
        </w:rPr>
        <w:lastRenderedPageBreak/>
        <w:t xml:space="preserve">discourses of risk and vulnerability in </w:t>
      </w:r>
      <w:r w:rsidR="00E8777E" w:rsidRPr="00E8777E">
        <w:rPr>
          <w:color w:val="000000" w:themeColor="text1"/>
        </w:rPr>
        <w:t xml:space="preserve">a particular area </w:t>
      </w:r>
      <w:r w:rsidRPr="00E8777E">
        <w:rPr>
          <w:color w:val="000000" w:themeColor="text1"/>
        </w:rPr>
        <w:t>of safeguarding</w:t>
      </w:r>
      <w:r w:rsidR="00DC715A">
        <w:rPr>
          <w:color w:val="000000" w:themeColor="text1"/>
        </w:rPr>
        <w:t xml:space="preserve">, </w:t>
      </w:r>
      <w:r w:rsidR="00E8777E" w:rsidRPr="00E8777E">
        <w:rPr>
          <w:color w:val="000000" w:themeColor="text1"/>
        </w:rPr>
        <w:t>CSE</w:t>
      </w:r>
      <w:r w:rsidR="00DC715A">
        <w:rPr>
          <w:color w:val="000000" w:themeColor="text1"/>
        </w:rPr>
        <w:t>. The primary data that we draw upon</w:t>
      </w:r>
      <w:r w:rsidRPr="00E8777E">
        <w:rPr>
          <w:color w:val="000000" w:themeColor="text1"/>
        </w:rPr>
        <w:t xml:space="preserve"> </w:t>
      </w:r>
      <w:r w:rsidR="00DC715A">
        <w:rPr>
          <w:color w:val="000000" w:themeColor="text1"/>
        </w:rPr>
        <w:t xml:space="preserve">suggests a need for </w:t>
      </w:r>
      <w:r w:rsidRPr="00E8777E">
        <w:rPr>
          <w:color w:val="000000" w:themeColor="text1"/>
        </w:rPr>
        <w:t xml:space="preserve">deeper reflection on </w:t>
      </w:r>
      <w:r w:rsidRPr="00E8777E">
        <w:rPr>
          <w:color w:val="000000"/>
          <w:bdr w:val="none" w:sz="0" w:space="0" w:color="auto" w:frame="1"/>
        </w:rPr>
        <w:t xml:space="preserve">the ways in which </w:t>
      </w:r>
      <w:r w:rsidR="008B0102">
        <w:rPr>
          <w:color w:val="000000"/>
          <w:bdr w:val="none" w:sz="0" w:space="0" w:color="auto" w:frame="1"/>
        </w:rPr>
        <w:t xml:space="preserve">practitioners working within </w:t>
      </w:r>
      <w:r w:rsidR="006F2AA3">
        <w:rPr>
          <w:color w:val="000000"/>
          <w:bdr w:val="none" w:sz="0" w:space="0" w:color="auto" w:frame="1"/>
        </w:rPr>
        <w:t xml:space="preserve">what have </w:t>
      </w:r>
      <w:r w:rsidR="008B0102">
        <w:rPr>
          <w:color w:val="000000"/>
          <w:bdr w:val="none" w:sz="0" w:space="0" w:color="auto" w:frame="1"/>
        </w:rPr>
        <w:t xml:space="preserve">traditionally </w:t>
      </w:r>
      <w:r w:rsidR="006F2AA3">
        <w:rPr>
          <w:color w:val="000000"/>
          <w:bdr w:val="none" w:sz="0" w:space="0" w:color="auto" w:frame="1"/>
        </w:rPr>
        <w:t xml:space="preserve">been </w:t>
      </w:r>
      <w:r w:rsidR="008B0102">
        <w:rPr>
          <w:color w:val="000000"/>
          <w:bdr w:val="none" w:sz="0" w:space="0" w:color="auto" w:frame="1"/>
        </w:rPr>
        <w:t xml:space="preserve">regarded </w:t>
      </w:r>
      <w:r w:rsidR="006F2AA3">
        <w:rPr>
          <w:color w:val="000000"/>
          <w:bdr w:val="none" w:sz="0" w:space="0" w:color="auto" w:frame="1"/>
        </w:rPr>
        <w:t xml:space="preserve">as </w:t>
      </w:r>
      <w:r w:rsidR="008B0102">
        <w:rPr>
          <w:color w:val="000000"/>
          <w:bdr w:val="none" w:sz="0" w:space="0" w:color="auto" w:frame="1"/>
        </w:rPr>
        <w:t xml:space="preserve">social work spaces </w:t>
      </w:r>
      <w:r w:rsidRPr="00E8777E">
        <w:rPr>
          <w:color w:val="000000"/>
          <w:bdr w:val="none" w:sz="0" w:space="0" w:color="auto" w:frame="1"/>
        </w:rPr>
        <w:t xml:space="preserve">navigate the boundaries of safeguarding youth in </w:t>
      </w:r>
      <w:r w:rsidR="00036D2C" w:rsidRPr="00E8777E">
        <w:rPr>
          <w:color w:val="000000"/>
          <w:bdr w:val="none" w:sz="0" w:space="0" w:color="auto" w:frame="1"/>
        </w:rPr>
        <w:t xml:space="preserve">milieus </w:t>
      </w:r>
      <w:r w:rsidRPr="00E8777E">
        <w:rPr>
          <w:color w:val="000000"/>
          <w:bdr w:val="none" w:sz="0" w:space="0" w:color="auto" w:frame="1"/>
        </w:rPr>
        <w:t>in which there is a gravitational pull towards deploying</w:t>
      </w:r>
      <w:r w:rsidR="00F55E8E" w:rsidRPr="00E8777E">
        <w:rPr>
          <w:color w:val="000000"/>
          <w:bdr w:val="none" w:sz="0" w:space="0" w:color="auto" w:frame="1"/>
        </w:rPr>
        <w:t xml:space="preserve"> modes of social control </w:t>
      </w:r>
      <w:r w:rsidR="00E8777E" w:rsidRPr="00E8777E">
        <w:rPr>
          <w:color w:val="000000"/>
          <w:bdr w:val="none" w:sz="0" w:space="0" w:color="auto" w:frame="1"/>
        </w:rPr>
        <w:t>as a</w:t>
      </w:r>
      <w:r w:rsidR="006F2AA3">
        <w:rPr>
          <w:color w:val="000000"/>
          <w:bdr w:val="none" w:sz="0" w:space="0" w:color="auto" w:frame="1"/>
        </w:rPr>
        <w:t xml:space="preserve">n integral </w:t>
      </w:r>
      <w:r w:rsidR="00E8777E" w:rsidRPr="00E8777E">
        <w:rPr>
          <w:color w:val="000000"/>
          <w:bdr w:val="none" w:sz="0" w:space="0" w:color="auto" w:frame="1"/>
        </w:rPr>
        <w:t xml:space="preserve">component of </w:t>
      </w:r>
      <w:r w:rsidR="00F55E8E" w:rsidRPr="00E8777E">
        <w:rPr>
          <w:color w:val="000000"/>
          <w:bdr w:val="none" w:sz="0" w:space="0" w:color="auto" w:frame="1"/>
        </w:rPr>
        <w:t xml:space="preserve">risk </w:t>
      </w:r>
      <w:r w:rsidRPr="00E8777E">
        <w:rPr>
          <w:color w:val="000000"/>
          <w:bdr w:val="none" w:sz="0" w:space="0" w:color="auto" w:frame="1"/>
        </w:rPr>
        <w:t>prevention</w:t>
      </w:r>
      <w:r w:rsidR="00F55E8E" w:rsidRPr="00E8777E">
        <w:rPr>
          <w:color w:val="000000"/>
          <w:bdr w:val="none" w:sz="0" w:space="0" w:color="auto" w:frame="1"/>
        </w:rPr>
        <w:t xml:space="preserve"> strateg</w:t>
      </w:r>
      <w:r w:rsidR="00036D2C" w:rsidRPr="00E8777E">
        <w:rPr>
          <w:color w:val="000000"/>
          <w:bdr w:val="none" w:sz="0" w:space="0" w:color="auto" w:frame="1"/>
        </w:rPr>
        <w:t>ies</w:t>
      </w:r>
      <w:r w:rsidR="00F55E8E" w:rsidRPr="00E8777E">
        <w:rPr>
          <w:color w:val="000000"/>
          <w:bdr w:val="none" w:sz="0" w:space="0" w:color="auto" w:frame="1"/>
        </w:rPr>
        <w:t>.</w:t>
      </w:r>
    </w:p>
    <w:p w14:paraId="5860F24B" w14:textId="6F7A6758" w:rsidR="00CE54DA" w:rsidRDefault="00CE54DA" w:rsidP="000675E8">
      <w:pPr>
        <w:autoSpaceDE w:val="0"/>
        <w:autoSpaceDN w:val="0"/>
        <w:adjustRightInd w:val="0"/>
        <w:spacing w:line="480" w:lineRule="auto"/>
        <w:jc w:val="both"/>
      </w:pPr>
      <w:r>
        <w:rPr>
          <w:color w:val="000000" w:themeColor="text1"/>
        </w:rPr>
        <w:t xml:space="preserve">Amidst the myriad </w:t>
      </w:r>
      <w:r w:rsidRPr="00F324F5">
        <w:rPr>
          <w:color w:val="000000" w:themeColor="text1"/>
        </w:rPr>
        <w:t>discourse</w:t>
      </w:r>
      <w:r>
        <w:rPr>
          <w:color w:val="000000" w:themeColor="text1"/>
        </w:rPr>
        <w:t xml:space="preserve">s that cluster around CSE, </w:t>
      </w:r>
      <w:r w:rsidRPr="00F324F5">
        <w:rPr>
          <w:color w:val="000000" w:themeColor="text1"/>
        </w:rPr>
        <w:t>concepts of ‘risk’ and ‘vulnerability’</w:t>
      </w:r>
      <w:r>
        <w:rPr>
          <w:color w:val="000000" w:themeColor="text1"/>
        </w:rPr>
        <w:t xml:space="preserve"> loom large. Moreover, as we will go on to discuss, these concepts </w:t>
      </w:r>
      <w:r w:rsidRPr="00F324F5">
        <w:rPr>
          <w:color w:val="000000" w:themeColor="text1"/>
        </w:rPr>
        <w:t xml:space="preserve">are </w:t>
      </w:r>
      <w:r>
        <w:rPr>
          <w:color w:val="000000" w:themeColor="text1"/>
        </w:rPr>
        <w:t xml:space="preserve">frequently </w:t>
      </w:r>
      <w:r w:rsidRPr="00F324F5">
        <w:rPr>
          <w:color w:val="000000" w:themeColor="text1"/>
        </w:rPr>
        <w:t xml:space="preserve">used interchangeably </w:t>
      </w:r>
      <w:r>
        <w:rPr>
          <w:color w:val="000000" w:themeColor="text1"/>
        </w:rPr>
        <w:t xml:space="preserve">with </w:t>
      </w:r>
      <w:r w:rsidRPr="00F324F5">
        <w:rPr>
          <w:color w:val="000000" w:themeColor="text1"/>
        </w:rPr>
        <w:t>distinction(s) between the two</w:t>
      </w:r>
      <w:r>
        <w:rPr>
          <w:color w:val="000000" w:themeColor="text1"/>
        </w:rPr>
        <w:t xml:space="preserve"> being, at best, oblique. While </w:t>
      </w:r>
      <w:r w:rsidRPr="00B97A87">
        <w:rPr>
          <w:color w:val="000000" w:themeColor="text1"/>
        </w:rPr>
        <w:t xml:space="preserve">criminal justice agencies </w:t>
      </w:r>
      <w:r>
        <w:rPr>
          <w:color w:val="000000" w:themeColor="text1"/>
        </w:rPr>
        <w:t xml:space="preserve">routinely </w:t>
      </w:r>
      <w:r w:rsidRPr="00B97A87">
        <w:rPr>
          <w:color w:val="000000" w:themeColor="text1"/>
        </w:rPr>
        <w:t>use the term vulnerability to refer to the elevated risks that young people face</w:t>
      </w:r>
      <w:r>
        <w:rPr>
          <w:color w:val="000000" w:themeColor="text1"/>
        </w:rPr>
        <w:t xml:space="preserve">, the concept </w:t>
      </w:r>
      <w:r w:rsidRPr="00B97A87">
        <w:rPr>
          <w:color w:val="000000" w:themeColor="text1"/>
        </w:rPr>
        <w:t xml:space="preserve">is </w:t>
      </w:r>
      <w:r>
        <w:rPr>
          <w:color w:val="000000" w:themeColor="text1"/>
        </w:rPr>
        <w:t xml:space="preserve">also </w:t>
      </w:r>
      <w:r w:rsidRPr="00B97A87">
        <w:rPr>
          <w:color w:val="000000" w:themeColor="text1"/>
        </w:rPr>
        <w:t>associated with those inclined to engage in ‘risky’ behaviours (</w:t>
      </w:r>
      <w:r>
        <w:rPr>
          <w:color w:val="000000" w:themeColor="text1"/>
        </w:rPr>
        <w:t xml:space="preserve">see </w:t>
      </w:r>
      <w:r w:rsidRPr="00B97A87">
        <w:rPr>
          <w:color w:val="000000" w:themeColor="text1"/>
        </w:rPr>
        <w:t xml:space="preserve">Brown, 2011). </w:t>
      </w:r>
      <w:r w:rsidRPr="00856897">
        <w:t>Although individual circumstances may</w:t>
      </w:r>
      <w:r>
        <w:t xml:space="preserve"> </w:t>
      </w:r>
      <w:r w:rsidRPr="00856897">
        <w:t xml:space="preserve">demand that the concepts </w:t>
      </w:r>
      <w:r>
        <w:t xml:space="preserve">of ‘risk’ and ‘vulnerability’ </w:t>
      </w:r>
      <w:r w:rsidRPr="00856897">
        <w:t xml:space="preserve">are applied interchangeably, </w:t>
      </w:r>
      <w:r>
        <w:rPr>
          <w:color w:val="000000" w:themeColor="text1"/>
        </w:rPr>
        <w:t xml:space="preserve">drawing on evidence from a specific environ, </w:t>
      </w:r>
      <w:r>
        <w:t xml:space="preserve">we argue that a </w:t>
      </w:r>
      <w:r w:rsidRPr="00856897">
        <w:t xml:space="preserve">lack of consensus about the definitions of </w:t>
      </w:r>
      <w:r>
        <w:t xml:space="preserve">such terms can </w:t>
      </w:r>
      <w:r w:rsidRPr="00856897">
        <w:t xml:space="preserve">lead </w:t>
      </w:r>
      <w:r>
        <w:t xml:space="preserve">to </w:t>
      </w:r>
      <w:r w:rsidRPr="00123F65">
        <w:t xml:space="preserve">practitioners imposing them </w:t>
      </w:r>
      <w:r>
        <w:t xml:space="preserve">in </w:t>
      </w:r>
      <w:r w:rsidRPr="00123F65">
        <w:t xml:space="preserve">a way that either aligns with normative understandings of ‘risky’ behaviour </w:t>
      </w:r>
      <w:r w:rsidR="00C61A0C">
        <w:t xml:space="preserve">on the one hand, and </w:t>
      </w:r>
      <w:r>
        <w:t>universalises risk</w:t>
      </w:r>
      <w:r w:rsidR="00C61A0C">
        <w:t xml:space="preserve"> on the other</w:t>
      </w:r>
      <w:r w:rsidRPr="00123F65">
        <w:t xml:space="preserve">. </w:t>
      </w:r>
      <w:r>
        <w:t>As</w:t>
      </w:r>
      <w:r w:rsidR="00C61A0C">
        <w:t xml:space="preserve"> we will go on to illustrate, a knock-on consequence of the stretchiness with which concepts of risk and vulnerability are applied and mobilised</w:t>
      </w:r>
      <w:r>
        <w:t xml:space="preserve"> </w:t>
      </w:r>
      <w:r w:rsidR="00DC715A">
        <w:t>may</w:t>
      </w:r>
      <w:r w:rsidR="00C61A0C">
        <w:t xml:space="preserve"> </w:t>
      </w:r>
      <w:r w:rsidR="00DC715A">
        <w:t xml:space="preserve">potentially </w:t>
      </w:r>
      <w:r w:rsidR="00C61A0C">
        <w:t xml:space="preserve">lead to </w:t>
      </w:r>
      <w:r w:rsidRPr="00123F65">
        <w:t xml:space="preserve">those who </w:t>
      </w:r>
      <w:r>
        <w:t>may be</w:t>
      </w:r>
      <w:r w:rsidRPr="00123F65">
        <w:t xml:space="preserve"> most likely to be victimised</w:t>
      </w:r>
      <w:r w:rsidR="00C61A0C">
        <w:t xml:space="preserve"> being overlooked.</w:t>
      </w:r>
      <w:r w:rsidRPr="00123F65">
        <w:t xml:space="preserve"> </w:t>
      </w:r>
    </w:p>
    <w:p w14:paraId="0378EE16" w14:textId="6BE5EF7A" w:rsidR="00CE54DA" w:rsidRPr="00CE54DA" w:rsidRDefault="00CE54DA" w:rsidP="009B5C06">
      <w:pPr>
        <w:pStyle w:val="NormalWeb"/>
        <w:spacing w:line="480" w:lineRule="auto"/>
        <w:jc w:val="both"/>
      </w:pPr>
      <w:r w:rsidRPr="00CE54DA">
        <w:rPr>
          <w:color w:val="000000" w:themeColor="text1"/>
        </w:rPr>
        <w:t xml:space="preserve">Within the context of the trends and patterns delineated above, we posit that discourses of ‘risk’ and ‘vulnerability’ have become overused currencies. As the data we draw upon suggests, the safeguarding mechanisms that </w:t>
      </w:r>
      <w:r w:rsidR="00D3551F">
        <w:rPr>
          <w:color w:val="000000" w:themeColor="text1"/>
        </w:rPr>
        <w:t xml:space="preserve">discourses of </w:t>
      </w:r>
      <w:r w:rsidRPr="00CE54DA">
        <w:rPr>
          <w:color w:val="000000" w:themeColor="text1"/>
        </w:rPr>
        <w:t xml:space="preserve">risk </w:t>
      </w:r>
      <w:r w:rsidR="00D3551F">
        <w:rPr>
          <w:color w:val="000000" w:themeColor="text1"/>
        </w:rPr>
        <w:t xml:space="preserve">and vulnerability </w:t>
      </w:r>
      <w:r w:rsidRPr="00CE54DA">
        <w:rPr>
          <w:color w:val="000000" w:themeColor="text1"/>
        </w:rPr>
        <w:t xml:space="preserve">activate within the reimagined and mutable boundaries of social work practice can serve to </w:t>
      </w:r>
      <w:r w:rsidR="00C61A0C">
        <w:rPr>
          <w:color w:val="000000" w:themeColor="text1"/>
        </w:rPr>
        <w:t xml:space="preserve">ease </w:t>
      </w:r>
      <w:r w:rsidRPr="00CE54DA">
        <w:rPr>
          <w:color w:val="000000" w:themeColor="text1"/>
        </w:rPr>
        <w:t xml:space="preserve">state intervention </w:t>
      </w:r>
      <w:r w:rsidRPr="00CE54DA">
        <w:t>into the lives of young people</w:t>
      </w:r>
      <w:r w:rsidR="00C61A0C">
        <w:t xml:space="preserve"> in instance</w:t>
      </w:r>
      <w:r w:rsidR="00E46C3C">
        <w:t>s</w:t>
      </w:r>
      <w:r w:rsidR="00C61A0C">
        <w:t xml:space="preserve"> whereby it</w:t>
      </w:r>
      <w:r w:rsidRPr="00CE54DA">
        <w:t xml:space="preserve"> may be unwarranted and/or liable to produce iatrogenic effects. While the early intervention and prevention techniques deployed </w:t>
      </w:r>
      <w:r w:rsidRPr="00CE54DA">
        <w:lastRenderedPageBreak/>
        <w:t xml:space="preserve">by practitioners </w:t>
      </w:r>
      <w:r w:rsidR="00C61A0C">
        <w:t xml:space="preserve">that we interacted with </w:t>
      </w:r>
      <w:r w:rsidRPr="00CE54DA">
        <w:t xml:space="preserve">indubitably aim to be supportive and are developed under the auspices of protection, the way in which they are operationalised in practice can serve to problematise behaviours and, in some instances, may unduly expose individuals to the criminal justice system. The retraction of social care via repeated funding cuts within the sector </w:t>
      </w:r>
      <w:r w:rsidR="00C61A0C">
        <w:t xml:space="preserve">- </w:t>
      </w:r>
      <w:r w:rsidRPr="00CE54DA">
        <w:t>at a time when need appears to be spiralling</w:t>
      </w:r>
      <w:r w:rsidR="00C61A0C">
        <w:t xml:space="preserve"> - </w:t>
      </w:r>
      <w:r w:rsidRPr="00CE54DA">
        <w:t xml:space="preserve">means that those that are vulnerable are increasingly being ushered toward </w:t>
      </w:r>
      <w:r w:rsidR="00C61A0C">
        <w:t xml:space="preserve">alternative </w:t>
      </w:r>
      <w:r w:rsidRPr="00CE54DA">
        <w:rPr>
          <w:color w:val="000000" w:themeColor="text1"/>
        </w:rPr>
        <w:t xml:space="preserve">agencies, such as the police force, that may not </w:t>
      </w:r>
      <w:r w:rsidR="00E46C3C">
        <w:rPr>
          <w:color w:val="000000" w:themeColor="text1"/>
        </w:rPr>
        <w:t xml:space="preserve">always </w:t>
      </w:r>
      <w:r w:rsidRPr="00CE54DA">
        <w:rPr>
          <w:color w:val="000000" w:themeColor="text1"/>
        </w:rPr>
        <w:t>be equipped</w:t>
      </w:r>
      <w:r w:rsidR="00C61A0C">
        <w:rPr>
          <w:color w:val="000000" w:themeColor="text1"/>
        </w:rPr>
        <w:t xml:space="preserve">, trained </w:t>
      </w:r>
      <w:r w:rsidRPr="00CE54DA">
        <w:rPr>
          <w:color w:val="000000" w:themeColor="text1"/>
        </w:rPr>
        <w:t xml:space="preserve">or resourced </w:t>
      </w:r>
      <w:r w:rsidR="00C61A0C">
        <w:rPr>
          <w:color w:val="000000" w:themeColor="text1"/>
        </w:rPr>
        <w:t>to meet</w:t>
      </w:r>
      <w:r w:rsidRPr="00CE54DA">
        <w:rPr>
          <w:color w:val="000000" w:themeColor="text1"/>
        </w:rPr>
        <w:t xml:space="preserve"> the taxing demands of social service provision. In such a turbulent context, </w:t>
      </w:r>
      <w:r w:rsidRPr="00CE54DA">
        <w:t>the danger is that those traditionally considered in need of safeguarding and protection become party to manifold forms of securitisation, surveillance and social control.</w:t>
      </w:r>
    </w:p>
    <w:p w14:paraId="73CA16C7" w14:textId="5DD96D0C" w:rsidR="00802231" w:rsidRPr="00CE54DA" w:rsidRDefault="007344DE" w:rsidP="00975FF1">
      <w:pPr>
        <w:pStyle w:val="NormalWeb"/>
        <w:spacing w:line="480" w:lineRule="auto"/>
        <w:jc w:val="both"/>
        <w:rPr>
          <w:b/>
          <w:bCs/>
        </w:rPr>
      </w:pPr>
      <w:r w:rsidRPr="00CE54DA">
        <w:rPr>
          <w:b/>
          <w:bCs/>
        </w:rPr>
        <w:t xml:space="preserve">Deployments of Risk and Vulnerability at the Interface of </w:t>
      </w:r>
      <w:r w:rsidR="004D3177" w:rsidRPr="00CE54DA">
        <w:rPr>
          <w:b/>
          <w:bCs/>
        </w:rPr>
        <w:t>S</w:t>
      </w:r>
      <w:r w:rsidR="00AE0E61" w:rsidRPr="00CE54DA">
        <w:rPr>
          <w:b/>
          <w:bCs/>
        </w:rPr>
        <w:t xml:space="preserve">ocial </w:t>
      </w:r>
      <w:r w:rsidR="004D3177" w:rsidRPr="00CE54DA">
        <w:rPr>
          <w:b/>
          <w:bCs/>
        </w:rPr>
        <w:t>W</w:t>
      </w:r>
      <w:r w:rsidR="00AE0E61" w:rsidRPr="00CE54DA">
        <w:rPr>
          <w:b/>
          <w:bCs/>
        </w:rPr>
        <w:t xml:space="preserve">ork and </w:t>
      </w:r>
      <w:r w:rsidR="004D3177" w:rsidRPr="00CE54DA">
        <w:rPr>
          <w:b/>
          <w:bCs/>
        </w:rPr>
        <w:t>C</w:t>
      </w:r>
      <w:r w:rsidR="00AE0E61" w:rsidRPr="00CE54DA">
        <w:rPr>
          <w:b/>
          <w:bCs/>
        </w:rPr>
        <w:t xml:space="preserve">riminal </w:t>
      </w:r>
      <w:r w:rsidR="004D3177" w:rsidRPr="00CE54DA">
        <w:rPr>
          <w:b/>
          <w:bCs/>
        </w:rPr>
        <w:t>J</w:t>
      </w:r>
      <w:r w:rsidR="00AE0E61" w:rsidRPr="00CE54DA">
        <w:rPr>
          <w:b/>
          <w:bCs/>
        </w:rPr>
        <w:t xml:space="preserve">ustice </w:t>
      </w:r>
      <w:r w:rsidR="002370F8" w:rsidRPr="00CE54DA">
        <w:rPr>
          <w:b/>
          <w:bCs/>
        </w:rPr>
        <w:t>Practice</w:t>
      </w:r>
    </w:p>
    <w:p w14:paraId="10E926B9" w14:textId="39EE4634" w:rsidR="008D4AD7" w:rsidRPr="0084099E" w:rsidRDefault="004405EA" w:rsidP="00975FF1">
      <w:pPr>
        <w:pStyle w:val="NormalWeb"/>
        <w:spacing w:line="480" w:lineRule="auto"/>
        <w:jc w:val="both"/>
        <w:rPr>
          <w:rFonts w:eastAsia="Calibri"/>
        </w:rPr>
      </w:pPr>
      <w:r>
        <w:t>In recent years, t</w:t>
      </w:r>
      <w:r w:rsidR="00276EF9">
        <w:t xml:space="preserve">he term </w:t>
      </w:r>
      <w:r w:rsidR="00964112">
        <w:t>‘</w:t>
      </w:r>
      <w:r w:rsidR="00276EF9">
        <w:t>vulnerabi</w:t>
      </w:r>
      <w:r w:rsidR="00395FF2">
        <w:t>lity</w:t>
      </w:r>
      <w:r w:rsidR="00964112">
        <w:t>’</w:t>
      </w:r>
      <w:r w:rsidR="000904CD">
        <w:t xml:space="preserve"> </w:t>
      </w:r>
      <w:r w:rsidR="00395FF2">
        <w:t xml:space="preserve">has been </w:t>
      </w:r>
      <w:r w:rsidR="00964112">
        <w:t xml:space="preserve">popularly </w:t>
      </w:r>
      <w:r w:rsidR="00395FF2">
        <w:t xml:space="preserve">adopted by </w:t>
      </w:r>
      <w:r w:rsidR="00053F5B">
        <w:t xml:space="preserve">law enforcement </w:t>
      </w:r>
      <w:r w:rsidR="00964112">
        <w:t xml:space="preserve">agencies </w:t>
      </w:r>
      <w:r w:rsidR="009E3CDC">
        <w:rPr>
          <w:rFonts w:eastAsia="Calibri"/>
        </w:rPr>
        <w:t>to refer to the elevated risks that vulnerable people face</w:t>
      </w:r>
      <w:r w:rsidR="00964112">
        <w:rPr>
          <w:rFonts w:eastAsia="Calibri"/>
        </w:rPr>
        <w:t xml:space="preserve">. As far back as 2016, the UK </w:t>
      </w:r>
      <w:r w:rsidR="00053F5B">
        <w:rPr>
          <w:rFonts w:eastAsia="Calibri"/>
        </w:rPr>
        <w:t>Home Secretary</w:t>
      </w:r>
      <w:r w:rsidR="00964112">
        <w:rPr>
          <w:rFonts w:eastAsia="Calibri"/>
        </w:rPr>
        <w:t xml:space="preserve"> </w:t>
      </w:r>
      <w:r w:rsidR="009E3CDC">
        <w:rPr>
          <w:rFonts w:eastAsia="Calibri"/>
        </w:rPr>
        <w:t>designat</w:t>
      </w:r>
      <w:r w:rsidR="00964112">
        <w:rPr>
          <w:rFonts w:eastAsia="Calibri"/>
        </w:rPr>
        <w:t>ed</w:t>
      </w:r>
      <w:r w:rsidR="009E3CDC">
        <w:rPr>
          <w:rFonts w:eastAsia="Calibri"/>
        </w:rPr>
        <w:t xml:space="preserve"> </w:t>
      </w:r>
      <w:r w:rsidR="00BC78C4">
        <w:rPr>
          <w:rFonts w:eastAsia="Calibri"/>
        </w:rPr>
        <w:t xml:space="preserve">it </w:t>
      </w:r>
      <w:r w:rsidR="009E3CDC">
        <w:rPr>
          <w:rFonts w:eastAsia="Calibri"/>
        </w:rPr>
        <w:t xml:space="preserve">as a </w:t>
      </w:r>
      <w:r w:rsidR="00964112">
        <w:rPr>
          <w:rFonts w:eastAsia="Calibri"/>
        </w:rPr>
        <w:t>‘</w:t>
      </w:r>
      <w:r w:rsidR="009E3CDC">
        <w:rPr>
          <w:rFonts w:eastAsia="Calibri"/>
        </w:rPr>
        <w:t>priority area for the police</w:t>
      </w:r>
      <w:r w:rsidR="004216BB">
        <w:rPr>
          <w:rFonts w:eastAsia="Calibri"/>
        </w:rPr>
        <w:t xml:space="preserve"> and</w:t>
      </w:r>
      <w:r w:rsidR="005B66A4">
        <w:rPr>
          <w:rFonts w:eastAsia="Calibri"/>
        </w:rPr>
        <w:t xml:space="preserve"> the National Police Chiefs’ </w:t>
      </w:r>
      <w:r w:rsidR="0023066C">
        <w:rPr>
          <w:rFonts w:eastAsia="Calibri"/>
        </w:rPr>
        <w:t xml:space="preserve">positing </w:t>
      </w:r>
      <w:r w:rsidR="0011269F">
        <w:rPr>
          <w:rFonts w:eastAsia="Calibri"/>
        </w:rPr>
        <w:t xml:space="preserve">that ‘recognising and responding to </w:t>
      </w:r>
      <w:r w:rsidR="00E46A92">
        <w:rPr>
          <w:rFonts w:eastAsia="Calibri"/>
        </w:rPr>
        <w:t xml:space="preserve">vulnerability </w:t>
      </w:r>
      <w:r w:rsidR="0011269F">
        <w:rPr>
          <w:rFonts w:eastAsia="Calibri"/>
        </w:rPr>
        <w:t>is everyone’s business’</w:t>
      </w:r>
      <w:r w:rsidR="006C56E0">
        <w:rPr>
          <w:rFonts w:eastAsia="Calibri"/>
        </w:rPr>
        <w:t xml:space="preserve"> (NPCC, 2020).</w:t>
      </w:r>
      <w:r w:rsidR="001D6FDF">
        <w:rPr>
          <w:rFonts w:eastAsia="Calibri"/>
        </w:rPr>
        <w:t xml:space="preserve"> </w:t>
      </w:r>
      <w:r w:rsidR="00DE5248">
        <w:rPr>
          <w:rFonts w:eastAsia="Calibri"/>
        </w:rPr>
        <w:t xml:space="preserve">Concomitantly, </w:t>
      </w:r>
      <w:r w:rsidR="0089546D">
        <w:rPr>
          <w:rFonts w:eastAsia="Calibri"/>
        </w:rPr>
        <w:t xml:space="preserve">public health approaches to policing </w:t>
      </w:r>
      <w:r w:rsidR="00236C45">
        <w:rPr>
          <w:rFonts w:eastAsia="Calibri"/>
        </w:rPr>
        <w:t>h</w:t>
      </w:r>
      <w:r w:rsidR="00CA7F66">
        <w:rPr>
          <w:rFonts w:eastAsia="Calibri"/>
        </w:rPr>
        <w:t xml:space="preserve">ave been identified as </w:t>
      </w:r>
      <w:r w:rsidR="00602093">
        <w:rPr>
          <w:rFonts w:eastAsia="Calibri"/>
        </w:rPr>
        <w:t xml:space="preserve">supportive of the Policing Vision 2025 </w:t>
      </w:r>
      <w:r w:rsidR="00E2327B">
        <w:rPr>
          <w:rFonts w:eastAsia="Calibri"/>
        </w:rPr>
        <w:t>which focuses on preventative activity, working alongside partners to problem-solve</w:t>
      </w:r>
      <w:r w:rsidR="009F450D">
        <w:rPr>
          <w:rFonts w:eastAsia="Calibri"/>
        </w:rPr>
        <w:t xml:space="preserve">, </w:t>
      </w:r>
      <w:r w:rsidR="004B4C0E">
        <w:rPr>
          <w:rFonts w:eastAsia="Calibri"/>
        </w:rPr>
        <w:t xml:space="preserve">addressing </w:t>
      </w:r>
      <w:r w:rsidR="009F450D">
        <w:rPr>
          <w:rFonts w:eastAsia="Calibri"/>
        </w:rPr>
        <w:t xml:space="preserve">vulnerability, </w:t>
      </w:r>
      <w:r w:rsidR="004B4C0E">
        <w:rPr>
          <w:rFonts w:eastAsia="Calibri"/>
        </w:rPr>
        <w:t xml:space="preserve">building </w:t>
      </w:r>
      <w:r w:rsidR="009F450D">
        <w:rPr>
          <w:rFonts w:eastAsia="Calibri"/>
        </w:rPr>
        <w:t>cohesive communities, improving data sharing</w:t>
      </w:r>
      <w:r w:rsidR="00F16B40">
        <w:rPr>
          <w:rFonts w:eastAsia="Calibri"/>
        </w:rPr>
        <w:t xml:space="preserve"> and </w:t>
      </w:r>
      <w:r w:rsidR="004B4C0E">
        <w:rPr>
          <w:rFonts w:eastAsia="Calibri"/>
        </w:rPr>
        <w:t xml:space="preserve">developing </w:t>
      </w:r>
      <w:r w:rsidR="00F16B40">
        <w:rPr>
          <w:rFonts w:eastAsia="Calibri"/>
        </w:rPr>
        <w:t>whole systems approaches</w:t>
      </w:r>
      <w:r w:rsidR="00D877BD">
        <w:rPr>
          <w:rFonts w:eastAsia="Calibri"/>
        </w:rPr>
        <w:t xml:space="preserve"> (</w:t>
      </w:r>
      <w:r w:rsidR="0023066C">
        <w:rPr>
          <w:rFonts w:eastAsia="Calibri"/>
        </w:rPr>
        <w:t xml:space="preserve">see </w:t>
      </w:r>
      <w:r w:rsidR="003D05F2">
        <w:rPr>
          <w:rFonts w:eastAsia="Calibri"/>
        </w:rPr>
        <w:t xml:space="preserve">Christmas and </w:t>
      </w:r>
      <w:proofErr w:type="spellStart"/>
      <w:r w:rsidR="003D05F2">
        <w:rPr>
          <w:rFonts w:eastAsia="Calibri"/>
        </w:rPr>
        <w:t>Srivstava</w:t>
      </w:r>
      <w:proofErr w:type="spellEnd"/>
      <w:r w:rsidR="003D05F2">
        <w:rPr>
          <w:rFonts w:eastAsia="Calibri"/>
        </w:rPr>
        <w:t xml:space="preserve">, </w:t>
      </w:r>
      <w:r w:rsidR="00156525">
        <w:rPr>
          <w:rFonts w:eastAsia="Calibri"/>
        </w:rPr>
        <w:t>2019</w:t>
      </w:r>
      <w:r w:rsidR="00156525" w:rsidRPr="00567054">
        <w:rPr>
          <w:rFonts w:eastAsia="Calibri"/>
        </w:rPr>
        <w:t>)</w:t>
      </w:r>
      <w:r w:rsidR="00F16B40" w:rsidRPr="00567054">
        <w:rPr>
          <w:rFonts w:eastAsia="Calibri"/>
        </w:rPr>
        <w:t>.</w:t>
      </w:r>
      <w:r w:rsidR="008530EB" w:rsidRPr="00567054">
        <w:rPr>
          <w:rFonts w:eastAsia="Calibri"/>
        </w:rPr>
        <w:t xml:space="preserve"> </w:t>
      </w:r>
      <w:r w:rsidR="00396DC7" w:rsidRPr="00567054">
        <w:rPr>
          <w:rFonts w:eastAsia="Calibri"/>
        </w:rPr>
        <w:t>I</w:t>
      </w:r>
      <w:r w:rsidR="00C8012E" w:rsidRPr="00567054">
        <w:t xml:space="preserve">n </w:t>
      </w:r>
      <w:r w:rsidR="008E6F9D" w:rsidRPr="00567054">
        <w:t xml:space="preserve">October 2018, the </w:t>
      </w:r>
      <w:r w:rsidR="004B4C0E" w:rsidRPr="00567054">
        <w:t xml:space="preserve">then </w:t>
      </w:r>
      <w:r w:rsidR="0023066C" w:rsidRPr="00567054">
        <w:t xml:space="preserve">Home </w:t>
      </w:r>
      <w:r w:rsidR="008E6F9D" w:rsidRPr="00567054">
        <w:t>Secretary announced a consultation process intended to inform a new legal duty underpinned by a public health approach to tackl</w:t>
      </w:r>
      <w:r w:rsidR="0023066C" w:rsidRPr="00567054">
        <w:t>e</w:t>
      </w:r>
      <w:r w:rsidR="008E6F9D" w:rsidRPr="00567054">
        <w:t xml:space="preserve"> serious violence (Home Office and Javid, 2018). </w:t>
      </w:r>
      <w:r w:rsidR="0023066C" w:rsidRPr="00567054">
        <w:t xml:space="preserve">In line with these general undercurrents, </w:t>
      </w:r>
      <w:r w:rsidR="008E6F9D" w:rsidRPr="00567054">
        <w:t xml:space="preserve">consecutive UK Government Action Plans to tackle </w:t>
      </w:r>
      <w:r w:rsidR="004B4C0E" w:rsidRPr="00567054">
        <w:t xml:space="preserve">CSE </w:t>
      </w:r>
      <w:r w:rsidR="008E6F9D" w:rsidRPr="00567054">
        <w:t xml:space="preserve">have encouraged adoption of risk-focused preventative </w:t>
      </w:r>
      <w:r w:rsidR="008E6F9D" w:rsidRPr="00567054">
        <w:lastRenderedPageBreak/>
        <w:t xml:space="preserve">interventions that are consistent with the public health approach and channelled toward raising awareness of the risk among young people, parents, carers and potential perpetrators. </w:t>
      </w:r>
      <w:r w:rsidR="008E6F9D" w:rsidRPr="00567054">
        <w:rPr>
          <w:color w:val="000000" w:themeColor="text1"/>
        </w:rPr>
        <w:t xml:space="preserve"> </w:t>
      </w:r>
      <w:r w:rsidR="0067014C" w:rsidRPr="00567054">
        <w:rPr>
          <w:color w:val="000000" w:themeColor="text1"/>
        </w:rPr>
        <w:t xml:space="preserve">Within these public health and harm reduction frameworks, the </w:t>
      </w:r>
      <w:r w:rsidR="0007340E" w:rsidRPr="00567054">
        <w:rPr>
          <w:color w:val="000000" w:themeColor="text1"/>
        </w:rPr>
        <w:t xml:space="preserve">prevention, </w:t>
      </w:r>
      <w:r w:rsidR="00922991" w:rsidRPr="00567054">
        <w:rPr>
          <w:color w:val="000000" w:themeColor="text1"/>
        </w:rPr>
        <w:t>identification</w:t>
      </w:r>
      <w:r w:rsidR="009C3747" w:rsidRPr="00567054">
        <w:rPr>
          <w:color w:val="000000" w:themeColor="text1"/>
        </w:rPr>
        <w:t>,</w:t>
      </w:r>
      <w:r w:rsidR="0007340E" w:rsidRPr="00567054">
        <w:rPr>
          <w:color w:val="000000" w:themeColor="text1"/>
        </w:rPr>
        <w:t xml:space="preserve"> and reduction of risk</w:t>
      </w:r>
      <w:r w:rsidR="009601F4" w:rsidRPr="00567054">
        <w:rPr>
          <w:color w:val="000000" w:themeColor="text1"/>
        </w:rPr>
        <w:t xml:space="preserve"> </w:t>
      </w:r>
      <w:r w:rsidR="00567054" w:rsidRPr="0084099E">
        <w:rPr>
          <w:color w:val="000000" w:themeColor="text1"/>
        </w:rPr>
        <w:t xml:space="preserve">and vulnerability </w:t>
      </w:r>
      <w:r w:rsidR="00940357">
        <w:rPr>
          <w:color w:val="000000" w:themeColor="text1"/>
        </w:rPr>
        <w:t xml:space="preserve">have become </w:t>
      </w:r>
      <w:r w:rsidR="007E1D22" w:rsidRPr="00567054">
        <w:rPr>
          <w:color w:val="000000" w:themeColor="text1"/>
        </w:rPr>
        <w:t>key objective</w:t>
      </w:r>
      <w:r w:rsidR="00567054" w:rsidRPr="0084099E">
        <w:rPr>
          <w:color w:val="000000" w:themeColor="text1"/>
        </w:rPr>
        <w:t>s</w:t>
      </w:r>
      <w:r w:rsidR="004B4C0E" w:rsidRPr="00567054">
        <w:rPr>
          <w:color w:val="000000" w:themeColor="text1"/>
        </w:rPr>
        <w:t>.</w:t>
      </w:r>
      <w:r w:rsidR="004B4C0E">
        <w:rPr>
          <w:color w:val="000000" w:themeColor="text1"/>
        </w:rPr>
        <w:t xml:space="preserve"> </w:t>
      </w:r>
    </w:p>
    <w:p w14:paraId="59ACDCD5" w14:textId="59551F72" w:rsidR="00520AE5" w:rsidRPr="0084099E" w:rsidRDefault="0054699A" w:rsidP="00975FF1">
      <w:pPr>
        <w:pStyle w:val="NormalWeb"/>
        <w:spacing w:line="480" w:lineRule="auto"/>
        <w:jc w:val="both"/>
        <w:rPr>
          <w:b/>
          <w:bCs/>
          <w:color w:val="505050"/>
          <w:shd w:val="clear" w:color="auto" w:fill="FFFFFF"/>
        </w:rPr>
      </w:pPr>
      <w:r>
        <w:rPr>
          <w:color w:val="000000" w:themeColor="text1"/>
        </w:rPr>
        <w:t xml:space="preserve">The increasing use of </w:t>
      </w:r>
      <w:r w:rsidR="00CF3E14">
        <w:rPr>
          <w:color w:val="000000" w:themeColor="text1"/>
        </w:rPr>
        <w:t>the term ‘vulnerability’</w:t>
      </w:r>
      <w:r>
        <w:rPr>
          <w:color w:val="000000" w:themeColor="text1"/>
        </w:rPr>
        <w:t xml:space="preserve"> has also been recently noted </w:t>
      </w:r>
      <w:r w:rsidR="004B1E20">
        <w:rPr>
          <w:color w:val="000000" w:themeColor="text1"/>
        </w:rPr>
        <w:t xml:space="preserve">within social work and </w:t>
      </w:r>
      <w:r w:rsidR="00F65796">
        <w:rPr>
          <w:color w:val="000000" w:themeColor="text1"/>
        </w:rPr>
        <w:t xml:space="preserve">youth justice </w:t>
      </w:r>
      <w:r w:rsidR="00017221">
        <w:rPr>
          <w:color w:val="000000" w:themeColor="text1"/>
        </w:rPr>
        <w:t>practice</w:t>
      </w:r>
      <w:r w:rsidR="00C42922">
        <w:rPr>
          <w:color w:val="000000" w:themeColor="text1"/>
        </w:rPr>
        <w:t xml:space="preserve"> </w:t>
      </w:r>
      <w:r w:rsidR="0059111E">
        <w:rPr>
          <w:color w:val="000000" w:themeColor="text1"/>
        </w:rPr>
        <w:t>(</w:t>
      </w:r>
      <w:r w:rsidR="004B4C0E">
        <w:rPr>
          <w:color w:val="000000" w:themeColor="text1"/>
        </w:rPr>
        <w:t xml:space="preserve">see </w:t>
      </w:r>
      <w:proofErr w:type="spellStart"/>
      <w:r w:rsidR="0059111E">
        <w:rPr>
          <w:color w:val="000000" w:themeColor="text1"/>
        </w:rPr>
        <w:t>Virok</w:t>
      </w:r>
      <w:r w:rsidR="000020AF">
        <w:rPr>
          <w:color w:val="000000" w:themeColor="text1"/>
        </w:rPr>
        <w:t>annas</w:t>
      </w:r>
      <w:proofErr w:type="spellEnd"/>
      <w:r w:rsidR="000020AF">
        <w:rPr>
          <w:color w:val="000000" w:themeColor="text1"/>
        </w:rPr>
        <w:t>,</w:t>
      </w:r>
      <w:r w:rsidR="00BB3E41">
        <w:rPr>
          <w:color w:val="000000" w:themeColor="text1"/>
        </w:rPr>
        <w:t xml:space="preserve"> </w:t>
      </w:r>
      <w:r w:rsidR="000020AF">
        <w:rPr>
          <w:color w:val="000000" w:themeColor="text1"/>
        </w:rPr>
        <w:t>2020</w:t>
      </w:r>
      <w:r w:rsidR="00F65796">
        <w:rPr>
          <w:color w:val="000000" w:themeColor="text1"/>
        </w:rPr>
        <w:t>; Bui and Deakin, 2021</w:t>
      </w:r>
      <w:r w:rsidR="000020AF">
        <w:rPr>
          <w:color w:val="000000" w:themeColor="text1"/>
        </w:rPr>
        <w:t>)</w:t>
      </w:r>
      <w:r w:rsidR="00C42922">
        <w:rPr>
          <w:color w:val="000000" w:themeColor="text1"/>
        </w:rPr>
        <w:t xml:space="preserve">. </w:t>
      </w:r>
      <w:r w:rsidR="003C636C">
        <w:t xml:space="preserve">Examining a range of studies within the youth </w:t>
      </w:r>
      <w:r w:rsidR="00C030F5">
        <w:t xml:space="preserve">crime </w:t>
      </w:r>
      <w:r w:rsidR="003C636C">
        <w:t>field, Bui and Deakin (2021)</w:t>
      </w:r>
      <w:r w:rsidR="007A6956">
        <w:t xml:space="preserve"> found that the use of vulnerability increased with each passing decade</w:t>
      </w:r>
      <w:r w:rsidR="004B4C0E">
        <w:t>,</w:t>
      </w:r>
      <w:r w:rsidR="00C24828">
        <w:t xml:space="preserve"> with 84.</w:t>
      </w:r>
      <w:r w:rsidR="003212BB">
        <w:t xml:space="preserve">2% of studies examined </w:t>
      </w:r>
      <w:r w:rsidR="00C154B8">
        <w:t xml:space="preserve">written within the </w:t>
      </w:r>
      <w:r w:rsidR="004B4C0E">
        <w:t xml:space="preserve">decade commencing </w:t>
      </w:r>
      <w:r w:rsidR="00C154B8">
        <w:t xml:space="preserve">2010. </w:t>
      </w:r>
      <w:r w:rsidR="00ED136A">
        <w:t xml:space="preserve">Although similar trends have been identified in the past, they have nevertheless had a transformative </w:t>
      </w:r>
      <w:r w:rsidR="005B7939">
        <w:t>effect on the way that practitioners work</w:t>
      </w:r>
      <w:r w:rsidR="001240AB">
        <w:t xml:space="preserve"> (Parton, 2010)</w:t>
      </w:r>
      <w:r w:rsidR="005B7939">
        <w:t xml:space="preserve">. </w:t>
      </w:r>
      <w:r w:rsidR="002971B7">
        <w:t>In accounting for</w:t>
      </w:r>
      <w:r w:rsidR="004B4C0E">
        <w:t xml:space="preserve"> </w:t>
      </w:r>
      <w:r w:rsidR="003C3F94">
        <w:t xml:space="preserve">the </w:t>
      </w:r>
      <w:r w:rsidR="00270ECD">
        <w:t xml:space="preserve">motion </w:t>
      </w:r>
      <w:r w:rsidR="003C3F94">
        <w:t xml:space="preserve">in </w:t>
      </w:r>
      <w:r w:rsidR="00270ECD">
        <w:t xml:space="preserve">prevailing </w:t>
      </w:r>
      <w:r w:rsidR="003C3F94">
        <w:t xml:space="preserve">discourse from dangerousness to risk, Castel </w:t>
      </w:r>
      <w:r w:rsidR="005B03D7">
        <w:t>(1991</w:t>
      </w:r>
      <w:r w:rsidR="002D7544">
        <w:t>:</w:t>
      </w:r>
      <w:r w:rsidR="00270ECD">
        <w:t xml:space="preserve"> </w:t>
      </w:r>
      <w:r w:rsidR="002D7544">
        <w:t>287</w:t>
      </w:r>
      <w:r w:rsidR="005B03D7">
        <w:t xml:space="preserve">) </w:t>
      </w:r>
      <w:r w:rsidR="004B4C0E">
        <w:t xml:space="preserve">noted that </w:t>
      </w:r>
      <w:r w:rsidR="000702A8">
        <w:t>this</w:t>
      </w:r>
      <w:r w:rsidR="00270ECD">
        <w:t xml:space="preserve"> movement</w:t>
      </w:r>
      <w:r w:rsidR="000702A8">
        <w:t xml:space="preserve"> </w:t>
      </w:r>
      <w:r w:rsidR="00270ECD">
        <w:t xml:space="preserve">directs </w:t>
      </w:r>
      <w:r w:rsidR="008D313E">
        <w:t xml:space="preserve">practitioners’ attention away from </w:t>
      </w:r>
      <w:r w:rsidR="00215CE2">
        <w:t>trying to identify and contain individuals</w:t>
      </w:r>
      <w:r w:rsidR="004B4C0E">
        <w:t>,</w:t>
      </w:r>
      <w:r w:rsidR="00215CE2">
        <w:t xml:space="preserve"> to </w:t>
      </w:r>
      <w:r w:rsidR="00270ECD">
        <w:t xml:space="preserve">spotting </w:t>
      </w:r>
      <w:r w:rsidR="004A4ADA">
        <w:t xml:space="preserve">a combination of </w:t>
      </w:r>
      <w:r w:rsidR="002D7544">
        <w:t xml:space="preserve">abstract </w:t>
      </w:r>
      <w:r w:rsidR="004A4ADA">
        <w:t>factors</w:t>
      </w:r>
      <w:r w:rsidR="00215CE2">
        <w:t xml:space="preserve"> </w:t>
      </w:r>
      <w:r w:rsidR="002D7544" w:rsidRPr="002D7544">
        <w:t xml:space="preserve">which render more or less probable the occurrence of undesirable modes of behaviour. </w:t>
      </w:r>
      <w:r w:rsidR="002971B7">
        <w:t xml:space="preserve">More recently, others have observed </w:t>
      </w:r>
      <w:r w:rsidR="005E6DE9">
        <w:t xml:space="preserve">a </w:t>
      </w:r>
      <w:r w:rsidR="002971B7">
        <w:t xml:space="preserve">turn </w:t>
      </w:r>
      <w:r w:rsidR="005E6DE9">
        <w:t>toward</w:t>
      </w:r>
      <w:r w:rsidR="004B4C0E">
        <w:t xml:space="preserve"> </w:t>
      </w:r>
      <w:r w:rsidR="002971B7">
        <w:t>‘</w:t>
      </w:r>
      <w:r w:rsidR="005E6DE9">
        <w:t>pre-crime</w:t>
      </w:r>
      <w:r w:rsidR="002971B7">
        <w:t>’</w:t>
      </w:r>
      <w:r w:rsidR="005E6DE9">
        <w:t xml:space="preserve"> logic</w:t>
      </w:r>
      <w:r w:rsidR="00270ECD">
        <w:t>s</w:t>
      </w:r>
      <w:r w:rsidR="005E6DE9">
        <w:t xml:space="preserve"> of security</w:t>
      </w:r>
      <w:r w:rsidR="002971B7">
        <w:t xml:space="preserve">, which </w:t>
      </w:r>
      <w:r w:rsidR="00270ECD">
        <w:t xml:space="preserve">encourages </w:t>
      </w:r>
      <w:r w:rsidR="002971B7">
        <w:t xml:space="preserve">concentration on </w:t>
      </w:r>
      <w:r w:rsidR="00520AE5">
        <w:t>crimes that ha</w:t>
      </w:r>
      <w:r w:rsidR="00270ECD">
        <w:t>ve</w:t>
      </w:r>
      <w:r w:rsidR="00520AE5">
        <w:t xml:space="preserve"> not yet </w:t>
      </w:r>
      <w:r w:rsidR="00270ECD">
        <w:t xml:space="preserve">transpired </w:t>
      </w:r>
      <w:r w:rsidR="00520AE5">
        <w:t>and</w:t>
      </w:r>
      <w:r w:rsidR="00270ECD">
        <w:t>,</w:t>
      </w:r>
      <w:r w:rsidR="00520AE5">
        <w:t xml:space="preserve"> </w:t>
      </w:r>
      <w:r w:rsidR="00270ECD">
        <w:t>indeed,</w:t>
      </w:r>
      <w:r w:rsidR="00520AE5">
        <w:t xml:space="preserve"> </w:t>
      </w:r>
      <w:r w:rsidR="001663B4">
        <w:t xml:space="preserve">may </w:t>
      </w:r>
      <w:r w:rsidR="00520AE5">
        <w:t>never do so</w:t>
      </w:r>
      <w:r w:rsidR="00270ECD">
        <w:t xml:space="preserve"> (see </w:t>
      </w:r>
      <w:proofErr w:type="spellStart"/>
      <w:r w:rsidR="00441124">
        <w:t>Walklate</w:t>
      </w:r>
      <w:proofErr w:type="spellEnd"/>
      <w:r w:rsidR="00441124">
        <w:t xml:space="preserve"> and Mythen, 2015</w:t>
      </w:r>
      <w:r w:rsidR="004D3177">
        <w:t xml:space="preserve">; </w:t>
      </w:r>
      <w:proofErr w:type="spellStart"/>
      <w:r w:rsidR="004D3177">
        <w:t>Zedner</w:t>
      </w:r>
      <w:proofErr w:type="spellEnd"/>
      <w:r w:rsidR="004D3177">
        <w:t>, 2007</w:t>
      </w:r>
      <w:r w:rsidR="00441124">
        <w:t>)</w:t>
      </w:r>
      <w:r w:rsidR="00520AE5">
        <w:t>. Much has been said about the problems associated with this shift</w:t>
      </w:r>
      <w:r w:rsidR="002971B7">
        <w:t xml:space="preserve"> in the context of counter terrorism regulation</w:t>
      </w:r>
      <w:r w:rsidR="001663B4">
        <w:t>,</w:t>
      </w:r>
      <w:r w:rsidR="002971B7">
        <w:t xml:space="preserve"> in terms of undermining </w:t>
      </w:r>
      <w:r w:rsidR="00520AE5">
        <w:t>civil liberties</w:t>
      </w:r>
      <w:r w:rsidR="002971B7">
        <w:t xml:space="preserve"> and facilitating the introduction of pre-emptive</w:t>
      </w:r>
      <w:r w:rsidR="00520AE5">
        <w:t xml:space="preserve"> intrusive coercive measures</w:t>
      </w:r>
      <w:r w:rsidR="002971B7">
        <w:t>.</w:t>
      </w:r>
      <w:r w:rsidR="00520AE5">
        <w:t xml:space="preserve"> </w:t>
      </w:r>
      <w:r w:rsidR="002971B7">
        <w:t xml:space="preserve">It has been noted too that pre-crime measures - </w:t>
      </w:r>
      <w:r w:rsidR="00520AE5">
        <w:t>such as preventive detention and imprisonment</w:t>
      </w:r>
      <w:r w:rsidR="002971B7">
        <w:t xml:space="preserve"> </w:t>
      </w:r>
      <w:r w:rsidR="000B1725">
        <w:t>-</w:t>
      </w:r>
      <w:r w:rsidR="002971B7">
        <w:t xml:space="preserve"> </w:t>
      </w:r>
      <w:r w:rsidR="000B1725">
        <w:t>have been</w:t>
      </w:r>
      <w:r w:rsidR="002971B7">
        <w:t xml:space="preserve"> legitimised</w:t>
      </w:r>
      <w:r w:rsidR="000B1725">
        <w:t xml:space="preserve"> in this environ</w:t>
      </w:r>
      <w:r w:rsidR="002971B7">
        <w:t xml:space="preserve"> under the auspices of </w:t>
      </w:r>
      <w:r w:rsidR="00520AE5">
        <w:t>public protection (</w:t>
      </w:r>
      <w:proofErr w:type="spellStart"/>
      <w:r w:rsidR="00520AE5">
        <w:t>Zedner</w:t>
      </w:r>
      <w:proofErr w:type="spellEnd"/>
      <w:r w:rsidR="00520AE5">
        <w:t xml:space="preserve">, 2010). </w:t>
      </w:r>
      <w:r w:rsidR="002254E6">
        <w:t xml:space="preserve">There are clear parallels to be drawn </w:t>
      </w:r>
      <w:r w:rsidR="000B1725">
        <w:t xml:space="preserve">- </w:t>
      </w:r>
      <w:r w:rsidR="002254E6">
        <w:t xml:space="preserve">and </w:t>
      </w:r>
      <w:r w:rsidR="000B1725">
        <w:t xml:space="preserve">further </w:t>
      </w:r>
      <w:r w:rsidR="002254E6">
        <w:t xml:space="preserve">explored </w:t>
      </w:r>
      <w:r w:rsidR="000B1725">
        <w:t xml:space="preserve">- </w:t>
      </w:r>
      <w:r w:rsidR="002254E6">
        <w:t xml:space="preserve">between conceptions of ‘risk’ and ‘vulnerability’ </w:t>
      </w:r>
      <w:r w:rsidR="000B1725">
        <w:t xml:space="preserve">in terms of </w:t>
      </w:r>
      <w:r w:rsidR="002254E6">
        <w:t xml:space="preserve">deployments in different areas of violence reduction, many of which are targeted at </w:t>
      </w:r>
      <w:r w:rsidR="000B1725">
        <w:t xml:space="preserve">diverting </w:t>
      </w:r>
      <w:r w:rsidR="002254E6">
        <w:t xml:space="preserve">young people </w:t>
      </w:r>
      <w:r w:rsidR="000B1725">
        <w:t xml:space="preserve">away </w:t>
      </w:r>
      <w:r w:rsidR="002254E6">
        <w:t xml:space="preserve">from </w:t>
      </w:r>
      <w:r w:rsidR="000B1725">
        <w:t xml:space="preserve">future </w:t>
      </w:r>
      <w:r w:rsidR="002254E6">
        <w:t xml:space="preserve">harm. Within cognate areas of safeguarding geared toward prevention in the UK, pre-emptive modes of early intervention have been utilised. The use of </w:t>
      </w:r>
      <w:r w:rsidR="002254E6">
        <w:lastRenderedPageBreak/>
        <w:t>a ‘Vulnerability Assessment Framework’ (VAF) nested within the Channel strand of the UK’s counter radicalisation PREVENT strategy is one such example</w:t>
      </w:r>
      <w:r w:rsidR="00D25114">
        <w:t xml:space="preserve"> (</w:t>
      </w:r>
      <w:r w:rsidR="000B1725">
        <w:t>s</w:t>
      </w:r>
      <w:r w:rsidR="00D25114">
        <w:t xml:space="preserve">ee </w:t>
      </w:r>
      <w:r w:rsidR="00740CFF">
        <w:t xml:space="preserve">Mythen and </w:t>
      </w:r>
      <w:proofErr w:type="spellStart"/>
      <w:r w:rsidR="00740CFF">
        <w:t>Baillergeau</w:t>
      </w:r>
      <w:proofErr w:type="spellEnd"/>
      <w:r w:rsidR="00740CFF">
        <w:t xml:space="preserve">, 2021; </w:t>
      </w:r>
      <w:r w:rsidR="00D25114">
        <w:t>Webster, 2017)</w:t>
      </w:r>
      <w:r w:rsidR="002254E6">
        <w:t xml:space="preserve">. </w:t>
      </w:r>
      <w:r w:rsidR="000B1725" w:rsidRPr="0045251D">
        <w:t xml:space="preserve">The VAF is </w:t>
      </w:r>
      <w:r w:rsidR="00D25114" w:rsidRPr="0084099E">
        <w:rPr>
          <w:shd w:val="clear" w:color="auto" w:fill="FFFFFF"/>
        </w:rPr>
        <w:t xml:space="preserve">a risk assessment tool </w:t>
      </w:r>
      <w:r w:rsidR="00D25114" w:rsidRPr="0084099E">
        <w:rPr>
          <w:rStyle w:val="annotation"/>
          <w:shd w:val="clear" w:color="auto" w:fill="FFFFFF"/>
        </w:rPr>
        <w:t xml:space="preserve">designed to </w:t>
      </w:r>
      <w:r w:rsidR="000B1725" w:rsidRPr="0084099E">
        <w:rPr>
          <w:rStyle w:val="annotation"/>
          <w:shd w:val="clear" w:color="auto" w:fill="FFFFFF"/>
        </w:rPr>
        <w:t xml:space="preserve">assist assorted experts sitting on Channel panels in determining (potential) vulnerability to radicalisation. The framework itself is underpinned by UK Government approved </w:t>
      </w:r>
      <w:r w:rsidR="000B1725" w:rsidRPr="0084099E">
        <w:rPr>
          <w:rStyle w:val="annotation"/>
          <w:i/>
          <w:iCs/>
          <w:shd w:val="clear" w:color="auto" w:fill="FFFFFF"/>
        </w:rPr>
        <w:t>Extremism Risk Guidance,</w:t>
      </w:r>
      <w:r w:rsidR="000B1725" w:rsidRPr="0084099E">
        <w:rPr>
          <w:rStyle w:val="annotation"/>
          <w:shd w:val="clear" w:color="auto" w:fill="FFFFFF"/>
        </w:rPr>
        <w:t xml:space="preserve"> known colloquially as ERG 22+. </w:t>
      </w:r>
      <w:r w:rsidR="000B1725" w:rsidRPr="0084099E">
        <w:rPr>
          <w:rStyle w:val="annotation"/>
          <w:b/>
          <w:bCs/>
          <w:shd w:val="clear" w:color="auto" w:fill="FFFFFF"/>
        </w:rPr>
        <w:t xml:space="preserve"> </w:t>
      </w:r>
      <w:r w:rsidR="000B1725" w:rsidRPr="0045251D">
        <w:t xml:space="preserve">Involving a model designed by Lloyd and Dean (2015) which was initially advanced to assess risk amongst offenders convicted of extremism (HM Prison and Probation Service, 2017), the VAF was scaled up from a small sample </w:t>
      </w:r>
      <w:r w:rsidR="0045251D" w:rsidRPr="0045251D">
        <w:t xml:space="preserve">of prisoners convicted for terrorism related offences </w:t>
      </w:r>
      <w:r w:rsidR="000B1725" w:rsidRPr="0045251D">
        <w:t>for population level use within PREVENT</w:t>
      </w:r>
      <w:r w:rsidR="0045251D" w:rsidRPr="0084099E">
        <w:rPr>
          <w:rStyle w:val="annotation"/>
          <w:shd w:val="clear" w:color="auto" w:fill="FFFFFF"/>
        </w:rPr>
        <w:t xml:space="preserve">. The </w:t>
      </w:r>
      <w:r w:rsidR="000B1725" w:rsidRPr="0084099E">
        <w:rPr>
          <w:rStyle w:val="annotation"/>
          <w:shd w:val="clear" w:color="auto" w:fill="FFFFFF"/>
        </w:rPr>
        <w:t xml:space="preserve">VAF measures 22 factors that may indicate individuals at risk of or exhibiting signs of radicalisation. These 22 factors are clustered into three groups of measures: </w:t>
      </w:r>
      <w:r w:rsidR="00D25114" w:rsidRPr="0084099E">
        <w:rPr>
          <w:rStyle w:val="annotation"/>
          <w:shd w:val="clear" w:color="auto" w:fill="FFFFFF"/>
        </w:rPr>
        <w:t xml:space="preserve">engagement with a group cause or ideology; capability to cause harm and intent. </w:t>
      </w:r>
      <w:r w:rsidR="000B1725" w:rsidRPr="0084099E">
        <w:rPr>
          <w:rStyle w:val="annotation"/>
          <w:shd w:val="clear" w:color="auto" w:fill="FFFFFF"/>
        </w:rPr>
        <w:t xml:space="preserve">Aside from issues with the transferal of findings from one small scale prison-based study to a mechanism for measuring vulnerability to radicalisation amongst the general population, the utilisation of the VAF has been criticised for a range of shortcomings, including </w:t>
      </w:r>
      <w:r w:rsidR="0045251D" w:rsidRPr="0084099E">
        <w:rPr>
          <w:rStyle w:val="annotation"/>
          <w:shd w:val="clear" w:color="auto" w:fill="FFFFFF"/>
        </w:rPr>
        <w:t xml:space="preserve">a tendency to </w:t>
      </w:r>
      <w:r w:rsidR="000B1725" w:rsidRPr="0084099E">
        <w:rPr>
          <w:rStyle w:val="annotation"/>
          <w:shd w:val="clear" w:color="auto" w:fill="FFFFFF"/>
        </w:rPr>
        <w:t>produc</w:t>
      </w:r>
      <w:r w:rsidR="0045251D" w:rsidRPr="0084099E">
        <w:rPr>
          <w:rStyle w:val="annotation"/>
          <w:shd w:val="clear" w:color="auto" w:fill="FFFFFF"/>
        </w:rPr>
        <w:t>e</w:t>
      </w:r>
      <w:r w:rsidR="000B1725" w:rsidRPr="0084099E">
        <w:rPr>
          <w:rStyle w:val="annotation"/>
          <w:shd w:val="clear" w:color="auto" w:fill="FFFFFF"/>
        </w:rPr>
        <w:t xml:space="preserve"> false positives, propensity for over-referral without justification, unclear and unbalanced assessment mechanisms and identification of factors common in adolescence - such as identity exploration, a search for belonging and excitement seeking - as risk indicators </w:t>
      </w:r>
      <w:r w:rsidR="002254E6" w:rsidRPr="0045251D">
        <w:t>(</w:t>
      </w:r>
      <w:r w:rsidR="000B1725" w:rsidRPr="0045251D">
        <w:t xml:space="preserve">see CAGE, 2018, </w:t>
      </w:r>
      <w:r w:rsidR="002254E6" w:rsidRPr="0045251D">
        <w:t xml:space="preserve">Grierson, 2019; </w:t>
      </w:r>
      <w:proofErr w:type="spellStart"/>
      <w:r w:rsidR="000B1725" w:rsidRPr="0045251D">
        <w:t>Khaleeli</w:t>
      </w:r>
      <w:proofErr w:type="spellEnd"/>
      <w:r w:rsidR="000B1725" w:rsidRPr="0045251D">
        <w:t xml:space="preserve">, 2015; </w:t>
      </w:r>
      <w:r w:rsidR="002254E6" w:rsidRPr="0045251D">
        <w:t xml:space="preserve">Mythen, 2020). </w:t>
      </w:r>
    </w:p>
    <w:p w14:paraId="50AF8CCA" w14:textId="0370960E" w:rsidR="002254E6" w:rsidRPr="0084099E" w:rsidRDefault="002254E6" w:rsidP="00975FF1">
      <w:pPr>
        <w:pStyle w:val="NormalWeb"/>
        <w:spacing w:line="480" w:lineRule="auto"/>
        <w:jc w:val="both"/>
      </w:pPr>
      <w:r>
        <w:t>Similarly, programmes and initiatives to prevent gang related violence amongst young people in inner city areas in the UK have also involved experimentation with and implementation of various pre-emptive measures, i</w:t>
      </w:r>
      <w:r w:rsidR="0045251D">
        <w:t>ntended</w:t>
      </w:r>
      <w:r>
        <w:t xml:space="preserve"> to educate young people</w:t>
      </w:r>
      <w:r w:rsidR="000B1725">
        <w:t xml:space="preserve">, build resilience skills and </w:t>
      </w:r>
      <w:r>
        <w:t>encourage awareness around the dangers of involvement in gang culture</w:t>
      </w:r>
      <w:r w:rsidR="000B1725">
        <w:t xml:space="preserve"> (see </w:t>
      </w:r>
      <w:r w:rsidR="000B1725" w:rsidRPr="009E14BA">
        <w:rPr>
          <w:color w:val="222222"/>
          <w:shd w:val="clear" w:color="auto" w:fill="FFFFFF"/>
        </w:rPr>
        <w:t>O</w:t>
      </w:r>
      <w:r w:rsidR="000B1725">
        <w:rPr>
          <w:color w:val="222222"/>
          <w:shd w:val="clear" w:color="auto" w:fill="FFFFFF"/>
        </w:rPr>
        <w:t>’C</w:t>
      </w:r>
      <w:r w:rsidR="000B1725" w:rsidRPr="009E14BA">
        <w:rPr>
          <w:color w:val="222222"/>
          <w:shd w:val="clear" w:color="auto" w:fill="FFFFFF"/>
        </w:rPr>
        <w:t>onnor</w:t>
      </w:r>
      <w:r w:rsidR="0045251D">
        <w:rPr>
          <w:color w:val="222222"/>
          <w:shd w:val="clear" w:color="auto" w:fill="FFFFFF"/>
        </w:rPr>
        <w:t xml:space="preserve"> </w:t>
      </w:r>
      <w:r w:rsidR="000B1725" w:rsidRPr="009E14BA">
        <w:rPr>
          <w:color w:val="222222"/>
          <w:shd w:val="clear" w:color="auto" w:fill="FFFFFF"/>
        </w:rPr>
        <w:t>and Waddell,</w:t>
      </w:r>
      <w:r w:rsidR="000B1725">
        <w:rPr>
          <w:color w:val="222222"/>
          <w:shd w:val="clear" w:color="auto" w:fill="FFFFFF"/>
        </w:rPr>
        <w:t xml:space="preserve"> </w:t>
      </w:r>
      <w:r w:rsidR="000B1725" w:rsidRPr="009E14BA">
        <w:rPr>
          <w:color w:val="222222"/>
          <w:shd w:val="clear" w:color="auto" w:fill="FFFFFF"/>
        </w:rPr>
        <w:t>2015</w:t>
      </w:r>
      <w:r w:rsidR="000B1725">
        <w:rPr>
          <w:color w:val="222222"/>
          <w:shd w:val="clear" w:color="auto" w:fill="FFFFFF"/>
        </w:rPr>
        <w:t>)</w:t>
      </w:r>
      <w:r w:rsidR="000B1725" w:rsidRPr="009E14BA">
        <w:rPr>
          <w:color w:val="222222"/>
          <w:shd w:val="clear" w:color="auto" w:fill="FFFFFF"/>
        </w:rPr>
        <w:t>.</w:t>
      </w:r>
      <w:r w:rsidR="000B1725">
        <w:t xml:space="preserve"> </w:t>
      </w:r>
      <w:r>
        <w:t>As with the PREVENT strategy, such interventions have been subject to criticism along several axes, including</w:t>
      </w:r>
      <w:r w:rsidR="000B1725">
        <w:t xml:space="preserve"> underplaying the material and structural factors that </w:t>
      </w:r>
      <w:r w:rsidR="000B1725">
        <w:lastRenderedPageBreak/>
        <w:t xml:space="preserve">affect inclination toward violence (Grimshaw and Ford, 2018) and overlooking the significance of generating meaning </w:t>
      </w:r>
      <w:r w:rsidR="0045251D">
        <w:t xml:space="preserve">- or ‘mattering’ - </w:t>
      </w:r>
      <w:r w:rsidR="000B1725">
        <w:t>amongst young people via group involvement</w:t>
      </w:r>
      <w:r w:rsidR="00B35C6E">
        <w:t xml:space="preserve"> and bonding</w:t>
      </w:r>
      <w:r w:rsidR="000B1725">
        <w:t xml:space="preserve"> (see </w:t>
      </w:r>
      <w:r w:rsidR="000B1725" w:rsidRPr="009E14BA">
        <w:rPr>
          <w:kern w:val="36"/>
        </w:rPr>
        <w:t>Billingham and Irwin-Rogers, 2021)</w:t>
      </w:r>
      <w:r w:rsidR="000B1725">
        <w:rPr>
          <w:kern w:val="36"/>
        </w:rPr>
        <w:t>.</w:t>
      </w:r>
      <w:r w:rsidR="000B1725" w:rsidRPr="009E14BA">
        <w:rPr>
          <w:kern w:val="36"/>
        </w:rPr>
        <w:t xml:space="preserve"> </w:t>
      </w:r>
      <w:r w:rsidR="000B1725">
        <w:t xml:space="preserve"> </w:t>
      </w:r>
      <w:r>
        <w:t xml:space="preserve"> </w:t>
      </w:r>
    </w:p>
    <w:p w14:paraId="4CB89443" w14:textId="364B4BA7" w:rsidR="00722162" w:rsidRDefault="002254E6" w:rsidP="00975FF1">
      <w:pPr>
        <w:spacing w:line="480" w:lineRule="auto"/>
        <w:jc w:val="both"/>
      </w:pPr>
      <w:r>
        <w:rPr>
          <w:color w:val="000000" w:themeColor="text1"/>
        </w:rPr>
        <w:t>N</w:t>
      </w:r>
      <w:r w:rsidR="00441124">
        <w:rPr>
          <w:color w:val="000000" w:themeColor="text1"/>
        </w:rPr>
        <w:t>otwithstanding</w:t>
      </w:r>
      <w:r>
        <w:rPr>
          <w:color w:val="000000" w:themeColor="text1"/>
        </w:rPr>
        <w:t xml:space="preserve"> the specific context</w:t>
      </w:r>
      <w:r w:rsidR="000B1725">
        <w:rPr>
          <w:color w:val="000000" w:themeColor="text1"/>
        </w:rPr>
        <w:t>s</w:t>
      </w:r>
      <w:r>
        <w:rPr>
          <w:color w:val="000000" w:themeColor="text1"/>
        </w:rPr>
        <w:t xml:space="preserve"> of application</w:t>
      </w:r>
      <w:r w:rsidR="00441124">
        <w:rPr>
          <w:color w:val="000000" w:themeColor="text1"/>
        </w:rPr>
        <w:t xml:space="preserve">, </w:t>
      </w:r>
      <w:r w:rsidR="00B65935">
        <w:rPr>
          <w:color w:val="000000" w:themeColor="text1"/>
        </w:rPr>
        <w:t xml:space="preserve">within </w:t>
      </w:r>
      <w:r w:rsidR="00333AE2">
        <w:rPr>
          <w:color w:val="000000" w:themeColor="text1"/>
        </w:rPr>
        <w:t xml:space="preserve">the </w:t>
      </w:r>
      <w:r w:rsidR="002370F8">
        <w:rPr>
          <w:color w:val="000000" w:themeColor="text1"/>
        </w:rPr>
        <w:t>parameters</w:t>
      </w:r>
      <w:r w:rsidR="00753E3A">
        <w:rPr>
          <w:color w:val="000000" w:themeColor="text1"/>
        </w:rPr>
        <w:t xml:space="preserve"> of </w:t>
      </w:r>
      <w:r w:rsidR="00333AE2">
        <w:rPr>
          <w:color w:val="000000" w:themeColor="text1"/>
        </w:rPr>
        <w:t>social work and criminal justice</w:t>
      </w:r>
      <w:r w:rsidR="00753E3A">
        <w:rPr>
          <w:color w:val="000000" w:themeColor="text1"/>
        </w:rPr>
        <w:t xml:space="preserve"> practice</w:t>
      </w:r>
      <w:r w:rsidR="00333AE2">
        <w:rPr>
          <w:color w:val="000000" w:themeColor="text1"/>
        </w:rPr>
        <w:t xml:space="preserve">, </w:t>
      </w:r>
      <w:r w:rsidR="00C4189A">
        <w:t>‘</w:t>
      </w:r>
      <w:r w:rsidR="00B65935">
        <w:t>risk</w:t>
      </w:r>
      <w:r w:rsidR="00C4189A">
        <w:t>’</w:t>
      </w:r>
      <w:r w:rsidR="00B65935">
        <w:t xml:space="preserve"> remains </w:t>
      </w:r>
      <w:r w:rsidR="00441124">
        <w:t xml:space="preserve">a </w:t>
      </w:r>
      <w:r w:rsidR="002971B7">
        <w:t xml:space="preserve">much </w:t>
      </w:r>
      <w:r w:rsidR="002370F8">
        <w:t xml:space="preserve">debated </w:t>
      </w:r>
      <w:r>
        <w:t>and contested concept in academic realms</w:t>
      </w:r>
      <w:r w:rsidR="00441124">
        <w:t xml:space="preserve"> </w:t>
      </w:r>
      <w:r w:rsidR="00B65935">
        <w:t>(</w:t>
      </w:r>
      <w:r w:rsidR="00441124">
        <w:t xml:space="preserve">see </w:t>
      </w:r>
      <w:r w:rsidR="00B65935">
        <w:t xml:space="preserve">Mythen and </w:t>
      </w:r>
      <w:proofErr w:type="spellStart"/>
      <w:r w:rsidR="00B65935">
        <w:t>Walklate</w:t>
      </w:r>
      <w:proofErr w:type="spellEnd"/>
      <w:r w:rsidR="00B65935">
        <w:t>, 2006: 1</w:t>
      </w:r>
      <w:r w:rsidR="00753E3A">
        <w:t>; Briggs, 2013</w:t>
      </w:r>
      <w:r w:rsidR="00B65935">
        <w:t>)</w:t>
      </w:r>
      <w:r w:rsidR="002370F8">
        <w:t xml:space="preserve">. </w:t>
      </w:r>
      <w:r w:rsidR="006443A4">
        <w:t>Across various disciplines</w:t>
      </w:r>
      <w:r w:rsidR="004C22BF">
        <w:t>,</w:t>
      </w:r>
      <w:r w:rsidR="006443A4">
        <w:t xml:space="preserve"> risk </w:t>
      </w:r>
      <w:r w:rsidR="002971B7">
        <w:t>has</w:t>
      </w:r>
      <w:r w:rsidR="006443A4">
        <w:t xml:space="preserve"> </w:t>
      </w:r>
      <w:r w:rsidR="00441124">
        <w:t xml:space="preserve">commonly </w:t>
      </w:r>
      <w:r w:rsidR="002971B7">
        <w:t xml:space="preserve">been </w:t>
      </w:r>
      <w:r w:rsidR="00441124">
        <w:t xml:space="preserve">associated with </w:t>
      </w:r>
      <w:r w:rsidR="006443A4">
        <w:t>known and/or unknown probabilities</w:t>
      </w:r>
      <w:r w:rsidR="00441124">
        <w:t>,</w:t>
      </w:r>
      <w:r w:rsidR="006443A4">
        <w:t xml:space="preserve"> distributed across specific events and</w:t>
      </w:r>
      <w:r w:rsidR="00441124">
        <w:t xml:space="preserve"> </w:t>
      </w:r>
      <w:r w:rsidR="00722162">
        <w:t xml:space="preserve">pertaining </w:t>
      </w:r>
      <w:r w:rsidR="00441124">
        <w:t xml:space="preserve">to </w:t>
      </w:r>
      <w:r w:rsidR="006443A4">
        <w:t xml:space="preserve">the probability of </w:t>
      </w:r>
      <w:r w:rsidR="00722162">
        <w:t xml:space="preserve">negative </w:t>
      </w:r>
      <w:r w:rsidR="006443A4">
        <w:t>outcome</w:t>
      </w:r>
      <w:r w:rsidR="00722162">
        <w:t>s</w:t>
      </w:r>
      <w:r w:rsidR="006443A4">
        <w:t xml:space="preserve"> (</w:t>
      </w:r>
      <w:r w:rsidR="002370F8">
        <w:t xml:space="preserve">see </w:t>
      </w:r>
      <w:proofErr w:type="spellStart"/>
      <w:r w:rsidR="006443A4">
        <w:t>Alwang</w:t>
      </w:r>
      <w:proofErr w:type="spellEnd"/>
      <w:r w:rsidR="006443A4">
        <w:t xml:space="preserve"> et al., 2001</w:t>
      </w:r>
      <w:r w:rsidR="002370F8">
        <w:t xml:space="preserve">; Mythen, 2014; </w:t>
      </w:r>
      <w:r w:rsidR="006443A4">
        <w:t>Twigg, 2014</w:t>
      </w:r>
      <w:r w:rsidR="002370F8">
        <w:t>)</w:t>
      </w:r>
      <w:r w:rsidR="006443A4">
        <w:t xml:space="preserve">. In social policy, care and criminal justice, the </w:t>
      </w:r>
      <w:r w:rsidR="00722162">
        <w:t xml:space="preserve">negative outcome </w:t>
      </w:r>
      <w:r w:rsidR="006443A4">
        <w:t xml:space="preserve">that </w:t>
      </w:r>
      <w:r w:rsidR="00441124">
        <w:t>may eventuate</w:t>
      </w:r>
      <w:r w:rsidR="002971B7">
        <w:t xml:space="preserve"> in cases of inadequate risk management</w:t>
      </w:r>
      <w:r w:rsidR="00441124">
        <w:t xml:space="preserve"> is </w:t>
      </w:r>
      <w:r w:rsidR="006443A4">
        <w:t xml:space="preserve">harm and </w:t>
      </w:r>
      <w:r w:rsidR="002971B7">
        <w:t xml:space="preserve">the goal of avoiding or mitigating against harm has led to multiple </w:t>
      </w:r>
      <w:r w:rsidR="002370F8">
        <w:t xml:space="preserve">modes </w:t>
      </w:r>
      <w:r w:rsidR="006443A4">
        <w:t xml:space="preserve">of </w:t>
      </w:r>
      <w:r w:rsidR="002370F8">
        <w:t xml:space="preserve">professional </w:t>
      </w:r>
      <w:r w:rsidR="006443A4">
        <w:t>assessment</w:t>
      </w:r>
      <w:r w:rsidR="00441124">
        <w:t xml:space="preserve"> </w:t>
      </w:r>
      <w:r w:rsidR="00722162">
        <w:t>de</w:t>
      </w:r>
      <w:r w:rsidR="002370F8">
        <w:t>s</w:t>
      </w:r>
      <w:r w:rsidR="00722162">
        <w:t xml:space="preserve">igned </w:t>
      </w:r>
      <w:r w:rsidR="00441124">
        <w:t>‘</w:t>
      </w:r>
      <w:r w:rsidR="006443A4">
        <w:t>to identify, measure and prioritise risk</w:t>
      </w:r>
      <w:r w:rsidR="00441124">
        <w:t xml:space="preserve">’ </w:t>
      </w:r>
      <w:r w:rsidR="006443A4">
        <w:t>(Fawcett, 2009:</w:t>
      </w:r>
      <w:r w:rsidR="00441124">
        <w:t xml:space="preserve"> </w:t>
      </w:r>
      <w:r w:rsidR="006443A4">
        <w:t xml:space="preserve">475). </w:t>
      </w:r>
    </w:p>
    <w:p w14:paraId="49581CC2" w14:textId="77777777" w:rsidR="00722162" w:rsidRDefault="00722162" w:rsidP="00975FF1">
      <w:pPr>
        <w:spacing w:line="480" w:lineRule="auto"/>
        <w:jc w:val="both"/>
      </w:pPr>
    </w:p>
    <w:p w14:paraId="73D6B27D" w14:textId="1AE94658" w:rsidR="00D60BE6" w:rsidRDefault="00722162" w:rsidP="00975FF1">
      <w:pPr>
        <w:spacing w:line="480" w:lineRule="auto"/>
        <w:jc w:val="both"/>
      </w:pPr>
      <w:r>
        <w:t xml:space="preserve">As flagged above, it is </w:t>
      </w:r>
      <w:r w:rsidR="00441124">
        <w:t xml:space="preserve">common for </w:t>
      </w:r>
      <w:r w:rsidR="00E41203">
        <w:t xml:space="preserve">definitions of vulnerability </w:t>
      </w:r>
      <w:r w:rsidR="00441124">
        <w:t xml:space="preserve">to </w:t>
      </w:r>
      <w:r w:rsidR="002370F8">
        <w:t xml:space="preserve">be coupled </w:t>
      </w:r>
      <w:r w:rsidR="00441124">
        <w:t xml:space="preserve">to </w:t>
      </w:r>
      <w:r w:rsidR="00E41203">
        <w:t>risk</w:t>
      </w:r>
      <w:r w:rsidR="00441124">
        <w:t xml:space="preserve">, </w:t>
      </w:r>
      <w:r w:rsidR="00B65F9E">
        <w:t xml:space="preserve">with </w:t>
      </w:r>
      <w:r>
        <w:t xml:space="preserve">some researchers </w:t>
      </w:r>
      <w:r w:rsidR="00441124">
        <w:t xml:space="preserve">going </w:t>
      </w:r>
      <w:r>
        <w:t>as</w:t>
      </w:r>
      <w:r w:rsidR="00441124">
        <w:t xml:space="preserve"> far as to suggest that risk is </w:t>
      </w:r>
      <w:r w:rsidR="002370F8">
        <w:t xml:space="preserve">a critical factor in understanding evolving </w:t>
      </w:r>
      <w:r w:rsidR="0033776C">
        <w:t>interpretations</w:t>
      </w:r>
      <w:r w:rsidR="00E41203">
        <w:t xml:space="preserve"> </w:t>
      </w:r>
      <w:r w:rsidR="00195892">
        <w:t>of</w:t>
      </w:r>
      <w:r w:rsidR="00E41203">
        <w:t xml:space="preserve"> vulnerability (</w:t>
      </w:r>
      <w:r w:rsidR="00441124">
        <w:t xml:space="preserve">see </w:t>
      </w:r>
      <w:r w:rsidR="00E41203">
        <w:t>McLaughlin &amp; Dietz, 2008:</w:t>
      </w:r>
      <w:r w:rsidR="00441124">
        <w:t xml:space="preserve"> </w:t>
      </w:r>
      <w:r w:rsidR="00E41203">
        <w:t>100; Brown, 2017:</w:t>
      </w:r>
      <w:r w:rsidR="00441124">
        <w:t xml:space="preserve"> </w:t>
      </w:r>
      <w:r w:rsidR="00E41203">
        <w:t xml:space="preserve">425). </w:t>
      </w:r>
      <w:r w:rsidR="00195892">
        <w:t>As Stanford</w:t>
      </w:r>
      <w:r w:rsidR="000616DB">
        <w:t xml:space="preserve"> (2012)</w:t>
      </w:r>
      <w:r>
        <w:t xml:space="preserve"> posits</w:t>
      </w:r>
      <w:r w:rsidR="000616DB">
        <w:t>,</w:t>
      </w:r>
      <w:r w:rsidR="00195892">
        <w:t xml:space="preserve"> </w:t>
      </w:r>
      <w:r w:rsidR="000616DB">
        <w:t>t</w:t>
      </w:r>
      <w:r w:rsidR="00E41203">
        <w:t xml:space="preserve">o speak about an individual being </w:t>
      </w:r>
      <w:r w:rsidR="00441124">
        <w:t>‘</w:t>
      </w:r>
      <w:r w:rsidR="00E41203">
        <w:t>vulnerable</w:t>
      </w:r>
      <w:r w:rsidR="00441124">
        <w:t>’ implies</w:t>
      </w:r>
      <w:r w:rsidR="002F06A1">
        <w:t xml:space="preserve"> that they </w:t>
      </w:r>
      <w:r w:rsidR="00E41203">
        <w:t>are</w:t>
      </w:r>
      <w:r w:rsidR="00441124">
        <w:t xml:space="preserve"> necessarily</w:t>
      </w:r>
      <w:r w:rsidR="00E41203">
        <w:t xml:space="preserve"> </w:t>
      </w:r>
      <w:r w:rsidR="00441124">
        <w:t>‘</w:t>
      </w:r>
      <w:r w:rsidR="00E41203">
        <w:t>at risk</w:t>
      </w:r>
      <w:r w:rsidR="00441124">
        <w:t>’</w:t>
      </w:r>
      <w:r w:rsidR="00E41203">
        <w:t xml:space="preserve"> in some way. </w:t>
      </w:r>
      <w:r w:rsidR="002370F8">
        <w:t>B</w:t>
      </w:r>
      <w:r w:rsidR="00A04846" w:rsidRPr="009D203F">
        <w:t xml:space="preserve">eing described as a ‘vulnerable’ person suggests a fragile identity </w:t>
      </w:r>
      <w:r w:rsidR="00441124">
        <w:t>and/or</w:t>
      </w:r>
      <w:r w:rsidR="00A04846" w:rsidRPr="009D203F">
        <w:t xml:space="preserve"> </w:t>
      </w:r>
      <w:r>
        <w:t xml:space="preserve">being at </w:t>
      </w:r>
      <w:r w:rsidR="00A04846" w:rsidRPr="009D203F">
        <w:t>risk of victimisation</w:t>
      </w:r>
      <w:r w:rsidR="002370F8">
        <w:t xml:space="preserve">. Yet the label of </w:t>
      </w:r>
      <w:r w:rsidR="00A04846" w:rsidRPr="009D203F">
        <w:t xml:space="preserve">vulnerability has </w:t>
      </w:r>
      <w:r w:rsidR="002370F8">
        <w:t xml:space="preserve">also </w:t>
      </w:r>
      <w:r w:rsidR="00A04846" w:rsidRPr="009D203F">
        <w:t xml:space="preserve">been </w:t>
      </w:r>
      <w:r w:rsidR="00441124">
        <w:t xml:space="preserve">attached to </w:t>
      </w:r>
      <w:r w:rsidR="00A04846" w:rsidRPr="009D203F">
        <w:t xml:space="preserve">those inclined to </w:t>
      </w:r>
      <w:r w:rsidR="002370F8">
        <w:t xml:space="preserve">actively </w:t>
      </w:r>
      <w:r w:rsidR="00A04846" w:rsidRPr="009D203F">
        <w:t>engag</w:t>
      </w:r>
      <w:r>
        <w:t>e</w:t>
      </w:r>
      <w:r w:rsidR="00A04846" w:rsidRPr="009D203F">
        <w:t xml:space="preserve"> in behaviours</w:t>
      </w:r>
      <w:r>
        <w:t xml:space="preserve"> </w:t>
      </w:r>
      <w:r w:rsidR="002370F8">
        <w:t xml:space="preserve">which are </w:t>
      </w:r>
      <w:r>
        <w:t>considered risky</w:t>
      </w:r>
      <w:r w:rsidR="00A04846" w:rsidRPr="009D203F">
        <w:t xml:space="preserve"> (</w:t>
      </w:r>
      <w:proofErr w:type="spellStart"/>
      <w:r w:rsidR="002254E6">
        <w:t>Baillergeau</w:t>
      </w:r>
      <w:proofErr w:type="spellEnd"/>
      <w:r w:rsidR="002254E6">
        <w:t xml:space="preserve">, 2016; </w:t>
      </w:r>
      <w:r w:rsidR="00A04846" w:rsidRPr="009D203F">
        <w:t xml:space="preserve">Brown, 2011). </w:t>
      </w:r>
      <w:r w:rsidR="002370F8">
        <w:t xml:space="preserve">While </w:t>
      </w:r>
      <w:r w:rsidR="00A04846" w:rsidRPr="009D203F">
        <w:t xml:space="preserve">Fineman (2010) refers to vulnerability as a universal concept that is inherent in all people, others </w:t>
      </w:r>
      <w:r w:rsidR="002370F8">
        <w:t xml:space="preserve">have posited </w:t>
      </w:r>
      <w:r w:rsidR="00A04846" w:rsidRPr="009D203F">
        <w:t xml:space="preserve">that placing people in categories of vulnerability </w:t>
      </w:r>
      <w:r w:rsidR="007313C4">
        <w:t xml:space="preserve">elides </w:t>
      </w:r>
      <w:r w:rsidR="00A04846" w:rsidRPr="009D203F">
        <w:t>the structural conditions within which it emerge</w:t>
      </w:r>
      <w:r w:rsidR="00B82A7F">
        <w:t>s</w:t>
      </w:r>
      <w:r w:rsidR="00A04846" w:rsidRPr="009D203F">
        <w:t xml:space="preserve"> (Green, 2007)</w:t>
      </w:r>
      <w:r>
        <w:t>. Inclining toward the latter view,</w:t>
      </w:r>
      <w:r w:rsidR="00A04846" w:rsidRPr="009D203F">
        <w:t xml:space="preserve"> </w:t>
      </w:r>
      <w:proofErr w:type="spellStart"/>
      <w:r w:rsidRPr="009D203F">
        <w:t>Chakraborti</w:t>
      </w:r>
      <w:proofErr w:type="spellEnd"/>
      <w:r w:rsidRPr="009D203F">
        <w:t xml:space="preserve"> and Garland</w:t>
      </w:r>
      <w:r>
        <w:t xml:space="preserve"> (</w:t>
      </w:r>
      <w:r w:rsidRPr="009D203F">
        <w:t>2012)</w:t>
      </w:r>
      <w:r>
        <w:t xml:space="preserve"> reason that </w:t>
      </w:r>
      <w:r w:rsidR="007313C4">
        <w:t xml:space="preserve">overlooking </w:t>
      </w:r>
      <w:r>
        <w:t>structural factors</w:t>
      </w:r>
      <w:r w:rsidRPr="009D203F">
        <w:t xml:space="preserve"> </w:t>
      </w:r>
      <w:r>
        <w:t xml:space="preserve">can lead to the creation of </w:t>
      </w:r>
      <w:r w:rsidR="00A04846" w:rsidRPr="009D203F">
        <w:t xml:space="preserve">artificial constructs </w:t>
      </w:r>
      <w:r>
        <w:t xml:space="preserve">and erroneously </w:t>
      </w:r>
      <w:r w:rsidR="002370F8">
        <w:t xml:space="preserve">imposes </w:t>
      </w:r>
      <w:r w:rsidR="00A04846" w:rsidRPr="009D203F">
        <w:t xml:space="preserve">inherent </w:t>
      </w:r>
      <w:r w:rsidR="00A04846" w:rsidRPr="009D203F">
        <w:lastRenderedPageBreak/>
        <w:t xml:space="preserve">weaknesses </w:t>
      </w:r>
      <w:r>
        <w:t xml:space="preserve">to </w:t>
      </w:r>
      <w:r w:rsidR="00A04846" w:rsidRPr="009D203F">
        <w:t xml:space="preserve">specific </w:t>
      </w:r>
      <w:r w:rsidR="007313C4">
        <w:t xml:space="preserve">population </w:t>
      </w:r>
      <w:r w:rsidR="00A04846" w:rsidRPr="009D203F">
        <w:t>groups</w:t>
      </w:r>
      <w:r>
        <w:t xml:space="preserve">. </w:t>
      </w:r>
      <w:r w:rsidR="00B82A7F">
        <w:t>Aside from the impacts of being ascribed as vulnerable</w:t>
      </w:r>
      <w:r>
        <w:t>,</w:t>
      </w:r>
      <w:r w:rsidR="00B82A7F">
        <w:t xml:space="preserve"> it should be remembered that</w:t>
      </w:r>
      <w:r w:rsidR="00A04846" w:rsidRPr="009D203F">
        <w:t xml:space="preserve"> those </w:t>
      </w:r>
      <w:r w:rsidR="00B82A7F">
        <w:t xml:space="preserve">so labelled, </w:t>
      </w:r>
      <w:r w:rsidR="00A04846" w:rsidRPr="009D203F">
        <w:t xml:space="preserve">by the </w:t>
      </w:r>
      <w:r w:rsidR="0009323D">
        <w:t>S</w:t>
      </w:r>
      <w:r w:rsidR="00A04846" w:rsidRPr="009D203F">
        <w:t xml:space="preserve">tate or otherwise, </w:t>
      </w:r>
      <w:r w:rsidR="00B82A7F">
        <w:t xml:space="preserve">may </w:t>
      </w:r>
      <w:r w:rsidR="00A04846" w:rsidRPr="009D203F">
        <w:t xml:space="preserve">challenge the label as they </w:t>
      </w:r>
      <w:r w:rsidR="00B82A7F">
        <w:t xml:space="preserve">normalise, </w:t>
      </w:r>
      <w:r w:rsidR="00A04846" w:rsidRPr="009D203F">
        <w:t>overcome</w:t>
      </w:r>
      <w:r w:rsidR="00B82A7F">
        <w:t xml:space="preserve"> </w:t>
      </w:r>
      <w:r w:rsidR="00A04846" w:rsidRPr="009D203F">
        <w:t xml:space="preserve">or </w:t>
      </w:r>
      <w:r w:rsidR="00B82A7F">
        <w:t xml:space="preserve">learn to </w:t>
      </w:r>
      <w:r w:rsidR="00A04846" w:rsidRPr="009D203F">
        <w:t>live with their</w:t>
      </w:r>
      <w:r w:rsidR="002370F8">
        <w:t xml:space="preserve"> apparent</w:t>
      </w:r>
      <w:r w:rsidR="00A04846" w:rsidRPr="009D203F">
        <w:t xml:space="preserve"> ‘vulnerability’.</w:t>
      </w:r>
      <w:r w:rsidR="00A04846">
        <w:t xml:space="preserve"> </w:t>
      </w:r>
    </w:p>
    <w:p w14:paraId="75688B4D" w14:textId="77777777" w:rsidR="00D60BE6" w:rsidRDefault="00D60BE6" w:rsidP="00975FF1">
      <w:pPr>
        <w:spacing w:line="480" w:lineRule="auto"/>
        <w:jc w:val="both"/>
      </w:pPr>
    </w:p>
    <w:p w14:paraId="307D8367" w14:textId="60AB4176" w:rsidR="00AE35C8" w:rsidRDefault="00551E4B" w:rsidP="00975FF1">
      <w:pPr>
        <w:spacing w:line="480" w:lineRule="auto"/>
        <w:jc w:val="both"/>
        <w:rPr>
          <w:color w:val="000000" w:themeColor="text1"/>
        </w:rPr>
      </w:pPr>
      <w:r>
        <w:t xml:space="preserve">Within these parameters, neither </w:t>
      </w:r>
      <w:r w:rsidR="00D60BE6">
        <w:t xml:space="preserve">‘risk’ nor ‘vulnerability’ </w:t>
      </w:r>
      <w:r w:rsidR="00CD0066">
        <w:t>can be referred to as neutral</w:t>
      </w:r>
      <w:r w:rsidR="00B82A7F">
        <w:t xml:space="preserve">, </w:t>
      </w:r>
      <w:r w:rsidR="009C369A">
        <w:t xml:space="preserve">since </w:t>
      </w:r>
      <w:r w:rsidR="00CD0066">
        <w:t xml:space="preserve">both </w:t>
      </w:r>
      <w:r w:rsidR="00722162">
        <w:t xml:space="preserve">are imbued </w:t>
      </w:r>
      <w:r w:rsidR="00CD0066">
        <w:t>with cultural notions of legitimacy, responsibility, choice and blame (Brown, 2011: 319)</w:t>
      </w:r>
      <w:r w:rsidR="00EE1C20">
        <w:t>.</w:t>
      </w:r>
      <w:r w:rsidR="00722162">
        <w:t xml:space="preserve"> Thus</w:t>
      </w:r>
      <w:r w:rsidR="00EE1C20">
        <w:t xml:space="preserve">, </w:t>
      </w:r>
      <w:r w:rsidR="00847358">
        <w:t xml:space="preserve">assessments of </w:t>
      </w:r>
      <w:r w:rsidR="001F7DF2">
        <w:t xml:space="preserve">risk and vulnerability </w:t>
      </w:r>
      <w:r w:rsidR="001B4DF6">
        <w:t xml:space="preserve">are often made on the basis of </w:t>
      </w:r>
      <w:r w:rsidR="00542266">
        <w:t>‘value-laden assumptions</w:t>
      </w:r>
      <w:r w:rsidR="00DA5140">
        <w:t>’</w:t>
      </w:r>
      <w:r w:rsidR="00542266">
        <w:t xml:space="preserve"> whereby risk is</w:t>
      </w:r>
      <w:r w:rsidR="00722162">
        <w:t xml:space="preserve"> simultaneously</w:t>
      </w:r>
      <w:r w:rsidR="00542266">
        <w:t xml:space="preserve"> ‘both inevitable and non-negotiable</w:t>
      </w:r>
      <w:r w:rsidR="00760926">
        <w:t>’</w:t>
      </w:r>
      <w:r w:rsidR="00A1102C">
        <w:t xml:space="preserve">, </w:t>
      </w:r>
      <w:r w:rsidR="00BF14FF">
        <w:t xml:space="preserve">‘everywhere and nowhere’ </w:t>
      </w:r>
      <w:r w:rsidR="00542266">
        <w:t>(Sibley, 2018)</w:t>
      </w:r>
      <w:r w:rsidR="007B2DE0">
        <w:t xml:space="preserve"> and ‘constructed within a logic of norms and values that are felt’</w:t>
      </w:r>
      <w:r w:rsidR="001B675C">
        <w:t xml:space="preserve"> (</w:t>
      </w:r>
      <w:proofErr w:type="spellStart"/>
      <w:r w:rsidR="001B675C">
        <w:t>Walklate</w:t>
      </w:r>
      <w:proofErr w:type="spellEnd"/>
      <w:r w:rsidR="001B675C">
        <w:t xml:space="preserve"> and Mythen, 2011: </w:t>
      </w:r>
      <w:r w:rsidR="0028745E">
        <w:t>108).</w:t>
      </w:r>
      <w:r w:rsidR="00681600">
        <w:t xml:space="preserve"> </w:t>
      </w:r>
      <w:r w:rsidR="00A9672B">
        <w:t xml:space="preserve">As </w:t>
      </w:r>
      <w:r w:rsidR="00B82A7F">
        <w:t>we have argued previously (</w:t>
      </w:r>
      <w:r w:rsidR="00A9672B">
        <w:t>Weston and Mythen</w:t>
      </w:r>
      <w:r w:rsidR="00B82A7F">
        <w:t xml:space="preserve">, </w:t>
      </w:r>
      <w:r w:rsidR="00A9672B">
        <w:t>2021)</w:t>
      </w:r>
      <w:r w:rsidR="00687809">
        <w:t>,</w:t>
      </w:r>
      <w:r w:rsidR="00A9672B">
        <w:t xml:space="preserve"> </w:t>
      </w:r>
      <w:r w:rsidR="00287B77" w:rsidRPr="000A4A83">
        <w:rPr>
          <w:color w:val="000000" w:themeColor="text1"/>
        </w:rPr>
        <w:t>assumptions held by practitioners around who or what constitutes a risky subject and who is defined as a vulnerable (potential) victim are undergirded by engrained cultural and moral values, some of which reflect current policy trajectories and approaches</w:t>
      </w:r>
      <w:r w:rsidR="00687809">
        <w:rPr>
          <w:color w:val="000000" w:themeColor="text1"/>
        </w:rPr>
        <w:t>,</w:t>
      </w:r>
      <w:r w:rsidR="00287B77" w:rsidRPr="000A4A83">
        <w:rPr>
          <w:color w:val="000000" w:themeColor="text1"/>
        </w:rPr>
        <w:t xml:space="preserve"> and others of which </w:t>
      </w:r>
      <w:r w:rsidR="00B82A7F">
        <w:rPr>
          <w:color w:val="000000" w:themeColor="text1"/>
        </w:rPr>
        <w:t xml:space="preserve">may </w:t>
      </w:r>
      <w:r w:rsidR="00287B77" w:rsidRPr="000A4A83">
        <w:rPr>
          <w:color w:val="000000" w:themeColor="text1"/>
        </w:rPr>
        <w:t>conflict with them.</w:t>
      </w:r>
      <w:r w:rsidR="00821222">
        <w:rPr>
          <w:color w:val="000000" w:themeColor="text1"/>
        </w:rPr>
        <w:t xml:space="preserve"> </w:t>
      </w:r>
    </w:p>
    <w:p w14:paraId="01F6EDA8" w14:textId="0A17E95A" w:rsidR="005F125E" w:rsidRDefault="005F125E" w:rsidP="00975FF1">
      <w:pPr>
        <w:spacing w:line="480" w:lineRule="auto"/>
        <w:jc w:val="both"/>
        <w:rPr>
          <w:color w:val="000000" w:themeColor="text1"/>
        </w:rPr>
      </w:pPr>
    </w:p>
    <w:p w14:paraId="6CA76710" w14:textId="6037B7BF" w:rsidR="002053FE" w:rsidRPr="0003708A" w:rsidRDefault="000F72D3" w:rsidP="00975FF1">
      <w:pPr>
        <w:spacing w:line="480" w:lineRule="auto"/>
        <w:jc w:val="both"/>
      </w:pPr>
      <w:r>
        <w:rPr>
          <w:color w:val="000000" w:themeColor="text1"/>
        </w:rPr>
        <w:t>Although practitioners are frequently encouraged to draw on their experiential knowledge to make assessments about risk and vulnerability (</w:t>
      </w:r>
      <w:r w:rsidR="00BE4FBE">
        <w:rPr>
          <w:color w:val="000000" w:themeColor="text1"/>
        </w:rPr>
        <w:t xml:space="preserve">see </w:t>
      </w:r>
      <w:proofErr w:type="spellStart"/>
      <w:r w:rsidR="005E418A" w:rsidRPr="000A4A83">
        <w:rPr>
          <w:rFonts w:cs="ArialMT"/>
          <w:color w:val="000000" w:themeColor="text1"/>
        </w:rPr>
        <w:t>Walklate</w:t>
      </w:r>
      <w:proofErr w:type="spellEnd"/>
      <w:r w:rsidR="005E418A" w:rsidRPr="000A4A83">
        <w:rPr>
          <w:rFonts w:cs="ArialMT"/>
          <w:color w:val="000000" w:themeColor="text1"/>
        </w:rPr>
        <w:t xml:space="preserve"> and Mythen, 2011</w:t>
      </w:r>
      <w:r w:rsidR="005E418A">
        <w:rPr>
          <w:rFonts w:cs="ArialMT"/>
          <w:color w:val="000000" w:themeColor="text1"/>
        </w:rPr>
        <w:t xml:space="preserve">; </w:t>
      </w:r>
      <w:r w:rsidR="00421AD0" w:rsidRPr="000A4A83">
        <w:rPr>
          <w:rFonts w:cs="ArialMT"/>
          <w:color w:val="000000" w:themeColor="text1"/>
        </w:rPr>
        <w:t>Werth, 2017; Degenhardt and Bourne, 2018</w:t>
      </w:r>
      <w:r>
        <w:rPr>
          <w:color w:val="000000" w:themeColor="text1"/>
        </w:rPr>
        <w:t>)</w:t>
      </w:r>
      <w:r w:rsidR="005C2DFB">
        <w:rPr>
          <w:color w:val="000000" w:themeColor="text1"/>
        </w:rPr>
        <w:t>,</w:t>
      </w:r>
      <w:r>
        <w:rPr>
          <w:color w:val="000000" w:themeColor="text1"/>
        </w:rPr>
        <w:t xml:space="preserve"> </w:t>
      </w:r>
      <w:r w:rsidR="00F87F33">
        <w:rPr>
          <w:color w:val="000000" w:themeColor="text1"/>
        </w:rPr>
        <w:t xml:space="preserve">a </w:t>
      </w:r>
      <w:r>
        <w:rPr>
          <w:color w:val="000000" w:themeColor="text1"/>
        </w:rPr>
        <w:t xml:space="preserve">lack of </w:t>
      </w:r>
      <w:r w:rsidR="005735C0">
        <w:rPr>
          <w:color w:val="000000" w:themeColor="text1"/>
        </w:rPr>
        <w:t xml:space="preserve">consensus about the definitions of such terms </w:t>
      </w:r>
      <w:r w:rsidR="00A4371A">
        <w:rPr>
          <w:color w:val="000000" w:themeColor="text1"/>
        </w:rPr>
        <w:t xml:space="preserve">raises </w:t>
      </w:r>
      <w:r w:rsidR="00F87F33">
        <w:rPr>
          <w:color w:val="000000" w:themeColor="text1"/>
        </w:rPr>
        <w:t xml:space="preserve">troubling </w:t>
      </w:r>
      <w:r w:rsidR="00A4371A">
        <w:rPr>
          <w:color w:val="000000" w:themeColor="text1"/>
        </w:rPr>
        <w:t xml:space="preserve">questions about how they are applied within practitioner </w:t>
      </w:r>
      <w:r w:rsidR="009A648C">
        <w:rPr>
          <w:color w:val="000000" w:themeColor="text1"/>
        </w:rPr>
        <w:t xml:space="preserve">settings. </w:t>
      </w:r>
      <w:r w:rsidR="00F87F33">
        <w:rPr>
          <w:color w:val="000000" w:themeColor="text1"/>
        </w:rPr>
        <w:t xml:space="preserve">Research by </w:t>
      </w:r>
      <w:r w:rsidR="009A648C">
        <w:t>Fawcett (2009:</w:t>
      </w:r>
      <w:r w:rsidR="00F87F33">
        <w:t xml:space="preserve"> </w:t>
      </w:r>
      <w:r w:rsidR="009A648C">
        <w:t>277)</w:t>
      </w:r>
      <w:r w:rsidR="00A1102C">
        <w:t xml:space="preserve">, for instance, </w:t>
      </w:r>
      <w:r w:rsidR="00F87F33">
        <w:t xml:space="preserve">shows </w:t>
      </w:r>
      <w:r w:rsidR="009A648C">
        <w:t xml:space="preserve">that social workers </w:t>
      </w:r>
      <w:r w:rsidR="00A1102C">
        <w:t xml:space="preserve">may </w:t>
      </w:r>
      <w:r w:rsidR="00F87F33">
        <w:t xml:space="preserve">tend to </w:t>
      </w:r>
      <w:r w:rsidR="009A648C">
        <w:t xml:space="preserve">stress a client’s vulnerability to paint a more intimate biography of the client as an individual, in order to reduce the perception that </w:t>
      </w:r>
      <w:r w:rsidR="00F87F33">
        <w:t xml:space="preserve">the </w:t>
      </w:r>
      <w:r w:rsidR="009A648C">
        <w:t xml:space="preserve">said client </w:t>
      </w:r>
      <w:r w:rsidR="00A1102C">
        <w:t>constitute</w:t>
      </w:r>
      <w:r w:rsidR="002370F8">
        <w:t>s</w:t>
      </w:r>
      <w:r w:rsidR="00A1102C">
        <w:t xml:space="preserve"> </w:t>
      </w:r>
      <w:r w:rsidR="009A648C">
        <w:t xml:space="preserve">a </w:t>
      </w:r>
      <w:r w:rsidR="00A1102C">
        <w:t>‘</w:t>
      </w:r>
      <w:r w:rsidR="009A648C">
        <w:t>risk</w:t>
      </w:r>
      <w:r w:rsidR="00A1102C">
        <w:t>’</w:t>
      </w:r>
      <w:r w:rsidR="00F87F33">
        <w:t xml:space="preserve">. Yet </w:t>
      </w:r>
      <w:r w:rsidR="00D73534">
        <w:t>i</w:t>
      </w:r>
      <w:r w:rsidR="009A648C">
        <w:t>n criminal justice settings, the use of particular</w:t>
      </w:r>
      <w:r w:rsidR="00177DCD">
        <w:t xml:space="preserve"> </w:t>
      </w:r>
      <w:r w:rsidR="009A648C">
        <w:t xml:space="preserve">vulnerabilities </w:t>
      </w:r>
      <w:r w:rsidR="00A1102C">
        <w:t>-</w:t>
      </w:r>
      <w:r w:rsidR="009A648C">
        <w:t xml:space="preserve"> </w:t>
      </w:r>
      <w:r w:rsidR="00F87F33">
        <w:t xml:space="preserve">for instance </w:t>
      </w:r>
      <w:r w:rsidR="009A648C">
        <w:t>when an individual is identified as being more susceptible to offending than others</w:t>
      </w:r>
      <w:r w:rsidR="00A1102C">
        <w:t xml:space="preserve"> </w:t>
      </w:r>
      <w:r w:rsidR="009A648C">
        <w:t xml:space="preserve">and therefore in need of further assistance </w:t>
      </w:r>
      <w:r w:rsidR="00F87F33">
        <w:t>-</w:t>
      </w:r>
      <w:r w:rsidR="009A648C">
        <w:t xml:space="preserve"> has </w:t>
      </w:r>
      <w:r w:rsidR="00F52035">
        <w:t xml:space="preserve">invariably </w:t>
      </w:r>
      <w:r w:rsidR="00F87F33">
        <w:lastRenderedPageBreak/>
        <w:t>induced</w:t>
      </w:r>
      <w:r w:rsidR="009A648C">
        <w:t xml:space="preserve"> response</w:t>
      </w:r>
      <w:r w:rsidR="00F52035">
        <w:t>s</w:t>
      </w:r>
      <w:r w:rsidR="009A648C">
        <w:t xml:space="preserve"> that </w:t>
      </w:r>
      <w:r w:rsidR="00A1102C">
        <w:t xml:space="preserve">intensify </w:t>
      </w:r>
      <w:r w:rsidR="009A648C">
        <w:t>monitoring, supervision and discipline</w:t>
      </w:r>
      <w:r w:rsidR="007B001B">
        <w:t xml:space="preserve"> (</w:t>
      </w:r>
      <w:r w:rsidR="002254E6">
        <w:t xml:space="preserve">see </w:t>
      </w:r>
      <w:r w:rsidR="007B001B">
        <w:t>Brown, 2017</w:t>
      </w:r>
      <w:r w:rsidR="002254E6">
        <w:t xml:space="preserve">; Mythen and </w:t>
      </w:r>
      <w:proofErr w:type="spellStart"/>
      <w:r w:rsidR="002254E6">
        <w:t>Baillergeau</w:t>
      </w:r>
      <w:proofErr w:type="spellEnd"/>
      <w:r w:rsidR="002254E6">
        <w:t>, 2021</w:t>
      </w:r>
      <w:r w:rsidR="007B001B">
        <w:t>)</w:t>
      </w:r>
      <w:r w:rsidR="009A648C">
        <w:t>.</w:t>
      </w:r>
      <w:r w:rsidR="006844A9">
        <w:t xml:space="preserve"> </w:t>
      </w:r>
      <w:r w:rsidR="00400DD7" w:rsidRPr="0003708A">
        <w:t>Th</w:t>
      </w:r>
      <w:r w:rsidR="00A1102C">
        <w:t>e</w:t>
      </w:r>
      <w:r w:rsidR="00400DD7" w:rsidRPr="0003708A">
        <w:t xml:space="preserve"> </w:t>
      </w:r>
      <w:r w:rsidR="00A1102C">
        <w:t>variegated nature of</w:t>
      </w:r>
      <w:r w:rsidR="00400DD7" w:rsidRPr="0003708A">
        <w:t xml:space="preserve"> application</w:t>
      </w:r>
      <w:r w:rsidR="00A1102C">
        <w:t>s</w:t>
      </w:r>
      <w:r w:rsidR="00400DD7" w:rsidRPr="0003708A">
        <w:t xml:space="preserve"> of ‘risk’ and ‘vulnerability’ is important, especially g</w:t>
      </w:r>
      <w:r w:rsidR="004A1DE6" w:rsidRPr="0003708A">
        <w:t>iven recent shift</w:t>
      </w:r>
      <w:r w:rsidR="00A1102C">
        <w:t>s</w:t>
      </w:r>
      <w:r w:rsidR="004A1DE6" w:rsidRPr="0003708A">
        <w:t xml:space="preserve"> toward public health approaches and practitioner spaces where health, social work and criminal justice </w:t>
      </w:r>
      <w:r w:rsidR="00F87F33">
        <w:t>intersect</w:t>
      </w:r>
      <w:r w:rsidR="007A7E41">
        <w:t>. For example, the introduction of a prohibition against parental physical punishment in Sweden led to differing responses from</w:t>
      </w:r>
      <w:r w:rsidR="00E52535">
        <w:t xml:space="preserve"> within</w:t>
      </w:r>
      <w:r w:rsidR="007A7E41">
        <w:t xml:space="preserve"> social work</w:t>
      </w:r>
      <w:r w:rsidR="00F87F33">
        <w:t>,</w:t>
      </w:r>
      <w:r w:rsidR="007A7E41">
        <w:t xml:space="preserve"> with some </w:t>
      </w:r>
      <w:r w:rsidR="00E52535">
        <w:t xml:space="preserve">practitioners </w:t>
      </w:r>
      <w:r w:rsidR="007A7E41">
        <w:t xml:space="preserve">more willing to report and inclined to act ‘reactively’ when receiving information about child abuse of any kind and others inclined to </w:t>
      </w:r>
      <w:r w:rsidR="00F87F33">
        <w:t xml:space="preserve">favour </w:t>
      </w:r>
      <w:r w:rsidR="007A7E41">
        <w:t>a more ‘proactive’ approach</w:t>
      </w:r>
      <w:r w:rsidR="00A1102C">
        <w:t>,</w:t>
      </w:r>
      <w:r w:rsidR="007A7E41">
        <w:t xml:space="preserve"> prioritis</w:t>
      </w:r>
      <w:r w:rsidR="00F87F33">
        <w:t>ing</w:t>
      </w:r>
      <w:r w:rsidR="007A7E41">
        <w:t xml:space="preserve"> family support and voluntary engagement</w:t>
      </w:r>
      <w:r w:rsidR="00DC314B">
        <w:t xml:space="preserve"> (</w:t>
      </w:r>
      <w:proofErr w:type="spellStart"/>
      <w:r w:rsidR="00DC314B">
        <w:t>Levin</w:t>
      </w:r>
      <w:r w:rsidR="005F7E60">
        <w:t>er</w:t>
      </w:r>
      <w:proofErr w:type="spellEnd"/>
      <w:r w:rsidR="00DC314B">
        <w:t xml:space="preserve"> and </w:t>
      </w:r>
      <w:proofErr w:type="spellStart"/>
      <w:r w:rsidR="005F7E60">
        <w:t>Sardiello</w:t>
      </w:r>
      <w:proofErr w:type="spellEnd"/>
      <w:r w:rsidR="005F7E60">
        <w:t>, 2018)</w:t>
      </w:r>
      <w:r w:rsidR="007A7E41">
        <w:t xml:space="preserve">. </w:t>
      </w:r>
      <w:r w:rsidR="00326AB0" w:rsidRPr="0084099E">
        <w:t>Whose agenda</w:t>
      </w:r>
      <w:r w:rsidR="00501A19" w:rsidRPr="0084099E">
        <w:t xml:space="preserve">s </w:t>
      </w:r>
      <w:r w:rsidR="0003708A" w:rsidRPr="0084099E">
        <w:t xml:space="preserve">and definitions of </w:t>
      </w:r>
      <w:r w:rsidR="00267945">
        <w:t>'</w:t>
      </w:r>
      <w:r w:rsidR="001524F0" w:rsidRPr="0084099E">
        <w:t>risk</w:t>
      </w:r>
      <w:r w:rsidR="00267945">
        <w:t>’</w:t>
      </w:r>
      <w:r w:rsidR="001524F0" w:rsidRPr="0084099E">
        <w:t xml:space="preserve"> and </w:t>
      </w:r>
      <w:r w:rsidR="00267945">
        <w:t>‘</w:t>
      </w:r>
      <w:r w:rsidR="001524F0" w:rsidRPr="0084099E">
        <w:t>vulnerability</w:t>
      </w:r>
      <w:r w:rsidR="00267945">
        <w:t>’</w:t>
      </w:r>
      <w:r w:rsidR="001524F0" w:rsidRPr="0084099E">
        <w:t xml:space="preserve"> are </w:t>
      </w:r>
      <w:r w:rsidR="00267945">
        <w:t xml:space="preserve">then </w:t>
      </w:r>
      <w:r w:rsidR="0003708A" w:rsidRPr="0084099E">
        <w:t xml:space="preserve">prioritised and </w:t>
      </w:r>
      <w:r w:rsidR="00296019" w:rsidRPr="0084099E">
        <w:t xml:space="preserve">subsequently </w:t>
      </w:r>
      <w:r w:rsidR="001524F0" w:rsidRPr="0084099E">
        <w:t>operat</w:t>
      </w:r>
      <w:r w:rsidR="00296019" w:rsidRPr="0084099E">
        <w:t>i</w:t>
      </w:r>
      <w:r w:rsidR="001524F0" w:rsidRPr="0084099E">
        <w:t>onalised</w:t>
      </w:r>
      <w:r w:rsidR="00F87F33" w:rsidRPr="0084099E">
        <w:t xml:space="preserve"> across the various</w:t>
      </w:r>
      <w:r w:rsidR="0003708A" w:rsidRPr="0084099E">
        <w:t xml:space="preserve"> context</w:t>
      </w:r>
      <w:r w:rsidR="00296019" w:rsidRPr="0084099E">
        <w:t>s</w:t>
      </w:r>
      <w:r w:rsidR="0003708A" w:rsidRPr="0084099E">
        <w:t xml:space="preserve"> of social work and criminal justice practice is </w:t>
      </w:r>
      <w:r w:rsidR="00F87F33" w:rsidRPr="0084099E">
        <w:t xml:space="preserve">ripe for </w:t>
      </w:r>
      <w:r w:rsidR="00904AC1" w:rsidRPr="0084099E">
        <w:t xml:space="preserve">further </w:t>
      </w:r>
      <w:r w:rsidR="00F87F33" w:rsidRPr="0084099E">
        <w:t>exploration.</w:t>
      </w:r>
      <w:r w:rsidR="00F87F33" w:rsidRPr="007263EE">
        <w:t xml:space="preserve"> </w:t>
      </w:r>
      <w:r w:rsidR="00095E78" w:rsidRPr="007263EE">
        <w:t xml:space="preserve">Before </w:t>
      </w:r>
      <w:r w:rsidR="00F87F33" w:rsidRPr="007263EE">
        <w:t xml:space="preserve">taking some steps </w:t>
      </w:r>
      <w:r w:rsidR="002B66B2" w:rsidRPr="007263EE">
        <w:t>in</w:t>
      </w:r>
      <w:r w:rsidR="006F3F40">
        <w:t xml:space="preserve"> this direction</w:t>
      </w:r>
      <w:r w:rsidR="002B66B2" w:rsidRPr="007263EE">
        <w:t xml:space="preserve">, it </w:t>
      </w:r>
      <w:r w:rsidR="00F87F33" w:rsidRPr="007263EE">
        <w:t>is firs</w:t>
      </w:r>
      <w:r w:rsidR="00F87F33">
        <w:t>t necessary to</w:t>
      </w:r>
      <w:r w:rsidR="002B66B2">
        <w:t xml:space="preserve"> provide a capsule account </w:t>
      </w:r>
      <w:r w:rsidR="00D508BE">
        <w:t xml:space="preserve">of the </w:t>
      </w:r>
      <w:r w:rsidR="002B66B2">
        <w:t xml:space="preserve">study </w:t>
      </w:r>
      <w:r w:rsidR="00F52035">
        <w:t>undertaken</w:t>
      </w:r>
      <w:r w:rsidR="002254E6">
        <w:t xml:space="preserve"> and the methods of investigation</w:t>
      </w:r>
      <w:r w:rsidR="00F52035">
        <w:t>.</w:t>
      </w:r>
    </w:p>
    <w:p w14:paraId="77CD7C0A" w14:textId="211C719D" w:rsidR="00BF459F" w:rsidRDefault="00BF459F" w:rsidP="00975FF1">
      <w:pPr>
        <w:spacing w:line="480" w:lineRule="auto"/>
        <w:jc w:val="both"/>
      </w:pPr>
    </w:p>
    <w:p w14:paraId="5B3F4FC0" w14:textId="1D28F84D" w:rsidR="00BF459F" w:rsidRPr="00BF459F" w:rsidRDefault="00F52035" w:rsidP="00975FF1">
      <w:pPr>
        <w:spacing w:line="480" w:lineRule="auto"/>
        <w:jc w:val="both"/>
        <w:rPr>
          <w:b/>
          <w:bCs/>
        </w:rPr>
      </w:pPr>
      <w:r>
        <w:rPr>
          <w:b/>
          <w:bCs/>
        </w:rPr>
        <w:t xml:space="preserve">Evaluating an Educative CSE Project: </w:t>
      </w:r>
      <w:r w:rsidR="009D5427">
        <w:rPr>
          <w:b/>
          <w:bCs/>
        </w:rPr>
        <w:t xml:space="preserve">Overview and Trajectory </w:t>
      </w:r>
    </w:p>
    <w:p w14:paraId="2CB59A0D" w14:textId="53606176" w:rsidR="00DA6195" w:rsidRPr="000A4A83" w:rsidRDefault="00EA3A80" w:rsidP="00895CF1">
      <w:pPr>
        <w:pStyle w:val="NormalWeb"/>
        <w:spacing w:line="480" w:lineRule="auto"/>
        <w:jc w:val="both"/>
        <w:rPr>
          <w:color w:val="000000" w:themeColor="text1"/>
        </w:rPr>
      </w:pPr>
      <w:r>
        <w:t>T</w:t>
      </w:r>
      <w:r w:rsidR="00B61F20">
        <w:t xml:space="preserve">he </w:t>
      </w:r>
      <w:r w:rsidR="00C6702A">
        <w:t xml:space="preserve">analysis </w:t>
      </w:r>
      <w:r w:rsidR="00B61F20">
        <w:t xml:space="preserve">presented below is drawn from </w:t>
      </w:r>
      <w:r w:rsidR="00207D53">
        <w:t xml:space="preserve">semi-structured interviews </w:t>
      </w:r>
      <w:r w:rsidR="00A1102C">
        <w:t xml:space="preserve">conducted </w:t>
      </w:r>
      <w:r w:rsidR="0027022B" w:rsidRPr="000A4A83">
        <w:rPr>
          <w:color w:val="000000" w:themeColor="text1"/>
        </w:rPr>
        <w:t xml:space="preserve">with </w:t>
      </w:r>
      <w:r w:rsidR="00A1102C">
        <w:rPr>
          <w:color w:val="000000" w:themeColor="text1"/>
        </w:rPr>
        <w:t xml:space="preserve">members of </w:t>
      </w:r>
      <w:r w:rsidR="00FC1BD9">
        <w:rPr>
          <w:color w:val="000000" w:themeColor="text1"/>
        </w:rPr>
        <w:t xml:space="preserve">a multi-agency team </w:t>
      </w:r>
      <w:r w:rsidR="00A1102C">
        <w:rPr>
          <w:color w:val="000000" w:themeColor="text1"/>
        </w:rPr>
        <w:t xml:space="preserve">responsible for </w:t>
      </w:r>
      <w:r w:rsidR="00FC1BD9">
        <w:rPr>
          <w:color w:val="000000" w:themeColor="text1"/>
        </w:rPr>
        <w:t>design</w:t>
      </w:r>
      <w:r w:rsidR="00A1102C">
        <w:rPr>
          <w:color w:val="000000" w:themeColor="text1"/>
        </w:rPr>
        <w:t>ing</w:t>
      </w:r>
      <w:r w:rsidR="00FC1BD9">
        <w:rPr>
          <w:color w:val="000000" w:themeColor="text1"/>
        </w:rPr>
        <w:t xml:space="preserve"> and deliver</w:t>
      </w:r>
      <w:r w:rsidR="00A1102C">
        <w:rPr>
          <w:color w:val="000000" w:themeColor="text1"/>
        </w:rPr>
        <w:t>ing</w:t>
      </w:r>
      <w:r w:rsidR="00FC1BD9">
        <w:rPr>
          <w:color w:val="000000" w:themeColor="text1"/>
        </w:rPr>
        <w:t xml:space="preserve"> </w:t>
      </w:r>
      <w:r w:rsidR="00491565">
        <w:rPr>
          <w:color w:val="000000" w:themeColor="text1"/>
        </w:rPr>
        <w:t xml:space="preserve">a programme of </w:t>
      </w:r>
      <w:r w:rsidR="00E43592">
        <w:rPr>
          <w:color w:val="000000" w:themeColor="text1"/>
        </w:rPr>
        <w:t xml:space="preserve">early intervention </w:t>
      </w:r>
      <w:r w:rsidR="000C5CE2">
        <w:rPr>
          <w:color w:val="000000" w:themeColor="text1"/>
        </w:rPr>
        <w:t xml:space="preserve">initiatives to prevent </w:t>
      </w:r>
      <w:r w:rsidR="00E43592">
        <w:rPr>
          <w:color w:val="000000" w:themeColor="text1"/>
        </w:rPr>
        <w:t>CSE</w:t>
      </w:r>
      <w:r w:rsidR="00644CE7">
        <w:rPr>
          <w:color w:val="000000" w:themeColor="text1"/>
        </w:rPr>
        <w:t xml:space="preserve">. </w:t>
      </w:r>
      <w:r w:rsidR="00401A2B">
        <w:rPr>
          <w:color w:val="000000" w:themeColor="text1"/>
        </w:rPr>
        <w:t>In line with national guidance, t</w:t>
      </w:r>
      <w:r w:rsidR="00EB2EA5" w:rsidRPr="00E748B5">
        <w:rPr>
          <w:color w:val="000000" w:themeColor="text1"/>
        </w:rPr>
        <w:t xml:space="preserve">he </w:t>
      </w:r>
      <w:r w:rsidR="00A1102C">
        <w:rPr>
          <w:color w:val="000000" w:themeColor="text1"/>
        </w:rPr>
        <w:t xml:space="preserve">purpose </w:t>
      </w:r>
      <w:r w:rsidR="00EB2EA5" w:rsidRPr="00E748B5">
        <w:rPr>
          <w:color w:val="000000" w:themeColor="text1"/>
        </w:rPr>
        <w:t>of the programme was to raise awareness of CSE among young people, parents and po</w:t>
      </w:r>
      <w:r w:rsidR="009D5427">
        <w:rPr>
          <w:color w:val="000000" w:themeColor="text1"/>
        </w:rPr>
        <w:t>tential</w:t>
      </w:r>
      <w:r w:rsidR="00EB2EA5" w:rsidRPr="00E748B5">
        <w:rPr>
          <w:color w:val="000000" w:themeColor="text1"/>
        </w:rPr>
        <w:t xml:space="preserve"> perpetrators</w:t>
      </w:r>
      <w:r w:rsidR="009D5427">
        <w:rPr>
          <w:color w:val="000000" w:themeColor="text1"/>
        </w:rPr>
        <w:t>. This general objective was pursued</w:t>
      </w:r>
      <w:r w:rsidR="00EB2EA5" w:rsidRPr="00E748B5">
        <w:rPr>
          <w:color w:val="000000" w:themeColor="text1"/>
        </w:rPr>
        <w:t xml:space="preserve"> via </w:t>
      </w:r>
      <w:r w:rsidR="00B24331">
        <w:rPr>
          <w:color w:val="000000" w:themeColor="text1"/>
        </w:rPr>
        <w:t xml:space="preserve">‘primary’ measures </w:t>
      </w:r>
      <w:r w:rsidR="00A1102C">
        <w:rPr>
          <w:color w:val="000000" w:themeColor="text1"/>
        </w:rPr>
        <w:t>(</w:t>
      </w:r>
      <w:r w:rsidR="00B24331">
        <w:rPr>
          <w:color w:val="000000" w:themeColor="text1"/>
        </w:rPr>
        <w:t xml:space="preserve">including universal </w:t>
      </w:r>
      <w:r w:rsidR="00EB2EA5" w:rsidRPr="00E748B5">
        <w:rPr>
          <w:color w:val="000000" w:themeColor="text1"/>
        </w:rPr>
        <w:t>education</w:t>
      </w:r>
      <w:r w:rsidR="00A1102C">
        <w:rPr>
          <w:color w:val="000000" w:themeColor="text1"/>
        </w:rPr>
        <w:t>)</w:t>
      </w:r>
      <w:r w:rsidR="009D5427">
        <w:rPr>
          <w:color w:val="000000" w:themeColor="text1"/>
        </w:rPr>
        <w:t xml:space="preserve">, </w:t>
      </w:r>
      <w:r w:rsidR="00B24331">
        <w:rPr>
          <w:color w:val="000000" w:themeColor="text1"/>
        </w:rPr>
        <w:t xml:space="preserve">‘secondary’ measures </w:t>
      </w:r>
      <w:r w:rsidR="00A1102C">
        <w:rPr>
          <w:color w:val="000000" w:themeColor="text1"/>
        </w:rPr>
        <w:t>(</w:t>
      </w:r>
      <w:r w:rsidR="00B24331">
        <w:rPr>
          <w:color w:val="000000" w:themeColor="text1"/>
        </w:rPr>
        <w:t>including</w:t>
      </w:r>
      <w:r w:rsidR="00EB2EA5" w:rsidRPr="00E748B5">
        <w:rPr>
          <w:color w:val="000000" w:themeColor="text1"/>
        </w:rPr>
        <w:t xml:space="preserve"> targeted prevention </w:t>
      </w:r>
      <w:r w:rsidR="00EB2EA5">
        <w:rPr>
          <w:color w:val="000000" w:themeColor="text1"/>
        </w:rPr>
        <w:t>for those identified as ‘at risk’</w:t>
      </w:r>
      <w:r w:rsidR="00A1102C">
        <w:rPr>
          <w:color w:val="000000" w:themeColor="text1"/>
        </w:rPr>
        <w:t>)</w:t>
      </w:r>
      <w:r w:rsidR="00EB2EA5">
        <w:rPr>
          <w:color w:val="000000" w:themeColor="text1"/>
        </w:rPr>
        <w:t xml:space="preserve"> </w:t>
      </w:r>
      <w:r w:rsidR="00EB2EA5" w:rsidRPr="00E748B5">
        <w:rPr>
          <w:color w:val="000000" w:themeColor="text1"/>
        </w:rPr>
        <w:t xml:space="preserve">and support for victims and offenders. </w:t>
      </w:r>
      <w:r w:rsidR="009F6CD5">
        <w:rPr>
          <w:color w:val="000000" w:themeColor="text1"/>
        </w:rPr>
        <w:t xml:space="preserve">In total, 17 participants </w:t>
      </w:r>
      <w:r w:rsidR="00FC1BD9">
        <w:rPr>
          <w:color w:val="000000" w:themeColor="text1"/>
        </w:rPr>
        <w:t xml:space="preserve">were interviewed, </w:t>
      </w:r>
      <w:r w:rsidR="0027022B" w:rsidRPr="000A4A83">
        <w:rPr>
          <w:color w:val="000000" w:themeColor="text1"/>
        </w:rPr>
        <w:t xml:space="preserve">comprising </w:t>
      </w:r>
      <w:r w:rsidR="00895CF1" w:rsidRPr="000A4A83">
        <w:rPr>
          <w:color w:val="000000" w:themeColor="text1"/>
        </w:rPr>
        <w:t xml:space="preserve">nine members of the multi-agency team and eight members of the steering group. Co-located within the existing CSE team at </w:t>
      </w:r>
      <w:proofErr w:type="spellStart"/>
      <w:r w:rsidR="00895CF1" w:rsidRPr="000A4A83">
        <w:rPr>
          <w:color w:val="000000" w:themeColor="text1"/>
        </w:rPr>
        <w:t>Shireland</w:t>
      </w:r>
      <w:proofErr w:type="spellEnd"/>
      <w:r w:rsidR="00895CF1" w:rsidRPr="000A4A83">
        <w:rPr>
          <w:color w:val="000000" w:themeColor="text1"/>
        </w:rPr>
        <w:t xml:space="preserve"> police, the multi-agency team brought together four police officers, a family support worker, a children’s residential care worker, a </w:t>
      </w:r>
      <w:r w:rsidR="00895CF1" w:rsidRPr="000A4A83">
        <w:rPr>
          <w:color w:val="000000" w:themeColor="text1"/>
        </w:rPr>
        <w:lastRenderedPageBreak/>
        <w:t>qualified teacher</w:t>
      </w:r>
      <w:r w:rsidR="006F3F40">
        <w:rPr>
          <w:color w:val="000000" w:themeColor="text1"/>
        </w:rPr>
        <w:t xml:space="preserve"> </w:t>
      </w:r>
      <w:r w:rsidR="00895CF1" w:rsidRPr="000A4A83">
        <w:rPr>
          <w:color w:val="000000" w:themeColor="text1"/>
        </w:rPr>
        <w:t>and two youth workers. Members of the steering group committee were</w:t>
      </w:r>
      <w:r w:rsidR="006F3F40">
        <w:rPr>
          <w:color w:val="000000" w:themeColor="text1"/>
        </w:rPr>
        <w:t xml:space="preserve"> recruited</w:t>
      </w:r>
      <w:r w:rsidR="00895CF1" w:rsidRPr="000A4A83">
        <w:rPr>
          <w:color w:val="000000" w:themeColor="text1"/>
        </w:rPr>
        <w:t xml:space="preserve"> from diverse contexts and included senior police chiefs, county and city-wide safeguarding leads and commissioners for children’s services. </w:t>
      </w:r>
      <w:r w:rsidR="00895CF1">
        <w:rPr>
          <w:color w:val="000000" w:themeColor="text1"/>
        </w:rPr>
        <w:t xml:space="preserve">The work of </w:t>
      </w:r>
      <w:r w:rsidR="00FC59D8" w:rsidRPr="000A4A83">
        <w:rPr>
          <w:color w:val="000000" w:themeColor="text1"/>
        </w:rPr>
        <w:t xml:space="preserve">the </w:t>
      </w:r>
      <w:r w:rsidR="00F50DFF">
        <w:rPr>
          <w:color w:val="000000" w:themeColor="text1"/>
        </w:rPr>
        <w:t xml:space="preserve">multi-agency </w:t>
      </w:r>
      <w:r w:rsidR="00FC59D8" w:rsidRPr="000A4A83">
        <w:rPr>
          <w:color w:val="000000" w:themeColor="text1"/>
        </w:rPr>
        <w:t xml:space="preserve">team </w:t>
      </w:r>
      <w:r w:rsidR="00895CF1">
        <w:rPr>
          <w:color w:val="000000" w:themeColor="text1"/>
        </w:rPr>
        <w:t xml:space="preserve">was to use </w:t>
      </w:r>
      <w:r w:rsidR="00870FA1" w:rsidRPr="000A4A83">
        <w:rPr>
          <w:color w:val="000000" w:themeColor="text1"/>
        </w:rPr>
        <w:t>age</w:t>
      </w:r>
      <w:r w:rsidR="007B5AF0">
        <w:rPr>
          <w:color w:val="000000" w:themeColor="text1"/>
        </w:rPr>
        <w:t>-</w:t>
      </w:r>
      <w:r w:rsidR="00870FA1" w:rsidRPr="000A4A83">
        <w:rPr>
          <w:color w:val="000000" w:themeColor="text1"/>
        </w:rPr>
        <w:t>appropriate content, adapted from materials designed by child protection charities and agencies</w:t>
      </w:r>
      <w:r w:rsidR="009D5427">
        <w:rPr>
          <w:color w:val="000000" w:themeColor="text1"/>
        </w:rPr>
        <w:t>,</w:t>
      </w:r>
      <w:r w:rsidR="00870FA1" w:rsidRPr="000A4A83">
        <w:rPr>
          <w:color w:val="000000" w:themeColor="text1"/>
        </w:rPr>
        <w:t xml:space="preserve"> such as </w:t>
      </w:r>
      <w:proofErr w:type="spellStart"/>
      <w:r w:rsidR="00870FA1" w:rsidRPr="000A4A83">
        <w:rPr>
          <w:color w:val="000000" w:themeColor="text1"/>
        </w:rPr>
        <w:t>Barnados</w:t>
      </w:r>
      <w:proofErr w:type="spellEnd"/>
      <w:r w:rsidR="00870FA1" w:rsidRPr="000A4A83">
        <w:rPr>
          <w:color w:val="000000" w:themeColor="text1"/>
        </w:rPr>
        <w:t xml:space="preserve"> and </w:t>
      </w:r>
      <w:r w:rsidR="006F3F40">
        <w:rPr>
          <w:color w:val="000000" w:themeColor="text1"/>
        </w:rPr>
        <w:t xml:space="preserve">the </w:t>
      </w:r>
      <w:r w:rsidR="00870FA1" w:rsidRPr="000A4A83">
        <w:rPr>
          <w:color w:val="000000" w:themeColor="text1"/>
        </w:rPr>
        <w:t>C</w:t>
      </w:r>
      <w:r w:rsidR="006F3F40">
        <w:rPr>
          <w:color w:val="000000" w:themeColor="text1"/>
        </w:rPr>
        <w:t xml:space="preserve">hild </w:t>
      </w:r>
      <w:r w:rsidR="00870FA1" w:rsidRPr="000A4A83">
        <w:rPr>
          <w:color w:val="000000" w:themeColor="text1"/>
        </w:rPr>
        <w:t>E</w:t>
      </w:r>
      <w:r w:rsidR="006F3F40">
        <w:rPr>
          <w:color w:val="000000" w:themeColor="text1"/>
        </w:rPr>
        <w:t xml:space="preserve">xploitation and </w:t>
      </w:r>
      <w:r w:rsidR="00870FA1" w:rsidRPr="000A4A83">
        <w:rPr>
          <w:color w:val="000000" w:themeColor="text1"/>
        </w:rPr>
        <w:t>O</w:t>
      </w:r>
      <w:r w:rsidR="006F3F40">
        <w:rPr>
          <w:color w:val="000000" w:themeColor="text1"/>
        </w:rPr>
        <w:t xml:space="preserve">nline </w:t>
      </w:r>
      <w:r w:rsidR="00870FA1" w:rsidRPr="000A4A83">
        <w:rPr>
          <w:color w:val="000000" w:themeColor="text1"/>
        </w:rPr>
        <w:t>P</w:t>
      </w:r>
      <w:r w:rsidR="006F3F40">
        <w:rPr>
          <w:color w:val="000000" w:themeColor="text1"/>
        </w:rPr>
        <w:t>rotection Command (CEOP)</w:t>
      </w:r>
      <w:r w:rsidR="00895CF1">
        <w:rPr>
          <w:color w:val="000000" w:themeColor="text1"/>
        </w:rPr>
        <w:t xml:space="preserve">, </w:t>
      </w:r>
      <w:r w:rsidR="009D5427">
        <w:rPr>
          <w:color w:val="000000" w:themeColor="text1"/>
        </w:rPr>
        <w:t xml:space="preserve">to </w:t>
      </w:r>
      <w:r w:rsidR="00870FA1" w:rsidRPr="000A4A83">
        <w:rPr>
          <w:color w:val="000000" w:themeColor="text1"/>
        </w:rPr>
        <w:t>deliver universal education and prevention across a variety of settings</w:t>
      </w:r>
      <w:r w:rsidR="009D5427">
        <w:rPr>
          <w:color w:val="000000" w:themeColor="text1"/>
        </w:rPr>
        <w:t>,</w:t>
      </w:r>
      <w:r w:rsidR="00870FA1" w:rsidRPr="000A4A83">
        <w:rPr>
          <w:color w:val="000000" w:themeColor="text1"/>
        </w:rPr>
        <w:t xml:space="preserve"> including schools, colleges and alternative educational </w:t>
      </w:r>
      <w:r w:rsidR="00A1102C">
        <w:rPr>
          <w:color w:val="000000" w:themeColor="text1"/>
        </w:rPr>
        <w:t>settings</w:t>
      </w:r>
      <w:r w:rsidR="00870FA1" w:rsidRPr="000A4A83">
        <w:rPr>
          <w:color w:val="000000" w:themeColor="text1"/>
        </w:rPr>
        <w:t xml:space="preserve">. Large group presentations in </w:t>
      </w:r>
      <w:r w:rsidR="009D5427">
        <w:rPr>
          <w:color w:val="000000" w:themeColor="text1"/>
        </w:rPr>
        <w:t xml:space="preserve">- </w:t>
      </w:r>
      <w:r w:rsidR="00870FA1" w:rsidRPr="000A4A83">
        <w:rPr>
          <w:color w:val="000000" w:themeColor="text1"/>
        </w:rPr>
        <w:t xml:space="preserve">focusing on how </w:t>
      </w:r>
      <w:r w:rsidR="00F52035">
        <w:rPr>
          <w:color w:val="000000" w:themeColor="text1"/>
        </w:rPr>
        <w:t xml:space="preserve">to </w:t>
      </w:r>
      <w:r w:rsidR="009D5427">
        <w:rPr>
          <w:color w:val="000000" w:themeColor="text1"/>
        </w:rPr>
        <w:t xml:space="preserve">maintain safety </w:t>
      </w:r>
      <w:r w:rsidR="00870FA1" w:rsidRPr="000A4A83">
        <w:rPr>
          <w:color w:val="000000" w:themeColor="text1"/>
        </w:rPr>
        <w:t>online and to raise awareness among potential victims of CSE</w:t>
      </w:r>
      <w:r w:rsidR="009D5427">
        <w:rPr>
          <w:color w:val="000000" w:themeColor="text1"/>
        </w:rPr>
        <w:t xml:space="preserve"> - </w:t>
      </w:r>
      <w:r w:rsidR="00870FA1" w:rsidRPr="000A4A83">
        <w:rPr>
          <w:color w:val="000000" w:themeColor="text1"/>
        </w:rPr>
        <w:t xml:space="preserve">were combined with more targeted work with smaller groups of young people identified as ‘at risk’ of becoming victims or perpetrators of CSE. </w:t>
      </w:r>
      <w:r w:rsidR="00A1102C">
        <w:rPr>
          <w:color w:val="000000" w:themeColor="text1"/>
        </w:rPr>
        <w:t>P</w:t>
      </w:r>
      <w:r w:rsidR="00DA6195" w:rsidRPr="000A4A83">
        <w:rPr>
          <w:color w:val="000000" w:themeColor="text1"/>
        </w:rPr>
        <w:t xml:space="preserve">articipants were interviewed within six months of the programme’s implementation and again twelve months later. Interviews lasted between 45-90 minutes and </w:t>
      </w:r>
      <w:r w:rsidR="009D5427">
        <w:rPr>
          <w:color w:val="000000" w:themeColor="text1"/>
        </w:rPr>
        <w:t xml:space="preserve">were oriented by </w:t>
      </w:r>
      <w:r w:rsidR="00DA6195" w:rsidRPr="000A4A83">
        <w:rPr>
          <w:color w:val="000000" w:themeColor="text1"/>
        </w:rPr>
        <w:t xml:space="preserve">a semi-structured topic guide about the CSE initiative and the participant’s role within it. Interviews were conducted </w:t>
      </w:r>
      <w:r w:rsidR="009D5427">
        <w:rPr>
          <w:color w:val="000000" w:themeColor="text1"/>
        </w:rPr>
        <w:t>either</w:t>
      </w:r>
      <w:r w:rsidR="00DA6195" w:rsidRPr="000A4A83">
        <w:rPr>
          <w:color w:val="000000" w:themeColor="text1"/>
        </w:rPr>
        <w:t xml:space="preserve"> </w:t>
      </w:r>
      <w:r w:rsidR="009D5427">
        <w:rPr>
          <w:color w:val="000000" w:themeColor="text1"/>
        </w:rPr>
        <w:t xml:space="preserve">at </w:t>
      </w:r>
      <w:r w:rsidR="00DA6195" w:rsidRPr="000A4A83">
        <w:rPr>
          <w:color w:val="000000" w:themeColor="text1"/>
        </w:rPr>
        <w:t xml:space="preserve">the </w:t>
      </w:r>
      <w:r w:rsidR="009D5427">
        <w:rPr>
          <w:color w:val="000000" w:themeColor="text1"/>
        </w:rPr>
        <w:t xml:space="preserve">working premises </w:t>
      </w:r>
      <w:r w:rsidR="00DA6195" w:rsidRPr="000A4A83">
        <w:rPr>
          <w:color w:val="000000" w:themeColor="text1"/>
        </w:rPr>
        <w:t>of the interviewer</w:t>
      </w:r>
      <w:r w:rsidR="00F52035">
        <w:rPr>
          <w:color w:val="000000" w:themeColor="text1"/>
        </w:rPr>
        <w:t>s</w:t>
      </w:r>
      <w:r w:rsidR="00DA6195" w:rsidRPr="000A4A83">
        <w:rPr>
          <w:color w:val="000000" w:themeColor="text1"/>
        </w:rPr>
        <w:t xml:space="preserve"> or</w:t>
      </w:r>
      <w:r w:rsidR="009D5427">
        <w:rPr>
          <w:color w:val="000000" w:themeColor="text1"/>
        </w:rPr>
        <w:t xml:space="preserve"> th</w:t>
      </w:r>
      <w:r w:rsidR="00352EFD">
        <w:rPr>
          <w:color w:val="000000" w:themeColor="text1"/>
        </w:rPr>
        <w:t>ose of the</w:t>
      </w:r>
      <w:r w:rsidR="00DA6195" w:rsidRPr="000A4A83">
        <w:rPr>
          <w:color w:val="000000" w:themeColor="text1"/>
        </w:rPr>
        <w:t xml:space="preserve"> interviewees. </w:t>
      </w:r>
      <w:r w:rsidR="00F52035">
        <w:rPr>
          <w:color w:val="000000" w:themeColor="text1"/>
        </w:rPr>
        <w:t xml:space="preserve">Research standards mandated </w:t>
      </w:r>
      <w:r w:rsidR="00DA6195" w:rsidRPr="000A4A83">
        <w:rPr>
          <w:color w:val="000000" w:themeColor="text1"/>
        </w:rPr>
        <w:t>in the British Society of Criminology</w:t>
      </w:r>
      <w:r w:rsidR="009D5427">
        <w:rPr>
          <w:color w:val="000000" w:themeColor="text1"/>
        </w:rPr>
        <w:t xml:space="preserve">’s </w:t>
      </w:r>
      <w:r w:rsidR="00F52035">
        <w:rPr>
          <w:color w:val="000000" w:themeColor="text1"/>
        </w:rPr>
        <w:t xml:space="preserve">professional </w:t>
      </w:r>
      <w:r w:rsidR="009D5427">
        <w:rPr>
          <w:color w:val="000000" w:themeColor="text1"/>
        </w:rPr>
        <w:t xml:space="preserve">code </w:t>
      </w:r>
      <w:r w:rsidR="00DA6195" w:rsidRPr="000A4A83">
        <w:rPr>
          <w:color w:val="000000" w:themeColor="text1"/>
        </w:rPr>
        <w:t>were adhered to and formal approval for the study was granted by the home University</w:t>
      </w:r>
      <w:r w:rsidR="00F52035">
        <w:rPr>
          <w:color w:val="000000" w:themeColor="text1"/>
        </w:rPr>
        <w:t>’s</w:t>
      </w:r>
      <w:r w:rsidR="00DA6195" w:rsidRPr="000A4A83">
        <w:rPr>
          <w:color w:val="000000" w:themeColor="text1"/>
        </w:rPr>
        <w:t xml:space="preserve"> </w:t>
      </w:r>
      <w:r w:rsidR="00F52035">
        <w:rPr>
          <w:color w:val="000000" w:themeColor="text1"/>
        </w:rPr>
        <w:t xml:space="preserve">ethical approval </w:t>
      </w:r>
      <w:r w:rsidR="00DA6195" w:rsidRPr="000A4A83">
        <w:rPr>
          <w:color w:val="000000" w:themeColor="text1"/>
        </w:rPr>
        <w:t>committee.</w:t>
      </w:r>
    </w:p>
    <w:p w14:paraId="4DE3BE30" w14:textId="3387D358" w:rsidR="00DA6195" w:rsidRDefault="00DA6195" w:rsidP="00975FF1">
      <w:pPr>
        <w:spacing w:line="480" w:lineRule="auto"/>
        <w:jc w:val="both"/>
        <w:rPr>
          <w:color w:val="000000" w:themeColor="text1"/>
        </w:rPr>
      </w:pPr>
      <w:r w:rsidRPr="000A4A83">
        <w:rPr>
          <w:color w:val="000000" w:themeColor="text1"/>
        </w:rPr>
        <w:t xml:space="preserve">All interviews were recorded and transcribed post data gathering. The broad principles of grounded theory were </w:t>
      </w:r>
      <w:r w:rsidR="00F52035">
        <w:rPr>
          <w:color w:val="000000" w:themeColor="text1"/>
        </w:rPr>
        <w:t xml:space="preserve">followed </w:t>
      </w:r>
      <w:r w:rsidRPr="000A4A83">
        <w:rPr>
          <w:color w:val="000000" w:themeColor="text1"/>
        </w:rPr>
        <w:t xml:space="preserve">throughout the process of data analysis (see Glaser and Strauss, </w:t>
      </w:r>
      <w:r w:rsidR="006475B0">
        <w:rPr>
          <w:color w:val="000000" w:themeColor="text1"/>
        </w:rPr>
        <w:t>2017</w:t>
      </w:r>
      <w:r w:rsidRPr="000A4A83">
        <w:rPr>
          <w:color w:val="000000" w:themeColor="text1"/>
        </w:rPr>
        <w:t>; Strauss and Corbin, 1990). Post transcription, the first phase of data analysis involved the researchers independently becoming familiar with the content of the data set and scanning to identify emergent</w:t>
      </w:r>
      <w:r w:rsidR="009D5427">
        <w:rPr>
          <w:color w:val="000000" w:themeColor="text1"/>
        </w:rPr>
        <w:t xml:space="preserve"> issues</w:t>
      </w:r>
      <w:r w:rsidRPr="000A4A83">
        <w:rPr>
          <w:color w:val="000000" w:themeColor="text1"/>
        </w:rPr>
        <w:t xml:space="preserve">. Initial codes were attached to the interview transcriptions to organise and structure the data. In a second phase of </w:t>
      </w:r>
      <w:r w:rsidR="009D5427">
        <w:rPr>
          <w:color w:val="000000" w:themeColor="text1"/>
        </w:rPr>
        <w:t xml:space="preserve">data </w:t>
      </w:r>
      <w:r w:rsidRPr="000A4A83">
        <w:rPr>
          <w:color w:val="000000" w:themeColor="text1"/>
        </w:rPr>
        <w:t>analysis, key themes and sub</w:t>
      </w:r>
      <w:r w:rsidR="00BC74D9">
        <w:rPr>
          <w:color w:val="000000" w:themeColor="text1"/>
        </w:rPr>
        <w:t>-</w:t>
      </w:r>
      <w:r w:rsidRPr="000A4A83">
        <w:rPr>
          <w:color w:val="000000" w:themeColor="text1"/>
        </w:rPr>
        <w:t xml:space="preserve">themes were identified and the data was coded accordingly. The third phase of the process involved the researchers comparing and contrasting themes </w:t>
      </w:r>
      <w:r w:rsidR="009D5427">
        <w:rPr>
          <w:color w:val="000000" w:themeColor="text1"/>
        </w:rPr>
        <w:t xml:space="preserve">previously </w:t>
      </w:r>
      <w:r w:rsidRPr="000A4A83">
        <w:rPr>
          <w:color w:val="000000" w:themeColor="text1"/>
        </w:rPr>
        <w:t xml:space="preserve">identified independently. Coalescences and anomalies were discussed dialogically and </w:t>
      </w:r>
      <w:r w:rsidR="00374E33">
        <w:rPr>
          <w:color w:val="000000" w:themeColor="text1"/>
        </w:rPr>
        <w:t xml:space="preserve">prominent </w:t>
      </w:r>
      <w:r w:rsidRPr="000A4A83">
        <w:rPr>
          <w:color w:val="000000" w:themeColor="text1"/>
        </w:rPr>
        <w:t>themes</w:t>
      </w:r>
      <w:r w:rsidR="009D5427">
        <w:rPr>
          <w:color w:val="000000" w:themeColor="text1"/>
        </w:rPr>
        <w:t xml:space="preserve"> agreed</w:t>
      </w:r>
      <w:r w:rsidRPr="000A4A83">
        <w:rPr>
          <w:color w:val="000000" w:themeColor="text1"/>
        </w:rPr>
        <w:t xml:space="preserve">. </w:t>
      </w:r>
      <w:r w:rsidRPr="000A4A83">
        <w:rPr>
          <w:color w:val="000000" w:themeColor="text1"/>
        </w:rPr>
        <w:lastRenderedPageBreak/>
        <w:t xml:space="preserve">Following the </w:t>
      </w:r>
      <w:r w:rsidR="00901C57">
        <w:rPr>
          <w:color w:val="000000" w:themeColor="text1"/>
        </w:rPr>
        <w:t xml:space="preserve">tenets of </w:t>
      </w:r>
      <w:r w:rsidRPr="000A4A83">
        <w:rPr>
          <w:color w:val="000000" w:themeColor="text1"/>
        </w:rPr>
        <w:t xml:space="preserve">grounded theory, axial encoding was conducted during all three phases of research, enabling </w:t>
      </w:r>
      <w:r w:rsidR="00901C57">
        <w:rPr>
          <w:color w:val="000000" w:themeColor="text1"/>
        </w:rPr>
        <w:t xml:space="preserve">a process of </w:t>
      </w:r>
      <w:r w:rsidRPr="000A4A83">
        <w:rPr>
          <w:color w:val="000000" w:themeColor="text1"/>
        </w:rPr>
        <w:t xml:space="preserve">iterative and dynamic data analysis (see Ralph, Birks and Chapman, 2015). </w:t>
      </w:r>
    </w:p>
    <w:p w14:paraId="2CD51DE5" w14:textId="1307C710" w:rsidR="00123F65" w:rsidRDefault="00123F65" w:rsidP="00975FF1">
      <w:pPr>
        <w:pStyle w:val="NormalWeb"/>
        <w:spacing w:line="480" w:lineRule="auto"/>
        <w:jc w:val="both"/>
      </w:pPr>
      <w:r>
        <w:t>In the section that follow</w:t>
      </w:r>
      <w:r w:rsidR="007344DE">
        <w:t>s</w:t>
      </w:r>
      <w:r>
        <w:t xml:space="preserve">, </w:t>
      </w:r>
      <w:r w:rsidR="006F3F40">
        <w:t xml:space="preserve">drawing on interview data, </w:t>
      </w:r>
      <w:r>
        <w:t xml:space="preserve">we set out the ways in which concepts of ‘risk’ and ‘vulnerability’ were </w:t>
      </w:r>
      <w:r w:rsidR="00901C57">
        <w:t xml:space="preserve">articulated and mobilised </w:t>
      </w:r>
      <w:r>
        <w:t xml:space="preserve">by practitioners </w:t>
      </w:r>
      <w:r w:rsidR="009D5427">
        <w:t xml:space="preserve">forming </w:t>
      </w:r>
      <w:r>
        <w:t xml:space="preserve">the multi-agency team </w:t>
      </w:r>
      <w:r w:rsidR="009D5427">
        <w:t xml:space="preserve">tasked with </w:t>
      </w:r>
      <w:r>
        <w:t>deliver</w:t>
      </w:r>
      <w:r w:rsidR="009D5427">
        <w:t>ing</w:t>
      </w:r>
      <w:r>
        <w:t xml:space="preserve"> </w:t>
      </w:r>
      <w:r w:rsidR="009D5427">
        <w:t>the</w:t>
      </w:r>
      <w:r>
        <w:t xml:space="preserve"> programme of early intervention initiatives to prevent CSE. </w:t>
      </w:r>
    </w:p>
    <w:p w14:paraId="172BC52E" w14:textId="77777777" w:rsidR="002053FE" w:rsidRDefault="002053FE" w:rsidP="00975FF1">
      <w:pPr>
        <w:pStyle w:val="NormalWeb"/>
        <w:spacing w:line="480" w:lineRule="auto"/>
        <w:jc w:val="both"/>
      </w:pPr>
    </w:p>
    <w:p w14:paraId="2AC54E03" w14:textId="7939541A" w:rsidR="007344DE" w:rsidRDefault="007344DE" w:rsidP="00975FF1">
      <w:pPr>
        <w:pStyle w:val="NormalWeb"/>
        <w:spacing w:line="480" w:lineRule="auto"/>
        <w:jc w:val="both"/>
        <w:rPr>
          <w:b/>
          <w:bCs/>
        </w:rPr>
      </w:pPr>
      <w:r w:rsidRPr="000D5F53">
        <w:rPr>
          <w:b/>
          <w:bCs/>
        </w:rPr>
        <w:t>Unravelling Practitioner Notions of ‘Risk’ and ‘Vulnerability’: Paradoxical Narratives of Universality and Particularity</w:t>
      </w:r>
    </w:p>
    <w:p w14:paraId="6E4E9703" w14:textId="797FB116" w:rsidR="007344DE" w:rsidRPr="00446314" w:rsidRDefault="007344DE" w:rsidP="00975FF1">
      <w:pPr>
        <w:pStyle w:val="NormalWeb"/>
        <w:spacing w:line="480" w:lineRule="auto"/>
        <w:jc w:val="both"/>
      </w:pPr>
      <w:r w:rsidRPr="00851767">
        <w:t>Thus far, we have extrapolated the context in which shifting notions of risk and vulnerability are constructed</w:t>
      </w:r>
      <w:r>
        <w:t xml:space="preserve"> </w:t>
      </w:r>
      <w:r w:rsidRPr="00851767">
        <w:t xml:space="preserve">and applied and also provided a summary of the methods deployed in the study. We now wish to </w:t>
      </w:r>
      <w:r>
        <w:t xml:space="preserve">travel on </w:t>
      </w:r>
      <w:r w:rsidRPr="00851767">
        <w:t xml:space="preserve">to discuss </w:t>
      </w:r>
      <w:r>
        <w:t xml:space="preserve">a salient </w:t>
      </w:r>
      <w:r w:rsidRPr="00851767">
        <w:t>t</w:t>
      </w:r>
      <w:r>
        <w:t>ension</w:t>
      </w:r>
      <w:r w:rsidRPr="00851767">
        <w:t xml:space="preserve"> which emerged </w:t>
      </w:r>
      <w:r w:rsidR="008966DF">
        <w:t>from the</w:t>
      </w:r>
      <w:r w:rsidR="008966DF" w:rsidRPr="00851767">
        <w:t xml:space="preserve"> </w:t>
      </w:r>
      <w:r>
        <w:t xml:space="preserve">thematic </w:t>
      </w:r>
      <w:r w:rsidRPr="00851767">
        <w:t>analysis</w:t>
      </w:r>
      <w:r>
        <w:t>, which we dub the universalising/particularising paradox.</w:t>
      </w:r>
    </w:p>
    <w:p w14:paraId="2D161DD0" w14:textId="38A857D5" w:rsidR="0068507A" w:rsidRPr="0068507A" w:rsidRDefault="007344DE" w:rsidP="0084099E">
      <w:pPr>
        <w:pStyle w:val="NormalWeb"/>
        <w:spacing w:line="480" w:lineRule="auto"/>
        <w:jc w:val="both"/>
        <w:rPr>
          <w:bCs/>
        </w:rPr>
      </w:pPr>
      <w:r w:rsidRPr="00174236">
        <w:rPr>
          <w:bCs/>
        </w:rPr>
        <w:t xml:space="preserve">During the course of interviews, many of the practitioners we spoke to expressed the view that   assessing risk and identifying vulnerability was a </w:t>
      </w:r>
      <w:r>
        <w:rPr>
          <w:bCs/>
        </w:rPr>
        <w:t xml:space="preserve">challenging </w:t>
      </w:r>
      <w:r w:rsidRPr="00174236">
        <w:rPr>
          <w:bCs/>
        </w:rPr>
        <w:t xml:space="preserve">process, affected by a range of complex contextual factors. </w:t>
      </w:r>
      <w:r w:rsidR="0068507A" w:rsidRPr="00174236">
        <w:t xml:space="preserve">Historically the term ‘vulnerability’ has been used to identify certain individuals or groups of people at risk of suffering harm, in particular those that have been subjected to specific problematic circumstances or experiences (Brown, 2017; Herring, 2020). </w:t>
      </w:r>
      <w:r w:rsidR="0068507A">
        <w:t xml:space="preserve">To this end, </w:t>
      </w:r>
      <w:r w:rsidR="0068507A" w:rsidRPr="00174236">
        <w:t xml:space="preserve">a disrupted familial background, being victimised or harassed at school, suffering physical isolation, having poor self-esteem or having a learning difficulty were variously identified </w:t>
      </w:r>
      <w:r w:rsidR="00950326">
        <w:t xml:space="preserve">by the social care members of the team </w:t>
      </w:r>
      <w:r w:rsidR="0068507A" w:rsidRPr="00174236">
        <w:t>as potential predictors of</w:t>
      </w:r>
      <w:r w:rsidR="0068507A">
        <w:t xml:space="preserve"> vulnerability</w:t>
      </w:r>
      <w:r w:rsidR="0068507A" w:rsidRPr="00174236">
        <w:t xml:space="preserve">: </w:t>
      </w:r>
    </w:p>
    <w:p w14:paraId="4482718E" w14:textId="77777777" w:rsidR="0068507A" w:rsidRPr="00174236" w:rsidRDefault="0068507A" w:rsidP="0068507A">
      <w:pPr>
        <w:pStyle w:val="NormalWeb"/>
        <w:spacing w:line="480" w:lineRule="auto"/>
        <w:ind w:left="720" w:right="656"/>
        <w:jc w:val="both"/>
      </w:pPr>
      <w:r w:rsidRPr="00174236">
        <w:lastRenderedPageBreak/>
        <w:t xml:space="preserve">“Sometimes you can view the children with more vulnerable factors. They are from broken homes, you know? Poor self-esteem, bullied at school. Those factors can make them more vulnerable. Because it can lead them on to … and then all of a </w:t>
      </w:r>
      <w:proofErr w:type="gramStart"/>
      <w:r w:rsidRPr="00174236">
        <w:t>sudden</w:t>
      </w:r>
      <w:proofErr w:type="gramEnd"/>
      <w:r w:rsidRPr="00174236">
        <w:t xml:space="preserve"> this lovely person pops up, paying them lots of lovely attention” (Carol, Prevent CSE Worker</w:t>
      </w:r>
      <w:r>
        <w:t>, previously Social Care</w:t>
      </w:r>
      <w:r w:rsidRPr="00174236">
        <w:t>).</w:t>
      </w:r>
    </w:p>
    <w:p w14:paraId="5B4B28E1" w14:textId="77777777" w:rsidR="0068507A" w:rsidRPr="00174236" w:rsidRDefault="0068507A" w:rsidP="0068507A">
      <w:pPr>
        <w:pStyle w:val="NormalWeb"/>
        <w:spacing w:line="480" w:lineRule="auto"/>
        <w:ind w:left="720" w:right="656"/>
        <w:jc w:val="both"/>
        <w:rPr>
          <w:color w:val="000000" w:themeColor="text1"/>
        </w:rPr>
      </w:pPr>
      <w:r w:rsidRPr="00174236">
        <w:rPr>
          <w:color w:val="000000" w:themeColor="text1"/>
        </w:rPr>
        <w:t>“From the file audits we’ve done, children with learning difficulties is a risk factor which really, really makes this difficult for these girls and boys to resist, it seems. So, I’m not talking severe learning difficulties, but the kind of kids who end up in moderate learning difficulty establishments and a few school refusers, are highly overly-represented in this group of young people and appear particularly vulnerable to this [CSE] … There are also groups of primarily young men who have learnt who the vulnerable kids are. Say the kids who’ve got poor relationships with the mum, who are out of school, who have got generally neglectful childhoods” (Jane, Safeguarding Lead</w:t>
      </w:r>
      <w:r>
        <w:rPr>
          <w:color w:val="000000" w:themeColor="text1"/>
        </w:rPr>
        <w:t>, Social Care</w:t>
      </w:r>
      <w:r w:rsidRPr="00174236">
        <w:rPr>
          <w:color w:val="000000" w:themeColor="text1"/>
        </w:rPr>
        <w:t>).</w:t>
      </w:r>
    </w:p>
    <w:p w14:paraId="6D6C26D6" w14:textId="77777777" w:rsidR="0068507A" w:rsidRPr="00174236" w:rsidRDefault="0068507A" w:rsidP="0068507A">
      <w:pPr>
        <w:pStyle w:val="NormalWeb"/>
        <w:spacing w:line="480" w:lineRule="auto"/>
        <w:jc w:val="both"/>
      </w:pPr>
      <w:r w:rsidRPr="00174236">
        <w:t>During other conversations, social disadvantage was identified as a predictor of vulnerability:</w:t>
      </w:r>
    </w:p>
    <w:p w14:paraId="6E73F4C2" w14:textId="75B94323" w:rsidR="0068507A" w:rsidRPr="00267945" w:rsidRDefault="0068507A" w:rsidP="0084099E">
      <w:pPr>
        <w:pStyle w:val="NormalWeb"/>
        <w:spacing w:line="480" w:lineRule="auto"/>
        <w:ind w:left="720" w:right="656"/>
        <w:jc w:val="both"/>
      </w:pPr>
      <w:r w:rsidRPr="00174236">
        <w:t>“It tends to be geographically as well, where there’s vulnerabilities, things like poverty and everything, we tend to have a lot of intervention in some schools just by the nature of where they actually placed the school” (Carol, Prevent CSE Worker</w:t>
      </w:r>
      <w:r>
        <w:t>, previously Social Care</w:t>
      </w:r>
      <w:r w:rsidRPr="00174236">
        <w:t>)</w:t>
      </w:r>
      <w:r>
        <w:t>.</w:t>
      </w:r>
    </w:p>
    <w:p w14:paraId="58044AB2" w14:textId="083767FA" w:rsidR="007344DE" w:rsidRPr="00174236" w:rsidRDefault="00950326" w:rsidP="00950326">
      <w:pPr>
        <w:pStyle w:val="NormalWeb"/>
        <w:spacing w:line="480" w:lineRule="auto"/>
        <w:jc w:val="both"/>
        <w:rPr>
          <w:bCs/>
        </w:rPr>
      </w:pPr>
      <w:r>
        <w:rPr>
          <w:bCs/>
        </w:rPr>
        <w:t xml:space="preserve">Conversely, the police officer </w:t>
      </w:r>
      <w:r w:rsidR="005B5BF6">
        <w:rPr>
          <w:bCs/>
        </w:rPr>
        <w:t xml:space="preserve">team members </w:t>
      </w:r>
      <w:r>
        <w:rPr>
          <w:bCs/>
        </w:rPr>
        <w:t xml:space="preserve">were more </w:t>
      </w:r>
      <w:r w:rsidR="005B5BF6">
        <w:rPr>
          <w:bCs/>
        </w:rPr>
        <w:t xml:space="preserve">inclined </w:t>
      </w:r>
      <w:r>
        <w:rPr>
          <w:bCs/>
        </w:rPr>
        <w:t xml:space="preserve">to </w:t>
      </w:r>
      <w:r w:rsidR="00E214AF">
        <w:rPr>
          <w:bCs/>
        </w:rPr>
        <w:t xml:space="preserve">use </w:t>
      </w:r>
      <w:r w:rsidR="005B5BF6">
        <w:rPr>
          <w:bCs/>
        </w:rPr>
        <w:t xml:space="preserve">recourse to </w:t>
      </w:r>
      <w:r w:rsidR="007344DE" w:rsidRPr="00174236">
        <w:rPr>
          <w:bCs/>
        </w:rPr>
        <w:t>previous professional experience and relying on a ‘hunch’</w:t>
      </w:r>
      <w:r w:rsidR="00E214AF">
        <w:rPr>
          <w:bCs/>
        </w:rPr>
        <w:t xml:space="preserve"> in decision making</w:t>
      </w:r>
      <w:r w:rsidR="007344DE" w:rsidRPr="00174236">
        <w:rPr>
          <w:bCs/>
        </w:rPr>
        <w:t>:</w:t>
      </w:r>
    </w:p>
    <w:p w14:paraId="37B26B34" w14:textId="7AF4106C" w:rsidR="007344DE" w:rsidRPr="00174236" w:rsidRDefault="007344DE" w:rsidP="00975FF1">
      <w:pPr>
        <w:pStyle w:val="NormalWeb"/>
        <w:spacing w:line="480" w:lineRule="auto"/>
        <w:ind w:left="720" w:right="656"/>
        <w:jc w:val="both"/>
        <w:rPr>
          <w:b/>
          <w:bCs/>
        </w:rPr>
      </w:pPr>
      <w:r w:rsidRPr="00174236">
        <w:t xml:space="preserve">“It might not just be for CSE, they might be vulnerable for other reasons … I think that is something that you get with experience and dealing with ... you just </w:t>
      </w:r>
      <w:r w:rsidRPr="00174236">
        <w:lastRenderedPageBreak/>
        <w:t>get a hunch. Sometimes it’s just by the family that they come from and you know that that family has got issues that might make them vulnerable. Or that their association might make them vulnerable, or the siblings might have been involved in CSE. There’s just loads of stuff” (Sadia, Prevent CSE Worker</w:t>
      </w:r>
      <w:r w:rsidR="00DD05E7">
        <w:t xml:space="preserve">, previously </w:t>
      </w:r>
      <w:r w:rsidR="006C7667">
        <w:t>P</w:t>
      </w:r>
      <w:r w:rsidR="00DD05E7">
        <w:t xml:space="preserve">olice </w:t>
      </w:r>
      <w:r w:rsidR="006C7667">
        <w:t>O</w:t>
      </w:r>
      <w:r w:rsidR="00DD05E7">
        <w:t>fficer</w:t>
      </w:r>
      <w:r w:rsidRPr="00174236">
        <w:t>).</w:t>
      </w:r>
    </w:p>
    <w:p w14:paraId="771AF245" w14:textId="3D859F56" w:rsidR="007344DE" w:rsidRPr="00174236" w:rsidRDefault="007344DE" w:rsidP="00975FF1">
      <w:pPr>
        <w:pStyle w:val="NormalWeb"/>
        <w:spacing w:line="480" w:lineRule="auto"/>
        <w:ind w:right="-52"/>
        <w:jc w:val="both"/>
      </w:pPr>
      <w:r w:rsidRPr="00174236">
        <w:t xml:space="preserve">Despite articulating specific contextual factors that may amplify vulnerability, the practitioners that we </w:t>
      </w:r>
      <w:r w:rsidR="00D74EB5">
        <w:t>interviewed</w:t>
      </w:r>
      <w:r w:rsidR="005B5BF6">
        <w:t xml:space="preserve"> </w:t>
      </w:r>
      <w:r w:rsidR="00E214AF">
        <w:t>-</w:t>
      </w:r>
      <w:r w:rsidR="005B5BF6">
        <w:t xml:space="preserve"> </w:t>
      </w:r>
      <w:r w:rsidR="005C30BF">
        <w:t>regardless of</w:t>
      </w:r>
      <w:r w:rsidR="005B5BF6">
        <w:t xml:space="preserve"> </w:t>
      </w:r>
      <w:r w:rsidR="00E214AF">
        <w:t xml:space="preserve">prior </w:t>
      </w:r>
      <w:r w:rsidR="005B5BF6">
        <w:t xml:space="preserve">experience </w:t>
      </w:r>
      <w:r w:rsidR="00E214AF">
        <w:t>-</w:t>
      </w:r>
      <w:r w:rsidRPr="00174236">
        <w:t xml:space="preserve"> were keen to stress the general risk of CSE to young people:</w:t>
      </w:r>
    </w:p>
    <w:p w14:paraId="5FCD4A1C" w14:textId="6C05400C" w:rsidR="007344DE" w:rsidRPr="00174236" w:rsidRDefault="007344DE" w:rsidP="00975FF1">
      <w:pPr>
        <w:pStyle w:val="NormalWeb"/>
        <w:spacing w:line="480" w:lineRule="auto"/>
        <w:ind w:left="720" w:right="656"/>
        <w:jc w:val="both"/>
        <w:rPr>
          <w:color w:val="000000" w:themeColor="text1"/>
        </w:rPr>
      </w:pPr>
      <w:r w:rsidRPr="00174236">
        <w:rPr>
          <w:color w:val="000000" w:themeColor="text1"/>
        </w:rPr>
        <w:t>“I think anybody can be at risk and we are very mindful of that when we do the presentations at school … although we have triggers and we have people who are more vulnerable. So, like your people that have got issues going on at home, if they’re from a family you know, if there’s mental health issues, if they’re running away from home or having missing episodes. So, they are the people that we know can be vulnerable to CSE ... but we’ve also had them who’ve come from a lovely 2.4 family, don’t go without, parents are lovely, no safeguarding issues, but they’ve been exploited and they’ve become vulnerable.  So, I think it’s about being mindful that anybody can be at risk” (Amanda, Prevent CSE Worker</w:t>
      </w:r>
      <w:r w:rsidR="006C7667">
        <w:rPr>
          <w:color w:val="000000" w:themeColor="text1"/>
        </w:rPr>
        <w:t>, previously Police Officer</w:t>
      </w:r>
      <w:r w:rsidRPr="00174236">
        <w:rPr>
          <w:color w:val="000000" w:themeColor="text1"/>
        </w:rPr>
        <w:t>).</w:t>
      </w:r>
    </w:p>
    <w:p w14:paraId="61A0F68D" w14:textId="77777777" w:rsidR="007344DE" w:rsidRPr="00174236" w:rsidRDefault="007344DE" w:rsidP="00975FF1">
      <w:pPr>
        <w:pStyle w:val="NormalWeb"/>
        <w:spacing w:line="480" w:lineRule="auto"/>
        <w:ind w:right="-52"/>
        <w:jc w:val="both"/>
        <w:rPr>
          <w:color w:val="000000" w:themeColor="text1"/>
        </w:rPr>
      </w:pPr>
      <w:r>
        <w:t xml:space="preserve">Similarly, </w:t>
      </w:r>
      <w:r w:rsidRPr="00174236">
        <w:t>Carol</w:t>
      </w:r>
      <w:r>
        <w:t xml:space="preserve"> also flagged up the pervasiveness of the threat, expressing the view that CSE </w:t>
      </w:r>
      <w:r w:rsidRPr="00174236">
        <w:t>affects all children:</w:t>
      </w:r>
    </w:p>
    <w:p w14:paraId="771F6C04" w14:textId="77777777" w:rsidR="007344DE" w:rsidRPr="00174236" w:rsidRDefault="007344DE" w:rsidP="00975FF1">
      <w:pPr>
        <w:pStyle w:val="NormalWeb"/>
        <w:spacing w:line="480" w:lineRule="auto"/>
        <w:ind w:left="720" w:right="656"/>
        <w:jc w:val="both"/>
        <w:rPr>
          <w:color w:val="000000" w:themeColor="text1"/>
        </w:rPr>
      </w:pPr>
      <w:r w:rsidRPr="00174236">
        <w:rPr>
          <w:color w:val="000000" w:themeColor="text1"/>
        </w:rPr>
        <w:t xml:space="preserve">“And certainly we still believe that children as young as primary school age, year five and six need to be given insight. Different message obviously, but they </w:t>
      </w:r>
      <w:r w:rsidRPr="00174236">
        <w:rPr>
          <w:color w:val="000000" w:themeColor="text1"/>
        </w:rPr>
        <w:lastRenderedPageBreak/>
        <w:t>need to be educated on the risk. Because it is there. And it is everywhere. There is no getting away from it and I can guarantee that”.</w:t>
      </w:r>
    </w:p>
    <w:p w14:paraId="0B7FCBC5" w14:textId="77777777" w:rsidR="007344DE" w:rsidRPr="00174236" w:rsidRDefault="007344DE" w:rsidP="00975FF1">
      <w:pPr>
        <w:pStyle w:val="NormalWeb"/>
        <w:spacing w:line="480" w:lineRule="auto"/>
        <w:ind w:right="-52"/>
        <w:jc w:val="both"/>
        <w:rPr>
          <w:color w:val="000000" w:themeColor="text1"/>
        </w:rPr>
      </w:pPr>
      <w:r w:rsidRPr="00174236">
        <w:rPr>
          <w:color w:val="000000" w:themeColor="text1"/>
        </w:rPr>
        <w:t xml:space="preserve">While </w:t>
      </w:r>
      <w:r>
        <w:rPr>
          <w:color w:val="000000" w:themeColor="text1"/>
        </w:rPr>
        <w:t xml:space="preserve">a general level of precaution </w:t>
      </w:r>
      <w:r w:rsidRPr="00174236">
        <w:rPr>
          <w:color w:val="000000" w:themeColor="text1"/>
        </w:rPr>
        <w:t xml:space="preserve">is doubtless sagacious, </w:t>
      </w:r>
      <w:r>
        <w:rPr>
          <w:color w:val="000000" w:themeColor="text1"/>
        </w:rPr>
        <w:t xml:space="preserve">the </w:t>
      </w:r>
      <w:r w:rsidRPr="00174236">
        <w:rPr>
          <w:color w:val="000000" w:themeColor="text1"/>
        </w:rPr>
        <w:t xml:space="preserve">practitioners </w:t>
      </w:r>
      <w:r>
        <w:rPr>
          <w:color w:val="000000" w:themeColor="text1"/>
        </w:rPr>
        <w:t xml:space="preserve">we spoke to </w:t>
      </w:r>
      <w:r w:rsidRPr="00174236">
        <w:rPr>
          <w:color w:val="000000" w:themeColor="text1"/>
        </w:rPr>
        <w:t xml:space="preserve">frequently referred to the </w:t>
      </w:r>
      <w:r>
        <w:rPr>
          <w:color w:val="000000" w:themeColor="text1"/>
        </w:rPr>
        <w:t xml:space="preserve">global </w:t>
      </w:r>
      <w:r w:rsidRPr="00174236">
        <w:rPr>
          <w:color w:val="000000" w:themeColor="text1"/>
        </w:rPr>
        <w:t xml:space="preserve">nature of the threat to all young people and children: </w:t>
      </w:r>
    </w:p>
    <w:p w14:paraId="40B8F0D9" w14:textId="631F16C5" w:rsidR="007344DE" w:rsidRPr="00174236" w:rsidRDefault="007344DE" w:rsidP="00975FF1">
      <w:pPr>
        <w:pStyle w:val="NormalWeb"/>
        <w:spacing w:line="480" w:lineRule="auto"/>
        <w:ind w:left="720" w:right="656"/>
        <w:jc w:val="both"/>
        <w:rPr>
          <w:color w:val="000000" w:themeColor="text1"/>
        </w:rPr>
      </w:pPr>
      <w:r w:rsidRPr="00174236">
        <w:rPr>
          <w:color w:val="000000" w:themeColor="text1"/>
        </w:rPr>
        <w:t>“I think any young child is at risk, you know. Like there</w:t>
      </w:r>
      <w:r>
        <w:rPr>
          <w:color w:val="000000" w:themeColor="text1"/>
        </w:rPr>
        <w:t>’</w:t>
      </w:r>
      <w:r w:rsidRPr="00174236">
        <w:rPr>
          <w:color w:val="000000" w:themeColor="text1"/>
        </w:rPr>
        <w:t>s so many quite well-known stories out there and case studies of children that have had generally perfect backgrounds. So, I think all children are at potential risk, absolutely” (Carol, Prevent CSE Worker</w:t>
      </w:r>
      <w:r w:rsidR="006C7667">
        <w:rPr>
          <w:color w:val="000000" w:themeColor="text1"/>
        </w:rPr>
        <w:t>, previously Social Care</w:t>
      </w:r>
      <w:r w:rsidRPr="00174236">
        <w:rPr>
          <w:color w:val="000000" w:themeColor="text1"/>
        </w:rPr>
        <w:t>).</w:t>
      </w:r>
    </w:p>
    <w:p w14:paraId="11FC9C16" w14:textId="0C15E0D5" w:rsidR="007344DE" w:rsidRPr="00174236" w:rsidRDefault="007344DE" w:rsidP="00975FF1">
      <w:pPr>
        <w:pStyle w:val="NormalWeb"/>
        <w:spacing w:line="480" w:lineRule="auto"/>
        <w:ind w:left="720" w:right="656"/>
        <w:jc w:val="both"/>
        <w:rPr>
          <w:color w:val="000000" w:themeColor="text1"/>
        </w:rPr>
      </w:pPr>
      <w:r w:rsidRPr="00174236">
        <w:rPr>
          <w:color w:val="000000" w:themeColor="text1"/>
        </w:rPr>
        <w:t>“Any child.  Anybody.  More vulnerable I would think ... whether it be you know, either they’re very shy or they’ve got some sort of disability or they haven’t got a very good home background.  But then also, you think about that, I’ve thought in actual fact, that’s not what it is. You can’t say that is why this child is a victim, because it’s not always the case. It could be absolutely anybody” (Hannah, Prevent CSE Worker</w:t>
      </w:r>
      <w:r w:rsidR="006C7667">
        <w:rPr>
          <w:color w:val="000000" w:themeColor="text1"/>
        </w:rPr>
        <w:t>, previously Police Officer</w:t>
      </w:r>
      <w:r w:rsidRPr="00174236">
        <w:rPr>
          <w:color w:val="000000" w:themeColor="text1"/>
        </w:rPr>
        <w:t>)</w:t>
      </w:r>
      <w:r>
        <w:rPr>
          <w:color w:val="000000" w:themeColor="text1"/>
        </w:rPr>
        <w:t>.</w:t>
      </w:r>
    </w:p>
    <w:p w14:paraId="22FCB702" w14:textId="2DE2A8AF" w:rsidR="007344DE" w:rsidRPr="00174236" w:rsidRDefault="007344DE" w:rsidP="00975FF1">
      <w:pPr>
        <w:pStyle w:val="NormalWeb"/>
        <w:spacing w:line="480" w:lineRule="auto"/>
        <w:ind w:right="-52"/>
        <w:jc w:val="both"/>
        <w:rPr>
          <w:color w:val="000000" w:themeColor="text1"/>
        </w:rPr>
      </w:pPr>
      <w:r w:rsidRPr="00174236">
        <w:rPr>
          <w:color w:val="000000" w:themeColor="text1"/>
        </w:rPr>
        <w:t>Thus</w:t>
      </w:r>
      <w:r>
        <w:rPr>
          <w:color w:val="000000" w:themeColor="text1"/>
        </w:rPr>
        <w:t xml:space="preserve">, in analysing the data, </w:t>
      </w:r>
      <w:r w:rsidRPr="00174236">
        <w:rPr>
          <w:color w:val="000000" w:themeColor="text1"/>
        </w:rPr>
        <w:t xml:space="preserve">a </w:t>
      </w:r>
      <w:r>
        <w:rPr>
          <w:color w:val="000000" w:themeColor="text1"/>
        </w:rPr>
        <w:t xml:space="preserve">distinct </w:t>
      </w:r>
      <w:r w:rsidRPr="00174236">
        <w:rPr>
          <w:color w:val="000000" w:themeColor="text1"/>
        </w:rPr>
        <w:t>duality in the narratives presented by participants in the study</w:t>
      </w:r>
      <w:r>
        <w:rPr>
          <w:color w:val="000000" w:themeColor="text1"/>
        </w:rPr>
        <w:t xml:space="preserve"> was evident</w:t>
      </w:r>
      <w:r w:rsidRPr="00174236">
        <w:rPr>
          <w:color w:val="000000" w:themeColor="text1"/>
        </w:rPr>
        <w:t xml:space="preserve">, which oscillated between identification of specific risk factors </w:t>
      </w:r>
      <w:r w:rsidR="005B5BF6">
        <w:rPr>
          <w:color w:val="000000" w:themeColor="text1"/>
        </w:rPr>
        <w:t xml:space="preserve">by social care workers </w:t>
      </w:r>
      <w:r w:rsidRPr="00174236">
        <w:rPr>
          <w:color w:val="000000" w:themeColor="text1"/>
        </w:rPr>
        <w:t>and a more generalised presentation of universal</w:t>
      </w:r>
      <w:r>
        <w:rPr>
          <w:color w:val="000000" w:themeColor="text1"/>
        </w:rPr>
        <w:t xml:space="preserve"> vulnerability</w:t>
      </w:r>
      <w:r w:rsidR="005B5BF6">
        <w:rPr>
          <w:color w:val="000000" w:themeColor="text1"/>
        </w:rPr>
        <w:t xml:space="preserve"> by all members of the team</w:t>
      </w:r>
      <w:r w:rsidRPr="00174236">
        <w:rPr>
          <w:color w:val="000000" w:themeColor="text1"/>
        </w:rPr>
        <w:t xml:space="preserve">. </w:t>
      </w:r>
    </w:p>
    <w:p w14:paraId="54059859" w14:textId="49E192B3" w:rsidR="007344DE" w:rsidRDefault="007344DE" w:rsidP="00975FF1">
      <w:pPr>
        <w:pStyle w:val="NormalWeb"/>
        <w:spacing w:line="480" w:lineRule="auto"/>
        <w:ind w:left="720" w:right="656"/>
        <w:jc w:val="both"/>
        <w:rPr>
          <w:color w:val="000000" w:themeColor="text1"/>
        </w:rPr>
      </w:pPr>
      <w:r w:rsidRPr="00174236">
        <w:rPr>
          <w:color w:val="000000" w:themeColor="text1"/>
        </w:rPr>
        <w:t>“Just because a child’s not got up to something risky, or that we know of, doesn't mean to say they haven’t got the potential to, and actually they should have the right to that information as much as anybody else” (Cathy, Prevent CSE Worker</w:t>
      </w:r>
      <w:r w:rsidR="006C7667">
        <w:rPr>
          <w:color w:val="000000" w:themeColor="text1"/>
        </w:rPr>
        <w:t>, previously Youth Worker</w:t>
      </w:r>
      <w:r w:rsidRPr="00174236">
        <w:rPr>
          <w:color w:val="000000" w:themeColor="text1"/>
        </w:rPr>
        <w:t>).</w:t>
      </w:r>
    </w:p>
    <w:p w14:paraId="75B27940" w14:textId="77777777" w:rsidR="007344DE" w:rsidRPr="00174236" w:rsidRDefault="007344DE" w:rsidP="0084099E">
      <w:pPr>
        <w:pStyle w:val="NormalWeb"/>
        <w:spacing w:line="480" w:lineRule="auto"/>
        <w:ind w:right="-52"/>
        <w:jc w:val="both"/>
        <w:rPr>
          <w:color w:val="000000" w:themeColor="text1"/>
        </w:rPr>
      </w:pPr>
      <w:r>
        <w:rPr>
          <w:color w:val="000000" w:themeColor="text1"/>
        </w:rPr>
        <w:lastRenderedPageBreak/>
        <w:t xml:space="preserve">In a parallel track, Mark identifies distinct clusters of </w:t>
      </w:r>
      <w:proofErr w:type="gramStart"/>
      <w:r>
        <w:rPr>
          <w:color w:val="000000" w:themeColor="text1"/>
        </w:rPr>
        <w:t>group</w:t>
      </w:r>
      <w:proofErr w:type="gramEnd"/>
      <w:r>
        <w:rPr>
          <w:color w:val="000000" w:themeColor="text1"/>
        </w:rPr>
        <w:t xml:space="preserve"> who, although involved in different leisure pursuits and cultural habits, are similarly at risk of being exposed to CSE:</w:t>
      </w:r>
    </w:p>
    <w:p w14:paraId="5AE2942B" w14:textId="1985FBEA" w:rsidR="007344DE" w:rsidRPr="00174236" w:rsidRDefault="007344DE" w:rsidP="00975FF1">
      <w:pPr>
        <w:pStyle w:val="NormalWeb"/>
        <w:spacing w:line="480" w:lineRule="auto"/>
        <w:ind w:left="720" w:right="656"/>
        <w:jc w:val="both"/>
        <w:rPr>
          <w:color w:val="000000" w:themeColor="text1"/>
        </w:rPr>
      </w:pPr>
      <w:r w:rsidRPr="00174236">
        <w:rPr>
          <w:color w:val="000000" w:themeColor="text1"/>
        </w:rPr>
        <w:t>“It’s typically the person at home who might not have the friends to go out and socialise with and go to these parties and get, you know, K-Cider from the off-licence. So, you’ve got the group who are doing that, and they’re still doing that. And then you’ve got the group who are at home who are online gaming. Or you’ve got all these friends on the social network, social media, and there’s the risk that they, the risk to them, because they are more vulnerable that way, I suppose” (Mark, Prevent CSE Team Leader</w:t>
      </w:r>
      <w:r w:rsidR="006C7667">
        <w:rPr>
          <w:color w:val="000000" w:themeColor="text1"/>
        </w:rPr>
        <w:t>, previously Police Officer</w:t>
      </w:r>
      <w:r w:rsidRPr="00174236">
        <w:rPr>
          <w:color w:val="000000" w:themeColor="text1"/>
        </w:rPr>
        <w:t>).</w:t>
      </w:r>
    </w:p>
    <w:p w14:paraId="415B22A4" w14:textId="4A3E77D7" w:rsidR="007344DE" w:rsidRPr="00174236" w:rsidRDefault="007344DE" w:rsidP="00975FF1">
      <w:pPr>
        <w:pStyle w:val="NormalWeb"/>
        <w:spacing w:line="480" w:lineRule="auto"/>
        <w:ind w:right="-52"/>
        <w:jc w:val="both"/>
        <w:rPr>
          <w:color w:val="000000" w:themeColor="text1"/>
        </w:rPr>
      </w:pPr>
      <w:r w:rsidRPr="00174236">
        <w:rPr>
          <w:color w:val="000000" w:themeColor="text1"/>
        </w:rPr>
        <w:t>Many of the understandings about risk and vulnerability we encountered were grounded in assumptions associated with the accessibility and use of online digital technology, reflecting wider concerns about the naivety and vulnerability of children and young people</w:t>
      </w:r>
      <w:r>
        <w:rPr>
          <w:color w:val="000000" w:themeColor="text1"/>
        </w:rPr>
        <w:t xml:space="preserve">, chiming with </w:t>
      </w:r>
      <w:r w:rsidR="00E214AF">
        <w:rPr>
          <w:color w:val="000000" w:themeColor="text1"/>
        </w:rPr>
        <w:t xml:space="preserve">dominant </w:t>
      </w:r>
      <w:r w:rsidRPr="00174236">
        <w:rPr>
          <w:color w:val="000000" w:themeColor="text1"/>
        </w:rPr>
        <w:t>media discourses (</w:t>
      </w:r>
      <w:r>
        <w:rPr>
          <w:color w:val="000000" w:themeColor="text1"/>
        </w:rPr>
        <w:t xml:space="preserve">see </w:t>
      </w:r>
      <w:r w:rsidRPr="00174236">
        <w:rPr>
          <w:color w:val="000000" w:themeColor="text1"/>
        </w:rPr>
        <w:t xml:space="preserve">Palfrey, et al. 2009). The notion of generalised risk is </w:t>
      </w:r>
      <w:r>
        <w:rPr>
          <w:color w:val="000000" w:themeColor="text1"/>
        </w:rPr>
        <w:t xml:space="preserve">reflected </w:t>
      </w:r>
      <w:r w:rsidRPr="00174236">
        <w:rPr>
          <w:color w:val="000000" w:themeColor="text1"/>
        </w:rPr>
        <w:t>in the observations made by Carol below:</w:t>
      </w:r>
    </w:p>
    <w:p w14:paraId="604CD26E" w14:textId="02C6801F" w:rsidR="007344DE" w:rsidRPr="00174236" w:rsidRDefault="007344DE" w:rsidP="00975FF1">
      <w:pPr>
        <w:pStyle w:val="NormalWeb"/>
        <w:spacing w:line="480" w:lineRule="auto"/>
        <w:ind w:left="720" w:right="656"/>
        <w:jc w:val="both"/>
        <w:rPr>
          <w:color w:val="000000" w:themeColor="text1"/>
        </w:rPr>
      </w:pPr>
      <w:r w:rsidRPr="00174236">
        <w:rPr>
          <w:color w:val="000000" w:themeColor="text1"/>
        </w:rPr>
        <w:t xml:space="preserve">“We are getting referrals for children that are from seemingly good homes, good backgrounds, consistent routines. Parents have good jobs, might not always be together, don’t have, you know, that consistent approach to parenting. So, children who according to the media we probably wouldn’t get access to because there’s not a need. And actually because of their access, that they have the internet or they’re using their phone it just shows that it doesn’t matter anymore what sector of the community you are from, actually all children are at risk.  And that has shown, most referrals that I would say that I’ve worked with certainly had a cluster of more vulnerable cases.  But actually I’ve been inundated with children that have never been known to services before. There’s never been any </w:t>
      </w:r>
      <w:r w:rsidRPr="00174236">
        <w:rPr>
          <w:color w:val="000000" w:themeColor="text1"/>
        </w:rPr>
        <w:lastRenderedPageBreak/>
        <w:t>concern around CSE. Around any risk-taking behaviours, they’ve got good attendance at school, so that’s been quite interesting as well” (Carol, Prevent CSE Worker</w:t>
      </w:r>
      <w:r w:rsidR="006C7667">
        <w:rPr>
          <w:color w:val="000000" w:themeColor="text1"/>
        </w:rPr>
        <w:t>, previously Social Care</w:t>
      </w:r>
      <w:r w:rsidRPr="00174236">
        <w:rPr>
          <w:color w:val="000000" w:themeColor="text1"/>
        </w:rPr>
        <w:t>).</w:t>
      </w:r>
    </w:p>
    <w:p w14:paraId="7E31B287" w14:textId="77777777" w:rsidR="007344DE" w:rsidRPr="00174236" w:rsidRDefault="007344DE" w:rsidP="00975FF1">
      <w:pPr>
        <w:pStyle w:val="NormalWeb"/>
        <w:spacing w:line="480" w:lineRule="auto"/>
        <w:ind w:right="-52"/>
        <w:jc w:val="both"/>
        <w:rPr>
          <w:color w:val="000000" w:themeColor="text1"/>
        </w:rPr>
      </w:pPr>
      <w:r w:rsidRPr="00174236">
        <w:rPr>
          <w:color w:val="000000" w:themeColor="text1"/>
        </w:rPr>
        <w:t xml:space="preserve">In addition to being commonly connected to exclusion and deprivation, vulnerability was also aligned by practitioners to the naivety of some parents who were not fully cognisant of the risks of online interaction: </w:t>
      </w:r>
    </w:p>
    <w:p w14:paraId="539AECD0" w14:textId="16861EA4" w:rsidR="007344DE" w:rsidRPr="00174236" w:rsidRDefault="007344DE" w:rsidP="00975FF1">
      <w:pPr>
        <w:pStyle w:val="NormalWeb"/>
        <w:spacing w:line="480" w:lineRule="auto"/>
        <w:ind w:left="720" w:right="656"/>
        <w:jc w:val="both"/>
        <w:rPr>
          <w:color w:val="000000" w:themeColor="text1"/>
        </w:rPr>
      </w:pPr>
      <w:r w:rsidRPr="00174236">
        <w:rPr>
          <w:color w:val="000000" w:themeColor="text1"/>
        </w:rPr>
        <w:t>“There’s vulnerable parents out there as well, who have got absolutely no idea around risk. Absolutely no idea what the children are doing. So, they’re vulnerable in that way, that they know nothing about CSE. It doesn’t even come into their … it’s not even on their radar. So, I suppose they are, yes, some of your vulnerable people” (Clare, Prevent CSE Worker</w:t>
      </w:r>
      <w:r w:rsidR="006C7667">
        <w:rPr>
          <w:color w:val="000000" w:themeColor="text1"/>
        </w:rPr>
        <w:t>, previously Social Care</w:t>
      </w:r>
      <w:r w:rsidRPr="00174236">
        <w:rPr>
          <w:color w:val="000000" w:themeColor="text1"/>
        </w:rPr>
        <w:t>).</w:t>
      </w:r>
    </w:p>
    <w:p w14:paraId="797BC67E" w14:textId="77777777" w:rsidR="007344DE" w:rsidRPr="00174236" w:rsidRDefault="007344DE" w:rsidP="0084099E">
      <w:pPr>
        <w:pStyle w:val="NormalWeb"/>
        <w:spacing w:line="480" w:lineRule="auto"/>
        <w:ind w:right="-52"/>
        <w:jc w:val="both"/>
        <w:rPr>
          <w:color w:val="000000" w:themeColor="text1"/>
        </w:rPr>
      </w:pPr>
      <w:r w:rsidRPr="00174236">
        <w:rPr>
          <w:color w:val="000000" w:themeColor="text1"/>
        </w:rPr>
        <w:t xml:space="preserve">This sense of parental unawareness was seen by practitioners to (re)produce vulnerability for children and young adults in engaging with various media, as </w:t>
      </w:r>
      <w:r>
        <w:rPr>
          <w:color w:val="000000" w:themeColor="text1"/>
        </w:rPr>
        <w:t xml:space="preserve">recounted </w:t>
      </w:r>
      <w:r w:rsidRPr="00174236">
        <w:rPr>
          <w:color w:val="000000" w:themeColor="text1"/>
        </w:rPr>
        <w:t xml:space="preserve">by </w:t>
      </w:r>
      <w:r>
        <w:rPr>
          <w:color w:val="000000" w:themeColor="text1"/>
        </w:rPr>
        <w:t xml:space="preserve">both </w:t>
      </w:r>
      <w:r w:rsidRPr="00174236">
        <w:rPr>
          <w:color w:val="000000" w:themeColor="text1"/>
        </w:rPr>
        <w:t>Susan and Clare below:</w:t>
      </w:r>
    </w:p>
    <w:p w14:paraId="1C7AD54C" w14:textId="1FFE0F67" w:rsidR="007344DE" w:rsidRPr="00174236" w:rsidRDefault="007344DE" w:rsidP="00975FF1">
      <w:pPr>
        <w:pStyle w:val="NormalWeb"/>
        <w:spacing w:line="480" w:lineRule="auto"/>
        <w:ind w:left="720" w:right="656"/>
        <w:jc w:val="both"/>
        <w:rPr>
          <w:color w:val="000000" w:themeColor="text1"/>
        </w:rPr>
      </w:pPr>
      <w:r w:rsidRPr="00174236">
        <w:rPr>
          <w:color w:val="000000" w:themeColor="text1"/>
        </w:rPr>
        <w:t>“And I’m just keen to, sort of, you know, do as much education and awareness. Because I think a lot of parents are … and I know a lot of … well myself included, and my parent friends, don’t really understand what risks their children are at now, when they’re online. They’re just sort of given these gadgets, these mobile phones and tablets and things, and then they don’t really think about what could, you know, what risks they</w:t>
      </w:r>
      <w:r>
        <w:rPr>
          <w:color w:val="000000" w:themeColor="text1"/>
        </w:rPr>
        <w:t xml:space="preserve"> are</w:t>
      </w:r>
      <w:r w:rsidRPr="00174236">
        <w:rPr>
          <w:color w:val="000000" w:themeColor="text1"/>
        </w:rPr>
        <w:t>, sort of, setting up for the children, I think” (Susan, Prevent CSE Worker</w:t>
      </w:r>
      <w:r w:rsidR="006C7667">
        <w:rPr>
          <w:color w:val="000000" w:themeColor="text1"/>
        </w:rPr>
        <w:t>, previously Teacher</w:t>
      </w:r>
      <w:r w:rsidRPr="00174236">
        <w:rPr>
          <w:color w:val="000000" w:themeColor="text1"/>
        </w:rPr>
        <w:t xml:space="preserve">).  </w:t>
      </w:r>
    </w:p>
    <w:p w14:paraId="2F559276" w14:textId="69D6E5A6" w:rsidR="007344DE" w:rsidRPr="00174236" w:rsidRDefault="007344DE" w:rsidP="00975FF1">
      <w:pPr>
        <w:pStyle w:val="NormalWeb"/>
        <w:spacing w:line="480" w:lineRule="auto"/>
        <w:ind w:left="720" w:right="656"/>
        <w:jc w:val="both"/>
        <w:rPr>
          <w:color w:val="000000" w:themeColor="text1"/>
        </w:rPr>
      </w:pPr>
      <w:r w:rsidRPr="00174236">
        <w:rPr>
          <w:color w:val="000000" w:themeColor="text1"/>
        </w:rPr>
        <w:t xml:space="preserve">“But ultimately, it’s parents that have those controls. It’s parents who are saying, yes, go on Facebook and I won’t check what settings are on there. Yeah, go on </w:t>
      </w:r>
      <w:r w:rsidRPr="00174236">
        <w:rPr>
          <w:color w:val="000000" w:themeColor="text1"/>
        </w:rPr>
        <w:lastRenderedPageBreak/>
        <w:t>YouTube and etc., etc. So, they are the key. And I say parents, I mean parents and families ... because it could be grandparents that are carers, and they’re even more old-school, because they’ve got absolutely no, you know … grandparents at 60 and 70, the internet wasn’t around when they were born, so they would have no knowledge around how safe it is. And the fact that a 14-year-old granddaughter, oh, she’s safe, she’s locked in her room, she’s fine upstairs. Well, actually, is she okay up there? Because times are telling us now, she’s at more risk sitting in that bedroom in front of that computer screen than she would be if she was out front playing on the front street” (Clare, Prevent CSE Worker</w:t>
      </w:r>
      <w:r w:rsidR="006C7667">
        <w:rPr>
          <w:color w:val="000000" w:themeColor="text1"/>
        </w:rPr>
        <w:t xml:space="preserve">, </w:t>
      </w:r>
      <w:r w:rsidR="00033D43">
        <w:rPr>
          <w:color w:val="000000" w:themeColor="text1"/>
        </w:rPr>
        <w:t>previously Social Care</w:t>
      </w:r>
      <w:r w:rsidRPr="00174236">
        <w:rPr>
          <w:color w:val="000000" w:themeColor="text1"/>
        </w:rPr>
        <w:t>).</w:t>
      </w:r>
    </w:p>
    <w:p w14:paraId="40D3ADA9" w14:textId="3FFAADB5" w:rsidR="007344DE" w:rsidRPr="00174236" w:rsidRDefault="007344DE" w:rsidP="0084099E">
      <w:pPr>
        <w:pStyle w:val="NormalWeb"/>
        <w:spacing w:line="480" w:lineRule="auto"/>
        <w:ind w:right="-52"/>
        <w:jc w:val="both"/>
        <w:rPr>
          <w:color w:val="000000" w:themeColor="text1"/>
        </w:rPr>
      </w:pPr>
      <w:r w:rsidRPr="00174236">
        <w:rPr>
          <w:color w:val="000000" w:themeColor="text1"/>
        </w:rPr>
        <w:t xml:space="preserve">This shifting </w:t>
      </w:r>
      <w:r>
        <w:rPr>
          <w:color w:val="000000" w:themeColor="text1"/>
        </w:rPr>
        <w:t xml:space="preserve">technological </w:t>
      </w:r>
      <w:r w:rsidRPr="00174236">
        <w:rPr>
          <w:color w:val="000000" w:themeColor="text1"/>
        </w:rPr>
        <w:t>landscape can be indexed to a heightened state of anxiety around the prevalence of CSE in society.</w:t>
      </w:r>
      <w:r>
        <w:rPr>
          <w:color w:val="000000" w:themeColor="text1"/>
        </w:rPr>
        <w:t xml:space="preserve"> </w:t>
      </w:r>
      <w:r w:rsidRPr="00174236">
        <w:rPr>
          <w:color w:val="000000" w:themeColor="text1"/>
        </w:rPr>
        <w:t xml:space="preserve">In the event of the impossibility of being able to precisely identify who is likely to be victimised and who is likely to be a perpetrator of CSE, perceptions of ‘risk’ and ‘vulnerability’ were frequently aligned either to normative or </w:t>
      </w:r>
      <w:r>
        <w:rPr>
          <w:color w:val="000000" w:themeColor="text1"/>
        </w:rPr>
        <w:t xml:space="preserve">discrete </w:t>
      </w:r>
      <w:r w:rsidRPr="00174236">
        <w:rPr>
          <w:color w:val="000000" w:themeColor="text1"/>
        </w:rPr>
        <w:t xml:space="preserve">understandings. In many respects, the assumption that ‘anybody can be at risk’ </w:t>
      </w:r>
      <w:r w:rsidR="00090356">
        <w:rPr>
          <w:color w:val="000000" w:themeColor="text1"/>
        </w:rPr>
        <w:t xml:space="preserve">chimes with </w:t>
      </w:r>
      <w:r w:rsidRPr="00174236">
        <w:rPr>
          <w:color w:val="000000" w:themeColor="text1"/>
        </w:rPr>
        <w:t xml:space="preserve">what is dubbed in the literature as, ‘universal vulnerability’, whereby vulnerability is conceived as a ‘universal, inevitable, enduring aspect of the human condition’ and part of our shared humanity that we all age and ‘exist in a world full of often unpredictable material realities’ (Fineman, 2010: 267). As such, designating only certain individuals and groups as “vulnerable’’ ‘transforms our shared vulnerability into a personal liability and renders the individuals so designated susceptible to alienation, stigma, or demonisation’ (Fineman, 2012: 1750). For Fineman (ibid), such a process has the simultaneous effect of suggesting ‘that the rest of us are not vulnerable’. While there were </w:t>
      </w:r>
      <w:r w:rsidR="00090356">
        <w:rPr>
          <w:color w:val="000000" w:themeColor="text1"/>
        </w:rPr>
        <w:t xml:space="preserve">echoes </w:t>
      </w:r>
      <w:r w:rsidRPr="00174236">
        <w:rPr>
          <w:color w:val="000000" w:themeColor="text1"/>
        </w:rPr>
        <w:t xml:space="preserve">of this </w:t>
      </w:r>
      <w:proofErr w:type="spellStart"/>
      <w:r w:rsidRPr="00174236">
        <w:rPr>
          <w:color w:val="000000" w:themeColor="text1"/>
        </w:rPr>
        <w:t>sectorality</w:t>
      </w:r>
      <w:proofErr w:type="spellEnd"/>
      <w:r w:rsidRPr="00174236">
        <w:rPr>
          <w:color w:val="000000" w:themeColor="text1"/>
        </w:rPr>
        <w:t xml:space="preserve"> within the testimonies of practitioners, </w:t>
      </w:r>
      <w:r>
        <w:rPr>
          <w:color w:val="000000" w:themeColor="text1"/>
        </w:rPr>
        <w:t xml:space="preserve">as noted </w:t>
      </w:r>
      <w:r w:rsidR="00FA0F88">
        <w:rPr>
          <w:color w:val="000000" w:themeColor="text1"/>
        </w:rPr>
        <w:t>by those who had previous experience in social care</w:t>
      </w:r>
      <w:r>
        <w:rPr>
          <w:color w:val="000000" w:themeColor="text1"/>
        </w:rPr>
        <w:t xml:space="preserve">, </w:t>
      </w:r>
      <w:r w:rsidRPr="00174236">
        <w:rPr>
          <w:color w:val="000000" w:themeColor="text1"/>
        </w:rPr>
        <w:t>the contrary trend toward universality was also prevalent. The potential risk in adopting the latter approach</w:t>
      </w:r>
      <w:r w:rsidR="00FA0F88">
        <w:rPr>
          <w:color w:val="000000" w:themeColor="text1"/>
        </w:rPr>
        <w:t>,</w:t>
      </w:r>
      <w:r w:rsidRPr="00174236">
        <w:rPr>
          <w:color w:val="000000" w:themeColor="text1"/>
        </w:rPr>
        <w:t xml:space="preserve"> </w:t>
      </w:r>
      <w:r w:rsidRPr="00174236">
        <w:rPr>
          <w:color w:val="000000" w:themeColor="text1"/>
        </w:rPr>
        <w:lastRenderedPageBreak/>
        <w:t>underscored by Cole (2016), is that the liberal application of vulnerability has rendered the concept so broad as to obscure the needs of specific groups and individuals, undermining its promise as a conceptual frame to understand and challenge systemic inequalities.</w:t>
      </w:r>
    </w:p>
    <w:p w14:paraId="13BA0B68" w14:textId="77777777" w:rsidR="007344DE" w:rsidRPr="00174236" w:rsidRDefault="007344DE" w:rsidP="00975FF1">
      <w:pPr>
        <w:pStyle w:val="NormalWeb"/>
        <w:spacing w:line="480" w:lineRule="auto"/>
        <w:jc w:val="both"/>
        <w:rPr>
          <w:color w:val="000000" w:themeColor="text1"/>
        </w:rPr>
      </w:pPr>
      <w:r w:rsidRPr="00174236">
        <w:rPr>
          <w:color w:val="000000" w:themeColor="text1"/>
        </w:rPr>
        <w:t xml:space="preserve">Acknowledging both particular and universal vulnerability to CSE, Mark identified two ways in which an individual might be at risk of CSE. The first way, which echoes with Cole’s prospect of universal vulnerability, was through a young person’s access to online digital technology, coinciding with parental lack of understanding about the risks associated with its use. The second way, what we might refer to as ‘sectoral vulnerability’ was through a young person’s particular vulnerabilities, such as parental neglect. </w:t>
      </w:r>
    </w:p>
    <w:p w14:paraId="63546002" w14:textId="75CD4BDE" w:rsidR="007344DE" w:rsidRPr="00174236" w:rsidRDefault="007344DE" w:rsidP="00975FF1">
      <w:pPr>
        <w:pStyle w:val="NormalWeb"/>
        <w:spacing w:line="480" w:lineRule="auto"/>
        <w:ind w:left="720" w:right="515"/>
        <w:jc w:val="both"/>
        <w:rPr>
          <w:color w:val="000000" w:themeColor="text1"/>
        </w:rPr>
      </w:pPr>
      <w:r w:rsidRPr="00174236">
        <w:rPr>
          <w:color w:val="000000" w:themeColor="text1"/>
        </w:rPr>
        <w:t>“Well, you could say every child is at risk, because we talked about the two ways that it can happen … I’ve got a colleague today whose daughter’s 12, and she’s got an iPhone, and he said to me, what can I do about</w:t>
      </w:r>
      <w:r w:rsidR="00090356">
        <w:rPr>
          <w:color w:val="000000" w:themeColor="text1"/>
        </w:rPr>
        <w:t xml:space="preserve"> it?</w:t>
      </w:r>
      <w:r w:rsidRPr="00174236">
        <w:rPr>
          <w:color w:val="000000" w:themeColor="text1"/>
        </w:rPr>
        <w:t xml:space="preserve"> Because she’s got to have an iPhone</w:t>
      </w:r>
      <w:r w:rsidR="00090356">
        <w:rPr>
          <w:color w:val="000000" w:themeColor="text1"/>
        </w:rPr>
        <w:t>.</w:t>
      </w:r>
      <w:r w:rsidRPr="00174236">
        <w:rPr>
          <w:color w:val="000000" w:themeColor="text1"/>
        </w:rPr>
        <w:t xml:space="preserve"> because she’s going to go mad if I don’t give her an iPhone, she’s not going to speak to me. So how can I manage that? And he’s a professional, you know, and then his daughter performs well at school and all that kind of stuff, but it doesn’t mean that she</w:t>
      </w:r>
      <w:r w:rsidR="00090356">
        <w:rPr>
          <w:color w:val="000000" w:themeColor="text1"/>
        </w:rPr>
        <w:t xml:space="preserve"> </w:t>
      </w:r>
      <w:r w:rsidRPr="00174236">
        <w:rPr>
          <w:color w:val="000000" w:themeColor="text1"/>
        </w:rPr>
        <w:t>… He can just give her a phone and say, crack on and do what you want.</w:t>
      </w:r>
      <w:r w:rsidR="00090356">
        <w:rPr>
          <w:color w:val="000000" w:themeColor="text1"/>
        </w:rPr>
        <w:t xml:space="preserve"> </w:t>
      </w:r>
      <w:r w:rsidRPr="00174236">
        <w:rPr>
          <w:color w:val="000000" w:themeColor="text1"/>
        </w:rPr>
        <w:t xml:space="preserve">So, as much of a cop out as it might sound, it’s every kid, isn’t it? It’s just some kids are at risk for some types of CSE more than others are at risk of that type, I think ... </w:t>
      </w:r>
      <w:r w:rsidR="00090356">
        <w:rPr>
          <w:color w:val="000000" w:themeColor="text1"/>
        </w:rPr>
        <w:t>o</w:t>
      </w:r>
      <w:r w:rsidRPr="00174236">
        <w:rPr>
          <w:color w:val="000000" w:themeColor="text1"/>
        </w:rPr>
        <w:t>kay, so I would say that your more mainstream families, whatever that means, I think would typically be more at risk, or those children would be more at risk of online type of offending, of CSE</w:t>
      </w:r>
      <w:r w:rsidR="00090356">
        <w:rPr>
          <w:color w:val="000000" w:themeColor="text1"/>
        </w:rPr>
        <w:t xml:space="preserve"> </w:t>
      </w:r>
      <w:r w:rsidRPr="00174236">
        <w:rPr>
          <w:color w:val="000000" w:themeColor="text1"/>
        </w:rPr>
        <w:t>...</w:t>
      </w:r>
      <w:r w:rsidR="00090356">
        <w:rPr>
          <w:color w:val="000000" w:themeColor="text1"/>
        </w:rPr>
        <w:t>w</w:t>
      </w:r>
      <w:r w:rsidRPr="00174236">
        <w:rPr>
          <w:color w:val="000000" w:themeColor="text1"/>
        </w:rPr>
        <w:t>hether it be grooming</w:t>
      </w:r>
      <w:r w:rsidR="00090356">
        <w:rPr>
          <w:color w:val="000000" w:themeColor="text1"/>
        </w:rPr>
        <w:t xml:space="preserve"> </w:t>
      </w:r>
      <w:r w:rsidRPr="00174236">
        <w:rPr>
          <w:color w:val="000000" w:themeColor="text1"/>
        </w:rPr>
        <w:t xml:space="preserve">… </w:t>
      </w:r>
      <w:r w:rsidR="00090356">
        <w:rPr>
          <w:color w:val="000000" w:themeColor="text1"/>
        </w:rPr>
        <w:t>y</w:t>
      </w:r>
      <w:r w:rsidRPr="00174236">
        <w:rPr>
          <w:color w:val="000000" w:themeColor="text1"/>
        </w:rPr>
        <w:t xml:space="preserve">es, and social networks, social media. Because predominantly those families have got more devices for a start, so they might have, not just an iPhone or, you know, a smart phone, they can have tablets. Yes, that’s it. And a computer </w:t>
      </w:r>
      <w:r w:rsidRPr="00174236">
        <w:rPr>
          <w:color w:val="000000" w:themeColor="text1"/>
        </w:rPr>
        <w:lastRenderedPageBreak/>
        <w:t xml:space="preserve">in the bedroom, an Xbox and a PlayStation, and all that kind of stuff. Because it’s not just done on a phone, you’re talking on Xbox live or PlayStation, and there’s a camera in there for a start ... and how do you deal with that? And in fact … Well, they’re not going out, they’re not hanging around the shop, they’re safe in the bedroom upstairs ... and so you’ve got that side of it, which will be kind of one group of children, and then the other group where they haven’t got </w:t>
      </w:r>
      <w:proofErr w:type="gramStart"/>
      <w:r w:rsidRPr="00174236">
        <w:rPr>
          <w:color w:val="000000" w:themeColor="text1"/>
        </w:rPr>
        <w:t>those kind of things</w:t>
      </w:r>
      <w:proofErr w:type="gramEnd"/>
      <w:r w:rsidRPr="00174236">
        <w:rPr>
          <w:color w:val="000000" w:themeColor="text1"/>
        </w:rPr>
        <w:t xml:space="preserve"> at home, but they haven’t got a Mum and Dad who give a shit. So what are they going to do? They’re going to go out with their mates”</w:t>
      </w:r>
      <w:r>
        <w:rPr>
          <w:color w:val="000000" w:themeColor="text1"/>
        </w:rPr>
        <w:t xml:space="preserve"> </w:t>
      </w:r>
      <w:r w:rsidRPr="00174236">
        <w:rPr>
          <w:color w:val="000000" w:themeColor="text1"/>
        </w:rPr>
        <w:t>(Mark, Prevent CSE Team Leader</w:t>
      </w:r>
      <w:r w:rsidR="00033D43">
        <w:rPr>
          <w:color w:val="000000" w:themeColor="text1"/>
        </w:rPr>
        <w:t>, previously Police Officer</w:t>
      </w:r>
      <w:r w:rsidRPr="00174236">
        <w:rPr>
          <w:color w:val="000000" w:themeColor="text1"/>
        </w:rPr>
        <w:t>).</w:t>
      </w:r>
    </w:p>
    <w:p w14:paraId="36F414A7" w14:textId="71FDE297" w:rsidR="007344DE" w:rsidRPr="00174236" w:rsidRDefault="007344DE" w:rsidP="00975FF1">
      <w:pPr>
        <w:pStyle w:val="NormalWeb"/>
        <w:spacing w:line="480" w:lineRule="auto"/>
        <w:ind w:right="-52"/>
        <w:jc w:val="both"/>
        <w:rPr>
          <w:color w:val="000000" w:themeColor="text1"/>
        </w:rPr>
      </w:pPr>
      <w:r w:rsidRPr="00174236">
        <w:rPr>
          <w:color w:val="000000" w:themeColor="text1"/>
        </w:rPr>
        <w:t>Reflecting the arguments made by Cole (2016), Sadia suggest</w:t>
      </w:r>
      <w:r>
        <w:rPr>
          <w:color w:val="000000" w:themeColor="text1"/>
        </w:rPr>
        <w:t>s</w:t>
      </w:r>
      <w:r w:rsidRPr="00174236">
        <w:rPr>
          <w:color w:val="000000" w:themeColor="text1"/>
        </w:rPr>
        <w:t xml:space="preserve"> that while ‘anyone is at risk’ and subsequently vulnerable to becoming a victim of CSE, some young people - through their particular vulnerabilities - are more vulnerable than others.</w:t>
      </w:r>
    </w:p>
    <w:p w14:paraId="4CC92209" w14:textId="11FE5F2C" w:rsidR="007344DE" w:rsidRPr="00174236" w:rsidRDefault="007344DE" w:rsidP="00975FF1">
      <w:pPr>
        <w:pStyle w:val="NormalWeb"/>
        <w:spacing w:line="480" w:lineRule="auto"/>
        <w:ind w:left="720" w:right="656"/>
        <w:jc w:val="both"/>
        <w:rPr>
          <w:color w:val="000000" w:themeColor="text1"/>
        </w:rPr>
      </w:pPr>
      <w:r w:rsidRPr="00174236">
        <w:rPr>
          <w:color w:val="000000" w:themeColor="text1"/>
        </w:rPr>
        <w:t>“I think everyone is. I think, every young person is [at risk].  I don’t think that if you come from any particular background or whether you’re male or female that you have any less of a risk than the next person to you.  I think certainly ... if there are lots of issues within the households, if you come from a chaotic household ... that might just make you a bit more vulnerable.  But I think anyone is at risk. And that’s what concerns me. The fact that I have got like nieces who are like the age of the people that we deal with and I think it could be anyone of them who sends a snap and receives one.  And I just … I think that anyone is at risk”</w:t>
      </w:r>
      <w:r w:rsidR="00F357D0" w:rsidRPr="00F357D0">
        <w:t xml:space="preserve"> </w:t>
      </w:r>
      <w:r w:rsidR="00F357D0" w:rsidRPr="00174236">
        <w:t>(Sadia, Prevent CSE Worker</w:t>
      </w:r>
      <w:r w:rsidR="00033D43">
        <w:t>, previously Police Officer</w:t>
      </w:r>
      <w:r w:rsidR="00F357D0" w:rsidRPr="00174236">
        <w:t>)</w:t>
      </w:r>
      <w:r w:rsidRPr="00174236">
        <w:rPr>
          <w:color w:val="000000" w:themeColor="text1"/>
        </w:rPr>
        <w:t>.</w:t>
      </w:r>
    </w:p>
    <w:p w14:paraId="5B2B852A" w14:textId="0BA995EC" w:rsidR="007344DE" w:rsidRPr="00174236" w:rsidRDefault="007344DE" w:rsidP="00975FF1">
      <w:pPr>
        <w:pStyle w:val="NormalWeb"/>
        <w:spacing w:line="480" w:lineRule="auto"/>
        <w:jc w:val="both"/>
        <w:rPr>
          <w:color w:val="000000" w:themeColor="text1"/>
        </w:rPr>
      </w:pPr>
      <w:r w:rsidRPr="00174236">
        <w:rPr>
          <w:color w:val="000000" w:themeColor="text1"/>
        </w:rPr>
        <w:t xml:space="preserve">Notwithstanding the intermingling of the personal and professional in Sadia’s reflections, what </w:t>
      </w:r>
      <w:r w:rsidR="00090356">
        <w:rPr>
          <w:color w:val="000000" w:themeColor="text1"/>
        </w:rPr>
        <w:t xml:space="preserve">is brought to the </w:t>
      </w:r>
      <w:r w:rsidRPr="00174236">
        <w:rPr>
          <w:color w:val="000000" w:themeColor="text1"/>
        </w:rPr>
        <w:t xml:space="preserve">surface </w:t>
      </w:r>
      <w:r w:rsidR="00090356">
        <w:rPr>
          <w:color w:val="000000" w:themeColor="text1"/>
        </w:rPr>
        <w:t xml:space="preserve">here </w:t>
      </w:r>
      <w:r w:rsidRPr="00174236">
        <w:rPr>
          <w:color w:val="000000" w:themeColor="text1"/>
        </w:rPr>
        <w:t xml:space="preserve">- </w:t>
      </w:r>
      <w:r w:rsidR="00090356">
        <w:rPr>
          <w:color w:val="000000" w:themeColor="text1"/>
        </w:rPr>
        <w:t>and</w:t>
      </w:r>
      <w:r w:rsidRPr="00174236">
        <w:rPr>
          <w:color w:val="000000" w:themeColor="text1"/>
        </w:rPr>
        <w:t xml:space="preserve"> remains undeveloped in the literature - is the ways in which institutions and agencies involved in risk prevention might proactively encourage reflection on </w:t>
      </w:r>
      <w:r w:rsidRPr="00174236">
        <w:rPr>
          <w:color w:val="000000" w:themeColor="text1"/>
        </w:rPr>
        <w:lastRenderedPageBreak/>
        <w:t xml:space="preserve">the </w:t>
      </w:r>
      <w:r w:rsidR="00090356">
        <w:rPr>
          <w:color w:val="000000" w:themeColor="text1"/>
        </w:rPr>
        <w:t xml:space="preserve">many </w:t>
      </w:r>
      <w:r w:rsidRPr="00174236">
        <w:rPr>
          <w:color w:val="000000" w:themeColor="text1"/>
        </w:rPr>
        <w:t>meanings associated with ‘vulnerability’</w:t>
      </w:r>
      <w:r w:rsidR="00090356">
        <w:rPr>
          <w:color w:val="000000" w:themeColor="text1"/>
        </w:rPr>
        <w:t xml:space="preserve"> and the potential implications of differing views about this, both as a concept, a descriptor and an assumed subject position</w:t>
      </w:r>
      <w:r>
        <w:rPr>
          <w:color w:val="000000" w:themeColor="text1"/>
        </w:rPr>
        <w:t xml:space="preserve">. </w:t>
      </w:r>
      <w:r w:rsidRPr="00174236">
        <w:rPr>
          <w:color w:val="000000" w:themeColor="text1"/>
        </w:rPr>
        <w:t>Acknowledging the range and complexity of vulnerabilities in the plural and exploring the interconnections between factors that might catalyse risk of sexual abuse would appear to be a useful way forward. Of course, the sources and nature of vulnerability are likely to require differing responses and forms of intervention and support. The way in which the early intervention initiative to prevent CSE which we observed was implemented most certainly reflected this. As Emma - a strategic lead in safeguarding - noted, the initiative was set up to provide the prevention arm of the wrap</w:t>
      </w:r>
      <w:r>
        <w:rPr>
          <w:color w:val="000000" w:themeColor="text1"/>
        </w:rPr>
        <w:t>-</w:t>
      </w:r>
      <w:r w:rsidRPr="00174236">
        <w:rPr>
          <w:color w:val="000000" w:themeColor="text1"/>
        </w:rPr>
        <w:t xml:space="preserve">around services already in place across </w:t>
      </w:r>
      <w:proofErr w:type="spellStart"/>
      <w:r w:rsidRPr="00174236">
        <w:rPr>
          <w:color w:val="000000" w:themeColor="text1"/>
        </w:rPr>
        <w:t>Shireland</w:t>
      </w:r>
      <w:proofErr w:type="spellEnd"/>
      <w:r w:rsidRPr="00174236">
        <w:rPr>
          <w:color w:val="000000" w:themeColor="text1"/>
        </w:rPr>
        <w:t xml:space="preserve"> to support those involved in CSE</w:t>
      </w:r>
      <w:r>
        <w:rPr>
          <w:color w:val="000000" w:themeColor="text1"/>
        </w:rPr>
        <w:t xml:space="preserve">, </w:t>
      </w:r>
      <w:r w:rsidR="0035421D">
        <w:rPr>
          <w:color w:val="000000" w:themeColor="text1"/>
        </w:rPr>
        <w:t xml:space="preserve">while </w:t>
      </w:r>
      <w:r>
        <w:rPr>
          <w:color w:val="000000" w:themeColor="text1"/>
        </w:rPr>
        <w:t xml:space="preserve">also </w:t>
      </w:r>
      <w:r w:rsidRPr="00174236">
        <w:rPr>
          <w:color w:val="000000" w:themeColor="text1"/>
        </w:rPr>
        <w:t>work</w:t>
      </w:r>
      <w:r>
        <w:rPr>
          <w:color w:val="000000" w:themeColor="text1"/>
        </w:rPr>
        <w:t>ing</w:t>
      </w:r>
      <w:r w:rsidRPr="00174236">
        <w:rPr>
          <w:color w:val="000000" w:themeColor="text1"/>
        </w:rPr>
        <w:t xml:space="preserve"> with those who presented as low risk: </w:t>
      </w:r>
    </w:p>
    <w:p w14:paraId="2FA08A8E" w14:textId="410370CE" w:rsidR="007344DE" w:rsidRPr="00174236" w:rsidRDefault="007344DE" w:rsidP="00975FF1">
      <w:pPr>
        <w:pStyle w:val="NormalWeb"/>
        <w:spacing w:line="480" w:lineRule="auto"/>
        <w:ind w:left="720" w:right="656"/>
        <w:jc w:val="both"/>
        <w:rPr>
          <w:color w:val="000000" w:themeColor="text1"/>
        </w:rPr>
      </w:pPr>
      <w:r w:rsidRPr="00174236">
        <w:rPr>
          <w:rFonts w:cs="Arial"/>
          <w:szCs w:val="28"/>
        </w:rPr>
        <w:t xml:space="preserve"> “The preventing CSE team would be picking up those things that are kind of at the lower level, where they might be able to put in a quick intervention, a bit of advice, a bit of awareness, and, you know, with protective parents generally, or with a piece of work very quickly that would identify if a safeguarding referral was needed. To me, it’s almost an arm of early help, but with some additional sort of specialism, resources and expertise around.  That’s how I envisage it.  And then I’d see the social care and other agencies, CAMHS </w:t>
      </w:r>
      <w:r>
        <w:rPr>
          <w:rFonts w:cs="Arial"/>
          <w:szCs w:val="28"/>
        </w:rPr>
        <w:t xml:space="preserve">(Child and Adolescent Mental Health Services) </w:t>
      </w:r>
      <w:r w:rsidRPr="00174236">
        <w:rPr>
          <w:rFonts w:cs="Arial"/>
          <w:szCs w:val="28"/>
        </w:rPr>
        <w:t>or whatever, offering, you know, services sort of later on, but actually the more that we can resource the first bit, the less - hopefully - we’ll have need for the second bit”</w:t>
      </w:r>
      <w:r w:rsidR="00F357D0">
        <w:rPr>
          <w:rFonts w:cs="Arial"/>
          <w:szCs w:val="28"/>
        </w:rPr>
        <w:t xml:space="preserve"> (Emma, CSE Safeguarding Lead</w:t>
      </w:r>
      <w:r w:rsidR="00033D43">
        <w:rPr>
          <w:rFonts w:cs="Arial"/>
          <w:szCs w:val="28"/>
        </w:rPr>
        <w:t>, Social Worker</w:t>
      </w:r>
      <w:r w:rsidR="00F357D0">
        <w:rPr>
          <w:rFonts w:cs="Arial"/>
          <w:szCs w:val="28"/>
        </w:rPr>
        <w:t>).</w:t>
      </w:r>
    </w:p>
    <w:p w14:paraId="484C1B6F" w14:textId="6A62EEC0" w:rsidR="007344DE" w:rsidRDefault="007344DE" w:rsidP="00975FF1">
      <w:pPr>
        <w:pStyle w:val="NormalWeb"/>
        <w:spacing w:line="480" w:lineRule="auto"/>
        <w:jc w:val="both"/>
      </w:pPr>
      <w:r w:rsidRPr="00174236">
        <w:rPr>
          <w:color w:val="000000" w:themeColor="text1"/>
        </w:rPr>
        <w:t>Mirroring the tenor of neo-liberal crime prevention approaches of the mid twentieth century,  CSE prevention comprise</w:t>
      </w:r>
      <w:r>
        <w:rPr>
          <w:color w:val="000000" w:themeColor="text1"/>
        </w:rPr>
        <w:t>s</w:t>
      </w:r>
      <w:r w:rsidRPr="00174236">
        <w:rPr>
          <w:color w:val="000000" w:themeColor="text1"/>
        </w:rPr>
        <w:t xml:space="preserve"> primary (universal education), secondary (brief intervention and tertiary (wraparound services) interventions. Despite indubitably being implemented with good </w:t>
      </w:r>
      <w:r w:rsidRPr="00174236">
        <w:rPr>
          <w:color w:val="000000" w:themeColor="text1"/>
        </w:rPr>
        <w:lastRenderedPageBreak/>
        <w:t>intentions, the way in which this structure of support was operationalised in practice key</w:t>
      </w:r>
      <w:r>
        <w:rPr>
          <w:color w:val="000000" w:themeColor="text1"/>
        </w:rPr>
        <w:t>s</w:t>
      </w:r>
      <w:r w:rsidRPr="00174236">
        <w:rPr>
          <w:color w:val="000000" w:themeColor="text1"/>
        </w:rPr>
        <w:t xml:space="preserve"> in to modes of securitisation </w:t>
      </w:r>
      <w:r>
        <w:rPr>
          <w:color w:val="000000" w:themeColor="text1"/>
        </w:rPr>
        <w:t xml:space="preserve">and surveillance </w:t>
      </w:r>
      <w:r w:rsidRPr="00174236">
        <w:rPr>
          <w:color w:val="000000" w:themeColor="text1"/>
        </w:rPr>
        <w:t xml:space="preserve">that </w:t>
      </w:r>
      <w:r>
        <w:rPr>
          <w:color w:val="000000" w:themeColor="text1"/>
        </w:rPr>
        <w:t>are</w:t>
      </w:r>
      <w:r w:rsidRPr="00174236">
        <w:rPr>
          <w:color w:val="000000" w:themeColor="text1"/>
        </w:rPr>
        <w:t xml:space="preserve"> problematic. Although </w:t>
      </w:r>
      <w:r w:rsidR="0035421D">
        <w:rPr>
          <w:color w:val="000000" w:themeColor="text1"/>
        </w:rPr>
        <w:t xml:space="preserve">there was acknowledgement, particularly among those </w:t>
      </w:r>
      <w:r w:rsidRPr="00174236">
        <w:rPr>
          <w:color w:val="000000" w:themeColor="text1"/>
        </w:rPr>
        <w:t xml:space="preserve">practitioners </w:t>
      </w:r>
      <w:r w:rsidR="0035421D">
        <w:rPr>
          <w:color w:val="000000" w:themeColor="text1"/>
        </w:rPr>
        <w:t xml:space="preserve">that had previous experience in social care, of </w:t>
      </w:r>
      <w:r w:rsidRPr="00174236">
        <w:rPr>
          <w:color w:val="000000" w:themeColor="text1"/>
        </w:rPr>
        <w:t xml:space="preserve">the existence of </w:t>
      </w:r>
      <w:r w:rsidR="00FC60AC">
        <w:rPr>
          <w:color w:val="000000" w:themeColor="text1"/>
        </w:rPr>
        <w:t>'sectoral</w:t>
      </w:r>
      <w:r w:rsidR="00FC60AC" w:rsidRPr="00174236">
        <w:rPr>
          <w:color w:val="000000" w:themeColor="text1"/>
        </w:rPr>
        <w:t xml:space="preserve"> </w:t>
      </w:r>
      <w:r w:rsidRPr="00174236">
        <w:rPr>
          <w:color w:val="000000" w:themeColor="text1"/>
        </w:rPr>
        <w:t>vulnerabilities</w:t>
      </w:r>
      <w:r w:rsidR="00FC60AC">
        <w:rPr>
          <w:color w:val="000000" w:themeColor="text1"/>
        </w:rPr>
        <w:t>’</w:t>
      </w:r>
      <w:r w:rsidRPr="00174236">
        <w:rPr>
          <w:color w:val="000000" w:themeColor="text1"/>
        </w:rPr>
        <w:t xml:space="preserve"> - and, that some young people were inevitably more vulnerable than others to CSE - vulnerability was </w:t>
      </w:r>
      <w:r w:rsidR="00090356">
        <w:rPr>
          <w:color w:val="000000" w:themeColor="text1"/>
        </w:rPr>
        <w:t xml:space="preserve">primarily </w:t>
      </w:r>
      <w:r w:rsidRPr="00174236">
        <w:rPr>
          <w:color w:val="000000" w:themeColor="text1"/>
        </w:rPr>
        <w:t xml:space="preserve">understood and applied in practice in such a way that </w:t>
      </w:r>
      <w:r w:rsidR="00090356">
        <w:rPr>
          <w:color w:val="000000" w:themeColor="text1"/>
        </w:rPr>
        <w:t xml:space="preserve">renders young people vulnerable across the piece. </w:t>
      </w:r>
      <w:r w:rsidRPr="00174236">
        <w:rPr>
          <w:color w:val="000000" w:themeColor="text1"/>
        </w:rPr>
        <w:t xml:space="preserve">While understandable in many regards, this precautious, generalised approach ushers in the potential for </w:t>
      </w:r>
      <w:r w:rsidR="00374E33">
        <w:rPr>
          <w:color w:val="000000" w:themeColor="text1"/>
        </w:rPr>
        <w:t>S</w:t>
      </w:r>
      <w:r w:rsidRPr="00174236">
        <w:rPr>
          <w:color w:val="000000" w:themeColor="text1"/>
        </w:rPr>
        <w:t xml:space="preserve">tate intervention into the lives of </w:t>
      </w:r>
      <w:r w:rsidRPr="00174236">
        <w:rPr>
          <w:i/>
          <w:iCs/>
          <w:color w:val="000000" w:themeColor="text1"/>
        </w:rPr>
        <w:t>all</w:t>
      </w:r>
      <w:r w:rsidRPr="00174236">
        <w:rPr>
          <w:color w:val="000000" w:themeColor="text1"/>
        </w:rPr>
        <w:t xml:space="preserve"> young people and runs the risk of introducing unwarranted surveillance and control strategies. Given the leading role that </w:t>
      </w:r>
      <w:proofErr w:type="spellStart"/>
      <w:r w:rsidRPr="00174236">
        <w:rPr>
          <w:color w:val="000000" w:themeColor="text1"/>
        </w:rPr>
        <w:t>Shireland</w:t>
      </w:r>
      <w:proofErr w:type="spellEnd"/>
      <w:r w:rsidRPr="00174236">
        <w:rPr>
          <w:color w:val="000000" w:themeColor="text1"/>
        </w:rPr>
        <w:t xml:space="preserve"> police played in the implementation of universal education and early intervention, the use of pre-emptive strategies </w:t>
      </w:r>
      <w:r w:rsidR="00F357D0">
        <w:rPr>
          <w:color w:val="000000" w:themeColor="text1"/>
        </w:rPr>
        <w:t xml:space="preserve">may </w:t>
      </w:r>
      <w:r w:rsidRPr="00174236">
        <w:rPr>
          <w:color w:val="000000" w:themeColor="text1"/>
        </w:rPr>
        <w:t xml:space="preserve">serve to unduly expose some young </w:t>
      </w:r>
      <w:r>
        <w:rPr>
          <w:color w:val="000000" w:themeColor="text1"/>
        </w:rPr>
        <w:t xml:space="preserve">people </w:t>
      </w:r>
      <w:r w:rsidRPr="00174236">
        <w:rPr>
          <w:color w:val="000000" w:themeColor="text1"/>
        </w:rPr>
        <w:t xml:space="preserve">to the criminal justice system. As Dean and </w:t>
      </w:r>
      <w:proofErr w:type="spellStart"/>
      <w:r w:rsidRPr="00174236">
        <w:rPr>
          <w:color w:val="000000" w:themeColor="text1"/>
        </w:rPr>
        <w:t>Hindness</w:t>
      </w:r>
      <w:proofErr w:type="spellEnd"/>
      <w:r w:rsidRPr="00174236">
        <w:rPr>
          <w:color w:val="000000" w:themeColor="text1"/>
        </w:rPr>
        <w:t xml:space="preserve"> (1998) acknowledged some time ago, the problematisation of young people’s sexual conduct has focused attention on both the government of conduct (for example, how sex education is taught in schools) and the conduct of government (for example, how young people govern their own sexual behaviour). To this end, surveillance and intervention techniques can be ideationally legitimised in areas of societal concern on the basis that so-called problematic behaviour is an outcome of dysfunctional individuals who need to be identified through assessment and educated and managed accordingly to ensure their safety and the safety of others (</w:t>
      </w:r>
      <w:r w:rsidRPr="00174236">
        <w:t>Kelly, 2001; O’Malley, 1992; Rose and Miller, 1992). As Rose (1999) has explained, this process is one in which young people become the object of govern</w:t>
      </w:r>
      <w:r w:rsidR="00873819">
        <w:t>ance,</w:t>
      </w:r>
      <w:r w:rsidRPr="00174236">
        <w:t xml:space="preserve"> whilst also encouraging the growth of welfare surveillance</w:t>
      </w:r>
      <w:r>
        <w:t xml:space="preserve"> which inclines</w:t>
      </w:r>
      <w:r w:rsidRPr="00174236">
        <w:t xml:space="preserve"> </w:t>
      </w:r>
      <w:r>
        <w:t xml:space="preserve">toward </w:t>
      </w:r>
      <w:r w:rsidRPr="00174236">
        <w:t xml:space="preserve">working class families in particular. </w:t>
      </w:r>
    </w:p>
    <w:p w14:paraId="2F91FE3F" w14:textId="77777777" w:rsidR="002053FE" w:rsidRDefault="002053FE" w:rsidP="00975FF1">
      <w:pPr>
        <w:pStyle w:val="NormalWeb"/>
        <w:spacing w:line="480" w:lineRule="auto"/>
        <w:jc w:val="both"/>
        <w:rPr>
          <w:b/>
          <w:bCs/>
        </w:rPr>
      </w:pPr>
      <w:r w:rsidRPr="000D5F53">
        <w:rPr>
          <w:b/>
          <w:bCs/>
        </w:rPr>
        <w:t>Concluding Discussion</w:t>
      </w:r>
    </w:p>
    <w:p w14:paraId="40FEDEF4" w14:textId="37B3C6AF" w:rsidR="00200969" w:rsidRDefault="002053FE" w:rsidP="005C30BF">
      <w:pPr>
        <w:spacing w:line="480" w:lineRule="auto"/>
        <w:jc w:val="both"/>
        <w:rPr>
          <w:color w:val="000000" w:themeColor="text1"/>
        </w:rPr>
      </w:pPr>
      <w:r>
        <w:rPr>
          <w:color w:val="000000" w:themeColor="text1"/>
        </w:rPr>
        <w:lastRenderedPageBreak/>
        <w:t xml:space="preserve">It is clear from the data presented above that - amidst the </w:t>
      </w:r>
      <w:r w:rsidRPr="002E5658">
        <w:rPr>
          <w:color w:val="000000" w:themeColor="text1"/>
        </w:rPr>
        <w:t>permeable boundary of social work and criminal justice practice</w:t>
      </w:r>
      <w:r>
        <w:rPr>
          <w:color w:val="000000" w:themeColor="text1"/>
        </w:rPr>
        <w:t xml:space="preserve"> -</w:t>
      </w:r>
      <w:r w:rsidRPr="002E5658">
        <w:rPr>
          <w:color w:val="000000" w:themeColor="text1"/>
        </w:rPr>
        <w:t xml:space="preserve"> the concepts of ‘risk’ and ‘vulnerability’ </w:t>
      </w:r>
      <w:r>
        <w:rPr>
          <w:color w:val="000000" w:themeColor="text1"/>
        </w:rPr>
        <w:t xml:space="preserve">are sometimes </w:t>
      </w:r>
      <w:r w:rsidRPr="002E5658">
        <w:rPr>
          <w:color w:val="000000" w:themeColor="text1"/>
        </w:rPr>
        <w:t>used interchangeably</w:t>
      </w:r>
      <w:r>
        <w:rPr>
          <w:color w:val="000000" w:themeColor="text1"/>
        </w:rPr>
        <w:t xml:space="preserve"> and </w:t>
      </w:r>
      <w:r w:rsidRPr="002E5658">
        <w:rPr>
          <w:color w:val="000000" w:themeColor="text1"/>
        </w:rPr>
        <w:t>continue to be conflated</w:t>
      </w:r>
      <w:r>
        <w:rPr>
          <w:color w:val="000000" w:themeColor="text1"/>
        </w:rPr>
        <w:t xml:space="preserve">. For the practitioners we engaged with, this uncertainty generated practical problems of not being able to confidently identify </w:t>
      </w:r>
      <w:r w:rsidRPr="002E5658">
        <w:rPr>
          <w:color w:val="000000" w:themeColor="text1"/>
        </w:rPr>
        <w:t xml:space="preserve">those </w:t>
      </w:r>
      <w:r>
        <w:rPr>
          <w:color w:val="000000" w:themeColor="text1"/>
        </w:rPr>
        <w:t xml:space="preserve">in </w:t>
      </w:r>
      <w:r w:rsidRPr="002E5658">
        <w:rPr>
          <w:color w:val="000000" w:themeColor="text1"/>
        </w:rPr>
        <w:t>need</w:t>
      </w:r>
      <w:r>
        <w:rPr>
          <w:color w:val="000000" w:themeColor="text1"/>
        </w:rPr>
        <w:t xml:space="preserve"> of</w:t>
      </w:r>
      <w:r w:rsidRPr="002E5658">
        <w:rPr>
          <w:color w:val="000000" w:themeColor="text1"/>
        </w:rPr>
        <w:t xml:space="preserve"> protection</w:t>
      </w:r>
      <w:r>
        <w:rPr>
          <w:color w:val="000000" w:themeColor="text1"/>
        </w:rPr>
        <w:t xml:space="preserve"> and being unable to separate out </w:t>
      </w:r>
      <w:r w:rsidRPr="002E5658">
        <w:rPr>
          <w:color w:val="000000" w:themeColor="text1"/>
        </w:rPr>
        <w:t xml:space="preserve">the suspicious </w:t>
      </w:r>
      <w:r>
        <w:rPr>
          <w:color w:val="000000" w:themeColor="text1"/>
        </w:rPr>
        <w:t>from</w:t>
      </w:r>
      <w:r w:rsidRPr="002E5658">
        <w:rPr>
          <w:color w:val="000000" w:themeColor="text1"/>
        </w:rPr>
        <w:t xml:space="preserve"> the non-suspicious</w:t>
      </w:r>
      <w:r>
        <w:rPr>
          <w:color w:val="000000" w:themeColor="text1"/>
        </w:rPr>
        <w:t>.</w:t>
      </w:r>
      <w:r w:rsidR="005C30BF">
        <w:rPr>
          <w:color w:val="000000" w:themeColor="text1"/>
        </w:rPr>
        <w:t xml:space="preserve"> Despite articulating specific contextual factors that may indicate risk and/or vulnerability towards CSE, those with social work experience joined their policing counterparts in adopting </w:t>
      </w:r>
      <w:r>
        <w:rPr>
          <w:color w:val="000000" w:themeColor="text1"/>
        </w:rPr>
        <w:t xml:space="preserve">a hyper-precautious approach, </w:t>
      </w:r>
      <w:r w:rsidR="005C30BF">
        <w:rPr>
          <w:color w:val="000000" w:themeColor="text1"/>
        </w:rPr>
        <w:t xml:space="preserve">which </w:t>
      </w:r>
      <w:r w:rsidR="00090356">
        <w:rPr>
          <w:color w:val="000000" w:themeColor="text1"/>
        </w:rPr>
        <w:t xml:space="preserve">conceives </w:t>
      </w:r>
      <w:r w:rsidRPr="002E5658">
        <w:rPr>
          <w:color w:val="000000" w:themeColor="text1"/>
        </w:rPr>
        <w:t xml:space="preserve">each </w:t>
      </w:r>
      <w:r w:rsidR="00090356">
        <w:rPr>
          <w:color w:val="000000" w:themeColor="text1"/>
        </w:rPr>
        <w:t xml:space="preserve">individual as being </w:t>
      </w:r>
      <w:r w:rsidRPr="002E5658">
        <w:rPr>
          <w:color w:val="000000" w:themeColor="text1"/>
        </w:rPr>
        <w:t xml:space="preserve">at threat </w:t>
      </w:r>
      <w:r>
        <w:rPr>
          <w:color w:val="000000" w:themeColor="text1"/>
        </w:rPr>
        <w:t>and</w:t>
      </w:r>
      <w:r w:rsidR="00090356">
        <w:rPr>
          <w:color w:val="000000" w:themeColor="text1"/>
        </w:rPr>
        <w:t xml:space="preserve"> thus of potentially requiring support via </w:t>
      </w:r>
      <w:r w:rsidRPr="002E5658">
        <w:rPr>
          <w:color w:val="000000" w:themeColor="text1"/>
        </w:rPr>
        <w:t>threat activating safeguarding mechanism</w:t>
      </w:r>
      <w:r w:rsidR="005C30BF">
        <w:rPr>
          <w:color w:val="000000" w:themeColor="text1"/>
        </w:rPr>
        <w:t>s</w:t>
      </w:r>
      <w:r>
        <w:rPr>
          <w:color w:val="000000" w:themeColor="text1"/>
        </w:rPr>
        <w:t xml:space="preserve">. In as much as responsibility for child protection is an unenviable burden for professionals working in safeguarding roles, pre-emptive </w:t>
      </w:r>
      <w:r w:rsidRPr="002E5658">
        <w:rPr>
          <w:color w:val="000000" w:themeColor="text1"/>
        </w:rPr>
        <w:t>intervention</w:t>
      </w:r>
      <w:r>
        <w:rPr>
          <w:color w:val="000000" w:themeColor="text1"/>
        </w:rPr>
        <w:t xml:space="preserve">s </w:t>
      </w:r>
      <w:r w:rsidR="005C30BF">
        <w:rPr>
          <w:color w:val="000000" w:themeColor="text1"/>
        </w:rPr>
        <w:t xml:space="preserve">implemented within a criminal justice context </w:t>
      </w:r>
      <w:r>
        <w:rPr>
          <w:color w:val="000000" w:themeColor="text1"/>
        </w:rPr>
        <w:t xml:space="preserve">- educative or otherwise </w:t>
      </w:r>
      <w:r w:rsidR="000B1725">
        <w:rPr>
          <w:color w:val="000000" w:themeColor="text1"/>
        </w:rPr>
        <w:t>-</w:t>
      </w:r>
      <w:r w:rsidRPr="002E5658">
        <w:rPr>
          <w:color w:val="000000" w:themeColor="text1"/>
        </w:rPr>
        <w:t xml:space="preserve"> </w:t>
      </w:r>
      <w:r w:rsidR="005C30BF">
        <w:rPr>
          <w:color w:val="000000" w:themeColor="text1"/>
        </w:rPr>
        <w:t xml:space="preserve">appear to </w:t>
      </w:r>
      <w:r>
        <w:rPr>
          <w:color w:val="000000" w:themeColor="text1"/>
        </w:rPr>
        <w:t xml:space="preserve">expose </w:t>
      </w:r>
      <w:r w:rsidRPr="002E5658">
        <w:rPr>
          <w:color w:val="000000" w:themeColor="text1"/>
        </w:rPr>
        <w:t>young people</w:t>
      </w:r>
      <w:r w:rsidR="00090356">
        <w:rPr>
          <w:color w:val="000000" w:themeColor="text1"/>
        </w:rPr>
        <w:t xml:space="preserve"> as a homogeneous group</w:t>
      </w:r>
      <w:r w:rsidRPr="002E5658">
        <w:rPr>
          <w:color w:val="000000" w:themeColor="text1"/>
        </w:rPr>
        <w:t xml:space="preserve"> to increasing forms of securitisation</w:t>
      </w:r>
      <w:r>
        <w:rPr>
          <w:color w:val="000000" w:themeColor="text1"/>
        </w:rPr>
        <w:t xml:space="preserve">. </w:t>
      </w:r>
      <w:r w:rsidRPr="002E5658">
        <w:rPr>
          <w:color w:val="000000" w:themeColor="text1"/>
        </w:rPr>
        <w:t xml:space="preserve">Rather than focusing on communities that </w:t>
      </w:r>
      <w:r>
        <w:rPr>
          <w:color w:val="000000" w:themeColor="text1"/>
        </w:rPr>
        <w:t xml:space="preserve">are </w:t>
      </w:r>
      <w:r w:rsidRPr="002E5658">
        <w:rPr>
          <w:color w:val="000000" w:themeColor="text1"/>
        </w:rPr>
        <w:t xml:space="preserve">statistically most likely to include victims or perpetrators of CSE, the viewpoint </w:t>
      </w:r>
      <w:r w:rsidR="005C30BF">
        <w:rPr>
          <w:color w:val="000000" w:themeColor="text1"/>
        </w:rPr>
        <w:t xml:space="preserve">commonly </w:t>
      </w:r>
      <w:r w:rsidRPr="002E5658">
        <w:rPr>
          <w:color w:val="000000" w:themeColor="text1"/>
        </w:rPr>
        <w:t xml:space="preserve">adopted by the multi-agency team that ‘anybody can be at risk’ </w:t>
      </w:r>
      <w:r>
        <w:rPr>
          <w:color w:val="000000" w:themeColor="text1"/>
        </w:rPr>
        <w:t xml:space="preserve">effectively </w:t>
      </w:r>
      <w:r w:rsidRPr="002E5658">
        <w:rPr>
          <w:color w:val="000000" w:themeColor="text1"/>
        </w:rPr>
        <w:t>operationalise</w:t>
      </w:r>
      <w:r w:rsidR="005C30BF">
        <w:rPr>
          <w:color w:val="000000" w:themeColor="text1"/>
        </w:rPr>
        <w:t>d</w:t>
      </w:r>
      <w:r w:rsidRPr="002E5658">
        <w:rPr>
          <w:color w:val="000000" w:themeColor="text1"/>
        </w:rPr>
        <w:t xml:space="preserve"> age as the foundation for imagin</w:t>
      </w:r>
      <w:r>
        <w:rPr>
          <w:color w:val="000000" w:themeColor="text1"/>
        </w:rPr>
        <w:t>ing harm</w:t>
      </w:r>
      <w:r w:rsidRPr="002E5658">
        <w:rPr>
          <w:color w:val="000000" w:themeColor="text1"/>
        </w:rPr>
        <w:t xml:space="preserve"> </w:t>
      </w:r>
      <w:r>
        <w:rPr>
          <w:color w:val="000000" w:themeColor="text1"/>
        </w:rPr>
        <w:t>in the</w:t>
      </w:r>
      <w:r w:rsidRPr="002E5658">
        <w:rPr>
          <w:color w:val="000000" w:themeColor="text1"/>
        </w:rPr>
        <w:t xml:space="preserve"> pre-criminal space. In other words, due to assumed naivety regarding their use of online technologies, young people </w:t>
      </w:r>
      <w:proofErr w:type="spellStart"/>
      <w:r w:rsidRPr="00D37245">
        <w:rPr>
          <w:i/>
          <w:iCs/>
          <w:color w:val="000000" w:themeColor="text1"/>
        </w:rPr>
        <w:t>en</w:t>
      </w:r>
      <w:proofErr w:type="spellEnd"/>
      <w:r w:rsidRPr="00D37245">
        <w:rPr>
          <w:i/>
          <w:iCs/>
          <w:color w:val="000000" w:themeColor="text1"/>
        </w:rPr>
        <w:t xml:space="preserve"> bloc</w:t>
      </w:r>
      <w:r>
        <w:rPr>
          <w:color w:val="000000" w:themeColor="text1"/>
        </w:rPr>
        <w:t xml:space="preserve"> </w:t>
      </w:r>
      <w:r w:rsidRPr="002E5658">
        <w:rPr>
          <w:color w:val="000000" w:themeColor="text1"/>
        </w:rPr>
        <w:t>were thought of as ‘at risk’ or ‘risky’, and</w:t>
      </w:r>
      <w:r>
        <w:rPr>
          <w:color w:val="000000" w:themeColor="text1"/>
        </w:rPr>
        <w:t xml:space="preserve"> thus</w:t>
      </w:r>
      <w:r w:rsidRPr="002E5658">
        <w:rPr>
          <w:color w:val="000000" w:themeColor="text1"/>
        </w:rPr>
        <w:t xml:space="preserve"> in need of some </w:t>
      </w:r>
      <w:r w:rsidR="00090356">
        <w:rPr>
          <w:color w:val="000000" w:themeColor="text1"/>
        </w:rPr>
        <w:t xml:space="preserve">degree or </w:t>
      </w:r>
      <w:r w:rsidRPr="002E5658">
        <w:rPr>
          <w:color w:val="000000" w:themeColor="text1"/>
        </w:rPr>
        <w:t>level of intervention</w:t>
      </w:r>
      <w:r>
        <w:rPr>
          <w:color w:val="000000" w:themeColor="text1"/>
        </w:rPr>
        <w:t>.</w:t>
      </w:r>
      <w:r w:rsidR="005C30BF">
        <w:rPr>
          <w:color w:val="000000" w:themeColor="text1"/>
        </w:rPr>
        <w:t xml:space="preserve"> </w:t>
      </w:r>
    </w:p>
    <w:p w14:paraId="647B2BB7" w14:textId="3F9C578E" w:rsidR="002053FE" w:rsidRPr="002E5658" w:rsidRDefault="002053FE" w:rsidP="00975FF1">
      <w:pPr>
        <w:pStyle w:val="NormalWeb"/>
        <w:spacing w:line="480" w:lineRule="auto"/>
        <w:jc w:val="both"/>
        <w:rPr>
          <w:color w:val="000000" w:themeColor="text1"/>
        </w:rPr>
      </w:pPr>
      <w:r w:rsidRPr="002E5658">
        <w:rPr>
          <w:color w:val="000000" w:themeColor="text1"/>
        </w:rPr>
        <w:t>Although not appearing in legislative discourse until the 2006 amendment of the Children</w:t>
      </w:r>
      <w:r>
        <w:rPr>
          <w:color w:val="000000" w:themeColor="text1"/>
        </w:rPr>
        <w:t>’s</w:t>
      </w:r>
      <w:r w:rsidRPr="002E5658">
        <w:rPr>
          <w:color w:val="000000" w:themeColor="text1"/>
        </w:rPr>
        <w:t xml:space="preserve"> Act </w:t>
      </w:r>
      <w:r>
        <w:rPr>
          <w:color w:val="000000" w:themeColor="text1"/>
        </w:rPr>
        <w:t xml:space="preserve">of </w:t>
      </w:r>
      <w:r w:rsidRPr="002E5658">
        <w:rPr>
          <w:color w:val="000000" w:themeColor="text1"/>
        </w:rPr>
        <w:t>1989, vulnerability has long since been the primary responsibility of social workers</w:t>
      </w:r>
      <w:r>
        <w:rPr>
          <w:color w:val="000000" w:themeColor="text1"/>
        </w:rPr>
        <w:t>,</w:t>
      </w:r>
      <w:r w:rsidRPr="002E5658">
        <w:rPr>
          <w:color w:val="000000" w:themeColor="text1"/>
        </w:rPr>
        <w:t xml:space="preserve"> whereby a vulnerable child is considered one that is in need of protection due to there being a ‘reasonable cause to suspect that a child who lives, or is found, in their area is suffering, or is likely to suffer, significant harm’ or one that is in need due to being ‘unlikely to achieve a reasonable standard of health and development in the future without the provision of additional support’ (British Association of Social Work, 2017). The appearance of ‘vulnerability’ and its </w:t>
      </w:r>
      <w:r w:rsidR="00274470">
        <w:rPr>
          <w:color w:val="000000" w:themeColor="text1"/>
        </w:rPr>
        <w:lastRenderedPageBreak/>
        <w:t xml:space="preserve">collapsing in </w:t>
      </w:r>
      <w:r w:rsidRPr="002E5658">
        <w:rPr>
          <w:color w:val="000000" w:themeColor="text1"/>
        </w:rPr>
        <w:t>wi</w:t>
      </w:r>
      <w:r w:rsidR="00274470">
        <w:rPr>
          <w:color w:val="000000" w:themeColor="text1"/>
        </w:rPr>
        <w:t>th</w:t>
      </w:r>
      <w:r w:rsidRPr="002E5658">
        <w:rPr>
          <w:color w:val="000000" w:themeColor="text1"/>
        </w:rPr>
        <w:t xml:space="preserve"> ‘risk’ within criminal justice discourses, however, has </w:t>
      </w:r>
      <w:r>
        <w:rPr>
          <w:color w:val="000000" w:themeColor="text1"/>
        </w:rPr>
        <w:t xml:space="preserve">served to </w:t>
      </w:r>
      <w:r w:rsidRPr="002E5658">
        <w:rPr>
          <w:color w:val="000000" w:themeColor="text1"/>
        </w:rPr>
        <w:t>ma</w:t>
      </w:r>
      <w:r>
        <w:rPr>
          <w:color w:val="000000" w:themeColor="text1"/>
        </w:rPr>
        <w:t>k</w:t>
      </w:r>
      <w:r w:rsidRPr="002E5658">
        <w:rPr>
          <w:color w:val="000000" w:themeColor="text1"/>
        </w:rPr>
        <w:t>e vulnerability ‘everyone’s business, especially at first point of contact’ (NPCC, 2021)</w:t>
      </w:r>
      <w:r w:rsidR="00685D37">
        <w:rPr>
          <w:color w:val="000000" w:themeColor="text1"/>
        </w:rPr>
        <w:t xml:space="preserve"> and reimagined child protection services to include an array of adjunct agencies including, but not limited to, the police</w:t>
      </w:r>
      <w:r>
        <w:rPr>
          <w:color w:val="000000" w:themeColor="text1"/>
        </w:rPr>
        <w:t xml:space="preserve">. While well intended, such an approach </w:t>
      </w:r>
      <w:r w:rsidR="00685D37">
        <w:rPr>
          <w:color w:val="000000" w:themeColor="text1"/>
        </w:rPr>
        <w:t xml:space="preserve">has tended to </w:t>
      </w:r>
      <w:r w:rsidRPr="002E5658">
        <w:rPr>
          <w:color w:val="000000" w:themeColor="text1"/>
        </w:rPr>
        <w:t>blur the boundaries between crime, pre-crime and vulnerability</w:t>
      </w:r>
      <w:r w:rsidR="00685D37">
        <w:rPr>
          <w:color w:val="000000" w:themeColor="text1"/>
        </w:rPr>
        <w:t>, meaning that those traditionally considered in need of safeguarding and protection are becoming increasingly subjected to diffuse forms of securitisation, surveillance and control.</w:t>
      </w:r>
    </w:p>
    <w:p w14:paraId="6448FFC4" w14:textId="21318A9B" w:rsidR="002053FE" w:rsidRDefault="002053FE" w:rsidP="00975FF1">
      <w:pPr>
        <w:spacing w:line="480" w:lineRule="auto"/>
        <w:jc w:val="both"/>
        <w:rPr>
          <w:rFonts w:eastAsia="Calibri"/>
        </w:rPr>
      </w:pPr>
      <w:r>
        <w:rPr>
          <w:color w:val="000000" w:themeColor="text1"/>
        </w:rPr>
        <w:t xml:space="preserve">Following Brown (2011: 314), the danger that arises out of </w:t>
      </w:r>
      <w:r w:rsidRPr="002E5658">
        <w:rPr>
          <w:rFonts w:eastAsia="Calibri"/>
        </w:rPr>
        <w:t>normative understandings of vulnerability</w:t>
      </w:r>
      <w:r>
        <w:rPr>
          <w:rFonts w:eastAsia="Calibri"/>
        </w:rPr>
        <w:t xml:space="preserve"> </w:t>
      </w:r>
      <w:r w:rsidRPr="002E5658">
        <w:rPr>
          <w:rFonts w:eastAsia="Calibri"/>
        </w:rPr>
        <w:t>that place emphasis on an individual’s inabilities, limitations and deficits</w:t>
      </w:r>
      <w:r>
        <w:rPr>
          <w:rFonts w:eastAsia="Calibri"/>
        </w:rPr>
        <w:t xml:space="preserve"> is a process of problematisation which may exacerbate social exclusion</w:t>
      </w:r>
      <w:r w:rsidRPr="002E5658">
        <w:rPr>
          <w:rFonts w:eastAsia="Calibri"/>
        </w:rPr>
        <w:t xml:space="preserve">, </w:t>
      </w:r>
      <w:r>
        <w:rPr>
          <w:rFonts w:eastAsia="Calibri"/>
        </w:rPr>
        <w:t xml:space="preserve">trigger </w:t>
      </w:r>
      <w:proofErr w:type="spellStart"/>
      <w:r w:rsidRPr="002E5658">
        <w:rPr>
          <w:rFonts w:eastAsia="Calibri"/>
        </w:rPr>
        <w:t>responsibilisation</w:t>
      </w:r>
      <w:proofErr w:type="spellEnd"/>
      <w:r w:rsidRPr="002E5658">
        <w:rPr>
          <w:rFonts w:eastAsia="Calibri"/>
        </w:rPr>
        <w:t xml:space="preserve"> and</w:t>
      </w:r>
      <w:r>
        <w:rPr>
          <w:rFonts w:eastAsia="Calibri"/>
        </w:rPr>
        <w:t xml:space="preserve"> encourage</w:t>
      </w:r>
      <w:r w:rsidRPr="002E5658">
        <w:rPr>
          <w:rFonts w:eastAsia="Calibri"/>
        </w:rPr>
        <w:t xml:space="preserve"> ‘victim blaming’ (</w:t>
      </w:r>
      <w:r>
        <w:rPr>
          <w:rFonts w:eastAsia="Calibri"/>
        </w:rPr>
        <w:t xml:space="preserve">see also, </w:t>
      </w:r>
      <w:r w:rsidRPr="002E5658">
        <w:rPr>
          <w:rFonts w:eastAsia="Calibri"/>
        </w:rPr>
        <w:t>Wishart, 2003:</w:t>
      </w:r>
      <w:r>
        <w:rPr>
          <w:rFonts w:eastAsia="Calibri"/>
        </w:rPr>
        <w:t xml:space="preserve"> </w:t>
      </w:r>
      <w:r w:rsidRPr="002E5658">
        <w:rPr>
          <w:rFonts w:eastAsia="Calibri"/>
        </w:rPr>
        <w:t xml:space="preserve">20). </w:t>
      </w:r>
      <w:r>
        <w:rPr>
          <w:rFonts w:eastAsia="Calibri"/>
        </w:rPr>
        <w:t>W</w:t>
      </w:r>
      <w:r w:rsidRPr="002E5658">
        <w:rPr>
          <w:rFonts w:eastAsia="Calibri"/>
        </w:rPr>
        <w:t>idespread and variable usage</w:t>
      </w:r>
      <w:r>
        <w:rPr>
          <w:rFonts w:eastAsia="Calibri"/>
        </w:rPr>
        <w:t xml:space="preserve"> of the concept of </w:t>
      </w:r>
      <w:r w:rsidRPr="002E5658">
        <w:rPr>
          <w:rFonts w:eastAsia="Calibri"/>
        </w:rPr>
        <w:t xml:space="preserve">vulnerability </w:t>
      </w:r>
      <w:r>
        <w:rPr>
          <w:rFonts w:eastAsia="Calibri"/>
        </w:rPr>
        <w:t xml:space="preserve">in professional contexts </w:t>
      </w:r>
      <w:r w:rsidRPr="002E5658">
        <w:rPr>
          <w:rFonts w:eastAsia="Calibri"/>
        </w:rPr>
        <w:t xml:space="preserve">has </w:t>
      </w:r>
      <w:r>
        <w:rPr>
          <w:rFonts w:eastAsia="Calibri"/>
        </w:rPr>
        <w:t>generated a range of problems</w:t>
      </w:r>
      <w:r w:rsidR="000B1725">
        <w:rPr>
          <w:rFonts w:eastAsia="Calibri"/>
        </w:rPr>
        <w:t xml:space="preserve"> across different spheres of safeguarding, including preventing knife and gang related violence and counter</w:t>
      </w:r>
      <w:r w:rsidR="00873819">
        <w:rPr>
          <w:rFonts w:eastAsia="Calibri"/>
        </w:rPr>
        <w:t>ing</w:t>
      </w:r>
      <w:r w:rsidR="000B1725">
        <w:rPr>
          <w:rFonts w:eastAsia="Calibri"/>
        </w:rPr>
        <w:t xml:space="preserve"> radicalisation. Further research is needed both within and across these contexts, both to identify how ‘risk’ and ‘vulnerability’ are conceived, interpreted and applied in practice. </w:t>
      </w:r>
      <w:r>
        <w:rPr>
          <w:rFonts w:eastAsia="Calibri"/>
        </w:rPr>
        <w:t xml:space="preserve">As Fawcett (2009) has noted, deploying vulnerability as a </w:t>
      </w:r>
      <w:r w:rsidR="000B1725">
        <w:rPr>
          <w:rFonts w:eastAsia="Calibri"/>
        </w:rPr>
        <w:t xml:space="preserve">general </w:t>
      </w:r>
      <w:r>
        <w:rPr>
          <w:rFonts w:eastAsia="Calibri"/>
        </w:rPr>
        <w:t xml:space="preserve">justification for intervention can lead to unwarranted modes of </w:t>
      </w:r>
      <w:r w:rsidRPr="002E5658">
        <w:rPr>
          <w:rFonts w:eastAsia="Calibri"/>
        </w:rPr>
        <w:t xml:space="preserve">social control </w:t>
      </w:r>
      <w:r>
        <w:rPr>
          <w:rFonts w:eastAsia="Calibri"/>
        </w:rPr>
        <w:t xml:space="preserve">that </w:t>
      </w:r>
      <w:r w:rsidRPr="002E5658">
        <w:rPr>
          <w:rFonts w:eastAsia="Calibri"/>
        </w:rPr>
        <w:t>reinforc</w:t>
      </w:r>
      <w:r>
        <w:rPr>
          <w:rFonts w:eastAsia="Calibri"/>
        </w:rPr>
        <w:t xml:space="preserve">e </w:t>
      </w:r>
      <w:r w:rsidRPr="002E5658">
        <w:rPr>
          <w:rFonts w:eastAsia="Calibri"/>
        </w:rPr>
        <w:t>notions of acceptable and unacceptable behaviour</w:t>
      </w:r>
      <w:r>
        <w:rPr>
          <w:rFonts w:eastAsia="Calibri"/>
        </w:rPr>
        <w:t xml:space="preserve">. In addition, the twinning of risk and vulnerability in safeguarding contexts may inadvertently serve to increase </w:t>
      </w:r>
      <w:r w:rsidR="00B25FE5">
        <w:rPr>
          <w:rFonts w:eastAsia="Calibri"/>
        </w:rPr>
        <w:t>S</w:t>
      </w:r>
      <w:r w:rsidRPr="002E5658">
        <w:rPr>
          <w:rFonts w:eastAsia="Calibri"/>
        </w:rPr>
        <w:t xml:space="preserve">tate intervention into the lives of an increasing number of citizens on the basis that they </w:t>
      </w:r>
      <w:r>
        <w:rPr>
          <w:rFonts w:eastAsia="Calibri"/>
        </w:rPr>
        <w:t xml:space="preserve">may or </w:t>
      </w:r>
      <w:r w:rsidRPr="002E5658">
        <w:rPr>
          <w:rFonts w:eastAsia="Calibri"/>
        </w:rPr>
        <w:t xml:space="preserve">do not know what is best for them and </w:t>
      </w:r>
      <w:r>
        <w:rPr>
          <w:rFonts w:eastAsia="Calibri"/>
        </w:rPr>
        <w:t xml:space="preserve">thus </w:t>
      </w:r>
      <w:r w:rsidRPr="002E5658">
        <w:rPr>
          <w:rFonts w:eastAsia="Calibri"/>
        </w:rPr>
        <w:t>require protection (Dunn, et al. 2008)</w:t>
      </w:r>
      <w:r>
        <w:rPr>
          <w:rFonts w:eastAsia="Calibri"/>
        </w:rPr>
        <w:t xml:space="preserve">. </w:t>
      </w:r>
      <w:r w:rsidR="000B1725">
        <w:rPr>
          <w:rFonts w:eastAsia="Calibri"/>
        </w:rPr>
        <w:t xml:space="preserve">One of the </w:t>
      </w:r>
      <w:r>
        <w:rPr>
          <w:rFonts w:eastAsia="Calibri"/>
        </w:rPr>
        <w:t>issue</w:t>
      </w:r>
      <w:r w:rsidR="000B1725">
        <w:rPr>
          <w:rFonts w:eastAsia="Calibri"/>
        </w:rPr>
        <w:t>s</w:t>
      </w:r>
      <w:r>
        <w:rPr>
          <w:rFonts w:eastAsia="Calibri"/>
        </w:rPr>
        <w:t xml:space="preserve"> here is one of cyclical generation, through which </w:t>
      </w:r>
      <w:r w:rsidRPr="002E5658">
        <w:rPr>
          <w:rFonts w:eastAsia="Calibri"/>
        </w:rPr>
        <w:t>tendencies for ‘vulnerable’ people to be ‘done to’ by policy-makers (Brown, 2015)</w:t>
      </w:r>
      <w:r>
        <w:rPr>
          <w:rFonts w:eastAsia="Calibri"/>
        </w:rPr>
        <w:t xml:space="preserve"> become</w:t>
      </w:r>
      <w:r w:rsidR="00274470">
        <w:rPr>
          <w:rFonts w:eastAsia="Calibri"/>
        </w:rPr>
        <w:t xml:space="preserve"> reinforced and</w:t>
      </w:r>
      <w:r>
        <w:rPr>
          <w:rFonts w:eastAsia="Calibri"/>
        </w:rPr>
        <w:t xml:space="preserve"> intensified</w:t>
      </w:r>
      <w:r w:rsidRPr="002E5658">
        <w:rPr>
          <w:rFonts w:eastAsia="Calibri"/>
        </w:rPr>
        <w:t>.</w:t>
      </w:r>
    </w:p>
    <w:p w14:paraId="5F88FECF" w14:textId="77777777" w:rsidR="002053FE" w:rsidRDefault="002053FE" w:rsidP="00975FF1">
      <w:pPr>
        <w:spacing w:line="480" w:lineRule="auto"/>
        <w:jc w:val="both"/>
        <w:rPr>
          <w:rFonts w:eastAsia="Calibri"/>
        </w:rPr>
      </w:pPr>
    </w:p>
    <w:p w14:paraId="25A427AA" w14:textId="2C08F5D0" w:rsidR="002053FE" w:rsidRPr="002E5658" w:rsidRDefault="002053FE" w:rsidP="00975FF1">
      <w:pPr>
        <w:spacing w:line="480" w:lineRule="auto"/>
        <w:jc w:val="both"/>
        <w:rPr>
          <w:rStyle w:val="ref-lnk"/>
        </w:rPr>
      </w:pPr>
      <w:r w:rsidRPr="002E5658">
        <w:lastRenderedPageBreak/>
        <w:t xml:space="preserve">Like all governance philosophies, designing and delivering provision based on ‘vulnerability’ has </w:t>
      </w:r>
      <w:r>
        <w:t xml:space="preserve">moral </w:t>
      </w:r>
      <w:r w:rsidRPr="002E5658">
        <w:t xml:space="preserve">implications which </w:t>
      </w:r>
      <w:r>
        <w:t xml:space="preserve">routinely </w:t>
      </w:r>
      <w:r w:rsidRPr="002E5658">
        <w:t>play out through the delivery of interventions (</w:t>
      </w:r>
      <w:proofErr w:type="spellStart"/>
      <w:r w:rsidRPr="002E5658">
        <w:t>Bevir</w:t>
      </w:r>
      <w:proofErr w:type="spellEnd"/>
      <w:r w:rsidRPr="002E5658">
        <w:t xml:space="preserve">, </w:t>
      </w:r>
      <w:r w:rsidRPr="002E5658">
        <w:rPr>
          <w:color w:val="000000" w:themeColor="text1"/>
        </w:rPr>
        <w:t>2013:</w:t>
      </w:r>
      <w:r w:rsidRPr="002E5658">
        <w:t xml:space="preserve"> 4). As Brown and Sanders (2017) show, intervention frameworks masquerading as ‘supportive’ and developed under auspices of ‘protection’ </w:t>
      </w:r>
      <w:r>
        <w:t xml:space="preserve">can </w:t>
      </w:r>
      <w:r w:rsidRPr="002E5658">
        <w:t>serve to further marginalise and stigmatise those in receipt of such interventions</w:t>
      </w:r>
      <w:r>
        <w:t xml:space="preserve"> </w:t>
      </w:r>
      <w:r w:rsidRPr="002E5658">
        <w:t xml:space="preserve">and risk bringing such individuals further into the criminal justice system (Munro and Scoular, 2012). </w:t>
      </w:r>
      <w:r w:rsidRPr="002E5658">
        <w:rPr>
          <w:rFonts w:eastAsia="Calibri"/>
        </w:rPr>
        <w:t xml:space="preserve">Emerging from these findings is the stark warning that the operationalisation of vulnerability has been, at times, at odds with </w:t>
      </w:r>
      <w:r>
        <w:rPr>
          <w:rFonts w:eastAsia="Calibri"/>
        </w:rPr>
        <w:t xml:space="preserve">the maintenance of human </w:t>
      </w:r>
      <w:r w:rsidRPr="002E5658">
        <w:rPr>
          <w:rFonts w:eastAsia="Calibri"/>
        </w:rPr>
        <w:t xml:space="preserve">rights. </w:t>
      </w:r>
      <w:r>
        <w:rPr>
          <w:rStyle w:val="ref-lnk"/>
        </w:rPr>
        <w:t xml:space="preserve">As </w:t>
      </w:r>
      <w:proofErr w:type="spellStart"/>
      <w:r w:rsidRPr="002E5658">
        <w:rPr>
          <w:rStyle w:val="ref-lnk"/>
        </w:rPr>
        <w:t>Shildrick</w:t>
      </w:r>
      <w:proofErr w:type="spellEnd"/>
      <w:r>
        <w:rPr>
          <w:rStyle w:val="ref-lnk"/>
        </w:rPr>
        <w:t xml:space="preserve"> (</w:t>
      </w:r>
      <w:r w:rsidRPr="002E5658">
        <w:rPr>
          <w:rStyle w:val="ref-lnk"/>
        </w:rPr>
        <w:t>2002:</w:t>
      </w:r>
      <w:r>
        <w:rPr>
          <w:rStyle w:val="ref-lnk"/>
        </w:rPr>
        <w:t xml:space="preserve"> </w:t>
      </w:r>
      <w:r w:rsidRPr="002E5658">
        <w:rPr>
          <w:rStyle w:val="ref-lnk"/>
        </w:rPr>
        <w:t>71)</w:t>
      </w:r>
      <w:r>
        <w:rPr>
          <w:rStyle w:val="ref-lnk"/>
        </w:rPr>
        <w:t xml:space="preserve"> puts it: </w:t>
      </w:r>
      <w:r>
        <w:t>‘</w:t>
      </w:r>
      <w:r w:rsidRPr="002E5658">
        <w:t>vulnerability is figured as a shortcoming, an impending failure</w:t>
      </w:r>
      <w:r>
        <w:t>’</w:t>
      </w:r>
      <w:r w:rsidRPr="002E5658">
        <w:rPr>
          <w:rStyle w:val="ref-lnk"/>
        </w:rPr>
        <w:t xml:space="preserve"> and conceived as a condition best avoided, but </w:t>
      </w:r>
      <w:r>
        <w:rPr>
          <w:rStyle w:val="ref-lnk"/>
        </w:rPr>
        <w:t xml:space="preserve">potentially fixable </w:t>
      </w:r>
      <w:r w:rsidRPr="002E5658">
        <w:rPr>
          <w:rStyle w:val="ref-lnk"/>
        </w:rPr>
        <w:t>through various forms of securiti</w:t>
      </w:r>
      <w:r>
        <w:rPr>
          <w:rStyle w:val="ref-lnk"/>
        </w:rPr>
        <w:t>s</w:t>
      </w:r>
      <w:r w:rsidRPr="002E5658">
        <w:rPr>
          <w:rStyle w:val="ref-lnk"/>
        </w:rPr>
        <w:t>ation.</w:t>
      </w:r>
    </w:p>
    <w:p w14:paraId="25925DC8" w14:textId="77777777" w:rsidR="002053FE" w:rsidRPr="002E5658" w:rsidRDefault="002053FE" w:rsidP="00975FF1">
      <w:pPr>
        <w:spacing w:line="480" w:lineRule="auto"/>
        <w:jc w:val="both"/>
        <w:rPr>
          <w:rStyle w:val="ref-lnk"/>
        </w:rPr>
      </w:pPr>
    </w:p>
    <w:p w14:paraId="7B247DE5" w14:textId="77D18D31" w:rsidR="002053FE" w:rsidRPr="002E5658" w:rsidRDefault="002053FE" w:rsidP="00975FF1">
      <w:pPr>
        <w:autoSpaceDE w:val="0"/>
        <w:autoSpaceDN w:val="0"/>
        <w:adjustRightInd w:val="0"/>
        <w:spacing w:line="480" w:lineRule="auto"/>
        <w:jc w:val="both"/>
        <w:rPr>
          <w:rStyle w:val="ref-lnk"/>
        </w:rPr>
      </w:pPr>
      <w:r w:rsidRPr="002E5658">
        <w:rPr>
          <w:rStyle w:val="ref-lnk"/>
        </w:rPr>
        <w:t xml:space="preserve">Although traditionally considered the responsibility of social work, </w:t>
      </w:r>
      <w:r w:rsidR="00274470">
        <w:rPr>
          <w:rStyle w:val="ref-lnk"/>
        </w:rPr>
        <w:t xml:space="preserve">it would appear that </w:t>
      </w:r>
      <w:r w:rsidRPr="002E5658">
        <w:rPr>
          <w:rStyle w:val="ref-lnk"/>
        </w:rPr>
        <w:t xml:space="preserve">the dominance of ‘vulnerability’ and its frequent conflation with ‘risk’ within </w:t>
      </w:r>
      <w:r w:rsidR="00274470">
        <w:rPr>
          <w:rStyle w:val="ref-lnk"/>
        </w:rPr>
        <w:t xml:space="preserve">professional and </w:t>
      </w:r>
      <w:proofErr w:type="gramStart"/>
      <w:r w:rsidR="00274470">
        <w:rPr>
          <w:rStyle w:val="ref-lnk"/>
        </w:rPr>
        <w:t>policy based</w:t>
      </w:r>
      <w:proofErr w:type="gramEnd"/>
      <w:r w:rsidR="00274470">
        <w:rPr>
          <w:rStyle w:val="ref-lnk"/>
        </w:rPr>
        <w:t xml:space="preserve"> </w:t>
      </w:r>
      <w:r w:rsidRPr="002E5658">
        <w:rPr>
          <w:rStyle w:val="ref-lnk"/>
        </w:rPr>
        <w:t xml:space="preserve">discourse has led to a ‘mission creep’ that invites criminal justice agencies beyond the criminal spaces they </w:t>
      </w:r>
      <w:r>
        <w:rPr>
          <w:rStyle w:val="ref-lnk"/>
        </w:rPr>
        <w:t xml:space="preserve">have </w:t>
      </w:r>
      <w:r w:rsidRPr="002E5658">
        <w:rPr>
          <w:rStyle w:val="ref-lnk"/>
        </w:rPr>
        <w:t>traditionally occup</w:t>
      </w:r>
      <w:r>
        <w:rPr>
          <w:rStyle w:val="ref-lnk"/>
        </w:rPr>
        <w:t>ied</w:t>
      </w:r>
      <w:r w:rsidRPr="002E5658">
        <w:rPr>
          <w:rStyle w:val="ref-lnk"/>
        </w:rPr>
        <w:t xml:space="preserve">. Whose agendas and ways of working are prioritised and subsequently operationalised within </w:t>
      </w:r>
      <w:r>
        <w:rPr>
          <w:rStyle w:val="ref-lnk"/>
        </w:rPr>
        <w:t xml:space="preserve">interfacing </w:t>
      </w:r>
      <w:r w:rsidRPr="002E5658">
        <w:rPr>
          <w:rStyle w:val="ref-lnk"/>
        </w:rPr>
        <w:t>areas of social work and criminal justice practice are not only</w:t>
      </w:r>
      <w:r w:rsidR="00274470">
        <w:rPr>
          <w:rStyle w:val="ref-lnk"/>
        </w:rPr>
        <w:t xml:space="preserve"> worthy of consideration</w:t>
      </w:r>
      <w:r>
        <w:rPr>
          <w:rStyle w:val="ref-lnk"/>
        </w:rPr>
        <w:t>,</w:t>
      </w:r>
      <w:r w:rsidRPr="002E5658">
        <w:rPr>
          <w:rStyle w:val="ref-lnk"/>
        </w:rPr>
        <w:t xml:space="preserve"> but also </w:t>
      </w:r>
      <w:r w:rsidR="00274470">
        <w:rPr>
          <w:rStyle w:val="ref-lnk"/>
        </w:rPr>
        <w:t xml:space="preserve">should be subject </w:t>
      </w:r>
      <w:r w:rsidRPr="002E5658">
        <w:rPr>
          <w:rStyle w:val="ref-lnk"/>
        </w:rPr>
        <w:t>to</w:t>
      </w:r>
      <w:r w:rsidR="00274470">
        <w:rPr>
          <w:rStyle w:val="ref-lnk"/>
        </w:rPr>
        <w:t xml:space="preserve"> critical scrutiny</w:t>
      </w:r>
      <w:r w:rsidRPr="002E5658">
        <w:rPr>
          <w:rStyle w:val="ref-lnk"/>
        </w:rPr>
        <w:t>. As Timmerman and Gabe (2003:</w:t>
      </w:r>
      <w:r>
        <w:rPr>
          <w:rStyle w:val="ref-lnk"/>
        </w:rPr>
        <w:t xml:space="preserve"> </w:t>
      </w:r>
      <w:r w:rsidRPr="002E5658">
        <w:rPr>
          <w:rStyle w:val="ref-lnk"/>
        </w:rPr>
        <w:t xml:space="preserve">7) </w:t>
      </w:r>
      <w:r>
        <w:rPr>
          <w:rStyle w:val="ref-lnk"/>
        </w:rPr>
        <w:t xml:space="preserve">noted </w:t>
      </w:r>
      <w:r w:rsidRPr="002E5658">
        <w:rPr>
          <w:rStyle w:val="ref-lnk"/>
        </w:rPr>
        <w:t xml:space="preserve">some time ago, the question that emerges when one area of practice takes over another ‘is how the resulting social control arrangements satisfy both the inhabitants of the borderland and those at the different centres of expertise’.  </w:t>
      </w:r>
    </w:p>
    <w:p w14:paraId="41FEBBE4" w14:textId="77777777" w:rsidR="002053FE" w:rsidRPr="002E5658" w:rsidRDefault="002053FE" w:rsidP="00975FF1">
      <w:pPr>
        <w:autoSpaceDE w:val="0"/>
        <w:autoSpaceDN w:val="0"/>
        <w:adjustRightInd w:val="0"/>
        <w:spacing w:line="480" w:lineRule="auto"/>
        <w:jc w:val="both"/>
        <w:rPr>
          <w:rStyle w:val="ref-lnk"/>
        </w:rPr>
      </w:pPr>
    </w:p>
    <w:p w14:paraId="647B03DA" w14:textId="43E4E498" w:rsidR="002053FE" w:rsidRPr="00753E3A" w:rsidRDefault="002053FE" w:rsidP="00975FF1">
      <w:pPr>
        <w:autoSpaceDE w:val="0"/>
        <w:autoSpaceDN w:val="0"/>
        <w:adjustRightInd w:val="0"/>
        <w:spacing w:line="480" w:lineRule="auto"/>
        <w:jc w:val="both"/>
        <w:rPr>
          <w:rStyle w:val="ref-lnk"/>
          <w:rFonts w:eastAsiaTheme="minorHAnsi"/>
          <w:sz w:val="20"/>
          <w:szCs w:val="20"/>
          <w:lang w:eastAsia="en-US"/>
        </w:rPr>
      </w:pPr>
      <w:r w:rsidRPr="002E5658">
        <w:rPr>
          <w:rStyle w:val="ref-lnk"/>
        </w:rPr>
        <w:t xml:space="preserve">For social workers, practicing within </w:t>
      </w:r>
      <w:r>
        <w:rPr>
          <w:rStyle w:val="ref-lnk"/>
        </w:rPr>
        <w:t>safeguarding</w:t>
      </w:r>
      <w:r w:rsidRPr="002E5658">
        <w:rPr>
          <w:rStyle w:val="ref-lnk"/>
        </w:rPr>
        <w:t xml:space="preserve"> space</w:t>
      </w:r>
      <w:r>
        <w:rPr>
          <w:rStyle w:val="ref-lnk"/>
        </w:rPr>
        <w:t>s</w:t>
      </w:r>
      <w:r w:rsidRPr="002E5658">
        <w:rPr>
          <w:rStyle w:val="ref-lnk"/>
        </w:rPr>
        <w:t xml:space="preserve"> require</w:t>
      </w:r>
      <w:r w:rsidR="00274470">
        <w:rPr>
          <w:rStyle w:val="ref-lnk"/>
        </w:rPr>
        <w:t xml:space="preserve">s tact and </w:t>
      </w:r>
      <w:r w:rsidRPr="002E5658">
        <w:rPr>
          <w:rStyle w:val="ref-lnk"/>
        </w:rPr>
        <w:t>careful negotiation</w:t>
      </w:r>
      <w:r w:rsidR="00B25FE5">
        <w:rPr>
          <w:rStyle w:val="ref-lnk"/>
        </w:rPr>
        <w:t>.</w:t>
      </w:r>
      <w:r w:rsidR="00274470">
        <w:rPr>
          <w:rStyle w:val="ref-lnk"/>
        </w:rPr>
        <w:t xml:space="preserve"> It also presents</w:t>
      </w:r>
      <w:r w:rsidRPr="002E5658">
        <w:rPr>
          <w:rStyle w:val="ref-lnk"/>
        </w:rPr>
        <w:t xml:space="preserve"> multiple ethical challenges </w:t>
      </w:r>
      <w:r>
        <w:rPr>
          <w:rStyle w:val="ref-lnk"/>
        </w:rPr>
        <w:t xml:space="preserve">which run parallel to </w:t>
      </w:r>
      <w:r w:rsidRPr="002E5658">
        <w:rPr>
          <w:rStyle w:val="ref-lnk"/>
        </w:rPr>
        <w:t>those found in forensic mental health (</w:t>
      </w:r>
      <w:proofErr w:type="spellStart"/>
      <w:r w:rsidRPr="002E5658">
        <w:rPr>
          <w:rStyle w:val="ref-lnk"/>
        </w:rPr>
        <w:t>Trebilcock</w:t>
      </w:r>
      <w:proofErr w:type="spellEnd"/>
      <w:r w:rsidRPr="002E5658">
        <w:rPr>
          <w:rStyle w:val="ref-lnk"/>
        </w:rPr>
        <w:t xml:space="preserve"> and Weston, 2020), drug misuse (Weston, 2014; 2016) and youth justice </w:t>
      </w:r>
      <w:r w:rsidRPr="002E5658">
        <w:rPr>
          <w:rStyle w:val="ref-lnk"/>
        </w:rPr>
        <w:lastRenderedPageBreak/>
        <w:t>(Briggs, 2013). At this</w:t>
      </w:r>
      <w:r w:rsidR="00274470">
        <w:rPr>
          <w:rStyle w:val="ref-lnk"/>
        </w:rPr>
        <w:t xml:space="preserve"> interface</w:t>
      </w:r>
      <w:r w:rsidRPr="002E5658">
        <w:rPr>
          <w:rStyle w:val="ref-lnk"/>
        </w:rPr>
        <w:t xml:space="preserve">, practitioners will be met with two quite different </w:t>
      </w:r>
      <w:r w:rsidR="00274470">
        <w:rPr>
          <w:rStyle w:val="ref-lnk"/>
        </w:rPr>
        <w:t>-</w:t>
      </w:r>
      <w:r w:rsidRPr="002E5658">
        <w:rPr>
          <w:rStyle w:val="ref-lnk"/>
        </w:rPr>
        <w:t xml:space="preserve"> and sometimes competing </w:t>
      </w:r>
      <w:r w:rsidR="00274470">
        <w:rPr>
          <w:rStyle w:val="ref-lnk"/>
        </w:rPr>
        <w:t>-</w:t>
      </w:r>
      <w:r>
        <w:rPr>
          <w:rStyle w:val="ref-lnk"/>
        </w:rPr>
        <w:t xml:space="preserve"> </w:t>
      </w:r>
      <w:r w:rsidRPr="002E5658">
        <w:rPr>
          <w:rStyle w:val="ref-lnk"/>
        </w:rPr>
        <w:t>paradigms of social care and criminal justice</w:t>
      </w:r>
      <w:r>
        <w:rPr>
          <w:rStyle w:val="ref-lnk"/>
        </w:rPr>
        <w:t xml:space="preserve">. In environs in which </w:t>
      </w:r>
      <w:r w:rsidRPr="002E5658">
        <w:rPr>
          <w:rStyle w:val="ref-lnk"/>
        </w:rPr>
        <w:t xml:space="preserve">social workers </w:t>
      </w:r>
      <w:r>
        <w:rPr>
          <w:rStyle w:val="ref-lnk"/>
        </w:rPr>
        <w:t xml:space="preserve">are </w:t>
      </w:r>
      <w:r w:rsidRPr="002E5658">
        <w:rPr>
          <w:rStyle w:val="ref-lnk"/>
        </w:rPr>
        <w:t>required to straddle both systems</w:t>
      </w:r>
      <w:r>
        <w:rPr>
          <w:rStyle w:val="ref-lnk"/>
        </w:rPr>
        <w:t xml:space="preserve"> and serve </w:t>
      </w:r>
      <w:r w:rsidRPr="002E5658">
        <w:rPr>
          <w:rStyle w:val="ref-lnk"/>
        </w:rPr>
        <w:t>‘two masters’</w:t>
      </w:r>
      <w:r w:rsidR="001672B2">
        <w:rPr>
          <w:rStyle w:val="ref-lnk"/>
        </w:rPr>
        <w:t>,</w:t>
      </w:r>
      <w:r w:rsidRPr="002E5658">
        <w:rPr>
          <w:rStyle w:val="ref-lnk"/>
        </w:rPr>
        <w:t xml:space="preserve"> </w:t>
      </w:r>
      <w:r>
        <w:rPr>
          <w:rStyle w:val="ref-lnk"/>
        </w:rPr>
        <w:t xml:space="preserve">conflicting objectives may emerge in the dual pursuit of </w:t>
      </w:r>
      <w:r w:rsidRPr="002E5658">
        <w:rPr>
          <w:rStyle w:val="ref-lnk"/>
        </w:rPr>
        <w:t>the safety of the public and the rights and civil liberties of the person</w:t>
      </w:r>
      <w:r>
        <w:rPr>
          <w:rStyle w:val="ref-lnk"/>
        </w:rPr>
        <w:t xml:space="preserve"> deemed vulnerable. </w:t>
      </w:r>
      <w:r w:rsidRPr="002E5658">
        <w:rPr>
          <w:rStyle w:val="ref-lnk"/>
        </w:rPr>
        <w:t xml:space="preserve">The iatrogenic effects </w:t>
      </w:r>
      <w:r w:rsidR="00274470">
        <w:rPr>
          <w:rStyle w:val="ref-lnk"/>
        </w:rPr>
        <w:t>that may arise in</w:t>
      </w:r>
      <w:r w:rsidRPr="002E5658">
        <w:rPr>
          <w:rStyle w:val="ref-lnk"/>
        </w:rPr>
        <w:t xml:space="preserve"> working at the intersection of health and criminal justice have been documented</w:t>
      </w:r>
      <w:r>
        <w:rPr>
          <w:rStyle w:val="ref-lnk"/>
        </w:rPr>
        <w:t xml:space="preserve"> previously</w:t>
      </w:r>
      <w:r w:rsidRPr="002E5658">
        <w:rPr>
          <w:rStyle w:val="ref-lnk"/>
        </w:rPr>
        <w:t xml:space="preserve"> (see </w:t>
      </w:r>
      <w:proofErr w:type="spellStart"/>
      <w:r w:rsidRPr="002E5658">
        <w:rPr>
          <w:rStyle w:val="ref-lnk"/>
        </w:rPr>
        <w:t>Trebilcock</w:t>
      </w:r>
      <w:proofErr w:type="spellEnd"/>
      <w:r w:rsidRPr="002E5658">
        <w:rPr>
          <w:rStyle w:val="ref-lnk"/>
        </w:rPr>
        <w:t xml:space="preserve"> and Weston, 2020</w:t>
      </w:r>
      <w:r w:rsidR="00274470">
        <w:rPr>
          <w:rStyle w:val="ref-lnk"/>
        </w:rPr>
        <w:t>). These may r</w:t>
      </w:r>
      <w:r w:rsidRPr="002E5658">
        <w:rPr>
          <w:rStyle w:val="ref-lnk"/>
        </w:rPr>
        <w:t>elate to the experiences of power that exist between different groups of staff, the divergence of perspectives that sometimes fall short of providing a cohesive understanding of an individual in need, the tendency for such environments to generate a blame culture</w:t>
      </w:r>
      <w:r>
        <w:rPr>
          <w:rStyle w:val="ref-lnk"/>
        </w:rPr>
        <w:t xml:space="preserve"> -</w:t>
      </w:r>
      <w:r w:rsidRPr="002E5658">
        <w:rPr>
          <w:rStyle w:val="ref-lnk"/>
        </w:rPr>
        <w:t xml:space="preserve"> particularly in those situations where things go wrong</w:t>
      </w:r>
      <w:r>
        <w:rPr>
          <w:rStyle w:val="ref-lnk"/>
        </w:rPr>
        <w:t xml:space="preserve"> - </w:t>
      </w:r>
      <w:r w:rsidRPr="002E5658">
        <w:rPr>
          <w:rStyle w:val="ref-lnk"/>
        </w:rPr>
        <w:t xml:space="preserve">and failures in communication and information sharing. </w:t>
      </w:r>
      <w:r w:rsidR="00274470">
        <w:rPr>
          <w:rStyle w:val="ref-lnk"/>
        </w:rPr>
        <w:t>To be clear,</w:t>
      </w:r>
      <w:r w:rsidRPr="002E5658">
        <w:rPr>
          <w:rStyle w:val="ref-lnk"/>
        </w:rPr>
        <w:t xml:space="preserve"> we are not suggesting that criminal justice agencies </w:t>
      </w:r>
      <w:r w:rsidR="00274470">
        <w:rPr>
          <w:rStyle w:val="ref-lnk"/>
        </w:rPr>
        <w:t xml:space="preserve">should be excluded </w:t>
      </w:r>
      <w:r w:rsidRPr="002E5658">
        <w:rPr>
          <w:rStyle w:val="ref-lnk"/>
        </w:rPr>
        <w:t xml:space="preserve">in </w:t>
      </w:r>
      <w:r w:rsidR="00274470">
        <w:rPr>
          <w:rStyle w:val="ref-lnk"/>
        </w:rPr>
        <w:t xml:space="preserve">multi-agency </w:t>
      </w:r>
      <w:r w:rsidRPr="002E5658">
        <w:rPr>
          <w:rStyle w:val="ref-lnk"/>
        </w:rPr>
        <w:t>response</w:t>
      </w:r>
      <w:r w:rsidR="00274470">
        <w:rPr>
          <w:rStyle w:val="ref-lnk"/>
        </w:rPr>
        <w:t>s</w:t>
      </w:r>
      <w:r w:rsidRPr="002E5658">
        <w:rPr>
          <w:rStyle w:val="ref-lnk"/>
        </w:rPr>
        <w:t xml:space="preserve"> to vulnerability</w:t>
      </w:r>
      <w:r w:rsidR="00274470">
        <w:rPr>
          <w:rStyle w:val="ref-lnk"/>
        </w:rPr>
        <w:t>.</w:t>
      </w:r>
      <w:r w:rsidRPr="002E5658">
        <w:rPr>
          <w:rStyle w:val="ref-lnk"/>
        </w:rPr>
        <w:t xml:space="preserve"> </w:t>
      </w:r>
      <w:r w:rsidR="00274470">
        <w:rPr>
          <w:rStyle w:val="ref-lnk"/>
        </w:rPr>
        <w:t>I</w:t>
      </w:r>
      <w:r w:rsidRPr="002E5658">
        <w:rPr>
          <w:rStyle w:val="ref-lnk"/>
        </w:rPr>
        <w:t>ndeed</w:t>
      </w:r>
      <w:r w:rsidR="00274470">
        <w:rPr>
          <w:rStyle w:val="ref-lnk"/>
        </w:rPr>
        <w:t>,</w:t>
      </w:r>
      <w:r w:rsidRPr="002E5658">
        <w:rPr>
          <w:rStyle w:val="ref-lnk"/>
        </w:rPr>
        <w:t xml:space="preserve"> many benefits </w:t>
      </w:r>
      <w:r w:rsidR="00274470">
        <w:rPr>
          <w:rStyle w:val="ref-lnk"/>
        </w:rPr>
        <w:t xml:space="preserve">can </w:t>
      </w:r>
      <w:r w:rsidRPr="002E5658">
        <w:rPr>
          <w:rStyle w:val="ref-lnk"/>
        </w:rPr>
        <w:t xml:space="preserve">accrue from responding to risk and vulnerability in a multi-disciplinary and </w:t>
      </w:r>
      <w:r w:rsidR="00274470">
        <w:rPr>
          <w:rStyle w:val="ref-lnk"/>
        </w:rPr>
        <w:t xml:space="preserve">collective fashion </w:t>
      </w:r>
      <w:r w:rsidRPr="002E5658">
        <w:rPr>
          <w:rStyle w:val="ref-lnk"/>
        </w:rPr>
        <w:t xml:space="preserve"> (Weston, 2014)</w:t>
      </w:r>
      <w:r w:rsidR="00274470">
        <w:rPr>
          <w:rStyle w:val="ref-lnk"/>
        </w:rPr>
        <w:t xml:space="preserve">. Nevertheless, </w:t>
      </w:r>
      <w:r w:rsidRPr="002E5658">
        <w:rPr>
          <w:rStyle w:val="ref-lnk"/>
        </w:rPr>
        <w:t>such an approach should be adopted with these cautionary notes in mind</w:t>
      </w:r>
      <w:r w:rsidR="00274470">
        <w:rPr>
          <w:rStyle w:val="ref-lnk"/>
        </w:rPr>
        <w:t xml:space="preserve"> and </w:t>
      </w:r>
      <w:r w:rsidRPr="002E5658">
        <w:rPr>
          <w:rStyle w:val="ref-lnk"/>
        </w:rPr>
        <w:t xml:space="preserve">applying mitigation where possible. </w:t>
      </w:r>
      <w:r w:rsidR="00274470">
        <w:rPr>
          <w:rStyle w:val="ref-lnk"/>
        </w:rPr>
        <w:t xml:space="preserve">At </w:t>
      </w:r>
      <w:r w:rsidR="001672B2">
        <w:rPr>
          <w:rStyle w:val="ref-lnk"/>
        </w:rPr>
        <w:t xml:space="preserve">the </w:t>
      </w:r>
      <w:r w:rsidR="00274470">
        <w:rPr>
          <w:rStyle w:val="ref-lnk"/>
        </w:rPr>
        <w:t>mutable frontiers between</w:t>
      </w:r>
      <w:r w:rsidR="001672B2">
        <w:rPr>
          <w:rStyle w:val="ref-lnk"/>
        </w:rPr>
        <w:t xml:space="preserve"> social work and criminal justice practice, </w:t>
      </w:r>
      <w:r w:rsidR="00274470">
        <w:rPr>
          <w:rStyle w:val="ref-lnk"/>
        </w:rPr>
        <w:t xml:space="preserve">where discourses of risk and vulnerability are ubiquitous, </w:t>
      </w:r>
      <w:r w:rsidR="001672B2">
        <w:rPr>
          <w:rStyle w:val="ref-lnk"/>
        </w:rPr>
        <w:t xml:space="preserve">there appears to be </w:t>
      </w:r>
      <w:r w:rsidR="00274470">
        <w:rPr>
          <w:rStyle w:val="ref-lnk"/>
        </w:rPr>
        <w:t xml:space="preserve">something of </w:t>
      </w:r>
      <w:r w:rsidR="001672B2">
        <w:rPr>
          <w:rStyle w:val="ref-lnk"/>
        </w:rPr>
        <w:t>a gravitational pull towards deploying increasing mechanisms of social control</w:t>
      </w:r>
      <w:r w:rsidR="00274470">
        <w:rPr>
          <w:rStyle w:val="ref-lnk"/>
        </w:rPr>
        <w:t xml:space="preserve">. In such a context, and </w:t>
      </w:r>
      <w:r w:rsidRPr="002E5658">
        <w:rPr>
          <w:rStyle w:val="ref-lnk"/>
        </w:rPr>
        <w:t>under the auspices of crime prevention, social workers have a responsibility to guard the borderland</w:t>
      </w:r>
      <w:r>
        <w:rPr>
          <w:rStyle w:val="ref-lnk"/>
        </w:rPr>
        <w:t xml:space="preserve">. </w:t>
      </w:r>
    </w:p>
    <w:p w14:paraId="5E4F9CDB" w14:textId="429E7173" w:rsidR="002053FE" w:rsidRPr="00352EFD" w:rsidRDefault="002053FE" w:rsidP="00975FF1">
      <w:pPr>
        <w:pStyle w:val="NormalWeb"/>
        <w:spacing w:line="480" w:lineRule="auto"/>
        <w:jc w:val="both"/>
        <w:rPr>
          <w:color w:val="00B0F0"/>
        </w:rPr>
      </w:pPr>
      <w:r w:rsidRPr="006317BA">
        <w:t xml:space="preserve">The implications of our findings for social work practice are manifold. First, we would suggest that further unpacking of the concepts of risk and vulnerability are </w:t>
      </w:r>
      <w:r w:rsidR="008D7782">
        <w:t xml:space="preserve">necessitous </w:t>
      </w:r>
      <w:r w:rsidRPr="006317BA">
        <w:t>and should be supported</w:t>
      </w:r>
      <w:r w:rsidR="008D7782">
        <w:t xml:space="preserve"> and developed</w:t>
      </w:r>
      <w:r w:rsidRPr="006317BA">
        <w:t xml:space="preserve"> </w:t>
      </w:r>
      <w:r w:rsidR="008D7782">
        <w:t>with</w:t>
      </w:r>
      <w:r w:rsidRPr="006317BA">
        <w:t xml:space="preserve">in professional settings. Rather than ushering the conceptual murkiness that undoubtedly exists between definitions and applications of risk and vulnerability into the ether, the problems and issues that arise in utilising them as rationales for intervention needs to be addressed head on. </w:t>
      </w:r>
      <w:r w:rsidR="007B6B2E">
        <w:t>Those with social care experience</w:t>
      </w:r>
      <w:r w:rsidR="0078702E">
        <w:t>,</w:t>
      </w:r>
      <w:r w:rsidR="007B6B2E">
        <w:t xml:space="preserve"> and able to draw </w:t>
      </w:r>
      <w:r w:rsidR="007B6B2E">
        <w:lastRenderedPageBreak/>
        <w:t>on their own</w:t>
      </w:r>
      <w:r w:rsidR="0078702E">
        <w:t xml:space="preserve"> </w:t>
      </w:r>
      <w:r w:rsidR="007B6B2E">
        <w:t>disciplinary discourses</w:t>
      </w:r>
      <w:r w:rsidR="0078702E">
        <w:t xml:space="preserve">, sensibilities, ethics and practices, </w:t>
      </w:r>
      <w:r w:rsidR="008D7782">
        <w:t xml:space="preserve">are key resources in </w:t>
      </w:r>
      <w:r w:rsidR="0078702E">
        <w:t>driv</w:t>
      </w:r>
      <w:r w:rsidR="008D7782">
        <w:t>ing</w:t>
      </w:r>
      <w:r w:rsidR="0078702E">
        <w:t xml:space="preserve"> forward those well-established indicators of risk and vulnerability rather than, as our data shows, oscillating towards </w:t>
      </w:r>
      <w:r>
        <w:t xml:space="preserve">all-encompassing perceptions that </w:t>
      </w:r>
      <w:r w:rsidR="008D7782">
        <w:t xml:space="preserve">everybody and </w:t>
      </w:r>
      <w:r>
        <w:t>anybody</w:t>
      </w:r>
      <w:r w:rsidR="008D7782">
        <w:t xml:space="preserve"> is </w:t>
      </w:r>
      <w:r>
        <w:t xml:space="preserve">at risk and therefore ‘vulnerable’. </w:t>
      </w:r>
      <w:r w:rsidRPr="00BD615A">
        <w:rPr>
          <w:color w:val="000000" w:themeColor="text1"/>
        </w:rPr>
        <w:t xml:space="preserve">Albeit in a </w:t>
      </w:r>
      <w:r w:rsidR="003D6C76">
        <w:rPr>
          <w:color w:val="000000" w:themeColor="text1"/>
        </w:rPr>
        <w:t xml:space="preserve">markedly </w:t>
      </w:r>
      <w:r w:rsidRPr="00BD615A">
        <w:rPr>
          <w:color w:val="000000" w:themeColor="text1"/>
        </w:rPr>
        <w:t xml:space="preserve">different context, this argument chimes with Heath-Kelly’s (2013) analysis of the operation of counter-radicalisation practices. Similarly, safeguarding mechanisms that practitioners’ perceptions of ‘risk’ and ‘vulnerability’ activate, operate in such a way that they </w:t>
      </w:r>
      <w:proofErr w:type="spellStart"/>
      <w:r w:rsidRPr="00BD615A">
        <w:rPr>
          <w:color w:val="000000" w:themeColor="text1"/>
        </w:rPr>
        <w:t>dangeri</w:t>
      </w:r>
      <w:r>
        <w:rPr>
          <w:color w:val="000000" w:themeColor="text1"/>
        </w:rPr>
        <w:t>s</w:t>
      </w:r>
      <w:r w:rsidRPr="00BD615A">
        <w:rPr>
          <w:color w:val="000000" w:themeColor="text1"/>
        </w:rPr>
        <w:t>e</w:t>
      </w:r>
      <w:proofErr w:type="spellEnd"/>
      <w:r w:rsidRPr="00BD615A">
        <w:rPr>
          <w:color w:val="000000" w:themeColor="text1"/>
        </w:rPr>
        <w:t xml:space="preserve"> not only individuals considered ‘risky’ in terms of perpetrating o</w:t>
      </w:r>
      <w:r w:rsidR="00A475CE">
        <w:rPr>
          <w:color w:val="000000" w:themeColor="text1"/>
        </w:rPr>
        <w:t>r</w:t>
      </w:r>
      <w:r w:rsidRPr="00BD615A">
        <w:rPr>
          <w:color w:val="000000" w:themeColor="text1"/>
        </w:rPr>
        <w:t xml:space="preserve"> becoming a victim of CSE, but also those who may be ‘at risk of becoming risky’. This links directly to broader discourses and anxieties about young people’s use of the online environment, within which a general narrative that </w:t>
      </w:r>
      <w:r w:rsidRPr="00A30520">
        <w:rPr>
          <w:color w:val="000000" w:themeColor="text1"/>
        </w:rPr>
        <w:t xml:space="preserve">all </w:t>
      </w:r>
      <w:r w:rsidRPr="00BD615A">
        <w:rPr>
          <w:color w:val="000000" w:themeColor="text1"/>
        </w:rPr>
        <w:t xml:space="preserve">young people are either ‘risky’ or ‘at risk of becoming risky’ prevails. Although not neatly defined nor uncontested, such a narrative is important in terms of steering precautious perceptions. While vulnerability has been designated a policing priority in recent times (Home Office, 2016; NPCC, 2020), we would </w:t>
      </w:r>
      <w:r w:rsidR="008D7782">
        <w:rPr>
          <w:color w:val="000000" w:themeColor="text1"/>
        </w:rPr>
        <w:t xml:space="preserve">express </w:t>
      </w:r>
      <w:r w:rsidRPr="00BD615A">
        <w:rPr>
          <w:color w:val="000000" w:themeColor="text1"/>
        </w:rPr>
        <w:t xml:space="preserve">caution about approaches that embrace the notion of universal vulnerability. Albeit in a specific context, our data suggests that pushing those ‘at risk of becoming risky’ under the risk assessment lens may result in situations where those that may be most likely to be victimised are least likely to be identified as ‘at risk’ and/or ‘vulnerable’. </w:t>
      </w:r>
    </w:p>
    <w:p w14:paraId="2F417585" w14:textId="2CA08984" w:rsidR="002053FE" w:rsidRDefault="002053FE" w:rsidP="00975FF1">
      <w:pPr>
        <w:pStyle w:val="NormalWeb"/>
        <w:spacing w:line="480" w:lineRule="auto"/>
        <w:jc w:val="both"/>
        <w:rPr>
          <w:color w:val="000000"/>
          <w:shd w:val="clear" w:color="auto" w:fill="FFFFFF"/>
        </w:rPr>
      </w:pPr>
      <w:r w:rsidRPr="006317BA">
        <w:t xml:space="preserve">Second, greater recognition is required of the nature of the balance between </w:t>
      </w:r>
      <w:r w:rsidRPr="006317BA">
        <w:rPr>
          <w:color w:val="000000"/>
          <w:shd w:val="clear" w:color="auto" w:fill="FFFFFF"/>
        </w:rPr>
        <w:t>protecting the rights and privacy of young people and supporting their safeguarding needs. If, at an ideational level, a universal risk approach is adopted</w:t>
      </w:r>
      <w:r>
        <w:rPr>
          <w:color w:val="000000"/>
          <w:shd w:val="clear" w:color="auto" w:fill="FFFFFF"/>
        </w:rPr>
        <w:t>,</w:t>
      </w:r>
      <w:r w:rsidRPr="006317BA">
        <w:rPr>
          <w:color w:val="000000"/>
          <w:shd w:val="clear" w:color="auto" w:fill="FFFFFF"/>
        </w:rPr>
        <w:t xml:space="preserve"> it is invariably the case that the balance will become skewed toward the latter</w:t>
      </w:r>
      <w:r w:rsidR="008D7782">
        <w:rPr>
          <w:color w:val="000000"/>
          <w:shd w:val="clear" w:color="auto" w:fill="FFFFFF"/>
        </w:rPr>
        <w:t>,</w:t>
      </w:r>
      <w:r w:rsidRPr="006317BA">
        <w:rPr>
          <w:color w:val="000000"/>
          <w:shd w:val="clear" w:color="auto" w:fill="FFFFFF"/>
        </w:rPr>
        <w:t xml:space="preserve"> rather than the former. </w:t>
      </w:r>
    </w:p>
    <w:p w14:paraId="23D7F9AC" w14:textId="53731222" w:rsidR="002053FE" w:rsidRDefault="002053FE" w:rsidP="00975FF1">
      <w:pPr>
        <w:pStyle w:val="NormalWeb"/>
        <w:spacing w:line="480" w:lineRule="auto"/>
        <w:jc w:val="both"/>
        <w:rPr>
          <w:color w:val="000000"/>
          <w:bdr w:val="none" w:sz="0" w:space="0" w:color="auto" w:frame="1"/>
        </w:rPr>
      </w:pPr>
      <w:r w:rsidRPr="006317BA">
        <w:rPr>
          <w:color w:val="000000"/>
          <w:shd w:val="clear" w:color="auto" w:fill="FFFFFF"/>
        </w:rPr>
        <w:t xml:space="preserve">Third, further </w:t>
      </w:r>
      <w:r w:rsidRPr="006317BA">
        <w:rPr>
          <w:color w:val="000000"/>
          <w:bdr w:val="none" w:sz="0" w:space="0" w:color="auto" w:frame="1"/>
        </w:rPr>
        <w:t>critical attention should be directed toward the negative consequences that loose deployment of discourses of risk and vulnerability may have on particular</w:t>
      </w:r>
      <w:r>
        <w:rPr>
          <w:color w:val="000000"/>
          <w:bdr w:val="none" w:sz="0" w:space="0" w:color="auto" w:frame="1"/>
        </w:rPr>
        <w:t xml:space="preserve"> </w:t>
      </w:r>
      <w:r w:rsidRPr="006317BA">
        <w:rPr>
          <w:color w:val="000000"/>
          <w:bdr w:val="none" w:sz="0" w:space="0" w:color="auto" w:frame="1"/>
        </w:rPr>
        <w:t>groups and communities</w:t>
      </w:r>
      <w:r w:rsidR="00A475CE">
        <w:rPr>
          <w:color w:val="000000"/>
          <w:bdr w:val="none" w:sz="0" w:space="0" w:color="auto" w:frame="1"/>
        </w:rPr>
        <w:t>,</w:t>
      </w:r>
      <w:r w:rsidRPr="006317BA">
        <w:rPr>
          <w:color w:val="000000"/>
          <w:bdr w:val="none" w:sz="0" w:space="0" w:color="auto" w:frame="1"/>
        </w:rPr>
        <w:t xml:space="preserve"> especially in circumstances in which prevention mechanisms steer young people </w:t>
      </w:r>
      <w:r w:rsidRPr="006317BA">
        <w:rPr>
          <w:color w:val="000000"/>
          <w:bdr w:val="none" w:sz="0" w:space="0" w:color="auto" w:frame="1"/>
        </w:rPr>
        <w:lastRenderedPageBreak/>
        <w:t xml:space="preserve">toward spheres of criminal justice. While acknowledging the palpable challenges involved in negotiating the boundary work of safeguarding youth in a prevention focussed context, the </w:t>
      </w:r>
      <w:r w:rsidR="008D7782">
        <w:rPr>
          <w:color w:val="000000"/>
          <w:bdr w:val="none" w:sz="0" w:space="0" w:color="auto" w:frame="1"/>
        </w:rPr>
        <w:t xml:space="preserve">sizeable side </w:t>
      </w:r>
      <w:r w:rsidRPr="006317BA">
        <w:rPr>
          <w:color w:val="000000"/>
          <w:bdr w:val="none" w:sz="0" w:space="0" w:color="auto" w:frame="1"/>
        </w:rPr>
        <w:t xml:space="preserve">effects of interventions in terms of surveillance, privacy and social control should </w:t>
      </w:r>
      <w:r>
        <w:rPr>
          <w:color w:val="000000"/>
          <w:bdr w:val="none" w:sz="0" w:space="0" w:color="auto" w:frame="1"/>
        </w:rPr>
        <w:t>be subjected to further scrutiny.</w:t>
      </w:r>
    </w:p>
    <w:p w14:paraId="55F1083A" w14:textId="77777777" w:rsidR="002053FE" w:rsidRPr="002053FE" w:rsidRDefault="002053FE" w:rsidP="00771414">
      <w:pPr>
        <w:pStyle w:val="NormalWeb"/>
        <w:jc w:val="both"/>
        <w:rPr>
          <w:bCs/>
          <w:highlight w:val="green"/>
        </w:rPr>
      </w:pPr>
    </w:p>
    <w:p w14:paraId="4973AB0A" w14:textId="726A1C5E" w:rsidR="00352EFD" w:rsidRPr="00352EFD" w:rsidRDefault="00352EFD" w:rsidP="00352EFD">
      <w:pPr>
        <w:spacing w:before="100" w:beforeAutospacing="1" w:after="100" w:afterAutospacing="1"/>
        <w:jc w:val="both"/>
        <w:rPr>
          <w:rStyle w:val="ref-lnk"/>
          <w:b/>
          <w:bCs/>
        </w:rPr>
      </w:pPr>
      <w:r w:rsidRPr="00352EFD">
        <w:rPr>
          <w:rStyle w:val="ref-lnk"/>
          <w:b/>
          <w:bCs/>
        </w:rPr>
        <w:t>References</w:t>
      </w:r>
      <w:r>
        <w:rPr>
          <w:rStyle w:val="ref-lnk"/>
          <w:b/>
          <w:bCs/>
        </w:rPr>
        <w:t xml:space="preserve"> </w:t>
      </w:r>
    </w:p>
    <w:p w14:paraId="37EEBC5F" w14:textId="6DC4F9E2" w:rsidR="00352EFD" w:rsidRPr="00352EFD" w:rsidRDefault="00352EFD" w:rsidP="00352EFD">
      <w:proofErr w:type="spellStart"/>
      <w:r w:rsidRPr="00352EFD">
        <w:t>Alwang</w:t>
      </w:r>
      <w:proofErr w:type="spellEnd"/>
      <w:r w:rsidRPr="00352EFD">
        <w:t>, J</w:t>
      </w:r>
      <w:r w:rsidR="00610A0B">
        <w:t>.,</w:t>
      </w:r>
      <w:r w:rsidRPr="00352EFD">
        <w:t xml:space="preserve"> Siegel, P</w:t>
      </w:r>
      <w:r w:rsidR="00901C57">
        <w:t>.</w:t>
      </w:r>
      <w:r w:rsidR="00610A0B">
        <w:t>,</w:t>
      </w:r>
      <w:r w:rsidRPr="00352EFD">
        <w:t xml:space="preserve"> Jorgensen,</w:t>
      </w:r>
      <w:r w:rsidR="00901C57">
        <w:t xml:space="preserve"> </w:t>
      </w:r>
      <w:r w:rsidR="00610A0B">
        <w:t>B</w:t>
      </w:r>
      <w:r w:rsidR="00901C57">
        <w:t>.</w:t>
      </w:r>
      <w:r w:rsidR="00610A0B">
        <w:t xml:space="preserve"> and </w:t>
      </w:r>
      <w:r w:rsidRPr="00352EFD">
        <w:t>Steen</w:t>
      </w:r>
      <w:r w:rsidR="00901C57">
        <w:t>,</w:t>
      </w:r>
      <w:r w:rsidRPr="00352EFD">
        <w:t xml:space="preserve"> L.</w:t>
      </w:r>
      <w:r w:rsidR="00610A0B">
        <w:t xml:space="preserve"> </w:t>
      </w:r>
      <w:r w:rsidRPr="00352EFD">
        <w:t>(2001) ‘</w:t>
      </w:r>
      <w:hyperlink r:id="rId7" w:history="1">
        <w:r w:rsidRPr="00352EFD">
          <w:t>Vulnerability : a view from different disciplines</w:t>
        </w:r>
      </w:hyperlink>
      <w:r w:rsidRPr="00352EFD">
        <w:t>’, </w:t>
      </w:r>
      <w:hyperlink r:id="rId8" w:history="1">
        <w:r w:rsidRPr="00352EFD">
          <w:rPr>
            <w:i/>
            <w:iCs/>
          </w:rPr>
          <w:t>Social Protection Discussion Papers and Notes</w:t>
        </w:r>
      </w:hyperlink>
      <w:r w:rsidRPr="00352EFD">
        <w:rPr>
          <w:i/>
          <w:iCs/>
        </w:rPr>
        <w:t> 23304</w:t>
      </w:r>
      <w:r w:rsidR="00901C57">
        <w:t>.</w:t>
      </w:r>
      <w:r w:rsidRPr="00352EFD">
        <w:t xml:space="preserve"> </w:t>
      </w:r>
      <w:r w:rsidR="00901C57">
        <w:t xml:space="preserve">London: </w:t>
      </w:r>
      <w:r w:rsidRPr="00352EFD">
        <w:t>The World Bank.</w:t>
      </w:r>
    </w:p>
    <w:p w14:paraId="5CBD47F9" w14:textId="699E4A20" w:rsidR="00352EFD" w:rsidRPr="00352EFD" w:rsidRDefault="00352EFD" w:rsidP="00352EFD">
      <w:pPr>
        <w:pStyle w:val="NormalWeb"/>
      </w:pPr>
      <w:r w:rsidRPr="00352EFD">
        <w:t xml:space="preserve">Amoore, L. and De Goede, M. (2005) ‘Governance, risk and dataveillance in the war on terror’, </w:t>
      </w:r>
      <w:r w:rsidRPr="00352EFD">
        <w:rPr>
          <w:i/>
          <w:iCs/>
        </w:rPr>
        <w:t>Crime, Law and Social Change</w:t>
      </w:r>
      <w:r w:rsidRPr="00352EFD">
        <w:t>, 43</w:t>
      </w:r>
      <w:r w:rsidR="00610A0B">
        <w:t>(</w:t>
      </w:r>
      <w:r w:rsidRPr="00352EFD">
        <w:t>2</w:t>
      </w:r>
      <w:r w:rsidR="00610A0B">
        <w:t xml:space="preserve">): </w:t>
      </w:r>
      <w:r w:rsidRPr="00352EFD">
        <w:t>149</w:t>
      </w:r>
      <w:r w:rsidR="00610A0B">
        <w:t>-</w:t>
      </w:r>
      <w:r w:rsidRPr="00352EFD">
        <w:t xml:space="preserve">173. </w:t>
      </w:r>
    </w:p>
    <w:p w14:paraId="5E03D471" w14:textId="2EB5D3CF" w:rsidR="002254E6" w:rsidRPr="0084099E" w:rsidRDefault="002254E6" w:rsidP="00352EFD">
      <w:pPr>
        <w:pStyle w:val="NormalWeb"/>
      </w:pPr>
      <w:proofErr w:type="spellStart"/>
      <w:r w:rsidRPr="0084099E">
        <w:rPr>
          <w:caps/>
        </w:rPr>
        <w:t>B</w:t>
      </w:r>
      <w:r w:rsidRPr="0084099E">
        <w:t>aillergeau</w:t>
      </w:r>
      <w:proofErr w:type="spellEnd"/>
      <w:r w:rsidR="000464CA">
        <w:t>,</w:t>
      </w:r>
      <w:r w:rsidRPr="0084099E">
        <w:t xml:space="preserve"> E. (2016). ‘Talking about risk-taking with potentially ‘problematic’ risk-takers: a study of preventive interactions under high uncertainty’, </w:t>
      </w:r>
      <w:r w:rsidRPr="0084099E">
        <w:rPr>
          <w:i/>
        </w:rPr>
        <w:t>Journal of Risk Research</w:t>
      </w:r>
      <w:r w:rsidRPr="0084099E">
        <w:t>, 19 (10): 1303-1318</w:t>
      </w:r>
      <w:r w:rsidR="003D6C76">
        <w:t>.</w:t>
      </w:r>
    </w:p>
    <w:p w14:paraId="15CCBB17" w14:textId="24F7D2D8" w:rsidR="000464CA" w:rsidRPr="0084099E" w:rsidRDefault="000464CA" w:rsidP="000464CA">
      <w:r w:rsidRPr="0084099E">
        <w:t xml:space="preserve">Mythen, G. and </w:t>
      </w:r>
      <w:proofErr w:type="spellStart"/>
      <w:r w:rsidRPr="0084099E">
        <w:t>Baillergeau</w:t>
      </w:r>
      <w:proofErr w:type="spellEnd"/>
      <w:r w:rsidRPr="0084099E">
        <w:t xml:space="preserve">, E. (2021) ‘Considering strategies designed to counter radicalisation: Comparative reflections on approaches in the United Kingdom and Belgium’, </w:t>
      </w:r>
      <w:proofErr w:type="spellStart"/>
      <w:r w:rsidRPr="0084099E">
        <w:rPr>
          <w:i/>
          <w:iCs/>
        </w:rPr>
        <w:t>Oñati</w:t>
      </w:r>
      <w:proofErr w:type="spellEnd"/>
      <w:r w:rsidRPr="0084099E">
        <w:rPr>
          <w:i/>
          <w:iCs/>
        </w:rPr>
        <w:t xml:space="preserve"> Socio-Legal Series</w:t>
      </w:r>
      <w:r w:rsidRPr="0084099E">
        <w:t>, 11(5): 1133–1152.</w:t>
      </w:r>
    </w:p>
    <w:p w14:paraId="647F15E3" w14:textId="58700F32" w:rsidR="00352EFD" w:rsidRPr="00352EFD" w:rsidRDefault="00352EFD" w:rsidP="00352EFD">
      <w:pPr>
        <w:pStyle w:val="NormalWeb"/>
      </w:pPr>
      <w:proofErr w:type="spellStart"/>
      <w:r w:rsidRPr="00352EFD">
        <w:t>Bevir</w:t>
      </w:r>
      <w:proofErr w:type="spellEnd"/>
      <w:r w:rsidRPr="00352EFD">
        <w:t xml:space="preserve">, M. (2013) </w:t>
      </w:r>
      <w:r w:rsidRPr="00352EFD">
        <w:rPr>
          <w:i/>
          <w:iCs/>
        </w:rPr>
        <w:t>A Theory of Governance</w:t>
      </w:r>
      <w:r w:rsidR="007E334E">
        <w:rPr>
          <w:i/>
          <w:iCs/>
        </w:rPr>
        <w:t>.</w:t>
      </w:r>
      <w:r w:rsidRPr="00352EFD">
        <w:rPr>
          <w:i/>
          <w:iCs/>
        </w:rPr>
        <w:t xml:space="preserve"> </w:t>
      </w:r>
      <w:r w:rsidRPr="00352EFD">
        <w:t>California: University of California Press.</w:t>
      </w:r>
    </w:p>
    <w:p w14:paraId="4CE2F518" w14:textId="180FB2A7" w:rsidR="000B1725" w:rsidRPr="003D6C76" w:rsidRDefault="000B1725" w:rsidP="000B1725">
      <w:r w:rsidRPr="0084099E">
        <w:rPr>
          <w:kern w:val="36"/>
        </w:rPr>
        <w:t xml:space="preserve">Billingham, L. and Irwin-Rogers, K. (2021) </w:t>
      </w:r>
      <w:r w:rsidRPr="003D6C76">
        <w:rPr>
          <w:kern w:val="36"/>
        </w:rPr>
        <w:t>‘</w:t>
      </w:r>
      <w:r w:rsidRPr="0084099E">
        <w:rPr>
          <w:kern w:val="36"/>
        </w:rPr>
        <w:t>The terrifying abyss of insignificance: Marginalisation, mattering and violence between young people</w:t>
      </w:r>
      <w:r w:rsidRPr="003D6C76">
        <w:rPr>
          <w:kern w:val="36"/>
        </w:rPr>
        <w:t xml:space="preserve">’, </w:t>
      </w:r>
      <w:proofErr w:type="spellStart"/>
      <w:r w:rsidRPr="0084099E">
        <w:rPr>
          <w:i/>
          <w:iCs/>
        </w:rPr>
        <w:t>Oñati</w:t>
      </w:r>
      <w:proofErr w:type="spellEnd"/>
      <w:r w:rsidRPr="0084099E">
        <w:rPr>
          <w:i/>
          <w:iCs/>
        </w:rPr>
        <w:t xml:space="preserve"> Socio-Legal Series</w:t>
      </w:r>
      <w:r w:rsidRPr="0084099E">
        <w:t xml:space="preserve">, 11(5): </w:t>
      </w:r>
      <w:r w:rsidRPr="0084099E">
        <w:rPr>
          <w:shd w:val="clear" w:color="auto" w:fill="FFFFFF"/>
        </w:rPr>
        <w:t>1222–1249.</w:t>
      </w:r>
    </w:p>
    <w:p w14:paraId="7A779E05" w14:textId="77777777" w:rsidR="00352EFD" w:rsidRPr="00352EFD" w:rsidRDefault="00352EFD" w:rsidP="00352EFD">
      <w:pPr>
        <w:pStyle w:val="NormalWeb"/>
      </w:pPr>
      <w:r w:rsidRPr="00352EFD">
        <w:t>Briggs, D. (2013) ‘</w:t>
      </w:r>
      <w:proofErr w:type="spellStart"/>
      <w:r w:rsidRPr="00352EFD">
        <w:t>Conceputalising</w:t>
      </w:r>
      <w:proofErr w:type="spellEnd"/>
      <w:r w:rsidRPr="00352EFD">
        <w:t xml:space="preserve"> Risk and Need: The Rise of </w:t>
      </w:r>
      <w:proofErr w:type="spellStart"/>
      <w:r w:rsidRPr="00352EFD">
        <w:t>Actuarialism</w:t>
      </w:r>
      <w:proofErr w:type="spellEnd"/>
      <w:r w:rsidRPr="00352EFD">
        <w:t xml:space="preserve"> and the Death of Welfare? Practitioner Assessment and Intervention in the Youth Offending Service’, </w:t>
      </w:r>
      <w:r w:rsidRPr="00352EFD">
        <w:rPr>
          <w:i/>
          <w:iCs/>
        </w:rPr>
        <w:t xml:space="preserve">Youth Justice, </w:t>
      </w:r>
      <w:r w:rsidRPr="00352EFD">
        <w:t>13(1): 17-30.</w:t>
      </w:r>
    </w:p>
    <w:p w14:paraId="59F62FFC" w14:textId="4EC76B9C" w:rsidR="00352EFD" w:rsidRPr="00352EFD" w:rsidRDefault="00352EFD" w:rsidP="00352EFD">
      <w:pPr>
        <w:pStyle w:val="NormalWeb"/>
      </w:pPr>
      <w:r w:rsidRPr="00352EFD">
        <w:t xml:space="preserve">British Association of Social Work (2017) </w:t>
      </w:r>
      <w:r w:rsidRPr="00352EFD">
        <w:rPr>
          <w:i/>
          <w:iCs/>
        </w:rPr>
        <w:t>Constructing a Definition of Vulnerability – Attempts to Define and Measure</w:t>
      </w:r>
      <w:r w:rsidR="007E334E">
        <w:rPr>
          <w:i/>
          <w:iCs/>
        </w:rPr>
        <w:t xml:space="preserve">. </w:t>
      </w:r>
      <w:r w:rsidR="007E334E" w:rsidRPr="007E334E">
        <w:t>A</w:t>
      </w:r>
      <w:r w:rsidRPr="007E334E">
        <w:t>v</w:t>
      </w:r>
      <w:r w:rsidRPr="00352EFD">
        <w:t xml:space="preserve">ailable at </w:t>
      </w:r>
      <w:hyperlink r:id="rId9" w:history="1">
        <w:r w:rsidRPr="00352EFD">
          <w:rPr>
            <w:rStyle w:val="Hyperlink"/>
            <w:color w:val="auto"/>
          </w:rPr>
          <w:t>https://www.basw.co.uk/resources/constructing-definition-vulnerability-–-attempts-define-and-measure</w:t>
        </w:r>
      </w:hyperlink>
      <w:r w:rsidRPr="00352EFD">
        <w:t>, [accessed 27</w:t>
      </w:r>
      <w:r w:rsidRPr="00352EFD">
        <w:rPr>
          <w:vertAlign w:val="superscript"/>
        </w:rPr>
        <w:t>th</w:t>
      </w:r>
      <w:r w:rsidRPr="00352EFD">
        <w:t xml:space="preserve"> July 2021].</w:t>
      </w:r>
    </w:p>
    <w:p w14:paraId="549BAE49" w14:textId="6B0AAD26" w:rsidR="00352EFD" w:rsidRPr="00352EFD" w:rsidRDefault="00352EFD" w:rsidP="00352EFD">
      <w:pPr>
        <w:pStyle w:val="NormalWeb"/>
      </w:pPr>
      <w:r w:rsidRPr="00352EFD">
        <w:t xml:space="preserve">Brown, C. (2009) ‘White supremacist discourse on the Internet and the Construction of Whiteness Ideology’, </w:t>
      </w:r>
      <w:r w:rsidRPr="00352EFD">
        <w:rPr>
          <w:i/>
          <w:iCs/>
        </w:rPr>
        <w:t xml:space="preserve">The Howard Journal of Communications, </w:t>
      </w:r>
      <w:r w:rsidRPr="00352EFD">
        <w:t>20</w:t>
      </w:r>
      <w:r w:rsidR="00610A0B">
        <w:t>(1)</w:t>
      </w:r>
      <w:r w:rsidRPr="00352EFD">
        <w:t>: 189-208.</w:t>
      </w:r>
    </w:p>
    <w:p w14:paraId="737A1B41" w14:textId="77777777" w:rsidR="00352EFD" w:rsidRPr="00352EFD" w:rsidRDefault="00352EFD" w:rsidP="00352EFD">
      <w:pPr>
        <w:pStyle w:val="NormalWeb"/>
      </w:pPr>
      <w:r w:rsidRPr="00352EFD">
        <w:t xml:space="preserve">Brown, K. (2011) ‘“Vulnerability”: Handle with Care’, </w:t>
      </w:r>
      <w:r w:rsidRPr="00352EFD">
        <w:rPr>
          <w:i/>
          <w:iCs/>
        </w:rPr>
        <w:t xml:space="preserve">Ethics and Social Welfare, </w:t>
      </w:r>
      <w:r w:rsidRPr="00352EFD">
        <w:t xml:space="preserve">5(3): 313-321. </w:t>
      </w:r>
    </w:p>
    <w:p w14:paraId="2E748CAB" w14:textId="34146371" w:rsidR="00352EFD" w:rsidRPr="00352EFD" w:rsidRDefault="00352EFD" w:rsidP="00352EFD">
      <w:pPr>
        <w:pStyle w:val="NormalWeb"/>
      </w:pPr>
      <w:r w:rsidRPr="00352EFD">
        <w:lastRenderedPageBreak/>
        <w:t xml:space="preserve">Brown, L. (2015) </w:t>
      </w:r>
      <w:r w:rsidRPr="00352EFD">
        <w:rPr>
          <w:i/>
          <w:iCs/>
        </w:rPr>
        <w:t>Vulnerability and Young People: Care and Social Control in Policy and Practice</w:t>
      </w:r>
      <w:r w:rsidR="00610A0B">
        <w:t>.</w:t>
      </w:r>
      <w:r w:rsidRPr="00352EFD">
        <w:rPr>
          <w:i/>
          <w:iCs/>
        </w:rPr>
        <w:t xml:space="preserve"> </w:t>
      </w:r>
      <w:r w:rsidRPr="00352EFD">
        <w:t>Bristol: Policy Press.</w:t>
      </w:r>
    </w:p>
    <w:p w14:paraId="48453FEE" w14:textId="34EECCAB" w:rsidR="00352EFD" w:rsidRDefault="00352EFD" w:rsidP="00352EFD">
      <w:pPr>
        <w:pStyle w:val="Default"/>
        <w:rPr>
          <w:rFonts w:ascii="Times New Roman" w:hAnsi="Times New Roman" w:cs="Times New Roman"/>
          <w:color w:val="auto"/>
        </w:rPr>
      </w:pPr>
      <w:r w:rsidRPr="00352EFD">
        <w:rPr>
          <w:rFonts w:ascii="Times New Roman" w:hAnsi="Times New Roman" w:cs="Times New Roman"/>
          <w:color w:val="auto"/>
        </w:rPr>
        <w:t>Brown, K., Ecclestone, K</w:t>
      </w:r>
      <w:r w:rsidR="007E334E">
        <w:rPr>
          <w:rFonts w:ascii="Times New Roman" w:hAnsi="Times New Roman" w:cs="Times New Roman"/>
          <w:color w:val="auto"/>
        </w:rPr>
        <w:t>.</w:t>
      </w:r>
      <w:r w:rsidR="00610A0B">
        <w:rPr>
          <w:rFonts w:ascii="Times New Roman" w:hAnsi="Times New Roman" w:cs="Times New Roman"/>
          <w:color w:val="auto"/>
        </w:rPr>
        <w:t xml:space="preserve"> and</w:t>
      </w:r>
      <w:r w:rsidRPr="00352EFD">
        <w:rPr>
          <w:rFonts w:ascii="Times New Roman" w:hAnsi="Times New Roman" w:cs="Times New Roman"/>
          <w:color w:val="auto"/>
        </w:rPr>
        <w:t xml:space="preserve"> </w:t>
      </w:r>
      <w:proofErr w:type="spellStart"/>
      <w:r w:rsidRPr="00352EFD">
        <w:rPr>
          <w:rFonts w:ascii="Times New Roman" w:hAnsi="Times New Roman" w:cs="Times New Roman"/>
          <w:color w:val="auto"/>
        </w:rPr>
        <w:t>Emmel</w:t>
      </w:r>
      <w:proofErr w:type="spellEnd"/>
      <w:r w:rsidRPr="00352EFD">
        <w:rPr>
          <w:rFonts w:ascii="Times New Roman" w:hAnsi="Times New Roman" w:cs="Times New Roman"/>
          <w:color w:val="auto"/>
        </w:rPr>
        <w:t xml:space="preserve">, N. (2017) </w:t>
      </w:r>
      <w:r w:rsidR="00610A0B">
        <w:rPr>
          <w:rFonts w:ascii="Times New Roman" w:hAnsi="Times New Roman" w:cs="Times New Roman"/>
          <w:color w:val="auto"/>
        </w:rPr>
        <w:t>‘</w:t>
      </w:r>
      <w:r w:rsidRPr="00352EFD">
        <w:rPr>
          <w:rFonts w:ascii="Times New Roman" w:hAnsi="Times New Roman" w:cs="Times New Roman"/>
          <w:color w:val="auto"/>
        </w:rPr>
        <w:t>The many faces of vulnerability</w:t>
      </w:r>
      <w:r w:rsidR="00610A0B">
        <w:rPr>
          <w:rFonts w:ascii="Times New Roman" w:hAnsi="Times New Roman" w:cs="Times New Roman"/>
          <w:color w:val="auto"/>
        </w:rPr>
        <w:t>’,</w:t>
      </w:r>
      <w:r w:rsidRPr="00352EFD">
        <w:rPr>
          <w:rFonts w:ascii="Times New Roman" w:hAnsi="Times New Roman" w:cs="Times New Roman"/>
          <w:color w:val="auto"/>
        </w:rPr>
        <w:t xml:space="preserve"> </w:t>
      </w:r>
      <w:r w:rsidRPr="00352EFD">
        <w:rPr>
          <w:rFonts w:ascii="Times New Roman" w:hAnsi="Times New Roman" w:cs="Times New Roman"/>
          <w:i/>
          <w:iCs/>
          <w:color w:val="auto"/>
        </w:rPr>
        <w:t xml:space="preserve">Social Policy and Society, </w:t>
      </w:r>
      <w:r w:rsidRPr="00610A0B">
        <w:rPr>
          <w:rFonts w:ascii="Times New Roman" w:hAnsi="Times New Roman" w:cs="Times New Roman"/>
          <w:color w:val="auto"/>
        </w:rPr>
        <w:t>16</w:t>
      </w:r>
      <w:r w:rsidRPr="00352EFD">
        <w:rPr>
          <w:rFonts w:ascii="Times New Roman" w:hAnsi="Times New Roman" w:cs="Times New Roman"/>
          <w:color w:val="auto"/>
        </w:rPr>
        <w:t>(3)</w:t>
      </w:r>
      <w:r w:rsidR="00610A0B">
        <w:rPr>
          <w:rFonts w:ascii="Times New Roman" w:hAnsi="Times New Roman" w:cs="Times New Roman"/>
          <w:color w:val="auto"/>
        </w:rPr>
        <w:t xml:space="preserve">: </w:t>
      </w:r>
      <w:r w:rsidRPr="00352EFD">
        <w:rPr>
          <w:rFonts w:ascii="Times New Roman" w:hAnsi="Times New Roman" w:cs="Times New Roman"/>
          <w:color w:val="auto"/>
        </w:rPr>
        <w:t>497</w:t>
      </w:r>
      <w:r w:rsidR="00610A0B">
        <w:rPr>
          <w:rFonts w:ascii="Times New Roman" w:hAnsi="Times New Roman" w:cs="Times New Roman"/>
          <w:color w:val="auto"/>
        </w:rPr>
        <w:t>-</w:t>
      </w:r>
      <w:r w:rsidRPr="00352EFD">
        <w:rPr>
          <w:rFonts w:ascii="Times New Roman" w:hAnsi="Times New Roman" w:cs="Times New Roman"/>
          <w:color w:val="auto"/>
        </w:rPr>
        <w:t xml:space="preserve">510. </w:t>
      </w:r>
    </w:p>
    <w:p w14:paraId="482E7D3C" w14:textId="3A873AB8" w:rsidR="006475B0" w:rsidRDefault="006475B0" w:rsidP="00352EFD">
      <w:pPr>
        <w:pStyle w:val="Default"/>
        <w:rPr>
          <w:rFonts w:ascii="Times New Roman" w:hAnsi="Times New Roman" w:cs="Times New Roman"/>
          <w:color w:val="auto"/>
        </w:rPr>
      </w:pPr>
    </w:p>
    <w:p w14:paraId="70E4691A" w14:textId="4AC9C9F8" w:rsidR="006475B0" w:rsidRPr="00352EFD" w:rsidRDefault="006475B0" w:rsidP="00352EFD">
      <w:pPr>
        <w:pStyle w:val="Default"/>
        <w:rPr>
          <w:rFonts w:ascii="Times New Roman" w:hAnsi="Times New Roman" w:cs="Times New Roman"/>
          <w:color w:val="auto"/>
        </w:rPr>
      </w:pPr>
      <w:r>
        <w:rPr>
          <w:rFonts w:ascii="Times New Roman" w:hAnsi="Times New Roman" w:cs="Times New Roman"/>
          <w:color w:val="auto"/>
        </w:rPr>
        <w:t>Brown, K. and Sanders, T. (2017) ‘Pragmatic, Progressive, Problematic: Addressing Vulnerability Through a Local Street Sex Work Partnership Initiative’, Social Policy and Society, 16(3): 429-441.</w:t>
      </w:r>
    </w:p>
    <w:p w14:paraId="02CDFDCC" w14:textId="77777777" w:rsidR="00352EFD" w:rsidRPr="00352EFD" w:rsidRDefault="00352EFD" w:rsidP="00352EFD">
      <w:pPr>
        <w:pStyle w:val="Default"/>
        <w:rPr>
          <w:rFonts w:ascii="Times New Roman" w:hAnsi="Times New Roman" w:cs="Times New Roman"/>
          <w:color w:val="auto"/>
        </w:rPr>
      </w:pPr>
    </w:p>
    <w:p w14:paraId="338E200D" w14:textId="2E4AF33E" w:rsidR="00352EFD" w:rsidRPr="00352EFD" w:rsidRDefault="00352EFD" w:rsidP="00352EFD">
      <w:pPr>
        <w:pStyle w:val="Default"/>
        <w:rPr>
          <w:rStyle w:val="ref-lnk"/>
          <w:rFonts w:ascii="Times New Roman" w:eastAsia="Times New Roman" w:hAnsi="Times New Roman" w:cs="Times New Roman"/>
          <w:color w:val="auto"/>
          <w:lang w:eastAsia="en-GB"/>
        </w:rPr>
      </w:pPr>
      <w:r w:rsidRPr="00352EFD">
        <w:rPr>
          <w:rStyle w:val="ref-lnk"/>
          <w:rFonts w:ascii="Times New Roman" w:eastAsia="Times New Roman" w:hAnsi="Times New Roman" w:cs="Times New Roman"/>
          <w:color w:val="auto"/>
          <w:lang w:eastAsia="en-GB"/>
        </w:rPr>
        <w:t xml:space="preserve">Bui, L. and Deakin, J. (2021) ‘What we talk about when we talk about vulnerability and youth crime: A narrative review’, </w:t>
      </w:r>
      <w:r w:rsidRPr="00352EFD">
        <w:rPr>
          <w:rStyle w:val="ref-lnk"/>
          <w:rFonts w:ascii="Times New Roman" w:eastAsia="Times New Roman" w:hAnsi="Times New Roman" w:cs="Times New Roman"/>
          <w:i/>
          <w:iCs/>
          <w:color w:val="auto"/>
          <w:lang w:eastAsia="en-GB"/>
        </w:rPr>
        <w:t xml:space="preserve">Aggression and Violent Behaviour, </w:t>
      </w:r>
      <w:r w:rsidRPr="006475B0">
        <w:rPr>
          <w:rStyle w:val="ref-lnk"/>
          <w:rFonts w:ascii="Times New Roman" w:eastAsia="Times New Roman" w:hAnsi="Times New Roman" w:cs="Times New Roman"/>
          <w:color w:val="auto"/>
          <w:lang w:eastAsia="en-GB"/>
        </w:rPr>
        <w:t>58</w:t>
      </w:r>
      <w:r w:rsidR="006475B0" w:rsidRPr="006475B0">
        <w:rPr>
          <w:rStyle w:val="ref-lnk"/>
          <w:rFonts w:ascii="Times New Roman" w:eastAsia="Times New Roman" w:hAnsi="Times New Roman" w:cs="Times New Roman"/>
          <w:color w:val="auto"/>
          <w:lang w:eastAsia="en-GB"/>
        </w:rPr>
        <w:t>(3).</w:t>
      </w:r>
      <w:r w:rsidR="006475B0">
        <w:rPr>
          <w:rStyle w:val="ref-lnk"/>
          <w:rFonts w:ascii="Times New Roman" w:eastAsia="Times New Roman" w:hAnsi="Times New Roman" w:cs="Times New Roman"/>
          <w:color w:val="auto"/>
          <w:lang w:eastAsia="en-GB"/>
        </w:rPr>
        <w:t xml:space="preserve"> </w:t>
      </w:r>
    </w:p>
    <w:p w14:paraId="6E705B41" w14:textId="77777777" w:rsidR="00352EFD" w:rsidRPr="00352EFD" w:rsidRDefault="00352EFD" w:rsidP="00352EFD">
      <w:pPr>
        <w:pStyle w:val="Default"/>
        <w:rPr>
          <w:rStyle w:val="ref-lnk"/>
          <w:rFonts w:ascii="Times New Roman" w:eastAsia="Times New Roman" w:hAnsi="Times New Roman" w:cs="Times New Roman"/>
          <w:color w:val="auto"/>
          <w:lang w:eastAsia="en-GB"/>
        </w:rPr>
      </w:pPr>
    </w:p>
    <w:p w14:paraId="3764AD32" w14:textId="108B8B83" w:rsidR="002254E6" w:rsidRPr="0084099E" w:rsidRDefault="002254E6" w:rsidP="002254E6">
      <w:pPr>
        <w:widowControl w:val="0"/>
        <w:autoSpaceDE w:val="0"/>
        <w:autoSpaceDN w:val="0"/>
        <w:adjustRightInd w:val="0"/>
      </w:pPr>
      <w:r w:rsidRPr="0084099E">
        <w:rPr>
          <w:lang w:val="en-US"/>
        </w:rPr>
        <w:t xml:space="preserve">CAGE (2018) </w:t>
      </w:r>
      <w:r w:rsidRPr="0084099E">
        <w:rPr>
          <w:i/>
          <w:lang w:val="en-US"/>
        </w:rPr>
        <w:t xml:space="preserve">The Science of Pre-Crime: The Secret </w:t>
      </w:r>
      <w:proofErr w:type="spellStart"/>
      <w:r w:rsidRPr="0084099E">
        <w:rPr>
          <w:i/>
          <w:lang w:val="en-US"/>
        </w:rPr>
        <w:t>Radicalisation</w:t>
      </w:r>
      <w:proofErr w:type="spellEnd"/>
      <w:r w:rsidRPr="0084099E">
        <w:rPr>
          <w:i/>
          <w:lang w:val="en-US"/>
        </w:rPr>
        <w:t xml:space="preserve"> Study Underpinning Prevent</w:t>
      </w:r>
      <w:r w:rsidRPr="0084099E">
        <w:rPr>
          <w:lang w:val="en-US"/>
        </w:rPr>
        <w:t>. London: CAGE</w:t>
      </w:r>
      <w:r w:rsidR="003D6C76">
        <w:rPr>
          <w:lang w:val="en-US"/>
        </w:rPr>
        <w:t>.</w:t>
      </w:r>
      <w:r w:rsidRPr="0084099E">
        <w:t xml:space="preserve"> </w:t>
      </w:r>
    </w:p>
    <w:p w14:paraId="5976F9DB" w14:textId="77777777" w:rsidR="002254E6" w:rsidRDefault="002254E6" w:rsidP="00352EFD">
      <w:pPr>
        <w:rPr>
          <w:rStyle w:val="ref-lnk"/>
        </w:rPr>
      </w:pPr>
    </w:p>
    <w:p w14:paraId="6769B6DC" w14:textId="2C5524F1" w:rsidR="00352EFD" w:rsidRPr="00352EFD" w:rsidRDefault="00352EFD" w:rsidP="00352EFD">
      <w:pPr>
        <w:rPr>
          <w:rStyle w:val="ref-lnk"/>
        </w:rPr>
      </w:pPr>
      <w:r w:rsidRPr="00352EFD">
        <w:rPr>
          <w:rStyle w:val="ref-lnk"/>
        </w:rPr>
        <w:t>Castel, R. (1991)</w:t>
      </w:r>
      <w:r w:rsidR="00610A0B">
        <w:rPr>
          <w:rStyle w:val="ref-lnk"/>
        </w:rPr>
        <w:t xml:space="preserve"> ‘</w:t>
      </w:r>
      <w:r w:rsidRPr="00352EFD">
        <w:rPr>
          <w:rStyle w:val="ref-lnk"/>
        </w:rPr>
        <w:t>From dangerousness to risk</w:t>
      </w:r>
      <w:r w:rsidR="00610A0B">
        <w:rPr>
          <w:rStyle w:val="ref-lnk"/>
        </w:rPr>
        <w:t>’</w:t>
      </w:r>
      <w:r w:rsidRPr="00352EFD">
        <w:rPr>
          <w:rStyle w:val="ref-lnk"/>
        </w:rPr>
        <w:t>, in G. Burchell, C. Gordon</w:t>
      </w:r>
      <w:r w:rsidR="00610A0B">
        <w:rPr>
          <w:rStyle w:val="ref-lnk"/>
        </w:rPr>
        <w:t xml:space="preserve"> and </w:t>
      </w:r>
      <w:r w:rsidRPr="00352EFD">
        <w:rPr>
          <w:rStyle w:val="ref-lnk"/>
        </w:rPr>
        <w:t xml:space="preserve">P. Miller. (eds) </w:t>
      </w:r>
      <w:r w:rsidRPr="00352EFD">
        <w:rPr>
          <w:rStyle w:val="ref-lnk"/>
          <w:i/>
          <w:iCs/>
        </w:rPr>
        <w:t xml:space="preserve">The Foucault </w:t>
      </w:r>
      <w:r w:rsidR="006475B0">
        <w:rPr>
          <w:rStyle w:val="ref-lnk"/>
          <w:i/>
          <w:iCs/>
        </w:rPr>
        <w:t>E</w:t>
      </w:r>
      <w:r w:rsidRPr="00352EFD">
        <w:rPr>
          <w:rStyle w:val="ref-lnk"/>
          <w:i/>
          <w:iCs/>
        </w:rPr>
        <w:t xml:space="preserve">ffect: </w:t>
      </w:r>
      <w:r w:rsidR="00610A0B">
        <w:rPr>
          <w:rStyle w:val="ref-lnk"/>
          <w:i/>
          <w:iCs/>
        </w:rPr>
        <w:t>S</w:t>
      </w:r>
      <w:r w:rsidRPr="00352EFD">
        <w:rPr>
          <w:rStyle w:val="ref-lnk"/>
          <w:i/>
          <w:iCs/>
        </w:rPr>
        <w:t xml:space="preserve">tudies in </w:t>
      </w:r>
      <w:r w:rsidR="006475B0">
        <w:rPr>
          <w:rStyle w:val="ref-lnk"/>
          <w:i/>
          <w:iCs/>
        </w:rPr>
        <w:t>G</w:t>
      </w:r>
      <w:r w:rsidRPr="00352EFD">
        <w:rPr>
          <w:rStyle w:val="ref-lnk"/>
          <w:i/>
          <w:iCs/>
        </w:rPr>
        <w:t>overnmentality</w:t>
      </w:r>
      <w:r w:rsidR="00610A0B">
        <w:rPr>
          <w:rStyle w:val="ref-lnk"/>
        </w:rPr>
        <w:t xml:space="preserve">. </w:t>
      </w:r>
      <w:r w:rsidRPr="00352EFD">
        <w:rPr>
          <w:rStyle w:val="ref-lnk"/>
        </w:rPr>
        <w:t>Hemel Hempstead: Harvester-Wheatsheaf.</w:t>
      </w:r>
    </w:p>
    <w:p w14:paraId="5D9905A3" w14:textId="77777777" w:rsidR="00352EFD" w:rsidRPr="00352EFD" w:rsidRDefault="00352EFD" w:rsidP="00352EFD">
      <w:pPr>
        <w:rPr>
          <w:rStyle w:val="ref-lnk"/>
        </w:rPr>
      </w:pPr>
    </w:p>
    <w:p w14:paraId="527A37BF" w14:textId="77777777" w:rsidR="00352EFD" w:rsidRPr="00352EFD" w:rsidRDefault="00352EFD" w:rsidP="00352EFD">
      <w:pPr>
        <w:rPr>
          <w:rStyle w:val="ref-lnk"/>
        </w:rPr>
      </w:pPr>
      <w:proofErr w:type="spellStart"/>
      <w:r w:rsidRPr="00352EFD">
        <w:rPr>
          <w:rStyle w:val="ref-lnk"/>
        </w:rPr>
        <w:t>Chakraborti</w:t>
      </w:r>
      <w:proofErr w:type="spellEnd"/>
      <w:r w:rsidRPr="00352EFD">
        <w:rPr>
          <w:rStyle w:val="ref-lnk"/>
        </w:rPr>
        <w:t xml:space="preserve">, N. and Garland, J. (2012) ‘Reconceptualising Hate Crime Victimisation Through the Lens of Vulnerability and Difference’, </w:t>
      </w:r>
      <w:r w:rsidRPr="00352EFD">
        <w:rPr>
          <w:rStyle w:val="ref-lnk"/>
          <w:i/>
          <w:iCs/>
        </w:rPr>
        <w:t xml:space="preserve">Theoretical Criminology, </w:t>
      </w:r>
      <w:r w:rsidRPr="00352EFD">
        <w:rPr>
          <w:rStyle w:val="ref-lnk"/>
        </w:rPr>
        <w:t>16(4): 499-514.</w:t>
      </w:r>
    </w:p>
    <w:p w14:paraId="35B98C0E" w14:textId="581E457E" w:rsidR="00352EFD" w:rsidRPr="00352EFD" w:rsidRDefault="00352EFD" w:rsidP="00352EFD">
      <w:pPr>
        <w:spacing w:before="100" w:beforeAutospacing="1" w:after="100" w:afterAutospacing="1"/>
        <w:jc w:val="both"/>
        <w:rPr>
          <w:rStyle w:val="ref-lnk"/>
        </w:rPr>
      </w:pPr>
      <w:r w:rsidRPr="00352EFD">
        <w:rPr>
          <w:rStyle w:val="ref-lnk"/>
        </w:rPr>
        <w:t xml:space="preserve">Christmas, H. and Srivastava, J. (2019) </w:t>
      </w:r>
      <w:r w:rsidRPr="00352EFD">
        <w:rPr>
          <w:rStyle w:val="ref-lnk"/>
          <w:i/>
          <w:iCs/>
        </w:rPr>
        <w:t>Public Health Approaches in Policing: A Discussion Paper</w:t>
      </w:r>
      <w:r w:rsidR="00610A0B">
        <w:rPr>
          <w:rStyle w:val="ref-lnk"/>
        </w:rPr>
        <w:t>.</w:t>
      </w:r>
      <w:r w:rsidRPr="00352EFD">
        <w:rPr>
          <w:rStyle w:val="ref-lnk"/>
          <w:i/>
          <w:iCs/>
        </w:rPr>
        <w:t xml:space="preserve"> </w:t>
      </w:r>
      <w:r w:rsidRPr="00352EFD">
        <w:rPr>
          <w:rStyle w:val="ref-lnk"/>
        </w:rPr>
        <w:t>Coventry: College of Policing.</w:t>
      </w:r>
    </w:p>
    <w:p w14:paraId="2A3EBD9E" w14:textId="083F69F5" w:rsidR="00352EFD" w:rsidRPr="00352EFD" w:rsidRDefault="00352EFD" w:rsidP="00352EFD">
      <w:pPr>
        <w:spacing w:before="100" w:beforeAutospacing="1" w:after="100" w:afterAutospacing="1"/>
        <w:jc w:val="both"/>
        <w:rPr>
          <w:rStyle w:val="ref-lnk"/>
        </w:rPr>
      </w:pPr>
      <w:r w:rsidRPr="00352EFD">
        <w:rPr>
          <w:rStyle w:val="ref-lnk"/>
        </w:rPr>
        <w:t xml:space="preserve">Cole, A. (2016) </w:t>
      </w:r>
      <w:r w:rsidR="00610A0B">
        <w:rPr>
          <w:rStyle w:val="ref-lnk"/>
        </w:rPr>
        <w:t>‘</w:t>
      </w:r>
      <w:r w:rsidRPr="00352EFD">
        <w:rPr>
          <w:rStyle w:val="ref-lnk"/>
        </w:rPr>
        <w:t xml:space="preserve">All of us are Vulnerable, </w:t>
      </w:r>
      <w:r w:rsidR="006475B0">
        <w:rPr>
          <w:rStyle w:val="ref-lnk"/>
        </w:rPr>
        <w:t>B</w:t>
      </w:r>
      <w:r w:rsidRPr="00352EFD">
        <w:rPr>
          <w:rStyle w:val="ref-lnk"/>
        </w:rPr>
        <w:t xml:space="preserve">ut Some </w:t>
      </w:r>
      <w:r w:rsidR="006475B0">
        <w:rPr>
          <w:rStyle w:val="ref-lnk"/>
        </w:rPr>
        <w:t>A</w:t>
      </w:r>
      <w:r w:rsidRPr="00352EFD">
        <w:rPr>
          <w:rStyle w:val="ref-lnk"/>
        </w:rPr>
        <w:t>re More Vulnerable than Others: The Political Ambiguity of Vulnerability Studies</w:t>
      </w:r>
      <w:r w:rsidR="00610A0B">
        <w:rPr>
          <w:rStyle w:val="ref-lnk"/>
        </w:rPr>
        <w:t>: A</w:t>
      </w:r>
      <w:r w:rsidRPr="00352EFD">
        <w:rPr>
          <w:rStyle w:val="ref-lnk"/>
        </w:rPr>
        <w:t xml:space="preserve">n Ambivalent Critique’, </w:t>
      </w:r>
      <w:r w:rsidRPr="00352EFD">
        <w:rPr>
          <w:rStyle w:val="ref-lnk"/>
          <w:i/>
          <w:iCs/>
        </w:rPr>
        <w:t xml:space="preserve">Critical Horizons: A Journal of Philosophy and Social Theory, </w:t>
      </w:r>
      <w:r w:rsidRPr="00352EFD">
        <w:rPr>
          <w:rStyle w:val="ref-lnk"/>
        </w:rPr>
        <w:t>17(2): 260-277.</w:t>
      </w:r>
    </w:p>
    <w:p w14:paraId="43FD29A5" w14:textId="2A37F933" w:rsidR="00352EFD" w:rsidRPr="00352EFD" w:rsidRDefault="00352EFD" w:rsidP="00352EFD">
      <w:r w:rsidRPr="00352EFD">
        <w:rPr>
          <w:shd w:val="clear" w:color="auto" w:fill="FFFFFF"/>
        </w:rPr>
        <w:t>Dean, M.</w:t>
      </w:r>
      <w:r w:rsidR="00610A0B">
        <w:rPr>
          <w:shd w:val="clear" w:color="auto" w:fill="FFFFFF"/>
        </w:rPr>
        <w:t xml:space="preserve"> and</w:t>
      </w:r>
      <w:r w:rsidRPr="00352EFD">
        <w:rPr>
          <w:shd w:val="clear" w:color="auto" w:fill="FFFFFF"/>
        </w:rPr>
        <w:t xml:space="preserve"> </w:t>
      </w:r>
      <w:proofErr w:type="spellStart"/>
      <w:r w:rsidRPr="00352EFD">
        <w:rPr>
          <w:shd w:val="clear" w:color="auto" w:fill="FFFFFF"/>
        </w:rPr>
        <w:t>Hindess</w:t>
      </w:r>
      <w:proofErr w:type="spellEnd"/>
      <w:r w:rsidRPr="00352EFD">
        <w:rPr>
          <w:shd w:val="clear" w:color="auto" w:fill="FFFFFF"/>
        </w:rPr>
        <w:t xml:space="preserve">, B. (1998) </w:t>
      </w:r>
      <w:r w:rsidRPr="00352EFD">
        <w:rPr>
          <w:i/>
          <w:iCs/>
          <w:shd w:val="clear" w:color="auto" w:fill="FFFFFF"/>
        </w:rPr>
        <w:t>Governing Australia: Studies in Contemporary Rationalities of Government</w:t>
      </w:r>
      <w:r w:rsidRPr="00352EFD">
        <w:rPr>
          <w:shd w:val="clear" w:color="auto" w:fill="FFFFFF"/>
        </w:rPr>
        <w:t>. Cambridge: Cambridge University Press.</w:t>
      </w:r>
    </w:p>
    <w:p w14:paraId="62337136" w14:textId="77777777" w:rsidR="00352EFD" w:rsidRPr="00352EFD" w:rsidRDefault="00352EFD" w:rsidP="00352EFD">
      <w:pPr>
        <w:rPr>
          <w:rStyle w:val="ref-lnk"/>
        </w:rPr>
      </w:pPr>
    </w:p>
    <w:p w14:paraId="6A8B0F63" w14:textId="33F8227E" w:rsidR="00352EFD" w:rsidRPr="00352EFD" w:rsidRDefault="00352EFD" w:rsidP="00352EFD">
      <w:pPr>
        <w:textAlignment w:val="baseline"/>
        <w:rPr>
          <w:rStyle w:val="ref-lnk"/>
        </w:rPr>
      </w:pPr>
      <w:r w:rsidRPr="00352EFD">
        <w:t xml:space="preserve">Degenhardt, T. and Bourne, M. (2018) </w:t>
      </w:r>
      <w:r w:rsidR="00610A0B">
        <w:t>‘</w:t>
      </w:r>
      <w:r w:rsidRPr="00352EFD">
        <w:t>When risks meet: The dance of experience, professional expertise and science in border security technology and development</w:t>
      </w:r>
      <w:r w:rsidR="00610A0B">
        <w:t>’,</w:t>
      </w:r>
      <w:r w:rsidRPr="00352EFD">
        <w:t xml:space="preserve"> </w:t>
      </w:r>
      <w:r w:rsidRPr="00352EFD">
        <w:rPr>
          <w:i/>
          <w:iCs/>
        </w:rPr>
        <w:t xml:space="preserve">Criminology and Criminal Justice, </w:t>
      </w:r>
      <w:r w:rsidRPr="00352EFD">
        <w:rPr>
          <w:iCs/>
        </w:rPr>
        <w:t xml:space="preserve">20(2): </w:t>
      </w:r>
      <w:r w:rsidRPr="00352EFD">
        <w:t>1-19.</w:t>
      </w:r>
    </w:p>
    <w:p w14:paraId="73DA42F2" w14:textId="5473D5DD" w:rsidR="00352EFD" w:rsidRPr="00352EFD" w:rsidRDefault="00352EFD" w:rsidP="00352EFD">
      <w:pPr>
        <w:spacing w:before="100" w:beforeAutospacing="1" w:after="100" w:afterAutospacing="1"/>
        <w:jc w:val="both"/>
        <w:rPr>
          <w:rStyle w:val="ref-lnk"/>
        </w:rPr>
      </w:pPr>
      <w:r w:rsidRPr="00352EFD">
        <w:rPr>
          <w:rStyle w:val="ref-lnk"/>
        </w:rPr>
        <w:t xml:space="preserve">Deloitte (2018) </w:t>
      </w:r>
      <w:r w:rsidRPr="00352EFD">
        <w:rPr>
          <w:rStyle w:val="ref-lnk"/>
          <w:i/>
          <w:iCs/>
        </w:rPr>
        <w:t>Policing 4.0: Deciding the Future of UK Policing</w:t>
      </w:r>
      <w:r w:rsidR="006475B0">
        <w:rPr>
          <w:rStyle w:val="ref-lnk"/>
          <w:i/>
          <w:iCs/>
        </w:rPr>
        <w:t>.</w:t>
      </w:r>
      <w:r w:rsidRPr="00352EFD">
        <w:rPr>
          <w:rStyle w:val="ref-lnk"/>
          <w:i/>
          <w:iCs/>
        </w:rPr>
        <w:t xml:space="preserve"> </w:t>
      </w:r>
      <w:r w:rsidR="006475B0">
        <w:rPr>
          <w:rStyle w:val="ref-lnk"/>
        </w:rPr>
        <w:t>A</w:t>
      </w:r>
      <w:r w:rsidRPr="00352EFD">
        <w:rPr>
          <w:rStyle w:val="ref-lnk"/>
        </w:rPr>
        <w:t xml:space="preserve">vailable at </w:t>
      </w:r>
      <w:hyperlink r:id="rId10" w:history="1">
        <w:r w:rsidRPr="00352EFD">
          <w:rPr>
            <w:rStyle w:val="Hyperlink"/>
            <w:color w:val="auto"/>
          </w:rPr>
          <w:t>https://www2.deloitte.com/content/dam/Deloitte/uk/Documents/public-sector/deloitte-uk-future-of-policing.pdf</w:t>
        </w:r>
      </w:hyperlink>
      <w:r w:rsidRPr="00352EFD">
        <w:rPr>
          <w:rStyle w:val="ref-lnk"/>
        </w:rPr>
        <w:t xml:space="preserve"> [accessed 11th June 2021]</w:t>
      </w:r>
      <w:r w:rsidR="003D6C76">
        <w:rPr>
          <w:rStyle w:val="ref-lnk"/>
        </w:rPr>
        <w:t>.</w:t>
      </w:r>
    </w:p>
    <w:p w14:paraId="17473308" w14:textId="5A5C2A0F" w:rsidR="00352EFD" w:rsidRPr="00352EFD" w:rsidRDefault="00352EFD" w:rsidP="00352EFD">
      <w:pPr>
        <w:spacing w:before="100" w:beforeAutospacing="1" w:after="100" w:afterAutospacing="1"/>
        <w:jc w:val="both"/>
        <w:rPr>
          <w:rStyle w:val="ref-lnk"/>
        </w:rPr>
      </w:pPr>
      <w:r w:rsidRPr="00352EFD">
        <w:rPr>
          <w:rStyle w:val="ref-lnk"/>
        </w:rPr>
        <w:t xml:space="preserve">Dunn, M., Clare, I and Holland, A. (2008) ‘To Empower or </w:t>
      </w:r>
      <w:r w:rsidR="006475B0">
        <w:rPr>
          <w:rStyle w:val="ref-lnk"/>
        </w:rPr>
        <w:t>t</w:t>
      </w:r>
      <w:r w:rsidRPr="00352EFD">
        <w:rPr>
          <w:rStyle w:val="ref-lnk"/>
        </w:rPr>
        <w:t xml:space="preserve">o Protect? Constructing the “Vulnerable Adult” in English Law and Public Policy’, </w:t>
      </w:r>
      <w:r w:rsidRPr="00352EFD">
        <w:rPr>
          <w:rStyle w:val="ref-lnk"/>
          <w:i/>
          <w:iCs/>
        </w:rPr>
        <w:t xml:space="preserve">Legal Studies, </w:t>
      </w:r>
      <w:r w:rsidRPr="00352EFD">
        <w:rPr>
          <w:rStyle w:val="ref-lnk"/>
        </w:rPr>
        <w:t>28(2): 234-253.</w:t>
      </w:r>
    </w:p>
    <w:p w14:paraId="217D69CA" w14:textId="77777777" w:rsidR="00352EFD" w:rsidRPr="00352EFD" w:rsidRDefault="00352EFD" w:rsidP="00352EFD">
      <w:pPr>
        <w:spacing w:before="100" w:beforeAutospacing="1" w:after="100" w:afterAutospacing="1"/>
        <w:jc w:val="both"/>
        <w:rPr>
          <w:rStyle w:val="ref-lnk"/>
          <w:i/>
          <w:iCs/>
        </w:rPr>
      </w:pPr>
      <w:r w:rsidRPr="00352EFD">
        <w:rPr>
          <w:rStyle w:val="ref-lnk"/>
        </w:rPr>
        <w:t xml:space="preserve">Fawcett, B. (2009) ‘Vulnerability: Questioning the Certainties in Social Work and Health’, </w:t>
      </w:r>
      <w:r w:rsidRPr="00352EFD">
        <w:rPr>
          <w:rStyle w:val="ref-lnk"/>
          <w:i/>
          <w:iCs/>
        </w:rPr>
        <w:t xml:space="preserve">International Social Work, </w:t>
      </w:r>
      <w:r w:rsidRPr="00352EFD">
        <w:rPr>
          <w:rStyle w:val="ref-lnk"/>
        </w:rPr>
        <w:t>52(4): 473-484.</w:t>
      </w:r>
      <w:r w:rsidRPr="00352EFD">
        <w:rPr>
          <w:rStyle w:val="ref-lnk"/>
          <w:i/>
          <w:iCs/>
        </w:rPr>
        <w:t xml:space="preserve"> </w:t>
      </w:r>
    </w:p>
    <w:p w14:paraId="6350207B" w14:textId="46248DE2" w:rsidR="00352EFD" w:rsidRPr="00352EFD" w:rsidRDefault="00352EFD" w:rsidP="00352EFD">
      <w:pPr>
        <w:rPr>
          <w:shd w:val="clear" w:color="auto" w:fill="FFFFFF"/>
        </w:rPr>
      </w:pPr>
      <w:r w:rsidRPr="00352EFD">
        <w:rPr>
          <w:shd w:val="clear" w:color="auto" w:fill="FFFFFF"/>
        </w:rPr>
        <w:t>Fineman, M. (2010) ‘The Vulnerable Subject and the Responsive State’</w:t>
      </w:r>
      <w:r w:rsidR="00610A0B">
        <w:rPr>
          <w:shd w:val="clear" w:color="auto" w:fill="FFFFFF"/>
        </w:rPr>
        <w:t>,</w:t>
      </w:r>
      <w:r w:rsidRPr="00352EFD">
        <w:rPr>
          <w:shd w:val="clear" w:color="auto" w:fill="FFFFFF"/>
        </w:rPr>
        <w:t xml:space="preserve"> Emory Public Law Research Paper No. 10-130</w:t>
      </w:r>
      <w:r w:rsidR="00610A0B">
        <w:rPr>
          <w:shd w:val="clear" w:color="auto" w:fill="FFFFFF"/>
        </w:rPr>
        <w:t>.</w:t>
      </w:r>
    </w:p>
    <w:p w14:paraId="13FAEE12" w14:textId="77777777" w:rsidR="00352EFD" w:rsidRPr="00352EFD" w:rsidRDefault="00352EFD" w:rsidP="00352EFD">
      <w:pPr>
        <w:rPr>
          <w:shd w:val="clear" w:color="auto" w:fill="FFFFFF"/>
        </w:rPr>
      </w:pPr>
    </w:p>
    <w:p w14:paraId="1C8BE4C9" w14:textId="1CC66F4C" w:rsidR="00352EFD" w:rsidRPr="00352EFD" w:rsidRDefault="00352EFD" w:rsidP="00352EFD">
      <w:pPr>
        <w:rPr>
          <w:shd w:val="clear" w:color="auto" w:fill="FFFFFF"/>
        </w:rPr>
      </w:pPr>
      <w:r w:rsidRPr="00352EFD">
        <w:rPr>
          <w:shd w:val="clear" w:color="auto" w:fill="FFFFFF"/>
        </w:rPr>
        <w:lastRenderedPageBreak/>
        <w:t>Fineman, M. (2012) ‘“Elderly” as Vulnerable: Rethinking the Nature of Individual and Societal Responsibility</w:t>
      </w:r>
      <w:r w:rsidR="00610A0B">
        <w:rPr>
          <w:shd w:val="clear" w:color="auto" w:fill="FFFFFF"/>
        </w:rPr>
        <w:t>’,</w:t>
      </w:r>
      <w:r w:rsidRPr="00352EFD">
        <w:rPr>
          <w:shd w:val="clear" w:color="auto" w:fill="FFFFFF"/>
        </w:rPr>
        <w:t xml:space="preserve"> Emory Legal Studies Research Paper</w:t>
      </w:r>
      <w:r w:rsidR="006475B0">
        <w:rPr>
          <w:shd w:val="clear" w:color="auto" w:fill="FFFFFF"/>
        </w:rPr>
        <w:t>,</w:t>
      </w:r>
      <w:r w:rsidRPr="00352EFD">
        <w:rPr>
          <w:shd w:val="clear" w:color="auto" w:fill="FFFFFF"/>
        </w:rPr>
        <w:t xml:space="preserve"> No 12-224. </w:t>
      </w:r>
    </w:p>
    <w:p w14:paraId="3DD4A7FF" w14:textId="77777777" w:rsidR="00352EFD" w:rsidRPr="00352EFD" w:rsidRDefault="00352EFD" w:rsidP="00352EFD">
      <w:pPr>
        <w:rPr>
          <w:shd w:val="clear" w:color="auto" w:fill="FFFFFF"/>
        </w:rPr>
      </w:pPr>
    </w:p>
    <w:p w14:paraId="79685330" w14:textId="48314559" w:rsidR="000B1725" w:rsidRPr="000B1725" w:rsidRDefault="000B1725" w:rsidP="000B1725">
      <w:r w:rsidRPr="0084099E">
        <w:rPr>
          <w:color w:val="222222"/>
          <w:shd w:val="clear" w:color="auto" w:fill="FFFFFF"/>
        </w:rPr>
        <w:t>Grimshaw, R. and Ford, M</w:t>
      </w:r>
      <w:r>
        <w:rPr>
          <w:color w:val="222222"/>
          <w:shd w:val="clear" w:color="auto" w:fill="FFFFFF"/>
        </w:rPr>
        <w:t>. (2018)</w:t>
      </w:r>
      <w:r w:rsidRPr="0084099E">
        <w:rPr>
          <w:color w:val="222222"/>
          <w:shd w:val="clear" w:color="auto" w:fill="FFFFFF"/>
        </w:rPr>
        <w:t xml:space="preserve"> Young people, violence and knives: Revisiting the evidence and policy discussions. </w:t>
      </w:r>
      <w:r w:rsidRPr="0084099E">
        <w:rPr>
          <w:i/>
          <w:iCs/>
          <w:color w:val="222222"/>
          <w:shd w:val="clear" w:color="auto" w:fill="FFFFFF"/>
        </w:rPr>
        <w:t>Centre for Crime and Justice Studies</w:t>
      </w:r>
      <w:r w:rsidRPr="0084099E">
        <w:rPr>
          <w:color w:val="222222"/>
          <w:shd w:val="clear" w:color="auto" w:fill="FFFFFF"/>
        </w:rPr>
        <w:t>, 3: 1-29.</w:t>
      </w:r>
    </w:p>
    <w:p w14:paraId="36085C4B" w14:textId="77777777" w:rsidR="000B1725" w:rsidRDefault="000B1725" w:rsidP="00352EFD">
      <w:pPr>
        <w:textAlignment w:val="baseline"/>
      </w:pPr>
    </w:p>
    <w:p w14:paraId="223DA539" w14:textId="020A4541" w:rsidR="00352EFD" w:rsidRPr="00352EFD" w:rsidRDefault="00352EFD" w:rsidP="00352EFD">
      <w:pPr>
        <w:textAlignment w:val="baseline"/>
      </w:pPr>
      <w:r w:rsidRPr="00352EFD">
        <w:t>Glaser,</w:t>
      </w:r>
      <w:r w:rsidRPr="00352EFD">
        <w:rPr>
          <w:rStyle w:val="apple-converted-space"/>
        </w:rPr>
        <w:t> </w:t>
      </w:r>
      <w:r w:rsidRPr="00352EFD">
        <w:t>B</w:t>
      </w:r>
      <w:r w:rsidR="0069234E">
        <w:t>.</w:t>
      </w:r>
      <w:r w:rsidRPr="00352EFD">
        <w:rPr>
          <w:rStyle w:val="apple-converted-space"/>
        </w:rPr>
        <w:t> </w:t>
      </w:r>
      <w:r w:rsidRPr="00352EFD">
        <w:t>and</w:t>
      </w:r>
      <w:r w:rsidRPr="00352EFD">
        <w:rPr>
          <w:rStyle w:val="apple-converted-space"/>
        </w:rPr>
        <w:t> </w:t>
      </w:r>
      <w:r w:rsidRPr="00352EFD">
        <w:rPr>
          <w:bdr w:val="none" w:sz="0" w:space="0" w:color="auto" w:frame="1"/>
        </w:rPr>
        <w:t>Strauss</w:t>
      </w:r>
      <w:r w:rsidRPr="00352EFD">
        <w:rPr>
          <w:rStyle w:val="name"/>
          <w:bdr w:val="none" w:sz="0" w:space="0" w:color="auto" w:frame="1"/>
        </w:rPr>
        <w:t>,</w:t>
      </w:r>
      <w:r w:rsidRPr="00352EFD">
        <w:rPr>
          <w:rStyle w:val="apple-converted-space"/>
          <w:bdr w:val="none" w:sz="0" w:space="0" w:color="auto" w:frame="1"/>
        </w:rPr>
        <w:t> </w:t>
      </w:r>
      <w:r w:rsidRPr="00352EFD">
        <w:rPr>
          <w:bdr w:val="none" w:sz="0" w:space="0" w:color="auto" w:frame="1"/>
        </w:rPr>
        <w:t>A</w:t>
      </w:r>
      <w:r w:rsidRPr="00352EFD">
        <w:t>. (</w:t>
      </w:r>
      <w:r w:rsidR="006475B0">
        <w:t>2017)</w:t>
      </w:r>
      <w:r w:rsidRPr="00352EFD">
        <w:rPr>
          <w:i/>
          <w:iCs/>
        </w:rPr>
        <w:t xml:space="preserve"> Discovery of Grounded Theory: Strategies for Qualitative Research</w:t>
      </w:r>
      <w:r w:rsidRPr="00352EFD">
        <w:t>.</w:t>
      </w:r>
      <w:r w:rsidRPr="00352EFD">
        <w:rPr>
          <w:rStyle w:val="apple-converted-space"/>
        </w:rPr>
        <w:t> </w:t>
      </w:r>
      <w:r w:rsidR="003D6C76">
        <w:rPr>
          <w:rStyle w:val="apple-converted-space"/>
        </w:rPr>
        <w:t xml:space="preserve">New York: </w:t>
      </w:r>
      <w:r w:rsidRPr="00352EFD">
        <w:t>Aldine Publishing Company.</w:t>
      </w:r>
    </w:p>
    <w:p w14:paraId="31F84F67" w14:textId="77777777" w:rsidR="00352EFD" w:rsidRPr="00352EFD" w:rsidRDefault="00352EFD" w:rsidP="00352EFD">
      <w:pPr>
        <w:rPr>
          <w:shd w:val="clear" w:color="auto" w:fill="FFFFFF"/>
        </w:rPr>
      </w:pPr>
    </w:p>
    <w:p w14:paraId="1E0AF823" w14:textId="39823CC0" w:rsidR="00352EFD" w:rsidRPr="00352EFD" w:rsidRDefault="00352EFD" w:rsidP="00352EFD">
      <w:r w:rsidRPr="00352EFD">
        <w:rPr>
          <w:shd w:val="clear" w:color="auto" w:fill="FFFFFF"/>
        </w:rPr>
        <w:t>Green, S. (2007) ‘Crime, Victimisation and Vulnerability’,</w:t>
      </w:r>
      <w:r w:rsidRPr="00352EFD">
        <w:rPr>
          <w:i/>
          <w:iCs/>
          <w:shd w:val="clear" w:color="auto" w:fill="FFFFFF"/>
        </w:rPr>
        <w:t xml:space="preserve"> </w:t>
      </w:r>
      <w:r w:rsidRPr="00352EFD">
        <w:rPr>
          <w:shd w:val="clear" w:color="auto" w:fill="FFFFFF"/>
        </w:rPr>
        <w:t xml:space="preserve">in </w:t>
      </w:r>
      <w:r w:rsidR="006475B0">
        <w:rPr>
          <w:shd w:val="clear" w:color="auto" w:fill="FFFFFF"/>
        </w:rPr>
        <w:t xml:space="preserve">S. </w:t>
      </w:r>
      <w:proofErr w:type="spellStart"/>
      <w:r w:rsidRPr="00352EFD">
        <w:rPr>
          <w:shd w:val="clear" w:color="auto" w:fill="FFFFFF"/>
        </w:rPr>
        <w:t>Walklate</w:t>
      </w:r>
      <w:proofErr w:type="spellEnd"/>
      <w:r w:rsidRPr="00352EFD">
        <w:rPr>
          <w:shd w:val="clear" w:color="auto" w:fill="FFFFFF"/>
        </w:rPr>
        <w:t xml:space="preserve"> (ed) </w:t>
      </w:r>
      <w:r w:rsidRPr="00352EFD">
        <w:rPr>
          <w:i/>
          <w:iCs/>
          <w:shd w:val="clear" w:color="auto" w:fill="FFFFFF"/>
        </w:rPr>
        <w:t>Handbook of Victims and Victimisation</w:t>
      </w:r>
      <w:r w:rsidR="006475B0">
        <w:rPr>
          <w:i/>
          <w:iCs/>
          <w:shd w:val="clear" w:color="auto" w:fill="FFFFFF"/>
        </w:rPr>
        <w:t>.</w:t>
      </w:r>
      <w:r w:rsidRPr="00352EFD">
        <w:rPr>
          <w:i/>
          <w:iCs/>
          <w:shd w:val="clear" w:color="auto" w:fill="FFFFFF"/>
        </w:rPr>
        <w:t xml:space="preserve"> </w:t>
      </w:r>
      <w:r w:rsidRPr="00352EFD">
        <w:rPr>
          <w:shd w:val="clear" w:color="auto" w:fill="FFFFFF"/>
        </w:rPr>
        <w:t xml:space="preserve">London: Willian Publishing. </w:t>
      </w:r>
    </w:p>
    <w:p w14:paraId="3D7FFE60" w14:textId="77777777" w:rsidR="002254E6" w:rsidRPr="0084099E" w:rsidRDefault="002254E6" w:rsidP="002254E6">
      <w:pPr>
        <w:pStyle w:val="Heading1"/>
        <w:rPr>
          <w:b w:val="0"/>
          <w:sz w:val="24"/>
          <w:szCs w:val="24"/>
        </w:rPr>
      </w:pPr>
      <w:r w:rsidRPr="0084099E">
        <w:rPr>
          <w:b w:val="0"/>
          <w:sz w:val="24"/>
          <w:szCs w:val="24"/>
        </w:rPr>
        <w:t xml:space="preserve">Grierson, J. (2019) ‘My son was terrified: how Prevent alienates UK Muslims’, </w:t>
      </w:r>
      <w:r w:rsidRPr="0084099E">
        <w:rPr>
          <w:b w:val="0"/>
          <w:i/>
          <w:sz w:val="24"/>
          <w:szCs w:val="24"/>
        </w:rPr>
        <w:t>The Guardian</w:t>
      </w:r>
      <w:r w:rsidRPr="0084099E">
        <w:rPr>
          <w:b w:val="0"/>
          <w:sz w:val="24"/>
          <w:szCs w:val="24"/>
        </w:rPr>
        <w:t xml:space="preserve">, January 27. </w:t>
      </w:r>
    </w:p>
    <w:p w14:paraId="56CE96B5" w14:textId="008B7587" w:rsidR="00352EFD" w:rsidRPr="00352EFD" w:rsidRDefault="00352EFD" w:rsidP="00352EFD">
      <w:r w:rsidRPr="00352EFD">
        <w:rPr>
          <w:rStyle w:val="hlfld-contribauthor"/>
        </w:rPr>
        <w:t>Heath-Kelly,</w:t>
      </w:r>
      <w:r w:rsidRPr="00352EFD">
        <w:rPr>
          <w:rStyle w:val="apple-converted-space"/>
        </w:rPr>
        <w:t> </w:t>
      </w:r>
      <w:r w:rsidRPr="00352EFD">
        <w:rPr>
          <w:rStyle w:val="nlmgiven-names"/>
        </w:rPr>
        <w:t>C.</w:t>
      </w:r>
      <w:r w:rsidRPr="00352EFD">
        <w:rPr>
          <w:rStyle w:val="apple-converted-space"/>
        </w:rPr>
        <w:t> </w:t>
      </w:r>
      <w:r w:rsidR="0069234E">
        <w:rPr>
          <w:rStyle w:val="apple-converted-space"/>
        </w:rPr>
        <w:t>(</w:t>
      </w:r>
      <w:r w:rsidRPr="00352EFD">
        <w:rPr>
          <w:rStyle w:val="nlmyear"/>
        </w:rPr>
        <w:t>2016</w:t>
      </w:r>
      <w:r w:rsidR="0069234E">
        <w:t>)</w:t>
      </w:r>
      <w:r w:rsidRPr="00352EFD">
        <w:t xml:space="preserve"> </w:t>
      </w:r>
      <w:r w:rsidR="0069234E">
        <w:t>‘</w:t>
      </w:r>
      <w:r w:rsidRPr="00352EFD">
        <w:rPr>
          <w:rStyle w:val="nlmarticle-title"/>
        </w:rPr>
        <w:t>Algorithmic Autoimmunity in the NHS: Radicalisation and the Clinic</w:t>
      </w:r>
      <w:r w:rsidR="0069234E">
        <w:t>’,</w:t>
      </w:r>
      <w:r w:rsidRPr="00352EFD">
        <w:rPr>
          <w:rStyle w:val="apple-converted-space"/>
        </w:rPr>
        <w:t> </w:t>
      </w:r>
      <w:r w:rsidRPr="00352EFD">
        <w:rPr>
          <w:i/>
          <w:iCs/>
        </w:rPr>
        <w:t xml:space="preserve">Security </w:t>
      </w:r>
      <w:r w:rsidRPr="0084099E">
        <w:rPr>
          <w:i/>
        </w:rPr>
        <w:t>Dialogue</w:t>
      </w:r>
      <w:r w:rsidR="006475B0">
        <w:t xml:space="preserve">, </w:t>
      </w:r>
      <w:r w:rsidRPr="006475B0">
        <w:t>48</w:t>
      </w:r>
      <w:r w:rsidRPr="00352EFD">
        <w:t>(1):</w:t>
      </w:r>
      <w:r w:rsidRPr="00352EFD">
        <w:rPr>
          <w:rStyle w:val="apple-converted-space"/>
        </w:rPr>
        <w:t> </w:t>
      </w:r>
      <w:r w:rsidRPr="00352EFD">
        <w:rPr>
          <w:rStyle w:val="nlmfpage"/>
        </w:rPr>
        <w:t>29</w:t>
      </w:r>
      <w:r w:rsidR="0069234E">
        <w:t>-</w:t>
      </w:r>
      <w:r w:rsidRPr="00352EFD">
        <w:rPr>
          <w:rStyle w:val="nlmlpage"/>
        </w:rPr>
        <w:t>45</w:t>
      </w:r>
      <w:r w:rsidRPr="00352EFD">
        <w:t>.</w:t>
      </w:r>
    </w:p>
    <w:p w14:paraId="4E787DBD" w14:textId="77777777" w:rsidR="00352EFD" w:rsidRPr="00352EFD" w:rsidRDefault="00352EFD" w:rsidP="00352EFD">
      <w:pPr>
        <w:spacing w:before="100" w:beforeAutospacing="1" w:after="100" w:afterAutospacing="1"/>
        <w:jc w:val="both"/>
        <w:rPr>
          <w:rStyle w:val="ref-lnk"/>
        </w:rPr>
      </w:pPr>
      <w:r w:rsidRPr="00352EFD">
        <w:rPr>
          <w:rStyle w:val="ref-lnk"/>
        </w:rPr>
        <w:t xml:space="preserve">Heath-Kelly, C. (2017) ‘The Geography of Pre-Criminal Space: Epidemiological Imaginations of Radicalisation in the UK Prevent Strategy, 2007-2017’, </w:t>
      </w:r>
      <w:r w:rsidRPr="00352EFD">
        <w:rPr>
          <w:rStyle w:val="ref-lnk"/>
          <w:i/>
          <w:iCs/>
        </w:rPr>
        <w:t xml:space="preserve">Critical Studies on Terrorism, </w:t>
      </w:r>
      <w:r w:rsidRPr="00352EFD">
        <w:rPr>
          <w:rStyle w:val="ref-lnk"/>
        </w:rPr>
        <w:t>10(2): 297-319.</w:t>
      </w:r>
    </w:p>
    <w:p w14:paraId="7F7C8948" w14:textId="0E6EDC7E" w:rsidR="00352EFD" w:rsidRPr="00352EFD" w:rsidRDefault="00352EFD" w:rsidP="00352EFD">
      <w:pPr>
        <w:spacing w:before="100" w:beforeAutospacing="1" w:after="100" w:afterAutospacing="1"/>
        <w:jc w:val="both"/>
        <w:rPr>
          <w:rStyle w:val="ref-lnk"/>
        </w:rPr>
      </w:pPr>
      <w:r w:rsidRPr="006475B0">
        <w:t xml:space="preserve">Herring, J. (2020) </w:t>
      </w:r>
      <w:r w:rsidR="003719DE" w:rsidRPr="006475B0">
        <w:t>‘</w:t>
      </w:r>
      <w:r w:rsidRPr="006475B0">
        <w:t>Ageing and universal beneficial vulnerability</w:t>
      </w:r>
      <w:r w:rsidR="006475B0" w:rsidRPr="006475B0">
        <w:t>’. In D. Bedford and J. Herring (eds)</w:t>
      </w:r>
      <w:r w:rsidRPr="006475B0">
        <w:t xml:space="preserve"> </w:t>
      </w:r>
      <w:r w:rsidRPr="006475B0">
        <w:rPr>
          <w:i/>
          <w:iCs/>
        </w:rPr>
        <w:t xml:space="preserve">Embracing </w:t>
      </w:r>
      <w:r w:rsidR="006475B0" w:rsidRPr="006475B0">
        <w:rPr>
          <w:i/>
          <w:iCs/>
        </w:rPr>
        <w:t>V</w:t>
      </w:r>
      <w:r w:rsidRPr="006475B0">
        <w:rPr>
          <w:i/>
          <w:iCs/>
        </w:rPr>
        <w:t>ulnerability</w:t>
      </w:r>
      <w:r w:rsidR="006475B0" w:rsidRPr="006475B0">
        <w:rPr>
          <w:i/>
          <w:iCs/>
        </w:rPr>
        <w:t>.</w:t>
      </w:r>
      <w:r w:rsidRPr="006475B0">
        <w:rPr>
          <w:i/>
          <w:iCs/>
        </w:rPr>
        <w:t xml:space="preserve"> </w:t>
      </w:r>
      <w:r w:rsidR="006475B0" w:rsidRPr="006475B0">
        <w:t xml:space="preserve">London: </w:t>
      </w:r>
      <w:r w:rsidRPr="006475B0">
        <w:t>Routledge</w:t>
      </w:r>
      <w:r w:rsidR="006475B0" w:rsidRPr="006475B0">
        <w:t xml:space="preserve"> p.63-78.</w:t>
      </w:r>
    </w:p>
    <w:p w14:paraId="67AB9640" w14:textId="5F0F7533" w:rsidR="00352EFD" w:rsidRPr="00352EFD" w:rsidRDefault="00352EFD" w:rsidP="00352EFD">
      <w:pPr>
        <w:spacing w:before="100" w:beforeAutospacing="1" w:after="100" w:afterAutospacing="1"/>
        <w:jc w:val="both"/>
        <w:rPr>
          <w:rStyle w:val="ref-lnk"/>
        </w:rPr>
      </w:pPr>
      <w:r w:rsidRPr="00352EFD">
        <w:rPr>
          <w:rStyle w:val="ref-lnk"/>
        </w:rPr>
        <w:t xml:space="preserve">HMIC (2017) </w:t>
      </w:r>
      <w:r w:rsidRPr="00352EFD">
        <w:rPr>
          <w:rStyle w:val="ref-lnk"/>
          <w:i/>
          <w:iCs/>
        </w:rPr>
        <w:t>State of Policing: The Annual Assessment of Policing in England and Wales</w:t>
      </w:r>
      <w:r w:rsidR="006475B0">
        <w:rPr>
          <w:rStyle w:val="ref-lnk"/>
          <w:i/>
          <w:iCs/>
        </w:rPr>
        <w:t>.</w:t>
      </w:r>
      <w:r w:rsidRPr="00352EFD">
        <w:rPr>
          <w:rStyle w:val="ref-lnk"/>
          <w:i/>
          <w:iCs/>
        </w:rPr>
        <w:t xml:space="preserve"> </w:t>
      </w:r>
      <w:r w:rsidR="006475B0">
        <w:rPr>
          <w:rStyle w:val="ref-lnk"/>
        </w:rPr>
        <w:t>A</w:t>
      </w:r>
      <w:r w:rsidRPr="00352EFD">
        <w:rPr>
          <w:rStyle w:val="ref-lnk"/>
        </w:rPr>
        <w:t xml:space="preserve">vailable at </w:t>
      </w:r>
      <w:hyperlink r:id="rId11" w:history="1">
        <w:r w:rsidRPr="00352EFD">
          <w:rPr>
            <w:rStyle w:val="Hyperlink"/>
            <w:color w:val="auto"/>
          </w:rPr>
          <w:t>https://www.justiceinspectorates.gov.uk/hmicfrs/wp-content/uploads/state-of-policing-2016.pdf</w:t>
        </w:r>
      </w:hyperlink>
      <w:r w:rsidRPr="00352EFD">
        <w:rPr>
          <w:rStyle w:val="ref-lnk"/>
        </w:rPr>
        <w:t xml:space="preserve"> [accessed 11th June 2021]</w:t>
      </w:r>
      <w:r w:rsidR="003D6C76">
        <w:rPr>
          <w:rStyle w:val="ref-lnk"/>
        </w:rPr>
        <w:t>.</w:t>
      </w:r>
    </w:p>
    <w:p w14:paraId="3CB00245" w14:textId="51DF8971" w:rsidR="00352EFD" w:rsidRPr="00352EFD" w:rsidRDefault="00352EFD" w:rsidP="00352EFD">
      <w:pPr>
        <w:widowControl w:val="0"/>
        <w:autoSpaceDE w:val="0"/>
        <w:autoSpaceDN w:val="0"/>
        <w:adjustRightInd w:val="0"/>
        <w:jc w:val="both"/>
        <w:rPr>
          <w:rStyle w:val="ref-lnk"/>
          <w:u w:color="FFFF00"/>
        </w:rPr>
      </w:pPr>
      <w:r w:rsidRPr="00352EFD">
        <w:rPr>
          <w:u w:color="FFFF00"/>
        </w:rPr>
        <w:t xml:space="preserve">HM Government (2015) </w:t>
      </w:r>
      <w:r w:rsidRPr="006475B0">
        <w:rPr>
          <w:i/>
          <w:iCs/>
          <w:u w:color="FFFF00"/>
        </w:rPr>
        <w:t>PM unveils tough new measures to tackle child sexual exploitation</w:t>
      </w:r>
      <w:r w:rsidR="006475B0" w:rsidRPr="006475B0">
        <w:rPr>
          <w:i/>
          <w:iCs/>
          <w:u w:color="FFFF00"/>
        </w:rPr>
        <w:t>.</w:t>
      </w:r>
      <w:r w:rsidRPr="00352EFD">
        <w:rPr>
          <w:u w:color="FFFF00"/>
        </w:rPr>
        <w:t xml:space="preserve"> </w:t>
      </w:r>
      <w:r w:rsidR="006475B0">
        <w:rPr>
          <w:u w:color="FFFF00"/>
        </w:rPr>
        <w:t>A</w:t>
      </w:r>
      <w:r w:rsidRPr="00352EFD">
        <w:rPr>
          <w:u w:color="FFFF00"/>
        </w:rPr>
        <w:t xml:space="preserve">vailable at </w:t>
      </w:r>
      <w:r w:rsidRPr="00352EFD">
        <w:rPr>
          <w:u w:val="single" w:color="FFFF00"/>
        </w:rPr>
        <w:t>https://www.gov.uk/government/news/pm-unveils-tough-new-measures-to-tackle-child-sexual-exploitation</w:t>
      </w:r>
      <w:r w:rsidRPr="00352EFD">
        <w:rPr>
          <w:u w:color="FFFF00"/>
        </w:rPr>
        <w:t xml:space="preserve"> </w:t>
      </w:r>
      <w:r w:rsidR="0069234E" w:rsidRPr="00352EFD">
        <w:rPr>
          <w:rStyle w:val="ref-lnk"/>
        </w:rPr>
        <w:t>[</w:t>
      </w:r>
      <w:r w:rsidRPr="00352EFD">
        <w:rPr>
          <w:u w:color="FFFF00"/>
        </w:rPr>
        <w:t>accessed 18th May 2018</w:t>
      </w:r>
      <w:r w:rsidR="0069234E" w:rsidRPr="00352EFD">
        <w:rPr>
          <w:rStyle w:val="ref-lnk"/>
        </w:rPr>
        <w:t>]</w:t>
      </w:r>
      <w:r w:rsidR="0069234E">
        <w:rPr>
          <w:rStyle w:val="ref-lnk"/>
        </w:rPr>
        <w:t>.</w:t>
      </w:r>
    </w:p>
    <w:p w14:paraId="1C3101E5" w14:textId="77777777" w:rsidR="002254E6" w:rsidRPr="0084099E" w:rsidRDefault="002254E6" w:rsidP="002254E6">
      <w:pPr>
        <w:pStyle w:val="Heading1"/>
        <w:jc w:val="both"/>
        <w:rPr>
          <w:b w:val="0"/>
          <w:sz w:val="24"/>
          <w:szCs w:val="24"/>
        </w:rPr>
      </w:pPr>
      <w:r w:rsidRPr="0084099E">
        <w:rPr>
          <w:b w:val="0"/>
          <w:bCs w:val="0"/>
          <w:sz w:val="24"/>
          <w:szCs w:val="24"/>
        </w:rPr>
        <w:t xml:space="preserve">HM Prison and Probation Service (2017) </w:t>
      </w:r>
      <w:r w:rsidRPr="0084099E">
        <w:rPr>
          <w:b w:val="0"/>
          <w:i/>
          <w:sz w:val="24"/>
          <w:szCs w:val="24"/>
        </w:rPr>
        <w:t xml:space="preserve">A Process Evaluation of the Structured Risk Guidance for Extremist Offenders. </w:t>
      </w:r>
      <w:r w:rsidRPr="0084099E">
        <w:rPr>
          <w:b w:val="0"/>
          <w:sz w:val="24"/>
          <w:szCs w:val="24"/>
        </w:rPr>
        <w:t>London: HMSO.</w:t>
      </w:r>
    </w:p>
    <w:p w14:paraId="4753F5EB" w14:textId="70EC0B43" w:rsidR="00352EFD" w:rsidRPr="00352EFD" w:rsidRDefault="00352EFD" w:rsidP="00352EFD">
      <w:pPr>
        <w:spacing w:before="100" w:beforeAutospacing="1" w:after="100" w:afterAutospacing="1"/>
        <w:jc w:val="both"/>
        <w:rPr>
          <w:rStyle w:val="ref-lnk"/>
        </w:rPr>
      </w:pPr>
      <w:r w:rsidRPr="00352EFD">
        <w:rPr>
          <w:rStyle w:val="ref-lnk"/>
        </w:rPr>
        <w:t xml:space="preserve">Home Office (2016) </w:t>
      </w:r>
      <w:r w:rsidRPr="006475B0">
        <w:rPr>
          <w:rStyle w:val="ref-lnk"/>
          <w:i/>
          <w:iCs/>
        </w:rPr>
        <w:t>Home Secretary’s College of Policing Speech on Vulnerability</w:t>
      </w:r>
      <w:r w:rsidR="006475B0" w:rsidRPr="006475B0">
        <w:rPr>
          <w:rStyle w:val="ref-lnk"/>
          <w:i/>
          <w:iCs/>
        </w:rPr>
        <w:t>.</w:t>
      </w:r>
      <w:r w:rsidR="006475B0">
        <w:rPr>
          <w:rStyle w:val="ref-lnk"/>
        </w:rPr>
        <w:t xml:space="preserve"> A</w:t>
      </w:r>
      <w:r w:rsidRPr="00352EFD">
        <w:rPr>
          <w:rStyle w:val="ref-lnk"/>
        </w:rPr>
        <w:t xml:space="preserve">vailable at </w:t>
      </w:r>
      <w:hyperlink r:id="rId12" w:history="1">
        <w:r w:rsidRPr="00352EFD">
          <w:rPr>
            <w:rStyle w:val="Hyperlink"/>
            <w:color w:val="auto"/>
          </w:rPr>
          <w:t>https://www.gov.uk/government/speeches/home-secretarys-college-of-policing-speech-on-vulnerability</w:t>
        </w:r>
      </w:hyperlink>
      <w:r w:rsidRPr="00352EFD">
        <w:rPr>
          <w:rStyle w:val="ref-lnk"/>
        </w:rPr>
        <w:t xml:space="preserve"> [accessed 27th July 2021].</w:t>
      </w:r>
    </w:p>
    <w:p w14:paraId="7B0E24F0" w14:textId="1FFCE5B4" w:rsidR="00352EFD" w:rsidRPr="00352EFD" w:rsidRDefault="00352EFD" w:rsidP="00352EFD">
      <w:pPr>
        <w:autoSpaceDE w:val="0"/>
        <w:autoSpaceDN w:val="0"/>
        <w:adjustRightInd w:val="0"/>
        <w:jc w:val="both"/>
      </w:pPr>
      <w:r w:rsidRPr="00352EFD">
        <w:t xml:space="preserve">Home Office and Javid, S. (2018) </w:t>
      </w:r>
      <w:r w:rsidRPr="006475B0">
        <w:rPr>
          <w:i/>
        </w:rPr>
        <w:t>Home Office Announces New Measures to Tackle Serious Violence</w:t>
      </w:r>
      <w:r w:rsidR="006475B0" w:rsidRPr="006475B0">
        <w:rPr>
          <w:i/>
        </w:rPr>
        <w:t xml:space="preserve">. </w:t>
      </w:r>
      <w:r w:rsidR="006475B0">
        <w:rPr>
          <w:iCs/>
        </w:rPr>
        <w:t>A</w:t>
      </w:r>
      <w:r w:rsidRPr="00352EFD">
        <w:t xml:space="preserve">vailable </w:t>
      </w:r>
      <w:r w:rsidR="003719DE">
        <w:t>at</w:t>
      </w:r>
      <w:r w:rsidRPr="00352EFD">
        <w:t xml:space="preserve"> </w:t>
      </w:r>
      <w:hyperlink r:id="rId13" w:history="1">
        <w:r w:rsidRPr="00352EFD">
          <w:rPr>
            <w:rStyle w:val="Hyperlink"/>
            <w:color w:val="auto"/>
          </w:rPr>
          <w:t>https://www.gov.uk/government/news/home-secretary-announces-new-measures-to-tackle-serious-violence</w:t>
        </w:r>
      </w:hyperlink>
      <w:r w:rsidRPr="00352EFD">
        <w:t xml:space="preserve"> [accessed 9th January 2019].</w:t>
      </w:r>
    </w:p>
    <w:p w14:paraId="68AC12F5" w14:textId="77777777" w:rsidR="00352EFD" w:rsidRPr="00352EFD" w:rsidRDefault="00352EFD" w:rsidP="00352EFD">
      <w:pPr>
        <w:autoSpaceDE w:val="0"/>
        <w:autoSpaceDN w:val="0"/>
        <w:adjustRightInd w:val="0"/>
        <w:jc w:val="both"/>
        <w:rPr>
          <w:rStyle w:val="ref-lnk"/>
        </w:rPr>
      </w:pPr>
    </w:p>
    <w:p w14:paraId="2C601FF1" w14:textId="76AE72F8" w:rsidR="00352EFD" w:rsidRPr="00352EFD" w:rsidRDefault="00352EFD" w:rsidP="00352EFD">
      <w:pPr>
        <w:autoSpaceDE w:val="0"/>
        <w:autoSpaceDN w:val="0"/>
        <w:adjustRightInd w:val="0"/>
      </w:pPr>
      <w:r w:rsidRPr="00352EFD">
        <w:t xml:space="preserve">Jay, A. (2014) </w:t>
      </w:r>
      <w:r w:rsidRPr="0069234E">
        <w:rPr>
          <w:i/>
        </w:rPr>
        <w:t>Independent Inquiry into Child Sexual Exploitation in Rotherham, 1997-2013.</w:t>
      </w:r>
      <w:r w:rsidRPr="00352EFD">
        <w:rPr>
          <w:i/>
        </w:rPr>
        <w:t xml:space="preserve"> </w:t>
      </w:r>
      <w:r w:rsidRPr="00352EFD">
        <w:t xml:space="preserve">Available at </w:t>
      </w:r>
      <w:hyperlink r:id="rId14" w:history="1">
        <w:r w:rsidRPr="00352EFD">
          <w:rPr>
            <w:rStyle w:val="Hyperlink"/>
            <w:color w:val="auto"/>
          </w:rPr>
          <w:t>https://www.rotherham.gov.uk/downloads/file/1407/independent_inquiry_cse_in_rotherham</w:t>
        </w:r>
      </w:hyperlink>
      <w:r w:rsidRPr="00352EFD">
        <w:t xml:space="preserve"> </w:t>
      </w:r>
      <w:r w:rsidR="006475B0" w:rsidRPr="00352EFD">
        <w:t xml:space="preserve"> [</w:t>
      </w:r>
      <w:r w:rsidRPr="00352EFD">
        <w:t>accessed 11th January</w:t>
      </w:r>
      <w:r w:rsidR="006475B0" w:rsidRPr="00352EFD">
        <w:t>]</w:t>
      </w:r>
      <w:r w:rsidRPr="00352EFD">
        <w:t>.</w:t>
      </w:r>
    </w:p>
    <w:p w14:paraId="7EB61958" w14:textId="39B633B3" w:rsidR="00352EFD" w:rsidRPr="00352EFD" w:rsidRDefault="00352EFD" w:rsidP="00352EFD">
      <w:pPr>
        <w:spacing w:before="100" w:beforeAutospacing="1" w:after="100" w:afterAutospacing="1"/>
        <w:rPr>
          <w:rStyle w:val="ref-lnk"/>
        </w:rPr>
      </w:pPr>
      <w:r w:rsidRPr="00352EFD">
        <w:lastRenderedPageBreak/>
        <w:t>Kelly, P. (2001) ‘The Post Welfare State and the Government of Youth at Risk’</w:t>
      </w:r>
      <w:r w:rsidR="003719DE">
        <w:t>,</w:t>
      </w:r>
      <w:r w:rsidRPr="00352EFD">
        <w:t xml:space="preserve"> </w:t>
      </w:r>
      <w:r w:rsidRPr="00352EFD">
        <w:rPr>
          <w:i/>
          <w:iCs/>
        </w:rPr>
        <w:t>Social Justice</w:t>
      </w:r>
      <w:r w:rsidRPr="00352EFD">
        <w:t>, 28</w:t>
      </w:r>
      <w:r w:rsidR="0069234E">
        <w:t>(</w:t>
      </w:r>
      <w:r w:rsidRPr="00352EFD">
        <w:t>4</w:t>
      </w:r>
      <w:r w:rsidR="0069234E">
        <w:t xml:space="preserve">): </w:t>
      </w:r>
      <w:r w:rsidRPr="00352EFD">
        <w:t>96</w:t>
      </w:r>
      <w:r w:rsidR="0069234E">
        <w:t>-</w:t>
      </w:r>
      <w:r w:rsidRPr="00352EFD">
        <w:t xml:space="preserve">113. </w:t>
      </w:r>
    </w:p>
    <w:p w14:paraId="3102BC27" w14:textId="77777777" w:rsidR="000464CA" w:rsidRPr="0084099E" w:rsidRDefault="000464CA" w:rsidP="000464CA">
      <w:pPr>
        <w:pStyle w:val="Heading1"/>
        <w:jc w:val="both"/>
        <w:rPr>
          <w:b w:val="0"/>
          <w:sz w:val="24"/>
          <w:szCs w:val="24"/>
        </w:rPr>
      </w:pPr>
      <w:proofErr w:type="spellStart"/>
      <w:r w:rsidRPr="0084099E">
        <w:rPr>
          <w:b w:val="0"/>
          <w:bCs w:val="0"/>
          <w:kern w:val="0"/>
          <w:sz w:val="24"/>
          <w:szCs w:val="24"/>
        </w:rPr>
        <w:t>Khaleeli</w:t>
      </w:r>
      <w:proofErr w:type="spellEnd"/>
      <w:r w:rsidRPr="0084099E">
        <w:rPr>
          <w:b w:val="0"/>
          <w:bCs w:val="0"/>
          <w:kern w:val="0"/>
          <w:sz w:val="24"/>
          <w:szCs w:val="24"/>
        </w:rPr>
        <w:t xml:space="preserve">, H. (2015) </w:t>
      </w:r>
      <w:r w:rsidRPr="0084099E">
        <w:rPr>
          <w:b w:val="0"/>
          <w:sz w:val="24"/>
          <w:szCs w:val="24"/>
        </w:rPr>
        <w:t xml:space="preserve">‘You worry they could take your kids: Is the Prevent strategy demonising Muslim schoolchildren?’ </w:t>
      </w:r>
      <w:r w:rsidRPr="0084099E">
        <w:rPr>
          <w:b w:val="0"/>
          <w:i/>
          <w:sz w:val="24"/>
          <w:szCs w:val="24"/>
        </w:rPr>
        <w:t>The Guardian</w:t>
      </w:r>
      <w:r w:rsidRPr="0084099E">
        <w:rPr>
          <w:b w:val="0"/>
          <w:sz w:val="24"/>
          <w:szCs w:val="24"/>
        </w:rPr>
        <w:t xml:space="preserve">, September 23. </w:t>
      </w:r>
    </w:p>
    <w:p w14:paraId="2AF73909" w14:textId="6F101445" w:rsidR="00352EFD" w:rsidRPr="00352EFD" w:rsidRDefault="00352EFD" w:rsidP="00352EFD">
      <w:pPr>
        <w:autoSpaceDE w:val="0"/>
        <w:autoSpaceDN w:val="0"/>
        <w:adjustRightInd w:val="0"/>
        <w:jc w:val="both"/>
        <w:rPr>
          <w:rStyle w:val="ref-lnk"/>
        </w:rPr>
      </w:pPr>
      <w:r w:rsidRPr="00352EFD">
        <w:t xml:space="preserve">Know About CSE (2015) </w:t>
      </w:r>
      <w:r w:rsidRPr="00352EFD">
        <w:rPr>
          <w:i/>
        </w:rPr>
        <w:t>Parents and Carers</w:t>
      </w:r>
      <w:r w:rsidR="006475B0">
        <w:rPr>
          <w:i/>
        </w:rPr>
        <w:t xml:space="preserve">. </w:t>
      </w:r>
      <w:r w:rsidR="006475B0" w:rsidRPr="006475B0">
        <w:rPr>
          <w:iCs/>
        </w:rPr>
        <w:t>A</w:t>
      </w:r>
      <w:r w:rsidRPr="006475B0">
        <w:rPr>
          <w:iCs/>
        </w:rPr>
        <w:t>v</w:t>
      </w:r>
      <w:r w:rsidRPr="00352EFD">
        <w:t xml:space="preserve">ailable </w:t>
      </w:r>
      <w:r w:rsidR="003719DE">
        <w:t>at</w:t>
      </w:r>
      <w:r w:rsidRPr="00352EFD">
        <w:t xml:space="preserve"> </w:t>
      </w:r>
      <w:hyperlink r:id="rId15" w:history="1">
        <w:r w:rsidRPr="00352EFD">
          <w:rPr>
            <w:rStyle w:val="Hyperlink"/>
            <w:color w:val="auto"/>
          </w:rPr>
          <w:t>http://knowaboutcse.co.uk/parents/</w:t>
        </w:r>
      </w:hyperlink>
      <w:r w:rsidRPr="00352EFD">
        <w:t xml:space="preserve"> [accessed 11</w:t>
      </w:r>
      <w:r w:rsidRPr="00352EFD">
        <w:rPr>
          <w:vertAlign w:val="superscript"/>
        </w:rPr>
        <w:t>th</w:t>
      </w:r>
      <w:r w:rsidRPr="00352EFD">
        <w:t xml:space="preserve"> January 2019]</w:t>
      </w:r>
      <w:r w:rsidR="003D6C76">
        <w:t>.</w:t>
      </w:r>
    </w:p>
    <w:p w14:paraId="6953CFAE" w14:textId="7B58BDD9" w:rsidR="00352EFD" w:rsidRPr="00352EFD" w:rsidRDefault="00352EFD" w:rsidP="00352EFD">
      <w:pPr>
        <w:spacing w:before="100" w:beforeAutospacing="1" w:after="100" w:afterAutospacing="1"/>
        <w:jc w:val="both"/>
        <w:rPr>
          <w:rStyle w:val="ref-lnk"/>
          <w:i/>
          <w:iCs/>
        </w:rPr>
      </w:pPr>
      <w:proofErr w:type="spellStart"/>
      <w:r w:rsidRPr="00352EFD">
        <w:rPr>
          <w:rStyle w:val="ref-lnk"/>
        </w:rPr>
        <w:t>Leviner</w:t>
      </w:r>
      <w:proofErr w:type="spellEnd"/>
      <w:r w:rsidRPr="00352EFD">
        <w:rPr>
          <w:rStyle w:val="ref-lnk"/>
        </w:rPr>
        <w:t xml:space="preserve">, P. and </w:t>
      </w:r>
      <w:proofErr w:type="spellStart"/>
      <w:r w:rsidRPr="00352EFD">
        <w:rPr>
          <w:rStyle w:val="ref-lnk"/>
        </w:rPr>
        <w:t>Sardiello</w:t>
      </w:r>
      <w:proofErr w:type="spellEnd"/>
      <w:r w:rsidRPr="00352EFD">
        <w:rPr>
          <w:rStyle w:val="ref-lnk"/>
        </w:rPr>
        <w:t xml:space="preserve">, T. (2018) </w:t>
      </w:r>
      <w:r w:rsidRPr="00352EFD">
        <w:rPr>
          <w:rStyle w:val="ref-lnk"/>
          <w:i/>
          <w:iCs/>
        </w:rPr>
        <w:t xml:space="preserve">The Swedish Ban on Corporal Punishment of Children in a Multicultural Context – Conflicting Logics in the Social Services, </w:t>
      </w:r>
      <w:r w:rsidRPr="00352EFD">
        <w:rPr>
          <w:rStyle w:val="ref-lnk"/>
        </w:rPr>
        <w:t>Stockholm Faculty of Law Research Paper Series, No</w:t>
      </w:r>
      <w:r w:rsidR="003719DE">
        <w:rPr>
          <w:rStyle w:val="ref-lnk"/>
        </w:rPr>
        <w:t xml:space="preserve"> </w:t>
      </w:r>
      <w:r w:rsidRPr="00352EFD">
        <w:rPr>
          <w:rStyle w:val="ref-lnk"/>
        </w:rPr>
        <w:t>53.</w:t>
      </w:r>
      <w:r w:rsidRPr="00352EFD">
        <w:rPr>
          <w:rStyle w:val="ref-lnk"/>
          <w:i/>
          <w:iCs/>
        </w:rPr>
        <w:t xml:space="preserve"> </w:t>
      </w:r>
    </w:p>
    <w:p w14:paraId="17C24F30" w14:textId="1E6ACBB4" w:rsidR="000B1725" w:rsidRPr="0084099E" w:rsidRDefault="000B1725" w:rsidP="000B1725">
      <w:pPr>
        <w:rPr>
          <w:color w:val="333333"/>
        </w:rPr>
      </w:pPr>
      <w:r w:rsidRPr="0084099E">
        <w:rPr>
          <w:rStyle w:val="hlfld-contribauthor"/>
          <w:color w:val="333333"/>
        </w:rPr>
        <w:t>Lloyd, </w:t>
      </w:r>
      <w:r w:rsidRPr="0084099E">
        <w:rPr>
          <w:rStyle w:val="nlmgiven-names"/>
          <w:color w:val="333333"/>
        </w:rPr>
        <w:t>M.</w:t>
      </w:r>
      <w:r>
        <w:rPr>
          <w:color w:val="333333"/>
        </w:rPr>
        <w:t xml:space="preserve"> and </w:t>
      </w:r>
      <w:r w:rsidRPr="0084099E">
        <w:rPr>
          <w:rStyle w:val="hlfld-contribauthor"/>
          <w:color w:val="333333"/>
        </w:rPr>
        <w:t>Dean, </w:t>
      </w:r>
      <w:r w:rsidRPr="0084099E">
        <w:rPr>
          <w:rStyle w:val="nlmgiven-names"/>
          <w:color w:val="333333"/>
        </w:rPr>
        <w:t>C.</w:t>
      </w:r>
      <w:r w:rsidRPr="0084099E">
        <w:rPr>
          <w:color w:val="333333"/>
        </w:rPr>
        <w:t> (</w:t>
      </w:r>
      <w:r w:rsidRPr="0084099E">
        <w:rPr>
          <w:rStyle w:val="nlmyear"/>
          <w:color w:val="333333"/>
        </w:rPr>
        <w:t>2015</w:t>
      </w:r>
      <w:r w:rsidRPr="0084099E">
        <w:rPr>
          <w:color w:val="333333"/>
        </w:rPr>
        <w:t>). </w:t>
      </w:r>
      <w:r>
        <w:rPr>
          <w:color w:val="333333"/>
        </w:rPr>
        <w:t>‘</w:t>
      </w:r>
      <w:r w:rsidRPr="0084099E">
        <w:rPr>
          <w:rStyle w:val="nlmarticle-title"/>
          <w:color w:val="333333"/>
        </w:rPr>
        <w:t>The development of structured guidelines for assessing risk in extremist offenders</w:t>
      </w:r>
      <w:r>
        <w:rPr>
          <w:color w:val="333333"/>
        </w:rPr>
        <w:t>’,</w:t>
      </w:r>
      <w:r w:rsidRPr="0084099E">
        <w:rPr>
          <w:color w:val="333333"/>
        </w:rPr>
        <w:t> </w:t>
      </w:r>
      <w:r w:rsidRPr="0084099E">
        <w:rPr>
          <w:i/>
          <w:iCs/>
          <w:color w:val="333333"/>
        </w:rPr>
        <w:t>Journal of Threat Assessment and Management</w:t>
      </w:r>
      <w:r w:rsidRPr="0084099E">
        <w:rPr>
          <w:color w:val="333333"/>
        </w:rPr>
        <w:t>, 2(1)</w:t>
      </w:r>
      <w:r w:rsidRPr="000B1725">
        <w:rPr>
          <w:color w:val="333333"/>
        </w:rPr>
        <w:t>:</w:t>
      </w:r>
      <w:r w:rsidRPr="0084099E">
        <w:rPr>
          <w:color w:val="333333"/>
        </w:rPr>
        <w:t> </w:t>
      </w:r>
      <w:r w:rsidRPr="0084099E">
        <w:rPr>
          <w:rStyle w:val="nlmfpage"/>
          <w:color w:val="333333"/>
        </w:rPr>
        <w:t>40</w:t>
      </w:r>
      <w:r w:rsidRPr="0084099E">
        <w:rPr>
          <w:color w:val="333333"/>
        </w:rPr>
        <w:t>–</w:t>
      </w:r>
      <w:r w:rsidRPr="0084099E">
        <w:rPr>
          <w:rStyle w:val="nlmlpage"/>
          <w:color w:val="333333"/>
        </w:rPr>
        <w:t>52</w:t>
      </w:r>
      <w:r w:rsidRPr="0084099E">
        <w:rPr>
          <w:color w:val="333333"/>
        </w:rPr>
        <w:t xml:space="preserve">. </w:t>
      </w:r>
    </w:p>
    <w:p w14:paraId="7288A02A" w14:textId="77777777" w:rsidR="000B1725" w:rsidRDefault="000B1725" w:rsidP="000B1725"/>
    <w:p w14:paraId="4F533601" w14:textId="167833BB" w:rsidR="00352EFD" w:rsidRPr="00352EFD" w:rsidRDefault="00352EFD" w:rsidP="00352EFD">
      <w:pPr>
        <w:rPr>
          <w:rStyle w:val="ref-lnk"/>
        </w:rPr>
      </w:pPr>
      <w:r w:rsidRPr="00352EFD">
        <w:rPr>
          <w:rStyle w:val="ref-lnk"/>
        </w:rPr>
        <w:t xml:space="preserve">Mariner, W. (2007) ‘Mission Creep: Public Health Surveillance and Medical Privacy’, </w:t>
      </w:r>
      <w:r w:rsidRPr="00352EFD">
        <w:rPr>
          <w:rStyle w:val="ref-lnk"/>
          <w:i/>
          <w:iCs/>
        </w:rPr>
        <w:t>Boston University Law Review</w:t>
      </w:r>
      <w:r w:rsidR="003719DE">
        <w:rPr>
          <w:rStyle w:val="ref-lnk"/>
        </w:rPr>
        <w:t>,</w:t>
      </w:r>
      <w:r w:rsidRPr="00352EFD">
        <w:rPr>
          <w:rStyle w:val="ref-lnk"/>
          <w:i/>
          <w:iCs/>
        </w:rPr>
        <w:t xml:space="preserve"> </w:t>
      </w:r>
      <w:r w:rsidRPr="00352EFD">
        <w:rPr>
          <w:rStyle w:val="ref-lnk"/>
        </w:rPr>
        <w:t>87: 347-396. </w:t>
      </w:r>
    </w:p>
    <w:p w14:paraId="464B9E81" w14:textId="77777777" w:rsidR="00352EFD" w:rsidRPr="00352EFD" w:rsidRDefault="00352EFD" w:rsidP="00352EFD">
      <w:pPr>
        <w:rPr>
          <w:rStyle w:val="ref-lnk"/>
        </w:rPr>
      </w:pPr>
    </w:p>
    <w:p w14:paraId="5E0C820B" w14:textId="77777777" w:rsidR="00352EFD" w:rsidRPr="00352EFD" w:rsidRDefault="00352EFD" w:rsidP="00352EFD">
      <w:pPr>
        <w:rPr>
          <w:rStyle w:val="ref-lnk"/>
        </w:rPr>
      </w:pPr>
      <w:r w:rsidRPr="00352EFD">
        <w:rPr>
          <w:rStyle w:val="ref-lnk"/>
        </w:rPr>
        <w:t xml:space="preserve">McLaughlin, P. and Dietz, T. (2008) ‘Structure, Agency and Environment: Toward an Integrated Perspective on Vulnerability’, </w:t>
      </w:r>
      <w:r w:rsidRPr="00352EFD">
        <w:rPr>
          <w:rStyle w:val="ref-lnk"/>
          <w:i/>
          <w:iCs/>
        </w:rPr>
        <w:t>Global Environmental Change</w:t>
      </w:r>
      <w:r w:rsidRPr="00352EFD">
        <w:rPr>
          <w:rStyle w:val="ref-lnk"/>
        </w:rPr>
        <w:t xml:space="preserve">, 39(1): 99-111. </w:t>
      </w:r>
    </w:p>
    <w:p w14:paraId="20E5CF44" w14:textId="77777777" w:rsidR="00352EFD" w:rsidRPr="00352EFD" w:rsidRDefault="00352EFD" w:rsidP="00352EFD">
      <w:pPr>
        <w:rPr>
          <w:rStyle w:val="ref-lnk"/>
        </w:rPr>
      </w:pPr>
    </w:p>
    <w:p w14:paraId="2B4D336E" w14:textId="77777777" w:rsidR="00352EFD" w:rsidRPr="00352EFD" w:rsidRDefault="00352EFD" w:rsidP="00352EFD">
      <w:pPr>
        <w:rPr>
          <w:rStyle w:val="ref-lnk"/>
        </w:rPr>
      </w:pPr>
      <w:r w:rsidRPr="00352EFD">
        <w:rPr>
          <w:rStyle w:val="ref-lnk"/>
        </w:rPr>
        <w:t xml:space="preserve">Munro, V. and Scoular, E. (2012) ‘Abusing Vulnerability? Contemporary Law and Policy Responses to Sex Work in the UK’, </w:t>
      </w:r>
      <w:r w:rsidRPr="00352EFD">
        <w:rPr>
          <w:rStyle w:val="ref-lnk"/>
          <w:i/>
          <w:iCs/>
        </w:rPr>
        <w:t xml:space="preserve">Feminist Legal Studies, </w:t>
      </w:r>
      <w:r w:rsidRPr="00352EFD">
        <w:rPr>
          <w:rStyle w:val="ref-lnk"/>
        </w:rPr>
        <w:t>20(3): 189-206.</w:t>
      </w:r>
    </w:p>
    <w:p w14:paraId="4BBAC0A0" w14:textId="77777777" w:rsidR="00352EFD" w:rsidRPr="00352EFD" w:rsidRDefault="00352EFD" w:rsidP="00352EFD">
      <w:pPr>
        <w:rPr>
          <w:rStyle w:val="ref-lnk"/>
        </w:rPr>
      </w:pPr>
    </w:p>
    <w:p w14:paraId="6CE17F9B" w14:textId="21E957BE" w:rsidR="002254E6" w:rsidRPr="0084099E" w:rsidRDefault="002254E6" w:rsidP="002254E6">
      <w:pPr>
        <w:widowControl w:val="0"/>
        <w:autoSpaceDE w:val="0"/>
        <w:autoSpaceDN w:val="0"/>
        <w:adjustRightInd w:val="0"/>
        <w:rPr>
          <w:color w:val="000000"/>
        </w:rPr>
      </w:pPr>
      <w:r w:rsidRPr="0084099E">
        <w:rPr>
          <w:color w:val="000000"/>
        </w:rPr>
        <w:t>Mythen, G. (2020) ‘</w:t>
      </w:r>
      <w:r w:rsidRPr="0084099E">
        <w:t xml:space="preserve">Against the Odds? Unravelling the Paradoxes of Risk Prevention in Counter Radicalisation Strategy’, </w:t>
      </w:r>
      <w:r w:rsidRPr="0084099E">
        <w:rPr>
          <w:color w:val="000000"/>
        </w:rPr>
        <w:t xml:space="preserve">in J. Pratt and J. Thompson (eds.) </w:t>
      </w:r>
      <w:r w:rsidRPr="0084099E">
        <w:rPr>
          <w:i/>
          <w:color w:val="000000"/>
        </w:rPr>
        <w:t xml:space="preserve">Criminal Justice, Risk and the Revolt Against Uncertainty. </w:t>
      </w:r>
      <w:r w:rsidRPr="0084099E">
        <w:rPr>
          <w:color w:val="000000"/>
        </w:rPr>
        <w:t xml:space="preserve">London: Palgrave Macmillan. </w:t>
      </w:r>
    </w:p>
    <w:p w14:paraId="0FD7E65F" w14:textId="77777777" w:rsidR="002254E6" w:rsidRPr="00177E29" w:rsidRDefault="002254E6" w:rsidP="002254E6">
      <w:pPr>
        <w:widowControl w:val="0"/>
        <w:autoSpaceDE w:val="0"/>
        <w:autoSpaceDN w:val="0"/>
        <w:adjustRightInd w:val="0"/>
        <w:rPr>
          <w:rFonts w:ascii="Verdana" w:hAnsi="Verdana"/>
          <w:color w:val="000000"/>
        </w:rPr>
      </w:pPr>
    </w:p>
    <w:p w14:paraId="271341C1" w14:textId="3E3B4EDA" w:rsidR="002370F8" w:rsidRDefault="002370F8" w:rsidP="00352EFD">
      <w:pPr>
        <w:rPr>
          <w:rStyle w:val="ref-lnk"/>
        </w:rPr>
      </w:pPr>
      <w:r>
        <w:rPr>
          <w:rStyle w:val="ref-lnk"/>
        </w:rPr>
        <w:t>Mythen</w:t>
      </w:r>
      <w:r w:rsidR="007344DE">
        <w:rPr>
          <w:rStyle w:val="ref-lnk"/>
        </w:rPr>
        <w:t>, G.</w:t>
      </w:r>
      <w:r>
        <w:rPr>
          <w:rStyle w:val="ref-lnk"/>
        </w:rPr>
        <w:t xml:space="preserve"> </w:t>
      </w:r>
      <w:r w:rsidR="007344DE">
        <w:rPr>
          <w:rStyle w:val="ref-lnk"/>
        </w:rPr>
        <w:t>(</w:t>
      </w:r>
      <w:r>
        <w:rPr>
          <w:rStyle w:val="ref-lnk"/>
        </w:rPr>
        <w:t>2014</w:t>
      </w:r>
      <w:r w:rsidR="007344DE">
        <w:rPr>
          <w:rStyle w:val="ref-lnk"/>
        </w:rPr>
        <w:t xml:space="preserve">) </w:t>
      </w:r>
      <w:r w:rsidR="007344DE" w:rsidRPr="007344DE">
        <w:rPr>
          <w:rStyle w:val="ref-lnk"/>
          <w:i/>
          <w:iCs/>
        </w:rPr>
        <w:t>The Risk Society: Crime, Security and Justice.</w:t>
      </w:r>
      <w:r w:rsidR="007344DE">
        <w:rPr>
          <w:rStyle w:val="ref-lnk"/>
        </w:rPr>
        <w:t xml:space="preserve"> London: Routledge.</w:t>
      </w:r>
    </w:p>
    <w:p w14:paraId="0ED4120B" w14:textId="77777777" w:rsidR="002370F8" w:rsidRDefault="002370F8" w:rsidP="00352EFD">
      <w:pPr>
        <w:rPr>
          <w:rStyle w:val="ref-lnk"/>
        </w:rPr>
      </w:pPr>
    </w:p>
    <w:p w14:paraId="567CA6C5" w14:textId="1290048D" w:rsidR="00352EFD" w:rsidRPr="00352EFD" w:rsidRDefault="00352EFD" w:rsidP="00352EFD">
      <w:pPr>
        <w:rPr>
          <w:rStyle w:val="ref-lnk"/>
        </w:rPr>
      </w:pPr>
      <w:r w:rsidRPr="00352EFD">
        <w:rPr>
          <w:rStyle w:val="ref-lnk"/>
        </w:rPr>
        <w:t xml:space="preserve">Mythen, G. and </w:t>
      </w:r>
      <w:proofErr w:type="spellStart"/>
      <w:r w:rsidRPr="00352EFD">
        <w:rPr>
          <w:rStyle w:val="ref-lnk"/>
        </w:rPr>
        <w:t>Walklate</w:t>
      </w:r>
      <w:proofErr w:type="spellEnd"/>
      <w:r w:rsidRPr="00352EFD">
        <w:rPr>
          <w:rStyle w:val="ref-lnk"/>
        </w:rPr>
        <w:t xml:space="preserve">, S. (2006) </w:t>
      </w:r>
      <w:r w:rsidRPr="00352EFD">
        <w:rPr>
          <w:rStyle w:val="ref-lnk"/>
          <w:i/>
          <w:iCs/>
        </w:rPr>
        <w:t>Beyond the Risk Society: Critical Reflections on Risk and Human Security</w:t>
      </w:r>
      <w:r w:rsidR="007344DE">
        <w:rPr>
          <w:rStyle w:val="ref-lnk"/>
          <w:i/>
          <w:iCs/>
        </w:rPr>
        <w:t>.</w:t>
      </w:r>
      <w:r w:rsidRPr="00352EFD">
        <w:rPr>
          <w:rStyle w:val="ref-lnk"/>
          <w:i/>
          <w:iCs/>
        </w:rPr>
        <w:t xml:space="preserve"> </w:t>
      </w:r>
      <w:r w:rsidRPr="00352EFD">
        <w:rPr>
          <w:rStyle w:val="ref-lnk"/>
        </w:rPr>
        <w:t>Maidenhead: Open University Press.</w:t>
      </w:r>
    </w:p>
    <w:p w14:paraId="1B40A22C" w14:textId="77777777" w:rsidR="000B1725" w:rsidRPr="00352EFD" w:rsidRDefault="000B1725" w:rsidP="00352EFD">
      <w:pPr>
        <w:rPr>
          <w:rStyle w:val="ref-lnk"/>
        </w:rPr>
      </w:pPr>
    </w:p>
    <w:p w14:paraId="0E34E75E" w14:textId="6BA3C35D" w:rsidR="00352EFD" w:rsidRPr="00352EFD" w:rsidRDefault="00352EFD" w:rsidP="00352EFD">
      <w:pPr>
        <w:textAlignment w:val="baseline"/>
        <w:rPr>
          <w:rStyle w:val="ref-lnk"/>
        </w:rPr>
      </w:pPr>
      <w:r w:rsidRPr="00352EFD">
        <w:t>National Crime Agency (2017).</w:t>
      </w:r>
      <w:r w:rsidRPr="00352EFD">
        <w:rPr>
          <w:rStyle w:val="apple-converted-space"/>
        </w:rPr>
        <w:t> </w:t>
      </w:r>
      <w:r w:rsidRPr="00352EFD">
        <w:rPr>
          <w:rStyle w:val="Emphasis"/>
          <w:bdr w:val="none" w:sz="0" w:space="0" w:color="auto" w:frame="1"/>
        </w:rPr>
        <w:t>Are you Worried about Online Sexual Abuse or the Way Someone has been Communicating with you Online?</w:t>
      </w:r>
      <w:r w:rsidRPr="00352EFD">
        <w:rPr>
          <w:rStyle w:val="apple-converted-space"/>
        </w:rPr>
        <w:t> </w:t>
      </w:r>
      <w:r w:rsidR="003719DE">
        <w:t>A</w:t>
      </w:r>
      <w:r w:rsidRPr="00352EFD">
        <w:t>vailable at</w:t>
      </w:r>
      <w:r w:rsidRPr="00352EFD">
        <w:rPr>
          <w:rStyle w:val="apple-converted-space"/>
        </w:rPr>
        <w:t> </w:t>
      </w:r>
      <w:hyperlink r:id="rId16" w:tgtFrame="_blank" w:history="1">
        <w:r w:rsidRPr="00352EFD">
          <w:rPr>
            <w:rStyle w:val="Hyperlink"/>
            <w:color w:val="auto"/>
            <w:bdr w:val="none" w:sz="0" w:space="0" w:color="auto" w:frame="1"/>
          </w:rPr>
          <w:t>https://www.ceop.police.uk/safety-centre/</w:t>
        </w:r>
      </w:hyperlink>
      <w:r w:rsidRPr="00352EFD">
        <w:t>[accessed</w:t>
      </w:r>
      <w:r w:rsidRPr="00352EFD">
        <w:rPr>
          <w:rStyle w:val="apple-converted-space"/>
        </w:rPr>
        <w:t> </w:t>
      </w:r>
      <w:r w:rsidRPr="00352EFD">
        <w:t>1 June 2017].</w:t>
      </w:r>
    </w:p>
    <w:p w14:paraId="1E9CBA52" w14:textId="77777777" w:rsidR="00352EFD" w:rsidRPr="00352EFD" w:rsidRDefault="00352EFD" w:rsidP="00352EFD">
      <w:pPr>
        <w:rPr>
          <w:rStyle w:val="ref-lnk"/>
        </w:rPr>
      </w:pPr>
    </w:p>
    <w:p w14:paraId="7DA4A5F7" w14:textId="56E69DBE" w:rsidR="00352EFD" w:rsidRPr="00352EFD" w:rsidRDefault="00352EFD" w:rsidP="00352EFD">
      <w:pPr>
        <w:rPr>
          <w:rStyle w:val="ref-lnk"/>
          <w:b/>
          <w:bCs/>
        </w:rPr>
      </w:pPr>
      <w:r w:rsidRPr="00352EFD">
        <w:rPr>
          <w:rStyle w:val="ref-lnk"/>
        </w:rPr>
        <w:t xml:space="preserve">NPCC (2018) </w:t>
      </w:r>
      <w:r w:rsidRPr="00352EFD">
        <w:rPr>
          <w:rStyle w:val="ref-lnk"/>
          <w:i/>
          <w:iCs/>
        </w:rPr>
        <w:t>National Policing Vulnerability Knowledge and Practice Programme (VKPP) Briefing</w:t>
      </w:r>
      <w:r w:rsidR="003719DE">
        <w:rPr>
          <w:rStyle w:val="ref-lnk"/>
          <w:i/>
          <w:iCs/>
        </w:rPr>
        <w:t xml:space="preserve">. </w:t>
      </w:r>
      <w:r w:rsidR="003719DE" w:rsidRPr="003719DE">
        <w:rPr>
          <w:rStyle w:val="ref-lnk"/>
        </w:rPr>
        <w:t>A</w:t>
      </w:r>
      <w:r w:rsidRPr="00352EFD">
        <w:rPr>
          <w:rStyle w:val="ref-lnk"/>
        </w:rPr>
        <w:t xml:space="preserve">vailable at </w:t>
      </w:r>
      <w:hyperlink r:id="rId17" w:history="1">
        <w:r w:rsidRPr="00352EFD">
          <w:rPr>
            <w:rStyle w:val="Hyperlink"/>
            <w:color w:val="auto"/>
          </w:rPr>
          <w:t>https://whatworks.college.police.uk/Research/Documents/VKPP_Briefing.pdf</w:t>
        </w:r>
      </w:hyperlink>
      <w:r w:rsidRPr="00352EFD">
        <w:rPr>
          <w:rStyle w:val="ref-lnk"/>
        </w:rPr>
        <w:t xml:space="preserve"> [accessed 1st June 2021]</w:t>
      </w:r>
      <w:r w:rsidR="003D6C76">
        <w:rPr>
          <w:rStyle w:val="ref-lnk"/>
        </w:rPr>
        <w:t>.</w:t>
      </w:r>
      <w:r w:rsidRPr="00352EFD">
        <w:rPr>
          <w:rStyle w:val="ref-lnk"/>
          <w:b/>
          <w:bCs/>
          <w:i/>
          <w:iCs/>
        </w:rPr>
        <w:t xml:space="preserve"> </w:t>
      </w:r>
    </w:p>
    <w:p w14:paraId="307FEE31" w14:textId="77777777" w:rsidR="00352EFD" w:rsidRPr="00352EFD" w:rsidRDefault="00352EFD" w:rsidP="00352EFD">
      <w:pPr>
        <w:spacing w:before="100" w:beforeAutospacing="1" w:after="100" w:afterAutospacing="1"/>
        <w:jc w:val="both"/>
        <w:rPr>
          <w:rStyle w:val="ref-lnk"/>
          <w:i/>
          <w:iCs/>
        </w:rPr>
      </w:pPr>
      <w:r w:rsidRPr="00352EFD">
        <w:rPr>
          <w:rStyle w:val="ref-lnk"/>
        </w:rPr>
        <w:t xml:space="preserve">NPCC (2020) </w:t>
      </w:r>
      <w:r w:rsidRPr="00352EFD">
        <w:rPr>
          <w:rStyle w:val="ref-lnk"/>
          <w:i/>
          <w:iCs/>
        </w:rPr>
        <w:t>National Vulnerability Action Plan (NVAP) Revised 2020-22 v2.</w:t>
      </w:r>
    </w:p>
    <w:p w14:paraId="36E19236" w14:textId="75712CA4" w:rsidR="00352EFD" w:rsidRPr="00352EFD" w:rsidRDefault="00352EFD" w:rsidP="00352EFD">
      <w:pPr>
        <w:spacing w:before="100" w:beforeAutospacing="1" w:after="100" w:afterAutospacing="1"/>
        <w:rPr>
          <w:rStyle w:val="ref-lnk"/>
        </w:rPr>
      </w:pPr>
      <w:r w:rsidRPr="00352EFD">
        <w:t xml:space="preserve">NSPCC (2019) </w:t>
      </w:r>
      <w:r w:rsidRPr="00352EFD">
        <w:rPr>
          <w:i/>
        </w:rPr>
        <w:t xml:space="preserve">Online Abuse: Facts and Statistics, </w:t>
      </w:r>
      <w:r w:rsidRPr="00352EFD">
        <w:t xml:space="preserve">available at </w:t>
      </w:r>
      <w:hyperlink r:id="rId18" w:history="1">
        <w:r w:rsidRPr="00352EFD">
          <w:rPr>
            <w:rStyle w:val="Hyperlink"/>
            <w:color w:val="auto"/>
          </w:rPr>
          <w:t>https://www.nspcc.org.uk/preventing-abuse/child-abuse-and-neglect/online-abuse/facts-statistics/</w:t>
        </w:r>
      </w:hyperlink>
      <w:r w:rsidRPr="00352EFD">
        <w:t xml:space="preserve"> [accessed 11</w:t>
      </w:r>
      <w:r w:rsidRPr="00352EFD">
        <w:rPr>
          <w:vertAlign w:val="superscript"/>
        </w:rPr>
        <w:t>th</w:t>
      </w:r>
      <w:r w:rsidRPr="00352EFD">
        <w:t xml:space="preserve"> January 2019]. </w:t>
      </w:r>
    </w:p>
    <w:p w14:paraId="466C99A0" w14:textId="749131B7" w:rsidR="000B1725" w:rsidRPr="000B1725" w:rsidRDefault="000B1725" w:rsidP="000B1725">
      <w:r w:rsidRPr="009E14BA">
        <w:rPr>
          <w:color w:val="222222"/>
          <w:shd w:val="clear" w:color="auto" w:fill="FFFFFF"/>
        </w:rPr>
        <w:lastRenderedPageBreak/>
        <w:t>O</w:t>
      </w:r>
      <w:r>
        <w:rPr>
          <w:color w:val="222222"/>
          <w:shd w:val="clear" w:color="auto" w:fill="FFFFFF"/>
        </w:rPr>
        <w:t>’C</w:t>
      </w:r>
      <w:r w:rsidRPr="009E14BA">
        <w:rPr>
          <w:color w:val="222222"/>
          <w:shd w:val="clear" w:color="auto" w:fill="FFFFFF"/>
        </w:rPr>
        <w:t>onnor, R.M. and Waddell, S</w:t>
      </w:r>
      <w:r w:rsidRPr="0084099E">
        <w:rPr>
          <w:color w:val="222222"/>
          <w:shd w:val="clear" w:color="auto" w:fill="FFFFFF"/>
        </w:rPr>
        <w:t xml:space="preserve">. </w:t>
      </w:r>
      <w:r>
        <w:rPr>
          <w:color w:val="222222"/>
          <w:shd w:val="clear" w:color="auto" w:fill="FFFFFF"/>
        </w:rPr>
        <w:t>(</w:t>
      </w:r>
      <w:r w:rsidRPr="0084099E">
        <w:rPr>
          <w:color w:val="222222"/>
          <w:shd w:val="clear" w:color="auto" w:fill="FFFFFF"/>
        </w:rPr>
        <w:t>2015</w:t>
      </w:r>
      <w:r>
        <w:rPr>
          <w:color w:val="222222"/>
          <w:shd w:val="clear" w:color="auto" w:fill="FFFFFF"/>
        </w:rPr>
        <w:t>)</w:t>
      </w:r>
      <w:r w:rsidRPr="0084099E">
        <w:rPr>
          <w:color w:val="222222"/>
          <w:shd w:val="clear" w:color="auto" w:fill="FFFFFF"/>
        </w:rPr>
        <w:t xml:space="preserve">. </w:t>
      </w:r>
      <w:r>
        <w:rPr>
          <w:color w:val="222222"/>
          <w:shd w:val="clear" w:color="auto" w:fill="FFFFFF"/>
        </w:rPr>
        <w:t>‘</w:t>
      </w:r>
      <w:r w:rsidRPr="0084099E">
        <w:rPr>
          <w:color w:val="222222"/>
          <w:shd w:val="clear" w:color="auto" w:fill="FFFFFF"/>
        </w:rPr>
        <w:t>What works to prevent gang involvement, youth violence and crime</w:t>
      </w:r>
      <w:r>
        <w:rPr>
          <w:color w:val="222222"/>
          <w:shd w:val="clear" w:color="auto" w:fill="FFFFFF"/>
        </w:rPr>
        <w:t>’</w:t>
      </w:r>
      <w:r w:rsidRPr="0084099E">
        <w:rPr>
          <w:color w:val="222222"/>
          <w:shd w:val="clear" w:color="auto" w:fill="FFFFFF"/>
        </w:rPr>
        <w:t>. </w:t>
      </w:r>
      <w:r w:rsidRPr="0084099E">
        <w:rPr>
          <w:i/>
          <w:iCs/>
          <w:color w:val="222222"/>
          <w:shd w:val="clear" w:color="auto" w:fill="FFFFFF"/>
        </w:rPr>
        <w:t>A Rapid Review of Interventions Delivered in the UK and Abroad</w:t>
      </w:r>
      <w:r>
        <w:rPr>
          <w:i/>
          <w:iCs/>
          <w:color w:val="222222"/>
          <w:shd w:val="clear" w:color="auto" w:fill="FFFFFF"/>
        </w:rPr>
        <w:t xml:space="preserve">. </w:t>
      </w:r>
      <w:r w:rsidRPr="0084099E">
        <w:rPr>
          <w:color w:val="222222"/>
          <w:shd w:val="clear" w:color="auto" w:fill="FFFFFF"/>
        </w:rPr>
        <w:t>London:</w:t>
      </w:r>
      <w:r>
        <w:rPr>
          <w:color w:val="222222"/>
          <w:shd w:val="clear" w:color="auto" w:fill="FFFFFF"/>
        </w:rPr>
        <w:t xml:space="preserve"> </w:t>
      </w:r>
      <w:r w:rsidRPr="0084099E">
        <w:rPr>
          <w:color w:val="222222"/>
          <w:shd w:val="clear" w:color="auto" w:fill="FFFFFF"/>
        </w:rPr>
        <w:t>Early Intervention Foundation</w:t>
      </w:r>
      <w:r>
        <w:rPr>
          <w:color w:val="222222"/>
          <w:shd w:val="clear" w:color="auto" w:fill="FFFFFF"/>
        </w:rPr>
        <w:t>.</w:t>
      </w:r>
    </w:p>
    <w:p w14:paraId="06B2F53E" w14:textId="3A0B40E8" w:rsidR="00352EFD" w:rsidRPr="00352EFD" w:rsidRDefault="00352EFD" w:rsidP="00352EFD">
      <w:pPr>
        <w:spacing w:before="100" w:beforeAutospacing="1" w:after="100" w:afterAutospacing="1"/>
        <w:jc w:val="both"/>
        <w:rPr>
          <w:rStyle w:val="ref-lnk"/>
        </w:rPr>
      </w:pPr>
      <w:r w:rsidRPr="00352EFD">
        <w:rPr>
          <w:rStyle w:val="ref-lnk"/>
        </w:rPr>
        <w:t>O’Keefe, G., Clarke-Pearson, K. and Council on Communications and Media (2011) ‘The Impact of Social Media on Children, Adolescents and Families</w:t>
      </w:r>
      <w:r w:rsidR="00610A0B">
        <w:rPr>
          <w:rStyle w:val="ref-lnk"/>
        </w:rPr>
        <w:t>’</w:t>
      </w:r>
      <w:r w:rsidRPr="00352EFD">
        <w:rPr>
          <w:rStyle w:val="ref-lnk"/>
        </w:rPr>
        <w:t xml:space="preserve">, </w:t>
      </w:r>
      <w:r w:rsidRPr="00352EFD">
        <w:rPr>
          <w:rStyle w:val="ref-lnk"/>
          <w:i/>
          <w:iCs/>
        </w:rPr>
        <w:t>P</w:t>
      </w:r>
      <w:r w:rsidR="007344DE">
        <w:rPr>
          <w:rStyle w:val="ref-lnk"/>
          <w:i/>
          <w:iCs/>
        </w:rPr>
        <w:t>a</w:t>
      </w:r>
      <w:r w:rsidRPr="00352EFD">
        <w:rPr>
          <w:rStyle w:val="ref-lnk"/>
          <w:i/>
          <w:iCs/>
        </w:rPr>
        <w:t xml:space="preserve">ediatrics, </w:t>
      </w:r>
      <w:r w:rsidRPr="00352EFD">
        <w:rPr>
          <w:rStyle w:val="ref-lnk"/>
        </w:rPr>
        <w:t>127(4): 800-804.</w:t>
      </w:r>
    </w:p>
    <w:p w14:paraId="1A76F3EA" w14:textId="012860FD" w:rsidR="00352EFD" w:rsidRPr="00352EFD" w:rsidRDefault="00352EFD" w:rsidP="00352EFD">
      <w:pPr>
        <w:spacing w:before="100" w:beforeAutospacing="1" w:after="100" w:afterAutospacing="1"/>
        <w:rPr>
          <w:rStyle w:val="ref-lnk"/>
        </w:rPr>
      </w:pPr>
      <w:r w:rsidRPr="00352EFD">
        <w:t xml:space="preserve">O’Malley, P. (1992) ‘Risk, Power and Crime Prevention’. </w:t>
      </w:r>
      <w:r w:rsidRPr="00352EFD">
        <w:rPr>
          <w:i/>
          <w:iCs/>
        </w:rPr>
        <w:t>Economy and Society</w:t>
      </w:r>
      <w:r w:rsidR="003D6C76">
        <w:t>,</w:t>
      </w:r>
      <w:r w:rsidRPr="00352EFD">
        <w:t xml:space="preserve"> 21</w:t>
      </w:r>
      <w:r w:rsidR="003719DE">
        <w:t>(</w:t>
      </w:r>
      <w:r w:rsidRPr="00352EFD">
        <w:t>3</w:t>
      </w:r>
      <w:r w:rsidR="003719DE">
        <w:t>):</w:t>
      </w:r>
      <w:r w:rsidRPr="00352EFD">
        <w:t xml:space="preserve"> 252</w:t>
      </w:r>
      <w:r w:rsidR="003719DE">
        <w:t>-</w:t>
      </w:r>
      <w:r w:rsidRPr="00352EFD">
        <w:t xml:space="preserve">75. </w:t>
      </w:r>
    </w:p>
    <w:p w14:paraId="607807CF" w14:textId="77777777" w:rsidR="00352EFD" w:rsidRPr="00352EFD" w:rsidRDefault="00352EFD" w:rsidP="00352EFD">
      <w:r w:rsidRPr="00352EFD">
        <w:rPr>
          <w:shd w:val="clear" w:color="auto" w:fill="FFFFFF"/>
        </w:rPr>
        <w:t xml:space="preserve">Palfrey, J., Gasser, U., </w:t>
      </w:r>
      <w:proofErr w:type="spellStart"/>
      <w:r w:rsidRPr="00352EFD">
        <w:rPr>
          <w:shd w:val="clear" w:color="auto" w:fill="FFFFFF"/>
        </w:rPr>
        <w:t>Simun</w:t>
      </w:r>
      <w:proofErr w:type="spellEnd"/>
      <w:r w:rsidRPr="00352EFD">
        <w:rPr>
          <w:shd w:val="clear" w:color="auto" w:fill="FFFFFF"/>
        </w:rPr>
        <w:t xml:space="preserve">, M. and Barnes, R. (2009) ‘Youth, Creativity, and Copyright in the Digital Age’, </w:t>
      </w:r>
      <w:r w:rsidRPr="00352EFD">
        <w:rPr>
          <w:i/>
          <w:iCs/>
          <w:shd w:val="clear" w:color="auto" w:fill="FFFFFF"/>
        </w:rPr>
        <w:t>International Journal of Learning &amp; Media</w:t>
      </w:r>
      <w:r w:rsidRPr="00352EFD">
        <w:rPr>
          <w:shd w:val="clear" w:color="auto" w:fill="FFFFFF"/>
        </w:rPr>
        <w:t>, 1: 79-97.</w:t>
      </w:r>
    </w:p>
    <w:p w14:paraId="1699D898" w14:textId="77777777" w:rsidR="00352EFD" w:rsidRPr="00352EFD" w:rsidRDefault="00352EFD" w:rsidP="00352EFD">
      <w:pPr>
        <w:spacing w:before="100" w:beforeAutospacing="1" w:after="100" w:afterAutospacing="1"/>
        <w:jc w:val="both"/>
        <w:rPr>
          <w:rStyle w:val="ref-lnk"/>
          <w:i/>
          <w:iCs/>
        </w:rPr>
      </w:pPr>
      <w:r w:rsidRPr="00352EFD">
        <w:rPr>
          <w:rStyle w:val="ref-lnk"/>
        </w:rPr>
        <w:t xml:space="preserve">Parton, N. (2010) ‘“From Dangerousness to Risk”: The Growing Importance of Screening and Surveillance Systems for Safeguarding and Promoting the Well-being of Children’, </w:t>
      </w:r>
      <w:r w:rsidRPr="00352EFD">
        <w:rPr>
          <w:rStyle w:val="ref-lnk"/>
          <w:i/>
          <w:iCs/>
        </w:rPr>
        <w:t xml:space="preserve">Health, Risk and Society, </w:t>
      </w:r>
      <w:r w:rsidRPr="00352EFD">
        <w:rPr>
          <w:rStyle w:val="ref-lnk"/>
        </w:rPr>
        <w:t>12(1): 51-64.</w:t>
      </w:r>
      <w:r w:rsidRPr="00352EFD">
        <w:rPr>
          <w:rStyle w:val="ref-lnk"/>
          <w:i/>
          <w:iCs/>
        </w:rPr>
        <w:t xml:space="preserve"> </w:t>
      </w:r>
    </w:p>
    <w:p w14:paraId="2716FB17" w14:textId="1D27A0B7" w:rsidR="00352EFD" w:rsidRPr="00352EFD" w:rsidRDefault="00352EFD" w:rsidP="00352EFD">
      <w:pPr>
        <w:textAlignment w:val="baseline"/>
        <w:rPr>
          <w:shd w:val="clear" w:color="auto" w:fill="FFFFFF"/>
        </w:rPr>
      </w:pPr>
      <w:r w:rsidRPr="00352EFD">
        <w:t>Ralph</w:t>
      </w:r>
      <w:r w:rsidRPr="00352EFD">
        <w:rPr>
          <w:shd w:val="clear" w:color="auto" w:fill="FFFFFF"/>
        </w:rPr>
        <w:t>,</w:t>
      </w:r>
      <w:r w:rsidRPr="00352EFD">
        <w:rPr>
          <w:rStyle w:val="apple-converted-space"/>
          <w:shd w:val="clear" w:color="auto" w:fill="FFFFFF"/>
        </w:rPr>
        <w:t>  </w:t>
      </w:r>
      <w:r w:rsidRPr="00352EFD">
        <w:t>N.</w:t>
      </w:r>
      <w:r w:rsidRPr="00352EFD">
        <w:rPr>
          <w:shd w:val="clear" w:color="auto" w:fill="FFFFFF"/>
        </w:rPr>
        <w:t>,</w:t>
      </w:r>
      <w:r w:rsidRPr="00352EFD">
        <w:rPr>
          <w:rStyle w:val="apple-converted-space"/>
          <w:shd w:val="clear" w:color="auto" w:fill="FFFFFF"/>
        </w:rPr>
        <w:t> </w:t>
      </w:r>
      <w:r w:rsidRPr="00352EFD">
        <w:rPr>
          <w:bdr w:val="none" w:sz="0" w:space="0" w:color="auto" w:frame="1"/>
        </w:rPr>
        <w:t>Birks</w:t>
      </w:r>
      <w:r w:rsidRPr="00352EFD">
        <w:rPr>
          <w:rStyle w:val="name"/>
          <w:bdr w:val="none" w:sz="0" w:space="0" w:color="auto" w:frame="1"/>
        </w:rPr>
        <w:t>,</w:t>
      </w:r>
      <w:r w:rsidRPr="00352EFD">
        <w:rPr>
          <w:rStyle w:val="apple-converted-space"/>
          <w:bdr w:val="none" w:sz="0" w:space="0" w:color="auto" w:frame="1"/>
        </w:rPr>
        <w:t>  </w:t>
      </w:r>
      <w:r w:rsidRPr="00352EFD">
        <w:rPr>
          <w:bdr w:val="none" w:sz="0" w:space="0" w:color="auto" w:frame="1"/>
        </w:rPr>
        <w:t>M.</w:t>
      </w:r>
      <w:r w:rsidRPr="00352EFD">
        <w:rPr>
          <w:rStyle w:val="apple-converted-space"/>
          <w:shd w:val="clear" w:color="auto" w:fill="FFFFFF"/>
        </w:rPr>
        <w:t> </w:t>
      </w:r>
      <w:r w:rsidRPr="00352EFD">
        <w:rPr>
          <w:shd w:val="clear" w:color="auto" w:fill="FFFFFF"/>
        </w:rPr>
        <w:t>and</w:t>
      </w:r>
      <w:r w:rsidRPr="00352EFD">
        <w:rPr>
          <w:rStyle w:val="apple-converted-space"/>
          <w:shd w:val="clear" w:color="auto" w:fill="FFFFFF"/>
        </w:rPr>
        <w:t> </w:t>
      </w:r>
      <w:r w:rsidRPr="00352EFD">
        <w:rPr>
          <w:bdr w:val="none" w:sz="0" w:space="0" w:color="auto" w:frame="1"/>
        </w:rPr>
        <w:t>Chapman</w:t>
      </w:r>
      <w:r w:rsidRPr="00352EFD">
        <w:rPr>
          <w:rStyle w:val="name"/>
          <w:bdr w:val="none" w:sz="0" w:space="0" w:color="auto" w:frame="1"/>
        </w:rPr>
        <w:t>,</w:t>
      </w:r>
      <w:r w:rsidRPr="00352EFD">
        <w:rPr>
          <w:rStyle w:val="apple-converted-space"/>
          <w:bdr w:val="none" w:sz="0" w:space="0" w:color="auto" w:frame="1"/>
        </w:rPr>
        <w:t>  </w:t>
      </w:r>
      <w:r w:rsidRPr="00352EFD">
        <w:rPr>
          <w:bdr w:val="none" w:sz="0" w:space="0" w:color="auto" w:frame="1"/>
        </w:rPr>
        <w:t>Y</w:t>
      </w:r>
      <w:r w:rsidRPr="00352EFD">
        <w:rPr>
          <w:shd w:val="clear" w:color="auto" w:fill="FFFFFF"/>
        </w:rPr>
        <w:t>. (</w:t>
      </w:r>
      <w:r w:rsidRPr="00352EFD">
        <w:t>2015</w:t>
      </w:r>
      <w:r w:rsidRPr="00352EFD">
        <w:rPr>
          <w:shd w:val="clear" w:color="auto" w:fill="FFFFFF"/>
        </w:rPr>
        <w:t>)</w:t>
      </w:r>
      <w:r w:rsidRPr="00352EFD">
        <w:rPr>
          <w:rStyle w:val="apple-converted-space"/>
          <w:shd w:val="clear" w:color="auto" w:fill="FFFFFF"/>
        </w:rPr>
        <w:t> </w:t>
      </w:r>
      <w:r w:rsidRPr="00352EFD">
        <w:t>‘The Methodological Dynamism of Grounded Theory’</w:t>
      </w:r>
      <w:r w:rsidRPr="00352EFD">
        <w:rPr>
          <w:shd w:val="clear" w:color="auto" w:fill="FFFFFF"/>
        </w:rPr>
        <w:t>,</w:t>
      </w:r>
      <w:r w:rsidRPr="00352EFD">
        <w:rPr>
          <w:rStyle w:val="apple-converted-space"/>
          <w:shd w:val="clear" w:color="auto" w:fill="FFFFFF"/>
        </w:rPr>
        <w:t> </w:t>
      </w:r>
      <w:r w:rsidRPr="00352EFD">
        <w:rPr>
          <w:i/>
          <w:iCs/>
        </w:rPr>
        <w:t>International Journal of Qualitative Methods</w:t>
      </w:r>
      <w:r w:rsidRPr="00352EFD">
        <w:rPr>
          <w:shd w:val="clear" w:color="auto" w:fill="FFFFFF"/>
        </w:rPr>
        <w:t>,</w:t>
      </w:r>
      <w:r w:rsidRPr="00352EFD">
        <w:rPr>
          <w:rStyle w:val="apple-converted-space"/>
          <w:shd w:val="clear" w:color="auto" w:fill="FFFFFF"/>
        </w:rPr>
        <w:t> </w:t>
      </w:r>
      <w:r w:rsidRPr="00352EFD">
        <w:t>14</w:t>
      </w:r>
      <w:r w:rsidR="003719DE">
        <w:t>(1)</w:t>
      </w:r>
      <w:r w:rsidRPr="00352EFD">
        <w:rPr>
          <w:shd w:val="clear" w:color="auto" w:fill="FFFFFF"/>
        </w:rPr>
        <w:t>:</w:t>
      </w:r>
      <w:r w:rsidRPr="00352EFD">
        <w:rPr>
          <w:rStyle w:val="apple-converted-space"/>
          <w:shd w:val="clear" w:color="auto" w:fill="FFFFFF"/>
        </w:rPr>
        <w:t> </w:t>
      </w:r>
      <w:r w:rsidRPr="00352EFD">
        <w:t>1</w:t>
      </w:r>
      <w:r w:rsidR="003719DE">
        <w:rPr>
          <w:shd w:val="clear" w:color="auto" w:fill="FFFFFF"/>
        </w:rPr>
        <w:t>-</w:t>
      </w:r>
      <w:r w:rsidRPr="00352EFD">
        <w:t>6</w:t>
      </w:r>
      <w:r w:rsidRPr="00352EFD">
        <w:rPr>
          <w:shd w:val="clear" w:color="auto" w:fill="FFFFFF"/>
        </w:rPr>
        <w:t>.</w:t>
      </w:r>
    </w:p>
    <w:p w14:paraId="37AB59DA" w14:textId="07CC2187" w:rsidR="00352EFD" w:rsidRPr="00352EFD" w:rsidRDefault="00352EFD" w:rsidP="00352EFD">
      <w:pPr>
        <w:spacing w:before="100" w:beforeAutospacing="1" w:after="100" w:afterAutospacing="1"/>
      </w:pPr>
      <w:r w:rsidRPr="00352EFD">
        <w:t xml:space="preserve">Rose, N. and Miller, P. (1992) ‘Political Power Beyond the State: Problematics of Government’. </w:t>
      </w:r>
      <w:r w:rsidRPr="00352EFD">
        <w:rPr>
          <w:i/>
          <w:iCs/>
        </w:rPr>
        <w:t>British Journal of Sociology</w:t>
      </w:r>
      <w:r w:rsidRPr="00352EFD">
        <w:t>. 43</w:t>
      </w:r>
      <w:r w:rsidR="003719DE">
        <w:t>(</w:t>
      </w:r>
      <w:r w:rsidRPr="00352EFD">
        <w:t>2</w:t>
      </w:r>
      <w:r w:rsidR="003719DE">
        <w:t xml:space="preserve">): </w:t>
      </w:r>
      <w:r w:rsidRPr="00352EFD">
        <w:t>173</w:t>
      </w:r>
      <w:r w:rsidR="003719DE">
        <w:t>-</w:t>
      </w:r>
      <w:r w:rsidRPr="00352EFD">
        <w:t xml:space="preserve">205. </w:t>
      </w:r>
    </w:p>
    <w:p w14:paraId="43A2D863" w14:textId="4DFF689D" w:rsidR="00352EFD" w:rsidRPr="00352EFD" w:rsidRDefault="00352EFD" w:rsidP="00352EFD">
      <w:pPr>
        <w:spacing w:before="100" w:beforeAutospacing="1" w:after="100" w:afterAutospacing="1"/>
      </w:pPr>
      <w:r w:rsidRPr="00352EFD">
        <w:t xml:space="preserve">Rose, N. (1999) </w:t>
      </w:r>
      <w:r w:rsidRPr="00352EFD">
        <w:rPr>
          <w:i/>
          <w:iCs/>
        </w:rPr>
        <w:t xml:space="preserve">Governing the Soul: The Shaping of the Private Self </w:t>
      </w:r>
      <w:r w:rsidRPr="00352EFD">
        <w:t>(2nd Edition). London</w:t>
      </w:r>
      <w:r w:rsidR="003719DE">
        <w:t>:</w:t>
      </w:r>
      <w:r w:rsidRPr="00352EFD">
        <w:t xml:space="preserve"> Free Association Books. </w:t>
      </w:r>
    </w:p>
    <w:p w14:paraId="59541FC9" w14:textId="4548F047" w:rsidR="00352EFD" w:rsidRPr="00352EFD" w:rsidRDefault="00352EFD" w:rsidP="00352EFD">
      <w:pPr>
        <w:spacing w:before="100" w:beforeAutospacing="1" w:after="100" w:afterAutospacing="1"/>
        <w:rPr>
          <w:rStyle w:val="ref-lnk"/>
        </w:rPr>
      </w:pPr>
      <w:proofErr w:type="spellStart"/>
      <w:r w:rsidRPr="00352EFD">
        <w:t>Shildrick</w:t>
      </w:r>
      <w:proofErr w:type="spellEnd"/>
      <w:r w:rsidRPr="00352EFD">
        <w:t xml:space="preserve">, M. (2002) </w:t>
      </w:r>
      <w:r w:rsidRPr="00352EFD">
        <w:rPr>
          <w:i/>
          <w:iCs/>
        </w:rPr>
        <w:t>Embodying the Monster: Encounters with the Vulnerable Self</w:t>
      </w:r>
      <w:r w:rsidR="003719DE">
        <w:rPr>
          <w:i/>
          <w:iCs/>
        </w:rPr>
        <w:t>.</w:t>
      </w:r>
      <w:r w:rsidRPr="00352EFD">
        <w:rPr>
          <w:i/>
          <w:iCs/>
        </w:rPr>
        <w:t xml:space="preserve"> </w:t>
      </w:r>
      <w:r w:rsidRPr="00352EFD">
        <w:t>London: Sage.</w:t>
      </w:r>
    </w:p>
    <w:p w14:paraId="0B544959" w14:textId="3D42E1F3" w:rsidR="00352EFD" w:rsidRPr="00352EFD" w:rsidRDefault="00352EFD" w:rsidP="00352EFD">
      <w:pPr>
        <w:rPr>
          <w:shd w:val="clear" w:color="auto" w:fill="FFFFFF"/>
        </w:rPr>
      </w:pPr>
      <w:r w:rsidRPr="00352EFD">
        <w:rPr>
          <w:shd w:val="clear" w:color="auto" w:fill="FFFFFF"/>
        </w:rPr>
        <w:t>Sibley, S. (2018) ‘Owning Risk: Sex Worker Subjectivities and the Reimagining of Vulnerability and Victimhood’,</w:t>
      </w:r>
      <w:r w:rsidRPr="00352EFD">
        <w:rPr>
          <w:rStyle w:val="apple-converted-space"/>
          <w:shd w:val="clear" w:color="auto" w:fill="FFFFFF"/>
        </w:rPr>
        <w:t> </w:t>
      </w:r>
      <w:r w:rsidRPr="00352EFD">
        <w:rPr>
          <w:rStyle w:val="Emphasis"/>
          <w:bdr w:val="none" w:sz="0" w:space="0" w:color="auto" w:frame="1"/>
        </w:rPr>
        <w:t>The British Journal of Criminology</w:t>
      </w:r>
      <w:r w:rsidRPr="00352EFD">
        <w:rPr>
          <w:shd w:val="clear" w:color="auto" w:fill="FFFFFF"/>
        </w:rPr>
        <w:t>, 58(6): 1462</w:t>
      </w:r>
      <w:r w:rsidR="003719DE">
        <w:rPr>
          <w:shd w:val="clear" w:color="auto" w:fill="FFFFFF"/>
        </w:rPr>
        <w:t>-</w:t>
      </w:r>
      <w:r w:rsidRPr="00352EFD">
        <w:rPr>
          <w:shd w:val="clear" w:color="auto" w:fill="FFFFFF"/>
        </w:rPr>
        <w:t>1479.</w:t>
      </w:r>
    </w:p>
    <w:p w14:paraId="3B8EA151" w14:textId="77777777" w:rsidR="00352EFD" w:rsidRPr="00352EFD" w:rsidRDefault="00352EFD" w:rsidP="00352EFD">
      <w:pPr>
        <w:rPr>
          <w:rStyle w:val="ref-lnk"/>
        </w:rPr>
      </w:pPr>
    </w:p>
    <w:p w14:paraId="69CF6CED" w14:textId="699308C1" w:rsidR="00352EFD" w:rsidRPr="00352EFD" w:rsidRDefault="00352EFD" w:rsidP="00352EFD">
      <w:pPr>
        <w:rPr>
          <w:rStyle w:val="ref-lnk"/>
        </w:rPr>
      </w:pPr>
      <w:r w:rsidRPr="00352EFD">
        <w:rPr>
          <w:rStyle w:val="ref-lnk"/>
        </w:rPr>
        <w:t>Stanford, S. (2012) ‘Critically reflecting on being a ‘at risk’ and ‘a risk’ in vulnerable people policing’</w:t>
      </w:r>
      <w:r w:rsidR="003719DE">
        <w:rPr>
          <w:rStyle w:val="ref-lnk"/>
        </w:rPr>
        <w:t xml:space="preserve">, in </w:t>
      </w:r>
      <w:proofErr w:type="spellStart"/>
      <w:r w:rsidRPr="00352EFD">
        <w:rPr>
          <w:rStyle w:val="ref-lnk"/>
        </w:rPr>
        <w:t>Bartkowiak-Théron</w:t>
      </w:r>
      <w:proofErr w:type="spellEnd"/>
      <w:r w:rsidRPr="00352EFD">
        <w:rPr>
          <w:rStyle w:val="ref-lnk"/>
        </w:rPr>
        <w:t xml:space="preserve">, I, </w:t>
      </w:r>
      <w:r w:rsidR="003719DE">
        <w:rPr>
          <w:rStyle w:val="ref-lnk"/>
        </w:rPr>
        <w:t xml:space="preserve">and </w:t>
      </w:r>
      <w:r w:rsidRPr="00352EFD">
        <w:rPr>
          <w:rStyle w:val="ref-lnk"/>
        </w:rPr>
        <w:t>Asquith, N</w:t>
      </w:r>
      <w:r w:rsidR="003719DE">
        <w:rPr>
          <w:rStyle w:val="ref-lnk"/>
        </w:rPr>
        <w:t>.</w:t>
      </w:r>
      <w:r w:rsidRPr="00352EFD">
        <w:rPr>
          <w:rStyle w:val="ref-lnk"/>
        </w:rPr>
        <w:t xml:space="preserve"> (eds) </w:t>
      </w:r>
      <w:r w:rsidRPr="003719DE">
        <w:rPr>
          <w:rStyle w:val="ref-lnk"/>
          <w:i/>
          <w:iCs/>
        </w:rPr>
        <w:t>Policing Vulnerability</w:t>
      </w:r>
      <w:r w:rsidRPr="00352EFD">
        <w:rPr>
          <w:rStyle w:val="ref-lnk"/>
        </w:rPr>
        <w:t>. Annandale, VA: Federation Press, </w:t>
      </w:r>
      <w:r w:rsidR="003719DE">
        <w:rPr>
          <w:rStyle w:val="ref-lnk"/>
        </w:rPr>
        <w:t xml:space="preserve">p. </w:t>
      </w:r>
      <w:r w:rsidRPr="00352EFD">
        <w:rPr>
          <w:rStyle w:val="ref-lnk"/>
        </w:rPr>
        <w:t>20</w:t>
      </w:r>
      <w:r w:rsidR="003719DE">
        <w:rPr>
          <w:rStyle w:val="ref-lnk"/>
        </w:rPr>
        <w:t>-</w:t>
      </w:r>
      <w:r w:rsidRPr="00352EFD">
        <w:rPr>
          <w:rStyle w:val="ref-lnk"/>
        </w:rPr>
        <w:t>32. </w:t>
      </w:r>
    </w:p>
    <w:p w14:paraId="5592AB65" w14:textId="77777777" w:rsidR="00352EFD" w:rsidRPr="00352EFD" w:rsidRDefault="00352EFD" w:rsidP="00352EFD">
      <w:pPr>
        <w:rPr>
          <w:rStyle w:val="ref-lnk"/>
        </w:rPr>
      </w:pPr>
    </w:p>
    <w:p w14:paraId="76C61FB9" w14:textId="2059EA2C" w:rsidR="00352EFD" w:rsidRPr="00352EFD" w:rsidRDefault="00352EFD" w:rsidP="00352EFD">
      <w:pPr>
        <w:textAlignment w:val="baseline"/>
      </w:pPr>
      <w:r w:rsidRPr="00352EFD">
        <w:t>Strauss,</w:t>
      </w:r>
      <w:r w:rsidRPr="00352EFD">
        <w:rPr>
          <w:rStyle w:val="apple-converted-space"/>
        </w:rPr>
        <w:t> </w:t>
      </w:r>
      <w:r w:rsidRPr="00352EFD">
        <w:t>A.</w:t>
      </w:r>
      <w:r w:rsidRPr="00352EFD">
        <w:rPr>
          <w:rStyle w:val="apple-converted-space"/>
        </w:rPr>
        <w:t> </w:t>
      </w:r>
      <w:r w:rsidRPr="00352EFD">
        <w:t>and</w:t>
      </w:r>
      <w:r w:rsidRPr="00352EFD">
        <w:rPr>
          <w:rStyle w:val="apple-converted-space"/>
        </w:rPr>
        <w:t> </w:t>
      </w:r>
      <w:r w:rsidRPr="00352EFD">
        <w:rPr>
          <w:bdr w:val="none" w:sz="0" w:space="0" w:color="auto" w:frame="1"/>
        </w:rPr>
        <w:t>Corbin</w:t>
      </w:r>
      <w:r w:rsidRPr="00352EFD">
        <w:rPr>
          <w:rStyle w:val="name"/>
          <w:bdr w:val="none" w:sz="0" w:space="0" w:color="auto" w:frame="1"/>
        </w:rPr>
        <w:t>,</w:t>
      </w:r>
      <w:r w:rsidRPr="00352EFD">
        <w:rPr>
          <w:rStyle w:val="apple-converted-space"/>
          <w:bdr w:val="none" w:sz="0" w:space="0" w:color="auto" w:frame="1"/>
        </w:rPr>
        <w:t> </w:t>
      </w:r>
      <w:r w:rsidRPr="00352EFD">
        <w:rPr>
          <w:bdr w:val="none" w:sz="0" w:space="0" w:color="auto" w:frame="1"/>
        </w:rPr>
        <w:t>J. M</w:t>
      </w:r>
      <w:r w:rsidRPr="00352EFD">
        <w:t>. (1990)</w:t>
      </w:r>
      <w:r w:rsidRPr="00352EFD">
        <w:rPr>
          <w:rStyle w:val="apple-converted-space"/>
        </w:rPr>
        <w:t> </w:t>
      </w:r>
      <w:r w:rsidRPr="00352EFD">
        <w:rPr>
          <w:rStyle w:val="Emphasis"/>
          <w:bdr w:val="none" w:sz="0" w:space="0" w:color="auto" w:frame="1"/>
        </w:rPr>
        <w:t>Basics of Qualitative Research: Grounded Theory Procedures and Techniques</w:t>
      </w:r>
      <w:r w:rsidRPr="00352EFD">
        <w:t>.</w:t>
      </w:r>
      <w:r w:rsidRPr="00352EFD">
        <w:rPr>
          <w:rStyle w:val="apple-converted-space"/>
        </w:rPr>
        <w:t> </w:t>
      </w:r>
      <w:r w:rsidR="003719DE">
        <w:rPr>
          <w:rStyle w:val="apple-converted-space"/>
        </w:rPr>
        <w:t xml:space="preserve">London: </w:t>
      </w:r>
      <w:r w:rsidRPr="00352EFD">
        <w:t>Sage</w:t>
      </w:r>
      <w:r w:rsidR="003719DE">
        <w:t>.</w:t>
      </w:r>
    </w:p>
    <w:p w14:paraId="29BBFAD6" w14:textId="77777777" w:rsidR="00352EFD" w:rsidRPr="00352EFD" w:rsidRDefault="00352EFD" w:rsidP="00352EFD">
      <w:pPr>
        <w:textAlignment w:val="baseline"/>
      </w:pPr>
    </w:p>
    <w:p w14:paraId="2B92BCAF" w14:textId="3479660A" w:rsidR="00352EFD" w:rsidRPr="00352EFD" w:rsidRDefault="00352EFD" w:rsidP="00352EFD">
      <w:pPr>
        <w:pStyle w:val="NormalWeb"/>
        <w:spacing w:before="0" w:beforeAutospacing="0" w:after="0" w:afterAutospacing="0"/>
        <w:textAlignment w:val="baseline"/>
        <w:rPr>
          <w:shd w:val="clear" w:color="auto" w:fill="FFFFFF"/>
        </w:rPr>
      </w:pPr>
      <w:r w:rsidRPr="00352EFD">
        <w:t>Timmermans, S. and</w:t>
      </w:r>
      <w:r w:rsidRPr="00352EFD">
        <w:rPr>
          <w:bdr w:val="none" w:sz="0" w:space="0" w:color="auto" w:frame="1"/>
        </w:rPr>
        <w:t xml:space="preserve"> Gabe, J</w:t>
      </w:r>
      <w:r w:rsidRPr="00352EFD">
        <w:t xml:space="preserve">. (2003) </w:t>
      </w:r>
      <w:r w:rsidRPr="00352EFD">
        <w:rPr>
          <w:i/>
          <w:iCs/>
          <w:shd w:val="clear" w:color="auto" w:fill="FFFFFF"/>
        </w:rPr>
        <w:t>Partners in Health, Partners in Crime: Exploring the Boundaries of Criminology and Sociology of Health and Illness</w:t>
      </w:r>
      <w:r w:rsidRPr="00352EFD">
        <w:rPr>
          <w:shd w:val="clear" w:color="auto" w:fill="FFFFFF"/>
        </w:rPr>
        <w:t>. Oxford: Basil Blackwell.</w:t>
      </w:r>
    </w:p>
    <w:p w14:paraId="375D505A" w14:textId="77777777" w:rsidR="00352EFD" w:rsidRPr="00352EFD" w:rsidRDefault="00352EFD" w:rsidP="00352EFD">
      <w:pPr>
        <w:pStyle w:val="NormalWeb"/>
        <w:spacing w:before="0" w:beforeAutospacing="0" w:after="0" w:afterAutospacing="0"/>
        <w:textAlignment w:val="baseline"/>
        <w:rPr>
          <w:shd w:val="clear" w:color="auto" w:fill="FFFFFF"/>
        </w:rPr>
      </w:pPr>
    </w:p>
    <w:p w14:paraId="11E0712D" w14:textId="3B18B16A" w:rsidR="00352EFD" w:rsidRPr="00352EFD" w:rsidRDefault="00352EFD" w:rsidP="00352EFD">
      <w:pPr>
        <w:pStyle w:val="NormalWeb"/>
        <w:spacing w:before="0" w:beforeAutospacing="0" w:after="0" w:afterAutospacing="0"/>
        <w:textAlignment w:val="baseline"/>
        <w:rPr>
          <w:rStyle w:val="ref-lnk"/>
        </w:rPr>
      </w:pPr>
      <w:proofErr w:type="spellStart"/>
      <w:r w:rsidRPr="00352EFD">
        <w:rPr>
          <w:shd w:val="clear" w:color="auto" w:fill="FFFFFF"/>
        </w:rPr>
        <w:t>Trebilcock</w:t>
      </w:r>
      <w:proofErr w:type="spellEnd"/>
      <w:r w:rsidRPr="00352EFD">
        <w:rPr>
          <w:shd w:val="clear" w:color="auto" w:fill="FFFFFF"/>
        </w:rPr>
        <w:t xml:space="preserve">, J. and Weston, S. (2020) </w:t>
      </w:r>
      <w:r w:rsidRPr="00352EFD">
        <w:rPr>
          <w:i/>
          <w:iCs/>
          <w:shd w:val="clear" w:color="auto" w:fill="FFFFFF"/>
        </w:rPr>
        <w:t>Mental Health and Offending: Care, Coercion and Control</w:t>
      </w:r>
      <w:r w:rsidR="003719DE">
        <w:rPr>
          <w:i/>
          <w:iCs/>
          <w:shd w:val="clear" w:color="auto" w:fill="FFFFFF"/>
        </w:rPr>
        <w:t>.</w:t>
      </w:r>
      <w:r w:rsidRPr="00352EFD">
        <w:rPr>
          <w:i/>
          <w:iCs/>
          <w:shd w:val="clear" w:color="auto" w:fill="FFFFFF"/>
        </w:rPr>
        <w:t xml:space="preserve"> </w:t>
      </w:r>
      <w:r w:rsidRPr="00352EFD">
        <w:rPr>
          <w:shd w:val="clear" w:color="auto" w:fill="FFFFFF"/>
        </w:rPr>
        <w:t>Oxon: Routledge</w:t>
      </w:r>
      <w:r w:rsidR="003719DE">
        <w:rPr>
          <w:shd w:val="clear" w:color="auto" w:fill="FFFFFF"/>
        </w:rPr>
        <w:t>.</w:t>
      </w:r>
    </w:p>
    <w:p w14:paraId="6A629513" w14:textId="77777777" w:rsidR="00352EFD" w:rsidRPr="00352EFD" w:rsidRDefault="00352EFD" w:rsidP="00352EFD">
      <w:pPr>
        <w:spacing w:before="100" w:beforeAutospacing="1" w:after="100" w:afterAutospacing="1"/>
        <w:jc w:val="both"/>
        <w:rPr>
          <w:rStyle w:val="ref-lnk"/>
        </w:rPr>
      </w:pPr>
      <w:r w:rsidRPr="00352EFD">
        <w:rPr>
          <w:rStyle w:val="ref-lnk"/>
        </w:rPr>
        <w:t xml:space="preserve">Twigg, J. (2014) ‘Attitude Before Method: Disability in Vulnerability and Capacity Assessment’, </w:t>
      </w:r>
      <w:r w:rsidRPr="00352EFD">
        <w:rPr>
          <w:rStyle w:val="ref-lnk"/>
          <w:i/>
          <w:iCs/>
        </w:rPr>
        <w:t xml:space="preserve">Disasters, </w:t>
      </w:r>
      <w:r w:rsidRPr="00352EFD">
        <w:rPr>
          <w:rStyle w:val="ref-lnk"/>
        </w:rPr>
        <w:t>38(3): 465-482.</w:t>
      </w:r>
    </w:p>
    <w:p w14:paraId="62FDEFEA" w14:textId="1FDDD4F3" w:rsidR="00352EFD" w:rsidRPr="00352EFD" w:rsidRDefault="00352EFD" w:rsidP="00352EFD">
      <w:pPr>
        <w:spacing w:before="100" w:beforeAutospacing="1" w:after="100" w:afterAutospacing="1"/>
        <w:jc w:val="both"/>
        <w:rPr>
          <w:rStyle w:val="ref-lnk"/>
        </w:rPr>
      </w:pPr>
      <w:proofErr w:type="spellStart"/>
      <w:r w:rsidRPr="00352EFD">
        <w:rPr>
          <w:rStyle w:val="ref-lnk"/>
        </w:rPr>
        <w:t>Virokannas</w:t>
      </w:r>
      <w:proofErr w:type="spellEnd"/>
      <w:r w:rsidRPr="00352EFD">
        <w:rPr>
          <w:rStyle w:val="ref-lnk"/>
        </w:rPr>
        <w:t xml:space="preserve">, E., </w:t>
      </w:r>
      <w:proofErr w:type="spellStart"/>
      <w:r w:rsidRPr="00352EFD">
        <w:rPr>
          <w:rStyle w:val="ref-lnk"/>
        </w:rPr>
        <w:t>Liuski</w:t>
      </w:r>
      <w:proofErr w:type="spellEnd"/>
      <w:r w:rsidRPr="00352EFD">
        <w:rPr>
          <w:rStyle w:val="ref-lnk"/>
        </w:rPr>
        <w:t xml:space="preserve">, S., &amp; </w:t>
      </w:r>
      <w:proofErr w:type="spellStart"/>
      <w:r w:rsidRPr="00352EFD">
        <w:rPr>
          <w:rStyle w:val="ref-lnk"/>
        </w:rPr>
        <w:t>Kuronen</w:t>
      </w:r>
      <w:proofErr w:type="spellEnd"/>
      <w:r w:rsidRPr="00352EFD">
        <w:rPr>
          <w:rStyle w:val="ref-lnk"/>
        </w:rPr>
        <w:t>, M. (2020). ‘The contested concept of vulnerability</w:t>
      </w:r>
      <w:r w:rsidR="003719DE">
        <w:rPr>
          <w:rStyle w:val="ref-lnk"/>
        </w:rPr>
        <w:t xml:space="preserve"> - A</w:t>
      </w:r>
      <w:r w:rsidRPr="00352EFD">
        <w:rPr>
          <w:rStyle w:val="ref-lnk"/>
        </w:rPr>
        <w:t xml:space="preserve"> literature review</w:t>
      </w:r>
      <w:r w:rsidR="003719DE">
        <w:rPr>
          <w:rStyle w:val="ref-lnk"/>
        </w:rPr>
        <w:t xml:space="preserve">’, </w:t>
      </w:r>
      <w:r w:rsidRPr="00352EFD">
        <w:rPr>
          <w:rStyle w:val="ref-lnk"/>
          <w:i/>
          <w:iCs/>
        </w:rPr>
        <w:t>European Journal of Social Work</w:t>
      </w:r>
      <w:r w:rsidRPr="00352EFD">
        <w:rPr>
          <w:rStyle w:val="ref-lnk"/>
        </w:rPr>
        <w:t>, 23(2)</w:t>
      </w:r>
      <w:r w:rsidR="003719DE">
        <w:rPr>
          <w:rStyle w:val="ref-lnk"/>
        </w:rPr>
        <w:t xml:space="preserve">: </w:t>
      </w:r>
      <w:r w:rsidRPr="00352EFD">
        <w:rPr>
          <w:rStyle w:val="ref-lnk"/>
        </w:rPr>
        <w:t>327</w:t>
      </w:r>
      <w:r w:rsidR="003719DE">
        <w:rPr>
          <w:rStyle w:val="ref-lnk"/>
        </w:rPr>
        <w:t>-</w:t>
      </w:r>
      <w:r w:rsidRPr="00352EFD">
        <w:rPr>
          <w:rStyle w:val="ref-lnk"/>
        </w:rPr>
        <w:t>339.</w:t>
      </w:r>
    </w:p>
    <w:p w14:paraId="42E9C112" w14:textId="24EBC924" w:rsidR="00352EFD" w:rsidRPr="00352EFD" w:rsidRDefault="00352EFD" w:rsidP="00352EFD">
      <w:pPr>
        <w:rPr>
          <w:shd w:val="clear" w:color="auto" w:fill="FFFFFF"/>
        </w:rPr>
      </w:pPr>
      <w:r w:rsidRPr="00352EFD">
        <w:lastRenderedPageBreak/>
        <w:t>Walley, P.</w:t>
      </w:r>
      <w:r w:rsidRPr="00352EFD">
        <w:rPr>
          <w:shd w:val="clear" w:color="auto" w:fill="FFFFFF"/>
        </w:rPr>
        <w:t> and </w:t>
      </w:r>
      <w:r w:rsidRPr="00352EFD">
        <w:t>Adams, M.</w:t>
      </w:r>
      <w:r w:rsidR="003719DE">
        <w:t xml:space="preserve"> (</w:t>
      </w:r>
      <w:r w:rsidRPr="00352EFD">
        <w:t>2019</w:t>
      </w:r>
      <w:r w:rsidR="003719DE">
        <w:t>)</w:t>
      </w:r>
      <w:r w:rsidRPr="00352EFD">
        <w:rPr>
          <w:shd w:val="clear" w:color="auto" w:fill="FFFFFF"/>
        </w:rPr>
        <w:t xml:space="preserve">. </w:t>
      </w:r>
      <w:r w:rsidRPr="003719DE">
        <w:rPr>
          <w:i/>
          <w:iCs/>
          <w:shd w:val="clear" w:color="auto" w:fill="FFFFFF"/>
        </w:rPr>
        <w:t>An evaluation of demand management practices in UK police forces</w:t>
      </w:r>
      <w:r w:rsidR="003719DE" w:rsidRPr="003719DE">
        <w:rPr>
          <w:i/>
          <w:iCs/>
          <w:shd w:val="clear" w:color="auto" w:fill="FFFFFF"/>
        </w:rPr>
        <w:t xml:space="preserve">. </w:t>
      </w:r>
      <w:r w:rsidR="003719DE">
        <w:rPr>
          <w:shd w:val="clear" w:color="auto" w:fill="FFFFFF"/>
        </w:rPr>
        <w:t>A</w:t>
      </w:r>
      <w:r w:rsidRPr="00352EFD">
        <w:rPr>
          <w:shd w:val="clear" w:color="auto" w:fill="FFFFFF"/>
        </w:rPr>
        <w:t xml:space="preserve">vailable at </w:t>
      </w:r>
      <w:hyperlink r:id="rId19" w:history="1">
        <w:r w:rsidRPr="00352EFD">
          <w:rPr>
            <w:rStyle w:val="Hyperlink"/>
            <w:color w:val="auto"/>
            <w:shd w:val="clear" w:color="auto" w:fill="FFFFFF"/>
          </w:rPr>
          <w:t>https://www.open.ac.uk/centres/policing/sites/www.open.ac.uk.centres.policing/files/files/News/An%20Evaluation%20of%20Demand-Management-Practices-in-UK-Final-report.pdf</w:t>
        </w:r>
      </w:hyperlink>
      <w:r w:rsidRPr="00352EFD">
        <w:rPr>
          <w:shd w:val="clear" w:color="auto" w:fill="FFFFFF"/>
        </w:rPr>
        <w:t xml:space="preserve"> [accessed 11</w:t>
      </w:r>
      <w:r w:rsidRPr="00352EFD">
        <w:rPr>
          <w:shd w:val="clear" w:color="auto" w:fill="FFFFFF"/>
          <w:vertAlign w:val="superscript"/>
        </w:rPr>
        <w:t>th</w:t>
      </w:r>
      <w:r w:rsidRPr="00352EFD">
        <w:rPr>
          <w:shd w:val="clear" w:color="auto" w:fill="FFFFFF"/>
        </w:rPr>
        <w:t xml:space="preserve"> June 2021]</w:t>
      </w:r>
    </w:p>
    <w:p w14:paraId="1CA099F2" w14:textId="77777777" w:rsidR="00352EFD" w:rsidRPr="00352EFD" w:rsidRDefault="00352EFD" w:rsidP="00352EFD">
      <w:pPr>
        <w:rPr>
          <w:shd w:val="clear" w:color="auto" w:fill="FFFFFF"/>
        </w:rPr>
      </w:pPr>
    </w:p>
    <w:p w14:paraId="583E9A8D" w14:textId="55E0D48B" w:rsidR="00352EFD" w:rsidRPr="00352EFD" w:rsidRDefault="00352EFD" w:rsidP="00352EFD">
      <w:pPr>
        <w:rPr>
          <w:shd w:val="clear" w:color="auto" w:fill="FFFFFF"/>
        </w:rPr>
      </w:pPr>
      <w:r w:rsidRPr="007344DE">
        <w:rPr>
          <w:shd w:val="clear" w:color="auto" w:fill="FFFFFF"/>
        </w:rPr>
        <w:t xml:space="preserve">Ward, L., Ray, M. and Tanner, D. (2020) ‘Understanding the Social Care Crisis in England through Older People’s Lived Experiences’, in </w:t>
      </w:r>
      <w:r w:rsidR="007344DE" w:rsidRPr="007344DE">
        <w:rPr>
          <w:shd w:val="clear" w:color="auto" w:fill="FFFFFF"/>
        </w:rPr>
        <w:t xml:space="preserve">P. </w:t>
      </w:r>
      <w:r w:rsidRPr="007344DE">
        <w:rPr>
          <w:shd w:val="clear" w:color="auto" w:fill="FFFFFF"/>
        </w:rPr>
        <w:t>Urban</w:t>
      </w:r>
      <w:r w:rsidR="007344DE" w:rsidRPr="007344DE">
        <w:rPr>
          <w:shd w:val="clear" w:color="auto" w:fill="FFFFFF"/>
        </w:rPr>
        <w:t xml:space="preserve"> </w:t>
      </w:r>
      <w:r w:rsidR="003719DE" w:rsidRPr="007344DE">
        <w:rPr>
          <w:shd w:val="clear" w:color="auto" w:fill="FFFFFF"/>
        </w:rPr>
        <w:t xml:space="preserve">and </w:t>
      </w:r>
      <w:r w:rsidR="007344DE" w:rsidRPr="007344DE">
        <w:rPr>
          <w:shd w:val="clear" w:color="auto" w:fill="FFFFFF"/>
        </w:rPr>
        <w:t xml:space="preserve">L. </w:t>
      </w:r>
      <w:r w:rsidRPr="007344DE">
        <w:rPr>
          <w:shd w:val="clear" w:color="auto" w:fill="FFFFFF"/>
        </w:rPr>
        <w:t xml:space="preserve">Ward (eds) </w:t>
      </w:r>
      <w:r w:rsidRPr="007344DE">
        <w:rPr>
          <w:i/>
          <w:iCs/>
          <w:shd w:val="clear" w:color="auto" w:fill="FFFFFF"/>
        </w:rPr>
        <w:t>Care Ethics, Democratic Citizenship and the State. International Political Theory</w:t>
      </w:r>
      <w:r w:rsidRPr="007344DE">
        <w:rPr>
          <w:shd w:val="clear" w:color="auto" w:fill="FFFFFF"/>
        </w:rPr>
        <w:t>.</w:t>
      </w:r>
      <w:r w:rsidR="007344DE" w:rsidRPr="007344DE">
        <w:rPr>
          <w:shd w:val="clear" w:color="auto" w:fill="FFFFFF"/>
        </w:rPr>
        <w:t xml:space="preserve"> Basingstoke</w:t>
      </w:r>
      <w:r w:rsidRPr="007344DE">
        <w:rPr>
          <w:shd w:val="clear" w:color="auto" w:fill="FFFFFF"/>
        </w:rPr>
        <w:t>: Palgrave Macmillan.</w:t>
      </w:r>
    </w:p>
    <w:p w14:paraId="74BBF18E" w14:textId="4C27646E" w:rsidR="00352EFD" w:rsidRPr="00352EFD" w:rsidRDefault="00352EFD" w:rsidP="00352EFD">
      <w:pPr>
        <w:spacing w:before="100" w:beforeAutospacing="1" w:after="100" w:afterAutospacing="1"/>
        <w:rPr>
          <w:shd w:val="clear" w:color="auto" w:fill="FFFFFF"/>
        </w:rPr>
      </w:pPr>
      <w:proofErr w:type="spellStart"/>
      <w:r w:rsidRPr="00352EFD">
        <w:t>Walklate</w:t>
      </w:r>
      <w:proofErr w:type="spellEnd"/>
      <w:r w:rsidRPr="00352EFD">
        <w:t xml:space="preserve">, S. and Mythen, G. (2011) </w:t>
      </w:r>
      <w:r w:rsidR="007344DE">
        <w:t>‘</w:t>
      </w:r>
      <w:r w:rsidRPr="00352EFD">
        <w:t xml:space="preserve">Beyond risk theory: Experiential knowledge and </w:t>
      </w:r>
      <w:r w:rsidR="007344DE">
        <w:t>“</w:t>
      </w:r>
      <w:r w:rsidRPr="00352EFD">
        <w:t>knowing otherwise</w:t>
      </w:r>
      <w:r w:rsidR="007344DE">
        <w:t>”’</w:t>
      </w:r>
      <w:r w:rsidRPr="00352EFD">
        <w:t xml:space="preserve">, </w:t>
      </w:r>
      <w:r w:rsidRPr="00352EFD">
        <w:rPr>
          <w:i/>
          <w:iCs/>
        </w:rPr>
        <w:t xml:space="preserve">Criminology and Criminal Justice, </w:t>
      </w:r>
      <w:r w:rsidRPr="00352EFD">
        <w:t>11(2): 99-113.</w:t>
      </w:r>
    </w:p>
    <w:p w14:paraId="692EC8B9" w14:textId="77777777" w:rsidR="00352EFD" w:rsidRPr="00352EFD" w:rsidRDefault="00352EFD" w:rsidP="00352EFD">
      <w:proofErr w:type="spellStart"/>
      <w:r w:rsidRPr="00352EFD">
        <w:t>Walklate</w:t>
      </w:r>
      <w:proofErr w:type="spellEnd"/>
      <w:r w:rsidRPr="00352EFD">
        <w:t xml:space="preserve">, S. and Mythen, G. (2015) </w:t>
      </w:r>
      <w:r w:rsidRPr="00352EFD">
        <w:rPr>
          <w:i/>
          <w:iCs/>
        </w:rPr>
        <w:t>Contradictions of Terrorism: Security, Risk and Resilience.</w:t>
      </w:r>
      <w:r w:rsidRPr="00352EFD">
        <w:t> London: Routledge. </w:t>
      </w:r>
    </w:p>
    <w:p w14:paraId="42D75007" w14:textId="77777777" w:rsidR="00352EFD" w:rsidRPr="00352EFD" w:rsidRDefault="00352EFD" w:rsidP="00352EFD"/>
    <w:p w14:paraId="5925E8D2" w14:textId="551E167E" w:rsidR="00352EFD" w:rsidRPr="00352EFD" w:rsidRDefault="00352EFD" w:rsidP="00352EFD">
      <w:r w:rsidRPr="00352EFD">
        <w:t xml:space="preserve">Walley, P. and Adams, M. (2019) </w:t>
      </w:r>
      <w:r w:rsidRPr="00352EFD">
        <w:rPr>
          <w:i/>
          <w:iCs/>
        </w:rPr>
        <w:t xml:space="preserve">An Evaluation of Demand Management Practices </w:t>
      </w:r>
      <w:r w:rsidR="007344DE">
        <w:rPr>
          <w:i/>
          <w:iCs/>
        </w:rPr>
        <w:t>i</w:t>
      </w:r>
      <w:r w:rsidRPr="00352EFD">
        <w:rPr>
          <w:i/>
          <w:iCs/>
        </w:rPr>
        <w:t>n UK Police Forces</w:t>
      </w:r>
      <w:r w:rsidR="007344DE">
        <w:rPr>
          <w:i/>
          <w:iCs/>
        </w:rPr>
        <w:t>.</w:t>
      </w:r>
      <w:r w:rsidRPr="00352EFD">
        <w:rPr>
          <w:i/>
          <w:iCs/>
        </w:rPr>
        <w:t xml:space="preserve"> </w:t>
      </w:r>
      <w:r w:rsidRPr="00352EFD">
        <w:t>The Open University: Centre for Policing Research and Learning</w:t>
      </w:r>
      <w:r w:rsidR="007344DE">
        <w:t>.</w:t>
      </w:r>
    </w:p>
    <w:p w14:paraId="1E6196AF" w14:textId="77777777" w:rsidR="00352EFD" w:rsidRPr="00352EFD" w:rsidRDefault="00352EFD" w:rsidP="00352EFD"/>
    <w:p w14:paraId="630FA1A3" w14:textId="18390997" w:rsidR="00D25114" w:rsidRPr="00751886" w:rsidRDefault="003D6C76">
      <w:r w:rsidRPr="0084099E">
        <w:rPr>
          <w:color w:val="333333"/>
        </w:rPr>
        <w:t>Webster, S., Kerr, J. and Tomkins, C. (2017) ‘A Process Evaluation of the Structured Risk Guidance for Extremist Offenders’, Ministry of Justice Analytical Series, November 2017.</w:t>
      </w:r>
      <w:r w:rsidR="00D25114" w:rsidRPr="0084099E">
        <w:rPr>
          <w:rStyle w:val="annotation"/>
          <w:b/>
          <w:bCs/>
          <w:color w:val="505050"/>
          <w:shd w:val="clear" w:color="auto" w:fill="FFFFFF"/>
        </w:rPr>
        <w:t xml:space="preserve"> </w:t>
      </w:r>
    </w:p>
    <w:p w14:paraId="74A72C51" w14:textId="77777777" w:rsidR="00D25114" w:rsidRDefault="00D25114" w:rsidP="00352EFD"/>
    <w:p w14:paraId="20DE7B9D" w14:textId="69B8E146" w:rsidR="00352EFD" w:rsidRPr="00352EFD" w:rsidRDefault="00352EFD" w:rsidP="00352EFD">
      <w:r w:rsidRPr="00352EFD">
        <w:t xml:space="preserve">Werth, R. (2017) ‘Individualising Risk: Moral Judgement, Professional Knowledge and Affect in Parole Evaluations’, </w:t>
      </w:r>
      <w:r w:rsidRPr="00352EFD">
        <w:rPr>
          <w:i/>
          <w:iCs/>
        </w:rPr>
        <w:t xml:space="preserve">British Journal of Criminology, </w:t>
      </w:r>
      <w:r w:rsidRPr="00352EFD">
        <w:t>57(4): 808-827.</w:t>
      </w:r>
    </w:p>
    <w:p w14:paraId="1238E6D1" w14:textId="77777777" w:rsidR="00352EFD" w:rsidRPr="00352EFD" w:rsidRDefault="00352EFD" w:rsidP="00352EFD"/>
    <w:p w14:paraId="2BFB9CEB" w14:textId="72040298" w:rsidR="00352EFD" w:rsidRPr="00352EFD" w:rsidRDefault="00352EFD" w:rsidP="00352EFD">
      <w:r w:rsidRPr="00352EFD">
        <w:rPr>
          <w:rStyle w:val="api-publication-authors"/>
        </w:rPr>
        <w:t>Weston, S.</w:t>
      </w:r>
      <w:r w:rsidRPr="00352EFD">
        <w:rPr>
          <w:rStyle w:val="apple-converted-space"/>
        </w:rPr>
        <w:t> (</w:t>
      </w:r>
      <w:r w:rsidRPr="00352EFD">
        <w:rPr>
          <w:shd w:val="clear" w:color="auto" w:fill="FFFFFF"/>
        </w:rPr>
        <w:t>2016)</w:t>
      </w:r>
      <w:r w:rsidR="007344DE">
        <w:rPr>
          <w:shd w:val="clear" w:color="auto" w:fill="FFFFFF"/>
        </w:rPr>
        <w:t xml:space="preserve"> </w:t>
      </w:r>
      <w:r w:rsidRPr="00352EFD">
        <w:rPr>
          <w:rStyle w:val="apple-converted-space"/>
          <w:shd w:val="clear" w:color="auto" w:fill="FFFFFF"/>
        </w:rPr>
        <w:t>‘</w:t>
      </w:r>
      <w:r w:rsidRPr="00352EFD">
        <w:rPr>
          <w:rStyle w:val="Strong"/>
          <w:b w:val="0"/>
          <w:bCs w:val="0"/>
        </w:rPr>
        <w:t>The everyday work of the drug treatment practitioner: The influence and constraints of a risk-based agenda’.</w:t>
      </w:r>
      <w:r w:rsidRPr="00352EFD">
        <w:rPr>
          <w:rStyle w:val="apple-converted-space"/>
        </w:rPr>
        <w:t> </w:t>
      </w:r>
      <w:r w:rsidRPr="00352EFD">
        <w:rPr>
          <w:rStyle w:val="Emphasis"/>
        </w:rPr>
        <w:t>Critical Social Policy</w:t>
      </w:r>
      <w:r w:rsidRPr="00352EFD">
        <w:rPr>
          <w:shd w:val="clear" w:color="auto" w:fill="FFFFFF"/>
        </w:rPr>
        <w:t>, 36(4)</w:t>
      </w:r>
      <w:r w:rsidR="003719DE">
        <w:rPr>
          <w:shd w:val="clear" w:color="auto" w:fill="FFFFFF"/>
        </w:rPr>
        <w:t xml:space="preserve">: </w:t>
      </w:r>
      <w:r w:rsidR="003719DE" w:rsidRPr="00352EFD">
        <w:rPr>
          <w:shd w:val="clear" w:color="auto" w:fill="FFFFFF"/>
        </w:rPr>
        <w:t>511-530</w:t>
      </w:r>
      <w:r w:rsidR="003719DE">
        <w:rPr>
          <w:shd w:val="clear" w:color="auto" w:fill="FFFFFF"/>
        </w:rPr>
        <w:t>.</w:t>
      </w:r>
      <w:r w:rsidRPr="00352EFD">
        <w:rPr>
          <w:rStyle w:val="apple-converted-space"/>
          <w:shd w:val="clear" w:color="auto" w:fill="FFFFFF"/>
        </w:rPr>
        <w:t> </w:t>
      </w:r>
    </w:p>
    <w:p w14:paraId="4BF5DBDC" w14:textId="1EE4792E" w:rsidR="00352EFD" w:rsidRPr="00352EFD" w:rsidRDefault="00352EFD" w:rsidP="00352EFD">
      <w:pPr>
        <w:spacing w:beforeAutospacing="1" w:afterAutospacing="1"/>
      </w:pPr>
      <w:r w:rsidRPr="00352EFD">
        <w:t>Weston, S. (2014) ‘The origins of conflict in dependent drug treatment: Lessons for partnership working’. </w:t>
      </w:r>
      <w:r w:rsidRPr="00352EFD">
        <w:rPr>
          <w:i/>
          <w:iCs/>
        </w:rPr>
        <w:t>British Journal of Community Justice</w:t>
      </w:r>
      <w:r w:rsidRPr="00352EFD">
        <w:t>, 12(1)</w:t>
      </w:r>
      <w:r w:rsidR="003719DE">
        <w:t>: 9-26.</w:t>
      </w:r>
    </w:p>
    <w:p w14:paraId="32005E5D" w14:textId="78D53CAE" w:rsidR="00352EFD" w:rsidRPr="00352EFD" w:rsidRDefault="00352EFD" w:rsidP="00352EFD">
      <w:pPr>
        <w:pStyle w:val="Heading1"/>
        <w:spacing w:before="0" w:beforeAutospacing="0" w:after="0" w:afterAutospacing="0"/>
        <w:rPr>
          <w:b w:val="0"/>
          <w:bCs w:val="0"/>
          <w:kern w:val="0"/>
          <w:sz w:val="24"/>
          <w:szCs w:val="24"/>
          <w:shd w:val="clear" w:color="auto" w:fill="FFFFFF"/>
        </w:rPr>
      </w:pPr>
      <w:r w:rsidRPr="007344DE">
        <w:rPr>
          <w:b w:val="0"/>
          <w:bCs w:val="0"/>
          <w:kern w:val="0"/>
          <w:sz w:val="24"/>
          <w:szCs w:val="24"/>
          <w:shd w:val="clear" w:color="auto" w:fill="FFFFFF"/>
        </w:rPr>
        <w:t xml:space="preserve">Weston, S. and Mythen, G. (2021) ‘Disentangling practitioners’ understandings of child sexual exploitation: The risks of assuming otherwise?’ </w:t>
      </w:r>
      <w:r w:rsidRPr="007344DE">
        <w:rPr>
          <w:b w:val="0"/>
          <w:bCs w:val="0"/>
          <w:i/>
          <w:iCs/>
          <w:kern w:val="0"/>
          <w:sz w:val="24"/>
          <w:szCs w:val="24"/>
          <w:shd w:val="clear" w:color="auto" w:fill="FFFFFF"/>
        </w:rPr>
        <w:t xml:space="preserve">Criminology and Criminal Justice, </w:t>
      </w:r>
      <w:r w:rsidR="007344DE" w:rsidRPr="007344DE">
        <w:rPr>
          <w:b w:val="0"/>
          <w:bCs w:val="0"/>
          <w:kern w:val="0"/>
          <w:sz w:val="24"/>
          <w:szCs w:val="24"/>
          <w:shd w:val="clear" w:color="auto" w:fill="FFFFFF"/>
        </w:rPr>
        <w:t xml:space="preserve">Available at </w:t>
      </w:r>
      <w:proofErr w:type="spellStart"/>
      <w:r w:rsidR="007344DE" w:rsidRPr="007344DE">
        <w:rPr>
          <w:b w:val="0"/>
          <w:bCs w:val="0"/>
          <w:kern w:val="0"/>
          <w:sz w:val="24"/>
          <w:szCs w:val="24"/>
          <w:shd w:val="clear" w:color="auto" w:fill="FFFFFF"/>
        </w:rPr>
        <w:t>O</w:t>
      </w:r>
      <w:r w:rsidRPr="007344DE">
        <w:rPr>
          <w:b w:val="0"/>
          <w:bCs w:val="0"/>
          <w:kern w:val="0"/>
          <w:sz w:val="24"/>
          <w:szCs w:val="24"/>
          <w:shd w:val="clear" w:color="auto" w:fill="FFFFFF"/>
        </w:rPr>
        <w:t>nlinefirst</w:t>
      </w:r>
      <w:proofErr w:type="spellEnd"/>
      <w:r w:rsidRPr="007344DE">
        <w:rPr>
          <w:b w:val="0"/>
          <w:bCs w:val="0"/>
          <w:kern w:val="0"/>
          <w:sz w:val="24"/>
          <w:szCs w:val="24"/>
          <w:shd w:val="clear" w:color="auto" w:fill="FFFFFF"/>
        </w:rPr>
        <w:t>.</w:t>
      </w:r>
    </w:p>
    <w:p w14:paraId="5330EEA6" w14:textId="77777777" w:rsidR="00352EFD" w:rsidRPr="00352EFD" w:rsidRDefault="00352EFD" w:rsidP="00352EFD">
      <w:pPr>
        <w:pStyle w:val="Heading1"/>
        <w:spacing w:before="0" w:beforeAutospacing="0" w:after="0" w:afterAutospacing="0"/>
        <w:rPr>
          <w:b w:val="0"/>
          <w:bCs w:val="0"/>
          <w:kern w:val="0"/>
          <w:sz w:val="24"/>
          <w:szCs w:val="24"/>
          <w:shd w:val="clear" w:color="auto" w:fill="FFFFFF"/>
        </w:rPr>
      </w:pPr>
    </w:p>
    <w:p w14:paraId="1740407B" w14:textId="77777777" w:rsidR="00352EFD" w:rsidRPr="00352EFD" w:rsidRDefault="00352EFD" w:rsidP="00352EFD">
      <w:pPr>
        <w:pStyle w:val="Heading1"/>
        <w:spacing w:before="0" w:beforeAutospacing="0" w:after="0" w:afterAutospacing="0"/>
        <w:rPr>
          <w:b w:val="0"/>
          <w:bCs w:val="0"/>
          <w:kern w:val="0"/>
          <w:sz w:val="24"/>
          <w:szCs w:val="24"/>
          <w:shd w:val="clear" w:color="auto" w:fill="FFFFFF"/>
        </w:rPr>
      </w:pPr>
      <w:r w:rsidRPr="00352EFD">
        <w:rPr>
          <w:b w:val="0"/>
          <w:bCs w:val="0"/>
          <w:kern w:val="0"/>
          <w:sz w:val="24"/>
          <w:szCs w:val="24"/>
          <w:shd w:val="clear" w:color="auto" w:fill="FFFFFF"/>
        </w:rPr>
        <w:t xml:space="preserve">Wishart, G. (2003) ‘The Sexual Abuse of People with Learning Difficulties: Do we Need a Social Model Approach to Vulnerability’, </w:t>
      </w:r>
      <w:r w:rsidRPr="00352EFD">
        <w:rPr>
          <w:b w:val="0"/>
          <w:bCs w:val="0"/>
          <w:i/>
          <w:iCs/>
          <w:kern w:val="0"/>
          <w:sz w:val="24"/>
          <w:szCs w:val="24"/>
          <w:shd w:val="clear" w:color="auto" w:fill="FFFFFF"/>
        </w:rPr>
        <w:t xml:space="preserve">The Journal of Adult Protection, </w:t>
      </w:r>
      <w:r w:rsidRPr="00352EFD">
        <w:rPr>
          <w:b w:val="0"/>
          <w:bCs w:val="0"/>
          <w:kern w:val="0"/>
          <w:sz w:val="24"/>
          <w:szCs w:val="24"/>
          <w:shd w:val="clear" w:color="auto" w:fill="FFFFFF"/>
        </w:rPr>
        <w:t>5(3): 14-27.</w:t>
      </w:r>
    </w:p>
    <w:p w14:paraId="16F670EC" w14:textId="77777777" w:rsidR="00352EFD" w:rsidRPr="00352EFD" w:rsidRDefault="00352EFD" w:rsidP="00352EFD">
      <w:pPr>
        <w:pStyle w:val="Heading1"/>
        <w:spacing w:before="0" w:beforeAutospacing="0" w:after="0" w:afterAutospacing="0"/>
        <w:rPr>
          <w:b w:val="0"/>
          <w:bCs w:val="0"/>
          <w:kern w:val="0"/>
          <w:sz w:val="24"/>
          <w:szCs w:val="24"/>
          <w:shd w:val="clear" w:color="auto" w:fill="FFFFFF"/>
        </w:rPr>
      </w:pPr>
    </w:p>
    <w:p w14:paraId="0756D718" w14:textId="0D9C4BCE" w:rsidR="00352EFD" w:rsidRPr="00352EFD" w:rsidRDefault="00352EFD" w:rsidP="00352EFD">
      <w:pPr>
        <w:pStyle w:val="Heading1"/>
        <w:spacing w:before="0" w:beforeAutospacing="0" w:after="0" w:afterAutospacing="0" w:line="360" w:lineRule="atLeast"/>
        <w:rPr>
          <w:b w:val="0"/>
          <w:bCs w:val="0"/>
          <w:kern w:val="0"/>
          <w:sz w:val="24"/>
          <w:szCs w:val="24"/>
          <w:shd w:val="clear" w:color="auto" w:fill="FFFFFF"/>
        </w:rPr>
      </w:pPr>
      <w:proofErr w:type="spellStart"/>
      <w:r w:rsidRPr="00352EFD">
        <w:rPr>
          <w:b w:val="0"/>
          <w:bCs w:val="0"/>
          <w:kern w:val="0"/>
          <w:sz w:val="24"/>
          <w:szCs w:val="24"/>
          <w:shd w:val="clear" w:color="auto" w:fill="FFFFFF"/>
        </w:rPr>
        <w:t>Zedner</w:t>
      </w:r>
      <w:proofErr w:type="spellEnd"/>
      <w:r w:rsidRPr="00352EFD">
        <w:rPr>
          <w:b w:val="0"/>
          <w:bCs w:val="0"/>
          <w:kern w:val="0"/>
          <w:sz w:val="24"/>
          <w:szCs w:val="24"/>
          <w:shd w:val="clear" w:color="auto" w:fill="FFFFFF"/>
        </w:rPr>
        <w:t xml:space="preserve">, L. (2007) ‘Pre-Crime and Post-Criminology?’, </w:t>
      </w:r>
      <w:r w:rsidRPr="00352EFD">
        <w:rPr>
          <w:b w:val="0"/>
          <w:bCs w:val="0"/>
          <w:i/>
          <w:iCs/>
          <w:kern w:val="0"/>
          <w:sz w:val="24"/>
          <w:szCs w:val="24"/>
          <w:shd w:val="clear" w:color="auto" w:fill="FFFFFF"/>
        </w:rPr>
        <w:t xml:space="preserve">Theoretical Criminology, </w:t>
      </w:r>
      <w:r w:rsidRPr="00352EFD">
        <w:rPr>
          <w:b w:val="0"/>
          <w:bCs w:val="0"/>
          <w:kern w:val="0"/>
          <w:sz w:val="24"/>
          <w:szCs w:val="24"/>
          <w:shd w:val="clear" w:color="auto" w:fill="FFFFFF"/>
        </w:rPr>
        <w:t>7(2): 261-281</w:t>
      </w:r>
      <w:r w:rsidR="003719DE">
        <w:rPr>
          <w:b w:val="0"/>
          <w:bCs w:val="0"/>
          <w:kern w:val="0"/>
          <w:sz w:val="24"/>
          <w:szCs w:val="24"/>
          <w:shd w:val="clear" w:color="auto" w:fill="FFFFFF"/>
        </w:rPr>
        <w:t>.</w:t>
      </w:r>
    </w:p>
    <w:p w14:paraId="29866087" w14:textId="77777777" w:rsidR="00352EFD" w:rsidRPr="00352EFD" w:rsidRDefault="00352EFD" w:rsidP="00352EFD">
      <w:pPr>
        <w:rPr>
          <w:shd w:val="clear" w:color="auto" w:fill="FFFFFF"/>
        </w:rPr>
      </w:pPr>
    </w:p>
    <w:p w14:paraId="2331E659" w14:textId="460787BD" w:rsidR="00352EFD" w:rsidRDefault="00352EFD" w:rsidP="00352EFD">
      <w:pPr>
        <w:rPr>
          <w:shd w:val="clear" w:color="auto" w:fill="FFFFFF"/>
        </w:rPr>
      </w:pPr>
      <w:proofErr w:type="spellStart"/>
      <w:r w:rsidRPr="00352EFD">
        <w:rPr>
          <w:shd w:val="clear" w:color="auto" w:fill="FFFFFF"/>
        </w:rPr>
        <w:t>Zedner</w:t>
      </w:r>
      <w:proofErr w:type="spellEnd"/>
      <w:r w:rsidRPr="00352EFD">
        <w:rPr>
          <w:shd w:val="clear" w:color="auto" w:fill="FFFFFF"/>
        </w:rPr>
        <w:t xml:space="preserve">, L. (2010) ‘Pre-Crime and Pre-Punishment: A Health Warning’, </w:t>
      </w:r>
      <w:r w:rsidRPr="00352EFD">
        <w:rPr>
          <w:i/>
          <w:iCs/>
          <w:shd w:val="clear" w:color="auto" w:fill="FFFFFF"/>
        </w:rPr>
        <w:t xml:space="preserve">Criminal Justice Matters, </w:t>
      </w:r>
      <w:r w:rsidRPr="00352EFD">
        <w:rPr>
          <w:shd w:val="clear" w:color="auto" w:fill="FFFFFF"/>
        </w:rPr>
        <w:t>81(1): 24-25.</w:t>
      </w:r>
    </w:p>
    <w:sectPr w:rsidR="00352EFD" w:rsidSect="00B0270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62E34" w14:textId="77777777" w:rsidR="00E43B85" w:rsidRDefault="00E43B85" w:rsidP="0045251D">
      <w:r>
        <w:separator/>
      </w:r>
    </w:p>
  </w:endnote>
  <w:endnote w:type="continuationSeparator" w:id="0">
    <w:p w14:paraId="301EBD73" w14:textId="77777777" w:rsidR="00E43B85" w:rsidRDefault="00E43B85" w:rsidP="004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ArialMT">
    <w:altName w:val="Arial"/>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059F9" w14:textId="77777777" w:rsidR="00E43B85" w:rsidRDefault="00E43B85" w:rsidP="0045251D">
      <w:r>
        <w:separator/>
      </w:r>
    </w:p>
  </w:footnote>
  <w:footnote w:type="continuationSeparator" w:id="0">
    <w:p w14:paraId="4BCB48B5" w14:textId="77777777" w:rsidR="00E43B85" w:rsidRDefault="00E43B85" w:rsidP="00452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537C7"/>
    <w:multiLevelType w:val="hybridMultilevel"/>
    <w:tmpl w:val="1430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F10DF3"/>
    <w:multiLevelType w:val="hybridMultilevel"/>
    <w:tmpl w:val="901AC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61771"/>
    <w:multiLevelType w:val="multilevel"/>
    <w:tmpl w:val="E708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EC5D50"/>
    <w:multiLevelType w:val="hybridMultilevel"/>
    <w:tmpl w:val="1CA66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5B59F6"/>
    <w:multiLevelType w:val="hybridMultilevel"/>
    <w:tmpl w:val="FA6C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2392898">
    <w:abstractNumId w:val="3"/>
  </w:num>
  <w:num w:numId="2" w16cid:durableId="543518631">
    <w:abstractNumId w:val="4"/>
  </w:num>
  <w:num w:numId="3" w16cid:durableId="1149903331">
    <w:abstractNumId w:val="0"/>
  </w:num>
  <w:num w:numId="4" w16cid:durableId="1795714064">
    <w:abstractNumId w:val="1"/>
  </w:num>
  <w:num w:numId="5" w16cid:durableId="956958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1A1"/>
    <w:rsid w:val="000020AF"/>
    <w:rsid w:val="00005128"/>
    <w:rsid w:val="00015D01"/>
    <w:rsid w:val="00017221"/>
    <w:rsid w:val="00017879"/>
    <w:rsid w:val="00017D02"/>
    <w:rsid w:val="000202A2"/>
    <w:rsid w:val="00021484"/>
    <w:rsid w:val="00025388"/>
    <w:rsid w:val="0002564E"/>
    <w:rsid w:val="00026806"/>
    <w:rsid w:val="00026F2E"/>
    <w:rsid w:val="00031115"/>
    <w:rsid w:val="000325E8"/>
    <w:rsid w:val="000332A1"/>
    <w:rsid w:val="00033D43"/>
    <w:rsid w:val="00036D2C"/>
    <w:rsid w:val="0003708A"/>
    <w:rsid w:val="0004260A"/>
    <w:rsid w:val="00044D96"/>
    <w:rsid w:val="0004590F"/>
    <w:rsid w:val="000464CA"/>
    <w:rsid w:val="0005177A"/>
    <w:rsid w:val="00053F5B"/>
    <w:rsid w:val="000550DF"/>
    <w:rsid w:val="000616DB"/>
    <w:rsid w:val="00063F96"/>
    <w:rsid w:val="000675E8"/>
    <w:rsid w:val="00067C2C"/>
    <w:rsid w:val="000702A8"/>
    <w:rsid w:val="000729B0"/>
    <w:rsid w:val="00072C1F"/>
    <w:rsid w:val="0007340E"/>
    <w:rsid w:val="00075A4D"/>
    <w:rsid w:val="0007619A"/>
    <w:rsid w:val="00077CE3"/>
    <w:rsid w:val="000806AE"/>
    <w:rsid w:val="00086A92"/>
    <w:rsid w:val="00090356"/>
    <w:rsid w:val="000904CD"/>
    <w:rsid w:val="0009276B"/>
    <w:rsid w:val="0009323D"/>
    <w:rsid w:val="00095E78"/>
    <w:rsid w:val="0009674F"/>
    <w:rsid w:val="000A0CFD"/>
    <w:rsid w:val="000A18CC"/>
    <w:rsid w:val="000A2E93"/>
    <w:rsid w:val="000A4E70"/>
    <w:rsid w:val="000B09D1"/>
    <w:rsid w:val="000B1725"/>
    <w:rsid w:val="000B2476"/>
    <w:rsid w:val="000B3F13"/>
    <w:rsid w:val="000B510C"/>
    <w:rsid w:val="000C0B3C"/>
    <w:rsid w:val="000C5960"/>
    <w:rsid w:val="000C5CE2"/>
    <w:rsid w:val="000D16F0"/>
    <w:rsid w:val="000D2210"/>
    <w:rsid w:val="000D348E"/>
    <w:rsid w:val="000D3845"/>
    <w:rsid w:val="000D4543"/>
    <w:rsid w:val="000D5F53"/>
    <w:rsid w:val="000E0925"/>
    <w:rsid w:val="000E69C3"/>
    <w:rsid w:val="000F0C8B"/>
    <w:rsid w:val="000F105A"/>
    <w:rsid w:val="000F30D5"/>
    <w:rsid w:val="000F64E2"/>
    <w:rsid w:val="000F69F5"/>
    <w:rsid w:val="000F72D3"/>
    <w:rsid w:val="000F72DE"/>
    <w:rsid w:val="00100911"/>
    <w:rsid w:val="00110284"/>
    <w:rsid w:val="0011269F"/>
    <w:rsid w:val="00120E05"/>
    <w:rsid w:val="00123F65"/>
    <w:rsid w:val="001240AB"/>
    <w:rsid w:val="001245CF"/>
    <w:rsid w:val="00124D75"/>
    <w:rsid w:val="001252A3"/>
    <w:rsid w:val="0012533D"/>
    <w:rsid w:val="00127ECE"/>
    <w:rsid w:val="00130C81"/>
    <w:rsid w:val="001311A1"/>
    <w:rsid w:val="001369A2"/>
    <w:rsid w:val="001406D4"/>
    <w:rsid w:val="00141050"/>
    <w:rsid w:val="00150BDE"/>
    <w:rsid w:val="001513D8"/>
    <w:rsid w:val="001524F0"/>
    <w:rsid w:val="00154B5B"/>
    <w:rsid w:val="00154D70"/>
    <w:rsid w:val="001553C4"/>
    <w:rsid w:val="00156228"/>
    <w:rsid w:val="00156525"/>
    <w:rsid w:val="001650A9"/>
    <w:rsid w:val="001663A1"/>
    <w:rsid w:val="001663B4"/>
    <w:rsid w:val="001672B2"/>
    <w:rsid w:val="00167CB1"/>
    <w:rsid w:val="00172125"/>
    <w:rsid w:val="00174236"/>
    <w:rsid w:val="00174576"/>
    <w:rsid w:val="00175AB2"/>
    <w:rsid w:val="00177DCD"/>
    <w:rsid w:val="001805C6"/>
    <w:rsid w:val="001834E3"/>
    <w:rsid w:val="00186D21"/>
    <w:rsid w:val="00190F4F"/>
    <w:rsid w:val="0019374B"/>
    <w:rsid w:val="00193EE6"/>
    <w:rsid w:val="00195892"/>
    <w:rsid w:val="001A25D4"/>
    <w:rsid w:val="001B0177"/>
    <w:rsid w:val="001B0E25"/>
    <w:rsid w:val="001B1E81"/>
    <w:rsid w:val="001B4DF6"/>
    <w:rsid w:val="001B675C"/>
    <w:rsid w:val="001C13F1"/>
    <w:rsid w:val="001C6DF8"/>
    <w:rsid w:val="001D1C97"/>
    <w:rsid w:val="001D2C78"/>
    <w:rsid w:val="001D3763"/>
    <w:rsid w:val="001D4E26"/>
    <w:rsid w:val="001D6FDF"/>
    <w:rsid w:val="001E272B"/>
    <w:rsid w:val="001E4A0E"/>
    <w:rsid w:val="001E5E23"/>
    <w:rsid w:val="001F19BF"/>
    <w:rsid w:val="001F5350"/>
    <w:rsid w:val="001F601C"/>
    <w:rsid w:val="001F61CD"/>
    <w:rsid w:val="001F7B60"/>
    <w:rsid w:val="001F7DF2"/>
    <w:rsid w:val="00200969"/>
    <w:rsid w:val="00202300"/>
    <w:rsid w:val="002033C3"/>
    <w:rsid w:val="002053FE"/>
    <w:rsid w:val="00207D53"/>
    <w:rsid w:val="00210935"/>
    <w:rsid w:val="00211523"/>
    <w:rsid w:val="00213BB5"/>
    <w:rsid w:val="00214EBF"/>
    <w:rsid w:val="00215CE2"/>
    <w:rsid w:val="00223767"/>
    <w:rsid w:val="00223A4D"/>
    <w:rsid w:val="00224AF0"/>
    <w:rsid w:val="002254E6"/>
    <w:rsid w:val="00225ACD"/>
    <w:rsid w:val="0023066C"/>
    <w:rsid w:val="002312F8"/>
    <w:rsid w:val="00232B7B"/>
    <w:rsid w:val="00232BFE"/>
    <w:rsid w:val="00234ECE"/>
    <w:rsid w:val="0023511F"/>
    <w:rsid w:val="00235592"/>
    <w:rsid w:val="00236C45"/>
    <w:rsid w:val="002370F8"/>
    <w:rsid w:val="002377D2"/>
    <w:rsid w:val="0024796F"/>
    <w:rsid w:val="002504FC"/>
    <w:rsid w:val="00250805"/>
    <w:rsid w:val="00254073"/>
    <w:rsid w:val="00257394"/>
    <w:rsid w:val="00257B1D"/>
    <w:rsid w:val="002610AF"/>
    <w:rsid w:val="00267945"/>
    <w:rsid w:val="0027022B"/>
    <w:rsid w:val="00270ECD"/>
    <w:rsid w:val="002716DB"/>
    <w:rsid w:val="00274470"/>
    <w:rsid w:val="002754EA"/>
    <w:rsid w:val="00276EF9"/>
    <w:rsid w:val="00277456"/>
    <w:rsid w:val="00285366"/>
    <w:rsid w:val="00285B16"/>
    <w:rsid w:val="0028745E"/>
    <w:rsid w:val="00287B77"/>
    <w:rsid w:val="00292905"/>
    <w:rsid w:val="00295BFC"/>
    <w:rsid w:val="00296019"/>
    <w:rsid w:val="002967B9"/>
    <w:rsid w:val="002971B7"/>
    <w:rsid w:val="002A1481"/>
    <w:rsid w:val="002A1C76"/>
    <w:rsid w:val="002A411B"/>
    <w:rsid w:val="002A6EBC"/>
    <w:rsid w:val="002B4507"/>
    <w:rsid w:val="002B66B2"/>
    <w:rsid w:val="002B7177"/>
    <w:rsid w:val="002C12D8"/>
    <w:rsid w:val="002C136E"/>
    <w:rsid w:val="002C2F9C"/>
    <w:rsid w:val="002C357F"/>
    <w:rsid w:val="002C4A0F"/>
    <w:rsid w:val="002C6B08"/>
    <w:rsid w:val="002D09B4"/>
    <w:rsid w:val="002D7544"/>
    <w:rsid w:val="002E12E6"/>
    <w:rsid w:val="002E27BF"/>
    <w:rsid w:val="002E2A7F"/>
    <w:rsid w:val="002E2EC2"/>
    <w:rsid w:val="002E67D1"/>
    <w:rsid w:val="002F06A1"/>
    <w:rsid w:val="002F3018"/>
    <w:rsid w:val="002F6E57"/>
    <w:rsid w:val="003010D1"/>
    <w:rsid w:val="00304848"/>
    <w:rsid w:val="003056BD"/>
    <w:rsid w:val="00305713"/>
    <w:rsid w:val="003077D0"/>
    <w:rsid w:val="00307A80"/>
    <w:rsid w:val="003113F2"/>
    <w:rsid w:val="00311E5A"/>
    <w:rsid w:val="00312201"/>
    <w:rsid w:val="00314115"/>
    <w:rsid w:val="00320E91"/>
    <w:rsid w:val="003212BB"/>
    <w:rsid w:val="00323023"/>
    <w:rsid w:val="00323361"/>
    <w:rsid w:val="00325444"/>
    <w:rsid w:val="003262A5"/>
    <w:rsid w:val="00326AB0"/>
    <w:rsid w:val="0033000F"/>
    <w:rsid w:val="0033025F"/>
    <w:rsid w:val="0033067B"/>
    <w:rsid w:val="00330D02"/>
    <w:rsid w:val="00331568"/>
    <w:rsid w:val="00333AE2"/>
    <w:rsid w:val="00334618"/>
    <w:rsid w:val="0033776C"/>
    <w:rsid w:val="003412E7"/>
    <w:rsid w:val="003436B0"/>
    <w:rsid w:val="003439C4"/>
    <w:rsid w:val="00350063"/>
    <w:rsid w:val="00352535"/>
    <w:rsid w:val="00352EFD"/>
    <w:rsid w:val="00353D77"/>
    <w:rsid w:val="0035421D"/>
    <w:rsid w:val="0035616E"/>
    <w:rsid w:val="00362014"/>
    <w:rsid w:val="00363DC6"/>
    <w:rsid w:val="0036545D"/>
    <w:rsid w:val="00366F1A"/>
    <w:rsid w:val="003719DE"/>
    <w:rsid w:val="00374E33"/>
    <w:rsid w:val="00376121"/>
    <w:rsid w:val="0038367D"/>
    <w:rsid w:val="00385B53"/>
    <w:rsid w:val="00387AAC"/>
    <w:rsid w:val="003956A8"/>
    <w:rsid w:val="00395FF2"/>
    <w:rsid w:val="00396DC7"/>
    <w:rsid w:val="003978E8"/>
    <w:rsid w:val="003A040C"/>
    <w:rsid w:val="003A1240"/>
    <w:rsid w:val="003A1C85"/>
    <w:rsid w:val="003A2C37"/>
    <w:rsid w:val="003A2CBD"/>
    <w:rsid w:val="003A4C4A"/>
    <w:rsid w:val="003B0E13"/>
    <w:rsid w:val="003B4811"/>
    <w:rsid w:val="003B4E86"/>
    <w:rsid w:val="003C06D1"/>
    <w:rsid w:val="003C3F94"/>
    <w:rsid w:val="003C488A"/>
    <w:rsid w:val="003C4E66"/>
    <w:rsid w:val="003C636C"/>
    <w:rsid w:val="003C6EFD"/>
    <w:rsid w:val="003D05F2"/>
    <w:rsid w:val="003D0ED6"/>
    <w:rsid w:val="003D3C46"/>
    <w:rsid w:val="003D65C3"/>
    <w:rsid w:val="003D6C76"/>
    <w:rsid w:val="003D6F87"/>
    <w:rsid w:val="003D729D"/>
    <w:rsid w:val="003E198B"/>
    <w:rsid w:val="003E4633"/>
    <w:rsid w:val="003E5E41"/>
    <w:rsid w:val="003E6672"/>
    <w:rsid w:val="003F052F"/>
    <w:rsid w:val="003F20DF"/>
    <w:rsid w:val="003F3363"/>
    <w:rsid w:val="003F4637"/>
    <w:rsid w:val="003F65B7"/>
    <w:rsid w:val="003F69AC"/>
    <w:rsid w:val="003F7701"/>
    <w:rsid w:val="003F7A78"/>
    <w:rsid w:val="00400442"/>
    <w:rsid w:val="0040049C"/>
    <w:rsid w:val="004009B0"/>
    <w:rsid w:val="00400DD7"/>
    <w:rsid w:val="00401A2B"/>
    <w:rsid w:val="00403201"/>
    <w:rsid w:val="00404CB1"/>
    <w:rsid w:val="00405F69"/>
    <w:rsid w:val="00410829"/>
    <w:rsid w:val="0041271A"/>
    <w:rsid w:val="004140AE"/>
    <w:rsid w:val="004216BB"/>
    <w:rsid w:val="00421AD0"/>
    <w:rsid w:val="00430CEF"/>
    <w:rsid w:val="00440003"/>
    <w:rsid w:val="0044055F"/>
    <w:rsid w:val="004405EA"/>
    <w:rsid w:val="00440E86"/>
    <w:rsid w:val="00441124"/>
    <w:rsid w:val="00441DA6"/>
    <w:rsid w:val="00443201"/>
    <w:rsid w:val="00446314"/>
    <w:rsid w:val="00446849"/>
    <w:rsid w:val="00450E61"/>
    <w:rsid w:val="0045251D"/>
    <w:rsid w:val="0045397D"/>
    <w:rsid w:val="00457B2A"/>
    <w:rsid w:val="00457BB1"/>
    <w:rsid w:val="00457CE8"/>
    <w:rsid w:val="00460C0C"/>
    <w:rsid w:val="00463A24"/>
    <w:rsid w:val="0046733A"/>
    <w:rsid w:val="00477039"/>
    <w:rsid w:val="00483D6C"/>
    <w:rsid w:val="004907EA"/>
    <w:rsid w:val="00491565"/>
    <w:rsid w:val="004963D3"/>
    <w:rsid w:val="00497A08"/>
    <w:rsid w:val="004A1C29"/>
    <w:rsid w:val="004A1DE6"/>
    <w:rsid w:val="004A38AF"/>
    <w:rsid w:val="004A4127"/>
    <w:rsid w:val="004A4ADA"/>
    <w:rsid w:val="004A5D0C"/>
    <w:rsid w:val="004A7F28"/>
    <w:rsid w:val="004B1E20"/>
    <w:rsid w:val="004B4C0E"/>
    <w:rsid w:val="004B5854"/>
    <w:rsid w:val="004B6B47"/>
    <w:rsid w:val="004B792D"/>
    <w:rsid w:val="004C08EE"/>
    <w:rsid w:val="004C22BF"/>
    <w:rsid w:val="004C4E1C"/>
    <w:rsid w:val="004D3177"/>
    <w:rsid w:val="004D5BBE"/>
    <w:rsid w:val="004D7857"/>
    <w:rsid w:val="004E0062"/>
    <w:rsid w:val="004E016A"/>
    <w:rsid w:val="004E2110"/>
    <w:rsid w:val="004E34A7"/>
    <w:rsid w:val="004E4289"/>
    <w:rsid w:val="004E64B3"/>
    <w:rsid w:val="004F2AEC"/>
    <w:rsid w:val="004F4042"/>
    <w:rsid w:val="004F4873"/>
    <w:rsid w:val="004F63E9"/>
    <w:rsid w:val="004F664C"/>
    <w:rsid w:val="00501A19"/>
    <w:rsid w:val="005045D9"/>
    <w:rsid w:val="00506366"/>
    <w:rsid w:val="00506DE8"/>
    <w:rsid w:val="0051153B"/>
    <w:rsid w:val="005123E7"/>
    <w:rsid w:val="00515B7F"/>
    <w:rsid w:val="00516789"/>
    <w:rsid w:val="00520AE5"/>
    <w:rsid w:val="00520F09"/>
    <w:rsid w:val="005228DE"/>
    <w:rsid w:val="00522993"/>
    <w:rsid w:val="005232F8"/>
    <w:rsid w:val="005246F0"/>
    <w:rsid w:val="00527786"/>
    <w:rsid w:val="005316B3"/>
    <w:rsid w:val="00533B64"/>
    <w:rsid w:val="00534B92"/>
    <w:rsid w:val="00541967"/>
    <w:rsid w:val="00541CBA"/>
    <w:rsid w:val="00542266"/>
    <w:rsid w:val="00543831"/>
    <w:rsid w:val="0054699A"/>
    <w:rsid w:val="00547AB9"/>
    <w:rsid w:val="00551E4B"/>
    <w:rsid w:val="00552509"/>
    <w:rsid w:val="00552949"/>
    <w:rsid w:val="005544D0"/>
    <w:rsid w:val="00557812"/>
    <w:rsid w:val="00561C39"/>
    <w:rsid w:val="00561D65"/>
    <w:rsid w:val="00562191"/>
    <w:rsid w:val="00563DF2"/>
    <w:rsid w:val="00565139"/>
    <w:rsid w:val="00567054"/>
    <w:rsid w:val="005677ED"/>
    <w:rsid w:val="00571B75"/>
    <w:rsid w:val="005735C0"/>
    <w:rsid w:val="00576140"/>
    <w:rsid w:val="00576280"/>
    <w:rsid w:val="005826A8"/>
    <w:rsid w:val="00584E67"/>
    <w:rsid w:val="00586244"/>
    <w:rsid w:val="0059111E"/>
    <w:rsid w:val="005932BA"/>
    <w:rsid w:val="00593E43"/>
    <w:rsid w:val="0059470B"/>
    <w:rsid w:val="005A1179"/>
    <w:rsid w:val="005A149F"/>
    <w:rsid w:val="005A79EC"/>
    <w:rsid w:val="005B0382"/>
    <w:rsid w:val="005B03D7"/>
    <w:rsid w:val="005B06E0"/>
    <w:rsid w:val="005B1C1E"/>
    <w:rsid w:val="005B4696"/>
    <w:rsid w:val="005B4849"/>
    <w:rsid w:val="005B5BF6"/>
    <w:rsid w:val="005B66A4"/>
    <w:rsid w:val="005B7939"/>
    <w:rsid w:val="005C294F"/>
    <w:rsid w:val="005C2DFB"/>
    <w:rsid w:val="005C2EA7"/>
    <w:rsid w:val="005C30BF"/>
    <w:rsid w:val="005C4B1D"/>
    <w:rsid w:val="005C4BBB"/>
    <w:rsid w:val="005D0C0A"/>
    <w:rsid w:val="005D0CED"/>
    <w:rsid w:val="005D540C"/>
    <w:rsid w:val="005E0916"/>
    <w:rsid w:val="005E3B4B"/>
    <w:rsid w:val="005E418A"/>
    <w:rsid w:val="005E5D89"/>
    <w:rsid w:val="005E6DE9"/>
    <w:rsid w:val="005E7B92"/>
    <w:rsid w:val="005F091B"/>
    <w:rsid w:val="005F111E"/>
    <w:rsid w:val="005F125E"/>
    <w:rsid w:val="005F386D"/>
    <w:rsid w:val="005F7E60"/>
    <w:rsid w:val="00602093"/>
    <w:rsid w:val="00604B47"/>
    <w:rsid w:val="00605336"/>
    <w:rsid w:val="00606A61"/>
    <w:rsid w:val="00610A0B"/>
    <w:rsid w:val="00611561"/>
    <w:rsid w:val="00624CA6"/>
    <w:rsid w:val="006316A7"/>
    <w:rsid w:val="0063242F"/>
    <w:rsid w:val="0064338E"/>
    <w:rsid w:val="00643409"/>
    <w:rsid w:val="006443A4"/>
    <w:rsid w:val="00644CE7"/>
    <w:rsid w:val="006475B0"/>
    <w:rsid w:val="006535BC"/>
    <w:rsid w:val="00654258"/>
    <w:rsid w:val="00656776"/>
    <w:rsid w:val="00657B30"/>
    <w:rsid w:val="00657BF1"/>
    <w:rsid w:val="0066292E"/>
    <w:rsid w:val="00662E0D"/>
    <w:rsid w:val="0067014C"/>
    <w:rsid w:val="0067224A"/>
    <w:rsid w:val="0067476F"/>
    <w:rsid w:val="00677324"/>
    <w:rsid w:val="00680A79"/>
    <w:rsid w:val="00681600"/>
    <w:rsid w:val="006844A9"/>
    <w:rsid w:val="0068507A"/>
    <w:rsid w:val="00685D37"/>
    <w:rsid w:val="00687809"/>
    <w:rsid w:val="00687975"/>
    <w:rsid w:val="0069234E"/>
    <w:rsid w:val="00696532"/>
    <w:rsid w:val="006A122F"/>
    <w:rsid w:val="006A2629"/>
    <w:rsid w:val="006A314A"/>
    <w:rsid w:val="006A6D4D"/>
    <w:rsid w:val="006A6FB3"/>
    <w:rsid w:val="006B2632"/>
    <w:rsid w:val="006B4298"/>
    <w:rsid w:val="006B443C"/>
    <w:rsid w:val="006C0BBE"/>
    <w:rsid w:val="006C29A3"/>
    <w:rsid w:val="006C44CD"/>
    <w:rsid w:val="006C56E0"/>
    <w:rsid w:val="006C7667"/>
    <w:rsid w:val="006D523E"/>
    <w:rsid w:val="006D6C33"/>
    <w:rsid w:val="006D7583"/>
    <w:rsid w:val="006E10E9"/>
    <w:rsid w:val="006E3FA6"/>
    <w:rsid w:val="006E4A9C"/>
    <w:rsid w:val="006E4B79"/>
    <w:rsid w:val="006E77B6"/>
    <w:rsid w:val="006F1B79"/>
    <w:rsid w:val="006F2AA3"/>
    <w:rsid w:val="006F3F40"/>
    <w:rsid w:val="006F5195"/>
    <w:rsid w:val="006F58DB"/>
    <w:rsid w:val="006F7CB8"/>
    <w:rsid w:val="007020CB"/>
    <w:rsid w:val="00707486"/>
    <w:rsid w:val="00711AF9"/>
    <w:rsid w:val="00711C0D"/>
    <w:rsid w:val="00714CCD"/>
    <w:rsid w:val="00722162"/>
    <w:rsid w:val="00723F21"/>
    <w:rsid w:val="0072468F"/>
    <w:rsid w:val="007263EE"/>
    <w:rsid w:val="00726CD2"/>
    <w:rsid w:val="007313C4"/>
    <w:rsid w:val="007324AC"/>
    <w:rsid w:val="007344DE"/>
    <w:rsid w:val="00735283"/>
    <w:rsid w:val="00735911"/>
    <w:rsid w:val="00736400"/>
    <w:rsid w:val="0074096B"/>
    <w:rsid w:val="00740CFF"/>
    <w:rsid w:val="00746047"/>
    <w:rsid w:val="00746159"/>
    <w:rsid w:val="007508F9"/>
    <w:rsid w:val="00751886"/>
    <w:rsid w:val="00751A2F"/>
    <w:rsid w:val="00751AFC"/>
    <w:rsid w:val="00753E3A"/>
    <w:rsid w:val="00760926"/>
    <w:rsid w:val="00771414"/>
    <w:rsid w:val="00771493"/>
    <w:rsid w:val="0077554D"/>
    <w:rsid w:val="00781864"/>
    <w:rsid w:val="00784895"/>
    <w:rsid w:val="00785A28"/>
    <w:rsid w:val="0078702E"/>
    <w:rsid w:val="007900A5"/>
    <w:rsid w:val="007905F8"/>
    <w:rsid w:val="00793108"/>
    <w:rsid w:val="007969C8"/>
    <w:rsid w:val="007A6384"/>
    <w:rsid w:val="007A6956"/>
    <w:rsid w:val="007A7E41"/>
    <w:rsid w:val="007B001B"/>
    <w:rsid w:val="007B03C6"/>
    <w:rsid w:val="007B0881"/>
    <w:rsid w:val="007B2D30"/>
    <w:rsid w:val="007B2DE0"/>
    <w:rsid w:val="007B3742"/>
    <w:rsid w:val="007B5AF0"/>
    <w:rsid w:val="007B6B2E"/>
    <w:rsid w:val="007C1B9C"/>
    <w:rsid w:val="007C24F9"/>
    <w:rsid w:val="007C4FDC"/>
    <w:rsid w:val="007D1808"/>
    <w:rsid w:val="007D31AE"/>
    <w:rsid w:val="007D5657"/>
    <w:rsid w:val="007D7F8E"/>
    <w:rsid w:val="007E1263"/>
    <w:rsid w:val="007E132E"/>
    <w:rsid w:val="007E1C0F"/>
    <w:rsid w:val="007E1D22"/>
    <w:rsid w:val="007E334E"/>
    <w:rsid w:val="007F0FD0"/>
    <w:rsid w:val="007F2428"/>
    <w:rsid w:val="008018B8"/>
    <w:rsid w:val="0080222F"/>
    <w:rsid w:val="00802231"/>
    <w:rsid w:val="00804305"/>
    <w:rsid w:val="0081247E"/>
    <w:rsid w:val="0081360F"/>
    <w:rsid w:val="00813DAA"/>
    <w:rsid w:val="00814FBF"/>
    <w:rsid w:val="00820012"/>
    <w:rsid w:val="00821222"/>
    <w:rsid w:val="008212AE"/>
    <w:rsid w:val="00823007"/>
    <w:rsid w:val="00826B29"/>
    <w:rsid w:val="00835F11"/>
    <w:rsid w:val="0084099E"/>
    <w:rsid w:val="00843533"/>
    <w:rsid w:val="0084586E"/>
    <w:rsid w:val="00846AFA"/>
    <w:rsid w:val="00847358"/>
    <w:rsid w:val="00851767"/>
    <w:rsid w:val="008530EB"/>
    <w:rsid w:val="00853F87"/>
    <w:rsid w:val="008604D0"/>
    <w:rsid w:val="00863278"/>
    <w:rsid w:val="00863C6B"/>
    <w:rsid w:val="00863E69"/>
    <w:rsid w:val="00866998"/>
    <w:rsid w:val="00867E36"/>
    <w:rsid w:val="00870FA1"/>
    <w:rsid w:val="00873725"/>
    <w:rsid w:val="00873819"/>
    <w:rsid w:val="00877471"/>
    <w:rsid w:val="00880ACA"/>
    <w:rsid w:val="008828DD"/>
    <w:rsid w:val="00882E0B"/>
    <w:rsid w:val="00884BBC"/>
    <w:rsid w:val="008870F5"/>
    <w:rsid w:val="008940AD"/>
    <w:rsid w:val="0089546D"/>
    <w:rsid w:val="00895983"/>
    <w:rsid w:val="00895CF1"/>
    <w:rsid w:val="008966DF"/>
    <w:rsid w:val="00896CD2"/>
    <w:rsid w:val="008A02DD"/>
    <w:rsid w:val="008A1DD8"/>
    <w:rsid w:val="008A3101"/>
    <w:rsid w:val="008A424D"/>
    <w:rsid w:val="008B0102"/>
    <w:rsid w:val="008B1B27"/>
    <w:rsid w:val="008B4E87"/>
    <w:rsid w:val="008B5585"/>
    <w:rsid w:val="008B7885"/>
    <w:rsid w:val="008B78C7"/>
    <w:rsid w:val="008C4A56"/>
    <w:rsid w:val="008C557F"/>
    <w:rsid w:val="008C70CE"/>
    <w:rsid w:val="008D313E"/>
    <w:rsid w:val="008D4AD7"/>
    <w:rsid w:val="008D5D04"/>
    <w:rsid w:val="008D604E"/>
    <w:rsid w:val="008D62A3"/>
    <w:rsid w:val="008D7782"/>
    <w:rsid w:val="008E380F"/>
    <w:rsid w:val="008E45C8"/>
    <w:rsid w:val="008E5135"/>
    <w:rsid w:val="008E60F9"/>
    <w:rsid w:val="008E6F9D"/>
    <w:rsid w:val="008E717C"/>
    <w:rsid w:val="008F2BF1"/>
    <w:rsid w:val="008F36FD"/>
    <w:rsid w:val="008F439D"/>
    <w:rsid w:val="008F43DF"/>
    <w:rsid w:val="008F618D"/>
    <w:rsid w:val="008F7A9C"/>
    <w:rsid w:val="00900C13"/>
    <w:rsid w:val="00901386"/>
    <w:rsid w:val="00901C57"/>
    <w:rsid w:val="00903E6D"/>
    <w:rsid w:val="00904AC1"/>
    <w:rsid w:val="0092039B"/>
    <w:rsid w:val="00920C54"/>
    <w:rsid w:val="00920E0C"/>
    <w:rsid w:val="00921E1F"/>
    <w:rsid w:val="0092227D"/>
    <w:rsid w:val="0092237F"/>
    <w:rsid w:val="00922991"/>
    <w:rsid w:val="0092321D"/>
    <w:rsid w:val="00924CBE"/>
    <w:rsid w:val="00925DA7"/>
    <w:rsid w:val="00927239"/>
    <w:rsid w:val="00927742"/>
    <w:rsid w:val="009322A1"/>
    <w:rsid w:val="00936210"/>
    <w:rsid w:val="00937F85"/>
    <w:rsid w:val="00940357"/>
    <w:rsid w:val="009417E2"/>
    <w:rsid w:val="009438F7"/>
    <w:rsid w:val="00944EEC"/>
    <w:rsid w:val="00945F07"/>
    <w:rsid w:val="00947E53"/>
    <w:rsid w:val="00950326"/>
    <w:rsid w:val="00950C51"/>
    <w:rsid w:val="00952CD5"/>
    <w:rsid w:val="0095415C"/>
    <w:rsid w:val="009549E8"/>
    <w:rsid w:val="00954B06"/>
    <w:rsid w:val="00955D70"/>
    <w:rsid w:val="009601F4"/>
    <w:rsid w:val="00961F9A"/>
    <w:rsid w:val="00962C2A"/>
    <w:rsid w:val="00964112"/>
    <w:rsid w:val="009648B0"/>
    <w:rsid w:val="00964AAE"/>
    <w:rsid w:val="00966BA9"/>
    <w:rsid w:val="009705F4"/>
    <w:rsid w:val="009714C9"/>
    <w:rsid w:val="009720DA"/>
    <w:rsid w:val="00973973"/>
    <w:rsid w:val="0097397F"/>
    <w:rsid w:val="0097422E"/>
    <w:rsid w:val="00975FF1"/>
    <w:rsid w:val="00976518"/>
    <w:rsid w:val="009830BE"/>
    <w:rsid w:val="009835F2"/>
    <w:rsid w:val="00985D53"/>
    <w:rsid w:val="0098728D"/>
    <w:rsid w:val="00992185"/>
    <w:rsid w:val="00992839"/>
    <w:rsid w:val="00997651"/>
    <w:rsid w:val="00997DEB"/>
    <w:rsid w:val="009A1D20"/>
    <w:rsid w:val="009A648C"/>
    <w:rsid w:val="009B5C06"/>
    <w:rsid w:val="009B7968"/>
    <w:rsid w:val="009C0012"/>
    <w:rsid w:val="009C0D72"/>
    <w:rsid w:val="009C369A"/>
    <w:rsid w:val="009C3747"/>
    <w:rsid w:val="009C67E0"/>
    <w:rsid w:val="009D203F"/>
    <w:rsid w:val="009D2EC0"/>
    <w:rsid w:val="009D46BC"/>
    <w:rsid w:val="009D522A"/>
    <w:rsid w:val="009D5427"/>
    <w:rsid w:val="009E164E"/>
    <w:rsid w:val="009E282F"/>
    <w:rsid w:val="009E3CDC"/>
    <w:rsid w:val="009E5A50"/>
    <w:rsid w:val="009E6236"/>
    <w:rsid w:val="009F29D8"/>
    <w:rsid w:val="009F3B2E"/>
    <w:rsid w:val="009F450D"/>
    <w:rsid w:val="009F5AF5"/>
    <w:rsid w:val="009F661F"/>
    <w:rsid w:val="009F6CD5"/>
    <w:rsid w:val="00A027A2"/>
    <w:rsid w:val="00A04846"/>
    <w:rsid w:val="00A10DD6"/>
    <w:rsid w:val="00A1102C"/>
    <w:rsid w:val="00A12B27"/>
    <w:rsid w:val="00A145A8"/>
    <w:rsid w:val="00A16E13"/>
    <w:rsid w:val="00A209F3"/>
    <w:rsid w:val="00A27079"/>
    <w:rsid w:val="00A27B83"/>
    <w:rsid w:val="00A33992"/>
    <w:rsid w:val="00A4365D"/>
    <w:rsid w:val="00A4371A"/>
    <w:rsid w:val="00A475CC"/>
    <w:rsid w:val="00A475CE"/>
    <w:rsid w:val="00A47BF8"/>
    <w:rsid w:val="00A52F5C"/>
    <w:rsid w:val="00A60370"/>
    <w:rsid w:val="00A6051D"/>
    <w:rsid w:val="00A60943"/>
    <w:rsid w:val="00A619EA"/>
    <w:rsid w:val="00A648BD"/>
    <w:rsid w:val="00A67685"/>
    <w:rsid w:val="00A727C9"/>
    <w:rsid w:val="00A74131"/>
    <w:rsid w:val="00A7436C"/>
    <w:rsid w:val="00A80A55"/>
    <w:rsid w:val="00A85DF4"/>
    <w:rsid w:val="00A92351"/>
    <w:rsid w:val="00A941BE"/>
    <w:rsid w:val="00A9486C"/>
    <w:rsid w:val="00A9672B"/>
    <w:rsid w:val="00AA13D0"/>
    <w:rsid w:val="00AA1FFB"/>
    <w:rsid w:val="00AA4666"/>
    <w:rsid w:val="00AA4BBE"/>
    <w:rsid w:val="00AA699F"/>
    <w:rsid w:val="00AA7FCF"/>
    <w:rsid w:val="00AB0893"/>
    <w:rsid w:val="00AB1952"/>
    <w:rsid w:val="00AB1A37"/>
    <w:rsid w:val="00AB1FA0"/>
    <w:rsid w:val="00AB4F05"/>
    <w:rsid w:val="00AC141E"/>
    <w:rsid w:val="00AC174B"/>
    <w:rsid w:val="00AC3373"/>
    <w:rsid w:val="00AC4FD4"/>
    <w:rsid w:val="00AD1E8E"/>
    <w:rsid w:val="00AD2815"/>
    <w:rsid w:val="00AD52DC"/>
    <w:rsid w:val="00AD77DB"/>
    <w:rsid w:val="00AE0E61"/>
    <w:rsid w:val="00AE22AD"/>
    <w:rsid w:val="00AE24F7"/>
    <w:rsid w:val="00AE35C8"/>
    <w:rsid w:val="00AE4167"/>
    <w:rsid w:val="00AE6CD5"/>
    <w:rsid w:val="00AE72B5"/>
    <w:rsid w:val="00AF48B4"/>
    <w:rsid w:val="00AF5402"/>
    <w:rsid w:val="00B02704"/>
    <w:rsid w:val="00B076D6"/>
    <w:rsid w:val="00B11F1B"/>
    <w:rsid w:val="00B1668E"/>
    <w:rsid w:val="00B20597"/>
    <w:rsid w:val="00B208E9"/>
    <w:rsid w:val="00B232E6"/>
    <w:rsid w:val="00B24331"/>
    <w:rsid w:val="00B25FE5"/>
    <w:rsid w:val="00B2663B"/>
    <w:rsid w:val="00B31A34"/>
    <w:rsid w:val="00B34325"/>
    <w:rsid w:val="00B35C6E"/>
    <w:rsid w:val="00B4695C"/>
    <w:rsid w:val="00B4771D"/>
    <w:rsid w:val="00B47F85"/>
    <w:rsid w:val="00B5063D"/>
    <w:rsid w:val="00B5160D"/>
    <w:rsid w:val="00B5267D"/>
    <w:rsid w:val="00B55282"/>
    <w:rsid w:val="00B55737"/>
    <w:rsid w:val="00B5749C"/>
    <w:rsid w:val="00B61F20"/>
    <w:rsid w:val="00B62DA6"/>
    <w:rsid w:val="00B63777"/>
    <w:rsid w:val="00B65935"/>
    <w:rsid w:val="00B65F9E"/>
    <w:rsid w:val="00B70659"/>
    <w:rsid w:val="00B736F8"/>
    <w:rsid w:val="00B73907"/>
    <w:rsid w:val="00B8006D"/>
    <w:rsid w:val="00B80154"/>
    <w:rsid w:val="00B8107F"/>
    <w:rsid w:val="00B818CD"/>
    <w:rsid w:val="00B81E10"/>
    <w:rsid w:val="00B82A7F"/>
    <w:rsid w:val="00B82F55"/>
    <w:rsid w:val="00B91CA1"/>
    <w:rsid w:val="00B922AB"/>
    <w:rsid w:val="00B94998"/>
    <w:rsid w:val="00B9566C"/>
    <w:rsid w:val="00B96C91"/>
    <w:rsid w:val="00BA40E6"/>
    <w:rsid w:val="00BA56E2"/>
    <w:rsid w:val="00BB1D84"/>
    <w:rsid w:val="00BB2CA7"/>
    <w:rsid w:val="00BB3E41"/>
    <w:rsid w:val="00BB5954"/>
    <w:rsid w:val="00BB6D9E"/>
    <w:rsid w:val="00BB7204"/>
    <w:rsid w:val="00BC00F3"/>
    <w:rsid w:val="00BC2419"/>
    <w:rsid w:val="00BC2D12"/>
    <w:rsid w:val="00BC37C8"/>
    <w:rsid w:val="00BC6011"/>
    <w:rsid w:val="00BC74D9"/>
    <w:rsid w:val="00BC78C4"/>
    <w:rsid w:val="00BD302F"/>
    <w:rsid w:val="00BD4776"/>
    <w:rsid w:val="00BD615A"/>
    <w:rsid w:val="00BD6E83"/>
    <w:rsid w:val="00BD7ECF"/>
    <w:rsid w:val="00BE1C0D"/>
    <w:rsid w:val="00BE366A"/>
    <w:rsid w:val="00BE4385"/>
    <w:rsid w:val="00BE4FBE"/>
    <w:rsid w:val="00BE720B"/>
    <w:rsid w:val="00BE76AD"/>
    <w:rsid w:val="00BF14FF"/>
    <w:rsid w:val="00BF1F7D"/>
    <w:rsid w:val="00BF459F"/>
    <w:rsid w:val="00BF46C1"/>
    <w:rsid w:val="00C0228B"/>
    <w:rsid w:val="00C030F5"/>
    <w:rsid w:val="00C03370"/>
    <w:rsid w:val="00C03CFD"/>
    <w:rsid w:val="00C04725"/>
    <w:rsid w:val="00C05967"/>
    <w:rsid w:val="00C12848"/>
    <w:rsid w:val="00C138C4"/>
    <w:rsid w:val="00C14AA2"/>
    <w:rsid w:val="00C154B8"/>
    <w:rsid w:val="00C15FE2"/>
    <w:rsid w:val="00C20601"/>
    <w:rsid w:val="00C22BB6"/>
    <w:rsid w:val="00C2478F"/>
    <w:rsid w:val="00C24828"/>
    <w:rsid w:val="00C24982"/>
    <w:rsid w:val="00C261B9"/>
    <w:rsid w:val="00C27BC7"/>
    <w:rsid w:val="00C30CB5"/>
    <w:rsid w:val="00C313C9"/>
    <w:rsid w:val="00C37897"/>
    <w:rsid w:val="00C4189A"/>
    <w:rsid w:val="00C41BE4"/>
    <w:rsid w:val="00C420DD"/>
    <w:rsid w:val="00C42922"/>
    <w:rsid w:val="00C446D0"/>
    <w:rsid w:val="00C51E1A"/>
    <w:rsid w:val="00C52A81"/>
    <w:rsid w:val="00C533BF"/>
    <w:rsid w:val="00C5344E"/>
    <w:rsid w:val="00C53CC1"/>
    <w:rsid w:val="00C53DB1"/>
    <w:rsid w:val="00C55EA1"/>
    <w:rsid w:val="00C61A0C"/>
    <w:rsid w:val="00C62668"/>
    <w:rsid w:val="00C6702A"/>
    <w:rsid w:val="00C71889"/>
    <w:rsid w:val="00C73D7A"/>
    <w:rsid w:val="00C73F7D"/>
    <w:rsid w:val="00C74821"/>
    <w:rsid w:val="00C77201"/>
    <w:rsid w:val="00C8012E"/>
    <w:rsid w:val="00C81625"/>
    <w:rsid w:val="00C832A1"/>
    <w:rsid w:val="00C87FF0"/>
    <w:rsid w:val="00C905AA"/>
    <w:rsid w:val="00C95C54"/>
    <w:rsid w:val="00C97D78"/>
    <w:rsid w:val="00CA356C"/>
    <w:rsid w:val="00CA375D"/>
    <w:rsid w:val="00CA7F66"/>
    <w:rsid w:val="00CB36CC"/>
    <w:rsid w:val="00CB5494"/>
    <w:rsid w:val="00CB784F"/>
    <w:rsid w:val="00CC2FA2"/>
    <w:rsid w:val="00CC52E0"/>
    <w:rsid w:val="00CC77A2"/>
    <w:rsid w:val="00CD0066"/>
    <w:rsid w:val="00CD16F0"/>
    <w:rsid w:val="00CD3986"/>
    <w:rsid w:val="00CD448F"/>
    <w:rsid w:val="00CE3669"/>
    <w:rsid w:val="00CE383B"/>
    <w:rsid w:val="00CE41E5"/>
    <w:rsid w:val="00CE54DA"/>
    <w:rsid w:val="00CE65B2"/>
    <w:rsid w:val="00CF14C3"/>
    <w:rsid w:val="00CF1875"/>
    <w:rsid w:val="00CF3162"/>
    <w:rsid w:val="00CF365A"/>
    <w:rsid w:val="00CF3E14"/>
    <w:rsid w:val="00D004F1"/>
    <w:rsid w:val="00D10467"/>
    <w:rsid w:val="00D13D05"/>
    <w:rsid w:val="00D147C8"/>
    <w:rsid w:val="00D1613B"/>
    <w:rsid w:val="00D1788C"/>
    <w:rsid w:val="00D17928"/>
    <w:rsid w:val="00D24632"/>
    <w:rsid w:val="00D25114"/>
    <w:rsid w:val="00D252EC"/>
    <w:rsid w:val="00D3147E"/>
    <w:rsid w:val="00D3157C"/>
    <w:rsid w:val="00D3162A"/>
    <w:rsid w:val="00D32217"/>
    <w:rsid w:val="00D3319D"/>
    <w:rsid w:val="00D341EF"/>
    <w:rsid w:val="00D3551F"/>
    <w:rsid w:val="00D37E08"/>
    <w:rsid w:val="00D42202"/>
    <w:rsid w:val="00D43E89"/>
    <w:rsid w:val="00D44A79"/>
    <w:rsid w:val="00D47EB3"/>
    <w:rsid w:val="00D5060F"/>
    <w:rsid w:val="00D508BE"/>
    <w:rsid w:val="00D5557E"/>
    <w:rsid w:val="00D6038C"/>
    <w:rsid w:val="00D60BE6"/>
    <w:rsid w:val="00D626F5"/>
    <w:rsid w:val="00D67297"/>
    <w:rsid w:val="00D7030B"/>
    <w:rsid w:val="00D73534"/>
    <w:rsid w:val="00D7358C"/>
    <w:rsid w:val="00D74EB5"/>
    <w:rsid w:val="00D80192"/>
    <w:rsid w:val="00D85029"/>
    <w:rsid w:val="00D85158"/>
    <w:rsid w:val="00D877BD"/>
    <w:rsid w:val="00D91165"/>
    <w:rsid w:val="00D96AB2"/>
    <w:rsid w:val="00DA155A"/>
    <w:rsid w:val="00DA2189"/>
    <w:rsid w:val="00DA5140"/>
    <w:rsid w:val="00DA6195"/>
    <w:rsid w:val="00DA6F4F"/>
    <w:rsid w:val="00DB1200"/>
    <w:rsid w:val="00DB6094"/>
    <w:rsid w:val="00DC1670"/>
    <w:rsid w:val="00DC26B7"/>
    <w:rsid w:val="00DC302C"/>
    <w:rsid w:val="00DC314B"/>
    <w:rsid w:val="00DC506D"/>
    <w:rsid w:val="00DC715A"/>
    <w:rsid w:val="00DC756E"/>
    <w:rsid w:val="00DD0441"/>
    <w:rsid w:val="00DD05E7"/>
    <w:rsid w:val="00DD4456"/>
    <w:rsid w:val="00DD6D9D"/>
    <w:rsid w:val="00DE0519"/>
    <w:rsid w:val="00DE0D69"/>
    <w:rsid w:val="00DE5248"/>
    <w:rsid w:val="00DE5ADE"/>
    <w:rsid w:val="00DE6DBD"/>
    <w:rsid w:val="00DE72EF"/>
    <w:rsid w:val="00DF1BC9"/>
    <w:rsid w:val="00DF7EC1"/>
    <w:rsid w:val="00E01485"/>
    <w:rsid w:val="00E0291E"/>
    <w:rsid w:val="00E06B64"/>
    <w:rsid w:val="00E109FB"/>
    <w:rsid w:val="00E118DD"/>
    <w:rsid w:val="00E21319"/>
    <w:rsid w:val="00E214AF"/>
    <w:rsid w:val="00E2327B"/>
    <w:rsid w:val="00E23EEC"/>
    <w:rsid w:val="00E25454"/>
    <w:rsid w:val="00E263CE"/>
    <w:rsid w:val="00E309DE"/>
    <w:rsid w:val="00E30C15"/>
    <w:rsid w:val="00E41203"/>
    <w:rsid w:val="00E43474"/>
    <w:rsid w:val="00E43592"/>
    <w:rsid w:val="00E43B85"/>
    <w:rsid w:val="00E46A92"/>
    <w:rsid w:val="00E46C3C"/>
    <w:rsid w:val="00E5033F"/>
    <w:rsid w:val="00E50F52"/>
    <w:rsid w:val="00E52535"/>
    <w:rsid w:val="00E575F3"/>
    <w:rsid w:val="00E67BA9"/>
    <w:rsid w:val="00E73230"/>
    <w:rsid w:val="00E74F47"/>
    <w:rsid w:val="00E75325"/>
    <w:rsid w:val="00E77345"/>
    <w:rsid w:val="00E83045"/>
    <w:rsid w:val="00E857A3"/>
    <w:rsid w:val="00E86BBA"/>
    <w:rsid w:val="00E8777E"/>
    <w:rsid w:val="00E9151A"/>
    <w:rsid w:val="00E91B9A"/>
    <w:rsid w:val="00E95736"/>
    <w:rsid w:val="00EA2CC8"/>
    <w:rsid w:val="00EA3A80"/>
    <w:rsid w:val="00EA4500"/>
    <w:rsid w:val="00EB2EA5"/>
    <w:rsid w:val="00EB309F"/>
    <w:rsid w:val="00EB5914"/>
    <w:rsid w:val="00EC3512"/>
    <w:rsid w:val="00EC5812"/>
    <w:rsid w:val="00ED0FE0"/>
    <w:rsid w:val="00ED136A"/>
    <w:rsid w:val="00ED29EB"/>
    <w:rsid w:val="00ED4821"/>
    <w:rsid w:val="00ED5234"/>
    <w:rsid w:val="00ED5844"/>
    <w:rsid w:val="00EE1C20"/>
    <w:rsid w:val="00EE1C29"/>
    <w:rsid w:val="00EE2D4C"/>
    <w:rsid w:val="00EE4728"/>
    <w:rsid w:val="00EF3C88"/>
    <w:rsid w:val="00EF47EB"/>
    <w:rsid w:val="00EF5B59"/>
    <w:rsid w:val="00EF6091"/>
    <w:rsid w:val="00F020E4"/>
    <w:rsid w:val="00F034B8"/>
    <w:rsid w:val="00F04A7F"/>
    <w:rsid w:val="00F05542"/>
    <w:rsid w:val="00F15184"/>
    <w:rsid w:val="00F16B40"/>
    <w:rsid w:val="00F21F18"/>
    <w:rsid w:val="00F221A9"/>
    <w:rsid w:val="00F2449F"/>
    <w:rsid w:val="00F27604"/>
    <w:rsid w:val="00F3001F"/>
    <w:rsid w:val="00F32C7D"/>
    <w:rsid w:val="00F34667"/>
    <w:rsid w:val="00F357BA"/>
    <w:rsid w:val="00F357D0"/>
    <w:rsid w:val="00F36914"/>
    <w:rsid w:val="00F3736B"/>
    <w:rsid w:val="00F37951"/>
    <w:rsid w:val="00F4017B"/>
    <w:rsid w:val="00F40CBD"/>
    <w:rsid w:val="00F41456"/>
    <w:rsid w:val="00F4259C"/>
    <w:rsid w:val="00F477DB"/>
    <w:rsid w:val="00F50DFF"/>
    <w:rsid w:val="00F52035"/>
    <w:rsid w:val="00F54CD3"/>
    <w:rsid w:val="00F55883"/>
    <w:rsid w:val="00F55E8E"/>
    <w:rsid w:val="00F5621A"/>
    <w:rsid w:val="00F575EF"/>
    <w:rsid w:val="00F61DCA"/>
    <w:rsid w:val="00F63720"/>
    <w:rsid w:val="00F65796"/>
    <w:rsid w:val="00F75825"/>
    <w:rsid w:val="00F75BBA"/>
    <w:rsid w:val="00F75C9D"/>
    <w:rsid w:val="00F76087"/>
    <w:rsid w:val="00F77B63"/>
    <w:rsid w:val="00F813F9"/>
    <w:rsid w:val="00F84152"/>
    <w:rsid w:val="00F849F9"/>
    <w:rsid w:val="00F87F33"/>
    <w:rsid w:val="00F9181C"/>
    <w:rsid w:val="00F934FF"/>
    <w:rsid w:val="00F95050"/>
    <w:rsid w:val="00FA04B9"/>
    <w:rsid w:val="00FA0A0D"/>
    <w:rsid w:val="00FA0F88"/>
    <w:rsid w:val="00FB0763"/>
    <w:rsid w:val="00FB34DF"/>
    <w:rsid w:val="00FB3710"/>
    <w:rsid w:val="00FC029B"/>
    <w:rsid w:val="00FC1162"/>
    <w:rsid w:val="00FC1BD9"/>
    <w:rsid w:val="00FC59D8"/>
    <w:rsid w:val="00FC5AC2"/>
    <w:rsid w:val="00FC6068"/>
    <w:rsid w:val="00FC60AC"/>
    <w:rsid w:val="00FC681D"/>
    <w:rsid w:val="00FD38B9"/>
    <w:rsid w:val="00FE2763"/>
    <w:rsid w:val="00FE2ED0"/>
    <w:rsid w:val="00FE3459"/>
    <w:rsid w:val="00FE7566"/>
    <w:rsid w:val="00FF2D05"/>
    <w:rsid w:val="00FF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AA4A6"/>
  <w14:defaultImageDpi w14:val="32767"/>
  <w15:chartTrackingRefBased/>
  <w15:docId w15:val="{1AAFFF3B-FBAA-8F4E-B527-41A6FFE77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725"/>
    <w:rPr>
      <w:rFonts w:ascii="Times New Roman" w:eastAsia="Times New Roman" w:hAnsi="Times New Roman" w:cs="Times New Roman"/>
      <w:lang w:eastAsia="en-GB"/>
    </w:rPr>
  </w:style>
  <w:style w:type="paragraph" w:styleId="Heading1">
    <w:name w:val="heading 1"/>
    <w:basedOn w:val="Normal"/>
    <w:link w:val="Heading1Char"/>
    <w:uiPriority w:val="9"/>
    <w:qFormat/>
    <w:rsid w:val="0033000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11A1"/>
    <w:pPr>
      <w:spacing w:before="100" w:beforeAutospacing="1" w:after="100" w:afterAutospacing="1"/>
    </w:pPr>
  </w:style>
  <w:style w:type="character" w:styleId="CommentReference">
    <w:name w:val="annotation reference"/>
    <w:basedOn w:val="DefaultParagraphFont"/>
    <w:uiPriority w:val="99"/>
    <w:semiHidden/>
    <w:unhideWhenUsed/>
    <w:rsid w:val="001311A1"/>
    <w:rPr>
      <w:sz w:val="16"/>
      <w:szCs w:val="16"/>
    </w:rPr>
  </w:style>
  <w:style w:type="paragraph" w:styleId="CommentText">
    <w:name w:val="annotation text"/>
    <w:basedOn w:val="Normal"/>
    <w:link w:val="CommentTextChar"/>
    <w:uiPriority w:val="99"/>
    <w:unhideWhenUsed/>
    <w:rsid w:val="001311A1"/>
    <w:rPr>
      <w:sz w:val="20"/>
      <w:szCs w:val="20"/>
    </w:rPr>
  </w:style>
  <w:style w:type="character" w:customStyle="1" w:styleId="CommentTextChar">
    <w:name w:val="Comment Text Char"/>
    <w:basedOn w:val="DefaultParagraphFont"/>
    <w:link w:val="CommentText"/>
    <w:uiPriority w:val="99"/>
    <w:rsid w:val="001311A1"/>
    <w:rPr>
      <w:rFonts w:ascii="Times New Roman" w:eastAsia="Times New Roman" w:hAnsi="Times New Roman" w:cs="Times New Roman"/>
      <w:sz w:val="20"/>
      <w:szCs w:val="20"/>
      <w:lang w:eastAsia="en-GB"/>
    </w:rPr>
  </w:style>
  <w:style w:type="character" w:customStyle="1" w:styleId="ref-lnk">
    <w:name w:val="ref-lnk"/>
    <w:basedOn w:val="DefaultParagraphFont"/>
    <w:rsid w:val="00BD4776"/>
  </w:style>
  <w:style w:type="character" w:customStyle="1" w:styleId="hlfld-contribauthor">
    <w:name w:val="hlfld-contribauthor"/>
    <w:basedOn w:val="DefaultParagraphFont"/>
    <w:rsid w:val="00B736F8"/>
  </w:style>
  <w:style w:type="character" w:customStyle="1" w:styleId="apple-converted-space">
    <w:name w:val="apple-converted-space"/>
    <w:basedOn w:val="DefaultParagraphFont"/>
    <w:rsid w:val="00B736F8"/>
  </w:style>
  <w:style w:type="character" w:customStyle="1" w:styleId="nlmgiven-names">
    <w:name w:val="nlm_given-names"/>
    <w:basedOn w:val="DefaultParagraphFont"/>
    <w:rsid w:val="00B736F8"/>
  </w:style>
  <w:style w:type="character" w:customStyle="1" w:styleId="nlmyear">
    <w:name w:val="nlm_year"/>
    <w:basedOn w:val="DefaultParagraphFont"/>
    <w:rsid w:val="00B736F8"/>
  </w:style>
  <w:style w:type="character" w:styleId="Hyperlink">
    <w:name w:val="Hyperlink"/>
    <w:basedOn w:val="DefaultParagraphFont"/>
    <w:uiPriority w:val="99"/>
    <w:unhideWhenUsed/>
    <w:rsid w:val="001369A2"/>
    <w:rPr>
      <w:color w:val="0563C1" w:themeColor="hyperlink"/>
      <w:u w:val="single"/>
    </w:rPr>
  </w:style>
  <w:style w:type="character" w:styleId="UnresolvedMention">
    <w:name w:val="Unresolved Mention"/>
    <w:basedOn w:val="DefaultParagraphFont"/>
    <w:uiPriority w:val="99"/>
    <w:rsid w:val="001369A2"/>
    <w:rPr>
      <w:color w:val="605E5C"/>
      <w:shd w:val="clear" w:color="auto" w:fill="E1DFDD"/>
    </w:rPr>
  </w:style>
  <w:style w:type="paragraph" w:customStyle="1" w:styleId="Default">
    <w:name w:val="Default"/>
    <w:rsid w:val="00563DF2"/>
    <w:pPr>
      <w:autoSpaceDE w:val="0"/>
      <w:autoSpaceDN w:val="0"/>
      <w:adjustRightInd w:val="0"/>
    </w:pPr>
    <w:rPr>
      <w:rFonts w:ascii="Gill Sans MT" w:hAnsi="Gill Sans MT" w:cs="Gill Sans MT"/>
      <w:color w:val="000000"/>
    </w:rPr>
  </w:style>
  <w:style w:type="character" w:customStyle="1" w:styleId="authors">
    <w:name w:val="authors"/>
    <w:basedOn w:val="DefaultParagraphFont"/>
    <w:rsid w:val="008E6F9D"/>
  </w:style>
  <w:style w:type="paragraph" w:styleId="CommentSubject">
    <w:name w:val="annotation subject"/>
    <w:basedOn w:val="CommentText"/>
    <w:next w:val="CommentText"/>
    <w:link w:val="CommentSubjectChar"/>
    <w:uiPriority w:val="99"/>
    <w:semiHidden/>
    <w:unhideWhenUsed/>
    <w:rsid w:val="005C2EA7"/>
    <w:rPr>
      <w:b/>
      <w:bCs/>
    </w:rPr>
  </w:style>
  <w:style w:type="character" w:customStyle="1" w:styleId="CommentSubjectChar">
    <w:name w:val="Comment Subject Char"/>
    <w:basedOn w:val="CommentTextChar"/>
    <w:link w:val="CommentSubject"/>
    <w:uiPriority w:val="99"/>
    <w:semiHidden/>
    <w:rsid w:val="005C2EA7"/>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6B2632"/>
    <w:rPr>
      <w:i/>
      <w:iCs/>
    </w:rPr>
  </w:style>
  <w:style w:type="character" w:customStyle="1" w:styleId="nlmarticle-title">
    <w:name w:val="nlm_article-title"/>
    <w:basedOn w:val="DefaultParagraphFont"/>
    <w:rsid w:val="00771414"/>
  </w:style>
  <w:style w:type="character" w:customStyle="1" w:styleId="nlmfpage">
    <w:name w:val="nlm_fpage"/>
    <w:basedOn w:val="DefaultParagraphFont"/>
    <w:rsid w:val="00771414"/>
  </w:style>
  <w:style w:type="character" w:customStyle="1" w:styleId="nlmlpage">
    <w:name w:val="nlm_lpage"/>
    <w:basedOn w:val="DefaultParagraphFont"/>
    <w:rsid w:val="00771414"/>
  </w:style>
  <w:style w:type="paragraph" w:styleId="ListParagraph">
    <w:name w:val="List Paragraph"/>
    <w:basedOn w:val="Normal"/>
    <w:uiPriority w:val="34"/>
    <w:qFormat/>
    <w:rsid w:val="00771414"/>
    <w:pPr>
      <w:ind w:left="720"/>
      <w:contextualSpacing/>
    </w:pPr>
  </w:style>
  <w:style w:type="character" w:styleId="FollowedHyperlink">
    <w:name w:val="FollowedHyperlink"/>
    <w:basedOn w:val="DefaultParagraphFont"/>
    <w:uiPriority w:val="99"/>
    <w:semiHidden/>
    <w:unhideWhenUsed/>
    <w:rsid w:val="000C5960"/>
    <w:rPr>
      <w:color w:val="954F72" w:themeColor="followedHyperlink"/>
      <w:u w:val="single"/>
    </w:rPr>
  </w:style>
  <w:style w:type="character" w:customStyle="1" w:styleId="Heading1Char">
    <w:name w:val="Heading 1 Char"/>
    <w:basedOn w:val="DefaultParagraphFont"/>
    <w:link w:val="Heading1"/>
    <w:uiPriority w:val="9"/>
    <w:rsid w:val="0033000F"/>
    <w:rPr>
      <w:rFonts w:ascii="Times New Roman" w:eastAsia="Times New Roman" w:hAnsi="Times New Roman" w:cs="Times New Roman"/>
      <w:b/>
      <w:bCs/>
      <w:kern w:val="36"/>
      <w:sz w:val="48"/>
      <w:szCs w:val="48"/>
      <w:lang w:eastAsia="en-GB"/>
    </w:rPr>
  </w:style>
  <w:style w:type="character" w:customStyle="1" w:styleId="nlmpublisher-loc">
    <w:name w:val="nlm_publisher-loc"/>
    <w:basedOn w:val="DefaultParagraphFont"/>
    <w:rsid w:val="00CF1875"/>
  </w:style>
  <w:style w:type="character" w:customStyle="1" w:styleId="nlmpublisher-name">
    <w:name w:val="nlm_publisher-name"/>
    <w:basedOn w:val="DefaultParagraphFont"/>
    <w:rsid w:val="00CF1875"/>
  </w:style>
  <w:style w:type="character" w:customStyle="1" w:styleId="nlmchapter-title">
    <w:name w:val="nlm_chapter-title"/>
    <w:basedOn w:val="DefaultParagraphFont"/>
    <w:rsid w:val="005F091B"/>
  </w:style>
  <w:style w:type="character" w:customStyle="1" w:styleId="name">
    <w:name w:val="name"/>
    <w:basedOn w:val="DefaultParagraphFont"/>
    <w:rsid w:val="00235592"/>
  </w:style>
  <w:style w:type="character" w:customStyle="1" w:styleId="api-publication-authors">
    <w:name w:val="api-publication-authors"/>
    <w:basedOn w:val="DefaultParagraphFont"/>
    <w:rsid w:val="007905F8"/>
  </w:style>
  <w:style w:type="character" w:styleId="Strong">
    <w:name w:val="Strong"/>
    <w:basedOn w:val="DefaultParagraphFont"/>
    <w:uiPriority w:val="22"/>
    <w:qFormat/>
    <w:rsid w:val="007905F8"/>
    <w:rPr>
      <w:b/>
      <w:bCs/>
    </w:rPr>
  </w:style>
  <w:style w:type="paragraph" w:styleId="Revision">
    <w:name w:val="Revision"/>
    <w:hidden/>
    <w:uiPriority w:val="99"/>
    <w:semiHidden/>
    <w:rsid w:val="004D3177"/>
    <w:rPr>
      <w:rFonts w:ascii="Times New Roman" w:eastAsia="Times New Roman" w:hAnsi="Times New Roman" w:cs="Times New Roman"/>
      <w:lang w:eastAsia="en-GB"/>
    </w:rPr>
  </w:style>
  <w:style w:type="character" w:customStyle="1" w:styleId="annotation">
    <w:name w:val="annotation"/>
    <w:basedOn w:val="DefaultParagraphFont"/>
    <w:rsid w:val="00D25114"/>
  </w:style>
  <w:style w:type="character" w:customStyle="1" w:styleId="nlmpub-id">
    <w:name w:val="nlm_pub-id"/>
    <w:basedOn w:val="DefaultParagraphFont"/>
    <w:rsid w:val="000B1725"/>
  </w:style>
  <w:style w:type="paragraph" w:styleId="BalloonText">
    <w:name w:val="Balloon Text"/>
    <w:basedOn w:val="Normal"/>
    <w:link w:val="BalloonTextChar"/>
    <w:uiPriority w:val="99"/>
    <w:semiHidden/>
    <w:unhideWhenUsed/>
    <w:rsid w:val="009272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239"/>
    <w:rPr>
      <w:rFonts w:ascii="Segoe UI" w:eastAsia="Times New Roman" w:hAnsi="Segoe UI" w:cs="Segoe UI"/>
      <w:sz w:val="18"/>
      <w:szCs w:val="18"/>
      <w:lang w:eastAsia="en-GB"/>
    </w:rPr>
  </w:style>
  <w:style w:type="paragraph" w:styleId="Header">
    <w:name w:val="header"/>
    <w:basedOn w:val="Normal"/>
    <w:link w:val="HeaderChar"/>
    <w:uiPriority w:val="99"/>
    <w:unhideWhenUsed/>
    <w:rsid w:val="0045251D"/>
    <w:pPr>
      <w:tabs>
        <w:tab w:val="center" w:pos="4513"/>
        <w:tab w:val="right" w:pos="9026"/>
      </w:tabs>
    </w:pPr>
  </w:style>
  <w:style w:type="character" w:customStyle="1" w:styleId="HeaderChar">
    <w:name w:val="Header Char"/>
    <w:basedOn w:val="DefaultParagraphFont"/>
    <w:link w:val="Header"/>
    <w:uiPriority w:val="99"/>
    <w:rsid w:val="0045251D"/>
    <w:rPr>
      <w:rFonts w:ascii="Times New Roman" w:eastAsia="Times New Roman" w:hAnsi="Times New Roman" w:cs="Times New Roman"/>
      <w:lang w:eastAsia="en-GB"/>
    </w:rPr>
  </w:style>
  <w:style w:type="paragraph" w:styleId="Footer">
    <w:name w:val="footer"/>
    <w:basedOn w:val="Normal"/>
    <w:link w:val="FooterChar"/>
    <w:uiPriority w:val="99"/>
    <w:unhideWhenUsed/>
    <w:rsid w:val="0045251D"/>
    <w:pPr>
      <w:tabs>
        <w:tab w:val="center" w:pos="4513"/>
        <w:tab w:val="right" w:pos="9026"/>
      </w:tabs>
    </w:pPr>
  </w:style>
  <w:style w:type="character" w:customStyle="1" w:styleId="FooterChar">
    <w:name w:val="Footer Char"/>
    <w:basedOn w:val="DefaultParagraphFont"/>
    <w:link w:val="Footer"/>
    <w:uiPriority w:val="99"/>
    <w:rsid w:val="0045251D"/>
    <w:rPr>
      <w:rFonts w:ascii="Times New Roman" w:eastAsia="Times New Roman" w:hAnsi="Times New Roman" w:cs="Times New Roman"/>
      <w:lang w:eastAsia="en-GB"/>
    </w:rPr>
  </w:style>
  <w:style w:type="character" w:customStyle="1" w:styleId="mark4hvg7zzgj">
    <w:name w:val="mark4hvg7zzgj"/>
    <w:basedOn w:val="DefaultParagraphFont"/>
    <w:rsid w:val="00D85158"/>
  </w:style>
  <w:style w:type="character" w:customStyle="1" w:styleId="locality">
    <w:name w:val="locality"/>
    <w:basedOn w:val="DefaultParagraphFont"/>
    <w:rsid w:val="00920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9231">
      <w:bodyDiv w:val="1"/>
      <w:marLeft w:val="0"/>
      <w:marRight w:val="0"/>
      <w:marTop w:val="0"/>
      <w:marBottom w:val="0"/>
      <w:divBdr>
        <w:top w:val="none" w:sz="0" w:space="0" w:color="auto"/>
        <w:left w:val="none" w:sz="0" w:space="0" w:color="auto"/>
        <w:bottom w:val="none" w:sz="0" w:space="0" w:color="auto"/>
        <w:right w:val="none" w:sz="0" w:space="0" w:color="auto"/>
      </w:divBdr>
    </w:div>
    <w:div w:id="22826128">
      <w:bodyDiv w:val="1"/>
      <w:marLeft w:val="0"/>
      <w:marRight w:val="0"/>
      <w:marTop w:val="0"/>
      <w:marBottom w:val="0"/>
      <w:divBdr>
        <w:top w:val="none" w:sz="0" w:space="0" w:color="auto"/>
        <w:left w:val="none" w:sz="0" w:space="0" w:color="auto"/>
        <w:bottom w:val="none" w:sz="0" w:space="0" w:color="auto"/>
        <w:right w:val="none" w:sz="0" w:space="0" w:color="auto"/>
      </w:divBdr>
    </w:div>
    <w:div w:id="47732568">
      <w:bodyDiv w:val="1"/>
      <w:marLeft w:val="0"/>
      <w:marRight w:val="0"/>
      <w:marTop w:val="0"/>
      <w:marBottom w:val="0"/>
      <w:divBdr>
        <w:top w:val="none" w:sz="0" w:space="0" w:color="auto"/>
        <w:left w:val="none" w:sz="0" w:space="0" w:color="auto"/>
        <w:bottom w:val="none" w:sz="0" w:space="0" w:color="auto"/>
        <w:right w:val="none" w:sz="0" w:space="0" w:color="auto"/>
      </w:divBdr>
      <w:divsChild>
        <w:div w:id="135069819">
          <w:marLeft w:val="0"/>
          <w:marRight w:val="0"/>
          <w:marTop w:val="0"/>
          <w:marBottom w:val="0"/>
          <w:divBdr>
            <w:top w:val="none" w:sz="0" w:space="0" w:color="auto"/>
            <w:left w:val="none" w:sz="0" w:space="0" w:color="auto"/>
            <w:bottom w:val="none" w:sz="0" w:space="0" w:color="auto"/>
            <w:right w:val="none" w:sz="0" w:space="0" w:color="auto"/>
          </w:divBdr>
          <w:divsChild>
            <w:div w:id="1115101526">
              <w:marLeft w:val="0"/>
              <w:marRight w:val="0"/>
              <w:marTop w:val="0"/>
              <w:marBottom w:val="0"/>
              <w:divBdr>
                <w:top w:val="none" w:sz="0" w:space="0" w:color="auto"/>
                <w:left w:val="none" w:sz="0" w:space="0" w:color="auto"/>
                <w:bottom w:val="none" w:sz="0" w:space="0" w:color="auto"/>
                <w:right w:val="none" w:sz="0" w:space="0" w:color="auto"/>
              </w:divBdr>
              <w:divsChild>
                <w:div w:id="970205118">
                  <w:marLeft w:val="0"/>
                  <w:marRight w:val="0"/>
                  <w:marTop w:val="0"/>
                  <w:marBottom w:val="0"/>
                  <w:divBdr>
                    <w:top w:val="none" w:sz="0" w:space="0" w:color="auto"/>
                    <w:left w:val="none" w:sz="0" w:space="0" w:color="auto"/>
                    <w:bottom w:val="none" w:sz="0" w:space="0" w:color="auto"/>
                    <w:right w:val="none" w:sz="0" w:space="0" w:color="auto"/>
                  </w:divBdr>
                  <w:divsChild>
                    <w:div w:id="51414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2610">
          <w:marLeft w:val="0"/>
          <w:marRight w:val="0"/>
          <w:marTop w:val="0"/>
          <w:marBottom w:val="0"/>
          <w:divBdr>
            <w:top w:val="none" w:sz="0" w:space="0" w:color="auto"/>
            <w:left w:val="none" w:sz="0" w:space="0" w:color="auto"/>
            <w:bottom w:val="none" w:sz="0" w:space="0" w:color="auto"/>
            <w:right w:val="none" w:sz="0" w:space="0" w:color="auto"/>
          </w:divBdr>
          <w:divsChild>
            <w:div w:id="1880434347">
              <w:marLeft w:val="0"/>
              <w:marRight w:val="0"/>
              <w:marTop w:val="0"/>
              <w:marBottom w:val="0"/>
              <w:divBdr>
                <w:top w:val="none" w:sz="0" w:space="0" w:color="auto"/>
                <w:left w:val="none" w:sz="0" w:space="0" w:color="auto"/>
                <w:bottom w:val="none" w:sz="0" w:space="0" w:color="auto"/>
                <w:right w:val="none" w:sz="0" w:space="0" w:color="auto"/>
              </w:divBdr>
              <w:divsChild>
                <w:div w:id="1238589937">
                  <w:marLeft w:val="0"/>
                  <w:marRight w:val="0"/>
                  <w:marTop w:val="0"/>
                  <w:marBottom w:val="0"/>
                  <w:divBdr>
                    <w:top w:val="none" w:sz="0" w:space="0" w:color="auto"/>
                    <w:left w:val="none" w:sz="0" w:space="0" w:color="auto"/>
                    <w:bottom w:val="none" w:sz="0" w:space="0" w:color="auto"/>
                    <w:right w:val="none" w:sz="0" w:space="0" w:color="auto"/>
                  </w:divBdr>
                  <w:divsChild>
                    <w:div w:id="20988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6801">
      <w:bodyDiv w:val="1"/>
      <w:marLeft w:val="0"/>
      <w:marRight w:val="0"/>
      <w:marTop w:val="0"/>
      <w:marBottom w:val="0"/>
      <w:divBdr>
        <w:top w:val="none" w:sz="0" w:space="0" w:color="auto"/>
        <w:left w:val="none" w:sz="0" w:space="0" w:color="auto"/>
        <w:bottom w:val="none" w:sz="0" w:space="0" w:color="auto"/>
        <w:right w:val="none" w:sz="0" w:space="0" w:color="auto"/>
      </w:divBdr>
      <w:divsChild>
        <w:div w:id="112552822">
          <w:marLeft w:val="0"/>
          <w:marRight w:val="0"/>
          <w:marTop w:val="0"/>
          <w:marBottom w:val="0"/>
          <w:divBdr>
            <w:top w:val="none" w:sz="0" w:space="0" w:color="auto"/>
            <w:left w:val="none" w:sz="0" w:space="0" w:color="auto"/>
            <w:bottom w:val="none" w:sz="0" w:space="0" w:color="auto"/>
            <w:right w:val="none" w:sz="0" w:space="0" w:color="auto"/>
          </w:divBdr>
        </w:div>
        <w:div w:id="820849160">
          <w:marLeft w:val="0"/>
          <w:marRight w:val="0"/>
          <w:marTop w:val="0"/>
          <w:marBottom w:val="0"/>
          <w:divBdr>
            <w:top w:val="none" w:sz="0" w:space="0" w:color="auto"/>
            <w:left w:val="none" w:sz="0" w:space="0" w:color="auto"/>
            <w:bottom w:val="none" w:sz="0" w:space="0" w:color="auto"/>
            <w:right w:val="none" w:sz="0" w:space="0" w:color="auto"/>
          </w:divBdr>
        </w:div>
        <w:div w:id="2005427207">
          <w:marLeft w:val="0"/>
          <w:marRight w:val="0"/>
          <w:marTop w:val="0"/>
          <w:marBottom w:val="0"/>
          <w:divBdr>
            <w:top w:val="none" w:sz="0" w:space="0" w:color="auto"/>
            <w:left w:val="none" w:sz="0" w:space="0" w:color="auto"/>
            <w:bottom w:val="none" w:sz="0" w:space="0" w:color="auto"/>
            <w:right w:val="none" w:sz="0" w:space="0" w:color="auto"/>
          </w:divBdr>
        </w:div>
        <w:div w:id="332339009">
          <w:marLeft w:val="0"/>
          <w:marRight w:val="0"/>
          <w:marTop w:val="0"/>
          <w:marBottom w:val="0"/>
          <w:divBdr>
            <w:top w:val="none" w:sz="0" w:space="0" w:color="auto"/>
            <w:left w:val="none" w:sz="0" w:space="0" w:color="auto"/>
            <w:bottom w:val="none" w:sz="0" w:space="0" w:color="auto"/>
            <w:right w:val="none" w:sz="0" w:space="0" w:color="auto"/>
          </w:divBdr>
        </w:div>
        <w:div w:id="511456338">
          <w:marLeft w:val="0"/>
          <w:marRight w:val="0"/>
          <w:marTop w:val="0"/>
          <w:marBottom w:val="0"/>
          <w:divBdr>
            <w:top w:val="none" w:sz="0" w:space="0" w:color="auto"/>
            <w:left w:val="none" w:sz="0" w:space="0" w:color="auto"/>
            <w:bottom w:val="none" w:sz="0" w:space="0" w:color="auto"/>
            <w:right w:val="none" w:sz="0" w:space="0" w:color="auto"/>
          </w:divBdr>
        </w:div>
        <w:div w:id="1447044204">
          <w:marLeft w:val="0"/>
          <w:marRight w:val="0"/>
          <w:marTop w:val="0"/>
          <w:marBottom w:val="0"/>
          <w:divBdr>
            <w:top w:val="none" w:sz="0" w:space="0" w:color="auto"/>
            <w:left w:val="none" w:sz="0" w:space="0" w:color="auto"/>
            <w:bottom w:val="none" w:sz="0" w:space="0" w:color="auto"/>
            <w:right w:val="none" w:sz="0" w:space="0" w:color="auto"/>
          </w:divBdr>
        </w:div>
        <w:div w:id="1212420456">
          <w:marLeft w:val="0"/>
          <w:marRight w:val="0"/>
          <w:marTop w:val="0"/>
          <w:marBottom w:val="0"/>
          <w:divBdr>
            <w:top w:val="none" w:sz="0" w:space="0" w:color="auto"/>
            <w:left w:val="none" w:sz="0" w:space="0" w:color="auto"/>
            <w:bottom w:val="none" w:sz="0" w:space="0" w:color="auto"/>
            <w:right w:val="none" w:sz="0" w:space="0" w:color="auto"/>
          </w:divBdr>
        </w:div>
        <w:div w:id="1551265839">
          <w:marLeft w:val="0"/>
          <w:marRight w:val="0"/>
          <w:marTop w:val="0"/>
          <w:marBottom w:val="0"/>
          <w:divBdr>
            <w:top w:val="none" w:sz="0" w:space="0" w:color="auto"/>
            <w:left w:val="none" w:sz="0" w:space="0" w:color="auto"/>
            <w:bottom w:val="none" w:sz="0" w:space="0" w:color="auto"/>
            <w:right w:val="none" w:sz="0" w:space="0" w:color="auto"/>
          </w:divBdr>
        </w:div>
        <w:div w:id="1969823864">
          <w:marLeft w:val="0"/>
          <w:marRight w:val="0"/>
          <w:marTop w:val="0"/>
          <w:marBottom w:val="0"/>
          <w:divBdr>
            <w:top w:val="none" w:sz="0" w:space="0" w:color="auto"/>
            <w:left w:val="none" w:sz="0" w:space="0" w:color="auto"/>
            <w:bottom w:val="none" w:sz="0" w:space="0" w:color="auto"/>
            <w:right w:val="none" w:sz="0" w:space="0" w:color="auto"/>
          </w:divBdr>
        </w:div>
        <w:div w:id="668992515">
          <w:marLeft w:val="0"/>
          <w:marRight w:val="0"/>
          <w:marTop w:val="0"/>
          <w:marBottom w:val="0"/>
          <w:divBdr>
            <w:top w:val="none" w:sz="0" w:space="0" w:color="auto"/>
            <w:left w:val="none" w:sz="0" w:space="0" w:color="auto"/>
            <w:bottom w:val="none" w:sz="0" w:space="0" w:color="auto"/>
            <w:right w:val="none" w:sz="0" w:space="0" w:color="auto"/>
          </w:divBdr>
        </w:div>
        <w:div w:id="1761951111">
          <w:marLeft w:val="0"/>
          <w:marRight w:val="0"/>
          <w:marTop w:val="0"/>
          <w:marBottom w:val="0"/>
          <w:divBdr>
            <w:top w:val="none" w:sz="0" w:space="0" w:color="auto"/>
            <w:left w:val="none" w:sz="0" w:space="0" w:color="auto"/>
            <w:bottom w:val="none" w:sz="0" w:space="0" w:color="auto"/>
            <w:right w:val="none" w:sz="0" w:space="0" w:color="auto"/>
          </w:divBdr>
        </w:div>
        <w:div w:id="122890903">
          <w:marLeft w:val="0"/>
          <w:marRight w:val="0"/>
          <w:marTop w:val="0"/>
          <w:marBottom w:val="0"/>
          <w:divBdr>
            <w:top w:val="none" w:sz="0" w:space="0" w:color="auto"/>
            <w:left w:val="none" w:sz="0" w:space="0" w:color="auto"/>
            <w:bottom w:val="none" w:sz="0" w:space="0" w:color="auto"/>
            <w:right w:val="none" w:sz="0" w:space="0" w:color="auto"/>
          </w:divBdr>
        </w:div>
      </w:divsChild>
    </w:div>
    <w:div w:id="156843357">
      <w:bodyDiv w:val="1"/>
      <w:marLeft w:val="0"/>
      <w:marRight w:val="0"/>
      <w:marTop w:val="0"/>
      <w:marBottom w:val="0"/>
      <w:divBdr>
        <w:top w:val="none" w:sz="0" w:space="0" w:color="auto"/>
        <w:left w:val="none" w:sz="0" w:space="0" w:color="auto"/>
        <w:bottom w:val="none" w:sz="0" w:space="0" w:color="auto"/>
        <w:right w:val="none" w:sz="0" w:space="0" w:color="auto"/>
      </w:divBdr>
    </w:div>
    <w:div w:id="187572419">
      <w:bodyDiv w:val="1"/>
      <w:marLeft w:val="0"/>
      <w:marRight w:val="0"/>
      <w:marTop w:val="0"/>
      <w:marBottom w:val="0"/>
      <w:divBdr>
        <w:top w:val="none" w:sz="0" w:space="0" w:color="auto"/>
        <w:left w:val="none" w:sz="0" w:space="0" w:color="auto"/>
        <w:bottom w:val="none" w:sz="0" w:space="0" w:color="auto"/>
        <w:right w:val="none" w:sz="0" w:space="0" w:color="auto"/>
      </w:divBdr>
    </w:div>
    <w:div w:id="209463534">
      <w:bodyDiv w:val="1"/>
      <w:marLeft w:val="0"/>
      <w:marRight w:val="0"/>
      <w:marTop w:val="0"/>
      <w:marBottom w:val="0"/>
      <w:divBdr>
        <w:top w:val="none" w:sz="0" w:space="0" w:color="auto"/>
        <w:left w:val="none" w:sz="0" w:space="0" w:color="auto"/>
        <w:bottom w:val="none" w:sz="0" w:space="0" w:color="auto"/>
        <w:right w:val="none" w:sz="0" w:space="0" w:color="auto"/>
      </w:divBdr>
    </w:div>
    <w:div w:id="334654099">
      <w:bodyDiv w:val="1"/>
      <w:marLeft w:val="0"/>
      <w:marRight w:val="0"/>
      <w:marTop w:val="0"/>
      <w:marBottom w:val="0"/>
      <w:divBdr>
        <w:top w:val="none" w:sz="0" w:space="0" w:color="auto"/>
        <w:left w:val="none" w:sz="0" w:space="0" w:color="auto"/>
        <w:bottom w:val="none" w:sz="0" w:space="0" w:color="auto"/>
        <w:right w:val="none" w:sz="0" w:space="0" w:color="auto"/>
      </w:divBdr>
    </w:div>
    <w:div w:id="413667260">
      <w:bodyDiv w:val="1"/>
      <w:marLeft w:val="0"/>
      <w:marRight w:val="0"/>
      <w:marTop w:val="0"/>
      <w:marBottom w:val="0"/>
      <w:divBdr>
        <w:top w:val="none" w:sz="0" w:space="0" w:color="auto"/>
        <w:left w:val="none" w:sz="0" w:space="0" w:color="auto"/>
        <w:bottom w:val="none" w:sz="0" w:space="0" w:color="auto"/>
        <w:right w:val="none" w:sz="0" w:space="0" w:color="auto"/>
      </w:divBdr>
    </w:div>
    <w:div w:id="443811875">
      <w:bodyDiv w:val="1"/>
      <w:marLeft w:val="0"/>
      <w:marRight w:val="0"/>
      <w:marTop w:val="0"/>
      <w:marBottom w:val="0"/>
      <w:divBdr>
        <w:top w:val="none" w:sz="0" w:space="0" w:color="auto"/>
        <w:left w:val="none" w:sz="0" w:space="0" w:color="auto"/>
        <w:bottom w:val="none" w:sz="0" w:space="0" w:color="auto"/>
        <w:right w:val="none" w:sz="0" w:space="0" w:color="auto"/>
      </w:divBdr>
      <w:divsChild>
        <w:div w:id="921571743">
          <w:marLeft w:val="0"/>
          <w:marRight w:val="0"/>
          <w:marTop w:val="0"/>
          <w:marBottom w:val="0"/>
          <w:divBdr>
            <w:top w:val="none" w:sz="0" w:space="0" w:color="auto"/>
            <w:left w:val="none" w:sz="0" w:space="0" w:color="auto"/>
            <w:bottom w:val="none" w:sz="0" w:space="0" w:color="auto"/>
            <w:right w:val="none" w:sz="0" w:space="0" w:color="auto"/>
          </w:divBdr>
          <w:divsChild>
            <w:div w:id="2006594104">
              <w:marLeft w:val="0"/>
              <w:marRight w:val="0"/>
              <w:marTop w:val="0"/>
              <w:marBottom w:val="0"/>
              <w:divBdr>
                <w:top w:val="none" w:sz="0" w:space="0" w:color="auto"/>
                <w:left w:val="none" w:sz="0" w:space="0" w:color="auto"/>
                <w:bottom w:val="none" w:sz="0" w:space="0" w:color="auto"/>
                <w:right w:val="none" w:sz="0" w:space="0" w:color="auto"/>
              </w:divBdr>
              <w:divsChild>
                <w:div w:id="15770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08390">
      <w:bodyDiv w:val="1"/>
      <w:marLeft w:val="0"/>
      <w:marRight w:val="0"/>
      <w:marTop w:val="0"/>
      <w:marBottom w:val="0"/>
      <w:divBdr>
        <w:top w:val="none" w:sz="0" w:space="0" w:color="auto"/>
        <w:left w:val="none" w:sz="0" w:space="0" w:color="auto"/>
        <w:bottom w:val="none" w:sz="0" w:space="0" w:color="auto"/>
        <w:right w:val="none" w:sz="0" w:space="0" w:color="auto"/>
      </w:divBdr>
      <w:divsChild>
        <w:div w:id="1701709278">
          <w:marLeft w:val="0"/>
          <w:marRight w:val="0"/>
          <w:marTop w:val="0"/>
          <w:marBottom w:val="0"/>
          <w:divBdr>
            <w:top w:val="none" w:sz="0" w:space="0" w:color="auto"/>
            <w:left w:val="none" w:sz="0" w:space="0" w:color="auto"/>
            <w:bottom w:val="none" w:sz="0" w:space="0" w:color="auto"/>
            <w:right w:val="none" w:sz="0" w:space="0" w:color="auto"/>
          </w:divBdr>
          <w:divsChild>
            <w:div w:id="442699659">
              <w:marLeft w:val="0"/>
              <w:marRight w:val="0"/>
              <w:marTop w:val="0"/>
              <w:marBottom w:val="0"/>
              <w:divBdr>
                <w:top w:val="none" w:sz="0" w:space="0" w:color="auto"/>
                <w:left w:val="none" w:sz="0" w:space="0" w:color="auto"/>
                <w:bottom w:val="none" w:sz="0" w:space="0" w:color="auto"/>
                <w:right w:val="none" w:sz="0" w:space="0" w:color="auto"/>
              </w:divBdr>
              <w:divsChild>
                <w:div w:id="6171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46344">
      <w:bodyDiv w:val="1"/>
      <w:marLeft w:val="0"/>
      <w:marRight w:val="0"/>
      <w:marTop w:val="0"/>
      <w:marBottom w:val="0"/>
      <w:divBdr>
        <w:top w:val="none" w:sz="0" w:space="0" w:color="auto"/>
        <w:left w:val="none" w:sz="0" w:space="0" w:color="auto"/>
        <w:bottom w:val="none" w:sz="0" w:space="0" w:color="auto"/>
        <w:right w:val="none" w:sz="0" w:space="0" w:color="auto"/>
      </w:divBdr>
    </w:div>
    <w:div w:id="637303798">
      <w:bodyDiv w:val="1"/>
      <w:marLeft w:val="0"/>
      <w:marRight w:val="0"/>
      <w:marTop w:val="0"/>
      <w:marBottom w:val="0"/>
      <w:divBdr>
        <w:top w:val="none" w:sz="0" w:space="0" w:color="auto"/>
        <w:left w:val="none" w:sz="0" w:space="0" w:color="auto"/>
        <w:bottom w:val="none" w:sz="0" w:space="0" w:color="auto"/>
        <w:right w:val="none" w:sz="0" w:space="0" w:color="auto"/>
      </w:divBdr>
    </w:div>
    <w:div w:id="655959058">
      <w:bodyDiv w:val="1"/>
      <w:marLeft w:val="0"/>
      <w:marRight w:val="0"/>
      <w:marTop w:val="0"/>
      <w:marBottom w:val="0"/>
      <w:divBdr>
        <w:top w:val="none" w:sz="0" w:space="0" w:color="auto"/>
        <w:left w:val="none" w:sz="0" w:space="0" w:color="auto"/>
        <w:bottom w:val="none" w:sz="0" w:space="0" w:color="auto"/>
        <w:right w:val="none" w:sz="0" w:space="0" w:color="auto"/>
      </w:divBdr>
    </w:div>
    <w:div w:id="723067689">
      <w:bodyDiv w:val="1"/>
      <w:marLeft w:val="0"/>
      <w:marRight w:val="0"/>
      <w:marTop w:val="0"/>
      <w:marBottom w:val="0"/>
      <w:divBdr>
        <w:top w:val="none" w:sz="0" w:space="0" w:color="auto"/>
        <w:left w:val="none" w:sz="0" w:space="0" w:color="auto"/>
        <w:bottom w:val="none" w:sz="0" w:space="0" w:color="auto"/>
        <w:right w:val="none" w:sz="0" w:space="0" w:color="auto"/>
      </w:divBdr>
    </w:div>
    <w:div w:id="731126188">
      <w:bodyDiv w:val="1"/>
      <w:marLeft w:val="0"/>
      <w:marRight w:val="0"/>
      <w:marTop w:val="0"/>
      <w:marBottom w:val="0"/>
      <w:divBdr>
        <w:top w:val="none" w:sz="0" w:space="0" w:color="auto"/>
        <w:left w:val="none" w:sz="0" w:space="0" w:color="auto"/>
        <w:bottom w:val="none" w:sz="0" w:space="0" w:color="auto"/>
        <w:right w:val="none" w:sz="0" w:space="0" w:color="auto"/>
      </w:divBdr>
    </w:div>
    <w:div w:id="914512552">
      <w:bodyDiv w:val="1"/>
      <w:marLeft w:val="0"/>
      <w:marRight w:val="0"/>
      <w:marTop w:val="0"/>
      <w:marBottom w:val="0"/>
      <w:divBdr>
        <w:top w:val="none" w:sz="0" w:space="0" w:color="auto"/>
        <w:left w:val="none" w:sz="0" w:space="0" w:color="auto"/>
        <w:bottom w:val="none" w:sz="0" w:space="0" w:color="auto"/>
        <w:right w:val="none" w:sz="0" w:space="0" w:color="auto"/>
      </w:divBdr>
      <w:divsChild>
        <w:div w:id="958144485">
          <w:marLeft w:val="0"/>
          <w:marRight w:val="0"/>
          <w:marTop w:val="0"/>
          <w:marBottom w:val="0"/>
          <w:divBdr>
            <w:top w:val="none" w:sz="0" w:space="0" w:color="auto"/>
            <w:left w:val="none" w:sz="0" w:space="0" w:color="auto"/>
            <w:bottom w:val="none" w:sz="0" w:space="0" w:color="auto"/>
            <w:right w:val="none" w:sz="0" w:space="0" w:color="auto"/>
          </w:divBdr>
          <w:divsChild>
            <w:div w:id="177617889">
              <w:marLeft w:val="0"/>
              <w:marRight w:val="0"/>
              <w:marTop w:val="0"/>
              <w:marBottom w:val="0"/>
              <w:divBdr>
                <w:top w:val="none" w:sz="0" w:space="0" w:color="auto"/>
                <w:left w:val="none" w:sz="0" w:space="0" w:color="auto"/>
                <w:bottom w:val="none" w:sz="0" w:space="0" w:color="auto"/>
                <w:right w:val="none" w:sz="0" w:space="0" w:color="auto"/>
              </w:divBdr>
              <w:divsChild>
                <w:div w:id="800339513">
                  <w:marLeft w:val="0"/>
                  <w:marRight w:val="0"/>
                  <w:marTop w:val="0"/>
                  <w:marBottom w:val="0"/>
                  <w:divBdr>
                    <w:top w:val="none" w:sz="0" w:space="0" w:color="auto"/>
                    <w:left w:val="none" w:sz="0" w:space="0" w:color="auto"/>
                    <w:bottom w:val="none" w:sz="0" w:space="0" w:color="auto"/>
                    <w:right w:val="none" w:sz="0" w:space="0" w:color="auto"/>
                  </w:divBdr>
                </w:div>
                <w:div w:id="1282884384">
                  <w:marLeft w:val="0"/>
                  <w:marRight w:val="0"/>
                  <w:marTop w:val="0"/>
                  <w:marBottom w:val="0"/>
                  <w:divBdr>
                    <w:top w:val="none" w:sz="0" w:space="0" w:color="auto"/>
                    <w:left w:val="none" w:sz="0" w:space="0" w:color="auto"/>
                    <w:bottom w:val="none" w:sz="0" w:space="0" w:color="auto"/>
                    <w:right w:val="none" w:sz="0" w:space="0" w:color="auto"/>
                  </w:divBdr>
                </w:div>
                <w:div w:id="1293289753">
                  <w:marLeft w:val="0"/>
                  <w:marRight w:val="0"/>
                  <w:marTop w:val="0"/>
                  <w:marBottom w:val="0"/>
                  <w:divBdr>
                    <w:top w:val="none" w:sz="0" w:space="0" w:color="auto"/>
                    <w:left w:val="none" w:sz="0" w:space="0" w:color="auto"/>
                    <w:bottom w:val="none" w:sz="0" w:space="0" w:color="auto"/>
                    <w:right w:val="none" w:sz="0" w:space="0" w:color="auto"/>
                  </w:divBdr>
                </w:div>
                <w:div w:id="499345891">
                  <w:marLeft w:val="0"/>
                  <w:marRight w:val="0"/>
                  <w:marTop w:val="0"/>
                  <w:marBottom w:val="0"/>
                  <w:divBdr>
                    <w:top w:val="none" w:sz="0" w:space="0" w:color="auto"/>
                    <w:left w:val="none" w:sz="0" w:space="0" w:color="auto"/>
                    <w:bottom w:val="none" w:sz="0" w:space="0" w:color="auto"/>
                    <w:right w:val="none" w:sz="0" w:space="0" w:color="auto"/>
                  </w:divBdr>
                </w:div>
                <w:div w:id="1054547210">
                  <w:marLeft w:val="0"/>
                  <w:marRight w:val="0"/>
                  <w:marTop w:val="0"/>
                  <w:marBottom w:val="0"/>
                  <w:divBdr>
                    <w:top w:val="none" w:sz="0" w:space="0" w:color="auto"/>
                    <w:left w:val="none" w:sz="0" w:space="0" w:color="auto"/>
                    <w:bottom w:val="none" w:sz="0" w:space="0" w:color="auto"/>
                    <w:right w:val="none" w:sz="0" w:space="0" w:color="auto"/>
                  </w:divBdr>
                </w:div>
                <w:div w:id="226184036">
                  <w:marLeft w:val="0"/>
                  <w:marRight w:val="0"/>
                  <w:marTop w:val="0"/>
                  <w:marBottom w:val="0"/>
                  <w:divBdr>
                    <w:top w:val="none" w:sz="0" w:space="0" w:color="auto"/>
                    <w:left w:val="none" w:sz="0" w:space="0" w:color="auto"/>
                    <w:bottom w:val="none" w:sz="0" w:space="0" w:color="auto"/>
                    <w:right w:val="none" w:sz="0" w:space="0" w:color="auto"/>
                  </w:divBdr>
                </w:div>
                <w:div w:id="16298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90021">
      <w:bodyDiv w:val="1"/>
      <w:marLeft w:val="0"/>
      <w:marRight w:val="0"/>
      <w:marTop w:val="0"/>
      <w:marBottom w:val="0"/>
      <w:divBdr>
        <w:top w:val="none" w:sz="0" w:space="0" w:color="auto"/>
        <w:left w:val="none" w:sz="0" w:space="0" w:color="auto"/>
        <w:bottom w:val="none" w:sz="0" w:space="0" w:color="auto"/>
        <w:right w:val="none" w:sz="0" w:space="0" w:color="auto"/>
      </w:divBdr>
    </w:div>
    <w:div w:id="976567570">
      <w:bodyDiv w:val="1"/>
      <w:marLeft w:val="0"/>
      <w:marRight w:val="0"/>
      <w:marTop w:val="0"/>
      <w:marBottom w:val="0"/>
      <w:divBdr>
        <w:top w:val="none" w:sz="0" w:space="0" w:color="auto"/>
        <w:left w:val="none" w:sz="0" w:space="0" w:color="auto"/>
        <w:bottom w:val="none" w:sz="0" w:space="0" w:color="auto"/>
        <w:right w:val="none" w:sz="0" w:space="0" w:color="auto"/>
      </w:divBdr>
    </w:div>
    <w:div w:id="977150524">
      <w:bodyDiv w:val="1"/>
      <w:marLeft w:val="0"/>
      <w:marRight w:val="0"/>
      <w:marTop w:val="0"/>
      <w:marBottom w:val="0"/>
      <w:divBdr>
        <w:top w:val="none" w:sz="0" w:space="0" w:color="auto"/>
        <w:left w:val="none" w:sz="0" w:space="0" w:color="auto"/>
        <w:bottom w:val="none" w:sz="0" w:space="0" w:color="auto"/>
        <w:right w:val="none" w:sz="0" w:space="0" w:color="auto"/>
      </w:divBdr>
    </w:div>
    <w:div w:id="983310346">
      <w:bodyDiv w:val="1"/>
      <w:marLeft w:val="0"/>
      <w:marRight w:val="0"/>
      <w:marTop w:val="0"/>
      <w:marBottom w:val="0"/>
      <w:divBdr>
        <w:top w:val="none" w:sz="0" w:space="0" w:color="auto"/>
        <w:left w:val="none" w:sz="0" w:space="0" w:color="auto"/>
        <w:bottom w:val="none" w:sz="0" w:space="0" w:color="auto"/>
        <w:right w:val="none" w:sz="0" w:space="0" w:color="auto"/>
      </w:divBdr>
    </w:div>
    <w:div w:id="1002198957">
      <w:bodyDiv w:val="1"/>
      <w:marLeft w:val="0"/>
      <w:marRight w:val="0"/>
      <w:marTop w:val="0"/>
      <w:marBottom w:val="0"/>
      <w:divBdr>
        <w:top w:val="none" w:sz="0" w:space="0" w:color="auto"/>
        <w:left w:val="none" w:sz="0" w:space="0" w:color="auto"/>
        <w:bottom w:val="none" w:sz="0" w:space="0" w:color="auto"/>
        <w:right w:val="none" w:sz="0" w:space="0" w:color="auto"/>
      </w:divBdr>
      <w:divsChild>
        <w:div w:id="1061683535">
          <w:marLeft w:val="0"/>
          <w:marRight w:val="0"/>
          <w:marTop w:val="0"/>
          <w:marBottom w:val="0"/>
          <w:divBdr>
            <w:top w:val="none" w:sz="0" w:space="0" w:color="auto"/>
            <w:left w:val="none" w:sz="0" w:space="0" w:color="auto"/>
            <w:bottom w:val="none" w:sz="0" w:space="0" w:color="auto"/>
            <w:right w:val="none" w:sz="0" w:space="0" w:color="auto"/>
          </w:divBdr>
          <w:divsChild>
            <w:div w:id="810904425">
              <w:marLeft w:val="0"/>
              <w:marRight w:val="0"/>
              <w:marTop w:val="0"/>
              <w:marBottom w:val="0"/>
              <w:divBdr>
                <w:top w:val="none" w:sz="0" w:space="0" w:color="auto"/>
                <w:left w:val="none" w:sz="0" w:space="0" w:color="auto"/>
                <w:bottom w:val="none" w:sz="0" w:space="0" w:color="auto"/>
                <w:right w:val="none" w:sz="0" w:space="0" w:color="auto"/>
              </w:divBdr>
              <w:divsChild>
                <w:div w:id="155596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85015">
      <w:bodyDiv w:val="1"/>
      <w:marLeft w:val="0"/>
      <w:marRight w:val="0"/>
      <w:marTop w:val="0"/>
      <w:marBottom w:val="0"/>
      <w:divBdr>
        <w:top w:val="none" w:sz="0" w:space="0" w:color="auto"/>
        <w:left w:val="none" w:sz="0" w:space="0" w:color="auto"/>
        <w:bottom w:val="none" w:sz="0" w:space="0" w:color="auto"/>
        <w:right w:val="none" w:sz="0" w:space="0" w:color="auto"/>
      </w:divBdr>
      <w:divsChild>
        <w:div w:id="2000962809">
          <w:marLeft w:val="0"/>
          <w:marRight w:val="0"/>
          <w:marTop w:val="0"/>
          <w:marBottom w:val="0"/>
          <w:divBdr>
            <w:top w:val="none" w:sz="0" w:space="0" w:color="auto"/>
            <w:left w:val="none" w:sz="0" w:space="0" w:color="auto"/>
            <w:bottom w:val="none" w:sz="0" w:space="0" w:color="auto"/>
            <w:right w:val="none" w:sz="0" w:space="0" w:color="auto"/>
          </w:divBdr>
        </w:div>
        <w:div w:id="245309546">
          <w:marLeft w:val="0"/>
          <w:marRight w:val="0"/>
          <w:marTop w:val="0"/>
          <w:marBottom w:val="0"/>
          <w:divBdr>
            <w:top w:val="none" w:sz="0" w:space="0" w:color="auto"/>
            <w:left w:val="none" w:sz="0" w:space="0" w:color="auto"/>
            <w:bottom w:val="none" w:sz="0" w:space="0" w:color="auto"/>
            <w:right w:val="none" w:sz="0" w:space="0" w:color="auto"/>
          </w:divBdr>
        </w:div>
        <w:div w:id="76833373">
          <w:marLeft w:val="0"/>
          <w:marRight w:val="0"/>
          <w:marTop w:val="0"/>
          <w:marBottom w:val="0"/>
          <w:divBdr>
            <w:top w:val="none" w:sz="0" w:space="0" w:color="auto"/>
            <w:left w:val="none" w:sz="0" w:space="0" w:color="auto"/>
            <w:bottom w:val="none" w:sz="0" w:space="0" w:color="auto"/>
            <w:right w:val="none" w:sz="0" w:space="0" w:color="auto"/>
          </w:divBdr>
        </w:div>
        <w:div w:id="562445036">
          <w:marLeft w:val="0"/>
          <w:marRight w:val="0"/>
          <w:marTop w:val="0"/>
          <w:marBottom w:val="0"/>
          <w:divBdr>
            <w:top w:val="none" w:sz="0" w:space="0" w:color="auto"/>
            <w:left w:val="none" w:sz="0" w:space="0" w:color="auto"/>
            <w:bottom w:val="none" w:sz="0" w:space="0" w:color="auto"/>
            <w:right w:val="none" w:sz="0" w:space="0" w:color="auto"/>
          </w:divBdr>
        </w:div>
        <w:div w:id="2082825853">
          <w:marLeft w:val="0"/>
          <w:marRight w:val="0"/>
          <w:marTop w:val="0"/>
          <w:marBottom w:val="0"/>
          <w:divBdr>
            <w:top w:val="none" w:sz="0" w:space="0" w:color="auto"/>
            <w:left w:val="none" w:sz="0" w:space="0" w:color="auto"/>
            <w:bottom w:val="none" w:sz="0" w:space="0" w:color="auto"/>
            <w:right w:val="none" w:sz="0" w:space="0" w:color="auto"/>
          </w:divBdr>
        </w:div>
        <w:div w:id="1720127749">
          <w:marLeft w:val="0"/>
          <w:marRight w:val="0"/>
          <w:marTop w:val="0"/>
          <w:marBottom w:val="0"/>
          <w:divBdr>
            <w:top w:val="none" w:sz="0" w:space="0" w:color="auto"/>
            <w:left w:val="none" w:sz="0" w:space="0" w:color="auto"/>
            <w:bottom w:val="none" w:sz="0" w:space="0" w:color="auto"/>
            <w:right w:val="none" w:sz="0" w:space="0" w:color="auto"/>
          </w:divBdr>
        </w:div>
        <w:div w:id="157775282">
          <w:marLeft w:val="0"/>
          <w:marRight w:val="0"/>
          <w:marTop w:val="0"/>
          <w:marBottom w:val="0"/>
          <w:divBdr>
            <w:top w:val="none" w:sz="0" w:space="0" w:color="auto"/>
            <w:left w:val="none" w:sz="0" w:space="0" w:color="auto"/>
            <w:bottom w:val="none" w:sz="0" w:space="0" w:color="auto"/>
            <w:right w:val="none" w:sz="0" w:space="0" w:color="auto"/>
          </w:divBdr>
        </w:div>
        <w:div w:id="1752002834">
          <w:marLeft w:val="0"/>
          <w:marRight w:val="0"/>
          <w:marTop w:val="0"/>
          <w:marBottom w:val="0"/>
          <w:divBdr>
            <w:top w:val="none" w:sz="0" w:space="0" w:color="auto"/>
            <w:left w:val="none" w:sz="0" w:space="0" w:color="auto"/>
            <w:bottom w:val="none" w:sz="0" w:space="0" w:color="auto"/>
            <w:right w:val="none" w:sz="0" w:space="0" w:color="auto"/>
          </w:divBdr>
        </w:div>
        <w:div w:id="1805999361">
          <w:marLeft w:val="0"/>
          <w:marRight w:val="0"/>
          <w:marTop w:val="0"/>
          <w:marBottom w:val="0"/>
          <w:divBdr>
            <w:top w:val="none" w:sz="0" w:space="0" w:color="auto"/>
            <w:left w:val="none" w:sz="0" w:space="0" w:color="auto"/>
            <w:bottom w:val="none" w:sz="0" w:space="0" w:color="auto"/>
            <w:right w:val="none" w:sz="0" w:space="0" w:color="auto"/>
          </w:divBdr>
        </w:div>
        <w:div w:id="301934299">
          <w:marLeft w:val="0"/>
          <w:marRight w:val="0"/>
          <w:marTop w:val="0"/>
          <w:marBottom w:val="0"/>
          <w:divBdr>
            <w:top w:val="none" w:sz="0" w:space="0" w:color="auto"/>
            <w:left w:val="none" w:sz="0" w:space="0" w:color="auto"/>
            <w:bottom w:val="none" w:sz="0" w:space="0" w:color="auto"/>
            <w:right w:val="none" w:sz="0" w:space="0" w:color="auto"/>
          </w:divBdr>
        </w:div>
      </w:divsChild>
    </w:div>
    <w:div w:id="1133449681">
      <w:bodyDiv w:val="1"/>
      <w:marLeft w:val="0"/>
      <w:marRight w:val="0"/>
      <w:marTop w:val="0"/>
      <w:marBottom w:val="0"/>
      <w:divBdr>
        <w:top w:val="none" w:sz="0" w:space="0" w:color="auto"/>
        <w:left w:val="none" w:sz="0" w:space="0" w:color="auto"/>
        <w:bottom w:val="none" w:sz="0" w:space="0" w:color="auto"/>
        <w:right w:val="none" w:sz="0" w:space="0" w:color="auto"/>
      </w:divBdr>
    </w:div>
    <w:div w:id="1246066474">
      <w:bodyDiv w:val="1"/>
      <w:marLeft w:val="0"/>
      <w:marRight w:val="0"/>
      <w:marTop w:val="0"/>
      <w:marBottom w:val="0"/>
      <w:divBdr>
        <w:top w:val="none" w:sz="0" w:space="0" w:color="auto"/>
        <w:left w:val="none" w:sz="0" w:space="0" w:color="auto"/>
        <w:bottom w:val="none" w:sz="0" w:space="0" w:color="auto"/>
        <w:right w:val="none" w:sz="0" w:space="0" w:color="auto"/>
      </w:divBdr>
    </w:div>
    <w:div w:id="1250969437">
      <w:bodyDiv w:val="1"/>
      <w:marLeft w:val="0"/>
      <w:marRight w:val="0"/>
      <w:marTop w:val="0"/>
      <w:marBottom w:val="0"/>
      <w:divBdr>
        <w:top w:val="none" w:sz="0" w:space="0" w:color="auto"/>
        <w:left w:val="none" w:sz="0" w:space="0" w:color="auto"/>
        <w:bottom w:val="none" w:sz="0" w:space="0" w:color="auto"/>
        <w:right w:val="none" w:sz="0" w:space="0" w:color="auto"/>
      </w:divBdr>
      <w:divsChild>
        <w:div w:id="1476026540">
          <w:marLeft w:val="0"/>
          <w:marRight w:val="0"/>
          <w:marTop w:val="0"/>
          <w:marBottom w:val="0"/>
          <w:divBdr>
            <w:top w:val="none" w:sz="0" w:space="0" w:color="auto"/>
            <w:left w:val="none" w:sz="0" w:space="0" w:color="auto"/>
            <w:bottom w:val="none" w:sz="0" w:space="0" w:color="auto"/>
            <w:right w:val="none" w:sz="0" w:space="0" w:color="auto"/>
          </w:divBdr>
          <w:divsChild>
            <w:div w:id="644164306">
              <w:marLeft w:val="0"/>
              <w:marRight w:val="0"/>
              <w:marTop w:val="0"/>
              <w:marBottom w:val="0"/>
              <w:divBdr>
                <w:top w:val="none" w:sz="0" w:space="0" w:color="auto"/>
                <w:left w:val="none" w:sz="0" w:space="0" w:color="auto"/>
                <w:bottom w:val="none" w:sz="0" w:space="0" w:color="auto"/>
                <w:right w:val="none" w:sz="0" w:space="0" w:color="auto"/>
              </w:divBdr>
              <w:divsChild>
                <w:div w:id="167098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12233">
      <w:bodyDiv w:val="1"/>
      <w:marLeft w:val="0"/>
      <w:marRight w:val="0"/>
      <w:marTop w:val="0"/>
      <w:marBottom w:val="0"/>
      <w:divBdr>
        <w:top w:val="none" w:sz="0" w:space="0" w:color="auto"/>
        <w:left w:val="none" w:sz="0" w:space="0" w:color="auto"/>
        <w:bottom w:val="none" w:sz="0" w:space="0" w:color="auto"/>
        <w:right w:val="none" w:sz="0" w:space="0" w:color="auto"/>
      </w:divBdr>
    </w:div>
    <w:div w:id="1300843889">
      <w:bodyDiv w:val="1"/>
      <w:marLeft w:val="0"/>
      <w:marRight w:val="0"/>
      <w:marTop w:val="0"/>
      <w:marBottom w:val="0"/>
      <w:divBdr>
        <w:top w:val="none" w:sz="0" w:space="0" w:color="auto"/>
        <w:left w:val="none" w:sz="0" w:space="0" w:color="auto"/>
        <w:bottom w:val="none" w:sz="0" w:space="0" w:color="auto"/>
        <w:right w:val="none" w:sz="0" w:space="0" w:color="auto"/>
      </w:divBdr>
    </w:div>
    <w:div w:id="1369139263">
      <w:bodyDiv w:val="1"/>
      <w:marLeft w:val="0"/>
      <w:marRight w:val="0"/>
      <w:marTop w:val="0"/>
      <w:marBottom w:val="0"/>
      <w:divBdr>
        <w:top w:val="none" w:sz="0" w:space="0" w:color="auto"/>
        <w:left w:val="none" w:sz="0" w:space="0" w:color="auto"/>
        <w:bottom w:val="none" w:sz="0" w:space="0" w:color="auto"/>
        <w:right w:val="none" w:sz="0" w:space="0" w:color="auto"/>
      </w:divBdr>
    </w:div>
    <w:div w:id="1369141038">
      <w:bodyDiv w:val="1"/>
      <w:marLeft w:val="0"/>
      <w:marRight w:val="0"/>
      <w:marTop w:val="0"/>
      <w:marBottom w:val="0"/>
      <w:divBdr>
        <w:top w:val="none" w:sz="0" w:space="0" w:color="auto"/>
        <w:left w:val="none" w:sz="0" w:space="0" w:color="auto"/>
        <w:bottom w:val="none" w:sz="0" w:space="0" w:color="auto"/>
        <w:right w:val="none" w:sz="0" w:space="0" w:color="auto"/>
      </w:divBdr>
    </w:div>
    <w:div w:id="1386880225">
      <w:bodyDiv w:val="1"/>
      <w:marLeft w:val="0"/>
      <w:marRight w:val="0"/>
      <w:marTop w:val="0"/>
      <w:marBottom w:val="0"/>
      <w:divBdr>
        <w:top w:val="none" w:sz="0" w:space="0" w:color="auto"/>
        <w:left w:val="none" w:sz="0" w:space="0" w:color="auto"/>
        <w:bottom w:val="none" w:sz="0" w:space="0" w:color="auto"/>
        <w:right w:val="none" w:sz="0" w:space="0" w:color="auto"/>
      </w:divBdr>
    </w:div>
    <w:div w:id="1403795814">
      <w:bodyDiv w:val="1"/>
      <w:marLeft w:val="0"/>
      <w:marRight w:val="0"/>
      <w:marTop w:val="0"/>
      <w:marBottom w:val="0"/>
      <w:divBdr>
        <w:top w:val="none" w:sz="0" w:space="0" w:color="auto"/>
        <w:left w:val="none" w:sz="0" w:space="0" w:color="auto"/>
        <w:bottom w:val="none" w:sz="0" w:space="0" w:color="auto"/>
        <w:right w:val="none" w:sz="0" w:space="0" w:color="auto"/>
      </w:divBdr>
      <w:divsChild>
        <w:div w:id="778064509">
          <w:marLeft w:val="0"/>
          <w:marRight w:val="0"/>
          <w:marTop w:val="0"/>
          <w:marBottom w:val="0"/>
          <w:divBdr>
            <w:top w:val="none" w:sz="0" w:space="0" w:color="auto"/>
            <w:left w:val="none" w:sz="0" w:space="0" w:color="auto"/>
            <w:bottom w:val="none" w:sz="0" w:space="0" w:color="auto"/>
            <w:right w:val="none" w:sz="0" w:space="0" w:color="auto"/>
          </w:divBdr>
        </w:div>
        <w:div w:id="724984478">
          <w:marLeft w:val="0"/>
          <w:marRight w:val="0"/>
          <w:marTop w:val="0"/>
          <w:marBottom w:val="0"/>
          <w:divBdr>
            <w:top w:val="none" w:sz="0" w:space="0" w:color="auto"/>
            <w:left w:val="none" w:sz="0" w:space="0" w:color="auto"/>
            <w:bottom w:val="none" w:sz="0" w:space="0" w:color="auto"/>
            <w:right w:val="none" w:sz="0" w:space="0" w:color="auto"/>
          </w:divBdr>
        </w:div>
        <w:div w:id="1674919656">
          <w:marLeft w:val="0"/>
          <w:marRight w:val="0"/>
          <w:marTop w:val="0"/>
          <w:marBottom w:val="319"/>
          <w:divBdr>
            <w:top w:val="none" w:sz="0" w:space="0" w:color="auto"/>
            <w:left w:val="none" w:sz="0" w:space="0" w:color="auto"/>
            <w:bottom w:val="none" w:sz="0" w:space="0" w:color="auto"/>
            <w:right w:val="none" w:sz="0" w:space="0" w:color="auto"/>
          </w:divBdr>
        </w:div>
      </w:divsChild>
    </w:div>
    <w:div w:id="1429546237">
      <w:bodyDiv w:val="1"/>
      <w:marLeft w:val="0"/>
      <w:marRight w:val="0"/>
      <w:marTop w:val="0"/>
      <w:marBottom w:val="0"/>
      <w:divBdr>
        <w:top w:val="none" w:sz="0" w:space="0" w:color="auto"/>
        <w:left w:val="none" w:sz="0" w:space="0" w:color="auto"/>
        <w:bottom w:val="none" w:sz="0" w:space="0" w:color="auto"/>
        <w:right w:val="none" w:sz="0" w:space="0" w:color="auto"/>
      </w:divBdr>
    </w:div>
    <w:div w:id="1535533648">
      <w:bodyDiv w:val="1"/>
      <w:marLeft w:val="0"/>
      <w:marRight w:val="0"/>
      <w:marTop w:val="0"/>
      <w:marBottom w:val="0"/>
      <w:divBdr>
        <w:top w:val="none" w:sz="0" w:space="0" w:color="auto"/>
        <w:left w:val="none" w:sz="0" w:space="0" w:color="auto"/>
        <w:bottom w:val="none" w:sz="0" w:space="0" w:color="auto"/>
        <w:right w:val="none" w:sz="0" w:space="0" w:color="auto"/>
      </w:divBdr>
    </w:div>
    <w:div w:id="1624312644">
      <w:bodyDiv w:val="1"/>
      <w:marLeft w:val="0"/>
      <w:marRight w:val="0"/>
      <w:marTop w:val="0"/>
      <w:marBottom w:val="0"/>
      <w:divBdr>
        <w:top w:val="none" w:sz="0" w:space="0" w:color="auto"/>
        <w:left w:val="none" w:sz="0" w:space="0" w:color="auto"/>
        <w:bottom w:val="none" w:sz="0" w:space="0" w:color="auto"/>
        <w:right w:val="none" w:sz="0" w:space="0" w:color="auto"/>
      </w:divBdr>
      <w:divsChild>
        <w:div w:id="1131679360">
          <w:marLeft w:val="0"/>
          <w:marRight w:val="0"/>
          <w:marTop w:val="0"/>
          <w:marBottom w:val="0"/>
          <w:divBdr>
            <w:top w:val="none" w:sz="0" w:space="0" w:color="auto"/>
            <w:left w:val="none" w:sz="0" w:space="0" w:color="auto"/>
            <w:bottom w:val="none" w:sz="0" w:space="0" w:color="auto"/>
            <w:right w:val="none" w:sz="0" w:space="0" w:color="auto"/>
          </w:divBdr>
          <w:divsChild>
            <w:div w:id="1570993849">
              <w:marLeft w:val="0"/>
              <w:marRight w:val="0"/>
              <w:marTop w:val="0"/>
              <w:marBottom w:val="0"/>
              <w:divBdr>
                <w:top w:val="none" w:sz="0" w:space="0" w:color="auto"/>
                <w:left w:val="none" w:sz="0" w:space="0" w:color="auto"/>
                <w:bottom w:val="none" w:sz="0" w:space="0" w:color="auto"/>
                <w:right w:val="none" w:sz="0" w:space="0" w:color="auto"/>
              </w:divBdr>
              <w:divsChild>
                <w:div w:id="44350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4524">
      <w:bodyDiv w:val="1"/>
      <w:marLeft w:val="0"/>
      <w:marRight w:val="0"/>
      <w:marTop w:val="0"/>
      <w:marBottom w:val="0"/>
      <w:divBdr>
        <w:top w:val="none" w:sz="0" w:space="0" w:color="auto"/>
        <w:left w:val="none" w:sz="0" w:space="0" w:color="auto"/>
        <w:bottom w:val="none" w:sz="0" w:space="0" w:color="auto"/>
        <w:right w:val="none" w:sz="0" w:space="0" w:color="auto"/>
      </w:divBdr>
    </w:div>
    <w:div w:id="1726563406">
      <w:bodyDiv w:val="1"/>
      <w:marLeft w:val="0"/>
      <w:marRight w:val="0"/>
      <w:marTop w:val="0"/>
      <w:marBottom w:val="0"/>
      <w:divBdr>
        <w:top w:val="none" w:sz="0" w:space="0" w:color="auto"/>
        <w:left w:val="none" w:sz="0" w:space="0" w:color="auto"/>
        <w:bottom w:val="none" w:sz="0" w:space="0" w:color="auto"/>
        <w:right w:val="none" w:sz="0" w:space="0" w:color="auto"/>
      </w:divBdr>
    </w:div>
    <w:div w:id="1757900364">
      <w:bodyDiv w:val="1"/>
      <w:marLeft w:val="0"/>
      <w:marRight w:val="0"/>
      <w:marTop w:val="0"/>
      <w:marBottom w:val="0"/>
      <w:divBdr>
        <w:top w:val="none" w:sz="0" w:space="0" w:color="auto"/>
        <w:left w:val="none" w:sz="0" w:space="0" w:color="auto"/>
        <w:bottom w:val="none" w:sz="0" w:space="0" w:color="auto"/>
        <w:right w:val="none" w:sz="0" w:space="0" w:color="auto"/>
      </w:divBdr>
    </w:div>
    <w:div w:id="1762526563">
      <w:bodyDiv w:val="1"/>
      <w:marLeft w:val="0"/>
      <w:marRight w:val="0"/>
      <w:marTop w:val="0"/>
      <w:marBottom w:val="0"/>
      <w:divBdr>
        <w:top w:val="none" w:sz="0" w:space="0" w:color="auto"/>
        <w:left w:val="none" w:sz="0" w:space="0" w:color="auto"/>
        <w:bottom w:val="none" w:sz="0" w:space="0" w:color="auto"/>
        <w:right w:val="none" w:sz="0" w:space="0" w:color="auto"/>
      </w:divBdr>
      <w:divsChild>
        <w:div w:id="1861308431">
          <w:marLeft w:val="0"/>
          <w:marRight w:val="0"/>
          <w:marTop w:val="0"/>
          <w:marBottom w:val="0"/>
          <w:divBdr>
            <w:top w:val="none" w:sz="0" w:space="0" w:color="auto"/>
            <w:left w:val="none" w:sz="0" w:space="0" w:color="auto"/>
            <w:bottom w:val="none" w:sz="0" w:space="0" w:color="auto"/>
            <w:right w:val="none" w:sz="0" w:space="0" w:color="auto"/>
          </w:divBdr>
          <w:divsChild>
            <w:div w:id="1427383014">
              <w:marLeft w:val="0"/>
              <w:marRight w:val="0"/>
              <w:marTop w:val="0"/>
              <w:marBottom w:val="0"/>
              <w:divBdr>
                <w:top w:val="none" w:sz="0" w:space="0" w:color="auto"/>
                <w:left w:val="none" w:sz="0" w:space="0" w:color="auto"/>
                <w:bottom w:val="none" w:sz="0" w:space="0" w:color="auto"/>
                <w:right w:val="none" w:sz="0" w:space="0" w:color="auto"/>
              </w:divBdr>
              <w:divsChild>
                <w:div w:id="20163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24428">
      <w:bodyDiv w:val="1"/>
      <w:marLeft w:val="0"/>
      <w:marRight w:val="0"/>
      <w:marTop w:val="0"/>
      <w:marBottom w:val="0"/>
      <w:divBdr>
        <w:top w:val="none" w:sz="0" w:space="0" w:color="auto"/>
        <w:left w:val="none" w:sz="0" w:space="0" w:color="auto"/>
        <w:bottom w:val="none" w:sz="0" w:space="0" w:color="auto"/>
        <w:right w:val="none" w:sz="0" w:space="0" w:color="auto"/>
      </w:divBdr>
    </w:div>
    <w:div w:id="1851212621">
      <w:bodyDiv w:val="1"/>
      <w:marLeft w:val="0"/>
      <w:marRight w:val="0"/>
      <w:marTop w:val="0"/>
      <w:marBottom w:val="0"/>
      <w:divBdr>
        <w:top w:val="none" w:sz="0" w:space="0" w:color="auto"/>
        <w:left w:val="none" w:sz="0" w:space="0" w:color="auto"/>
        <w:bottom w:val="none" w:sz="0" w:space="0" w:color="auto"/>
        <w:right w:val="none" w:sz="0" w:space="0" w:color="auto"/>
      </w:divBdr>
    </w:div>
    <w:div w:id="1868250377">
      <w:bodyDiv w:val="1"/>
      <w:marLeft w:val="0"/>
      <w:marRight w:val="0"/>
      <w:marTop w:val="0"/>
      <w:marBottom w:val="0"/>
      <w:divBdr>
        <w:top w:val="none" w:sz="0" w:space="0" w:color="auto"/>
        <w:left w:val="none" w:sz="0" w:space="0" w:color="auto"/>
        <w:bottom w:val="none" w:sz="0" w:space="0" w:color="auto"/>
        <w:right w:val="none" w:sz="0" w:space="0" w:color="auto"/>
      </w:divBdr>
      <w:divsChild>
        <w:div w:id="1629044620">
          <w:marLeft w:val="0"/>
          <w:marRight w:val="0"/>
          <w:marTop w:val="0"/>
          <w:marBottom w:val="0"/>
          <w:divBdr>
            <w:top w:val="none" w:sz="0" w:space="0" w:color="auto"/>
            <w:left w:val="none" w:sz="0" w:space="0" w:color="auto"/>
            <w:bottom w:val="none" w:sz="0" w:space="0" w:color="auto"/>
            <w:right w:val="none" w:sz="0" w:space="0" w:color="auto"/>
          </w:divBdr>
          <w:divsChild>
            <w:div w:id="971325837">
              <w:marLeft w:val="0"/>
              <w:marRight w:val="0"/>
              <w:marTop w:val="0"/>
              <w:marBottom w:val="0"/>
              <w:divBdr>
                <w:top w:val="none" w:sz="0" w:space="0" w:color="auto"/>
                <w:left w:val="none" w:sz="0" w:space="0" w:color="auto"/>
                <w:bottom w:val="none" w:sz="0" w:space="0" w:color="auto"/>
                <w:right w:val="none" w:sz="0" w:space="0" w:color="auto"/>
              </w:divBdr>
              <w:divsChild>
                <w:div w:id="10569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366670">
      <w:bodyDiv w:val="1"/>
      <w:marLeft w:val="0"/>
      <w:marRight w:val="0"/>
      <w:marTop w:val="0"/>
      <w:marBottom w:val="0"/>
      <w:divBdr>
        <w:top w:val="none" w:sz="0" w:space="0" w:color="auto"/>
        <w:left w:val="none" w:sz="0" w:space="0" w:color="auto"/>
        <w:bottom w:val="none" w:sz="0" w:space="0" w:color="auto"/>
        <w:right w:val="none" w:sz="0" w:space="0" w:color="auto"/>
      </w:divBdr>
    </w:div>
    <w:div w:id="1967588190">
      <w:bodyDiv w:val="1"/>
      <w:marLeft w:val="0"/>
      <w:marRight w:val="0"/>
      <w:marTop w:val="0"/>
      <w:marBottom w:val="0"/>
      <w:divBdr>
        <w:top w:val="none" w:sz="0" w:space="0" w:color="auto"/>
        <w:left w:val="none" w:sz="0" w:space="0" w:color="auto"/>
        <w:bottom w:val="none" w:sz="0" w:space="0" w:color="auto"/>
        <w:right w:val="none" w:sz="0" w:space="0" w:color="auto"/>
      </w:divBdr>
      <w:divsChild>
        <w:div w:id="1419982568">
          <w:marLeft w:val="0"/>
          <w:marRight w:val="0"/>
          <w:marTop w:val="0"/>
          <w:marBottom w:val="0"/>
          <w:divBdr>
            <w:top w:val="none" w:sz="0" w:space="0" w:color="auto"/>
            <w:left w:val="none" w:sz="0" w:space="0" w:color="auto"/>
            <w:bottom w:val="none" w:sz="0" w:space="0" w:color="auto"/>
            <w:right w:val="none" w:sz="0" w:space="0" w:color="auto"/>
          </w:divBdr>
          <w:divsChild>
            <w:div w:id="771244632">
              <w:marLeft w:val="0"/>
              <w:marRight w:val="0"/>
              <w:marTop w:val="0"/>
              <w:marBottom w:val="0"/>
              <w:divBdr>
                <w:top w:val="none" w:sz="0" w:space="0" w:color="auto"/>
                <w:left w:val="none" w:sz="0" w:space="0" w:color="auto"/>
                <w:bottom w:val="none" w:sz="0" w:space="0" w:color="auto"/>
                <w:right w:val="none" w:sz="0" w:space="0" w:color="auto"/>
              </w:divBdr>
              <w:divsChild>
                <w:div w:id="2082023391">
                  <w:marLeft w:val="0"/>
                  <w:marRight w:val="0"/>
                  <w:marTop w:val="0"/>
                  <w:marBottom w:val="0"/>
                  <w:divBdr>
                    <w:top w:val="none" w:sz="0" w:space="0" w:color="auto"/>
                    <w:left w:val="none" w:sz="0" w:space="0" w:color="auto"/>
                    <w:bottom w:val="none" w:sz="0" w:space="0" w:color="auto"/>
                    <w:right w:val="none" w:sz="0" w:space="0" w:color="auto"/>
                  </w:divBdr>
                </w:div>
                <w:div w:id="850265085">
                  <w:marLeft w:val="0"/>
                  <w:marRight w:val="0"/>
                  <w:marTop w:val="0"/>
                  <w:marBottom w:val="0"/>
                  <w:divBdr>
                    <w:top w:val="none" w:sz="0" w:space="0" w:color="auto"/>
                    <w:left w:val="none" w:sz="0" w:space="0" w:color="auto"/>
                    <w:bottom w:val="none" w:sz="0" w:space="0" w:color="auto"/>
                    <w:right w:val="none" w:sz="0" w:space="0" w:color="auto"/>
                  </w:divBdr>
                </w:div>
                <w:div w:id="201094940">
                  <w:marLeft w:val="0"/>
                  <w:marRight w:val="0"/>
                  <w:marTop w:val="0"/>
                  <w:marBottom w:val="0"/>
                  <w:divBdr>
                    <w:top w:val="none" w:sz="0" w:space="0" w:color="auto"/>
                    <w:left w:val="none" w:sz="0" w:space="0" w:color="auto"/>
                    <w:bottom w:val="none" w:sz="0" w:space="0" w:color="auto"/>
                    <w:right w:val="none" w:sz="0" w:space="0" w:color="auto"/>
                  </w:divBdr>
                </w:div>
                <w:div w:id="16105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002">
      <w:bodyDiv w:val="1"/>
      <w:marLeft w:val="0"/>
      <w:marRight w:val="0"/>
      <w:marTop w:val="0"/>
      <w:marBottom w:val="0"/>
      <w:divBdr>
        <w:top w:val="none" w:sz="0" w:space="0" w:color="auto"/>
        <w:left w:val="none" w:sz="0" w:space="0" w:color="auto"/>
        <w:bottom w:val="none" w:sz="0" w:space="0" w:color="auto"/>
        <w:right w:val="none" w:sz="0" w:space="0" w:color="auto"/>
      </w:divBdr>
    </w:div>
    <w:div w:id="2024092521">
      <w:bodyDiv w:val="1"/>
      <w:marLeft w:val="0"/>
      <w:marRight w:val="0"/>
      <w:marTop w:val="0"/>
      <w:marBottom w:val="0"/>
      <w:divBdr>
        <w:top w:val="none" w:sz="0" w:space="0" w:color="auto"/>
        <w:left w:val="none" w:sz="0" w:space="0" w:color="auto"/>
        <w:bottom w:val="none" w:sz="0" w:space="0" w:color="auto"/>
        <w:right w:val="none" w:sz="0" w:space="0" w:color="auto"/>
      </w:divBdr>
      <w:divsChild>
        <w:div w:id="1633561021">
          <w:marLeft w:val="0"/>
          <w:marRight w:val="0"/>
          <w:marTop w:val="0"/>
          <w:marBottom w:val="0"/>
          <w:divBdr>
            <w:top w:val="none" w:sz="0" w:space="0" w:color="auto"/>
            <w:left w:val="none" w:sz="0" w:space="0" w:color="auto"/>
            <w:bottom w:val="none" w:sz="0" w:space="0" w:color="auto"/>
            <w:right w:val="none" w:sz="0" w:space="0" w:color="auto"/>
          </w:divBdr>
          <w:divsChild>
            <w:div w:id="20030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0690">
      <w:bodyDiv w:val="1"/>
      <w:marLeft w:val="0"/>
      <w:marRight w:val="0"/>
      <w:marTop w:val="0"/>
      <w:marBottom w:val="0"/>
      <w:divBdr>
        <w:top w:val="none" w:sz="0" w:space="0" w:color="auto"/>
        <w:left w:val="none" w:sz="0" w:space="0" w:color="auto"/>
        <w:bottom w:val="none" w:sz="0" w:space="0" w:color="auto"/>
        <w:right w:val="none" w:sz="0" w:space="0" w:color="auto"/>
      </w:divBdr>
    </w:div>
    <w:div w:id="2090998294">
      <w:bodyDiv w:val="1"/>
      <w:marLeft w:val="0"/>
      <w:marRight w:val="0"/>
      <w:marTop w:val="0"/>
      <w:marBottom w:val="0"/>
      <w:divBdr>
        <w:top w:val="none" w:sz="0" w:space="0" w:color="auto"/>
        <w:left w:val="none" w:sz="0" w:space="0" w:color="auto"/>
        <w:bottom w:val="none" w:sz="0" w:space="0" w:color="auto"/>
        <w:right w:val="none" w:sz="0" w:space="0" w:color="auto"/>
      </w:divBdr>
      <w:divsChild>
        <w:div w:id="378667395">
          <w:marLeft w:val="0"/>
          <w:marRight w:val="0"/>
          <w:marTop w:val="0"/>
          <w:marBottom w:val="0"/>
          <w:divBdr>
            <w:top w:val="none" w:sz="0" w:space="0" w:color="auto"/>
            <w:left w:val="none" w:sz="0" w:space="0" w:color="auto"/>
            <w:bottom w:val="none" w:sz="0" w:space="0" w:color="auto"/>
            <w:right w:val="none" w:sz="0" w:space="0" w:color="auto"/>
          </w:divBdr>
        </w:div>
      </w:divsChild>
    </w:div>
    <w:div w:id="2096247709">
      <w:bodyDiv w:val="1"/>
      <w:marLeft w:val="0"/>
      <w:marRight w:val="0"/>
      <w:marTop w:val="0"/>
      <w:marBottom w:val="0"/>
      <w:divBdr>
        <w:top w:val="none" w:sz="0" w:space="0" w:color="auto"/>
        <w:left w:val="none" w:sz="0" w:space="0" w:color="auto"/>
        <w:bottom w:val="none" w:sz="0" w:space="0" w:color="auto"/>
        <w:right w:val="none" w:sz="0" w:space="0" w:color="auto"/>
      </w:divBdr>
    </w:div>
    <w:div w:id="2118595894">
      <w:bodyDiv w:val="1"/>
      <w:marLeft w:val="0"/>
      <w:marRight w:val="0"/>
      <w:marTop w:val="0"/>
      <w:marBottom w:val="0"/>
      <w:divBdr>
        <w:top w:val="none" w:sz="0" w:space="0" w:color="auto"/>
        <w:left w:val="none" w:sz="0" w:space="0" w:color="auto"/>
        <w:bottom w:val="none" w:sz="0" w:space="0" w:color="auto"/>
        <w:right w:val="none" w:sz="0" w:space="0" w:color="auto"/>
      </w:divBdr>
    </w:div>
    <w:div w:id="2125807136">
      <w:bodyDiv w:val="1"/>
      <w:marLeft w:val="0"/>
      <w:marRight w:val="0"/>
      <w:marTop w:val="0"/>
      <w:marBottom w:val="0"/>
      <w:divBdr>
        <w:top w:val="none" w:sz="0" w:space="0" w:color="auto"/>
        <w:left w:val="none" w:sz="0" w:space="0" w:color="auto"/>
        <w:bottom w:val="none" w:sz="0" w:space="0" w:color="auto"/>
        <w:right w:val="none" w:sz="0" w:space="0" w:color="auto"/>
      </w:divBdr>
    </w:div>
    <w:div w:id="2142459272">
      <w:bodyDiv w:val="1"/>
      <w:marLeft w:val="0"/>
      <w:marRight w:val="0"/>
      <w:marTop w:val="0"/>
      <w:marBottom w:val="0"/>
      <w:divBdr>
        <w:top w:val="none" w:sz="0" w:space="0" w:color="auto"/>
        <w:left w:val="none" w:sz="0" w:space="0" w:color="auto"/>
        <w:bottom w:val="none" w:sz="0" w:space="0" w:color="auto"/>
        <w:right w:val="none" w:sz="0" w:space="0" w:color="auto"/>
      </w:divBdr>
      <w:divsChild>
        <w:div w:id="1514109283">
          <w:marLeft w:val="0"/>
          <w:marRight w:val="0"/>
          <w:marTop w:val="0"/>
          <w:marBottom w:val="0"/>
          <w:divBdr>
            <w:top w:val="none" w:sz="0" w:space="0" w:color="auto"/>
            <w:left w:val="none" w:sz="0" w:space="0" w:color="auto"/>
            <w:bottom w:val="none" w:sz="0" w:space="0" w:color="auto"/>
            <w:right w:val="none" w:sz="0" w:space="0" w:color="auto"/>
          </w:divBdr>
          <w:divsChild>
            <w:div w:id="1604799345">
              <w:marLeft w:val="0"/>
              <w:marRight w:val="0"/>
              <w:marTop w:val="0"/>
              <w:marBottom w:val="0"/>
              <w:divBdr>
                <w:top w:val="none" w:sz="0" w:space="0" w:color="auto"/>
                <w:left w:val="none" w:sz="0" w:space="0" w:color="auto"/>
                <w:bottom w:val="none" w:sz="0" w:space="0" w:color="auto"/>
                <w:right w:val="none" w:sz="0" w:space="0" w:color="auto"/>
              </w:divBdr>
              <w:divsChild>
                <w:div w:id="623463775">
                  <w:marLeft w:val="0"/>
                  <w:marRight w:val="0"/>
                  <w:marTop w:val="0"/>
                  <w:marBottom w:val="0"/>
                  <w:divBdr>
                    <w:top w:val="none" w:sz="0" w:space="0" w:color="auto"/>
                    <w:left w:val="none" w:sz="0" w:space="0" w:color="auto"/>
                    <w:bottom w:val="none" w:sz="0" w:space="0" w:color="auto"/>
                    <w:right w:val="none" w:sz="0" w:space="0" w:color="auto"/>
                  </w:divBdr>
                </w:div>
                <w:div w:id="1333292753">
                  <w:marLeft w:val="0"/>
                  <w:marRight w:val="0"/>
                  <w:marTop w:val="0"/>
                  <w:marBottom w:val="0"/>
                  <w:divBdr>
                    <w:top w:val="none" w:sz="0" w:space="0" w:color="auto"/>
                    <w:left w:val="none" w:sz="0" w:space="0" w:color="auto"/>
                    <w:bottom w:val="none" w:sz="0" w:space="0" w:color="auto"/>
                    <w:right w:val="none" w:sz="0" w:space="0" w:color="auto"/>
                  </w:divBdr>
                </w:div>
                <w:div w:id="2123264640">
                  <w:marLeft w:val="0"/>
                  <w:marRight w:val="0"/>
                  <w:marTop w:val="0"/>
                  <w:marBottom w:val="0"/>
                  <w:divBdr>
                    <w:top w:val="none" w:sz="0" w:space="0" w:color="auto"/>
                    <w:left w:val="none" w:sz="0" w:space="0" w:color="auto"/>
                    <w:bottom w:val="none" w:sz="0" w:space="0" w:color="auto"/>
                    <w:right w:val="none" w:sz="0" w:space="0" w:color="auto"/>
                  </w:divBdr>
                </w:div>
                <w:div w:id="873268422">
                  <w:marLeft w:val="0"/>
                  <w:marRight w:val="0"/>
                  <w:marTop w:val="0"/>
                  <w:marBottom w:val="0"/>
                  <w:divBdr>
                    <w:top w:val="none" w:sz="0" w:space="0" w:color="auto"/>
                    <w:left w:val="none" w:sz="0" w:space="0" w:color="auto"/>
                    <w:bottom w:val="none" w:sz="0" w:space="0" w:color="auto"/>
                    <w:right w:val="none" w:sz="0" w:space="0" w:color="auto"/>
                  </w:divBdr>
                </w:div>
                <w:div w:id="398094532">
                  <w:marLeft w:val="0"/>
                  <w:marRight w:val="0"/>
                  <w:marTop w:val="0"/>
                  <w:marBottom w:val="0"/>
                  <w:divBdr>
                    <w:top w:val="none" w:sz="0" w:space="0" w:color="auto"/>
                    <w:left w:val="none" w:sz="0" w:space="0" w:color="auto"/>
                    <w:bottom w:val="none" w:sz="0" w:space="0" w:color="auto"/>
                    <w:right w:val="none" w:sz="0" w:space="0" w:color="auto"/>
                  </w:divBdr>
                </w:div>
                <w:div w:id="1271544026">
                  <w:marLeft w:val="0"/>
                  <w:marRight w:val="0"/>
                  <w:marTop w:val="0"/>
                  <w:marBottom w:val="0"/>
                  <w:divBdr>
                    <w:top w:val="none" w:sz="0" w:space="0" w:color="auto"/>
                    <w:left w:val="none" w:sz="0" w:space="0" w:color="auto"/>
                    <w:bottom w:val="none" w:sz="0" w:space="0" w:color="auto"/>
                    <w:right w:val="none" w:sz="0" w:space="0" w:color="auto"/>
                  </w:divBdr>
                </w:div>
                <w:div w:id="4592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eas.repec.org/s/wbk/hdnspu.html" TargetMode="External"/><Relationship Id="rId13" Type="http://schemas.openxmlformats.org/officeDocument/2006/relationships/hyperlink" Target="https://www.gov.uk/government/news/home-secretary-announces-new-measures-to-tackle-serious-violence" TargetMode="External"/><Relationship Id="rId18" Type="http://schemas.openxmlformats.org/officeDocument/2006/relationships/hyperlink" Target="https://www.nspcc.org.uk/preventing-abuse/child-abuse-and-neglect/online-abuse/facts-statistic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deas.repec.org/p/wbk/hdnspu/23304.html" TargetMode="External"/><Relationship Id="rId12" Type="http://schemas.openxmlformats.org/officeDocument/2006/relationships/hyperlink" Target="https://www.gov.uk/government/speeches/home-secretarys-college-of-policing-speech-on-vulnerability" TargetMode="External"/><Relationship Id="rId17" Type="http://schemas.openxmlformats.org/officeDocument/2006/relationships/hyperlink" Target="https://whatworks.college.police.uk/Research/Documents/VKPP_Briefing.pdf" TargetMode="External"/><Relationship Id="rId2" Type="http://schemas.openxmlformats.org/officeDocument/2006/relationships/styles" Target="styles.xml"/><Relationship Id="rId16" Type="http://schemas.openxmlformats.org/officeDocument/2006/relationships/hyperlink" Target="https://www.ceop.police.uk/safety-cent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sticeinspectorates.gov.uk/hmicfrs/wp-content/uploads/state-of-policing-2016.pdf" TargetMode="External"/><Relationship Id="rId5" Type="http://schemas.openxmlformats.org/officeDocument/2006/relationships/footnotes" Target="footnotes.xml"/><Relationship Id="rId15" Type="http://schemas.openxmlformats.org/officeDocument/2006/relationships/hyperlink" Target="http://knowaboutcse.co.uk/parents/" TargetMode="External"/><Relationship Id="rId10" Type="http://schemas.openxmlformats.org/officeDocument/2006/relationships/hyperlink" Target="https://www2.deloitte.com/content/dam/Deloitte/uk/Documents/public-sector/deloitte-uk-future-of-policing.pdf" TargetMode="External"/><Relationship Id="rId19" Type="http://schemas.openxmlformats.org/officeDocument/2006/relationships/hyperlink" Target="https://www.open.ac.uk/centres/policing/sites/www.open.ac.uk.centres.policing/files/files/News/An%20Evaluation%20of%20Demand-Management-Practices-in-UK-Final-report.pdf" TargetMode="External"/><Relationship Id="rId4" Type="http://schemas.openxmlformats.org/officeDocument/2006/relationships/webSettings" Target="webSettings.xml"/><Relationship Id="rId9" Type="http://schemas.openxmlformats.org/officeDocument/2006/relationships/hyperlink" Target="https://www.basw.co.uk/resources/constructing-definition-vulnerability-&#8211;-attempts-define-and-measure" TargetMode="External"/><Relationship Id="rId14" Type="http://schemas.openxmlformats.org/officeDocument/2006/relationships/hyperlink" Target="https://www.rotherham.gov.uk/downloads/file/1407/independent_inquiry_cse_in_rother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10359</Words>
  <Characters>59051</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Weston</dc:creator>
  <cp:keywords/>
  <dc:description/>
  <cp:lastModifiedBy>Samantha Weston</cp:lastModifiedBy>
  <cp:revision>2</cp:revision>
  <cp:lastPrinted>2021-07-14T15:54:00Z</cp:lastPrinted>
  <dcterms:created xsi:type="dcterms:W3CDTF">2022-08-26T07:17:00Z</dcterms:created>
  <dcterms:modified xsi:type="dcterms:W3CDTF">2022-08-26T07:17:00Z</dcterms:modified>
</cp:coreProperties>
</file>