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E0964" w14:textId="780C13F9" w:rsidR="00061DAF" w:rsidRPr="00763CFB" w:rsidRDefault="00E369D8" w:rsidP="004F492C">
      <w:pPr>
        <w:spacing w:line="240" w:lineRule="auto"/>
        <w:jc w:val="both"/>
        <w:rPr>
          <w:b/>
          <w:sz w:val="28"/>
          <w:szCs w:val="28"/>
        </w:rPr>
      </w:pPr>
      <w:r w:rsidRPr="00E369D8">
        <w:rPr>
          <w:b/>
          <w:sz w:val="28"/>
          <w:szCs w:val="28"/>
        </w:rPr>
        <w:t>Factors associated with change in health-related quality of life in people with gout: a three-year prospective cohort study in primary care</w:t>
      </w:r>
    </w:p>
    <w:p w14:paraId="179B1999" w14:textId="77777777" w:rsidR="00571588" w:rsidRDefault="00571588" w:rsidP="00571588">
      <w:pPr>
        <w:spacing w:after="0" w:line="480" w:lineRule="auto"/>
        <w:rPr>
          <w:sz w:val="24"/>
          <w:szCs w:val="24"/>
        </w:rPr>
      </w:pPr>
    </w:p>
    <w:p w14:paraId="3431B503" w14:textId="0FF20F42" w:rsidR="00571588" w:rsidRDefault="00B71E6B" w:rsidP="00571588">
      <w:pPr>
        <w:spacing w:after="0" w:line="480" w:lineRule="auto"/>
        <w:rPr>
          <w:rFonts w:cstheme="minorHAnsi"/>
          <w:color w:val="000000"/>
          <w:sz w:val="24"/>
          <w:szCs w:val="24"/>
        </w:rPr>
      </w:pPr>
      <w:r>
        <w:rPr>
          <w:rFonts w:cstheme="minorHAnsi"/>
          <w:color w:val="000000"/>
          <w:sz w:val="24"/>
          <w:szCs w:val="24"/>
        </w:rPr>
        <w:t xml:space="preserve">Lorraine </w:t>
      </w:r>
      <w:r w:rsidR="0059272D" w:rsidRPr="00BC4BCC">
        <w:rPr>
          <w:rFonts w:cstheme="minorHAnsi"/>
          <w:color w:val="000000"/>
          <w:sz w:val="24"/>
          <w:szCs w:val="24"/>
        </w:rPr>
        <w:t xml:space="preserve">Watson </w:t>
      </w:r>
      <w:r w:rsidR="0059272D" w:rsidRPr="00BC4BCC">
        <w:rPr>
          <w:rFonts w:cstheme="minorHAnsi"/>
          <w:sz w:val="24"/>
          <w:szCs w:val="24"/>
          <w:vertAlign w:val="superscript"/>
        </w:rPr>
        <w:t>1</w:t>
      </w:r>
      <w:r w:rsidR="0059272D" w:rsidRPr="00BC4BCC">
        <w:rPr>
          <w:rFonts w:cstheme="minorHAnsi"/>
          <w:color w:val="000000"/>
          <w:sz w:val="24"/>
          <w:szCs w:val="24"/>
        </w:rPr>
        <w:t xml:space="preserve">, </w:t>
      </w:r>
      <w:r>
        <w:rPr>
          <w:rFonts w:cstheme="minorHAnsi"/>
          <w:color w:val="000000"/>
          <w:sz w:val="24"/>
          <w:szCs w:val="24"/>
        </w:rPr>
        <w:t>John Belcher</w:t>
      </w:r>
      <w:r w:rsidR="0059272D" w:rsidRPr="00BC4BCC">
        <w:rPr>
          <w:rFonts w:cstheme="minorHAnsi"/>
          <w:sz w:val="24"/>
          <w:szCs w:val="24"/>
          <w:vertAlign w:val="superscript"/>
        </w:rPr>
        <w:t>1</w:t>
      </w:r>
      <w:r>
        <w:rPr>
          <w:rFonts w:cstheme="minorHAnsi"/>
          <w:color w:val="000000"/>
          <w:sz w:val="24"/>
          <w:szCs w:val="24"/>
        </w:rPr>
        <w:t xml:space="preserve">, Elaine Nicholls </w:t>
      </w:r>
      <w:r w:rsidR="0059272D" w:rsidRPr="00BC4BCC">
        <w:rPr>
          <w:rFonts w:cstheme="minorHAnsi"/>
          <w:sz w:val="24"/>
          <w:szCs w:val="24"/>
          <w:vertAlign w:val="superscript"/>
        </w:rPr>
        <w:t>1,2</w:t>
      </w:r>
      <w:r>
        <w:rPr>
          <w:rFonts w:cstheme="minorHAnsi"/>
          <w:color w:val="000000"/>
          <w:sz w:val="24"/>
          <w:szCs w:val="24"/>
        </w:rPr>
        <w:t xml:space="preserve">, Priyanka Chandratre </w:t>
      </w:r>
      <w:r w:rsidR="008B65F5">
        <w:rPr>
          <w:rFonts w:cstheme="minorHAnsi"/>
          <w:color w:val="000000"/>
          <w:sz w:val="24"/>
          <w:szCs w:val="24"/>
          <w:vertAlign w:val="superscript"/>
        </w:rPr>
        <w:t>3</w:t>
      </w:r>
      <w:r w:rsidR="0059272D" w:rsidRPr="00BC4BCC">
        <w:rPr>
          <w:rFonts w:cstheme="minorHAnsi"/>
          <w:color w:val="000000"/>
          <w:sz w:val="24"/>
          <w:szCs w:val="24"/>
        </w:rPr>
        <w:t>, </w:t>
      </w:r>
      <w:r w:rsidR="004E299E">
        <w:rPr>
          <w:rFonts w:cstheme="minorHAnsi"/>
          <w:color w:val="000000"/>
          <w:sz w:val="24"/>
          <w:szCs w:val="24"/>
        </w:rPr>
        <w:t>Milica Blagojevic-Bucknall</w:t>
      </w:r>
      <w:r w:rsidR="00137063" w:rsidRPr="008F5BA0">
        <w:rPr>
          <w:sz w:val="24"/>
          <w:szCs w:val="24"/>
          <w:vertAlign w:val="superscript"/>
        </w:rPr>
        <w:t>1</w:t>
      </w:r>
      <w:r w:rsidR="004E299E">
        <w:rPr>
          <w:rFonts w:cstheme="minorHAnsi"/>
          <w:color w:val="000000"/>
          <w:sz w:val="24"/>
          <w:szCs w:val="24"/>
        </w:rPr>
        <w:t>, Samantha Hider</w:t>
      </w:r>
      <w:r w:rsidR="00137063" w:rsidRPr="008F5BA0">
        <w:rPr>
          <w:sz w:val="24"/>
          <w:szCs w:val="24"/>
          <w:vertAlign w:val="superscript"/>
        </w:rPr>
        <w:t>1</w:t>
      </w:r>
      <w:r w:rsidR="007C540E">
        <w:rPr>
          <w:sz w:val="24"/>
          <w:szCs w:val="24"/>
          <w:vertAlign w:val="superscript"/>
        </w:rPr>
        <w:t>,</w:t>
      </w:r>
      <w:r w:rsidR="008B65F5">
        <w:rPr>
          <w:sz w:val="24"/>
          <w:szCs w:val="24"/>
          <w:vertAlign w:val="superscript"/>
        </w:rPr>
        <w:t>4</w:t>
      </w:r>
      <w:r w:rsidR="0059272D" w:rsidRPr="00BC4BCC">
        <w:rPr>
          <w:rFonts w:cstheme="minorHAnsi"/>
          <w:color w:val="000000"/>
          <w:sz w:val="24"/>
          <w:szCs w:val="24"/>
        </w:rPr>
        <w:t>, </w:t>
      </w:r>
      <w:r w:rsidR="004E299E" w:rsidRPr="00BC4BCC">
        <w:rPr>
          <w:rFonts w:cstheme="minorHAnsi"/>
          <w:color w:val="000000"/>
          <w:sz w:val="24"/>
          <w:szCs w:val="24"/>
        </w:rPr>
        <w:t>S</w:t>
      </w:r>
      <w:r w:rsidR="004E299E">
        <w:rPr>
          <w:rFonts w:cstheme="minorHAnsi"/>
          <w:color w:val="000000"/>
          <w:sz w:val="24"/>
          <w:szCs w:val="24"/>
        </w:rPr>
        <w:t>arah A</w:t>
      </w:r>
      <w:r w:rsidR="004E299E" w:rsidRPr="00BC4BCC">
        <w:rPr>
          <w:rFonts w:cstheme="minorHAnsi"/>
          <w:color w:val="000000"/>
          <w:sz w:val="24"/>
          <w:szCs w:val="24"/>
        </w:rPr>
        <w:t xml:space="preserve"> </w:t>
      </w:r>
      <w:r w:rsidR="0059272D" w:rsidRPr="00BC4BCC">
        <w:rPr>
          <w:rFonts w:cstheme="minorHAnsi"/>
          <w:color w:val="000000"/>
          <w:sz w:val="24"/>
          <w:szCs w:val="24"/>
        </w:rPr>
        <w:t xml:space="preserve">Lawton </w:t>
      </w:r>
      <w:r w:rsidR="00D40EBD" w:rsidRPr="008F5BA0">
        <w:rPr>
          <w:sz w:val="24"/>
          <w:szCs w:val="24"/>
          <w:vertAlign w:val="superscript"/>
        </w:rPr>
        <w:t>1</w:t>
      </w:r>
      <w:r w:rsidR="0059272D" w:rsidRPr="00BC4BCC">
        <w:rPr>
          <w:rFonts w:cstheme="minorHAnsi"/>
          <w:color w:val="000000"/>
          <w:sz w:val="24"/>
          <w:szCs w:val="24"/>
        </w:rPr>
        <w:t>, </w:t>
      </w:r>
      <w:r w:rsidR="004E299E">
        <w:rPr>
          <w:rFonts w:cstheme="minorHAnsi"/>
          <w:color w:val="000000"/>
          <w:sz w:val="24"/>
          <w:szCs w:val="24"/>
        </w:rPr>
        <w:t>Christian D Mallen</w:t>
      </w:r>
      <w:r w:rsidR="008B65F5">
        <w:rPr>
          <w:rFonts w:cstheme="minorHAnsi"/>
          <w:sz w:val="24"/>
          <w:szCs w:val="24"/>
          <w:vertAlign w:val="superscript"/>
        </w:rPr>
        <w:t>1,4</w:t>
      </w:r>
      <w:r w:rsidR="005F77DB">
        <w:rPr>
          <w:rFonts w:cstheme="minorHAnsi"/>
          <w:sz w:val="24"/>
          <w:szCs w:val="24"/>
          <w:vertAlign w:val="superscript"/>
        </w:rPr>
        <w:t>,</w:t>
      </w:r>
      <w:r w:rsidR="0059272D" w:rsidRPr="008D4DFB">
        <w:rPr>
          <w:rFonts w:cstheme="minorHAnsi"/>
          <w:color w:val="000000"/>
          <w:sz w:val="24"/>
          <w:szCs w:val="24"/>
        </w:rPr>
        <w:t>,</w:t>
      </w:r>
      <w:r w:rsidR="0044120C">
        <w:rPr>
          <w:rFonts w:cstheme="minorHAnsi"/>
          <w:color w:val="000000"/>
          <w:sz w:val="24"/>
          <w:szCs w:val="24"/>
        </w:rPr>
        <w:t> </w:t>
      </w:r>
      <w:r w:rsidR="004E299E">
        <w:rPr>
          <w:rFonts w:cstheme="minorHAnsi"/>
          <w:color w:val="000000"/>
          <w:sz w:val="24"/>
          <w:szCs w:val="24"/>
        </w:rPr>
        <w:t>Sara Muller</w:t>
      </w:r>
      <w:r w:rsidR="0059272D" w:rsidRPr="00BC4BCC">
        <w:rPr>
          <w:rFonts w:cstheme="minorHAnsi"/>
          <w:sz w:val="24"/>
          <w:szCs w:val="24"/>
          <w:vertAlign w:val="superscript"/>
        </w:rPr>
        <w:t>1</w:t>
      </w:r>
      <w:r w:rsidR="004E299E">
        <w:rPr>
          <w:rFonts w:cstheme="minorHAnsi"/>
          <w:color w:val="000000"/>
          <w:sz w:val="24"/>
          <w:szCs w:val="24"/>
        </w:rPr>
        <w:t>,</w:t>
      </w:r>
      <w:r w:rsidR="00044A28">
        <w:rPr>
          <w:rFonts w:cstheme="minorHAnsi"/>
          <w:color w:val="000000"/>
          <w:sz w:val="24"/>
          <w:szCs w:val="24"/>
        </w:rPr>
        <w:t xml:space="preserve"> </w:t>
      </w:r>
      <w:r w:rsidR="004E299E">
        <w:rPr>
          <w:rFonts w:cstheme="minorHAnsi"/>
          <w:color w:val="000000"/>
          <w:sz w:val="24"/>
          <w:szCs w:val="24"/>
        </w:rPr>
        <w:t>Keith Rome</w:t>
      </w:r>
      <w:r w:rsidR="002C3E24">
        <w:rPr>
          <w:rFonts w:cstheme="minorHAnsi"/>
          <w:color w:val="000000"/>
          <w:sz w:val="24"/>
          <w:szCs w:val="24"/>
          <w:vertAlign w:val="superscript"/>
        </w:rPr>
        <w:t>5</w:t>
      </w:r>
      <w:r w:rsidR="00591D2E">
        <w:rPr>
          <w:rFonts w:cstheme="minorHAnsi"/>
          <w:color w:val="000000"/>
          <w:sz w:val="24"/>
          <w:szCs w:val="24"/>
        </w:rPr>
        <w:t>, Edward Roddy</w:t>
      </w:r>
      <w:r w:rsidR="008B65F5">
        <w:rPr>
          <w:rFonts w:cstheme="minorHAnsi"/>
          <w:sz w:val="24"/>
          <w:szCs w:val="24"/>
          <w:vertAlign w:val="superscript"/>
        </w:rPr>
        <w:t>1,4</w:t>
      </w:r>
      <w:r w:rsidR="0059272D" w:rsidRPr="00BC4BCC">
        <w:rPr>
          <w:rFonts w:cstheme="minorHAnsi"/>
          <w:color w:val="000000"/>
          <w:sz w:val="24"/>
          <w:szCs w:val="24"/>
        </w:rPr>
        <w:t>.</w:t>
      </w:r>
      <w:r w:rsidR="00FB769F">
        <w:rPr>
          <w:rFonts w:cstheme="minorHAnsi"/>
          <w:color w:val="000000"/>
          <w:sz w:val="24"/>
          <w:szCs w:val="24"/>
        </w:rPr>
        <w:t xml:space="preserve">  </w:t>
      </w:r>
    </w:p>
    <w:p w14:paraId="71F9F0EE" w14:textId="77777777" w:rsidR="000A30A8" w:rsidRPr="00BC4BCC" w:rsidRDefault="000A30A8" w:rsidP="00571588">
      <w:pPr>
        <w:spacing w:after="0" w:line="480" w:lineRule="auto"/>
        <w:rPr>
          <w:rFonts w:cstheme="minorHAnsi"/>
          <w:color w:val="FF0000"/>
          <w:sz w:val="24"/>
          <w:szCs w:val="24"/>
        </w:rPr>
      </w:pPr>
    </w:p>
    <w:p w14:paraId="1C9CC72F" w14:textId="64701427" w:rsidR="009062F1" w:rsidRDefault="00571588" w:rsidP="009062F1">
      <w:pPr>
        <w:spacing w:after="0" w:line="480" w:lineRule="auto"/>
        <w:jc w:val="both"/>
        <w:rPr>
          <w:sz w:val="24"/>
          <w:szCs w:val="24"/>
        </w:rPr>
      </w:pPr>
      <w:r w:rsidRPr="008F5BA0">
        <w:rPr>
          <w:sz w:val="24"/>
          <w:szCs w:val="24"/>
          <w:vertAlign w:val="superscript"/>
        </w:rPr>
        <w:t>1</w:t>
      </w:r>
      <w:r w:rsidRPr="00630871">
        <w:rPr>
          <w:rFonts w:cs="Arial"/>
          <w:color w:val="222222"/>
          <w:sz w:val="24"/>
          <w:szCs w:val="24"/>
          <w:shd w:val="clear" w:color="auto" w:fill="FFFFFF"/>
        </w:rPr>
        <w:t xml:space="preserve">School of </w:t>
      </w:r>
      <w:r w:rsidR="00871AB4">
        <w:rPr>
          <w:rFonts w:cs="Arial"/>
          <w:color w:val="222222"/>
          <w:sz w:val="24"/>
          <w:szCs w:val="24"/>
          <w:shd w:val="clear" w:color="auto" w:fill="FFFFFF"/>
        </w:rPr>
        <w:t>Medicine</w:t>
      </w:r>
      <w:r>
        <w:rPr>
          <w:sz w:val="24"/>
          <w:szCs w:val="24"/>
        </w:rPr>
        <w:t xml:space="preserve">, </w:t>
      </w:r>
      <w:r w:rsidRPr="005575C5">
        <w:rPr>
          <w:sz w:val="24"/>
          <w:szCs w:val="24"/>
        </w:rPr>
        <w:t>Keele University</w:t>
      </w:r>
      <w:r>
        <w:rPr>
          <w:sz w:val="24"/>
          <w:szCs w:val="24"/>
        </w:rPr>
        <w:t>, Keele</w:t>
      </w:r>
      <w:r w:rsidR="00953C84">
        <w:rPr>
          <w:sz w:val="24"/>
          <w:szCs w:val="24"/>
        </w:rPr>
        <w:t>, UK</w:t>
      </w:r>
      <w:r w:rsidR="008B65F5">
        <w:rPr>
          <w:sz w:val="24"/>
          <w:szCs w:val="24"/>
        </w:rPr>
        <w:t xml:space="preserve">.  </w:t>
      </w:r>
      <w:r w:rsidRPr="000F440D">
        <w:rPr>
          <w:sz w:val="24"/>
          <w:szCs w:val="24"/>
          <w:vertAlign w:val="superscript"/>
        </w:rPr>
        <w:t>2</w:t>
      </w:r>
      <w:r w:rsidRPr="000F440D">
        <w:t xml:space="preserve"> </w:t>
      </w:r>
      <w:r w:rsidRPr="000F440D">
        <w:rPr>
          <w:sz w:val="24"/>
          <w:szCs w:val="24"/>
        </w:rPr>
        <w:t xml:space="preserve">Keele Clinical Trials Unit, Keele University, Keele, </w:t>
      </w:r>
      <w:r w:rsidR="00953C84">
        <w:rPr>
          <w:sz w:val="24"/>
          <w:szCs w:val="24"/>
        </w:rPr>
        <w:t>UK.</w:t>
      </w:r>
      <w:r w:rsidR="004A7D7C" w:rsidRPr="004A7D7C">
        <w:rPr>
          <w:sz w:val="24"/>
          <w:szCs w:val="24"/>
          <w:vertAlign w:val="superscript"/>
        </w:rPr>
        <w:t xml:space="preserve"> </w:t>
      </w:r>
      <w:r w:rsidR="004A7D7C">
        <w:rPr>
          <w:sz w:val="24"/>
          <w:szCs w:val="24"/>
          <w:vertAlign w:val="superscript"/>
        </w:rPr>
        <w:t xml:space="preserve"> 3</w:t>
      </w:r>
      <w:r w:rsidR="004A7D7C">
        <w:rPr>
          <w:sz w:val="24"/>
          <w:szCs w:val="24"/>
        </w:rPr>
        <w:t xml:space="preserve">Department of Rheumatology, </w:t>
      </w:r>
      <w:r w:rsidR="004A7D7C" w:rsidRPr="008D4DFB">
        <w:rPr>
          <w:sz w:val="24"/>
          <w:szCs w:val="24"/>
        </w:rPr>
        <w:t>Sandwell &amp; West Bir</w:t>
      </w:r>
      <w:r w:rsidR="004A7D7C" w:rsidRPr="00080EC5">
        <w:rPr>
          <w:sz w:val="24"/>
          <w:szCs w:val="24"/>
        </w:rPr>
        <w:t>mingham Hospitals NHS Trust</w:t>
      </w:r>
      <w:r w:rsidR="004A7D7C">
        <w:rPr>
          <w:sz w:val="24"/>
          <w:szCs w:val="24"/>
        </w:rPr>
        <w:t>, Birmingham, UK.</w:t>
      </w:r>
      <w:r w:rsidR="00953C84">
        <w:rPr>
          <w:sz w:val="24"/>
          <w:szCs w:val="24"/>
        </w:rPr>
        <w:t xml:space="preserve"> </w:t>
      </w:r>
      <w:r w:rsidR="008B65F5">
        <w:rPr>
          <w:sz w:val="24"/>
          <w:szCs w:val="24"/>
          <w:vertAlign w:val="superscript"/>
        </w:rPr>
        <w:t>4</w:t>
      </w:r>
      <w:r w:rsidRPr="00286881">
        <w:rPr>
          <w:sz w:val="24"/>
          <w:szCs w:val="24"/>
          <w:vertAlign w:val="superscript"/>
        </w:rPr>
        <w:t xml:space="preserve"> </w:t>
      </w:r>
      <w:r w:rsidRPr="00286881">
        <w:rPr>
          <w:sz w:val="24"/>
          <w:szCs w:val="24"/>
        </w:rPr>
        <w:t xml:space="preserve">Haywood Academic </w:t>
      </w:r>
      <w:r w:rsidRPr="008D4DFB">
        <w:rPr>
          <w:sz w:val="24"/>
          <w:szCs w:val="24"/>
        </w:rPr>
        <w:t>Rheumatology Centre, Midlands Partnership NHS Foundation Trust, Stoke-on-Trent</w:t>
      </w:r>
      <w:r w:rsidR="00953C84">
        <w:rPr>
          <w:sz w:val="24"/>
          <w:szCs w:val="24"/>
        </w:rPr>
        <w:t>, UK</w:t>
      </w:r>
      <w:r w:rsidR="00E250C3">
        <w:rPr>
          <w:sz w:val="24"/>
          <w:szCs w:val="24"/>
        </w:rPr>
        <w:t xml:space="preserve">. </w:t>
      </w:r>
      <w:r w:rsidR="002C3E24">
        <w:rPr>
          <w:sz w:val="24"/>
          <w:szCs w:val="24"/>
          <w:vertAlign w:val="superscript"/>
        </w:rPr>
        <w:t>5</w:t>
      </w:r>
      <w:r w:rsidR="009062F1" w:rsidRPr="00080EC5">
        <w:rPr>
          <w:sz w:val="24"/>
          <w:szCs w:val="24"/>
        </w:rPr>
        <w:t xml:space="preserve"> </w:t>
      </w:r>
      <w:r w:rsidR="00953C84" w:rsidRPr="00080EC5">
        <w:rPr>
          <w:sz w:val="24"/>
          <w:szCs w:val="24"/>
        </w:rPr>
        <w:t>School of Clinical Sciences</w:t>
      </w:r>
      <w:r w:rsidR="00953C84">
        <w:rPr>
          <w:sz w:val="24"/>
          <w:szCs w:val="24"/>
        </w:rPr>
        <w:t>,</w:t>
      </w:r>
      <w:r w:rsidR="00953C84" w:rsidRPr="00080EC5">
        <w:rPr>
          <w:sz w:val="24"/>
          <w:szCs w:val="24"/>
        </w:rPr>
        <w:t xml:space="preserve"> </w:t>
      </w:r>
      <w:r w:rsidR="009062F1" w:rsidRPr="00080EC5">
        <w:rPr>
          <w:sz w:val="24"/>
          <w:szCs w:val="24"/>
        </w:rPr>
        <w:t>AUT University, Auckland</w:t>
      </w:r>
      <w:r w:rsidR="008B65F5">
        <w:rPr>
          <w:sz w:val="24"/>
          <w:szCs w:val="24"/>
        </w:rPr>
        <w:t>, NZ</w:t>
      </w:r>
      <w:r w:rsidR="00953C84">
        <w:rPr>
          <w:sz w:val="24"/>
          <w:szCs w:val="24"/>
        </w:rPr>
        <w:t>.</w:t>
      </w:r>
    </w:p>
    <w:p w14:paraId="45921F21" w14:textId="77777777" w:rsidR="00111141" w:rsidRDefault="00111141" w:rsidP="009062F1">
      <w:pPr>
        <w:spacing w:after="0" w:line="480" w:lineRule="auto"/>
        <w:jc w:val="both"/>
        <w:rPr>
          <w:sz w:val="24"/>
          <w:szCs w:val="24"/>
        </w:rPr>
      </w:pPr>
    </w:p>
    <w:p w14:paraId="11C112A7" w14:textId="77777777" w:rsidR="00111141" w:rsidRDefault="00111141" w:rsidP="009062F1">
      <w:pPr>
        <w:spacing w:after="0" w:line="480" w:lineRule="auto"/>
        <w:jc w:val="both"/>
        <w:rPr>
          <w:sz w:val="24"/>
          <w:szCs w:val="24"/>
        </w:rPr>
      </w:pPr>
      <w:r>
        <w:rPr>
          <w:sz w:val="24"/>
          <w:szCs w:val="24"/>
        </w:rPr>
        <w:t>Corresponding author:</w:t>
      </w:r>
    </w:p>
    <w:p w14:paraId="36F54618" w14:textId="77777777" w:rsidR="00751BCE" w:rsidRDefault="00111141" w:rsidP="009062F1">
      <w:pPr>
        <w:spacing w:after="0" w:line="480" w:lineRule="auto"/>
        <w:jc w:val="both"/>
        <w:rPr>
          <w:sz w:val="24"/>
          <w:szCs w:val="24"/>
          <w:vertAlign w:val="superscript"/>
        </w:rPr>
      </w:pPr>
      <w:r>
        <w:rPr>
          <w:sz w:val="24"/>
          <w:szCs w:val="24"/>
        </w:rPr>
        <w:t xml:space="preserve">Lorraine Watson </w:t>
      </w:r>
    </w:p>
    <w:p w14:paraId="7A8ECDBF" w14:textId="3EDC32D4" w:rsidR="00884917" w:rsidRDefault="00751BCE" w:rsidP="009062F1">
      <w:pPr>
        <w:spacing w:after="0" w:line="480" w:lineRule="auto"/>
        <w:jc w:val="both"/>
        <w:rPr>
          <w:sz w:val="24"/>
          <w:szCs w:val="24"/>
        </w:rPr>
      </w:pPr>
      <w:r w:rsidRPr="00630871">
        <w:rPr>
          <w:rFonts w:cs="Arial"/>
          <w:color w:val="222222"/>
          <w:sz w:val="24"/>
          <w:szCs w:val="24"/>
          <w:shd w:val="clear" w:color="auto" w:fill="FFFFFF"/>
        </w:rPr>
        <w:t xml:space="preserve">School of </w:t>
      </w:r>
      <w:r w:rsidR="00871AB4">
        <w:rPr>
          <w:rFonts w:cs="Arial"/>
          <w:color w:val="222222"/>
          <w:sz w:val="24"/>
          <w:szCs w:val="24"/>
          <w:shd w:val="clear" w:color="auto" w:fill="FFFFFF"/>
        </w:rPr>
        <w:t>Medicine</w:t>
      </w:r>
      <w:r>
        <w:rPr>
          <w:sz w:val="24"/>
          <w:szCs w:val="24"/>
        </w:rPr>
        <w:t xml:space="preserve">, </w:t>
      </w:r>
      <w:r w:rsidRPr="005575C5">
        <w:rPr>
          <w:sz w:val="24"/>
          <w:szCs w:val="24"/>
        </w:rPr>
        <w:t>Keele University</w:t>
      </w:r>
      <w:r>
        <w:rPr>
          <w:sz w:val="24"/>
          <w:szCs w:val="24"/>
        </w:rPr>
        <w:t xml:space="preserve">, Keele, </w:t>
      </w:r>
      <w:r w:rsidR="00884917">
        <w:rPr>
          <w:sz w:val="24"/>
          <w:szCs w:val="24"/>
        </w:rPr>
        <w:t xml:space="preserve">Staffordshire, ST5 5BG, </w:t>
      </w:r>
      <w:r>
        <w:rPr>
          <w:sz w:val="24"/>
          <w:szCs w:val="24"/>
        </w:rPr>
        <w:t>UK</w:t>
      </w:r>
      <w:r w:rsidR="00884917">
        <w:rPr>
          <w:sz w:val="24"/>
          <w:szCs w:val="24"/>
        </w:rPr>
        <w:t>.</w:t>
      </w:r>
      <w:r w:rsidR="00EA155D">
        <w:rPr>
          <w:sz w:val="24"/>
          <w:szCs w:val="24"/>
        </w:rPr>
        <w:t xml:space="preserve">    </w:t>
      </w:r>
      <w:r w:rsidR="00884917">
        <w:rPr>
          <w:sz w:val="24"/>
          <w:szCs w:val="24"/>
        </w:rPr>
        <w:t>E-mail</w:t>
      </w:r>
      <w:r w:rsidR="00EA155D">
        <w:rPr>
          <w:sz w:val="24"/>
          <w:szCs w:val="24"/>
        </w:rPr>
        <w:t xml:space="preserve">: </w:t>
      </w:r>
      <w:hyperlink r:id="rId8" w:history="1">
        <w:r w:rsidR="00EA155D" w:rsidRPr="0012295B">
          <w:rPr>
            <w:rStyle w:val="Hyperlink"/>
            <w:color w:val="auto"/>
            <w:sz w:val="24"/>
            <w:szCs w:val="24"/>
            <w:u w:val="none"/>
          </w:rPr>
          <w:t>l.watson@keele.ac.uk</w:t>
        </w:r>
      </w:hyperlink>
    </w:p>
    <w:p w14:paraId="53782015" w14:textId="77777777" w:rsidR="00EA155D" w:rsidRDefault="00FE39D8" w:rsidP="009062F1">
      <w:pPr>
        <w:spacing w:after="0" w:line="480" w:lineRule="auto"/>
        <w:jc w:val="both"/>
        <w:rPr>
          <w:sz w:val="24"/>
          <w:szCs w:val="24"/>
        </w:rPr>
      </w:pPr>
      <w:r>
        <w:rPr>
          <w:sz w:val="24"/>
          <w:szCs w:val="24"/>
        </w:rPr>
        <w:t xml:space="preserve">ORCID ID </w:t>
      </w:r>
      <w:r>
        <w:rPr>
          <w:rStyle w:val="orcid-id-https"/>
          <w:rFonts w:ascii="Arial" w:hAnsi="Arial" w:cs="Arial"/>
          <w:color w:val="494A4C"/>
          <w:shd w:val="clear" w:color="auto" w:fill="FFFFFF"/>
        </w:rPr>
        <w:t>https://orcid.org/0000-0002-4433-6345</w:t>
      </w:r>
    </w:p>
    <w:p w14:paraId="42739DAB" w14:textId="77777777" w:rsidR="00EA155D" w:rsidRDefault="00EA155D" w:rsidP="009062F1">
      <w:pPr>
        <w:spacing w:after="0" w:line="480" w:lineRule="auto"/>
        <w:jc w:val="both"/>
        <w:rPr>
          <w:sz w:val="24"/>
          <w:szCs w:val="24"/>
        </w:rPr>
      </w:pPr>
    </w:p>
    <w:p w14:paraId="2331B947" w14:textId="52EBC884" w:rsidR="002C4507" w:rsidRDefault="002C4507" w:rsidP="009062F1">
      <w:pPr>
        <w:spacing w:after="0" w:line="480" w:lineRule="auto"/>
        <w:jc w:val="both"/>
        <w:rPr>
          <w:b/>
          <w:color w:val="FF0000"/>
          <w:sz w:val="24"/>
          <w:szCs w:val="24"/>
        </w:rPr>
      </w:pPr>
    </w:p>
    <w:p w14:paraId="3A78423A" w14:textId="77777777" w:rsidR="00E369D8" w:rsidRDefault="00E369D8" w:rsidP="009062F1">
      <w:pPr>
        <w:spacing w:after="0" w:line="480" w:lineRule="auto"/>
        <w:jc w:val="both"/>
        <w:rPr>
          <w:sz w:val="24"/>
          <w:szCs w:val="24"/>
        </w:rPr>
      </w:pPr>
    </w:p>
    <w:p w14:paraId="6A3FEDCC" w14:textId="373165EB" w:rsidR="0012295B" w:rsidRDefault="0012295B" w:rsidP="009062F1">
      <w:pPr>
        <w:spacing w:after="0" w:line="480" w:lineRule="auto"/>
        <w:jc w:val="both"/>
        <w:rPr>
          <w:sz w:val="24"/>
          <w:szCs w:val="24"/>
        </w:rPr>
      </w:pPr>
    </w:p>
    <w:p w14:paraId="7D1FAE5A" w14:textId="77777777" w:rsidR="002C60A0" w:rsidRDefault="002C60A0" w:rsidP="009062F1">
      <w:pPr>
        <w:spacing w:after="0" w:line="480" w:lineRule="auto"/>
        <w:jc w:val="both"/>
        <w:rPr>
          <w:sz w:val="24"/>
          <w:szCs w:val="24"/>
        </w:rPr>
      </w:pPr>
    </w:p>
    <w:p w14:paraId="0D93D4ED" w14:textId="77777777" w:rsidR="00DE42ED" w:rsidRDefault="00DE42ED" w:rsidP="009062F1">
      <w:pPr>
        <w:spacing w:after="0" w:line="480" w:lineRule="auto"/>
        <w:jc w:val="both"/>
        <w:rPr>
          <w:sz w:val="24"/>
          <w:szCs w:val="24"/>
        </w:rPr>
      </w:pPr>
    </w:p>
    <w:p w14:paraId="76F86AB5" w14:textId="77777777" w:rsidR="0012295B" w:rsidRDefault="0012295B" w:rsidP="009062F1">
      <w:pPr>
        <w:spacing w:after="0" w:line="480" w:lineRule="auto"/>
        <w:jc w:val="both"/>
        <w:rPr>
          <w:sz w:val="24"/>
          <w:szCs w:val="24"/>
        </w:rPr>
      </w:pPr>
    </w:p>
    <w:p w14:paraId="5D7C7158" w14:textId="19FB0593" w:rsidR="00636EB5" w:rsidRDefault="004C19B5" w:rsidP="0089345F">
      <w:pPr>
        <w:spacing w:after="0" w:line="480" w:lineRule="auto"/>
        <w:jc w:val="both"/>
        <w:rPr>
          <w:b/>
          <w:sz w:val="24"/>
          <w:szCs w:val="24"/>
        </w:rPr>
      </w:pPr>
      <w:r>
        <w:rPr>
          <w:b/>
          <w:sz w:val="24"/>
          <w:szCs w:val="24"/>
        </w:rPr>
        <w:lastRenderedPageBreak/>
        <w:t xml:space="preserve">Abstract </w:t>
      </w:r>
    </w:p>
    <w:p w14:paraId="0A151743" w14:textId="2B7705A0" w:rsidR="004C19B5" w:rsidRPr="00DB0866" w:rsidRDefault="00DB0866" w:rsidP="0089345F">
      <w:pPr>
        <w:spacing w:after="0" w:line="480" w:lineRule="auto"/>
        <w:jc w:val="both"/>
        <w:rPr>
          <w:b/>
          <w:sz w:val="24"/>
          <w:szCs w:val="24"/>
        </w:rPr>
      </w:pPr>
      <w:r>
        <w:rPr>
          <w:b/>
          <w:sz w:val="24"/>
          <w:szCs w:val="24"/>
        </w:rPr>
        <w:t xml:space="preserve">Objective. </w:t>
      </w:r>
      <w:r w:rsidRPr="00DB0866">
        <w:rPr>
          <w:sz w:val="24"/>
          <w:szCs w:val="24"/>
        </w:rPr>
        <w:t>To</w:t>
      </w:r>
      <w:r>
        <w:rPr>
          <w:sz w:val="24"/>
          <w:szCs w:val="24"/>
        </w:rPr>
        <w:t xml:space="preserve"> describe factors associated with change in </w:t>
      </w:r>
      <w:r w:rsidR="00277C41">
        <w:rPr>
          <w:sz w:val="24"/>
          <w:szCs w:val="24"/>
        </w:rPr>
        <w:t>health-related quality of life (</w:t>
      </w:r>
      <w:r>
        <w:rPr>
          <w:sz w:val="24"/>
          <w:szCs w:val="24"/>
        </w:rPr>
        <w:t>HRQOL</w:t>
      </w:r>
      <w:r w:rsidR="00277C41">
        <w:rPr>
          <w:sz w:val="24"/>
          <w:szCs w:val="24"/>
        </w:rPr>
        <w:t>)</w:t>
      </w:r>
      <w:r>
        <w:rPr>
          <w:sz w:val="24"/>
          <w:szCs w:val="24"/>
        </w:rPr>
        <w:t xml:space="preserve"> in people living with gout in primary care</w:t>
      </w:r>
      <w:r w:rsidR="00277C41">
        <w:rPr>
          <w:sz w:val="24"/>
          <w:szCs w:val="24"/>
        </w:rPr>
        <w:t>.</w:t>
      </w:r>
    </w:p>
    <w:p w14:paraId="662A1418" w14:textId="3ED9813B" w:rsidR="00517C78" w:rsidRDefault="004C19B5" w:rsidP="0089345F">
      <w:pPr>
        <w:spacing w:after="0" w:line="480" w:lineRule="auto"/>
        <w:jc w:val="both"/>
        <w:rPr>
          <w:sz w:val="24"/>
          <w:szCs w:val="24"/>
        </w:rPr>
      </w:pPr>
      <w:r w:rsidRPr="00C06EB6">
        <w:rPr>
          <w:b/>
          <w:sz w:val="24"/>
          <w:szCs w:val="24"/>
        </w:rPr>
        <w:t>Methods</w:t>
      </w:r>
      <w:r w:rsidR="00C06EB6" w:rsidRPr="00C06EB6">
        <w:rPr>
          <w:b/>
          <w:sz w:val="24"/>
          <w:szCs w:val="24"/>
        </w:rPr>
        <w:t>.</w:t>
      </w:r>
      <w:r w:rsidR="00CE6935">
        <w:rPr>
          <w:sz w:val="24"/>
          <w:szCs w:val="24"/>
        </w:rPr>
        <w:t xml:space="preserve"> </w:t>
      </w:r>
      <w:r w:rsidR="00044A28">
        <w:rPr>
          <w:sz w:val="24"/>
          <w:szCs w:val="24"/>
        </w:rPr>
        <w:t xml:space="preserve">In a </w:t>
      </w:r>
      <w:r w:rsidR="00526783">
        <w:rPr>
          <w:sz w:val="24"/>
          <w:szCs w:val="24"/>
        </w:rPr>
        <w:t xml:space="preserve">UK </w:t>
      </w:r>
      <w:r w:rsidR="00044A28">
        <w:rPr>
          <w:sz w:val="24"/>
          <w:szCs w:val="24"/>
        </w:rPr>
        <w:t>prospective cohort study</w:t>
      </w:r>
      <w:r w:rsidR="00955D2D">
        <w:rPr>
          <w:sz w:val="24"/>
          <w:szCs w:val="24"/>
        </w:rPr>
        <w:t>,</w:t>
      </w:r>
      <w:r w:rsidR="00044A28">
        <w:rPr>
          <w:sz w:val="24"/>
          <w:szCs w:val="24"/>
        </w:rPr>
        <w:t xml:space="preserve"> ad</w:t>
      </w:r>
      <w:r w:rsidR="00CA7B09" w:rsidRPr="007B2129">
        <w:rPr>
          <w:sz w:val="24"/>
          <w:szCs w:val="24"/>
        </w:rPr>
        <w:t xml:space="preserve">ults with </w:t>
      </w:r>
      <w:r w:rsidR="00526783">
        <w:rPr>
          <w:sz w:val="24"/>
          <w:szCs w:val="24"/>
        </w:rPr>
        <w:t xml:space="preserve">a diagnosis of </w:t>
      </w:r>
      <w:r w:rsidR="00CA7B09" w:rsidRPr="007B2129">
        <w:rPr>
          <w:sz w:val="24"/>
          <w:szCs w:val="24"/>
        </w:rPr>
        <w:t xml:space="preserve">gout registered with 20 general practices </w:t>
      </w:r>
      <w:r w:rsidR="00277C41" w:rsidRPr="00277C41">
        <w:rPr>
          <w:sz w:val="24"/>
          <w:szCs w:val="24"/>
        </w:rPr>
        <w:t xml:space="preserve">completed </w:t>
      </w:r>
      <w:r w:rsidR="00044A28">
        <w:rPr>
          <w:sz w:val="24"/>
          <w:szCs w:val="24"/>
        </w:rPr>
        <w:t xml:space="preserve">the </w:t>
      </w:r>
      <w:r w:rsidR="00277C41" w:rsidRPr="00277C41">
        <w:rPr>
          <w:sz w:val="24"/>
          <w:szCs w:val="24"/>
        </w:rPr>
        <w:t>Go</w:t>
      </w:r>
      <w:r w:rsidR="008D228C">
        <w:rPr>
          <w:sz w:val="24"/>
          <w:szCs w:val="24"/>
        </w:rPr>
        <w:t>ut Impact Scale (GIS)</w:t>
      </w:r>
      <w:r w:rsidR="005D031E">
        <w:rPr>
          <w:sz w:val="24"/>
          <w:szCs w:val="24"/>
        </w:rPr>
        <w:t xml:space="preserve"> (scale 0-100)</w:t>
      </w:r>
      <w:r w:rsidR="00241532">
        <w:rPr>
          <w:sz w:val="24"/>
          <w:szCs w:val="24"/>
        </w:rPr>
        <w:t>,</w:t>
      </w:r>
      <w:r w:rsidR="008D228C">
        <w:rPr>
          <w:sz w:val="24"/>
          <w:szCs w:val="24"/>
        </w:rPr>
        <w:t xml:space="preserve"> </w:t>
      </w:r>
      <w:r w:rsidR="00AE33B4">
        <w:rPr>
          <w:sz w:val="24"/>
          <w:szCs w:val="24"/>
        </w:rPr>
        <w:t>Short-Form</w:t>
      </w:r>
      <w:r w:rsidR="00241532">
        <w:rPr>
          <w:sz w:val="24"/>
          <w:szCs w:val="24"/>
        </w:rPr>
        <w:t>-36</w:t>
      </w:r>
      <w:r w:rsidR="00AE33B4">
        <w:rPr>
          <w:sz w:val="24"/>
          <w:szCs w:val="24"/>
        </w:rPr>
        <w:t xml:space="preserve"> </w:t>
      </w:r>
      <w:r w:rsidR="00277C41" w:rsidRPr="00BF41FF">
        <w:rPr>
          <w:sz w:val="24"/>
          <w:szCs w:val="24"/>
        </w:rPr>
        <w:t xml:space="preserve">Physical Function subscale (PF10) </w:t>
      </w:r>
      <w:r w:rsidR="005470FE">
        <w:rPr>
          <w:sz w:val="24"/>
          <w:szCs w:val="24"/>
        </w:rPr>
        <w:t xml:space="preserve">(0-100) </w:t>
      </w:r>
      <w:r w:rsidR="00277C41" w:rsidRPr="00277C41">
        <w:rPr>
          <w:sz w:val="24"/>
          <w:szCs w:val="24"/>
        </w:rPr>
        <w:t xml:space="preserve">and </w:t>
      </w:r>
      <w:r w:rsidR="00280D3C">
        <w:rPr>
          <w:sz w:val="24"/>
          <w:szCs w:val="24"/>
        </w:rPr>
        <w:t>H</w:t>
      </w:r>
      <w:r w:rsidR="00277C41" w:rsidRPr="00277C41">
        <w:rPr>
          <w:sz w:val="24"/>
          <w:szCs w:val="24"/>
        </w:rPr>
        <w:t xml:space="preserve">ealth </w:t>
      </w:r>
      <w:r w:rsidR="00280D3C">
        <w:rPr>
          <w:sz w:val="24"/>
          <w:szCs w:val="24"/>
        </w:rPr>
        <w:t>A</w:t>
      </w:r>
      <w:r w:rsidR="00277C41" w:rsidRPr="00277C41">
        <w:rPr>
          <w:sz w:val="24"/>
          <w:szCs w:val="24"/>
        </w:rPr>
        <w:t xml:space="preserve">ssessment </w:t>
      </w:r>
      <w:r w:rsidR="00280D3C">
        <w:rPr>
          <w:sz w:val="24"/>
          <w:szCs w:val="24"/>
        </w:rPr>
        <w:t>Q</w:t>
      </w:r>
      <w:r w:rsidR="00277C41" w:rsidRPr="00277C41">
        <w:rPr>
          <w:sz w:val="24"/>
          <w:szCs w:val="24"/>
        </w:rPr>
        <w:t xml:space="preserve">uestionnaire </w:t>
      </w:r>
      <w:r w:rsidR="00280D3C">
        <w:rPr>
          <w:sz w:val="24"/>
          <w:szCs w:val="24"/>
        </w:rPr>
        <w:t>D</w:t>
      </w:r>
      <w:r w:rsidR="00277C41" w:rsidRPr="00277C41">
        <w:rPr>
          <w:sz w:val="24"/>
          <w:szCs w:val="24"/>
        </w:rPr>
        <w:t xml:space="preserve">isability </w:t>
      </w:r>
      <w:r w:rsidR="00280D3C">
        <w:rPr>
          <w:sz w:val="24"/>
          <w:szCs w:val="24"/>
        </w:rPr>
        <w:t>I</w:t>
      </w:r>
      <w:r w:rsidR="00277C41" w:rsidRPr="00277C41">
        <w:rPr>
          <w:sz w:val="24"/>
          <w:szCs w:val="24"/>
        </w:rPr>
        <w:t xml:space="preserve">ndex (HAQ-DI) </w:t>
      </w:r>
      <w:r w:rsidR="005470FE">
        <w:rPr>
          <w:sz w:val="24"/>
          <w:szCs w:val="24"/>
        </w:rPr>
        <w:t xml:space="preserve">(0-3) </w:t>
      </w:r>
      <w:r w:rsidR="00277C41" w:rsidRPr="00277C41">
        <w:rPr>
          <w:sz w:val="24"/>
          <w:szCs w:val="24"/>
        </w:rPr>
        <w:t>via postal questionnaire</w:t>
      </w:r>
      <w:r w:rsidR="00044A28">
        <w:rPr>
          <w:sz w:val="24"/>
          <w:szCs w:val="24"/>
        </w:rPr>
        <w:t xml:space="preserve">s at baseline and </w:t>
      </w:r>
      <w:r w:rsidR="00241532">
        <w:rPr>
          <w:sz w:val="24"/>
          <w:szCs w:val="24"/>
        </w:rPr>
        <w:t>6, 12, 24 and 36 months.</w:t>
      </w:r>
      <w:r w:rsidR="00277C41" w:rsidRPr="00277C41">
        <w:rPr>
          <w:sz w:val="24"/>
          <w:szCs w:val="24"/>
        </w:rPr>
        <w:t xml:space="preserve">  Linear mixed </w:t>
      </w:r>
      <w:r w:rsidR="00280D3C">
        <w:rPr>
          <w:sz w:val="24"/>
          <w:szCs w:val="24"/>
        </w:rPr>
        <w:t>modelling was</w:t>
      </w:r>
      <w:r w:rsidR="00277C41" w:rsidRPr="00277C41">
        <w:rPr>
          <w:sz w:val="24"/>
          <w:szCs w:val="24"/>
        </w:rPr>
        <w:t xml:space="preserve"> used to </w:t>
      </w:r>
      <w:r w:rsidR="004871F7">
        <w:rPr>
          <w:sz w:val="24"/>
          <w:szCs w:val="24"/>
        </w:rPr>
        <w:t>investigate</w:t>
      </w:r>
      <w:r w:rsidR="00277C41" w:rsidRPr="00277C41">
        <w:rPr>
          <w:sz w:val="24"/>
          <w:szCs w:val="24"/>
        </w:rPr>
        <w:t xml:space="preserve"> factors associated with change in </w:t>
      </w:r>
      <w:r w:rsidR="00D06F70">
        <w:rPr>
          <w:sz w:val="24"/>
          <w:szCs w:val="24"/>
        </w:rPr>
        <w:t>HRQOL</w:t>
      </w:r>
      <w:r w:rsidR="00556E9A">
        <w:rPr>
          <w:sz w:val="24"/>
          <w:szCs w:val="24"/>
        </w:rPr>
        <w:t xml:space="preserve"> over three years</w:t>
      </w:r>
      <w:r w:rsidR="00277C41" w:rsidRPr="00277C41">
        <w:rPr>
          <w:sz w:val="24"/>
          <w:szCs w:val="24"/>
        </w:rPr>
        <w:t>.</w:t>
      </w:r>
      <w:r w:rsidR="00C06EB6">
        <w:rPr>
          <w:sz w:val="24"/>
          <w:szCs w:val="24"/>
        </w:rPr>
        <w:t xml:space="preserve">  </w:t>
      </w:r>
    </w:p>
    <w:p w14:paraId="4CC74154" w14:textId="71FB644B" w:rsidR="004F1067" w:rsidRPr="006B42EC" w:rsidRDefault="004C19B5" w:rsidP="007A3F83">
      <w:pPr>
        <w:spacing w:after="0" w:line="480" w:lineRule="auto"/>
        <w:jc w:val="both"/>
        <w:rPr>
          <w:sz w:val="24"/>
          <w:szCs w:val="24"/>
        </w:rPr>
      </w:pPr>
      <w:r w:rsidRPr="00C06EB6">
        <w:rPr>
          <w:b/>
          <w:sz w:val="24"/>
          <w:szCs w:val="24"/>
        </w:rPr>
        <w:t>Results</w:t>
      </w:r>
      <w:r w:rsidR="00C06EB6" w:rsidRPr="00C06EB6">
        <w:rPr>
          <w:b/>
          <w:sz w:val="24"/>
          <w:szCs w:val="24"/>
        </w:rPr>
        <w:t>.</w:t>
      </w:r>
      <w:r w:rsidR="00FD244D">
        <w:rPr>
          <w:sz w:val="24"/>
          <w:szCs w:val="24"/>
        </w:rPr>
        <w:t xml:space="preserve">   </w:t>
      </w:r>
      <w:r w:rsidR="007A3F83" w:rsidRPr="00CE6935">
        <w:rPr>
          <w:sz w:val="24"/>
          <w:szCs w:val="24"/>
        </w:rPr>
        <w:t xml:space="preserve">1184 participants responded </w:t>
      </w:r>
      <w:r w:rsidR="00044A28">
        <w:rPr>
          <w:sz w:val="24"/>
          <w:szCs w:val="24"/>
        </w:rPr>
        <w:t>at</w:t>
      </w:r>
      <w:r w:rsidR="007A3F83" w:rsidRPr="00CE6935">
        <w:rPr>
          <w:sz w:val="24"/>
          <w:szCs w:val="24"/>
        </w:rPr>
        <w:t xml:space="preserve"> </w:t>
      </w:r>
      <w:r w:rsidR="00241532">
        <w:rPr>
          <w:sz w:val="24"/>
          <w:szCs w:val="24"/>
        </w:rPr>
        <w:t xml:space="preserve">baseline </w:t>
      </w:r>
      <w:r w:rsidR="007A3F83" w:rsidRPr="00CE6935">
        <w:rPr>
          <w:sz w:val="24"/>
          <w:szCs w:val="24"/>
        </w:rPr>
        <w:t xml:space="preserve">(adjusted response </w:t>
      </w:r>
      <w:r w:rsidR="007A3F83" w:rsidRPr="009876E8">
        <w:rPr>
          <w:sz w:val="24"/>
          <w:szCs w:val="24"/>
        </w:rPr>
        <w:t>65.6</w:t>
      </w:r>
      <w:r w:rsidR="007A3F83" w:rsidRPr="00CE6935">
        <w:rPr>
          <w:sz w:val="24"/>
          <w:szCs w:val="24"/>
        </w:rPr>
        <w:t>%</w:t>
      </w:r>
      <w:r w:rsidR="00CE6935">
        <w:rPr>
          <w:sz w:val="24"/>
          <w:szCs w:val="24"/>
        </w:rPr>
        <w:t>)</w:t>
      </w:r>
      <w:r w:rsidR="00241532">
        <w:rPr>
          <w:sz w:val="24"/>
          <w:szCs w:val="24"/>
        </w:rPr>
        <w:t>;</w:t>
      </w:r>
      <w:r w:rsidR="00CE6935" w:rsidRPr="00CE6935">
        <w:rPr>
          <w:sz w:val="24"/>
          <w:szCs w:val="24"/>
        </w:rPr>
        <w:t xml:space="preserve"> 990 (</w:t>
      </w:r>
      <w:r w:rsidR="005A5A3E">
        <w:rPr>
          <w:sz w:val="24"/>
          <w:szCs w:val="24"/>
        </w:rPr>
        <w:t>83.6</w:t>
      </w:r>
      <w:r w:rsidR="00CE6935" w:rsidRPr="00CE6935">
        <w:rPr>
          <w:sz w:val="24"/>
          <w:szCs w:val="24"/>
        </w:rPr>
        <w:t xml:space="preserve">%) </w:t>
      </w:r>
      <w:r w:rsidR="009F2D74">
        <w:rPr>
          <w:sz w:val="24"/>
          <w:szCs w:val="24"/>
        </w:rPr>
        <w:t xml:space="preserve">were </w:t>
      </w:r>
      <w:r w:rsidR="00CE6935" w:rsidRPr="00CE6935">
        <w:rPr>
          <w:sz w:val="24"/>
          <w:szCs w:val="24"/>
        </w:rPr>
        <w:t>male, mean (SD) age</w:t>
      </w:r>
      <w:r w:rsidR="004C40EC">
        <w:rPr>
          <w:sz w:val="24"/>
          <w:szCs w:val="24"/>
        </w:rPr>
        <w:t xml:space="preserve"> </w:t>
      </w:r>
      <w:r w:rsidR="00CE6935" w:rsidRPr="00CE6935">
        <w:rPr>
          <w:sz w:val="24"/>
          <w:szCs w:val="24"/>
        </w:rPr>
        <w:t>65.6 (12.5) years</w:t>
      </w:r>
      <w:r w:rsidR="00D06F70" w:rsidRPr="00CE6935">
        <w:rPr>
          <w:sz w:val="24"/>
          <w:szCs w:val="24"/>
        </w:rPr>
        <w:t>.</w:t>
      </w:r>
      <w:r w:rsidR="0097257A" w:rsidRPr="0097257A">
        <w:rPr>
          <w:sz w:val="24"/>
          <w:szCs w:val="24"/>
        </w:rPr>
        <w:t xml:space="preserve"> </w:t>
      </w:r>
      <w:r w:rsidR="0097257A">
        <w:rPr>
          <w:sz w:val="24"/>
          <w:szCs w:val="24"/>
        </w:rPr>
        <w:t xml:space="preserve">818, 721, 696, </w:t>
      </w:r>
      <w:r w:rsidR="00785699">
        <w:rPr>
          <w:sz w:val="24"/>
          <w:szCs w:val="24"/>
        </w:rPr>
        <w:t xml:space="preserve">and </w:t>
      </w:r>
      <w:r w:rsidR="0097257A">
        <w:rPr>
          <w:sz w:val="24"/>
          <w:szCs w:val="24"/>
        </w:rPr>
        <w:t>605</w:t>
      </w:r>
      <w:r w:rsidR="00955D2D">
        <w:rPr>
          <w:sz w:val="24"/>
          <w:szCs w:val="24"/>
        </w:rPr>
        <w:t xml:space="preserve"> </w:t>
      </w:r>
      <w:r w:rsidR="00955D2D" w:rsidRPr="0097257A">
        <w:rPr>
          <w:sz w:val="24"/>
          <w:szCs w:val="24"/>
        </w:rPr>
        <w:t>responded at 6, 12, 24 and 36 months</w:t>
      </w:r>
      <w:r w:rsidR="00785699">
        <w:rPr>
          <w:sz w:val="24"/>
          <w:szCs w:val="24"/>
        </w:rPr>
        <w:t>, respectively</w:t>
      </w:r>
      <w:r w:rsidR="00955D2D" w:rsidRPr="0097257A">
        <w:rPr>
          <w:sz w:val="24"/>
          <w:szCs w:val="24"/>
        </w:rPr>
        <w:t>.</w:t>
      </w:r>
      <w:r w:rsidR="00D06F70" w:rsidRPr="0097257A">
        <w:rPr>
          <w:sz w:val="24"/>
          <w:szCs w:val="24"/>
        </w:rPr>
        <w:t xml:space="preserve">  </w:t>
      </w:r>
      <w:r w:rsidR="004F1067" w:rsidRPr="00CE6935">
        <w:rPr>
          <w:sz w:val="24"/>
          <w:szCs w:val="24"/>
        </w:rPr>
        <w:t xml:space="preserve">Factors associated with worse disease-specific and generic HRQOL </w:t>
      </w:r>
      <w:r w:rsidR="00080BE3">
        <w:rPr>
          <w:sz w:val="24"/>
          <w:szCs w:val="24"/>
        </w:rPr>
        <w:t>over three years</w:t>
      </w:r>
      <w:r w:rsidR="0012295B">
        <w:rPr>
          <w:sz w:val="24"/>
          <w:szCs w:val="24"/>
        </w:rPr>
        <w:t xml:space="preserve"> </w:t>
      </w:r>
      <w:r w:rsidR="00BF6EB9">
        <w:rPr>
          <w:sz w:val="24"/>
          <w:szCs w:val="24"/>
        </w:rPr>
        <w:t xml:space="preserve">were </w:t>
      </w:r>
      <w:r w:rsidR="006B42EC" w:rsidRPr="00CE6935">
        <w:rPr>
          <w:sz w:val="24"/>
          <w:szCs w:val="24"/>
        </w:rPr>
        <w:t>flare frequency</w:t>
      </w:r>
      <w:r w:rsidR="004F1067" w:rsidRPr="00CE6935">
        <w:rPr>
          <w:sz w:val="24"/>
          <w:szCs w:val="24"/>
        </w:rPr>
        <w:t xml:space="preserve"> (</w:t>
      </w:r>
      <w:r w:rsidR="00D06F70" w:rsidRPr="00CE6935">
        <w:rPr>
          <w:rFonts w:cstheme="minorHAnsi"/>
          <w:sz w:val="24"/>
          <w:szCs w:val="24"/>
        </w:rPr>
        <w:t>≥</w:t>
      </w:r>
      <w:r w:rsidR="00D06F70" w:rsidRPr="00CE6935">
        <w:rPr>
          <w:sz w:val="24"/>
          <w:szCs w:val="24"/>
        </w:rPr>
        <w:t xml:space="preserve">5 flares </w:t>
      </w:r>
      <w:r w:rsidR="006B42EC" w:rsidRPr="00CE6935">
        <w:rPr>
          <w:sz w:val="24"/>
          <w:szCs w:val="24"/>
        </w:rPr>
        <w:t>GIS subscales, PF10</w:t>
      </w:r>
      <w:r w:rsidR="004F1067" w:rsidRPr="00CE6935">
        <w:rPr>
          <w:sz w:val="24"/>
          <w:szCs w:val="24"/>
        </w:rPr>
        <w:t>)</w:t>
      </w:r>
      <w:r w:rsidR="006B42EC" w:rsidRPr="00CE6935">
        <w:rPr>
          <w:sz w:val="24"/>
          <w:szCs w:val="24"/>
        </w:rPr>
        <w:t xml:space="preserve">, </w:t>
      </w:r>
      <w:r w:rsidR="007327CA" w:rsidRPr="00CE6935">
        <w:rPr>
          <w:sz w:val="24"/>
          <w:szCs w:val="24"/>
        </w:rPr>
        <w:t>oligo/polyar</w:t>
      </w:r>
      <w:r w:rsidR="00241532">
        <w:rPr>
          <w:sz w:val="24"/>
          <w:szCs w:val="24"/>
        </w:rPr>
        <w:t>ticular flares (GIS subscales</w:t>
      </w:r>
      <w:r w:rsidR="005D031E">
        <w:rPr>
          <w:sz w:val="24"/>
          <w:szCs w:val="24"/>
        </w:rPr>
        <w:t>,</w:t>
      </w:r>
      <w:r w:rsidR="007327CA" w:rsidRPr="00CE6935">
        <w:rPr>
          <w:sz w:val="24"/>
          <w:szCs w:val="24"/>
        </w:rPr>
        <w:t xml:space="preserve"> </w:t>
      </w:r>
      <w:r w:rsidR="00BF41FF">
        <w:rPr>
          <w:sz w:val="24"/>
          <w:szCs w:val="24"/>
        </w:rPr>
        <w:t>PF</w:t>
      </w:r>
      <w:r w:rsidR="00241532">
        <w:rPr>
          <w:sz w:val="24"/>
          <w:szCs w:val="24"/>
        </w:rPr>
        <w:t>10</w:t>
      </w:r>
      <w:r w:rsidR="00CE2FAC">
        <w:rPr>
          <w:sz w:val="24"/>
          <w:szCs w:val="24"/>
        </w:rPr>
        <w:t xml:space="preserve">, </w:t>
      </w:r>
      <w:r w:rsidR="007327CA" w:rsidRPr="00CE6935">
        <w:rPr>
          <w:sz w:val="24"/>
          <w:szCs w:val="24"/>
        </w:rPr>
        <w:t>HAQ-DI</w:t>
      </w:r>
      <w:r w:rsidR="00241532">
        <w:rPr>
          <w:sz w:val="24"/>
          <w:szCs w:val="24"/>
        </w:rPr>
        <w:t>), worse pain (GIS subscales</w:t>
      </w:r>
      <w:r w:rsidR="00BF41FF">
        <w:rPr>
          <w:sz w:val="24"/>
          <w:szCs w:val="24"/>
        </w:rPr>
        <w:t>, PF</w:t>
      </w:r>
      <w:r w:rsidR="00241532">
        <w:rPr>
          <w:sz w:val="24"/>
          <w:szCs w:val="24"/>
        </w:rPr>
        <w:t>10</w:t>
      </w:r>
      <w:r w:rsidR="007327CA" w:rsidRPr="00CE6935">
        <w:rPr>
          <w:sz w:val="24"/>
          <w:szCs w:val="24"/>
        </w:rPr>
        <w:t>, HAQ-DI</w:t>
      </w:r>
      <w:r w:rsidR="00241532">
        <w:rPr>
          <w:sz w:val="24"/>
          <w:szCs w:val="24"/>
        </w:rPr>
        <w:t>), body pain (GIS subscales</w:t>
      </w:r>
      <w:r w:rsidR="00604742" w:rsidRPr="00CE6935">
        <w:rPr>
          <w:sz w:val="24"/>
          <w:szCs w:val="24"/>
        </w:rPr>
        <w:t xml:space="preserve">, </w:t>
      </w:r>
      <w:r w:rsidR="00BF41FF">
        <w:rPr>
          <w:sz w:val="24"/>
          <w:szCs w:val="24"/>
        </w:rPr>
        <w:t>PF</w:t>
      </w:r>
      <w:r w:rsidR="00241532">
        <w:rPr>
          <w:sz w:val="24"/>
          <w:szCs w:val="24"/>
        </w:rPr>
        <w:t>10, HAQ-DI</w:t>
      </w:r>
      <w:r w:rsidR="007327CA" w:rsidRPr="00CE6935">
        <w:rPr>
          <w:sz w:val="24"/>
          <w:szCs w:val="24"/>
        </w:rPr>
        <w:t>),</w:t>
      </w:r>
      <w:r w:rsidR="00604742" w:rsidRPr="00CE6935">
        <w:rPr>
          <w:sz w:val="24"/>
          <w:szCs w:val="24"/>
        </w:rPr>
        <w:t xml:space="preserve"> and</w:t>
      </w:r>
      <w:r w:rsidR="007327CA" w:rsidRPr="00CE6935">
        <w:rPr>
          <w:sz w:val="24"/>
          <w:szCs w:val="24"/>
        </w:rPr>
        <w:t xml:space="preserve"> more severe depression</w:t>
      </w:r>
      <w:r w:rsidR="00604742" w:rsidRPr="00CE6935">
        <w:rPr>
          <w:sz w:val="24"/>
          <w:szCs w:val="24"/>
        </w:rPr>
        <w:t xml:space="preserve"> </w:t>
      </w:r>
      <w:r w:rsidR="00241532">
        <w:rPr>
          <w:sz w:val="24"/>
          <w:szCs w:val="24"/>
        </w:rPr>
        <w:t>(GIS subscales</w:t>
      </w:r>
      <w:r w:rsidR="007327CA" w:rsidRPr="00CE6935">
        <w:rPr>
          <w:sz w:val="24"/>
          <w:szCs w:val="24"/>
        </w:rPr>
        <w:t>,</w:t>
      </w:r>
      <w:r w:rsidR="00604742" w:rsidRPr="00CE6935">
        <w:rPr>
          <w:sz w:val="24"/>
          <w:szCs w:val="24"/>
        </w:rPr>
        <w:t xml:space="preserve"> </w:t>
      </w:r>
      <w:r w:rsidR="007327CA" w:rsidRPr="00CE6935">
        <w:rPr>
          <w:sz w:val="24"/>
          <w:szCs w:val="24"/>
        </w:rPr>
        <w:t>PF10</w:t>
      </w:r>
      <w:r w:rsidR="00BE1CA4">
        <w:rPr>
          <w:sz w:val="24"/>
          <w:szCs w:val="24"/>
        </w:rPr>
        <w:t>, HAQ-DI</w:t>
      </w:r>
      <w:r w:rsidR="007327CA" w:rsidRPr="00CE6935">
        <w:rPr>
          <w:sz w:val="24"/>
          <w:szCs w:val="24"/>
        </w:rPr>
        <w:t>)</w:t>
      </w:r>
      <w:r w:rsidR="00FE4D6F">
        <w:rPr>
          <w:sz w:val="24"/>
          <w:szCs w:val="24"/>
        </w:rPr>
        <w:t xml:space="preserve"> </w:t>
      </w:r>
      <w:r w:rsidR="00FE4D6F" w:rsidRPr="000A5B76">
        <w:rPr>
          <w:sz w:val="24"/>
          <w:szCs w:val="24"/>
        </w:rPr>
        <w:t>(</w:t>
      </w:r>
      <w:r w:rsidR="00FE4D6F" w:rsidRPr="00607B24">
        <w:rPr>
          <w:color w:val="000000" w:themeColor="text1"/>
          <w:sz w:val="24"/>
          <w:szCs w:val="24"/>
        </w:rPr>
        <w:t>p-value </w:t>
      </w:r>
      <w:r w:rsidR="00FE4D6F" w:rsidRPr="00607B24">
        <w:rPr>
          <w:bCs/>
          <w:color w:val="000000" w:themeColor="text1"/>
          <w:sz w:val="24"/>
          <w:szCs w:val="24"/>
        </w:rPr>
        <w:t>≤ 0.05</w:t>
      </w:r>
      <w:r w:rsidR="00FE4D6F" w:rsidRPr="000A5B76">
        <w:rPr>
          <w:sz w:val="24"/>
          <w:szCs w:val="24"/>
        </w:rPr>
        <w:t>)</w:t>
      </w:r>
      <w:r w:rsidR="007327CA" w:rsidRPr="000A5B76">
        <w:rPr>
          <w:sz w:val="24"/>
          <w:szCs w:val="24"/>
        </w:rPr>
        <w:t>.</w:t>
      </w:r>
      <w:r w:rsidR="007327CA">
        <w:rPr>
          <w:sz w:val="24"/>
          <w:szCs w:val="24"/>
        </w:rPr>
        <w:t xml:space="preserve">  </w:t>
      </w:r>
      <w:r w:rsidR="00363DFC">
        <w:rPr>
          <w:sz w:val="24"/>
          <w:szCs w:val="24"/>
        </w:rPr>
        <w:t xml:space="preserve"> </w:t>
      </w:r>
      <w:r w:rsidR="0075622C" w:rsidRPr="0075622C">
        <w:rPr>
          <w:sz w:val="24"/>
          <w:szCs w:val="24"/>
        </w:rPr>
        <w:t>More severe anxiety was associated with worse disease-specific HRQOL only (GIS subscales).</w:t>
      </w:r>
      <w:r w:rsidR="0075622C">
        <w:rPr>
          <w:sz w:val="24"/>
          <w:szCs w:val="24"/>
        </w:rPr>
        <w:t xml:space="preserve">  </w:t>
      </w:r>
      <w:r w:rsidR="00955D2D">
        <w:rPr>
          <w:sz w:val="24"/>
          <w:szCs w:val="24"/>
        </w:rPr>
        <w:t>O</w:t>
      </w:r>
      <w:r w:rsidR="00443E44" w:rsidRPr="00443E44">
        <w:rPr>
          <w:sz w:val="24"/>
          <w:szCs w:val="24"/>
        </w:rPr>
        <w:t>lder age (PF10), being female (PF10, HAQ-DI</w:t>
      </w:r>
      <w:r w:rsidR="00955D2D">
        <w:rPr>
          <w:sz w:val="24"/>
          <w:szCs w:val="24"/>
        </w:rPr>
        <w:t>) and</w:t>
      </w:r>
      <w:r w:rsidR="00443E44" w:rsidRPr="00443E44">
        <w:rPr>
          <w:sz w:val="24"/>
          <w:szCs w:val="24"/>
        </w:rPr>
        <w:t xml:space="preserve"> BMI (HAQ-DI</w:t>
      </w:r>
      <w:r w:rsidR="00046C20">
        <w:rPr>
          <w:sz w:val="24"/>
          <w:szCs w:val="24"/>
        </w:rPr>
        <w:t>)</w:t>
      </w:r>
      <w:r w:rsidR="00955D2D">
        <w:rPr>
          <w:sz w:val="24"/>
          <w:szCs w:val="24"/>
        </w:rPr>
        <w:t xml:space="preserve"> were associated with worse generic HRQOL</w:t>
      </w:r>
      <w:r w:rsidR="00FE4D6F">
        <w:rPr>
          <w:sz w:val="24"/>
          <w:szCs w:val="24"/>
        </w:rPr>
        <w:t xml:space="preserve"> </w:t>
      </w:r>
      <w:r w:rsidR="00FE4D6F" w:rsidRPr="000310DD">
        <w:rPr>
          <w:sz w:val="24"/>
          <w:szCs w:val="24"/>
        </w:rPr>
        <w:t>(</w:t>
      </w:r>
      <w:r w:rsidR="00FE4D6F" w:rsidRPr="00607B24">
        <w:rPr>
          <w:color w:val="000000" w:themeColor="text1"/>
          <w:sz w:val="24"/>
          <w:szCs w:val="24"/>
        </w:rPr>
        <w:t>p-value </w:t>
      </w:r>
      <w:r w:rsidR="00FE4D6F" w:rsidRPr="00607B24">
        <w:rPr>
          <w:bCs/>
          <w:color w:val="000000" w:themeColor="text1"/>
          <w:sz w:val="24"/>
          <w:szCs w:val="24"/>
        </w:rPr>
        <w:t>≤ 0.05</w:t>
      </w:r>
      <w:r w:rsidR="00FE4D6F">
        <w:rPr>
          <w:sz w:val="24"/>
          <w:szCs w:val="24"/>
        </w:rPr>
        <w:t>)</w:t>
      </w:r>
      <w:r w:rsidR="00443E44">
        <w:rPr>
          <w:sz w:val="24"/>
          <w:szCs w:val="24"/>
        </w:rPr>
        <w:t>.</w:t>
      </w:r>
      <w:r w:rsidR="00BE1CA4">
        <w:rPr>
          <w:sz w:val="24"/>
          <w:szCs w:val="24"/>
        </w:rPr>
        <w:t xml:space="preserve"> </w:t>
      </w:r>
    </w:p>
    <w:p w14:paraId="7F004C08" w14:textId="760EEFB7" w:rsidR="002C4507" w:rsidRPr="005470FE" w:rsidRDefault="004C19B5" w:rsidP="00DF0509">
      <w:pPr>
        <w:spacing w:after="0" w:line="480" w:lineRule="auto"/>
        <w:jc w:val="both"/>
        <w:rPr>
          <w:sz w:val="24"/>
          <w:szCs w:val="24"/>
        </w:rPr>
      </w:pPr>
      <w:r w:rsidRPr="00D357B0">
        <w:rPr>
          <w:b/>
          <w:sz w:val="24"/>
          <w:szCs w:val="24"/>
        </w:rPr>
        <w:t>Conclusion</w:t>
      </w:r>
      <w:r w:rsidR="00D357B0" w:rsidRPr="00D357B0">
        <w:rPr>
          <w:b/>
          <w:sz w:val="24"/>
          <w:szCs w:val="24"/>
        </w:rPr>
        <w:t>.</w:t>
      </w:r>
      <w:r w:rsidR="00DF0509" w:rsidRPr="00DF0509">
        <w:rPr>
          <w:sz w:val="24"/>
          <w:szCs w:val="24"/>
        </w:rPr>
        <w:t xml:space="preserve"> Gout-specific, comorbid and socio-demographic factors</w:t>
      </w:r>
      <w:r w:rsidR="00241532">
        <w:rPr>
          <w:sz w:val="24"/>
          <w:szCs w:val="24"/>
        </w:rPr>
        <w:t xml:space="preserve"> were</w:t>
      </w:r>
      <w:r w:rsidR="00DF0509" w:rsidRPr="00DF0509">
        <w:rPr>
          <w:sz w:val="24"/>
          <w:szCs w:val="24"/>
        </w:rPr>
        <w:t xml:space="preserve"> associated with change in HRQOL over a three-year period highlighting people at risk of worse outcomes </w:t>
      </w:r>
      <w:r w:rsidR="00241532">
        <w:rPr>
          <w:sz w:val="24"/>
          <w:szCs w:val="24"/>
        </w:rPr>
        <w:t xml:space="preserve">who could be </w:t>
      </w:r>
      <w:r w:rsidR="00DF0509" w:rsidRPr="00DF0509">
        <w:rPr>
          <w:sz w:val="24"/>
          <w:szCs w:val="24"/>
        </w:rPr>
        <w:t xml:space="preserve">targeted </w:t>
      </w:r>
      <w:r w:rsidR="00363DFC">
        <w:rPr>
          <w:sz w:val="24"/>
          <w:szCs w:val="24"/>
        </w:rPr>
        <w:t xml:space="preserve">for </w:t>
      </w:r>
      <w:r w:rsidR="00DF0509" w:rsidRPr="00DF0509">
        <w:rPr>
          <w:sz w:val="24"/>
          <w:szCs w:val="24"/>
        </w:rPr>
        <w:t>interventions.</w:t>
      </w:r>
      <w:r w:rsidR="005470FE">
        <w:rPr>
          <w:sz w:val="24"/>
          <w:szCs w:val="24"/>
        </w:rPr>
        <w:t xml:space="preserve">              </w:t>
      </w:r>
    </w:p>
    <w:p w14:paraId="3D5BA4A4" w14:textId="76DB7446" w:rsidR="002C4507" w:rsidRDefault="00FB6CED" w:rsidP="0089345F">
      <w:pPr>
        <w:spacing w:after="0" w:line="480" w:lineRule="auto"/>
        <w:jc w:val="both"/>
        <w:rPr>
          <w:sz w:val="24"/>
          <w:szCs w:val="24"/>
        </w:rPr>
      </w:pPr>
      <w:r w:rsidRPr="00FB6CED">
        <w:rPr>
          <w:b/>
          <w:sz w:val="24"/>
          <w:szCs w:val="24"/>
        </w:rPr>
        <w:t>Key words</w:t>
      </w:r>
      <w:r>
        <w:rPr>
          <w:sz w:val="24"/>
          <w:szCs w:val="24"/>
        </w:rPr>
        <w:t xml:space="preserve"> </w:t>
      </w:r>
      <w:r w:rsidR="00D86070">
        <w:rPr>
          <w:sz w:val="24"/>
          <w:szCs w:val="24"/>
        </w:rPr>
        <w:t>Gout, Health-related quality of life, primary care, prospective cohort study</w:t>
      </w:r>
    </w:p>
    <w:p w14:paraId="528C27D7" w14:textId="772E09E3" w:rsidR="00E036E6" w:rsidRDefault="00E036E6" w:rsidP="0089345F">
      <w:pPr>
        <w:spacing w:after="0" w:line="480" w:lineRule="auto"/>
        <w:jc w:val="both"/>
        <w:rPr>
          <w:sz w:val="24"/>
          <w:szCs w:val="24"/>
        </w:rPr>
      </w:pPr>
    </w:p>
    <w:p w14:paraId="3C3E4F96" w14:textId="7840497B" w:rsidR="00E036E6" w:rsidRDefault="00E036E6" w:rsidP="0089345F">
      <w:pPr>
        <w:spacing w:after="0" w:line="480" w:lineRule="auto"/>
        <w:jc w:val="both"/>
        <w:rPr>
          <w:sz w:val="24"/>
          <w:szCs w:val="24"/>
        </w:rPr>
      </w:pPr>
    </w:p>
    <w:p w14:paraId="554FDB29" w14:textId="77777777" w:rsidR="002C60A0" w:rsidRDefault="002C60A0" w:rsidP="0089345F">
      <w:pPr>
        <w:spacing w:after="0" w:line="480" w:lineRule="auto"/>
        <w:jc w:val="both"/>
        <w:rPr>
          <w:sz w:val="24"/>
          <w:szCs w:val="24"/>
        </w:rPr>
      </w:pPr>
    </w:p>
    <w:p w14:paraId="0C6DB8A4" w14:textId="77777777" w:rsidR="00E036E6" w:rsidRDefault="00E036E6" w:rsidP="0089345F">
      <w:pPr>
        <w:spacing w:after="0" w:line="480" w:lineRule="auto"/>
        <w:jc w:val="both"/>
        <w:rPr>
          <w:sz w:val="24"/>
          <w:szCs w:val="24"/>
        </w:rPr>
      </w:pPr>
    </w:p>
    <w:p w14:paraId="2EF5B601" w14:textId="1C791540" w:rsidR="0073548C" w:rsidRPr="005470FE" w:rsidRDefault="0073548C" w:rsidP="0089345F">
      <w:pPr>
        <w:spacing w:after="0" w:line="480" w:lineRule="auto"/>
        <w:jc w:val="both"/>
        <w:rPr>
          <w:sz w:val="24"/>
          <w:szCs w:val="24"/>
        </w:rPr>
      </w:pPr>
      <w:r w:rsidRPr="00B9602D">
        <w:rPr>
          <w:b/>
          <w:sz w:val="24"/>
          <w:szCs w:val="24"/>
        </w:rPr>
        <w:lastRenderedPageBreak/>
        <w:t>Introduction</w:t>
      </w:r>
    </w:p>
    <w:p w14:paraId="40B22363" w14:textId="0A74D08A" w:rsidR="00A907E6" w:rsidRPr="00533CDB" w:rsidRDefault="00155208" w:rsidP="0089345F">
      <w:pPr>
        <w:spacing w:after="0" w:line="480" w:lineRule="auto"/>
        <w:jc w:val="both"/>
        <w:rPr>
          <w:sz w:val="24"/>
          <w:szCs w:val="24"/>
        </w:rPr>
      </w:pPr>
      <w:r w:rsidRPr="3A2FF77D">
        <w:rPr>
          <w:sz w:val="24"/>
          <w:szCs w:val="24"/>
        </w:rPr>
        <w:t xml:space="preserve">Gout is </w:t>
      </w:r>
      <w:r w:rsidR="00CB56FE" w:rsidRPr="3A2FF77D">
        <w:rPr>
          <w:sz w:val="24"/>
          <w:szCs w:val="24"/>
        </w:rPr>
        <w:t>a</w:t>
      </w:r>
      <w:r w:rsidRPr="3A2FF77D">
        <w:rPr>
          <w:sz w:val="24"/>
          <w:szCs w:val="24"/>
        </w:rPr>
        <w:t xml:space="preserve"> common inflammatory arthritis affecting </w:t>
      </w:r>
      <w:r w:rsidR="00657779" w:rsidRPr="3A2FF77D">
        <w:rPr>
          <w:sz w:val="24"/>
          <w:szCs w:val="24"/>
        </w:rPr>
        <w:t xml:space="preserve">2.5% of the UK </w:t>
      </w:r>
      <w:r w:rsidR="00B307C0" w:rsidRPr="3A2FF77D">
        <w:rPr>
          <w:sz w:val="24"/>
          <w:szCs w:val="24"/>
        </w:rPr>
        <w:t xml:space="preserve">population [1] </w:t>
      </w:r>
      <w:r w:rsidR="002D5CA0" w:rsidRPr="3A2FF77D">
        <w:rPr>
          <w:sz w:val="24"/>
          <w:szCs w:val="24"/>
        </w:rPr>
        <w:t>but is</w:t>
      </w:r>
      <w:r w:rsidR="00657779" w:rsidRPr="3A2FF77D">
        <w:rPr>
          <w:sz w:val="24"/>
          <w:szCs w:val="24"/>
        </w:rPr>
        <w:t xml:space="preserve"> often sub-optimally managed</w:t>
      </w:r>
      <w:r w:rsidR="00131FA8" w:rsidRPr="3A2FF77D">
        <w:rPr>
          <w:sz w:val="24"/>
          <w:szCs w:val="24"/>
        </w:rPr>
        <w:t xml:space="preserve"> </w:t>
      </w:r>
      <w:r w:rsidR="00B307C0" w:rsidRPr="3A2FF77D">
        <w:rPr>
          <w:sz w:val="24"/>
          <w:szCs w:val="24"/>
        </w:rPr>
        <w:t>[2</w:t>
      </w:r>
      <w:r w:rsidR="009D5220" w:rsidRPr="3A2FF77D">
        <w:rPr>
          <w:sz w:val="24"/>
          <w:szCs w:val="24"/>
        </w:rPr>
        <w:t>-</w:t>
      </w:r>
      <w:r w:rsidR="00B307C0" w:rsidRPr="3A2FF77D">
        <w:rPr>
          <w:sz w:val="24"/>
          <w:szCs w:val="24"/>
        </w:rPr>
        <w:t>3]</w:t>
      </w:r>
      <w:r w:rsidR="002D5CA0" w:rsidRPr="3A2FF77D">
        <w:rPr>
          <w:sz w:val="24"/>
          <w:szCs w:val="24"/>
        </w:rPr>
        <w:t>, despite the availability of effective urate</w:t>
      </w:r>
      <w:r w:rsidR="00785699" w:rsidRPr="3A2FF77D">
        <w:rPr>
          <w:sz w:val="24"/>
          <w:szCs w:val="24"/>
        </w:rPr>
        <w:t>-</w:t>
      </w:r>
      <w:r w:rsidR="002D5CA0" w:rsidRPr="3A2FF77D">
        <w:rPr>
          <w:sz w:val="24"/>
          <w:szCs w:val="24"/>
        </w:rPr>
        <w:t>lowering therapy</w:t>
      </w:r>
      <w:r w:rsidR="00CB1B33" w:rsidRPr="3A2FF77D">
        <w:rPr>
          <w:sz w:val="24"/>
          <w:szCs w:val="24"/>
        </w:rPr>
        <w:t>.</w:t>
      </w:r>
      <w:r w:rsidR="00A907E6" w:rsidRPr="3A2FF77D">
        <w:rPr>
          <w:sz w:val="24"/>
          <w:szCs w:val="24"/>
        </w:rPr>
        <w:t xml:space="preserve"> </w:t>
      </w:r>
      <w:r w:rsidR="002757E3" w:rsidRPr="3A2FF77D">
        <w:rPr>
          <w:sz w:val="24"/>
          <w:szCs w:val="24"/>
        </w:rPr>
        <w:t xml:space="preserve">Health-related quality of life (HRQOL) </w:t>
      </w:r>
      <w:r w:rsidR="00A907E6" w:rsidRPr="3A2FF77D">
        <w:rPr>
          <w:sz w:val="24"/>
          <w:szCs w:val="24"/>
        </w:rPr>
        <w:t>and activity limitation have been highlighted as essential outcome domains for chronic gout by Outcome Measures in Rheumatology Clinical Trials (OMERACT).[</w:t>
      </w:r>
      <w:r w:rsidR="00833647" w:rsidRPr="3A2FF77D">
        <w:rPr>
          <w:sz w:val="24"/>
          <w:szCs w:val="24"/>
        </w:rPr>
        <w:t>4</w:t>
      </w:r>
      <w:r w:rsidR="00A907E6" w:rsidRPr="3A2FF77D">
        <w:rPr>
          <w:sz w:val="24"/>
          <w:szCs w:val="24"/>
        </w:rPr>
        <w:t>]</w:t>
      </w:r>
      <w:r w:rsidR="003C5669" w:rsidRPr="3A2FF77D">
        <w:rPr>
          <w:sz w:val="24"/>
          <w:szCs w:val="24"/>
        </w:rPr>
        <w:t xml:space="preserve"> </w:t>
      </w:r>
      <w:r w:rsidR="00E034D8" w:rsidRPr="3A2FF77D">
        <w:rPr>
          <w:sz w:val="24"/>
          <w:szCs w:val="24"/>
        </w:rPr>
        <w:t>HRQOL is impaired in people living with gout in comparison to population normative values</w:t>
      </w:r>
      <w:r w:rsidR="00E034D8" w:rsidRPr="3A2FF77D">
        <w:rPr>
          <w:rFonts w:eastAsia="Calibri" w:cs="Times New Roman"/>
          <w:sz w:val="24"/>
          <w:szCs w:val="24"/>
        </w:rPr>
        <w:t xml:space="preserve"> [5-</w:t>
      </w:r>
      <w:r w:rsidR="00DE42ED">
        <w:rPr>
          <w:rFonts w:eastAsia="Calibri" w:cs="Times New Roman"/>
          <w:sz w:val="24"/>
          <w:szCs w:val="24"/>
        </w:rPr>
        <w:t>9</w:t>
      </w:r>
      <w:r w:rsidR="00E034D8" w:rsidRPr="3A2FF77D">
        <w:rPr>
          <w:rFonts w:eastAsia="Calibri" w:cs="Times New Roman"/>
          <w:sz w:val="24"/>
          <w:szCs w:val="24"/>
        </w:rPr>
        <w:t>] and age and sex-matched controls</w:t>
      </w:r>
      <w:r w:rsidR="00E034D8" w:rsidRPr="3A2FF77D">
        <w:rPr>
          <w:sz w:val="24"/>
          <w:szCs w:val="24"/>
        </w:rPr>
        <w:t>.[</w:t>
      </w:r>
      <w:r w:rsidR="00DE42ED">
        <w:rPr>
          <w:sz w:val="24"/>
          <w:szCs w:val="24"/>
        </w:rPr>
        <w:t>10</w:t>
      </w:r>
      <w:r w:rsidR="00E034D8" w:rsidRPr="3A2FF77D">
        <w:rPr>
          <w:sz w:val="24"/>
          <w:szCs w:val="24"/>
        </w:rPr>
        <w:t xml:space="preserve">-11] </w:t>
      </w:r>
    </w:p>
    <w:p w14:paraId="5A9343AE" w14:textId="23A2EF71" w:rsidR="00AF44FE" w:rsidRPr="00533CDB" w:rsidRDefault="00080BE3" w:rsidP="0089345F">
      <w:pPr>
        <w:spacing w:after="0" w:line="480" w:lineRule="auto"/>
        <w:jc w:val="both"/>
        <w:rPr>
          <w:sz w:val="24"/>
          <w:szCs w:val="24"/>
        </w:rPr>
      </w:pPr>
      <w:r>
        <w:rPr>
          <w:sz w:val="24"/>
          <w:szCs w:val="24"/>
        </w:rPr>
        <w:t xml:space="preserve">Various factors have been shown to be associated with HRQOL in people with gout. </w:t>
      </w:r>
      <w:r w:rsidR="008768B7" w:rsidRPr="00BA05D0">
        <w:rPr>
          <w:sz w:val="24"/>
          <w:szCs w:val="24"/>
        </w:rPr>
        <w:t xml:space="preserve">Gout-related </w:t>
      </w:r>
      <w:r w:rsidR="008768B7" w:rsidRPr="00533CDB">
        <w:rPr>
          <w:sz w:val="24"/>
          <w:szCs w:val="24"/>
        </w:rPr>
        <w:t>characteristics</w:t>
      </w:r>
      <w:r w:rsidR="006C041D" w:rsidRPr="00BA05D0">
        <w:rPr>
          <w:sz w:val="24"/>
          <w:szCs w:val="24"/>
        </w:rPr>
        <w:t xml:space="preserve"> </w:t>
      </w:r>
      <w:r w:rsidR="006C041D" w:rsidRPr="00533CDB">
        <w:rPr>
          <w:sz w:val="24"/>
          <w:szCs w:val="24"/>
        </w:rPr>
        <w:t xml:space="preserve">associated with HRQOL or activity limitation in </w:t>
      </w:r>
      <w:r w:rsidR="002F6636">
        <w:rPr>
          <w:sz w:val="24"/>
          <w:szCs w:val="24"/>
        </w:rPr>
        <w:t xml:space="preserve">either </w:t>
      </w:r>
      <w:r w:rsidR="006C041D" w:rsidRPr="0079551C">
        <w:rPr>
          <w:sz w:val="24"/>
          <w:szCs w:val="24"/>
        </w:rPr>
        <w:t xml:space="preserve">cross-sectional </w:t>
      </w:r>
      <w:r w:rsidR="00A0397E">
        <w:rPr>
          <w:sz w:val="24"/>
          <w:szCs w:val="24"/>
        </w:rPr>
        <w:t xml:space="preserve">or prospective </w:t>
      </w:r>
      <w:r w:rsidR="006C041D" w:rsidRPr="00533CDB">
        <w:rPr>
          <w:sz w:val="24"/>
          <w:szCs w:val="24"/>
        </w:rPr>
        <w:t xml:space="preserve">studies </w:t>
      </w:r>
      <w:r w:rsidR="00BA05D0" w:rsidRPr="002508DE">
        <w:rPr>
          <w:sz w:val="24"/>
          <w:szCs w:val="24"/>
        </w:rPr>
        <w:t>include</w:t>
      </w:r>
      <w:r w:rsidR="006C041D" w:rsidRPr="002508DE">
        <w:rPr>
          <w:sz w:val="24"/>
          <w:szCs w:val="24"/>
        </w:rPr>
        <w:t xml:space="preserve"> </w:t>
      </w:r>
      <w:r w:rsidR="002757E3" w:rsidRPr="002508DE">
        <w:rPr>
          <w:sz w:val="24"/>
          <w:szCs w:val="24"/>
        </w:rPr>
        <w:t xml:space="preserve">gout </w:t>
      </w:r>
      <w:r w:rsidR="006C041D" w:rsidRPr="002508DE">
        <w:rPr>
          <w:sz w:val="24"/>
          <w:szCs w:val="24"/>
        </w:rPr>
        <w:t>flare frequency</w:t>
      </w:r>
      <w:r w:rsidR="006C041D" w:rsidRPr="00533CDB">
        <w:rPr>
          <w:sz w:val="24"/>
          <w:szCs w:val="24"/>
        </w:rPr>
        <w:t xml:space="preserve">, </w:t>
      </w:r>
      <w:r w:rsidR="002757E3" w:rsidRPr="00533CDB">
        <w:rPr>
          <w:sz w:val="24"/>
          <w:szCs w:val="24"/>
        </w:rPr>
        <w:t xml:space="preserve">experiencing a </w:t>
      </w:r>
      <w:r w:rsidR="006C041D" w:rsidRPr="00533CDB">
        <w:rPr>
          <w:sz w:val="24"/>
          <w:szCs w:val="24"/>
        </w:rPr>
        <w:t>current or recent flare</w:t>
      </w:r>
      <w:r w:rsidR="00AF44FE" w:rsidRPr="00533CDB">
        <w:rPr>
          <w:sz w:val="24"/>
          <w:szCs w:val="24"/>
        </w:rPr>
        <w:t xml:space="preserve">, </w:t>
      </w:r>
      <w:r w:rsidR="002757E3" w:rsidRPr="00330B1F">
        <w:rPr>
          <w:sz w:val="24"/>
          <w:szCs w:val="24"/>
        </w:rPr>
        <w:t xml:space="preserve">the </w:t>
      </w:r>
      <w:r w:rsidR="00DB5827" w:rsidRPr="00330B1F">
        <w:rPr>
          <w:sz w:val="24"/>
          <w:szCs w:val="24"/>
        </w:rPr>
        <w:t>number of joints affected by gout</w:t>
      </w:r>
      <w:r w:rsidR="005A5A3E">
        <w:rPr>
          <w:sz w:val="24"/>
          <w:szCs w:val="24"/>
        </w:rPr>
        <w:t>, gout ‘severity’ or ‘</w:t>
      </w:r>
      <w:r w:rsidR="00DB5827" w:rsidRPr="00533CDB">
        <w:rPr>
          <w:sz w:val="24"/>
          <w:szCs w:val="24"/>
        </w:rPr>
        <w:t>activity’</w:t>
      </w:r>
      <w:r w:rsidR="00D31F7C" w:rsidRPr="00533CDB">
        <w:rPr>
          <w:sz w:val="24"/>
          <w:szCs w:val="24"/>
        </w:rPr>
        <w:t>, living with gout for longer, tophi</w:t>
      </w:r>
      <w:r w:rsidR="000658FB" w:rsidRPr="00533CDB">
        <w:rPr>
          <w:sz w:val="24"/>
          <w:szCs w:val="24"/>
        </w:rPr>
        <w:t xml:space="preserve">, elevated serum urate levels </w:t>
      </w:r>
      <w:r w:rsidR="00331510">
        <w:rPr>
          <w:sz w:val="24"/>
          <w:szCs w:val="24"/>
        </w:rPr>
        <w:t xml:space="preserve">and </w:t>
      </w:r>
      <w:r w:rsidR="000658FB" w:rsidRPr="00533CDB">
        <w:rPr>
          <w:sz w:val="24"/>
          <w:szCs w:val="24"/>
        </w:rPr>
        <w:t>allopurinol use</w:t>
      </w:r>
      <w:r w:rsidR="00CA1C9B">
        <w:rPr>
          <w:sz w:val="24"/>
          <w:szCs w:val="24"/>
        </w:rPr>
        <w:t xml:space="preserve"> [6-7, </w:t>
      </w:r>
      <w:r w:rsidR="00DE42ED">
        <w:rPr>
          <w:sz w:val="24"/>
          <w:szCs w:val="24"/>
        </w:rPr>
        <w:t>9</w:t>
      </w:r>
      <w:r w:rsidR="00CA1C9B">
        <w:rPr>
          <w:sz w:val="24"/>
          <w:szCs w:val="24"/>
        </w:rPr>
        <w:t>, 1</w:t>
      </w:r>
      <w:r w:rsidR="00957774">
        <w:rPr>
          <w:sz w:val="24"/>
          <w:szCs w:val="24"/>
        </w:rPr>
        <w:t>2</w:t>
      </w:r>
      <w:r w:rsidR="00CA1C9B">
        <w:rPr>
          <w:sz w:val="24"/>
          <w:szCs w:val="24"/>
        </w:rPr>
        <w:t>-2</w:t>
      </w:r>
      <w:r w:rsidR="00957774">
        <w:rPr>
          <w:sz w:val="24"/>
          <w:szCs w:val="24"/>
        </w:rPr>
        <w:t>3</w:t>
      </w:r>
      <w:r w:rsidR="00CA1C9B">
        <w:rPr>
          <w:sz w:val="24"/>
          <w:szCs w:val="24"/>
        </w:rPr>
        <w:t>]</w:t>
      </w:r>
      <w:r w:rsidR="002757E3" w:rsidRPr="00533CDB">
        <w:rPr>
          <w:sz w:val="24"/>
          <w:szCs w:val="24"/>
        </w:rPr>
        <w:t xml:space="preserve">. </w:t>
      </w:r>
      <w:r w:rsidR="00785699">
        <w:rPr>
          <w:sz w:val="24"/>
          <w:szCs w:val="24"/>
        </w:rPr>
        <w:t>C</w:t>
      </w:r>
      <w:r w:rsidR="00D15106" w:rsidRPr="00533CDB">
        <w:rPr>
          <w:sz w:val="24"/>
          <w:szCs w:val="24"/>
        </w:rPr>
        <w:t xml:space="preserve">omorbidities </w:t>
      </w:r>
      <w:r w:rsidR="00785699">
        <w:rPr>
          <w:sz w:val="24"/>
          <w:szCs w:val="24"/>
        </w:rPr>
        <w:t>(</w:t>
      </w:r>
      <w:r w:rsidR="00643DF0">
        <w:rPr>
          <w:sz w:val="24"/>
          <w:szCs w:val="24"/>
        </w:rPr>
        <w:t>including</w:t>
      </w:r>
      <w:r w:rsidR="002757E3">
        <w:rPr>
          <w:sz w:val="24"/>
          <w:szCs w:val="24"/>
        </w:rPr>
        <w:t xml:space="preserve"> </w:t>
      </w:r>
      <w:r w:rsidR="00D15106">
        <w:rPr>
          <w:sz w:val="24"/>
          <w:szCs w:val="24"/>
        </w:rPr>
        <w:t xml:space="preserve">anxiety </w:t>
      </w:r>
      <w:r w:rsidR="003B40DE">
        <w:rPr>
          <w:sz w:val="24"/>
          <w:szCs w:val="24"/>
        </w:rPr>
        <w:t>and</w:t>
      </w:r>
      <w:r w:rsidR="00D15106">
        <w:rPr>
          <w:sz w:val="24"/>
          <w:szCs w:val="24"/>
        </w:rPr>
        <w:t xml:space="preserve"> depression</w:t>
      </w:r>
      <w:r w:rsidR="00785699">
        <w:rPr>
          <w:sz w:val="24"/>
          <w:szCs w:val="24"/>
        </w:rPr>
        <w:t>)</w:t>
      </w:r>
      <w:r w:rsidR="003B40DE" w:rsidRPr="00533CDB">
        <w:rPr>
          <w:sz w:val="24"/>
          <w:szCs w:val="24"/>
        </w:rPr>
        <w:t xml:space="preserve">, </w:t>
      </w:r>
      <w:r w:rsidR="003B40DE">
        <w:rPr>
          <w:sz w:val="24"/>
          <w:szCs w:val="24"/>
        </w:rPr>
        <w:t>pain</w:t>
      </w:r>
      <w:r w:rsidR="000F4499" w:rsidRPr="00533CDB">
        <w:rPr>
          <w:sz w:val="24"/>
          <w:szCs w:val="24"/>
        </w:rPr>
        <w:t>,</w:t>
      </w:r>
      <w:r w:rsidR="00D15106" w:rsidRPr="00533CDB">
        <w:rPr>
          <w:sz w:val="24"/>
          <w:szCs w:val="24"/>
        </w:rPr>
        <w:t xml:space="preserve"> </w:t>
      </w:r>
      <w:r w:rsidR="003B40DE">
        <w:rPr>
          <w:sz w:val="24"/>
          <w:szCs w:val="24"/>
        </w:rPr>
        <w:t>BMI</w:t>
      </w:r>
      <w:r w:rsidR="00BC3740" w:rsidRPr="00533CDB">
        <w:rPr>
          <w:sz w:val="24"/>
          <w:szCs w:val="24"/>
        </w:rPr>
        <w:t xml:space="preserve">, </w:t>
      </w:r>
      <w:r w:rsidR="000F4499">
        <w:rPr>
          <w:sz w:val="24"/>
          <w:szCs w:val="24"/>
        </w:rPr>
        <w:t xml:space="preserve">older </w:t>
      </w:r>
      <w:r w:rsidR="00D15106">
        <w:rPr>
          <w:sz w:val="24"/>
          <w:szCs w:val="24"/>
        </w:rPr>
        <w:t>age</w:t>
      </w:r>
      <w:r w:rsidR="006D0410">
        <w:rPr>
          <w:sz w:val="24"/>
          <w:szCs w:val="24"/>
        </w:rPr>
        <w:t xml:space="preserve">, sex, </w:t>
      </w:r>
      <w:r w:rsidR="003B40DE">
        <w:rPr>
          <w:sz w:val="24"/>
          <w:szCs w:val="24"/>
        </w:rPr>
        <w:t>deprivation</w:t>
      </w:r>
      <w:r w:rsidR="00BC3740">
        <w:rPr>
          <w:sz w:val="24"/>
          <w:szCs w:val="24"/>
        </w:rPr>
        <w:t xml:space="preserve">, </w:t>
      </w:r>
      <w:r w:rsidR="003B40DE">
        <w:rPr>
          <w:sz w:val="24"/>
          <w:szCs w:val="24"/>
        </w:rPr>
        <w:t>marital status</w:t>
      </w:r>
      <w:r w:rsidR="00BC3740">
        <w:rPr>
          <w:sz w:val="24"/>
          <w:szCs w:val="24"/>
        </w:rPr>
        <w:t xml:space="preserve">, </w:t>
      </w:r>
      <w:r w:rsidR="003B40DE">
        <w:rPr>
          <w:sz w:val="24"/>
          <w:szCs w:val="24"/>
        </w:rPr>
        <w:t>ethnicity, educational attainment</w:t>
      </w:r>
      <w:r w:rsidR="006B63DC">
        <w:rPr>
          <w:sz w:val="24"/>
          <w:szCs w:val="24"/>
        </w:rPr>
        <w:t xml:space="preserve"> </w:t>
      </w:r>
      <w:r w:rsidR="003B40DE" w:rsidRPr="00533CDB">
        <w:rPr>
          <w:sz w:val="24"/>
          <w:szCs w:val="24"/>
        </w:rPr>
        <w:t xml:space="preserve">and </w:t>
      </w:r>
      <w:r w:rsidR="00BC3740" w:rsidRPr="00533CDB">
        <w:rPr>
          <w:sz w:val="24"/>
          <w:szCs w:val="24"/>
        </w:rPr>
        <w:t>alcohol consumption</w:t>
      </w:r>
      <w:r w:rsidR="003B40DE" w:rsidRPr="00533CDB">
        <w:rPr>
          <w:sz w:val="24"/>
          <w:szCs w:val="24"/>
        </w:rPr>
        <w:t xml:space="preserve"> have also been associated with HRQOL or activity </w:t>
      </w:r>
      <w:r w:rsidR="006B63DC" w:rsidRPr="00533CDB">
        <w:rPr>
          <w:sz w:val="24"/>
          <w:szCs w:val="24"/>
        </w:rPr>
        <w:t>limitation</w:t>
      </w:r>
      <w:r w:rsidR="000B3891">
        <w:rPr>
          <w:sz w:val="24"/>
          <w:szCs w:val="24"/>
        </w:rPr>
        <w:t xml:space="preserve"> [6-7,</w:t>
      </w:r>
      <w:r w:rsidR="00DE42ED">
        <w:rPr>
          <w:sz w:val="24"/>
          <w:szCs w:val="24"/>
        </w:rPr>
        <w:t xml:space="preserve"> </w:t>
      </w:r>
      <w:r w:rsidR="000B3891">
        <w:rPr>
          <w:sz w:val="24"/>
          <w:szCs w:val="24"/>
        </w:rPr>
        <w:t xml:space="preserve">9-11, </w:t>
      </w:r>
      <w:r w:rsidR="00957774">
        <w:rPr>
          <w:sz w:val="24"/>
          <w:szCs w:val="24"/>
        </w:rPr>
        <w:t>12</w:t>
      </w:r>
      <w:r w:rsidR="000B3891">
        <w:rPr>
          <w:sz w:val="24"/>
          <w:szCs w:val="24"/>
        </w:rPr>
        <w:t>, 1</w:t>
      </w:r>
      <w:r w:rsidR="00957774">
        <w:rPr>
          <w:sz w:val="24"/>
          <w:szCs w:val="24"/>
        </w:rPr>
        <w:t>7</w:t>
      </w:r>
      <w:r w:rsidR="000B3891">
        <w:rPr>
          <w:sz w:val="24"/>
          <w:szCs w:val="24"/>
        </w:rPr>
        <w:t>-1</w:t>
      </w:r>
      <w:r w:rsidR="00957774">
        <w:rPr>
          <w:sz w:val="24"/>
          <w:szCs w:val="24"/>
        </w:rPr>
        <w:t>8</w:t>
      </w:r>
      <w:r w:rsidR="000B3891">
        <w:rPr>
          <w:sz w:val="24"/>
          <w:szCs w:val="24"/>
        </w:rPr>
        <w:t>, 2</w:t>
      </w:r>
      <w:r w:rsidR="00957774">
        <w:rPr>
          <w:sz w:val="24"/>
          <w:szCs w:val="24"/>
        </w:rPr>
        <w:t>1</w:t>
      </w:r>
      <w:r w:rsidR="000B3891">
        <w:rPr>
          <w:sz w:val="24"/>
          <w:szCs w:val="24"/>
        </w:rPr>
        <w:t>-</w:t>
      </w:r>
      <w:r w:rsidR="00957774">
        <w:rPr>
          <w:sz w:val="24"/>
          <w:szCs w:val="24"/>
        </w:rPr>
        <w:t>22</w:t>
      </w:r>
      <w:r w:rsidR="000B3891">
        <w:rPr>
          <w:sz w:val="24"/>
          <w:szCs w:val="24"/>
        </w:rPr>
        <w:t>, 2</w:t>
      </w:r>
      <w:r w:rsidR="00957774">
        <w:rPr>
          <w:sz w:val="24"/>
          <w:szCs w:val="24"/>
        </w:rPr>
        <w:t>4</w:t>
      </w:r>
      <w:r w:rsidR="000B3891">
        <w:rPr>
          <w:sz w:val="24"/>
          <w:szCs w:val="24"/>
        </w:rPr>
        <w:t>-2</w:t>
      </w:r>
      <w:r w:rsidR="00957774">
        <w:rPr>
          <w:sz w:val="24"/>
          <w:szCs w:val="24"/>
        </w:rPr>
        <w:t>6</w:t>
      </w:r>
      <w:r w:rsidR="000B3891">
        <w:rPr>
          <w:sz w:val="24"/>
          <w:szCs w:val="24"/>
        </w:rPr>
        <w:t>]</w:t>
      </w:r>
      <w:r w:rsidR="003B40DE" w:rsidRPr="00533CDB">
        <w:rPr>
          <w:sz w:val="24"/>
          <w:szCs w:val="24"/>
        </w:rPr>
        <w:t>.</w:t>
      </w:r>
      <w:r w:rsidR="00DB3C3E" w:rsidRPr="00533CDB">
        <w:rPr>
          <w:sz w:val="24"/>
          <w:szCs w:val="24"/>
        </w:rPr>
        <w:t xml:space="preserve"> </w:t>
      </w:r>
    </w:p>
    <w:p w14:paraId="44B6F0A6" w14:textId="41A5411D" w:rsidR="00674EDB" w:rsidRPr="00533CDB" w:rsidRDefault="00080BE3" w:rsidP="00080BE3">
      <w:pPr>
        <w:spacing w:after="0" w:line="480" w:lineRule="auto"/>
        <w:jc w:val="both"/>
        <w:rPr>
          <w:sz w:val="24"/>
          <w:szCs w:val="24"/>
        </w:rPr>
      </w:pPr>
      <w:r>
        <w:rPr>
          <w:rFonts w:eastAsia="Calibri" w:cs="Times New Roman"/>
          <w:sz w:val="24"/>
          <w:szCs w:val="24"/>
        </w:rPr>
        <w:t xml:space="preserve">A </w:t>
      </w:r>
      <w:r w:rsidRPr="00533CDB">
        <w:rPr>
          <w:rFonts w:eastAsia="Calibri" w:cs="Times New Roman"/>
          <w:sz w:val="24"/>
          <w:szCs w:val="24"/>
        </w:rPr>
        <w:t>systematic review highlighted that most studies of HRQOL in gout are cross-sectional and</w:t>
      </w:r>
      <w:r>
        <w:rPr>
          <w:rFonts w:eastAsia="Calibri" w:cs="Times New Roman"/>
          <w:sz w:val="24"/>
          <w:szCs w:val="24"/>
        </w:rPr>
        <w:t>/or</w:t>
      </w:r>
      <w:r w:rsidRPr="00533CDB">
        <w:rPr>
          <w:rFonts w:eastAsia="Calibri" w:cs="Times New Roman"/>
          <w:sz w:val="24"/>
          <w:szCs w:val="24"/>
        </w:rPr>
        <w:t xml:space="preserve"> based in hospital populations</w:t>
      </w:r>
      <w:r>
        <w:rPr>
          <w:rFonts w:eastAsia="Calibri" w:cs="Times New Roman"/>
          <w:sz w:val="24"/>
          <w:szCs w:val="24"/>
        </w:rPr>
        <w:t>.</w:t>
      </w:r>
      <w:r w:rsidR="00BF6EB9">
        <w:rPr>
          <w:rFonts w:eastAsia="Calibri" w:cs="Times New Roman"/>
          <w:sz w:val="24"/>
          <w:szCs w:val="24"/>
        </w:rPr>
        <w:t>[</w:t>
      </w:r>
      <w:r w:rsidR="00133CF1">
        <w:rPr>
          <w:rFonts w:eastAsia="Calibri" w:cs="Times New Roman"/>
          <w:sz w:val="24"/>
          <w:szCs w:val="24"/>
        </w:rPr>
        <w:t>27</w:t>
      </w:r>
      <w:r w:rsidR="00BF6EB9">
        <w:rPr>
          <w:rFonts w:eastAsia="Calibri" w:cs="Times New Roman"/>
          <w:sz w:val="24"/>
          <w:szCs w:val="24"/>
        </w:rPr>
        <w:t>]</w:t>
      </w:r>
      <w:r w:rsidR="00C744CD">
        <w:rPr>
          <w:rFonts w:eastAsia="Calibri" w:cs="Times New Roman"/>
          <w:sz w:val="24"/>
          <w:szCs w:val="24"/>
        </w:rPr>
        <w:t xml:space="preserve"> </w:t>
      </w:r>
      <w:r>
        <w:rPr>
          <w:rFonts w:eastAsia="Calibri" w:cs="Times New Roman"/>
          <w:sz w:val="24"/>
          <w:szCs w:val="24"/>
        </w:rPr>
        <w:t>T</w:t>
      </w:r>
      <w:r w:rsidRPr="00533CDB">
        <w:rPr>
          <w:rFonts w:eastAsia="Calibri" w:cs="Times New Roman"/>
          <w:sz w:val="24"/>
          <w:szCs w:val="24"/>
        </w:rPr>
        <w:t>here is a paucity of studies to have prospectively investigated HRQOL in primary care, where most people with gout are managed</w:t>
      </w:r>
      <w:r>
        <w:rPr>
          <w:rFonts w:eastAsia="Calibri" w:cs="Times New Roman"/>
          <w:sz w:val="24"/>
          <w:szCs w:val="24"/>
        </w:rPr>
        <w:t>, and few studies have followed-up participants beyond 1 year or considered both disease-specific and general HRQOL</w:t>
      </w:r>
      <w:r w:rsidRPr="00533CDB">
        <w:rPr>
          <w:rFonts w:eastAsia="Calibri" w:cs="Times New Roman"/>
          <w:sz w:val="24"/>
          <w:szCs w:val="24"/>
        </w:rPr>
        <w:t>.[</w:t>
      </w:r>
      <w:r w:rsidR="00957774">
        <w:rPr>
          <w:rFonts w:eastAsia="Calibri" w:cs="Times New Roman"/>
          <w:sz w:val="24"/>
          <w:szCs w:val="24"/>
        </w:rPr>
        <w:t>27</w:t>
      </w:r>
      <w:r w:rsidRPr="00533CDB">
        <w:rPr>
          <w:rFonts w:eastAsia="Calibri" w:cs="Times New Roman"/>
          <w:sz w:val="24"/>
          <w:szCs w:val="24"/>
        </w:rPr>
        <w:t xml:space="preserve">] </w:t>
      </w:r>
      <w:r w:rsidRPr="00533CDB">
        <w:rPr>
          <w:sz w:val="24"/>
          <w:szCs w:val="24"/>
        </w:rPr>
        <w:t xml:space="preserve">   </w:t>
      </w:r>
    </w:p>
    <w:p w14:paraId="23C37506" w14:textId="695145F9" w:rsidR="008B4DA2" w:rsidRPr="000A5B76" w:rsidRDefault="008B4DA2" w:rsidP="0089345F">
      <w:pPr>
        <w:spacing w:after="0" w:line="480" w:lineRule="auto"/>
        <w:jc w:val="both"/>
        <w:rPr>
          <w:sz w:val="24"/>
          <w:szCs w:val="24"/>
        </w:rPr>
      </w:pPr>
    </w:p>
    <w:p w14:paraId="0507AB02" w14:textId="4CA14F56" w:rsidR="009D2D99" w:rsidRDefault="00225329" w:rsidP="0089345F">
      <w:pPr>
        <w:spacing w:after="0" w:line="480" w:lineRule="auto"/>
        <w:jc w:val="both"/>
        <w:rPr>
          <w:sz w:val="24"/>
          <w:szCs w:val="24"/>
        </w:rPr>
      </w:pPr>
      <w:r>
        <w:rPr>
          <w:sz w:val="24"/>
          <w:szCs w:val="24"/>
        </w:rPr>
        <w:t xml:space="preserve">The objective of this </w:t>
      </w:r>
      <w:r w:rsidR="00822BF3">
        <w:rPr>
          <w:sz w:val="24"/>
          <w:szCs w:val="24"/>
        </w:rPr>
        <w:t xml:space="preserve">prospective cohort </w:t>
      </w:r>
      <w:r>
        <w:rPr>
          <w:sz w:val="24"/>
          <w:szCs w:val="24"/>
        </w:rPr>
        <w:t xml:space="preserve">study </w:t>
      </w:r>
      <w:r w:rsidR="003C7E2F">
        <w:rPr>
          <w:sz w:val="24"/>
          <w:szCs w:val="24"/>
        </w:rPr>
        <w:t>w</w:t>
      </w:r>
      <w:r>
        <w:rPr>
          <w:sz w:val="24"/>
          <w:szCs w:val="24"/>
        </w:rPr>
        <w:t xml:space="preserve">as to describe the gout-specific, comorbid and socio-demographic factors associated with change in disease-specific and generic HRQOL </w:t>
      </w:r>
      <w:r w:rsidR="009D2D99">
        <w:rPr>
          <w:sz w:val="24"/>
          <w:szCs w:val="24"/>
        </w:rPr>
        <w:t xml:space="preserve">over three years </w:t>
      </w:r>
      <w:r>
        <w:rPr>
          <w:sz w:val="24"/>
          <w:szCs w:val="24"/>
        </w:rPr>
        <w:t xml:space="preserve">in </w:t>
      </w:r>
      <w:r w:rsidR="00DF3FFC">
        <w:rPr>
          <w:sz w:val="24"/>
          <w:szCs w:val="24"/>
        </w:rPr>
        <w:t>people</w:t>
      </w:r>
      <w:r>
        <w:rPr>
          <w:sz w:val="24"/>
          <w:szCs w:val="24"/>
        </w:rPr>
        <w:t xml:space="preserve"> with gout in primary care.  </w:t>
      </w:r>
    </w:p>
    <w:p w14:paraId="66542963" w14:textId="77777777" w:rsidR="00A916C0" w:rsidRDefault="00A916C0" w:rsidP="0089345F">
      <w:pPr>
        <w:spacing w:after="0" w:line="480" w:lineRule="auto"/>
        <w:jc w:val="both"/>
        <w:rPr>
          <w:b/>
          <w:sz w:val="24"/>
          <w:szCs w:val="24"/>
        </w:rPr>
      </w:pPr>
    </w:p>
    <w:p w14:paraId="67C62825" w14:textId="46E1FA82" w:rsidR="0073548C" w:rsidRPr="009D2D99" w:rsidRDefault="0073548C" w:rsidP="0089345F">
      <w:pPr>
        <w:spacing w:after="0" w:line="480" w:lineRule="auto"/>
        <w:jc w:val="both"/>
        <w:rPr>
          <w:color w:val="FF0000"/>
          <w:sz w:val="24"/>
          <w:szCs w:val="24"/>
        </w:rPr>
      </w:pPr>
      <w:r w:rsidRPr="00ED7143">
        <w:rPr>
          <w:b/>
          <w:sz w:val="24"/>
          <w:szCs w:val="24"/>
        </w:rPr>
        <w:lastRenderedPageBreak/>
        <w:t>Methods</w:t>
      </w:r>
      <w:r w:rsidR="009D2D99">
        <w:rPr>
          <w:b/>
          <w:sz w:val="24"/>
          <w:szCs w:val="24"/>
        </w:rPr>
        <w:t xml:space="preserve">   </w:t>
      </w:r>
    </w:p>
    <w:p w14:paraId="37FF03D6" w14:textId="4118E941" w:rsidR="0073548C" w:rsidRPr="00C710A2" w:rsidRDefault="0073548C" w:rsidP="0089345F">
      <w:pPr>
        <w:spacing w:after="0" w:line="480" w:lineRule="auto"/>
        <w:jc w:val="both"/>
        <w:rPr>
          <w:b/>
          <w:sz w:val="24"/>
          <w:szCs w:val="24"/>
        </w:rPr>
      </w:pPr>
      <w:r w:rsidRPr="00C710A2">
        <w:rPr>
          <w:b/>
          <w:sz w:val="24"/>
          <w:szCs w:val="24"/>
        </w:rPr>
        <w:t>Study design and participants</w:t>
      </w:r>
      <w:r w:rsidR="00316ED6">
        <w:rPr>
          <w:b/>
          <w:sz w:val="24"/>
          <w:szCs w:val="24"/>
        </w:rPr>
        <w:t xml:space="preserve">  </w:t>
      </w:r>
    </w:p>
    <w:p w14:paraId="4D42EDE7" w14:textId="5CC5604F" w:rsidR="00803538" w:rsidRPr="00302EB9" w:rsidRDefault="00AE33B4" w:rsidP="00803538">
      <w:pPr>
        <w:spacing w:after="0" w:line="480" w:lineRule="auto"/>
        <w:jc w:val="both"/>
        <w:rPr>
          <w:sz w:val="24"/>
          <w:szCs w:val="24"/>
          <w:highlight w:val="yellow"/>
        </w:rPr>
      </w:pPr>
      <w:r>
        <w:rPr>
          <w:sz w:val="24"/>
          <w:szCs w:val="24"/>
        </w:rPr>
        <w:t xml:space="preserve">This </w:t>
      </w:r>
      <w:r w:rsidR="00302EB9">
        <w:rPr>
          <w:sz w:val="24"/>
          <w:szCs w:val="24"/>
        </w:rPr>
        <w:t xml:space="preserve">was </w:t>
      </w:r>
      <w:r>
        <w:rPr>
          <w:sz w:val="24"/>
          <w:szCs w:val="24"/>
        </w:rPr>
        <w:t>a</w:t>
      </w:r>
      <w:r w:rsidR="00803538" w:rsidRPr="005026C4">
        <w:rPr>
          <w:sz w:val="24"/>
          <w:szCs w:val="24"/>
        </w:rPr>
        <w:t xml:space="preserve"> three-year prospective cohort study based in primary</w:t>
      </w:r>
      <w:r w:rsidR="00302EB9">
        <w:rPr>
          <w:sz w:val="24"/>
          <w:szCs w:val="24"/>
        </w:rPr>
        <w:t xml:space="preserve"> care in the West Midlands, UK.</w:t>
      </w:r>
      <w:r w:rsidR="00803538" w:rsidRPr="00803538">
        <w:rPr>
          <w:sz w:val="24"/>
          <w:szCs w:val="24"/>
        </w:rPr>
        <w:t>[</w:t>
      </w:r>
      <w:r w:rsidR="00693E1C" w:rsidRPr="00533CDB">
        <w:rPr>
          <w:sz w:val="24"/>
          <w:szCs w:val="24"/>
        </w:rPr>
        <w:t>28</w:t>
      </w:r>
      <w:r w:rsidR="00302EB9">
        <w:rPr>
          <w:sz w:val="24"/>
          <w:szCs w:val="24"/>
        </w:rPr>
        <w:t xml:space="preserve">] </w:t>
      </w:r>
      <w:r w:rsidR="00302EB9" w:rsidRPr="00803538">
        <w:rPr>
          <w:sz w:val="24"/>
          <w:szCs w:val="24"/>
        </w:rPr>
        <w:t>Ethical approval was granted by North West-Liverpool East Research</w:t>
      </w:r>
      <w:r w:rsidR="00537146">
        <w:rPr>
          <w:sz w:val="24"/>
          <w:szCs w:val="24"/>
        </w:rPr>
        <w:t xml:space="preserve"> </w:t>
      </w:r>
      <w:r w:rsidR="00302EB9" w:rsidRPr="00803538">
        <w:rPr>
          <w:sz w:val="24"/>
          <w:szCs w:val="24"/>
        </w:rPr>
        <w:t>Ethics Committee (REC) reference 12/NW/0297.</w:t>
      </w:r>
    </w:p>
    <w:p w14:paraId="1BAD837F" w14:textId="73C2DDC0" w:rsidR="00803538" w:rsidRPr="00803538" w:rsidRDefault="00803538" w:rsidP="00803538">
      <w:pPr>
        <w:spacing w:after="0" w:line="480" w:lineRule="auto"/>
        <w:jc w:val="both"/>
        <w:rPr>
          <w:sz w:val="24"/>
          <w:szCs w:val="24"/>
          <w:highlight w:val="yellow"/>
        </w:rPr>
      </w:pPr>
      <w:r w:rsidRPr="00803538">
        <w:rPr>
          <w:sz w:val="24"/>
          <w:szCs w:val="24"/>
        </w:rPr>
        <w:t xml:space="preserve">Adults aged </w:t>
      </w:r>
      <w:r w:rsidRPr="00803538">
        <w:rPr>
          <w:sz w:val="24"/>
          <w:szCs w:val="24"/>
          <w:u w:val="single"/>
        </w:rPr>
        <w:t>&gt;</w:t>
      </w:r>
      <w:r w:rsidR="00AE33B4">
        <w:rPr>
          <w:sz w:val="24"/>
          <w:szCs w:val="24"/>
        </w:rPr>
        <w:t xml:space="preserve">18 years </w:t>
      </w:r>
      <w:r w:rsidRPr="00803538">
        <w:rPr>
          <w:sz w:val="24"/>
          <w:szCs w:val="24"/>
        </w:rPr>
        <w:t>who had consulted with gout or received a prescription for allopurinol or colchicine in the preceding two years</w:t>
      </w:r>
      <w:r w:rsidR="00C33E49" w:rsidRPr="00C33E49">
        <w:rPr>
          <w:sz w:val="24"/>
          <w:szCs w:val="24"/>
        </w:rPr>
        <w:t xml:space="preserve"> </w:t>
      </w:r>
      <w:r w:rsidR="00C33E49">
        <w:rPr>
          <w:sz w:val="24"/>
          <w:szCs w:val="24"/>
        </w:rPr>
        <w:t>were recruited from</w:t>
      </w:r>
      <w:r w:rsidR="00C33E49" w:rsidRPr="00803538">
        <w:rPr>
          <w:sz w:val="24"/>
          <w:szCs w:val="24"/>
        </w:rPr>
        <w:t xml:space="preserve"> </w:t>
      </w:r>
      <w:r w:rsidR="00887412">
        <w:rPr>
          <w:sz w:val="24"/>
          <w:szCs w:val="24"/>
        </w:rPr>
        <w:t xml:space="preserve">20 </w:t>
      </w:r>
      <w:r w:rsidR="00C33E49" w:rsidRPr="00803538">
        <w:rPr>
          <w:sz w:val="24"/>
          <w:szCs w:val="24"/>
        </w:rPr>
        <w:t>participating general practices</w:t>
      </w:r>
      <w:r w:rsidRPr="00803538">
        <w:rPr>
          <w:sz w:val="24"/>
          <w:szCs w:val="24"/>
        </w:rPr>
        <w:t xml:space="preserve">.  </w:t>
      </w:r>
      <w:r w:rsidR="00D07CE2" w:rsidRPr="00D07CE2">
        <w:rPr>
          <w:sz w:val="24"/>
          <w:szCs w:val="24"/>
        </w:rPr>
        <w:t xml:space="preserve">Read </w:t>
      </w:r>
      <w:r w:rsidR="00D07CE2">
        <w:rPr>
          <w:sz w:val="24"/>
          <w:szCs w:val="24"/>
        </w:rPr>
        <w:t xml:space="preserve">codes, which are a </w:t>
      </w:r>
      <w:r w:rsidR="00D07CE2" w:rsidRPr="00D07CE2">
        <w:rPr>
          <w:sz w:val="24"/>
          <w:szCs w:val="24"/>
        </w:rPr>
        <w:t>coded hierarchy of clinical codes based on ICD-9 codes</w:t>
      </w:r>
      <w:r w:rsidR="00D07CE2" w:rsidRPr="00D07CE2">
        <w:t xml:space="preserve"> </w:t>
      </w:r>
      <w:r w:rsidR="00D07CE2" w:rsidRPr="00D07CE2">
        <w:rPr>
          <w:sz w:val="24"/>
          <w:szCs w:val="24"/>
        </w:rPr>
        <w:t>used for diagnostic coding in primary care in the UK</w:t>
      </w:r>
      <w:r w:rsidR="0082519C">
        <w:rPr>
          <w:sz w:val="24"/>
          <w:szCs w:val="24"/>
        </w:rPr>
        <w:t>,</w:t>
      </w:r>
      <w:r w:rsidR="00D07CE2">
        <w:rPr>
          <w:sz w:val="24"/>
          <w:szCs w:val="24"/>
        </w:rPr>
        <w:t xml:space="preserve"> were used to identify g</w:t>
      </w:r>
      <w:r w:rsidRPr="00803538">
        <w:rPr>
          <w:sz w:val="24"/>
          <w:szCs w:val="24"/>
        </w:rPr>
        <w:t>out consultations</w:t>
      </w:r>
      <w:r w:rsidR="00D07CE2">
        <w:rPr>
          <w:sz w:val="24"/>
          <w:szCs w:val="24"/>
        </w:rPr>
        <w:t xml:space="preserve">. </w:t>
      </w:r>
      <w:r w:rsidR="00C33E49">
        <w:rPr>
          <w:sz w:val="24"/>
          <w:szCs w:val="24"/>
        </w:rPr>
        <w:t xml:space="preserve">Eligible participants </w:t>
      </w:r>
      <w:r w:rsidR="00C33E49" w:rsidRPr="00803538">
        <w:rPr>
          <w:sz w:val="24"/>
          <w:szCs w:val="24"/>
        </w:rPr>
        <w:t>were mailed a baseline questionnaire</w:t>
      </w:r>
      <w:r w:rsidR="00302EB9">
        <w:rPr>
          <w:sz w:val="24"/>
          <w:szCs w:val="24"/>
        </w:rPr>
        <w:t xml:space="preserve"> (October/November 2012)</w:t>
      </w:r>
      <w:r w:rsidR="00302EB9" w:rsidRPr="00803538">
        <w:rPr>
          <w:sz w:val="24"/>
          <w:szCs w:val="24"/>
        </w:rPr>
        <w:t xml:space="preserve"> and then </w:t>
      </w:r>
      <w:r w:rsidR="00302EB9">
        <w:rPr>
          <w:sz w:val="24"/>
          <w:szCs w:val="24"/>
        </w:rPr>
        <w:t>follow</w:t>
      </w:r>
      <w:r w:rsidR="001C0D4F">
        <w:rPr>
          <w:sz w:val="24"/>
          <w:szCs w:val="24"/>
        </w:rPr>
        <w:t>-</w:t>
      </w:r>
      <w:r w:rsidR="00302EB9">
        <w:rPr>
          <w:sz w:val="24"/>
          <w:szCs w:val="24"/>
        </w:rPr>
        <w:t>up questionnaires after</w:t>
      </w:r>
      <w:r w:rsidR="00302EB9" w:rsidRPr="00803538">
        <w:rPr>
          <w:sz w:val="24"/>
          <w:szCs w:val="24"/>
        </w:rPr>
        <w:t xml:space="preserve"> 6, 12, 24 and 36 months.</w:t>
      </w:r>
      <w:r w:rsidR="00302EB9">
        <w:rPr>
          <w:sz w:val="24"/>
          <w:szCs w:val="24"/>
        </w:rPr>
        <w:t xml:space="preserve"> Participants provided w</w:t>
      </w:r>
      <w:r w:rsidRPr="00803538">
        <w:rPr>
          <w:sz w:val="24"/>
          <w:szCs w:val="24"/>
        </w:rPr>
        <w:t>ritten informed consent to participate</w:t>
      </w:r>
      <w:r w:rsidR="00C76D67">
        <w:rPr>
          <w:sz w:val="24"/>
          <w:szCs w:val="24"/>
        </w:rPr>
        <w:t>,</w:t>
      </w:r>
      <w:r w:rsidRPr="00803538">
        <w:rPr>
          <w:sz w:val="24"/>
          <w:szCs w:val="24"/>
        </w:rPr>
        <w:t xml:space="preserve"> and </w:t>
      </w:r>
      <w:r w:rsidR="00C33E49">
        <w:rPr>
          <w:sz w:val="24"/>
          <w:szCs w:val="24"/>
        </w:rPr>
        <w:t xml:space="preserve">participants </w:t>
      </w:r>
      <w:r w:rsidRPr="00803538">
        <w:rPr>
          <w:sz w:val="24"/>
          <w:szCs w:val="24"/>
        </w:rPr>
        <w:t>were asked to provide</w:t>
      </w:r>
      <w:r w:rsidR="00302EB9">
        <w:rPr>
          <w:sz w:val="24"/>
          <w:szCs w:val="24"/>
        </w:rPr>
        <w:t xml:space="preserve"> additional</w:t>
      </w:r>
      <w:r w:rsidRPr="00803538">
        <w:rPr>
          <w:sz w:val="24"/>
          <w:szCs w:val="24"/>
        </w:rPr>
        <w:t xml:space="preserve"> consent for the </w:t>
      </w:r>
      <w:r w:rsidR="00537146">
        <w:rPr>
          <w:sz w:val="24"/>
          <w:szCs w:val="24"/>
        </w:rPr>
        <w:t xml:space="preserve">general </w:t>
      </w:r>
      <w:r w:rsidRPr="00803538">
        <w:rPr>
          <w:sz w:val="24"/>
          <w:szCs w:val="24"/>
        </w:rPr>
        <w:t>practice to provide the research team with information about comorbidities, medication, and investigations from their medical record.</w:t>
      </w:r>
      <w:r w:rsidR="00F4598A" w:rsidRPr="00F4598A">
        <w:rPr>
          <w:sz w:val="24"/>
          <w:szCs w:val="24"/>
        </w:rPr>
        <w:t xml:space="preserve"> </w:t>
      </w:r>
      <w:r w:rsidR="00F4598A" w:rsidRPr="00803538">
        <w:rPr>
          <w:sz w:val="24"/>
          <w:szCs w:val="24"/>
        </w:rPr>
        <w:t>[</w:t>
      </w:r>
      <w:r w:rsidR="00F4598A" w:rsidRPr="00533CDB">
        <w:rPr>
          <w:sz w:val="24"/>
          <w:szCs w:val="24"/>
        </w:rPr>
        <w:t>28</w:t>
      </w:r>
      <w:r w:rsidR="00F4598A">
        <w:rPr>
          <w:sz w:val="24"/>
          <w:szCs w:val="24"/>
        </w:rPr>
        <w:t xml:space="preserve">]  </w:t>
      </w:r>
      <w:r w:rsidRPr="00803538">
        <w:rPr>
          <w:sz w:val="24"/>
          <w:szCs w:val="24"/>
        </w:rPr>
        <w:t xml:space="preserve">  </w:t>
      </w:r>
    </w:p>
    <w:p w14:paraId="4109388C" w14:textId="77777777" w:rsidR="00945E4D" w:rsidRDefault="00945E4D" w:rsidP="00803538">
      <w:pPr>
        <w:spacing w:after="0" w:line="480" w:lineRule="auto"/>
        <w:jc w:val="both"/>
        <w:rPr>
          <w:sz w:val="24"/>
          <w:szCs w:val="24"/>
        </w:rPr>
      </w:pPr>
      <w:bookmarkStart w:id="0" w:name="_Hlk5176663"/>
      <w:r w:rsidRPr="00945E4D">
        <w:rPr>
          <w:b/>
          <w:sz w:val="24"/>
          <w:szCs w:val="24"/>
        </w:rPr>
        <w:t>Health-related quality of life measures</w:t>
      </w:r>
    </w:p>
    <w:p w14:paraId="16C7BB48" w14:textId="39C7AAE6" w:rsidR="007E4B04" w:rsidRPr="007E4B04" w:rsidRDefault="00647C99" w:rsidP="00803538">
      <w:pPr>
        <w:spacing w:after="0" w:line="480" w:lineRule="auto"/>
        <w:jc w:val="both"/>
        <w:rPr>
          <w:sz w:val="24"/>
          <w:szCs w:val="24"/>
        </w:rPr>
      </w:pPr>
      <w:r>
        <w:rPr>
          <w:sz w:val="24"/>
          <w:szCs w:val="24"/>
        </w:rPr>
        <w:t xml:space="preserve">The Short-Form-36 Health </w:t>
      </w:r>
      <w:r w:rsidRPr="00BF41FF">
        <w:rPr>
          <w:sz w:val="24"/>
          <w:szCs w:val="24"/>
        </w:rPr>
        <w:t xml:space="preserve">Survey </w:t>
      </w:r>
      <w:r>
        <w:rPr>
          <w:sz w:val="24"/>
          <w:szCs w:val="24"/>
        </w:rPr>
        <w:t>(SF-36) and health assessment questionnaire disability index (HAQ-DI) have been endorsed by OMERACT as generic outcome measures for HRQOL and activity limitation respectively</w:t>
      </w:r>
      <w:r w:rsidR="00F4598A">
        <w:rPr>
          <w:sz w:val="24"/>
          <w:szCs w:val="24"/>
        </w:rPr>
        <w:t xml:space="preserve"> in gout</w:t>
      </w:r>
      <w:r>
        <w:rPr>
          <w:sz w:val="24"/>
          <w:szCs w:val="24"/>
        </w:rPr>
        <w:t>.[</w:t>
      </w:r>
      <w:r w:rsidR="00833647" w:rsidRPr="00533CDB">
        <w:rPr>
          <w:sz w:val="24"/>
          <w:szCs w:val="24"/>
        </w:rPr>
        <w:t>4</w:t>
      </w:r>
      <w:r w:rsidR="008768B7" w:rsidRPr="00533CDB">
        <w:rPr>
          <w:sz w:val="24"/>
          <w:szCs w:val="24"/>
        </w:rPr>
        <w:t>,</w:t>
      </w:r>
      <w:r w:rsidR="00583F54" w:rsidRPr="00533CDB">
        <w:rPr>
          <w:sz w:val="24"/>
          <w:szCs w:val="24"/>
        </w:rPr>
        <w:t xml:space="preserve"> </w:t>
      </w:r>
      <w:r w:rsidR="00693E1C" w:rsidRPr="00533CDB">
        <w:rPr>
          <w:sz w:val="24"/>
          <w:szCs w:val="24"/>
        </w:rPr>
        <w:t>29</w:t>
      </w:r>
      <w:r>
        <w:rPr>
          <w:sz w:val="24"/>
          <w:szCs w:val="24"/>
        </w:rPr>
        <w:t xml:space="preserve">]  </w:t>
      </w:r>
      <w:r>
        <w:rPr>
          <w:rFonts w:eastAsia="Calibri" w:cs="Times New Roman"/>
          <w:sz w:val="24"/>
          <w:szCs w:val="24"/>
        </w:rPr>
        <w:t xml:space="preserve">The Gout Impact Scale (GIS) is a gout-specific HRQOL </w:t>
      </w:r>
      <w:r w:rsidR="001C0D4F">
        <w:rPr>
          <w:rFonts w:eastAsia="Calibri" w:cs="Times New Roman"/>
          <w:sz w:val="24"/>
          <w:szCs w:val="24"/>
        </w:rPr>
        <w:t xml:space="preserve">measure </w:t>
      </w:r>
      <w:r>
        <w:rPr>
          <w:rFonts w:eastAsia="Calibri" w:cs="Times New Roman"/>
          <w:sz w:val="24"/>
          <w:szCs w:val="24"/>
        </w:rPr>
        <w:t>and consists of five subscales covering</w:t>
      </w:r>
      <w:r w:rsidRPr="006D1162">
        <w:rPr>
          <w:rFonts w:eastAsia="Calibri" w:cs="Times New Roman"/>
          <w:sz w:val="24"/>
          <w:szCs w:val="24"/>
        </w:rPr>
        <w:t xml:space="preserve"> different domains of disease-specific HRQOL; gout concern overall (CO), medication side effects (MSE), unmet treatment need (UTN), wellbeing </w:t>
      </w:r>
      <w:r w:rsidRPr="003910CF">
        <w:rPr>
          <w:rFonts w:eastAsia="Calibri" w:cs="Times New Roman"/>
          <w:sz w:val="24"/>
          <w:szCs w:val="24"/>
        </w:rPr>
        <w:t>during an attack (WBDA), and concern during an attack (CDA).</w:t>
      </w:r>
      <w:r>
        <w:rPr>
          <w:rFonts w:eastAsia="Calibri" w:cs="Times New Roman"/>
          <w:sz w:val="24"/>
          <w:szCs w:val="24"/>
        </w:rPr>
        <w:t>[</w:t>
      </w:r>
      <w:r w:rsidR="00A41785" w:rsidRPr="00533CDB">
        <w:rPr>
          <w:rFonts w:eastAsia="Calibri" w:cs="Times New Roman"/>
          <w:sz w:val="24"/>
          <w:szCs w:val="24"/>
        </w:rPr>
        <w:t>1</w:t>
      </w:r>
      <w:r w:rsidR="00957774">
        <w:rPr>
          <w:rFonts w:eastAsia="Calibri" w:cs="Times New Roman"/>
          <w:sz w:val="24"/>
          <w:szCs w:val="24"/>
        </w:rPr>
        <w:t>3</w:t>
      </w:r>
      <w:r>
        <w:rPr>
          <w:rFonts w:eastAsia="Calibri" w:cs="Times New Roman"/>
          <w:sz w:val="24"/>
          <w:szCs w:val="24"/>
        </w:rPr>
        <w:t>]</w:t>
      </w:r>
      <w:r w:rsidRPr="003910CF">
        <w:rPr>
          <w:rFonts w:eastAsia="Calibri" w:cs="Times New Roman"/>
          <w:sz w:val="24"/>
          <w:szCs w:val="24"/>
        </w:rPr>
        <w:t xml:space="preserve">   </w:t>
      </w:r>
      <w:r>
        <w:rPr>
          <w:rFonts w:eastAsia="Calibri" w:cs="Times New Roman"/>
          <w:sz w:val="24"/>
          <w:szCs w:val="24"/>
        </w:rPr>
        <w:t xml:space="preserve">  </w:t>
      </w:r>
      <w:r w:rsidR="00B51518">
        <w:rPr>
          <w:sz w:val="24"/>
          <w:szCs w:val="24"/>
        </w:rPr>
        <w:t xml:space="preserve">The </w:t>
      </w:r>
      <w:r w:rsidR="00B51518" w:rsidRPr="00052872">
        <w:rPr>
          <w:sz w:val="24"/>
          <w:szCs w:val="24"/>
        </w:rPr>
        <w:t>Gout Impact Scale (GIS) subscales</w:t>
      </w:r>
      <w:r w:rsidR="00052872" w:rsidRPr="00052872">
        <w:rPr>
          <w:sz w:val="24"/>
          <w:szCs w:val="24"/>
        </w:rPr>
        <w:t xml:space="preserve"> </w:t>
      </w:r>
      <w:r w:rsidR="009D2D99">
        <w:rPr>
          <w:sz w:val="24"/>
          <w:szCs w:val="24"/>
        </w:rPr>
        <w:t>[</w:t>
      </w:r>
      <w:r w:rsidR="00A41785" w:rsidRPr="00533CDB">
        <w:rPr>
          <w:sz w:val="24"/>
          <w:szCs w:val="24"/>
        </w:rPr>
        <w:t>1</w:t>
      </w:r>
      <w:r w:rsidR="00957774">
        <w:rPr>
          <w:sz w:val="24"/>
          <w:szCs w:val="24"/>
        </w:rPr>
        <w:t>3</w:t>
      </w:r>
      <w:r w:rsidR="009D2D99" w:rsidRPr="00533CDB">
        <w:rPr>
          <w:sz w:val="24"/>
          <w:szCs w:val="24"/>
        </w:rPr>
        <w:t>]</w:t>
      </w:r>
      <w:r w:rsidR="001C0D4F">
        <w:rPr>
          <w:sz w:val="24"/>
          <w:szCs w:val="24"/>
        </w:rPr>
        <w:t>,</w:t>
      </w:r>
      <w:r w:rsidR="00B51518" w:rsidRPr="00533CDB">
        <w:rPr>
          <w:sz w:val="24"/>
          <w:szCs w:val="24"/>
        </w:rPr>
        <w:t xml:space="preserve"> </w:t>
      </w:r>
      <w:r w:rsidR="00CE37EE" w:rsidRPr="00533CDB">
        <w:rPr>
          <w:sz w:val="24"/>
          <w:szCs w:val="24"/>
        </w:rPr>
        <w:t xml:space="preserve"> Shor</w:t>
      </w:r>
      <w:r w:rsidR="00AE33B4" w:rsidRPr="00533CDB">
        <w:rPr>
          <w:sz w:val="24"/>
          <w:szCs w:val="24"/>
        </w:rPr>
        <w:t>t-Form</w:t>
      </w:r>
      <w:r w:rsidR="001C0D4F">
        <w:rPr>
          <w:sz w:val="24"/>
          <w:szCs w:val="24"/>
        </w:rPr>
        <w:t>-36</w:t>
      </w:r>
      <w:r w:rsidR="00AE33B4" w:rsidRPr="00533CDB">
        <w:rPr>
          <w:sz w:val="24"/>
          <w:szCs w:val="24"/>
        </w:rPr>
        <w:t xml:space="preserve"> </w:t>
      </w:r>
      <w:r w:rsidR="00CE37EE" w:rsidRPr="00533CDB">
        <w:rPr>
          <w:sz w:val="24"/>
          <w:szCs w:val="24"/>
        </w:rPr>
        <w:t xml:space="preserve">Physical Function subscale </w:t>
      </w:r>
      <w:r w:rsidR="00B51518" w:rsidRPr="00533CDB">
        <w:rPr>
          <w:sz w:val="24"/>
          <w:szCs w:val="24"/>
        </w:rPr>
        <w:t xml:space="preserve">(SF-36 PF10) </w:t>
      </w:r>
      <w:r w:rsidR="00CF535C" w:rsidRPr="00533CDB">
        <w:rPr>
          <w:rFonts w:eastAsia="Calibri" w:cs="Times New Roman"/>
          <w:sz w:val="24"/>
          <w:szCs w:val="24"/>
        </w:rPr>
        <w:t>[</w:t>
      </w:r>
      <w:r w:rsidR="00693E1C" w:rsidRPr="00533CDB">
        <w:rPr>
          <w:rFonts w:eastAsia="Calibri" w:cs="Times New Roman"/>
          <w:sz w:val="24"/>
          <w:szCs w:val="24"/>
        </w:rPr>
        <w:t>30</w:t>
      </w:r>
      <w:r w:rsidR="00CF535C" w:rsidRPr="00533CDB">
        <w:rPr>
          <w:rFonts w:eastAsia="Calibri" w:cs="Times New Roman"/>
          <w:sz w:val="24"/>
          <w:szCs w:val="24"/>
        </w:rPr>
        <w:t xml:space="preserve">] </w:t>
      </w:r>
      <w:r w:rsidR="00B51518" w:rsidRPr="00533CDB">
        <w:rPr>
          <w:sz w:val="24"/>
          <w:szCs w:val="24"/>
        </w:rPr>
        <w:t xml:space="preserve">and </w:t>
      </w:r>
      <w:r w:rsidR="0082519C" w:rsidRPr="00533CDB">
        <w:rPr>
          <w:sz w:val="24"/>
          <w:szCs w:val="24"/>
        </w:rPr>
        <w:t>H</w:t>
      </w:r>
      <w:r w:rsidR="00B51518" w:rsidRPr="00533CDB">
        <w:rPr>
          <w:sz w:val="24"/>
          <w:szCs w:val="24"/>
        </w:rPr>
        <w:t xml:space="preserve">ealth </w:t>
      </w:r>
      <w:r w:rsidR="0082519C" w:rsidRPr="00533CDB">
        <w:rPr>
          <w:sz w:val="24"/>
          <w:szCs w:val="24"/>
        </w:rPr>
        <w:t>A</w:t>
      </w:r>
      <w:r w:rsidR="00B51518" w:rsidRPr="00533CDB">
        <w:rPr>
          <w:sz w:val="24"/>
          <w:szCs w:val="24"/>
        </w:rPr>
        <w:t xml:space="preserve">ssessment </w:t>
      </w:r>
      <w:r w:rsidR="0082519C" w:rsidRPr="00533CDB">
        <w:rPr>
          <w:sz w:val="24"/>
          <w:szCs w:val="24"/>
        </w:rPr>
        <w:t>Q</w:t>
      </w:r>
      <w:r w:rsidR="00B51518" w:rsidRPr="00533CDB">
        <w:rPr>
          <w:sz w:val="24"/>
          <w:szCs w:val="24"/>
        </w:rPr>
        <w:t xml:space="preserve">uestionnaire </w:t>
      </w:r>
      <w:r w:rsidR="0082519C" w:rsidRPr="00533CDB">
        <w:rPr>
          <w:sz w:val="24"/>
          <w:szCs w:val="24"/>
        </w:rPr>
        <w:t>D</w:t>
      </w:r>
      <w:r w:rsidR="00B51518" w:rsidRPr="00533CDB">
        <w:rPr>
          <w:sz w:val="24"/>
          <w:szCs w:val="24"/>
        </w:rPr>
        <w:t xml:space="preserve">isability </w:t>
      </w:r>
      <w:r w:rsidR="0082519C" w:rsidRPr="00533CDB">
        <w:rPr>
          <w:sz w:val="24"/>
          <w:szCs w:val="24"/>
        </w:rPr>
        <w:t>I</w:t>
      </w:r>
      <w:r w:rsidR="00B51518" w:rsidRPr="00533CDB">
        <w:rPr>
          <w:sz w:val="24"/>
          <w:szCs w:val="24"/>
        </w:rPr>
        <w:t xml:space="preserve">ndex (HAQ-DI) </w:t>
      </w:r>
      <w:r w:rsidR="00CF535C" w:rsidRPr="00533CDB">
        <w:rPr>
          <w:rFonts w:eastAsia="Calibri" w:cs="Times New Roman"/>
          <w:sz w:val="24"/>
          <w:szCs w:val="24"/>
        </w:rPr>
        <w:t>[</w:t>
      </w:r>
      <w:r w:rsidR="00693E1C" w:rsidRPr="00533CDB">
        <w:rPr>
          <w:rFonts w:eastAsia="Calibri" w:cs="Times New Roman"/>
          <w:sz w:val="24"/>
          <w:szCs w:val="24"/>
        </w:rPr>
        <w:t>31</w:t>
      </w:r>
      <w:r w:rsidR="00CF535C" w:rsidRPr="00533CDB">
        <w:rPr>
          <w:rFonts w:eastAsia="Calibri" w:cs="Times New Roman"/>
          <w:sz w:val="24"/>
          <w:szCs w:val="24"/>
        </w:rPr>
        <w:t>]</w:t>
      </w:r>
      <w:r w:rsidR="00052872" w:rsidRPr="00533CDB">
        <w:rPr>
          <w:rFonts w:eastAsia="Calibri" w:cs="Times New Roman"/>
          <w:sz w:val="24"/>
          <w:szCs w:val="24"/>
        </w:rPr>
        <w:t xml:space="preserve"> </w:t>
      </w:r>
      <w:r w:rsidR="00B51518" w:rsidRPr="00533CDB">
        <w:rPr>
          <w:sz w:val="24"/>
          <w:szCs w:val="24"/>
        </w:rPr>
        <w:t>were included in the postal questionnaire survey at all five time-points</w:t>
      </w:r>
      <w:r w:rsidR="00887412" w:rsidRPr="00533CDB">
        <w:rPr>
          <w:sz w:val="24"/>
          <w:szCs w:val="24"/>
        </w:rPr>
        <w:t xml:space="preserve">.  </w:t>
      </w:r>
      <w:r w:rsidR="00B51518" w:rsidRPr="00533CDB">
        <w:rPr>
          <w:sz w:val="24"/>
          <w:szCs w:val="24"/>
        </w:rPr>
        <w:t xml:space="preserve">Each </w:t>
      </w:r>
      <w:r w:rsidR="009D2D99" w:rsidRPr="00533CDB">
        <w:rPr>
          <w:sz w:val="24"/>
          <w:szCs w:val="24"/>
        </w:rPr>
        <w:t xml:space="preserve">of the five </w:t>
      </w:r>
      <w:r w:rsidR="00B51518" w:rsidRPr="00533CDB">
        <w:rPr>
          <w:sz w:val="24"/>
          <w:szCs w:val="24"/>
        </w:rPr>
        <w:t>GIS subscale</w:t>
      </w:r>
      <w:r w:rsidR="00065183" w:rsidRPr="00533CDB">
        <w:rPr>
          <w:sz w:val="24"/>
          <w:szCs w:val="24"/>
        </w:rPr>
        <w:t xml:space="preserve">s </w:t>
      </w:r>
      <w:r w:rsidR="00887412" w:rsidRPr="00533CDB">
        <w:rPr>
          <w:sz w:val="24"/>
          <w:szCs w:val="24"/>
        </w:rPr>
        <w:t>are</w:t>
      </w:r>
      <w:r w:rsidR="00B51518" w:rsidRPr="00533CDB">
        <w:rPr>
          <w:sz w:val="24"/>
          <w:szCs w:val="24"/>
        </w:rPr>
        <w:t xml:space="preserve"> scored from</w:t>
      </w:r>
      <w:r w:rsidR="00537146">
        <w:rPr>
          <w:sz w:val="24"/>
          <w:szCs w:val="24"/>
        </w:rPr>
        <w:t xml:space="preserve"> 0</w:t>
      </w:r>
      <w:r w:rsidR="00B51518" w:rsidRPr="00533CDB">
        <w:rPr>
          <w:sz w:val="24"/>
          <w:szCs w:val="24"/>
        </w:rPr>
        <w:t xml:space="preserve"> to 100, with higher scores indicating worse disease-specific HRQOL.</w:t>
      </w:r>
      <w:r w:rsidR="007071D8" w:rsidRPr="00533CDB">
        <w:rPr>
          <w:sz w:val="24"/>
          <w:szCs w:val="24"/>
        </w:rPr>
        <w:t>[</w:t>
      </w:r>
      <w:r w:rsidR="00693E1C" w:rsidRPr="00533CDB">
        <w:rPr>
          <w:sz w:val="24"/>
          <w:szCs w:val="24"/>
        </w:rPr>
        <w:t>32</w:t>
      </w:r>
      <w:r w:rsidR="007071D8" w:rsidRPr="00533CDB">
        <w:rPr>
          <w:sz w:val="24"/>
          <w:szCs w:val="24"/>
        </w:rPr>
        <w:t>]</w:t>
      </w:r>
      <w:r w:rsidR="00B51518" w:rsidRPr="00533CDB">
        <w:rPr>
          <w:sz w:val="24"/>
          <w:szCs w:val="24"/>
        </w:rPr>
        <w:t xml:space="preserve"> </w:t>
      </w:r>
      <w:r w:rsidR="00052872" w:rsidRPr="00533CDB">
        <w:rPr>
          <w:sz w:val="24"/>
          <w:szCs w:val="24"/>
        </w:rPr>
        <w:t>The SF-</w:t>
      </w:r>
      <w:r w:rsidR="00052872" w:rsidRPr="00533CDB">
        <w:rPr>
          <w:sz w:val="24"/>
          <w:szCs w:val="24"/>
        </w:rPr>
        <w:lastRenderedPageBreak/>
        <w:t xml:space="preserve">36 PF10 is scored from </w:t>
      </w:r>
      <w:r w:rsidR="00FD0A86" w:rsidRPr="00533CDB">
        <w:rPr>
          <w:sz w:val="24"/>
          <w:szCs w:val="24"/>
        </w:rPr>
        <w:t>0</w:t>
      </w:r>
      <w:r w:rsidR="00052872" w:rsidRPr="00533CDB">
        <w:rPr>
          <w:sz w:val="24"/>
          <w:szCs w:val="24"/>
        </w:rPr>
        <w:t xml:space="preserve"> to 100, </w:t>
      </w:r>
      <w:r w:rsidR="00E67D23" w:rsidRPr="00533CDB">
        <w:rPr>
          <w:sz w:val="24"/>
          <w:szCs w:val="24"/>
        </w:rPr>
        <w:t>with a low score indicating that an individual</w:t>
      </w:r>
      <w:r w:rsidR="00052872" w:rsidRPr="00533CDB">
        <w:rPr>
          <w:sz w:val="24"/>
          <w:szCs w:val="24"/>
        </w:rPr>
        <w:t xml:space="preserve"> </w:t>
      </w:r>
      <w:r w:rsidR="00E67D23" w:rsidRPr="00533CDB">
        <w:rPr>
          <w:sz w:val="24"/>
          <w:szCs w:val="24"/>
        </w:rPr>
        <w:t>is limited a lot in performing physical activities</w:t>
      </w:r>
      <w:r w:rsidR="00E67D23" w:rsidRPr="00533CDB">
        <w:rPr>
          <w:rFonts w:eastAsia="Calibri" w:cs="Times New Roman"/>
          <w:sz w:val="24"/>
          <w:szCs w:val="24"/>
        </w:rPr>
        <w:t>.</w:t>
      </w:r>
      <w:r w:rsidR="007071D8" w:rsidRPr="00533CDB">
        <w:rPr>
          <w:rFonts w:eastAsia="Calibri" w:cs="Times New Roman"/>
          <w:sz w:val="24"/>
          <w:szCs w:val="24"/>
        </w:rPr>
        <w:t>[</w:t>
      </w:r>
      <w:r w:rsidR="00693E1C" w:rsidRPr="00533CDB">
        <w:rPr>
          <w:rFonts w:eastAsia="Calibri" w:cs="Times New Roman"/>
          <w:sz w:val="24"/>
          <w:szCs w:val="24"/>
        </w:rPr>
        <w:t>30</w:t>
      </w:r>
      <w:r w:rsidR="007071D8" w:rsidRPr="00533CDB">
        <w:rPr>
          <w:rFonts w:eastAsia="Calibri" w:cs="Times New Roman"/>
          <w:sz w:val="24"/>
          <w:szCs w:val="24"/>
        </w:rPr>
        <w:t>,</w:t>
      </w:r>
      <w:r w:rsidR="00693E1C" w:rsidRPr="00533CDB">
        <w:rPr>
          <w:rFonts w:eastAsia="Calibri" w:cs="Times New Roman"/>
          <w:sz w:val="24"/>
          <w:szCs w:val="24"/>
        </w:rPr>
        <w:t>33</w:t>
      </w:r>
      <w:r w:rsidR="007071D8" w:rsidRPr="00533CDB">
        <w:rPr>
          <w:rFonts w:eastAsia="Calibri" w:cs="Times New Roman"/>
          <w:sz w:val="24"/>
          <w:szCs w:val="24"/>
        </w:rPr>
        <w:t>]</w:t>
      </w:r>
      <w:r w:rsidR="00E67D23" w:rsidRPr="00533CDB">
        <w:rPr>
          <w:rFonts w:eastAsia="Calibri" w:cs="Times New Roman"/>
          <w:sz w:val="24"/>
          <w:szCs w:val="24"/>
        </w:rPr>
        <w:t xml:space="preserve">  </w:t>
      </w:r>
      <w:r w:rsidR="00FD0A86" w:rsidRPr="00533CDB">
        <w:rPr>
          <w:rFonts w:eastAsia="Calibri" w:cs="Times New Roman"/>
          <w:sz w:val="24"/>
          <w:szCs w:val="24"/>
        </w:rPr>
        <w:t xml:space="preserve"> The HAQ-DI is scored from 0 to 3, </w:t>
      </w:r>
      <w:r w:rsidR="0006357C" w:rsidRPr="00533CDB">
        <w:rPr>
          <w:rFonts w:eastAsia="Calibri" w:cs="Times New Roman"/>
          <w:sz w:val="24"/>
          <w:szCs w:val="24"/>
        </w:rPr>
        <w:t xml:space="preserve">with higher scores indicating </w:t>
      </w:r>
      <w:r w:rsidR="00537146">
        <w:rPr>
          <w:rFonts w:eastAsia="Calibri" w:cs="Times New Roman"/>
          <w:sz w:val="24"/>
          <w:szCs w:val="24"/>
        </w:rPr>
        <w:t xml:space="preserve">greater </w:t>
      </w:r>
      <w:r w:rsidR="0006357C" w:rsidRPr="00533CDB">
        <w:rPr>
          <w:rFonts w:eastAsia="Calibri" w:cs="Times New Roman"/>
          <w:sz w:val="24"/>
          <w:szCs w:val="24"/>
        </w:rPr>
        <w:t xml:space="preserve">activity limitation and </w:t>
      </w:r>
      <w:r w:rsidR="00FD0A86" w:rsidRPr="00533CDB">
        <w:rPr>
          <w:rFonts w:eastAsia="Calibri" w:cs="Times New Roman"/>
          <w:sz w:val="24"/>
          <w:szCs w:val="24"/>
        </w:rPr>
        <w:t>a score of 3 indicating complete disability.</w:t>
      </w:r>
      <w:r w:rsidR="00F14943" w:rsidRPr="00533CDB">
        <w:rPr>
          <w:rFonts w:eastAsia="Calibri" w:cs="Times New Roman"/>
          <w:sz w:val="24"/>
          <w:szCs w:val="24"/>
        </w:rPr>
        <w:t>[</w:t>
      </w:r>
      <w:r w:rsidR="00693E1C" w:rsidRPr="00533CDB">
        <w:rPr>
          <w:rFonts w:eastAsia="Calibri" w:cs="Times New Roman"/>
          <w:sz w:val="24"/>
          <w:szCs w:val="24"/>
        </w:rPr>
        <w:t>3</w:t>
      </w:r>
      <w:r w:rsidR="00B078B1" w:rsidRPr="00533CDB">
        <w:rPr>
          <w:rFonts w:eastAsia="Calibri" w:cs="Times New Roman"/>
          <w:sz w:val="24"/>
          <w:szCs w:val="24"/>
        </w:rPr>
        <w:t>1</w:t>
      </w:r>
      <w:r w:rsidR="00F14943">
        <w:rPr>
          <w:rFonts w:eastAsia="Calibri" w:cs="Times New Roman"/>
          <w:sz w:val="24"/>
          <w:szCs w:val="24"/>
        </w:rPr>
        <w:t>]</w:t>
      </w:r>
      <w:r w:rsidR="0006357C">
        <w:rPr>
          <w:rFonts w:eastAsia="Calibri" w:cs="Times New Roman"/>
          <w:sz w:val="24"/>
          <w:szCs w:val="24"/>
        </w:rPr>
        <w:t xml:space="preserve"> </w:t>
      </w:r>
      <w:r w:rsidR="008B791A">
        <w:rPr>
          <w:sz w:val="24"/>
          <w:szCs w:val="24"/>
        </w:rPr>
        <w:t>Items</w:t>
      </w:r>
      <w:r w:rsidR="0006357C">
        <w:rPr>
          <w:sz w:val="24"/>
          <w:szCs w:val="24"/>
        </w:rPr>
        <w:t xml:space="preserve"> </w:t>
      </w:r>
      <w:r w:rsidR="008B791A">
        <w:rPr>
          <w:sz w:val="24"/>
          <w:szCs w:val="24"/>
        </w:rPr>
        <w:t>within these outcome measures</w:t>
      </w:r>
      <w:r w:rsidR="0006357C">
        <w:rPr>
          <w:sz w:val="24"/>
          <w:szCs w:val="24"/>
        </w:rPr>
        <w:t xml:space="preserve"> refer to the current situation </w:t>
      </w:r>
      <w:r w:rsidR="008B791A">
        <w:rPr>
          <w:sz w:val="24"/>
          <w:szCs w:val="24"/>
        </w:rPr>
        <w:t xml:space="preserve">(GIS CO, MSE, UTN, CDA and SF-36 PF10), </w:t>
      </w:r>
      <w:r w:rsidR="0006357C">
        <w:rPr>
          <w:sz w:val="24"/>
          <w:szCs w:val="24"/>
        </w:rPr>
        <w:t xml:space="preserve">during </w:t>
      </w:r>
      <w:r w:rsidR="00065183">
        <w:rPr>
          <w:sz w:val="24"/>
          <w:szCs w:val="24"/>
        </w:rPr>
        <w:t>the last</w:t>
      </w:r>
      <w:r w:rsidR="009A357B">
        <w:rPr>
          <w:sz w:val="24"/>
          <w:szCs w:val="24"/>
        </w:rPr>
        <w:t xml:space="preserve"> </w:t>
      </w:r>
      <w:r w:rsidR="0006357C">
        <w:rPr>
          <w:sz w:val="24"/>
          <w:szCs w:val="24"/>
        </w:rPr>
        <w:t xml:space="preserve">gout flare </w:t>
      </w:r>
      <w:r w:rsidR="008B791A">
        <w:rPr>
          <w:sz w:val="24"/>
          <w:szCs w:val="24"/>
        </w:rPr>
        <w:t>(</w:t>
      </w:r>
      <w:r w:rsidR="0006357C">
        <w:rPr>
          <w:sz w:val="24"/>
          <w:szCs w:val="24"/>
        </w:rPr>
        <w:t xml:space="preserve">GIS </w:t>
      </w:r>
      <w:r w:rsidR="008B791A">
        <w:rPr>
          <w:sz w:val="24"/>
          <w:szCs w:val="24"/>
        </w:rPr>
        <w:t>WBDA)</w:t>
      </w:r>
      <w:r w:rsidR="0006357C">
        <w:rPr>
          <w:sz w:val="24"/>
          <w:szCs w:val="24"/>
        </w:rPr>
        <w:t xml:space="preserve">, </w:t>
      </w:r>
      <w:r w:rsidR="00C1154B">
        <w:rPr>
          <w:sz w:val="24"/>
          <w:szCs w:val="24"/>
        </w:rPr>
        <w:t xml:space="preserve">or </w:t>
      </w:r>
      <w:r w:rsidR="0006357C">
        <w:rPr>
          <w:sz w:val="24"/>
          <w:szCs w:val="24"/>
        </w:rPr>
        <w:t xml:space="preserve">during the previous week </w:t>
      </w:r>
      <w:r w:rsidR="009A357B">
        <w:rPr>
          <w:sz w:val="24"/>
          <w:szCs w:val="24"/>
        </w:rPr>
        <w:t>(</w:t>
      </w:r>
      <w:r w:rsidR="0006357C">
        <w:rPr>
          <w:sz w:val="24"/>
          <w:szCs w:val="24"/>
        </w:rPr>
        <w:t>HAQ-DI</w:t>
      </w:r>
      <w:r w:rsidR="009A357B">
        <w:rPr>
          <w:sz w:val="24"/>
          <w:szCs w:val="24"/>
        </w:rPr>
        <w:t>)</w:t>
      </w:r>
      <w:r w:rsidR="0006357C">
        <w:rPr>
          <w:sz w:val="24"/>
          <w:szCs w:val="24"/>
        </w:rPr>
        <w:t xml:space="preserve">. </w:t>
      </w:r>
      <w:r w:rsidR="0006357C" w:rsidRPr="00052872">
        <w:rPr>
          <w:sz w:val="24"/>
          <w:szCs w:val="24"/>
        </w:rPr>
        <w:t xml:space="preserve"> </w:t>
      </w:r>
    </w:p>
    <w:p w14:paraId="418D9C37" w14:textId="3F71A0BD" w:rsidR="00C710A2" w:rsidRPr="00C710A2" w:rsidRDefault="00AB0A5A" w:rsidP="00803538">
      <w:pPr>
        <w:spacing w:after="0" w:line="480" w:lineRule="auto"/>
        <w:jc w:val="both"/>
        <w:rPr>
          <w:b/>
          <w:sz w:val="24"/>
          <w:szCs w:val="24"/>
        </w:rPr>
      </w:pPr>
      <w:r>
        <w:rPr>
          <w:b/>
          <w:sz w:val="24"/>
          <w:szCs w:val="24"/>
        </w:rPr>
        <w:t>Gout-specific, comorbid,</w:t>
      </w:r>
      <w:r w:rsidR="0006357C">
        <w:rPr>
          <w:b/>
          <w:sz w:val="24"/>
          <w:szCs w:val="24"/>
        </w:rPr>
        <w:t xml:space="preserve"> socio-demographic</w:t>
      </w:r>
      <w:r>
        <w:rPr>
          <w:b/>
          <w:sz w:val="24"/>
          <w:szCs w:val="24"/>
        </w:rPr>
        <w:t xml:space="preserve"> and anthropometric</w:t>
      </w:r>
      <w:r w:rsidR="0006357C">
        <w:rPr>
          <w:b/>
          <w:sz w:val="24"/>
          <w:szCs w:val="24"/>
        </w:rPr>
        <w:t xml:space="preserve"> variables</w:t>
      </w:r>
    </w:p>
    <w:bookmarkEnd w:id="0"/>
    <w:p w14:paraId="31358A25" w14:textId="684ACB49" w:rsidR="00AB0A5A" w:rsidRDefault="00803538" w:rsidP="0089345F">
      <w:pPr>
        <w:spacing w:after="0" w:line="480" w:lineRule="auto"/>
        <w:jc w:val="both"/>
        <w:rPr>
          <w:sz w:val="24"/>
          <w:szCs w:val="24"/>
        </w:rPr>
      </w:pPr>
      <w:r w:rsidRPr="00803538">
        <w:rPr>
          <w:sz w:val="24"/>
          <w:szCs w:val="24"/>
        </w:rPr>
        <w:t>Gout-specific</w:t>
      </w:r>
      <w:r w:rsidR="00CA5922">
        <w:rPr>
          <w:sz w:val="24"/>
          <w:szCs w:val="24"/>
        </w:rPr>
        <w:t xml:space="preserve"> characteristics</w:t>
      </w:r>
      <w:r w:rsidRPr="00803538">
        <w:rPr>
          <w:sz w:val="24"/>
          <w:szCs w:val="24"/>
        </w:rPr>
        <w:t xml:space="preserve"> (</w:t>
      </w:r>
      <w:r w:rsidR="001E5A90">
        <w:rPr>
          <w:sz w:val="24"/>
          <w:szCs w:val="24"/>
        </w:rPr>
        <w:t xml:space="preserve">gout flare frequency, </w:t>
      </w:r>
      <w:r w:rsidRPr="00803538">
        <w:rPr>
          <w:sz w:val="24"/>
          <w:szCs w:val="24"/>
        </w:rPr>
        <w:t xml:space="preserve">age of gout onset, </w:t>
      </w:r>
      <w:r w:rsidR="001E5A90">
        <w:rPr>
          <w:sz w:val="24"/>
          <w:szCs w:val="24"/>
        </w:rPr>
        <w:t>current flare</w:t>
      </w:r>
      <w:r w:rsidR="00CA5922">
        <w:rPr>
          <w:sz w:val="24"/>
          <w:szCs w:val="24"/>
        </w:rPr>
        <w:t xml:space="preserve"> (yes/no)</w:t>
      </w:r>
      <w:r w:rsidR="001E5A90">
        <w:rPr>
          <w:sz w:val="24"/>
          <w:szCs w:val="24"/>
        </w:rPr>
        <w:t>,</w:t>
      </w:r>
      <w:r w:rsidR="00CA5922">
        <w:rPr>
          <w:sz w:val="24"/>
          <w:szCs w:val="24"/>
        </w:rPr>
        <w:t xml:space="preserve"> </w:t>
      </w:r>
      <w:r w:rsidRPr="00803538">
        <w:rPr>
          <w:sz w:val="24"/>
          <w:szCs w:val="24"/>
        </w:rPr>
        <w:t>history of oligo- or polyarticular flares (ever))</w:t>
      </w:r>
      <w:r w:rsidR="00CA5922">
        <w:rPr>
          <w:sz w:val="24"/>
          <w:szCs w:val="24"/>
        </w:rPr>
        <w:t xml:space="preserve"> were self-reported in the questionnaires.  Participants were asked if they had ever been diagnosed with</w:t>
      </w:r>
      <w:r w:rsidRPr="00803538">
        <w:rPr>
          <w:sz w:val="24"/>
          <w:szCs w:val="24"/>
        </w:rPr>
        <w:t xml:space="preserve"> </w:t>
      </w:r>
      <w:r w:rsidR="00065183" w:rsidRPr="002D60DD">
        <w:rPr>
          <w:sz w:val="24"/>
          <w:szCs w:val="24"/>
        </w:rPr>
        <w:t>diabetes, hypertension, hyperlipidaemia, myocardial infarction, angina, cerebrovascular accident, transient ischaemic attack, renal failure</w:t>
      </w:r>
      <w:r w:rsidR="00CA5922">
        <w:rPr>
          <w:sz w:val="24"/>
          <w:szCs w:val="24"/>
        </w:rPr>
        <w:t xml:space="preserve"> or</w:t>
      </w:r>
      <w:r w:rsidR="00065183" w:rsidRPr="002D60DD">
        <w:rPr>
          <w:sz w:val="24"/>
          <w:szCs w:val="24"/>
        </w:rPr>
        <w:t xml:space="preserve"> renal calculi</w:t>
      </w:r>
      <w:r w:rsidR="00CA5922">
        <w:rPr>
          <w:sz w:val="24"/>
          <w:szCs w:val="24"/>
        </w:rPr>
        <w:t xml:space="preserve"> and </w:t>
      </w:r>
      <w:r w:rsidR="00C76D67">
        <w:rPr>
          <w:sz w:val="24"/>
          <w:szCs w:val="24"/>
        </w:rPr>
        <w:t xml:space="preserve">asked </w:t>
      </w:r>
      <w:r w:rsidR="00CA5922">
        <w:rPr>
          <w:sz w:val="24"/>
          <w:szCs w:val="24"/>
        </w:rPr>
        <w:t xml:space="preserve">to self-report their height and weight. Depression and anxiety were assessed using the </w:t>
      </w:r>
      <w:r w:rsidR="00971284">
        <w:rPr>
          <w:sz w:val="24"/>
          <w:szCs w:val="24"/>
        </w:rPr>
        <w:t>patient health questionnaire-9 (PHQ-9)</w:t>
      </w:r>
      <w:r w:rsidR="00CA5922">
        <w:rPr>
          <w:sz w:val="24"/>
          <w:szCs w:val="24"/>
        </w:rPr>
        <w:t xml:space="preserve"> </w:t>
      </w:r>
      <w:r w:rsidR="00327EE9">
        <w:rPr>
          <w:sz w:val="24"/>
          <w:szCs w:val="24"/>
        </w:rPr>
        <w:t>[34</w:t>
      </w:r>
      <w:r w:rsidR="00DE5A34">
        <w:rPr>
          <w:sz w:val="24"/>
          <w:szCs w:val="24"/>
        </w:rPr>
        <w:t xml:space="preserve">] </w:t>
      </w:r>
      <w:r w:rsidR="00CA5922">
        <w:rPr>
          <w:sz w:val="24"/>
          <w:szCs w:val="24"/>
        </w:rPr>
        <w:t>and the</w:t>
      </w:r>
      <w:r w:rsidR="00971284">
        <w:rPr>
          <w:sz w:val="24"/>
          <w:szCs w:val="24"/>
        </w:rPr>
        <w:t xml:space="preserve"> generalised anxiety questionnaire (GAQ-7)</w:t>
      </w:r>
      <w:r w:rsidR="00327EE9">
        <w:rPr>
          <w:sz w:val="24"/>
          <w:szCs w:val="24"/>
        </w:rPr>
        <w:t>[35</w:t>
      </w:r>
      <w:r w:rsidR="00DE5A34">
        <w:rPr>
          <w:sz w:val="24"/>
          <w:szCs w:val="24"/>
        </w:rPr>
        <w:t>]</w:t>
      </w:r>
      <w:r w:rsidR="00CA5922">
        <w:rPr>
          <w:sz w:val="24"/>
          <w:szCs w:val="24"/>
        </w:rPr>
        <w:t xml:space="preserve"> respectively. Participants were asked about the</w:t>
      </w:r>
      <w:r w:rsidR="00971284">
        <w:rPr>
          <w:sz w:val="24"/>
          <w:szCs w:val="24"/>
        </w:rPr>
        <w:t xml:space="preserve"> presence </w:t>
      </w:r>
      <w:r w:rsidR="00065183">
        <w:rPr>
          <w:sz w:val="24"/>
          <w:szCs w:val="24"/>
        </w:rPr>
        <w:t>(</w:t>
      </w:r>
      <w:r w:rsidR="00CA5922">
        <w:rPr>
          <w:sz w:val="24"/>
          <w:szCs w:val="24"/>
        </w:rPr>
        <w:t xml:space="preserve">pain, </w:t>
      </w:r>
      <w:r w:rsidR="00805F5D">
        <w:rPr>
          <w:sz w:val="24"/>
          <w:szCs w:val="24"/>
        </w:rPr>
        <w:t>ach</w:t>
      </w:r>
      <w:r w:rsidR="00CA5922">
        <w:rPr>
          <w:sz w:val="24"/>
          <w:szCs w:val="24"/>
        </w:rPr>
        <w:t>ing</w:t>
      </w:r>
      <w:r w:rsidR="00805F5D">
        <w:rPr>
          <w:sz w:val="24"/>
          <w:szCs w:val="24"/>
        </w:rPr>
        <w:t xml:space="preserve"> or stiffness</w:t>
      </w:r>
      <w:r w:rsidR="00805F5D" w:rsidRPr="00805F5D">
        <w:rPr>
          <w:sz w:val="24"/>
          <w:szCs w:val="24"/>
        </w:rPr>
        <w:t xml:space="preserve"> for one day or longer in the 4 weeks prior to baseline</w:t>
      </w:r>
      <w:r w:rsidR="00065183">
        <w:rPr>
          <w:sz w:val="24"/>
          <w:szCs w:val="24"/>
        </w:rPr>
        <w:t>)</w:t>
      </w:r>
      <w:r w:rsidR="00CA5922">
        <w:rPr>
          <w:sz w:val="24"/>
          <w:szCs w:val="24"/>
        </w:rPr>
        <w:t xml:space="preserve"> and severity (0-10 </w:t>
      </w:r>
      <w:r w:rsidR="00971284">
        <w:rPr>
          <w:sz w:val="24"/>
          <w:szCs w:val="24"/>
        </w:rPr>
        <w:t xml:space="preserve">numeric rating score (NRS) </w:t>
      </w:r>
      <w:r w:rsidR="00CA5922">
        <w:rPr>
          <w:sz w:val="24"/>
          <w:szCs w:val="24"/>
        </w:rPr>
        <w:t>in</w:t>
      </w:r>
      <w:r w:rsidR="004934FC">
        <w:rPr>
          <w:sz w:val="24"/>
          <w:szCs w:val="24"/>
        </w:rPr>
        <w:t xml:space="preserve"> past one week</w:t>
      </w:r>
      <w:r w:rsidR="00CA5922">
        <w:rPr>
          <w:sz w:val="24"/>
          <w:szCs w:val="24"/>
        </w:rPr>
        <w:t>) of pain</w:t>
      </w:r>
      <w:r w:rsidR="00EC36DA">
        <w:rPr>
          <w:sz w:val="24"/>
          <w:szCs w:val="24"/>
        </w:rPr>
        <w:t xml:space="preserve"> anywhere in the body</w:t>
      </w:r>
      <w:r w:rsidR="00CA5922">
        <w:rPr>
          <w:sz w:val="24"/>
          <w:szCs w:val="24"/>
        </w:rPr>
        <w:t>. S</w:t>
      </w:r>
      <w:r w:rsidRPr="00803538">
        <w:rPr>
          <w:sz w:val="24"/>
          <w:szCs w:val="24"/>
        </w:rPr>
        <w:t>ocio</w:t>
      </w:r>
      <w:r w:rsidR="00892B5E">
        <w:rPr>
          <w:sz w:val="24"/>
          <w:szCs w:val="24"/>
        </w:rPr>
        <w:t>-</w:t>
      </w:r>
      <w:r w:rsidRPr="00803538">
        <w:rPr>
          <w:sz w:val="24"/>
          <w:szCs w:val="24"/>
        </w:rPr>
        <w:t>demographic</w:t>
      </w:r>
      <w:r w:rsidR="00CB12F4">
        <w:rPr>
          <w:sz w:val="24"/>
          <w:szCs w:val="24"/>
        </w:rPr>
        <w:t xml:space="preserve"> characteristics comprised </w:t>
      </w:r>
      <w:r w:rsidRPr="00803538">
        <w:rPr>
          <w:sz w:val="24"/>
          <w:szCs w:val="24"/>
        </w:rPr>
        <w:t xml:space="preserve">age, </w:t>
      </w:r>
      <w:r w:rsidR="00892B5E">
        <w:rPr>
          <w:sz w:val="24"/>
          <w:szCs w:val="24"/>
        </w:rPr>
        <w:t>sex</w:t>
      </w:r>
      <w:r w:rsidRPr="00803538">
        <w:rPr>
          <w:sz w:val="24"/>
          <w:szCs w:val="24"/>
        </w:rPr>
        <w:t xml:space="preserve">, </w:t>
      </w:r>
      <w:r w:rsidR="00892B5E">
        <w:rPr>
          <w:sz w:val="24"/>
          <w:szCs w:val="24"/>
        </w:rPr>
        <w:t xml:space="preserve">ethnicity, </w:t>
      </w:r>
      <w:r w:rsidR="009A357B">
        <w:rPr>
          <w:sz w:val="24"/>
          <w:szCs w:val="24"/>
        </w:rPr>
        <w:t>marital</w:t>
      </w:r>
      <w:r w:rsidR="00892B5E">
        <w:rPr>
          <w:sz w:val="24"/>
          <w:szCs w:val="24"/>
        </w:rPr>
        <w:t xml:space="preserve"> status, </w:t>
      </w:r>
      <w:r w:rsidRPr="00803538">
        <w:rPr>
          <w:sz w:val="24"/>
          <w:szCs w:val="24"/>
        </w:rPr>
        <w:t>attendance at further education</w:t>
      </w:r>
      <w:r w:rsidR="00CB12F4">
        <w:rPr>
          <w:sz w:val="24"/>
          <w:szCs w:val="24"/>
        </w:rPr>
        <w:t xml:space="preserve"> and </w:t>
      </w:r>
      <w:r w:rsidR="00892B5E">
        <w:rPr>
          <w:sz w:val="24"/>
          <w:szCs w:val="24"/>
        </w:rPr>
        <w:t>alcohol consumption</w:t>
      </w:r>
      <w:r w:rsidR="00CB12F4">
        <w:rPr>
          <w:sz w:val="24"/>
          <w:szCs w:val="24"/>
        </w:rPr>
        <w:t>.</w:t>
      </w:r>
      <w:r w:rsidRPr="00803538">
        <w:rPr>
          <w:sz w:val="24"/>
          <w:szCs w:val="24"/>
        </w:rPr>
        <w:t xml:space="preserve"> Gout duration was calculated by subtracting age at gout diagnosis from current age. The total number of comorbidities was the </w:t>
      </w:r>
      <w:r w:rsidR="008A5266">
        <w:rPr>
          <w:sz w:val="24"/>
          <w:szCs w:val="24"/>
        </w:rPr>
        <w:t>count of the number</w:t>
      </w:r>
      <w:r w:rsidR="008A5266" w:rsidRPr="00803538">
        <w:rPr>
          <w:sz w:val="24"/>
          <w:szCs w:val="24"/>
        </w:rPr>
        <w:t xml:space="preserve"> </w:t>
      </w:r>
      <w:r w:rsidRPr="00803538">
        <w:rPr>
          <w:sz w:val="24"/>
          <w:szCs w:val="24"/>
        </w:rPr>
        <w:t xml:space="preserve">of self-reported comorbidities. BMI was calculated using self-reported weight and height. Neighbourhood deprivation was determined from the rank of the </w:t>
      </w:r>
      <w:r w:rsidR="001C0D4F">
        <w:rPr>
          <w:sz w:val="24"/>
          <w:szCs w:val="24"/>
        </w:rPr>
        <w:t>I</w:t>
      </w:r>
      <w:r w:rsidRPr="00803538">
        <w:rPr>
          <w:sz w:val="24"/>
          <w:szCs w:val="24"/>
        </w:rPr>
        <w:t xml:space="preserve">ndices of </w:t>
      </w:r>
      <w:r w:rsidR="001C0D4F">
        <w:rPr>
          <w:sz w:val="24"/>
          <w:szCs w:val="24"/>
        </w:rPr>
        <w:t>M</w:t>
      </w:r>
      <w:r w:rsidRPr="00803538">
        <w:rPr>
          <w:sz w:val="24"/>
          <w:szCs w:val="24"/>
        </w:rPr>
        <w:t xml:space="preserve">ultiple </w:t>
      </w:r>
      <w:r w:rsidR="001C0D4F">
        <w:rPr>
          <w:sz w:val="24"/>
          <w:szCs w:val="24"/>
        </w:rPr>
        <w:t>D</w:t>
      </w:r>
      <w:r w:rsidRPr="00803538">
        <w:rPr>
          <w:sz w:val="24"/>
          <w:szCs w:val="24"/>
        </w:rPr>
        <w:t xml:space="preserve">eprivation (IMD) using participant postal </w:t>
      </w:r>
      <w:r w:rsidRPr="00284BD8">
        <w:rPr>
          <w:sz w:val="24"/>
          <w:szCs w:val="24"/>
        </w:rPr>
        <w:t>codes.[</w:t>
      </w:r>
      <w:r w:rsidR="00B078B1" w:rsidRPr="00533CDB">
        <w:rPr>
          <w:sz w:val="24"/>
          <w:szCs w:val="24"/>
        </w:rPr>
        <w:t>3</w:t>
      </w:r>
      <w:r w:rsidR="00DE5A34">
        <w:rPr>
          <w:sz w:val="24"/>
          <w:szCs w:val="24"/>
        </w:rPr>
        <w:t>6</w:t>
      </w:r>
      <w:r w:rsidRPr="00284BD8">
        <w:rPr>
          <w:sz w:val="24"/>
          <w:szCs w:val="24"/>
        </w:rPr>
        <w:t>]</w:t>
      </w:r>
      <w:r w:rsidR="008A5266">
        <w:rPr>
          <w:sz w:val="24"/>
          <w:szCs w:val="24"/>
        </w:rPr>
        <w:t xml:space="preserve"> </w:t>
      </w:r>
      <w:r w:rsidR="0065273A">
        <w:rPr>
          <w:sz w:val="24"/>
          <w:szCs w:val="24"/>
        </w:rPr>
        <w:t>P</w:t>
      </w:r>
      <w:r w:rsidRPr="00803538">
        <w:rPr>
          <w:sz w:val="24"/>
          <w:szCs w:val="24"/>
        </w:rPr>
        <w:t xml:space="preserve">resence of tophi, serum urate level (highest recorded), </w:t>
      </w:r>
      <w:r w:rsidR="001E5A90">
        <w:rPr>
          <w:sz w:val="24"/>
          <w:szCs w:val="24"/>
        </w:rPr>
        <w:t xml:space="preserve">and </w:t>
      </w:r>
      <w:r w:rsidRPr="00803538">
        <w:rPr>
          <w:sz w:val="24"/>
          <w:szCs w:val="24"/>
        </w:rPr>
        <w:t xml:space="preserve">estimated glomerular filtration rate (eGFR) </w:t>
      </w:r>
      <w:r w:rsidR="0065273A">
        <w:rPr>
          <w:sz w:val="24"/>
          <w:szCs w:val="24"/>
        </w:rPr>
        <w:t xml:space="preserve">during the two-year period prior to baseline </w:t>
      </w:r>
      <w:r w:rsidRPr="00803538">
        <w:rPr>
          <w:sz w:val="24"/>
          <w:szCs w:val="24"/>
        </w:rPr>
        <w:t xml:space="preserve">were obtained from </w:t>
      </w:r>
      <w:r w:rsidR="00AE33B4">
        <w:rPr>
          <w:sz w:val="24"/>
          <w:szCs w:val="24"/>
        </w:rPr>
        <w:t>the medical record</w:t>
      </w:r>
      <w:r w:rsidR="00BE0152">
        <w:rPr>
          <w:sz w:val="24"/>
          <w:szCs w:val="24"/>
        </w:rPr>
        <w:t>, where available</w:t>
      </w:r>
      <w:r w:rsidRPr="00803538">
        <w:rPr>
          <w:sz w:val="24"/>
          <w:szCs w:val="24"/>
        </w:rPr>
        <w:t xml:space="preserve">. </w:t>
      </w:r>
      <w:r w:rsidR="005E67BE">
        <w:rPr>
          <w:sz w:val="24"/>
          <w:szCs w:val="24"/>
        </w:rPr>
        <w:t xml:space="preserve">Chronic kidney disease (CKD) stage </w:t>
      </w:r>
      <w:r w:rsidR="005E67BE">
        <w:rPr>
          <w:rFonts w:cstheme="minorHAnsi"/>
          <w:sz w:val="24"/>
          <w:szCs w:val="24"/>
        </w:rPr>
        <w:t>≥</w:t>
      </w:r>
      <w:r w:rsidR="005E67BE">
        <w:rPr>
          <w:sz w:val="24"/>
          <w:szCs w:val="24"/>
        </w:rPr>
        <w:t>3 was defined as eGFR</w:t>
      </w:r>
      <w:r w:rsidR="005E67BE" w:rsidRPr="0065273A">
        <w:rPr>
          <w:sz w:val="24"/>
          <w:szCs w:val="24"/>
        </w:rPr>
        <w:t>&lt;60 mL/min/1.73m</w:t>
      </w:r>
      <w:r w:rsidR="005E67BE" w:rsidRPr="0065273A">
        <w:rPr>
          <w:sz w:val="24"/>
          <w:szCs w:val="24"/>
          <w:vertAlign w:val="superscript"/>
        </w:rPr>
        <w:t>2</w:t>
      </w:r>
      <w:r w:rsidR="005E67BE">
        <w:rPr>
          <w:sz w:val="24"/>
          <w:szCs w:val="24"/>
        </w:rPr>
        <w:t xml:space="preserve">. </w:t>
      </w:r>
    </w:p>
    <w:p w14:paraId="71E01D29" w14:textId="77777777" w:rsidR="002C60A0" w:rsidRDefault="002C60A0" w:rsidP="0089345F">
      <w:pPr>
        <w:spacing w:after="0" w:line="480" w:lineRule="auto"/>
        <w:jc w:val="both"/>
        <w:rPr>
          <w:b/>
          <w:sz w:val="24"/>
          <w:szCs w:val="24"/>
        </w:rPr>
      </w:pPr>
    </w:p>
    <w:p w14:paraId="5B7EDCF1" w14:textId="3B5CCAE2" w:rsidR="0073548C" w:rsidRPr="00AB0A5A" w:rsidRDefault="0073548C" w:rsidP="0089345F">
      <w:pPr>
        <w:spacing w:after="0" w:line="480" w:lineRule="auto"/>
        <w:jc w:val="both"/>
        <w:rPr>
          <w:sz w:val="24"/>
          <w:szCs w:val="24"/>
        </w:rPr>
      </w:pPr>
      <w:r w:rsidRPr="00E27135">
        <w:rPr>
          <w:b/>
          <w:sz w:val="24"/>
          <w:szCs w:val="24"/>
        </w:rPr>
        <w:lastRenderedPageBreak/>
        <w:t>Statistical analysis</w:t>
      </w:r>
      <w:r w:rsidR="00805F5D">
        <w:rPr>
          <w:b/>
          <w:sz w:val="24"/>
          <w:szCs w:val="24"/>
        </w:rPr>
        <w:t xml:space="preserve"> </w:t>
      </w:r>
    </w:p>
    <w:p w14:paraId="2DF43016" w14:textId="2096CA5B" w:rsidR="00B638BB" w:rsidRPr="001A4AF5" w:rsidRDefault="001E5D3F" w:rsidP="001E5A90">
      <w:pPr>
        <w:spacing w:after="0" w:line="480" w:lineRule="auto"/>
        <w:jc w:val="both"/>
        <w:rPr>
          <w:sz w:val="24"/>
          <w:szCs w:val="24"/>
        </w:rPr>
      </w:pPr>
      <w:r w:rsidRPr="00533CDB">
        <w:rPr>
          <w:sz w:val="24"/>
          <w:szCs w:val="24"/>
        </w:rPr>
        <w:t>Participant characteristics</w:t>
      </w:r>
      <w:r w:rsidR="00892B5E" w:rsidRPr="009367C4">
        <w:rPr>
          <w:sz w:val="24"/>
          <w:szCs w:val="24"/>
        </w:rPr>
        <w:t xml:space="preserve"> and </w:t>
      </w:r>
      <w:r w:rsidR="001654BA" w:rsidRPr="00127D2B">
        <w:rPr>
          <w:sz w:val="24"/>
          <w:szCs w:val="24"/>
        </w:rPr>
        <w:t xml:space="preserve">HRQOL outcomes </w:t>
      </w:r>
      <w:r w:rsidR="008A5266" w:rsidRPr="009367C4">
        <w:rPr>
          <w:sz w:val="24"/>
          <w:szCs w:val="24"/>
        </w:rPr>
        <w:t>were described using descriptive statistics</w:t>
      </w:r>
      <w:r w:rsidR="00CB12F4">
        <w:rPr>
          <w:sz w:val="24"/>
          <w:szCs w:val="24"/>
        </w:rPr>
        <w:t xml:space="preserve"> (numbers and percentages for categorical data; means and standard deviations for continuous data)</w:t>
      </w:r>
      <w:r w:rsidR="001654BA" w:rsidRPr="0050482D">
        <w:rPr>
          <w:sz w:val="24"/>
          <w:szCs w:val="24"/>
        </w:rPr>
        <w:t>.</w:t>
      </w:r>
      <w:r w:rsidR="008A5266">
        <w:rPr>
          <w:sz w:val="24"/>
          <w:szCs w:val="24"/>
        </w:rPr>
        <w:t xml:space="preserve">  F</w:t>
      </w:r>
      <w:r w:rsidR="008A5266" w:rsidRPr="0050482D">
        <w:rPr>
          <w:sz w:val="24"/>
          <w:szCs w:val="24"/>
        </w:rPr>
        <w:t>actors associated with change in the five GIS subscales, SF-36 PF10 and HAQ</w:t>
      </w:r>
      <w:r w:rsidR="008A5266">
        <w:rPr>
          <w:sz w:val="24"/>
          <w:szCs w:val="24"/>
        </w:rPr>
        <w:t>-DI</w:t>
      </w:r>
      <w:r w:rsidR="00CB12F4">
        <w:rPr>
          <w:sz w:val="24"/>
          <w:szCs w:val="24"/>
        </w:rPr>
        <w:t xml:space="preserve"> over three years</w:t>
      </w:r>
      <w:r w:rsidR="008A5266">
        <w:rPr>
          <w:sz w:val="24"/>
          <w:szCs w:val="24"/>
        </w:rPr>
        <w:t xml:space="preserve"> </w:t>
      </w:r>
      <w:r w:rsidR="00994D81">
        <w:rPr>
          <w:sz w:val="24"/>
          <w:szCs w:val="24"/>
        </w:rPr>
        <w:t>were explored using</w:t>
      </w:r>
      <w:r w:rsidR="008A5266">
        <w:rPr>
          <w:sz w:val="24"/>
          <w:szCs w:val="24"/>
        </w:rPr>
        <w:t xml:space="preserve"> </w:t>
      </w:r>
      <w:r w:rsidR="00994D81">
        <w:rPr>
          <w:sz w:val="24"/>
          <w:szCs w:val="24"/>
        </w:rPr>
        <w:t>m</w:t>
      </w:r>
      <w:r w:rsidR="001654BA" w:rsidRPr="0050482D">
        <w:rPr>
          <w:sz w:val="24"/>
          <w:szCs w:val="24"/>
        </w:rPr>
        <w:t>ultivariable linear mixed models</w:t>
      </w:r>
      <w:r w:rsidR="00FE5885" w:rsidRPr="0050482D">
        <w:rPr>
          <w:sz w:val="24"/>
          <w:szCs w:val="24"/>
        </w:rPr>
        <w:t xml:space="preserve"> (LMM</w:t>
      </w:r>
      <w:r w:rsidR="00A14681">
        <w:rPr>
          <w:sz w:val="24"/>
          <w:szCs w:val="24"/>
        </w:rPr>
        <w:t>s</w:t>
      </w:r>
      <w:r w:rsidR="00FE5885" w:rsidRPr="0050482D">
        <w:rPr>
          <w:sz w:val="24"/>
          <w:szCs w:val="24"/>
        </w:rPr>
        <w:t>)</w:t>
      </w:r>
      <w:r w:rsidR="00CB12F4">
        <w:rPr>
          <w:sz w:val="24"/>
          <w:szCs w:val="24"/>
        </w:rPr>
        <w:t>.</w:t>
      </w:r>
      <w:r w:rsidR="009654F0">
        <w:rPr>
          <w:sz w:val="24"/>
          <w:szCs w:val="24"/>
        </w:rPr>
        <w:t xml:space="preserve"> A full modelling strategy is given i</w:t>
      </w:r>
      <w:r w:rsidR="00D77E51">
        <w:rPr>
          <w:sz w:val="24"/>
          <w:szCs w:val="24"/>
        </w:rPr>
        <w:t xml:space="preserve">n </w:t>
      </w:r>
      <w:r w:rsidR="00D77E51" w:rsidRPr="00E034D8">
        <w:rPr>
          <w:sz w:val="24"/>
          <w:szCs w:val="24"/>
        </w:rPr>
        <w:t xml:space="preserve">supplementary </w:t>
      </w:r>
      <w:r w:rsidR="00D77E51" w:rsidRPr="00533CDB">
        <w:rPr>
          <w:sz w:val="24"/>
          <w:szCs w:val="24"/>
        </w:rPr>
        <w:t>figure S</w:t>
      </w:r>
      <w:r w:rsidR="00B00990" w:rsidRPr="00533CDB">
        <w:rPr>
          <w:sz w:val="24"/>
          <w:szCs w:val="24"/>
        </w:rPr>
        <w:t>1</w:t>
      </w:r>
      <w:r w:rsidR="001C0D4F">
        <w:rPr>
          <w:sz w:val="24"/>
          <w:szCs w:val="24"/>
        </w:rPr>
        <w:t>.</w:t>
      </w:r>
      <w:r w:rsidR="009654F0" w:rsidRPr="00533CDB">
        <w:rPr>
          <w:sz w:val="24"/>
          <w:szCs w:val="24"/>
        </w:rPr>
        <w:t xml:space="preserve"> </w:t>
      </w:r>
      <w:r w:rsidR="001C0D4F">
        <w:rPr>
          <w:sz w:val="24"/>
          <w:szCs w:val="24"/>
        </w:rPr>
        <w:t>B</w:t>
      </w:r>
      <w:r w:rsidR="009654F0" w:rsidRPr="00533CDB">
        <w:rPr>
          <w:sz w:val="24"/>
          <w:szCs w:val="24"/>
        </w:rPr>
        <w:t>riefly</w:t>
      </w:r>
      <w:r w:rsidR="001C0D4F">
        <w:rPr>
          <w:sz w:val="24"/>
          <w:szCs w:val="24"/>
        </w:rPr>
        <w:t>,</w:t>
      </w:r>
      <w:r w:rsidR="009654F0" w:rsidRPr="00533CDB">
        <w:rPr>
          <w:sz w:val="24"/>
          <w:szCs w:val="24"/>
        </w:rPr>
        <w:t xml:space="preserve"> it was made up o</w:t>
      </w:r>
      <w:r w:rsidR="00047EA9">
        <w:rPr>
          <w:sz w:val="24"/>
          <w:szCs w:val="24"/>
        </w:rPr>
        <w:t>f</w:t>
      </w:r>
      <w:r w:rsidR="009654F0" w:rsidRPr="00533CDB">
        <w:rPr>
          <w:sz w:val="24"/>
          <w:szCs w:val="24"/>
        </w:rPr>
        <w:t xml:space="preserve"> three stages</w:t>
      </w:r>
      <w:r w:rsidR="001C0D4F">
        <w:rPr>
          <w:sz w:val="24"/>
          <w:szCs w:val="24"/>
        </w:rPr>
        <w:t>:</w:t>
      </w:r>
      <w:r w:rsidR="009654F0" w:rsidRPr="00533CDB">
        <w:rPr>
          <w:sz w:val="24"/>
          <w:szCs w:val="24"/>
        </w:rPr>
        <w:t xml:space="preserve"> (1) identifying the optimal model without covariates i.e. the need for inclusion of a random intercept and slope, (2) identifying an appropriate covariance structure and (3) using backward deletion techniques to remove covariate interactions with time from the model.</w:t>
      </w:r>
      <w:r w:rsidR="009654F0">
        <w:rPr>
          <w:color w:val="FF0000"/>
          <w:sz w:val="24"/>
          <w:szCs w:val="24"/>
        </w:rPr>
        <w:t xml:space="preserve">  </w:t>
      </w:r>
      <w:r w:rsidR="00FE5885" w:rsidRPr="0008258D">
        <w:rPr>
          <w:sz w:val="24"/>
          <w:szCs w:val="24"/>
        </w:rPr>
        <w:t xml:space="preserve">Restricted maximum likelihood (REML) was used to estimate the </w:t>
      </w:r>
      <w:r w:rsidR="007A56D2">
        <w:rPr>
          <w:sz w:val="24"/>
          <w:szCs w:val="24"/>
        </w:rPr>
        <w:t>LMM</w:t>
      </w:r>
      <w:r w:rsidR="008F57A4">
        <w:rPr>
          <w:sz w:val="24"/>
          <w:szCs w:val="24"/>
        </w:rPr>
        <w:t>s</w:t>
      </w:r>
      <w:r w:rsidR="007A56D2">
        <w:rPr>
          <w:sz w:val="24"/>
          <w:szCs w:val="24"/>
        </w:rPr>
        <w:t xml:space="preserve"> </w:t>
      </w:r>
      <w:r w:rsidR="00FE5885" w:rsidRPr="0008258D">
        <w:rPr>
          <w:sz w:val="24"/>
          <w:szCs w:val="24"/>
        </w:rPr>
        <w:t xml:space="preserve">parameters, </w:t>
      </w:r>
      <w:r w:rsidR="00CE1632" w:rsidRPr="005470FE">
        <w:rPr>
          <w:sz w:val="24"/>
          <w:szCs w:val="24"/>
        </w:rPr>
        <w:t>but for skewed outcomes</w:t>
      </w:r>
      <w:r w:rsidR="00CE1632" w:rsidRPr="0008258D">
        <w:rPr>
          <w:sz w:val="24"/>
          <w:szCs w:val="24"/>
        </w:rPr>
        <w:t xml:space="preserve"> </w:t>
      </w:r>
      <w:r w:rsidR="00FE5885" w:rsidRPr="0008258D">
        <w:rPr>
          <w:sz w:val="24"/>
          <w:szCs w:val="24"/>
        </w:rPr>
        <w:t>maximum likelihood estimation (MLE) with robust standard errors was used</w:t>
      </w:r>
      <w:r w:rsidR="00FE5885" w:rsidRPr="0050482D">
        <w:rPr>
          <w:sz w:val="24"/>
          <w:szCs w:val="24"/>
        </w:rPr>
        <w:t>.</w:t>
      </w:r>
      <w:r w:rsidR="007071D8">
        <w:rPr>
          <w:sz w:val="24"/>
          <w:szCs w:val="24"/>
        </w:rPr>
        <w:t>[</w:t>
      </w:r>
      <w:r w:rsidR="00B078B1" w:rsidRPr="00533CDB">
        <w:rPr>
          <w:sz w:val="24"/>
          <w:szCs w:val="24"/>
        </w:rPr>
        <w:t>3</w:t>
      </w:r>
      <w:r w:rsidR="00DE5A34">
        <w:rPr>
          <w:sz w:val="24"/>
          <w:szCs w:val="24"/>
        </w:rPr>
        <w:t>7</w:t>
      </w:r>
      <w:r w:rsidR="007071D8" w:rsidRPr="00533CDB">
        <w:rPr>
          <w:sz w:val="24"/>
          <w:szCs w:val="24"/>
        </w:rPr>
        <w:t>-</w:t>
      </w:r>
      <w:r w:rsidR="00B078B1" w:rsidRPr="00533CDB">
        <w:rPr>
          <w:sz w:val="24"/>
          <w:szCs w:val="24"/>
        </w:rPr>
        <w:t>3</w:t>
      </w:r>
      <w:r w:rsidR="00DE5A34">
        <w:rPr>
          <w:sz w:val="24"/>
          <w:szCs w:val="24"/>
        </w:rPr>
        <w:t>8</w:t>
      </w:r>
      <w:r w:rsidR="007071D8">
        <w:rPr>
          <w:sz w:val="24"/>
          <w:szCs w:val="24"/>
        </w:rPr>
        <w:t>]</w:t>
      </w:r>
      <w:r w:rsidR="00FE5885" w:rsidRPr="0050482D">
        <w:rPr>
          <w:sz w:val="24"/>
          <w:szCs w:val="24"/>
        </w:rPr>
        <w:t xml:space="preserve"> </w:t>
      </w:r>
      <w:r w:rsidR="00047EA9" w:rsidRPr="0050482D">
        <w:rPr>
          <w:sz w:val="24"/>
          <w:szCs w:val="24"/>
        </w:rPr>
        <w:t>Missing data in outcome</w:t>
      </w:r>
      <w:r w:rsidR="00047EA9">
        <w:rPr>
          <w:sz w:val="24"/>
          <w:szCs w:val="24"/>
        </w:rPr>
        <w:t xml:space="preserve"> measures were incorporated into the </w:t>
      </w:r>
      <w:r w:rsidR="00537146">
        <w:rPr>
          <w:sz w:val="24"/>
          <w:szCs w:val="24"/>
        </w:rPr>
        <w:t>LMM</w:t>
      </w:r>
      <w:r w:rsidR="008F57A4">
        <w:rPr>
          <w:sz w:val="24"/>
          <w:szCs w:val="24"/>
        </w:rPr>
        <w:t>s</w:t>
      </w:r>
      <w:r w:rsidR="00047EA9">
        <w:rPr>
          <w:sz w:val="24"/>
          <w:szCs w:val="24"/>
        </w:rPr>
        <w:t xml:space="preserve"> [</w:t>
      </w:r>
      <w:r w:rsidR="00B078B1" w:rsidRPr="00533CDB">
        <w:rPr>
          <w:sz w:val="24"/>
          <w:szCs w:val="24"/>
        </w:rPr>
        <w:t>3</w:t>
      </w:r>
      <w:r w:rsidR="00DE5A34">
        <w:rPr>
          <w:sz w:val="24"/>
          <w:szCs w:val="24"/>
        </w:rPr>
        <w:t>8</w:t>
      </w:r>
      <w:r w:rsidR="00583F54" w:rsidRPr="00533CDB">
        <w:rPr>
          <w:sz w:val="24"/>
          <w:szCs w:val="24"/>
        </w:rPr>
        <w:t>-</w:t>
      </w:r>
      <w:r w:rsidR="000C5064" w:rsidRPr="00533CDB">
        <w:rPr>
          <w:sz w:val="24"/>
          <w:szCs w:val="24"/>
        </w:rPr>
        <w:t>3</w:t>
      </w:r>
      <w:r w:rsidR="00DE5A34">
        <w:rPr>
          <w:sz w:val="24"/>
          <w:szCs w:val="24"/>
        </w:rPr>
        <w:t>9</w:t>
      </w:r>
      <w:r w:rsidR="00047EA9">
        <w:rPr>
          <w:sz w:val="24"/>
          <w:szCs w:val="24"/>
        </w:rPr>
        <w:t>] hence imputation of missing data prior to analysis was deemed unnecessary</w:t>
      </w:r>
      <w:r w:rsidR="00047EA9" w:rsidRPr="0050482D">
        <w:rPr>
          <w:sz w:val="24"/>
          <w:szCs w:val="24"/>
        </w:rPr>
        <w:t>.</w:t>
      </w:r>
      <w:r w:rsidR="00047EA9">
        <w:rPr>
          <w:sz w:val="24"/>
          <w:szCs w:val="24"/>
        </w:rPr>
        <w:t>[</w:t>
      </w:r>
      <w:r w:rsidR="00DE5A34">
        <w:rPr>
          <w:sz w:val="24"/>
          <w:szCs w:val="24"/>
        </w:rPr>
        <w:t>40</w:t>
      </w:r>
      <w:r w:rsidR="00047EA9">
        <w:rPr>
          <w:sz w:val="24"/>
          <w:szCs w:val="24"/>
        </w:rPr>
        <w:t>]</w:t>
      </w:r>
      <w:r w:rsidR="006A34C4">
        <w:rPr>
          <w:sz w:val="24"/>
          <w:szCs w:val="24"/>
        </w:rPr>
        <w:t xml:space="preserve"> </w:t>
      </w:r>
      <w:r w:rsidR="006A34C4" w:rsidRPr="00C23058">
        <w:rPr>
          <w:rFonts w:cstheme="minorHAnsi"/>
          <w:sz w:val="24"/>
          <w:szCs w:val="24"/>
        </w:rPr>
        <w:t>Longitudinal mixed-model analysis operates under the assumption that missing data are missing at random.[39-40]</w:t>
      </w:r>
    </w:p>
    <w:p w14:paraId="532708A6" w14:textId="73AA8EAD" w:rsidR="00B638BB" w:rsidRDefault="00303AEF" w:rsidP="001E5A90">
      <w:pPr>
        <w:spacing w:after="0" w:line="480" w:lineRule="auto"/>
        <w:jc w:val="both"/>
        <w:rPr>
          <w:sz w:val="24"/>
          <w:szCs w:val="24"/>
        </w:rPr>
      </w:pPr>
      <w:r w:rsidRPr="3A2FF77D">
        <w:rPr>
          <w:sz w:val="24"/>
          <w:szCs w:val="24"/>
        </w:rPr>
        <w:t>B</w:t>
      </w:r>
      <w:r w:rsidR="001654BA" w:rsidRPr="3A2FF77D">
        <w:rPr>
          <w:sz w:val="24"/>
          <w:szCs w:val="24"/>
        </w:rPr>
        <w:t xml:space="preserve">aseline and time-varying gout-specific, comorbid and socio-demographic </w:t>
      </w:r>
      <w:r w:rsidR="00155375" w:rsidRPr="3A2FF77D">
        <w:rPr>
          <w:sz w:val="24"/>
          <w:szCs w:val="24"/>
        </w:rPr>
        <w:t>variables</w:t>
      </w:r>
      <w:r w:rsidR="001654BA" w:rsidRPr="3A2FF77D">
        <w:rPr>
          <w:sz w:val="24"/>
          <w:szCs w:val="24"/>
        </w:rPr>
        <w:t xml:space="preserve"> were included in the </w:t>
      </w:r>
      <w:r w:rsidR="00537146" w:rsidRPr="3A2FF77D">
        <w:rPr>
          <w:sz w:val="24"/>
          <w:szCs w:val="24"/>
        </w:rPr>
        <w:t>LLM</w:t>
      </w:r>
      <w:r w:rsidR="001654BA" w:rsidRPr="3A2FF77D">
        <w:rPr>
          <w:sz w:val="24"/>
          <w:szCs w:val="24"/>
        </w:rPr>
        <w:t>s</w:t>
      </w:r>
      <w:r w:rsidR="00994D81" w:rsidRPr="3A2FF77D">
        <w:rPr>
          <w:sz w:val="24"/>
          <w:szCs w:val="24"/>
        </w:rPr>
        <w:t xml:space="preserve">. </w:t>
      </w:r>
      <w:r w:rsidR="00CE1632" w:rsidRPr="3A2FF77D">
        <w:rPr>
          <w:sz w:val="24"/>
          <w:szCs w:val="24"/>
        </w:rPr>
        <w:t xml:space="preserve">Baseline </w:t>
      </w:r>
      <w:r w:rsidR="0008258D" w:rsidRPr="3A2FF77D">
        <w:rPr>
          <w:sz w:val="24"/>
          <w:szCs w:val="24"/>
        </w:rPr>
        <w:t>variable</w:t>
      </w:r>
      <w:r w:rsidR="003456D2" w:rsidRPr="3A2FF77D">
        <w:rPr>
          <w:sz w:val="24"/>
          <w:szCs w:val="24"/>
        </w:rPr>
        <w:t>s</w:t>
      </w:r>
      <w:r w:rsidR="0008258D" w:rsidRPr="3A2FF77D">
        <w:rPr>
          <w:sz w:val="24"/>
          <w:szCs w:val="24"/>
        </w:rPr>
        <w:t xml:space="preserve"> </w:t>
      </w:r>
      <w:r w:rsidR="00CE1632" w:rsidRPr="3A2FF77D">
        <w:rPr>
          <w:sz w:val="24"/>
          <w:szCs w:val="24"/>
        </w:rPr>
        <w:t>were</w:t>
      </w:r>
      <w:r w:rsidR="0008258D" w:rsidRPr="3A2FF77D">
        <w:rPr>
          <w:sz w:val="24"/>
          <w:szCs w:val="24"/>
        </w:rPr>
        <w:t xml:space="preserve"> disease duration, number of comorbidities, eGFR &lt;60mL/min/1.73m</w:t>
      </w:r>
      <w:r w:rsidR="0008258D" w:rsidRPr="3A2FF77D">
        <w:rPr>
          <w:sz w:val="24"/>
          <w:szCs w:val="24"/>
          <w:vertAlign w:val="superscript"/>
        </w:rPr>
        <w:t>2</w:t>
      </w:r>
      <w:r w:rsidR="0008258D" w:rsidRPr="3A2FF77D">
        <w:rPr>
          <w:sz w:val="24"/>
          <w:szCs w:val="24"/>
        </w:rPr>
        <w:t xml:space="preserve">, body pain, PHQ-9 score, GAD-7 score, age, sex, </w:t>
      </w:r>
      <w:r w:rsidR="000D1F40" w:rsidRPr="3A2FF77D">
        <w:rPr>
          <w:sz w:val="24"/>
          <w:szCs w:val="24"/>
        </w:rPr>
        <w:t>ethnicity</w:t>
      </w:r>
      <w:r w:rsidR="0008258D" w:rsidRPr="3A2FF77D">
        <w:rPr>
          <w:sz w:val="24"/>
          <w:szCs w:val="24"/>
        </w:rPr>
        <w:t xml:space="preserve">, IMD decile, </w:t>
      </w:r>
      <w:r w:rsidR="000D1F40" w:rsidRPr="3A2FF77D">
        <w:rPr>
          <w:sz w:val="24"/>
          <w:szCs w:val="24"/>
        </w:rPr>
        <w:t>marital status</w:t>
      </w:r>
      <w:r w:rsidR="0008258D" w:rsidRPr="3A2FF77D">
        <w:rPr>
          <w:sz w:val="24"/>
          <w:szCs w:val="24"/>
        </w:rPr>
        <w:t>, a</w:t>
      </w:r>
      <w:r w:rsidR="00C15151" w:rsidRPr="3A2FF77D">
        <w:rPr>
          <w:sz w:val="24"/>
          <w:szCs w:val="24"/>
        </w:rPr>
        <w:t xml:space="preserve">ttendance at further education, </w:t>
      </w:r>
      <w:r w:rsidR="001C0D4F" w:rsidRPr="3A2FF77D">
        <w:rPr>
          <w:sz w:val="24"/>
          <w:szCs w:val="24"/>
        </w:rPr>
        <w:t xml:space="preserve">and </w:t>
      </w:r>
      <w:r w:rsidR="0008258D" w:rsidRPr="3A2FF77D">
        <w:rPr>
          <w:sz w:val="24"/>
          <w:szCs w:val="24"/>
        </w:rPr>
        <w:t>alcohol</w:t>
      </w:r>
      <w:r w:rsidR="001C0D4F" w:rsidRPr="3A2FF77D">
        <w:rPr>
          <w:sz w:val="24"/>
          <w:szCs w:val="24"/>
        </w:rPr>
        <w:t xml:space="preserve"> consumption</w:t>
      </w:r>
      <w:r w:rsidR="001654BA" w:rsidRPr="3A2FF77D">
        <w:rPr>
          <w:sz w:val="24"/>
          <w:szCs w:val="24"/>
        </w:rPr>
        <w:t>.</w:t>
      </w:r>
      <w:r w:rsidR="0008258D" w:rsidRPr="3A2FF77D">
        <w:rPr>
          <w:sz w:val="24"/>
          <w:szCs w:val="24"/>
        </w:rPr>
        <w:t xml:space="preserve"> Time-varying variables were </w:t>
      </w:r>
      <w:r w:rsidR="00E27135" w:rsidRPr="3A2FF77D">
        <w:rPr>
          <w:sz w:val="24"/>
          <w:szCs w:val="24"/>
        </w:rPr>
        <w:t xml:space="preserve">number of </w:t>
      </w:r>
      <w:r w:rsidR="0008258D" w:rsidRPr="3A2FF77D">
        <w:rPr>
          <w:sz w:val="24"/>
          <w:szCs w:val="24"/>
        </w:rPr>
        <w:t xml:space="preserve">gout flares, experiencing a current flare, </w:t>
      </w:r>
      <w:r w:rsidR="00047EA9" w:rsidRPr="3A2FF77D">
        <w:rPr>
          <w:sz w:val="24"/>
          <w:szCs w:val="24"/>
        </w:rPr>
        <w:t xml:space="preserve">history of </w:t>
      </w:r>
      <w:r w:rsidR="0008258D" w:rsidRPr="3A2FF77D">
        <w:rPr>
          <w:sz w:val="24"/>
          <w:szCs w:val="24"/>
        </w:rPr>
        <w:t xml:space="preserve">oligo/polyarticular flares, allopurinol use, pain NRS, </w:t>
      </w:r>
      <w:r w:rsidR="00AF72EB" w:rsidRPr="3A2FF77D">
        <w:rPr>
          <w:sz w:val="24"/>
          <w:szCs w:val="24"/>
        </w:rPr>
        <w:t xml:space="preserve">and </w:t>
      </w:r>
      <w:r w:rsidR="0008258D" w:rsidRPr="3A2FF77D">
        <w:rPr>
          <w:sz w:val="24"/>
          <w:szCs w:val="24"/>
        </w:rPr>
        <w:t xml:space="preserve">BMI. </w:t>
      </w:r>
      <w:r w:rsidR="001E5A90" w:rsidRPr="3A2FF77D">
        <w:rPr>
          <w:sz w:val="24"/>
          <w:szCs w:val="24"/>
        </w:rPr>
        <w:t>Continuous variables</w:t>
      </w:r>
      <w:r w:rsidR="0008258D" w:rsidRPr="3A2FF77D">
        <w:rPr>
          <w:sz w:val="24"/>
          <w:szCs w:val="24"/>
        </w:rPr>
        <w:t xml:space="preserve"> </w:t>
      </w:r>
      <w:r w:rsidR="001E5A90" w:rsidRPr="3A2FF77D">
        <w:rPr>
          <w:sz w:val="24"/>
          <w:szCs w:val="24"/>
        </w:rPr>
        <w:t>were added to the LMM</w:t>
      </w:r>
      <w:r w:rsidR="008F57A4">
        <w:rPr>
          <w:sz w:val="24"/>
          <w:szCs w:val="24"/>
        </w:rPr>
        <w:t>s</w:t>
      </w:r>
      <w:r w:rsidR="001E5A90" w:rsidRPr="3A2FF77D">
        <w:rPr>
          <w:sz w:val="24"/>
          <w:szCs w:val="24"/>
        </w:rPr>
        <w:t xml:space="preserve"> in their continuous form, aiming to maximise the predictive information provided by that variable </w:t>
      </w:r>
      <w:r w:rsidR="00840974" w:rsidRPr="3A2FF77D">
        <w:rPr>
          <w:sz w:val="24"/>
          <w:szCs w:val="24"/>
        </w:rPr>
        <w:t>[</w:t>
      </w:r>
      <w:r w:rsidR="00C11C00" w:rsidRPr="3A2FF77D">
        <w:rPr>
          <w:sz w:val="24"/>
          <w:szCs w:val="24"/>
        </w:rPr>
        <w:t>41</w:t>
      </w:r>
      <w:r w:rsidR="00840974" w:rsidRPr="3A2FF77D">
        <w:rPr>
          <w:sz w:val="24"/>
          <w:szCs w:val="24"/>
        </w:rPr>
        <w:t>]</w:t>
      </w:r>
      <w:r w:rsidR="002D74A8" w:rsidRPr="3A2FF77D">
        <w:rPr>
          <w:sz w:val="24"/>
          <w:szCs w:val="24"/>
        </w:rPr>
        <w:t xml:space="preserve"> (disease duration, </w:t>
      </w:r>
      <w:r w:rsidR="00AE187B" w:rsidRPr="3A2FF77D">
        <w:rPr>
          <w:sz w:val="24"/>
          <w:szCs w:val="24"/>
        </w:rPr>
        <w:t xml:space="preserve">number of comorbidities, </w:t>
      </w:r>
      <w:r w:rsidR="002D74A8" w:rsidRPr="3A2FF77D">
        <w:rPr>
          <w:sz w:val="24"/>
          <w:szCs w:val="24"/>
        </w:rPr>
        <w:t xml:space="preserve">pain NRS, </w:t>
      </w:r>
      <w:r w:rsidR="00AE187B" w:rsidRPr="3A2FF77D">
        <w:rPr>
          <w:sz w:val="24"/>
          <w:szCs w:val="24"/>
        </w:rPr>
        <w:t xml:space="preserve">PHQ-9 score, GAD-7 score, </w:t>
      </w:r>
      <w:r w:rsidR="00517CFD" w:rsidRPr="3A2FF77D">
        <w:rPr>
          <w:sz w:val="24"/>
          <w:szCs w:val="24"/>
        </w:rPr>
        <w:t xml:space="preserve">age, IMD decile, </w:t>
      </w:r>
      <w:r w:rsidR="00AF72EB" w:rsidRPr="3A2FF77D">
        <w:rPr>
          <w:sz w:val="24"/>
          <w:szCs w:val="24"/>
        </w:rPr>
        <w:t xml:space="preserve">and </w:t>
      </w:r>
      <w:r w:rsidR="00517CFD" w:rsidRPr="3A2FF77D">
        <w:rPr>
          <w:sz w:val="24"/>
          <w:szCs w:val="24"/>
        </w:rPr>
        <w:t>BMI</w:t>
      </w:r>
      <w:r w:rsidR="00AE187B" w:rsidRPr="3A2FF77D">
        <w:rPr>
          <w:sz w:val="24"/>
          <w:szCs w:val="24"/>
        </w:rPr>
        <w:t>)</w:t>
      </w:r>
      <w:r w:rsidR="001E5A90" w:rsidRPr="3A2FF77D">
        <w:rPr>
          <w:sz w:val="24"/>
          <w:szCs w:val="24"/>
        </w:rPr>
        <w:t>.</w:t>
      </w:r>
      <w:r w:rsidR="00DD5A4A" w:rsidRPr="3A2FF77D">
        <w:rPr>
          <w:sz w:val="24"/>
          <w:szCs w:val="24"/>
        </w:rPr>
        <w:t xml:space="preserve"> </w:t>
      </w:r>
      <w:r w:rsidR="008C2150" w:rsidRPr="008C2150">
        <w:rPr>
          <w:sz w:val="24"/>
          <w:szCs w:val="24"/>
        </w:rPr>
        <w:t xml:space="preserve">All of the gout-specific, comorbid, socio-demographic and anthropometric variables were included in each LMM to adjust for potential </w:t>
      </w:r>
      <w:r w:rsidR="008C2150" w:rsidRPr="008C2150">
        <w:rPr>
          <w:sz w:val="24"/>
          <w:szCs w:val="24"/>
        </w:rPr>
        <w:lastRenderedPageBreak/>
        <w:t xml:space="preserve">confounding.  Participants were included in the final linear mixed model for each quality of life outcome if they had at least one value for that quality of life outcome, as well as data for other variables in the model. </w:t>
      </w:r>
      <w:r w:rsidR="00104AD8" w:rsidRPr="3A2FF77D">
        <w:rPr>
          <w:sz w:val="24"/>
          <w:szCs w:val="24"/>
        </w:rPr>
        <w:t>The shape</w:t>
      </w:r>
      <w:r w:rsidR="00355A47" w:rsidRPr="3A2FF77D">
        <w:rPr>
          <w:sz w:val="24"/>
          <w:szCs w:val="24"/>
        </w:rPr>
        <w:t xml:space="preserve"> of the relationship between the outcomes and the continuous variables</w:t>
      </w:r>
      <w:r w:rsidR="00104AD8">
        <w:t xml:space="preserve"> </w:t>
      </w:r>
      <w:r w:rsidR="00104AD8" w:rsidRPr="3A2FF77D">
        <w:rPr>
          <w:sz w:val="24"/>
          <w:szCs w:val="24"/>
        </w:rPr>
        <w:t>was checked</w:t>
      </w:r>
      <w:r w:rsidR="00355A47" w:rsidRPr="3A2FF77D">
        <w:rPr>
          <w:sz w:val="24"/>
          <w:szCs w:val="24"/>
        </w:rPr>
        <w:t xml:space="preserve"> using squared terms</w:t>
      </w:r>
      <w:r w:rsidR="00104AD8" w:rsidRPr="3A2FF77D">
        <w:rPr>
          <w:sz w:val="24"/>
          <w:szCs w:val="24"/>
        </w:rPr>
        <w:t xml:space="preserve"> for continuous variables</w:t>
      </w:r>
      <w:r w:rsidR="00355A47" w:rsidRPr="3A2FF77D">
        <w:rPr>
          <w:sz w:val="24"/>
          <w:szCs w:val="24"/>
        </w:rPr>
        <w:t xml:space="preserve">. </w:t>
      </w:r>
    </w:p>
    <w:p w14:paraId="67A5B603" w14:textId="0306B9A2" w:rsidR="00A12A22" w:rsidRDefault="00047EA9" w:rsidP="001E5A90">
      <w:pPr>
        <w:spacing w:after="0" w:line="480" w:lineRule="auto"/>
        <w:jc w:val="both"/>
      </w:pPr>
      <w:r>
        <w:rPr>
          <w:sz w:val="24"/>
          <w:szCs w:val="24"/>
        </w:rPr>
        <w:t>I</w:t>
      </w:r>
      <w:r w:rsidR="001654BA" w:rsidRPr="0050482D">
        <w:rPr>
          <w:sz w:val="24"/>
          <w:szCs w:val="24"/>
        </w:rPr>
        <w:t>nteraction</w:t>
      </w:r>
      <w:r>
        <w:rPr>
          <w:sz w:val="24"/>
          <w:szCs w:val="24"/>
        </w:rPr>
        <w:t>s</w:t>
      </w:r>
      <w:r w:rsidR="001654BA" w:rsidRPr="0050482D">
        <w:rPr>
          <w:sz w:val="24"/>
          <w:szCs w:val="24"/>
        </w:rPr>
        <w:t xml:space="preserve"> between each </w:t>
      </w:r>
      <w:r w:rsidR="00155375">
        <w:rPr>
          <w:sz w:val="24"/>
          <w:szCs w:val="24"/>
        </w:rPr>
        <w:t>variable</w:t>
      </w:r>
      <w:r w:rsidR="001654BA" w:rsidRPr="0050482D">
        <w:rPr>
          <w:sz w:val="24"/>
          <w:szCs w:val="24"/>
        </w:rPr>
        <w:t xml:space="preserve"> and time </w:t>
      </w:r>
      <w:r>
        <w:rPr>
          <w:sz w:val="24"/>
          <w:szCs w:val="24"/>
        </w:rPr>
        <w:t>were included in the model</w:t>
      </w:r>
      <w:r w:rsidR="001654BA" w:rsidRPr="0050482D">
        <w:rPr>
          <w:sz w:val="24"/>
          <w:szCs w:val="24"/>
        </w:rPr>
        <w:t xml:space="preserve"> to test whether the impact of any of the </w:t>
      </w:r>
      <w:r w:rsidR="00155375">
        <w:rPr>
          <w:sz w:val="24"/>
          <w:szCs w:val="24"/>
        </w:rPr>
        <w:t>variable</w:t>
      </w:r>
      <w:r w:rsidR="009502F4">
        <w:rPr>
          <w:sz w:val="24"/>
          <w:szCs w:val="24"/>
        </w:rPr>
        <w:t>s</w:t>
      </w:r>
      <w:r w:rsidR="001654BA" w:rsidRPr="0050482D">
        <w:rPr>
          <w:sz w:val="24"/>
          <w:szCs w:val="24"/>
        </w:rPr>
        <w:t xml:space="preserve"> on the outcomes changed over time</w:t>
      </w:r>
      <w:r>
        <w:rPr>
          <w:sz w:val="24"/>
          <w:szCs w:val="24"/>
        </w:rPr>
        <w:t xml:space="preserve"> </w:t>
      </w:r>
      <w:r w:rsidR="007071D8">
        <w:rPr>
          <w:sz w:val="24"/>
          <w:szCs w:val="24"/>
        </w:rPr>
        <w:t>[</w:t>
      </w:r>
      <w:r w:rsidR="000C5064" w:rsidRPr="00533CDB">
        <w:rPr>
          <w:sz w:val="24"/>
          <w:szCs w:val="24"/>
        </w:rPr>
        <w:t>4</w:t>
      </w:r>
      <w:r w:rsidR="00C11C00">
        <w:rPr>
          <w:sz w:val="24"/>
          <w:szCs w:val="24"/>
        </w:rPr>
        <w:t>2</w:t>
      </w:r>
      <w:r w:rsidR="007071D8">
        <w:rPr>
          <w:sz w:val="24"/>
          <w:szCs w:val="24"/>
        </w:rPr>
        <w:t>]</w:t>
      </w:r>
      <w:r>
        <w:rPr>
          <w:sz w:val="24"/>
          <w:szCs w:val="24"/>
        </w:rPr>
        <w:t xml:space="preserve">, but </w:t>
      </w:r>
      <w:r w:rsidR="001654BA" w:rsidRPr="0050482D">
        <w:rPr>
          <w:sz w:val="24"/>
          <w:szCs w:val="24"/>
        </w:rPr>
        <w:t>were</w:t>
      </w:r>
      <w:r>
        <w:rPr>
          <w:sz w:val="24"/>
          <w:szCs w:val="24"/>
        </w:rPr>
        <w:t xml:space="preserve"> only</w:t>
      </w:r>
      <w:r w:rsidR="001654BA" w:rsidRPr="0050482D">
        <w:rPr>
          <w:sz w:val="24"/>
          <w:szCs w:val="24"/>
        </w:rPr>
        <w:t xml:space="preserve"> </w:t>
      </w:r>
      <w:r w:rsidR="008727E4">
        <w:rPr>
          <w:sz w:val="24"/>
          <w:szCs w:val="24"/>
        </w:rPr>
        <w:t xml:space="preserve">retained in </w:t>
      </w:r>
      <w:r w:rsidR="001654BA" w:rsidRPr="0050482D">
        <w:rPr>
          <w:sz w:val="24"/>
          <w:szCs w:val="24"/>
        </w:rPr>
        <w:t xml:space="preserve">the model if </w:t>
      </w:r>
      <w:r>
        <w:rPr>
          <w:sz w:val="24"/>
          <w:szCs w:val="24"/>
        </w:rPr>
        <w:t>the</w:t>
      </w:r>
      <w:r w:rsidRPr="0050482D">
        <w:rPr>
          <w:sz w:val="24"/>
          <w:szCs w:val="24"/>
        </w:rPr>
        <w:t xml:space="preserve"> </w:t>
      </w:r>
      <w:r w:rsidR="001654BA" w:rsidRPr="0050482D">
        <w:rPr>
          <w:sz w:val="24"/>
          <w:szCs w:val="24"/>
        </w:rPr>
        <w:t>p</w:t>
      </w:r>
      <w:r w:rsidR="009502F4">
        <w:rPr>
          <w:sz w:val="24"/>
          <w:szCs w:val="24"/>
        </w:rPr>
        <w:t>-</w:t>
      </w:r>
      <w:r w:rsidR="001654BA" w:rsidRPr="0050482D">
        <w:rPr>
          <w:sz w:val="24"/>
          <w:szCs w:val="24"/>
        </w:rPr>
        <w:t xml:space="preserve">value for the </w:t>
      </w:r>
      <w:r w:rsidR="00FE5885" w:rsidRPr="0050482D">
        <w:rPr>
          <w:sz w:val="24"/>
          <w:szCs w:val="24"/>
        </w:rPr>
        <w:t>beta</w:t>
      </w:r>
      <w:r w:rsidR="00F83D57">
        <w:rPr>
          <w:sz w:val="24"/>
          <w:szCs w:val="24"/>
        </w:rPr>
        <w:t xml:space="preserve"> (</w:t>
      </w:r>
      <w:r w:rsidR="00F83D57" w:rsidRPr="005642F4">
        <w:rPr>
          <w:sz w:val="24"/>
          <w:szCs w:val="24"/>
        </w:rPr>
        <w:t>β</w:t>
      </w:r>
      <w:r w:rsidR="00F83D57">
        <w:rPr>
          <w:sz w:val="24"/>
          <w:szCs w:val="24"/>
        </w:rPr>
        <w:t>)</w:t>
      </w:r>
      <w:r w:rsidR="00FE5885" w:rsidRPr="0050482D">
        <w:rPr>
          <w:sz w:val="24"/>
          <w:szCs w:val="24"/>
        </w:rPr>
        <w:t xml:space="preserve"> coefficient</w:t>
      </w:r>
      <w:r w:rsidR="008727E4">
        <w:rPr>
          <w:sz w:val="24"/>
          <w:szCs w:val="24"/>
        </w:rPr>
        <w:t xml:space="preserve"> </w:t>
      </w:r>
      <w:r w:rsidR="009502F4">
        <w:rPr>
          <w:sz w:val="24"/>
          <w:szCs w:val="24"/>
        </w:rPr>
        <w:t>was &lt;</w:t>
      </w:r>
      <w:r w:rsidR="009502F4" w:rsidRPr="0050482D">
        <w:rPr>
          <w:sz w:val="24"/>
          <w:szCs w:val="24"/>
        </w:rPr>
        <w:t xml:space="preserve">0.05 </w:t>
      </w:r>
      <w:r w:rsidR="008727E4">
        <w:rPr>
          <w:sz w:val="24"/>
          <w:szCs w:val="24"/>
        </w:rPr>
        <w:t xml:space="preserve">and </w:t>
      </w:r>
      <w:r w:rsidR="009502F4">
        <w:rPr>
          <w:sz w:val="24"/>
          <w:szCs w:val="24"/>
        </w:rPr>
        <w:t>the</w:t>
      </w:r>
      <w:r w:rsidR="008727E4">
        <w:rPr>
          <w:sz w:val="24"/>
          <w:szCs w:val="24"/>
        </w:rPr>
        <w:t xml:space="preserve"> AIC for the model with the interaction</w:t>
      </w:r>
      <w:r w:rsidR="001654BA" w:rsidRPr="0050482D">
        <w:rPr>
          <w:sz w:val="24"/>
          <w:szCs w:val="24"/>
        </w:rPr>
        <w:t xml:space="preserve"> </w:t>
      </w:r>
      <w:r w:rsidR="009502F4">
        <w:rPr>
          <w:sz w:val="24"/>
          <w:szCs w:val="24"/>
        </w:rPr>
        <w:t>was lower than the model excluding it</w:t>
      </w:r>
      <w:r w:rsidR="001654BA" w:rsidRPr="0050482D">
        <w:rPr>
          <w:sz w:val="24"/>
          <w:szCs w:val="24"/>
        </w:rPr>
        <w:t>.</w:t>
      </w:r>
      <w:r w:rsidR="007071D8">
        <w:rPr>
          <w:sz w:val="24"/>
          <w:szCs w:val="24"/>
        </w:rPr>
        <w:t>[</w:t>
      </w:r>
      <w:r w:rsidR="000C5064" w:rsidRPr="00533CDB">
        <w:rPr>
          <w:sz w:val="24"/>
          <w:szCs w:val="24"/>
        </w:rPr>
        <w:t>3</w:t>
      </w:r>
      <w:r w:rsidR="00C11C00">
        <w:rPr>
          <w:sz w:val="24"/>
          <w:szCs w:val="24"/>
        </w:rPr>
        <w:t>8</w:t>
      </w:r>
      <w:r w:rsidR="00D77E51" w:rsidRPr="00533CDB">
        <w:rPr>
          <w:sz w:val="24"/>
          <w:szCs w:val="24"/>
        </w:rPr>
        <w:t>,</w:t>
      </w:r>
      <w:r w:rsidR="000C5064" w:rsidRPr="00533CDB">
        <w:rPr>
          <w:sz w:val="24"/>
          <w:szCs w:val="24"/>
        </w:rPr>
        <w:t>4</w:t>
      </w:r>
      <w:r w:rsidR="00C11C00">
        <w:rPr>
          <w:sz w:val="24"/>
          <w:szCs w:val="24"/>
        </w:rPr>
        <w:t>3</w:t>
      </w:r>
      <w:r w:rsidR="00E0264C" w:rsidRPr="00533CDB">
        <w:rPr>
          <w:sz w:val="24"/>
          <w:szCs w:val="24"/>
        </w:rPr>
        <w:t>-</w:t>
      </w:r>
      <w:r w:rsidR="000C5064" w:rsidRPr="00533CDB">
        <w:rPr>
          <w:sz w:val="24"/>
          <w:szCs w:val="24"/>
        </w:rPr>
        <w:t>4</w:t>
      </w:r>
      <w:r w:rsidR="00C11C00">
        <w:rPr>
          <w:sz w:val="24"/>
          <w:szCs w:val="24"/>
        </w:rPr>
        <w:t>4</w:t>
      </w:r>
      <w:r w:rsidR="007071D8">
        <w:rPr>
          <w:sz w:val="24"/>
          <w:szCs w:val="24"/>
        </w:rPr>
        <w:t>]</w:t>
      </w:r>
      <w:r w:rsidR="00554161" w:rsidRPr="0050482D">
        <w:rPr>
          <w:sz w:val="24"/>
          <w:szCs w:val="24"/>
        </w:rPr>
        <w:t xml:space="preserve">  </w:t>
      </w:r>
    </w:p>
    <w:p w14:paraId="130E2345" w14:textId="01586804" w:rsidR="00127D2B" w:rsidRPr="00607B24" w:rsidRDefault="00991C54" w:rsidP="001E5A90">
      <w:pPr>
        <w:spacing w:after="0" w:line="480" w:lineRule="auto"/>
        <w:jc w:val="both"/>
        <w:rPr>
          <w:color w:val="0070C0"/>
          <w:sz w:val="24"/>
          <w:szCs w:val="24"/>
        </w:rPr>
      </w:pPr>
      <w:r>
        <w:rPr>
          <w:sz w:val="24"/>
          <w:szCs w:val="24"/>
        </w:rPr>
        <w:t>To investigate</w:t>
      </w:r>
      <w:r w:rsidR="00F83D57">
        <w:rPr>
          <w:sz w:val="24"/>
          <w:szCs w:val="24"/>
        </w:rPr>
        <w:t xml:space="preserve"> the</w:t>
      </w:r>
      <w:r>
        <w:rPr>
          <w:sz w:val="24"/>
          <w:szCs w:val="24"/>
        </w:rPr>
        <w:t xml:space="preserve"> model fit</w:t>
      </w:r>
      <w:r w:rsidR="00F83D57">
        <w:rPr>
          <w:sz w:val="24"/>
          <w:szCs w:val="24"/>
        </w:rPr>
        <w:t>,</w:t>
      </w:r>
      <w:r>
        <w:rPr>
          <w:sz w:val="24"/>
          <w:szCs w:val="24"/>
        </w:rPr>
        <w:t xml:space="preserve"> </w:t>
      </w:r>
      <w:r w:rsidRPr="00991C54">
        <w:rPr>
          <w:sz w:val="24"/>
          <w:szCs w:val="24"/>
        </w:rPr>
        <w:t>marginal</w:t>
      </w:r>
      <w:r w:rsidR="00A12A22" w:rsidRPr="00A12A22">
        <w:rPr>
          <w:sz w:val="24"/>
          <w:szCs w:val="24"/>
        </w:rPr>
        <w:t xml:space="preserve"> </w:t>
      </w:r>
      <w:r w:rsidR="00A12A22">
        <w:rPr>
          <w:sz w:val="24"/>
          <w:szCs w:val="24"/>
        </w:rPr>
        <w:t xml:space="preserve">and conditional </w:t>
      </w:r>
      <w:r>
        <w:rPr>
          <w:sz w:val="24"/>
          <w:szCs w:val="24"/>
        </w:rPr>
        <w:t>p</w:t>
      </w:r>
      <w:r w:rsidRPr="00991C54">
        <w:rPr>
          <w:sz w:val="24"/>
          <w:szCs w:val="24"/>
        </w:rPr>
        <w:t>seudo-R-squared</w:t>
      </w:r>
      <w:r>
        <w:rPr>
          <w:sz w:val="24"/>
          <w:szCs w:val="24"/>
        </w:rPr>
        <w:t xml:space="preserve"> </w:t>
      </w:r>
      <w:r w:rsidR="00A12A22">
        <w:rPr>
          <w:sz w:val="24"/>
          <w:szCs w:val="24"/>
        </w:rPr>
        <w:t>were</w:t>
      </w:r>
      <w:r>
        <w:rPr>
          <w:sz w:val="24"/>
          <w:szCs w:val="24"/>
        </w:rPr>
        <w:t xml:space="preserve"> calculated for each LMM</w:t>
      </w:r>
      <w:r w:rsidR="00A12A22">
        <w:rPr>
          <w:sz w:val="24"/>
          <w:szCs w:val="24"/>
        </w:rPr>
        <w:t>.  Histograms and Q-Q plots of LMM residuals</w:t>
      </w:r>
      <w:r w:rsidR="00042760">
        <w:rPr>
          <w:sz w:val="24"/>
          <w:szCs w:val="24"/>
        </w:rPr>
        <w:t>,</w:t>
      </w:r>
      <w:r w:rsidR="00A12A22">
        <w:rPr>
          <w:sz w:val="24"/>
          <w:szCs w:val="24"/>
        </w:rPr>
        <w:t xml:space="preserve"> and scatterplots </w:t>
      </w:r>
      <w:r w:rsidR="00042760">
        <w:rPr>
          <w:sz w:val="24"/>
          <w:szCs w:val="24"/>
        </w:rPr>
        <w:t xml:space="preserve">of LMM </w:t>
      </w:r>
      <w:r w:rsidR="00042760" w:rsidRPr="00042760">
        <w:rPr>
          <w:sz w:val="24"/>
          <w:szCs w:val="24"/>
        </w:rPr>
        <w:t>residuals verses fitted outcome values</w:t>
      </w:r>
      <w:r w:rsidR="00042760">
        <w:rPr>
          <w:sz w:val="24"/>
          <w:szCs w:val="24"/>
        </w:rPr>
        <w:t>,</w:t>
      </w:r>
      <w:r w:rsidR="00042760" w:rsidRPr="00042760">
        <w:rPr>
          <w:sz w:val="24"/>
          <w:szCs w:val="24"/>
        </w:rPr>
        <w:t xml:space="preserve"> </w:t>
      </w:r>
      <w:r w:rsidR="00A12A22">
        <w:rPr>
          <w:sz w:val="24"/>
          <w:szCs w:val="24"/>
        </w:rPr>
        <w:t xml:space="preserve">were used to investigate </w:t>
      </w:r>
      <w:r w:rsidR="00042760">
        <w:rPr>
          <w:sz w:val="24"/>
          <w:szCs w:val="24"/>
        </w:rPr>
        <w:t xml:space="preserve">whether residuals were normally distributed and displayed </w:t>
      </w:r>
      <w:r w:rsidR="00042760">
        <w:rPr>
          <w:rStyle w:val="normaltextrun"/>
          <w:rFonts w:ascii="Calibri" w:hAnsi="Calibri" w:cs="Calibri"/>
          <w:color w:val="000000"/>
          <w:sz w:val="24"/>
          <w:szCs w:val="24"/>
          <w:shd w:val="clear" w:color="auto" w:fill="FFFFFF"/>
        </w:rPr>
        <w:t>constant variance respectively.</w:t>
      </w:r>
    </w:p>
    <w:p w14:paraId="2046C5ED" w14:textId="254A33C3" w:rsidR="00E27135" w:rsidRPr="00E036E6" w:rsidRDefault="00E27135" w:rsidP="00E27135">
      <w:pPr>
        <w:spacing w:after="0" w:line="480" w:lineRule="auto"/>
        <w:jc w:val="both"/>
        <w:rPr>
          <w:sz w:val="24"/>
          <w:szCs w:val="24"/>
        </w:rPr>
      </w:pPr>
      <w:r>
        <w:rPr>
          <w:sz w:val="24"/>
          <w:szCs w:val="24"/>
        </w:rPr>
        <w:t xml:space="preserve">Descriptive statistics at baseline were analysed using SPSS </w:t>
      </w:r>
      <w:r w:rsidRPr="00C736DC">
        <w:rPr>
          <w:sz w:val="24"/>
          <w:szCs w:val="24"/>
        </w:rPr>
        <w:t>version 24</w:t>
      </w:r>
      <w:r w:rsidR="00537146">
        <w:rPr>
          <w:sz w:val="24"/>
          <w:szCs w:val="24"/>
        </w:rPr>
        <w:t>, LMMs</w:t>
      </w:r>
      <w:r>
        <w:rPr>
          <w:sz w:val="24"/>
          <w:szCs w:val="24"/>
        </w:rPr>
        <w:t xml:space="preserve"> </w:t>
      </w:r>
      <w:r w:rsidR="003C7A42">
        <w:rPr>
          <w:sz w:val="24"/>
          <w:szCs w:val="24"/>
        </w:rPr>
        <w:t>were</w:t>
      </w:r>
      <w:r w:rsidR="003C7A42" w:rsidRPr="0050482D">
        <w:rPr>
          <w:sz w:val="24"/>
          <w:szCs w:val="24"/>
        </w:rPr>
        <w:t xml:space="preserve"> </w:t>
      </w:r>
      <w:r w:rsidRPr="0050482D">
        <w:rPr>
          <w:sz w:val="24"/>
          <w:szCs w:val="24"/>
        </w:rPr>
        <w:t>undertaken using Stata</w:t>
      </w:r>
      <w:r>
        <w:rPr>
          <w:sz w:val="24"/>
          <w:szCs w:val="24"/>
        </w:rPr>
        <w:t xml:space="preserve"> version 14</w:t>
      </w:r>
      <w:r w:rsidR="00537146">
        <w:rPr>
          <w:sz w:val="24"/>
          <w:szCs w:val="24"/>
        </w:rPr>
        <w:t xml:space="preserve"> and</w:t>
      </w:r>
      <w:r w:rsidR="00155EA8">
        <w:rPr>
          <w:sz w:val="24"/>
          <w:szCs w:val="24"/>
        </w:rPr>
        <w:t xml:space="preserve"> pseudo-R-squared using </w:t>
      </w:r>
      <w:r w:rsidR="00155EA8" w:rsidRPr="00155EA8">
        <w:rPr>
          <w:sz w:val="24"/>
          <w:szCs w:val="24"/>
        </w:rPr>
        <w:t>R version 4.1.2</w:t>
      </w:r>
      <w:r w:rsidRPr="0050482D">
        <w:rPr>
          <w:sz w:val="24"/>
          <w:szCs w:val="24"/>
        </w:rPr>
        <w:t>.</w:t>
      </w:r>
    </w:p>
    <w:p w14:paraId="0336B1CC" w14:textId="2A74EDE6" w:rsidR="009E228C" w:rsidRDefault="00E27135" w:rsidP="00E27135">
      <w:pPr>
        <w:spacing w:after="0" w:line="480" w:lineRule="auto"/>
        <w:jc w:val="both"/>
        <w:rPr>
          <w:b/>
          <w:bCs/>
          <w:sz w:val="24"/>
          <w:szCs w:val="24"/>
        </w:rPr>
      </w:pPr>
      <w:r w:rsidRPr="00E27135">
        <w:rPr>
          <w:b/>
          <w:bCs/>
          <w:sz w:val="24"/>
          <w:szCs w:val="24"/>
        </w:rPr>
        <w:t>Interpretation of linear mixed method beta coefficients</w:t>
      </w:r>
    </w:p>
    <w:p w14:paraId="3272F549" w14:textId="68350926" w:rsidR="007A58E3" w:rsidRPr="00607B24" w:rsidRDefault="00E27135" w:rsidP="001058A2">
      <w:pPr>
        <w:spacing w:after="0" w:line="480" w:lineRule="auto"/>
        <w:jc w:val="both"/>
        <w:rPr>
          <w:sz w:val="24"/>
          <w:szCs w:val="24"/>
        </w:rPr>
      </w:pPr>
      <w:r w:rsidRPr="006E5D1E">
        <w:rPr>
          <w:sz w:val="24"/>
          <w:szCs w:val="24"/>
        </w:rPr>
        <w:t xml:space="preserve">The </w:t>
      </w:r>
      <w:r w:rsidR="00F83D57" w:rsidRPr="005642F4">
        <w:rPr>
          <w:sz w:val="24"/>
          <w:szCs w:val="24"/>
        </w:rPr>
        <w:t>β</w:t>
      </w:r>
      <w:r w:rsidR="00F83D57" w:rsidRPr="006E5D1E" w:rsidDel="00F83D57">
        <w:rPr>
          <w:sz w:val="24"/>
          <w:szCs w:val="24"/>
        </w:rPr>
        <w:t xml:space="preserve"> </w:t>
      </w:r>
      <w:r w:rsidRPr="006E5D1E">
        <w:rPr>
          <w:sz w:val="24"/>
          <w:szCs w:val="24"/>
        </w:rPr>
        <w:t xml:space="preserve">coefficients </w:t>
      </w:r>
      <w:r w:rsidR="009544DE" w:rsidRPr="00607B24">
        <w:rPr>
          <w:sz w:val="24"/>
          <w:szCs w:val="24"/>
        </w:rPr>
        <w:t>of LMM</w:t>
      </w:r>
      <w:r w:rsidR="008F57A4">
        <w:rPr>
          <w:sz w:val="24"/>
          <w:szCs w:val="24"/>
        </w:rPr>
        <w:t>s</w:t>
      </w:r>
      <w:r w:rsidR="009544DE" w:rsidRPr="00607B24">
        <w:rPr>
          <w:sz w:val="24"/>
          <w:szCs w:val="24"/>
        </w:rPr>
        <w:t xml:space="preserve"> </w:t>
      </w:r>
      <w:r w:rsidRPr="005642F4">
        <w:rPr>
          <w:sz w:val="24"/>
          <w:szCs w:val="24"/>
        </w:rPr>
        <w:t xml:space="preserve">indicate the </w:t>
      </w:r>
      <w:r w:rsidR="00D83E28">
        <w:rPr>
          <w:sz w:val="24"/>
          <w:szCs w:val="24"/>
        </w:rPr>
        <w:t>difference</w:t>
      </w:r>
      <w:r w:rsidRPr="005642F4">
        <w:rPr>
          <w:sz w:val="24"/>
          <w:szCs w:val="24"/>
        </w:rPr>
        <w:t xml:space="preserve"> in the HRQOL outcome measure for participants at a </w:t>
      </w:r>
      <w:r w:rsidR="001058A2">
        <w:rPr>
          <w:sz w:val="24"/>
          <w:szCs w:val="24"/>
        </w:rPr>
        <w:t xml:space="preserve">time-point </w:t>
      </w:r>
      <w:r w:rsidR="006E5D1E">
        <w:rPr>
          <w:sz w:val="24"/>
          <w:szCs w:val="24"/>
        </w:rPr>
        <w:t xml:space="preserve">with a variable </w:t>
      </w:r>
      <w:r w:rsidRPr="005642F4">
        <w:rPr>
          <w:sz w:val="24"/>
          <w:szCs w:val="24"/>
        </w:rPr>
        <w:t xml:space="preserve">compared to those without the variable (categorical variable) or </w:t>
      </w:r>
      <w:r w:rsidR="006E5D1E">
        <w:rPr>
          <w:sz w:val="24"/>
          <w:szCs w:val="24"/>
        </w:rPr>
        <w:t xml:space="preserve">with </w:t>
      </w:r>
      <w:r w:rsidRPr="005642F4">
        <w:rPr>
          <w:sz w:val="24"/>
          <w:szCs w:val="24"/>
        </w:rPr>
        <w:t>a 1-unit increase in a variable (continuous variable) (when adjusted for all other variables in the model).</w:t>
      </w:r>
      <w:r w:rsidR="001058A2">
        <w:rPr>
          <w:sz w:val="24"/>
          <w:szCs w:val="24"/>
        </w:rPr>
        <w:t xml:space="preserve"> </w:t>
      </w:r>
      <w:r w:rsidR="007A58E3" w:rsidRPr="00607B24">
        <w:rPr>
          <w:sz w:val="24"/>
          <w:szCs w:val="24"/>
        </w:rPr>
        <w:t xml:space="preserve"> For example, </w:t>
      </w:r>
      <w:r w:rsidR="009544DE" w:rsidRPr="00607B24">
        <w:rPr>
          <w:sz w:val="24"/>
          <w:szCs w:val="24"/>
        </w:rPr>
        <w:t xml:space="preserve">for </w:t>
      </w:r>
      <w:r w:rsidR="006E5D1E">
        <w:rPr>
          <w:sz w:val="24"/>
          <w:szCs w:val="24"/>
        </w:rPr>
        <w:t xml:space="preserve">the time-varying variable </w:t>
      </w:r>
      <w:r w:rsidR="009544DE" w:rsidRPr="00607B24">
        <w:rPr>
          <w:sz w:val="24"/>
          <w:szCs w:val="24"/>
        </w:rPr>
        <w:t>gout flares</w:t>
      </w:r>
      <w:r w:rsidR="006E5D1E">
        <w:rPr>
          <w:sz w:val="24"/>
          <w:szCs w:val="24"/>
        </w:rPr>
        <w:t>,</w:t>
      </w:r>
      <w:r w:rsidR="009544DE" w:rsidRPr="00607B24">
        <w:rPr>
          <w:sz w:val="24"/>
          <w:szCs w:val="24"/>
        </w:rPr>
        <w:t xml:space="preserve"> the </w:t>
      </w:r>
      <w:r w:rsidR="00F83D57" w:rsidRPr="005642F4">
        <w:rPr>
          <w:sz w:val="24"/>
          <w:szCs w:val="24"/>
        </w:rPr>
        <w:t>β</w:t>
      </w:r>
      <w:r w:rsidR="00F83D57" w:rsidRPr="00607B24" w:rsidDel="00F83D57">
        <w:rPr>
          <w:sz w:val="24"/>
          <w:szCs w:val="24"/>
        </w:rPr>
        <w:t xml:space="preserve"> </w:t>
      </w:r>
      <w:r w:rsidR="009544DE" w:rsidRPr="00607B24">
        <w:rPr>
          <w:sz w:val="24"/>
          <w:szCs w:val="24"/>
        </w:rPr>
        <w:t xml:space="preserve">coefficient for one flare represents the </w:t>
      </w:r>
      <w:r w:rsidR="00D83E28">
        <w:rPr>
          <w:sz w:val="24"/>
          <w:szCs w:val="24"/>
        </w:rPr>
        <w:t>difference</w:t>
      </w:r>
      <w:r w:rsidR="009544DE" w:rsidRPr="00607B24">
        <w:rPr>
          <w:sz w:val="24"/>
          <w:szCs w:val="24"/>
        </w:rPr>
        <w:t xml:space="preserve"> in the HRQOL outcome</w:t>
      </w:r>
      <w:r w:rsidR="005642F4" w:rsidRPr="00607B24">
        <w:rPr>
          <w:sz w:val="24"/>
          <w:szCs w:val="24"/>
        </w:rPr>
        <w:t xml:space="preserve"> at each time-point</w:t>
      </w:r>
      <w:r w:rsidR="009544DE" w:rsidRPr="00607B24">
        <w:rPr>
          <w:sz w:val="24"/>
          <w:szCs w:val="24"/>
        </w:rPr>
        <w:t xml:space="preserve"> associated</w:t>
      </w:r>
      <w:r w:rsidR="005642F4" w:rsidRPr="00607B24">
        <w:rPr>
          <w:sz w:val="24"/>
          <w:szCs w:val="24"/>
        </w:rPr>
        <w:t xml:space="preserve"> with experiencing one flare, compared with not experiencing a flare.</w:t>
      </w:r>
      <w:r w:rsidR="006E5D1E">
        <w:rPr>
          <w:sz w:val="24"/>
          <w:szCs w:val="24"/>
        </w:rPr>
        <w:t xml:space="preserve"> </w:t>
      </w:r>
      <w:r w:rsidR="001058A2">
        <w:rPr>
          <w:sz w:val="24"/>
          <w:szCs w:val="24"/>
        </w:rPr>
        <w:t>Whereas for a time invariant variable</w:t>
      </w:r>
      <w:r w:rsidR="001058A2" w:rsidRPr="001058A2">
        <w:rPr>
          <w:sz w:val="24"/>
          <w:szCs w:val="24"/>
        </w:rPr>
        <w:t xml:space="preserve"> </w:t>
      </w:r>
      <w:r w:rsidR="001058A2">
        <w:rPr>
          <w:sz w:val="24"/>
          <w:szCs w:val="24"/>
        </w:rPr>
        <w:t>such as body pain</w:t>
      </w:r>
      <w:r w:rsidR="00D83E28">
        <w:rPr>
          <w:sz w:val="24"/>
          <w:szCs w:val="24"/>
        </w:rPr>
        <w:t>,</w:t>
      </w:r>
      <w:r w:rsidR="001058A2" w:rsidRPr="001058A2">
        <w:rPr>
          <w:sz w:val="24"/>
          <w:szCs w:val="24"/>
        </w:rPr>
        <w:t xml:space="preserve"> </w:t>
      </w:r>
      <w:r w:rsidR="001058A2" w:rsidRPr="00607B24">
        <w:rPr>
          <w:sz w:val="24"/>
          <w:szCs w:val="24"/>
        </w:rPr>
        <w:t xml:space="preserve">the </w:t>
      </w:r>
      <w:r w:rsidR="00F83D57" w:rsidRPr="005642F4">
        <w:rPr>
          <w:sz w:val="24"/>
          <w:szCs w:val="24"/>
        </w:rPr>
        <w:t>β</w:t>
      </w:r>
      <w:r w:rsidR="00F83D57" w:rsidRPr="00607B24" w:rsidDel="00F83D57">
        <w:rPr>
          <w:sz w:val="24"/>
          <w:szCs w:val="24"/>
        </w:rPr>
        <w:t xml:space="preserve"> </w:t>
      </w:r>
      <w:r w:rsidR="001058A2" w:rsidRPr="00607B24">
        <w:rPr>
          <w:sz w:val="24"/>
          <w:szCs w:val="24"/>
        </w:rPr>
        <w:t xml:space="preserve">coefficient represents the </w:t>
      </w:r>
      <w:r w:rsidR="00B62002">
        <w:rPr>
          <w:sz w:val="24"/>
          <w:szCs w:val="24"/>
        </w:rPr>
        <w:t xml:space="preserve">difference </w:t>
      </w:r>
      <w:r w:rsidR="001058A2" w:rsidRPr="00607B24">
        <w:rPr>
          <w:sz w:val="24"/>
          <w:szCs w:val="24"/>
        </w:rPr>
        <w:t>in the HRQOL outcome</w:t>
      </w:r>
      <w:r w:rsidR="002A2163">
        <w:rPr>
          <w:sz w:val="24"/>
          <w:szCs w:val="24"/>
        </w:rPr>
        <w:t xml:space="preserve"> at baseline for participants reporting body pain</w:t>
      </w:r>
      <w:r w:rsidR="001058A2" w:rsidRPr="00607B24">
        <w:rPr>
          <w:sz w:val="24"/>
          <w:szCs w:val="24"/>
        </w:rPr>
        <w:t>, compared with</w:t>
      </w:r>
      <w:r w:rsidR="002A2163">
        <w:rPr>
          <w:sz w:val="24"/>
          <w:szCs w:val="24"/>
        </w:rPr>
        <w:t xml:space="preserve"> participants</w:t>
      </w:r>
      <w:r w:rsidR="001058A2" w:rsidRPr="00607B24">
        <w:rPr>
          <w:sz w:val="24"/>
          <w:szCs w:val="24"/>
        </w:rPr>
        <w:t xml:space="preserve"> not experiencing a</w:t>
      </w:r>
      <w:r w:rsidR="002A2163">
        <w:rPr>
          <w:sz w:val="24"/>
          <w:szCs w:val="24"/>
        </w:rPr>
        <w:t>ny</w:t>
      </w:r>
      <w:r w:rsidR="001058A2" w:rsidRPr="00607B24">
        <w:rPr>
          <w:sz w:val="24"/>
          <w:szCs w:val="24"/>
        </w:rPr>
        <w:t xml:space="preserve"> </w:t>
      </w:r>
      <w:r w:rsidR="001058A2">
        <w:rPr>
          <w:sz w:val="24"/>
          <w:szCs w:val="24"/>
        </w:rPr>
        <w:t>body pain</w:t>
      </w:r>
      <w:r w:rsidR="001058A2" w:rsidRPr="00607B24">
        <w:rPr>
          <w:sz w:val="24"/>
          <w:szCs w:val="24"/>
        </w:rPr>
        <w:t>.</w:t>
      </w:r>
    </w:p>
    <w:p w14:paraId="6B419F5A" w14:textId="7BAF39DE" w:rsidR="005642F4" w:rsidRPr="00607B24" w:rsidRDefault="00E27135" w:rsidP="00E27135">
      <w:pPr>
        <w:spacing w:after="0" w:line="480" w:lineRule="auto"/>
        <w:jc w:val="both"/>
        <w:rPr>
          <w:sz w:val="24"/>
          <w:szCs w:val="24"/>
        </w:rPr>
      </w:pPr>
      <w:r w:rsidRPr="005642F4">
        <w:lastRenderedPageBreak/>
        <w:t xml:space="preserve"> </w:t>
      </w:r>
      <w:r w:rsidRPr="00B91F10">
        <w:rPr>
          <w:sz w:val="24"/>
          <w:szCs w:val="24"/>
        </w:rPr>
        <w:t xml:space="preserve">When the interaction term was included in the </w:t>
      </w:r>
      <w:r w:rsidR="009544DE" w:rsidRPr="00607B24">
        <w:rPr>
          <w:sz w:val="24"/>
          <w:szCs w:val="24"/>
        </w:rPr>
        <w:t xml:space="preserve">final </w:t>
      </w:r>
      <w:r w:rsidRPr="005642F4">
        <w:rPr>
          <w:sz w:val="24"/>
          <w:szCs w:val="24"/>
        </w:rPr>
        <w:t xml:space="preserve">model, the </w:t>
      </w:r>
      <w:r w:rsidR="00B62002">
        <w:rPr>
          <w:sz w:val="24"/>
          <w:szCs w:val="24"/>
        </w:rPr>
        <w:t>difference</w:t>
      </w:r>
      <w:r w:rsidRPr="005642F4">
        <w:rPr>
          <w:sz w:val="24"/>
          <w:szCs w:val="24"/>
        </w:rPr>
        <w:t xml:space="preserve"> in HRQOL</w:t>
      </w:r>
      <w:r w:rsidR="005642F4">
        <w:rPr>
          <w:sz w:val="24"/>
          <w:szCs w:val="24"/>
        </w:rPr>
        <w:t xml:space="preserve"> associated with that particular variable</w:t>
      </w:r>
      <w:r w:rsidRPr="005642F4">
        <w:rPr>
          <w:sz w:val="24"/>
          <w:szCs w:val="24"/>
        </w:rPr>
        <w:t xml:space="preserve"> was not assumed to be the same at each time-point</w:t>
      </w:r>
      <w:r w:rsidR="007A58E3" w:rsidRPr="00607B24">
        <w:rPr>
          <w:sz w:val="24"/>
          <w:szCs w:val="24"/>
        </w:rPr>
        <w:t>.</w:t>
      </w:r>
      <w:r w:rsidRPr="005642F4">
        <w:rPr>
          <w:sz w:val="24"/>
          <w:szCs w:val="24"/>
        </w:rPr>
        <w:t xml:space="preserve"> </w:t>
      </w:r>
    </w:p>
    <w:p w14:paraId="02C33F89" w14:textId="3C9866D6" w:rsidR="00E27135" w:rsidRPr="00607B24" w:rsidRDefault="00E27135" w:rsidP="00E27135">
      <w:pPr>
        <w:spacing w:after="0" w:line="480" w:lineRule="auto"/>
        <w:jc w:val="both"/>
        <w:rPr>
          <w:color w:val="FF0000"/>
          <w:sz w:val="24"/>
          <w:szCs w:val="24"/>
        </w:rPr>
      </w:pPr>
      <w:r w:rsidRPr="005642F4">
        <w:rPr>
          <w:sz w:val="24"/>
          <w:szCs w:val="24"/>
        </w:rPr>
        <w:t xml:space="preserve">Worse HRQOL outcomes were indicated by positive β coefficient on the GIS subscales and HAQ-DI, and a negative β coefficient on the SF-36 PF10. </w:t>
      </w:r>
    </w:p>
    <w:p w14:paraId="02EDFC77" w14:textId="77777777" w:rsidR="00A916C0" w:rsidRDefault="00A916C0" w:rsidP="0089345F">
      <w:pPr>
        <w:spacing w:after="0" w:line="480" w:lineRule="auto"/>
        <w:jc w:val="both"/>
        <w:rPr>
          <w:b/>
          <w:sz w:val="24"/>
          <w:szCs w:val="24"/>
        </w:rPr>
      </w:pPr>
    </w:p>
    <w:p w14:paraId="5D0DB920" w14:textId="4E328390" w:rsidR="0073548C" w:rsidRPr="00A916C0" w:rsidRDefault="0073548C" w:rsidP="0089345F">
      <w:pPr>
        <w:spacing w:after="0" w:line="480" w:lineRule="auto"/>
        <w:jc w:val="both"/>
        <w:rPr>
          <w:sz w:val="24"/>
          <w:szCs w:val="24"/>
        </w:rPr>
      </w:pPr>
      <w:r w:rsidRPr="00E240CE">
        <w:rPr>
          <w:b/>
          <w:sz w:val="24"/>
          <w:szCs w:val="24"/>
        </w:rPr>
        <w:t>Results</w:t>
      </w:r>
    </w:p>
    <w:p w14:paraId="755D3624" w14:textId="44D42432" w:rsidR="0050594C" w:rsidRPr="00337B1C" w:rsidRDefault="00337B1C" w:rsidP="00D853B5">
      <w:pPr>
        <w:spacing w:after="0" w:line="480" w:lineRule="auto"/>
        <w:jc w:val="both"/>
        <w:rPr>
          <w:b/>
          <w:bCs/>
          <w:sz w:val="24"/>
          <w:szCs w:val="24"/>
        </w:rPr>
      </w:pPr>
      <w:r>
        <w:rPr>
          <w:b/>
          <w:bCs/>
          <w:sz w:val="24"/>
          <w:szCs w:val="24"/>
        </w:rPr>
        <w:t>Cohort characteristics</w:t>
      </w:r>
    </w:p>
    <w:p w14:paraId="415C0ADE" w14:textId="0C4BF5E2" w:rsidR="00B00990" w:rsidRDefault="00337B1C" w:rsidP="00D853B5">
      <w:pPr>
        <w:spacing w:after="0" w:line="480" w:lineRule="auto"/>
        <w:jc w:val="both"/>
        <w:rPr>
          <w:sz w:val="24"/>
          <w:szCs w:val="24"/>
        </w:rPr>
      </w:pPr>
      <w:r w:rsidRPr="00D853B5">
        <w:rPr>
          <w:sz w:val="24"/>
          <w:szCs w:val="24"/>
        </w:rPr>
        <w:t xml:space="preserve">1184 </w:t>
      </w:r>
      <w:r>
        <w:rPr>
          <w:sz w:val="24"/>
          <w:szCs w:val="24"/>
        </w:rPr>
        <w:t xml:space="preserve">participants responded to the </w:t>
      </w:r>
      <w:r w:rsidR="003C6EAD">
        <w:rPr>
          <w:sz w:val="24"/>
          <w:szCs w:val="24"/>
        </w:rPr>
        <w:t xml:space="preserve">baseline </w:t>
      </w:r>
      <w:r>
        <w:rPr>
          <w:sz w:val="24"/>
          <w:szCs w:val="24"/>
        </w:rPr>
        <w:t xml:space="preserve">questionnaire (adjusted response </w:t>
      </w:r>
      <w:r w:rsidRPr="007C2CE5">
        <w:rPr>
          <w:sz w:val="24"/>
          <w:szCs w:val="24"/>
        </w:rPr>
        <w:t>65.6</w:t>
      </w:r>
      <w:r>
        <w:rPr>
          <w:sz w:val="24"/>
          <w:szCs w:val="24"/>
        </w:rPr>
        <w:t>%</w:t>
      </w:r>
      <w:r w:rsidR="008C2150">
        <w:rPr>
          <w:sz w:val="24"/>
          <w:szCs w:val="24"/>
        </w:rPr>
        <w:t xml:space="preserve">; </w:t>
      </w:r>
      <w:r w:rsidR="008C2150" w:rsidRPr="006D352D">
        <w:rPr>
          <w:sz w:val="24"/>
          <w:szCs w:val="24"/>
        </w:rPr>
        <w:t>questionnaire responders as a proportion of the eligible participants at that time-point</w:t>
      </w:r>
      <w:r>
        <w:rPr>
          <w:sz w:val="24"/>
          <w:szCs w:val="24"/>
        </w:rPr>
        <w:t>)</w:t>
      </w:r>
      <w:r w:rsidRPr="00D853B5">
        <w:rPr>
          <w:sz w:val="24"/>
          <w:szCs w:val="24"/>
        </w:rPr>
        <w:t xml:space="preserve">, </w:t>
      </w:r>
      <w:r w:rsidR="003C6EAD">
        <w:rPr>
          <w:sz w:val="24"/>
          <w:szCs w:val="24"/>
        </w:rPr>
        <w:t xml:space="preserve">of whom </w:t>
      </w:r>
      <w:r w:rsidRPr="00D853B5">
        <w:rPr>
          <w:sz w:val="24"/>
          <w:szCs w:val="24"/>
        </w:rPr>
        <w:t>818 (</w:t>
      </w:r>
      <w:r w:rsidR="001E5D3F">
        <w:rPr>
          <w:sz w:val="24"/>
          <w:szCs w:val="24"/>
        </w:rPr>
        <w:t>79.7</w:t>
      </w:r>
      <w:r w:rsidRPr="00D853B5">
        <w:rPr>
          <w:sz w:val="24"/>
          <w:szCs w:val="24"/>
        </w:rPr>
        <w:t>%), 721 (73</w:t>
      </w:r>
      <w:r w:rsidR="001E5D3F">
        <w:rPr>
          <w:sz w:val="24"/>
          <w:szCs w:val="24"/>
        </w:rPr>
        <w:t>.0</w:t>
      </w:r>
      <w:r w:rsidRPr="00D853B5">
        <w:rPr>
          <w:sz w:val="24"/>
          <w:szCs w:val="24"/>
        </w:rPr>
        <w:t>%), 696 (75</w:t>
      </w:r>
      <w:r w:rsidR="001E5D3F">
        <w:rPr>
          <w:sz w:val="24"/>
          <w:szCs w:val="24"/>
        </w:rPr>
        <w:t>.4</w:t>
      </w:r>
      <w:r w:rsidRPr="00D853B5">
        <w:rPr>
          <w:sz w:val="24"/>
          <w:szCs w:val="24"/>
        </w:rPr>
        <w:t xml:space="preserve">%), </w:t>
      </w:r>
      <w:r w:rsidR="00AF72EB">
        <w:rPr>
          <w:sz w:val="24"/>
          <w:szCs w:val="24"/>
        </w:rPr>
        <w:t xml:space="preserve">and </w:t>
      </w:r>
      <w:r w:rsidRPr="00D853B5">
        <w:rPr>
          <w:sz w:val="24"/>
          <w:szCs w:val="24"/>
        </w:rPr>
        <w:t>605 (68</w:t>
      </w:r>
      <w:r w:rsidR="001E5D3F">
        <w:rPr>
          <w:sz w:val="24"/>
          <w:szCs w:val="24"/>
        </w:rPr>
        <w:t>.4</w:t>
      </w:r>
      <w:r w:rsidRPr="00D853B5">
        <w:rPr>
          <w:sz w:val="24"/>
          <w:szCs w:val="24"/>
        </w:rPr>
        <w:t>%) responded at 6, 12, 24 and 36 months</w:t>
      </w:r>
      <w:r w:rsidR="00AF72EB">
        <w:rPr>
          <w:sz w:val="24"/>
          <w:szCs w:val="24"/>
        </w:rPr>
        <w:t>,</w:t>
      </w:r>
      <w:r w:rsidRPr="00D853B5">
        <w:rPr>
          <w:sz w:val="24"/>
          <w:szCs w:val="24"/>
        </w:rPr>
        <w:t xml:space="preserve"> respectively</w:t>
      </w:r>
      <w:r w:rsidR="003C6EAD">
        <w:rPr>
          <w:sz w:val="24"/>
          <w:szCs w:val="24"/>
        </w:rPr>
        <w:t xml:space="preserve"> (</w:t>
      </w:r>
      <w:r w:rsidR="0050594C" w:rsidRPr="007C2CE5">
        <w:rPr>
          <w:sz w:val="24"/>
          <w:szCs w:val="24"/>
        </w:rPr>
        <w:t xml:space="preserve">supplementary </w:t>
      </w:r>
      <w:r w:rsidR="0050594C" w:rsidRPr="00533CDB">
        <w:rPr>
          <w:sz w:val="24"/>
          <w:szCs w:val="24"/>
        </w:rPr>
        <w:t xml:space="preserve">figure </w:t>
      </w:r>
      <w:r w:rsidR="00D20964" w:rsidRPr="00533CDB">
        <w:rPr>
          <w:sz w:val="24"/>
          <w:szCs w:val="24"/>
        </w:rPr>
        <w:t>S</w:t>
      </w:r>
      <w:r w:rsidR="00B00990" w:rsidRPr="00533CDB">
        <w:rPr>
          <w:sz w:val="24"/>
          <w:szCs w:val="24"/>
        </w:rPr>
        <w:t>2</w:t>
      </w:r>
      <w:r w:rsidR="003C6EAD">
        <w:rPr>
          <w:sz w:val="24"/>
          <w:szCs w:val="24"/>
        </w:rPr>
        <w:t>).</w:t>
      </w:r>
      <w:r w:rsidR="003C6EAD" w:rsidRPr="007C2CE5">
        <w:rPr>
          <w:sz w:val="24"/>
          <w:szCs w:val="24"/>
        </w:rPr>
        <w:t xml:space="preserve">  </w:t>
      </w:r>
      <w:r w:rsidR="003C6EAD">
        <w:rPr>
          <w:sz w:val="24"/>
          <w:szCs w:val="24"/>
        </w:rPr>
        <w:t xml:space="preserve">  </w:t>
      </w:r>
      <w:r w:rsidR="00516977">
        <w:rPr>
          <w:sz w:val="24"/>
          <w:szCs w:val="24"/>
        </w:rPr>
        <w:t>Participants</w:t>
      </w:r>
      <w:r w:rsidR="005E67BE">
        <w:rPr>
          <w:sz w:val="24"/>
          <w:szCs w:val="24"/>
        </w:rPr>
        <w:t>’</w:t>
      </w:r>
      <w:r w:rsidR="00516977">
        <w:rPr>
          <w:sz w:val="24"/>
          <w:szCs w:val="24"/>
        </w:rPr>
        <w:t xml:space="preserve"> m</w:t>
      </w:r>
      <w:r w:rsidRPr="00D853B5">
        <w:rPr>
          <w:sz w:val="24"/>
          <w:szCs w:val="24"/>
        </w:rPr>
        <w:t xml:space="preserve">ean (SD) </w:t>
      </w:r>
      <w:r w:rsidR="00516977" w:rsidRPr="00D853B5">
        <w:rPr>
          <w:sz w:val="24"/>
          <w:szCs w:val="24"/>
        </w:rPr>
        <w:t xml:space="preserve">age </w:t>
      </w:r>
      <w:r w:rsidR="003C6EAD">
        <w:rPr>
          <w:sz w:val="24"/>
          <w:szCs w:val="24"/>
        </w:rPr>
        <w:t>was</w:t>
      </w:r>
      <w:r w:rsidR="002F154C">
        <w:rPr>
          <w:sz w:val="24"/>
          <w:szCs w:val="24"/>
        </w:rPr>
        <w:t xml:space="preserve"> </w:t>
      </w:r>
      <w:r w:rsidRPr="00D853B5">
        <w:rPr>
          <w:sz w:val="24"/>
          <w:szCs w:val="24"/>
        </w:rPr>
        <w:t>65.6 (12.5) years</w:t>
      </w:r>
      <w:r w:rsidR="00A620D9">
        <w:rPr>
          <w:sz w:val="24"/>
          <w:szCs w:val="24"/>
        </w:rPr>
        <w:t xml:space="preserve"> at baseline</w:t>
      </w:r>
      <w:r w:rsidR="00516977">
        <w:rPr>
          <w:sz w:val="24"/>
          <w:szCs w:val="24"/>
        </w:rPr>
        <w:t xml:space="preserve">, </w:t>
      </w:r>
      <w:r w:rsidRPr="00D853B5">
        <w:rPr>
          <w:sz w:val="24"/>
          <w:szCs w:val="24"/>
        </w:rPr>
        <w:t>990 (</w:t>
      </w:r>
      <w:r w:rsidR="001E5D3F">
        <w:rPr>
          <w:sz w:val="24"/>
          <w:szCs w:val="24"/>
        </w:rPr>
        <w:t>83.6</w:t>
      </w:r>
      <w:r w:rsidRPr="00D853B5">
        <w:rPr>
          <w:sz w:val="24"/>
          <w:szCs w:val="24"/>
        </w:rPr>
        <w:t xml:space="preserve">%) were male, </w:t>
      </w:r>
      <w:r w:rsidR="00516977">
        <w:rPr>
          <w:sz w:val="24"/>
          <w:szCs w:val="24"/>
        </w:rPr>
        <w:t xml:space="preserve">and 1126 (95.1%) were </w:t>
      </w:r>
      <w:r w:rsidR="003C2E4C">
        <w:rPr>
          <w:sz w:val="24"/>
          <w:szCs w:val="24"/>
        </w:rPr>
        <w:t xml:space="preserve">White-European </w:t>
      </w:r>
      <w:r w:rsidR="008D3355" w:rsidRPr="007C2CE5">
        <w:rPr>
          <w:sz w:val="24"/>
          <w:szCs w:val="24"/>
        </w:rPr>
        <w:t>(</w:t>
      </w:r>
      <w:r w:rsidR="008D3355" w:rsidRPr="009367C4">
        <w:rPr>
          <w:sz w:val="24"/>
          <w:szCs w:val="24"/>
        </w:rPr>
        <w:t>table 1</w:t>
      </w:r>
      <w:r w:rsidR="008D3355" w:rsidRPr="007C2CE5">
        <w:rPr>
          <w:sz w:val="24"/>
          <w:szCs w:val="24"/>
        </w:rPr>
        <w:t>)</w:t>
      </w:r>
      <w:r w:rsidR="00516977" w:rsidRPr="007C2CE5">
        <w:rPr>
          <w:sz w:val="24"/>
          <w:szCs w:val="24"/>
        </w:rPr>
        <w:t xml:space="preserve">.  </w:t>
      </w:r>
      <w:r w:rsidR="008D3355" w:rsidRPr="008D3355">
        <w:rPr>
          <w:sz w:val="24"/>
          <w:szCs w:val="24"/>
        </w:rPr>
        <w:t>The most common self-reported comorbidity was hypertension (731</w:t>
      </w:r>
      <w:r w:rsidR="003C6EAD">
        <w:rPr>
          <w:sz w:val="24"/>
          <w:szCs w:val="24"/>
        </w:rPr>
        <w:t xml:space="preserve"> </w:t>
      </w:r>
      <w:r w:rsidR="008D3355" w:rsidRPr="008D3355">
        <w:rPr>
          <w:sz w:val="24"/>
          <w:szCs w:val="24"/>
        </w:rPr>
        <w:t>(61.7 %))</w:t>
      </w:r>
      <w:r w:rsidR="005E67BE">
        <w:rPr>
          <w:sz w:val="24"/>
          <w:szCs w:val="24"/>
        </w:rPr>
        <w:t>.</w:t>
      </w:r>
      <w:r w:rsidR="008D3355" w:rsidRPr="007C2CE5">
        <w:rPr>
          <w:sz w:val="24"/>
          <w:szCs w:val="24"/>
        </w:rPr>
        <w:t xml:space="preserve">  </w:t>
      </w:r>
      <w:r w:rsidR="003C6EAD">
        <w:rPr>
          <w:sz w:val="24"/>
          <w:szCs w:val="24"/>
        </w:rPr>
        <w:t>M</w:t>
      </w:r>
      <w:r w:rsidR="00516977">
        <w:rPr>
          <w:sz w:val="24"/>
          <w:szCs w:val="24"/>
        </w:rPr>
        <w:t xml:space="preserve">ean (SD) </w:t>
      </w:r>
      <w:r w:rsidR="003C6EAD">
        <w:rPr>
          <w:sz w:val="24"/>
          <w:szCs w:val="24"/>
        </w:rPr>
        <w:t xml:space="preserve">gout </w:t>
      </w:r>
      <w:r w:rsidR="00516977">
        <w:rPr>
          <w:sz w:val="24"/>
          <w:szCs w:val="24"/>
        </w:rPr>
        <w:t xml:space="preserve">duration </w:t>
      </w:r>
      <w:r w:rsidR="00AF72EB">
        <w:rPr>
          <w:sz w:val="24"/>
          <w:szCs w:val="24"/>
        </w:rPr>
        <w:t>was</w:t>
      </w:r>
      <w:r w:rsidR="00516977">
        <w:rPr>
          <w:sz w:val="24"/>
          <w:szCs w:val="24"/>
        </w:rPr>
        <w:t xml:space="preserve"> </w:t>
      </w:r>
      <w:r w:rsidR="00516977" w:rsidRPr="00516977">
        <w:rPr>
          <w:sz w:val="24"/>
          <w:szCs w:val="24"/>
        </w:rPr>
        <w:t>11.91(12.13)</w:t>
      </w:r>
      <w:r w:rsidR="00380BAD">
        <w:rPr>
          <w:sz w:val="24"/>
          <w:szCs w:val="24"/>
        </w:rPr>
        <w:t xml:space="preserve"> years</w:t>
      </w:r>
      <w:r w:rsidR="003C6EAD">
        <w:rPr>
          <w:sz w:val="24"/>
          <w:szCs w:val="24"/>
        </w:rPr>
        <w:t xml:space="preserve">.  Having </w:t>
      </w:r>
      <w:r w:rsidRPr="00741B2D">
        <w:rPr>
          <w:sz w:val="24"/>
          <w:szCs w:val="24"/>
        </w:rPr>
        <w:t>two or more</w:t>
      </w:r>
      <w:r w:rsidRPr="00D853B5">
        <w:rPr>
          <w:sz w:val="24"/>
          <w:szCs w:val="24"/>
        </w:rPr>
        <w:t xml:space="preserve"> gout flares in the </w:t>
      </w:r>
      <w:r w:rsidR="00516977">
        <w:rPr>
          <w:sz w:val="24"/>
          <w:szCs w:val="24"/>
        </w:rPr>
        <w:t>12 months prior to baseline</w:t>
      </w:r>
      <w:r w:rsidR="003C6EAD">
        <w:rPr>
          <w:sz w:val="24"/>
          <w:szCs w:val="24"/>
        </w:rPr>
        <w:t xml:space="preserve"> was reported by </w:t>
      </w:r>
      <w:r w:rsidR="003C6EAD" w:rsidRPr="00D853B5">
        <w:rPr>
          <w:sz w:val="24"/>
          <w:szCs w:val="24"/>
        </w:rPr>
        <w:t>494 (</w:t>
      </w:r>
      <w:r w:rsidR="001E5D3F">
        <w:rPr>
          <w:sz w:val="24"/>
          <w:szCs w:val="24"/>
        </w:rPr>
        <w:t>41.7</w:t>
      </w:r>
      <w:r w:rsidR="003C6EAD" w:rsidRPr="00D853B5">
        <w:rPr>
          <w:sz w:val="24"/>
          <w:szCs w:val="24"/>
        </w:rPr>
        <w:t>%)</w:t>
      </w:r>
      <w:r w:rsidR="00516977">
        <w:rPr>
          <w:sz w:val="24"/>
          <w:szCs w:val="24"/>
        </w:rPr>
        <w:t xml:space="preserve"> and </w:t>
      </w:r>
      <w:r w:rsidRPr="00D853B5">
        <w:rPr>
          <w:sz w:val="24"/>
          <w:szCs w:val="24"/>
        </w:rPr>
        <w:t>624 (</w:t>
      </w:r>
      <w:r w:rsidR="002F154C">
        <w:rPr>
          <w:sz w:val="24"/>
          <w:szCs w:val="24"/>
        </w:rPr>
        <w:t>53.2</w:t>
      </w:r>
      <w:r w:rsidRPr="00D853B5">
        <w:rPr>
          <w:sz w:val="24"/>
          <w:szCs w:val="24"/>
        </w:rPr>
        <w:t xml:space="preserve">%) </w:t>
      </w:r>
      <w:r w:rsidR="00516977">
        <w:rPr>
          <w:sz w:val="24"/>
          <w:szCs w:val="24"/>
        </w:rPr>
        <w:t>self</w:t>
      </w:r>
      <w:r w:rsidR="00516977" w:rsidRPr="00516977">
        <w:rPr>
          <w:sz w:val="24"/>
          <w:szCs w:val="24"/>
        </w:rPr>
        <w:t xml:space="preserve">-reported </w:t>
      </w:r>
      <w:r w:rsidR="005E67BE">
        <w:rPr>
          <w:sz w:val="24"/>
          <w:szCs w:val="24"/>
        </w:rPr>
        <w:t xml:space="preserve">using </w:t>
      </w:r>
      <w:r w:rsidRPr="00516977">
        <w:rPr>
          <w:sz w:val="24"/>
          <w:szCs w:val="24"/>
        </w:rPr>
        <w:t>allopurinol</w:t>
      </w:r>
      <w:r w:rsidR="00516977" w:rsidRPr="00516977">
        <w:rPr>
          <w:sz w:val="24"/>
          <w:szCs w:val="24"/>
        </w:rPr>
        <w:t xml:space="preserve"> </w:t>
      </w:r>
      <w:r w:rsidR="00D4104F" w:rsidRPr="007C2CE5">
        <w:rPr>
          <w:sz w:val="24"/>
          <w:szCs w:val="24"/>
        </w:rPr>
        <w:t>(</w:t>
      </w:r>
      <w:r w:rsidR="00D4104F" w:rsidRPr="009367C4">
        <w:rPr>
          <w:sz w:val="24"/>
          <w:szCs w:val="24"/>
        </w:rPr>
        <w:t>tab</w:t>
      </w:r>
      <w:r w:rsidR="00D4104F" w:rsidRPr="00504759">
        <w:rPr>
          <w:sz w:val="24"/>
          <w:szCs w:val="24"/>
        </w:rPr>
        <w:t xml:space="preserve">le </w:t>
      </w:r>
      <w:r w:rsidR="003C6EAD" w:rsidRPr="00504759">
        <w:rPr>
          <w:sz w:val="24"/>
          <w:szCs w:val="24"/>
        </w:rPr>
        <w:t>1</w:t>
      </w:r>
      <w:r w:rsidR="00D4104F" w:rsidRPr="007C2CE5">
        <w:rPr>
          <w:sz w:val="24"/>
          <w:szCs w:val="24"/>
        </w:rPr>
        <w:t>)</w:t>
      </w:r>
      <w:r w:rsidR="00516977" w:rsidRPr="007C2CE5">
        <w:rPr>
          <w:sz w:val="24"/>
          <w:szCs w:val="24"/>
        </w:rPr>
        <w:t xml:space="preserve">.  </w:t>
      </w:r>
      <w:r w:rsidRPr="007C2CE5">
        <w:rPr>
          <w:sz w:val="24"/>
          <w:szCs w:val="24"/>
        </w:rPr>
        <w:t xml:space="preserve">  </w:t>
      </w:r>
      <w:r w:rsidR="003C6EAD">
        <w:rPr>
          <w:sz w:val="24"/>
          <w:szCs w:val="24"/>
        </w:rPr>
        <w:t xml:space="preserve">Participants’ </w:t>
      </w:r>
      <w:r w:rsidR="00516977">
        <w:rPr>
          <w:sz w:val="24"/>
          <w:szCs w:val="24"/>
        </w:rPr>
        <w:t xml:space="preserve">mean (SD) HRQOL scores at baseline were: </w:t>
      </w:r>
      <w:r w:rsidR="00516977" w:rsidRPr="00516977">
        <w:rPr>
          <w:sz w:val="24"/>
          <w:szCs w:val="24"/>
        </w:rPr>
        <w:t>GIS Concern Overall (CO)</w:t>
      </w:r>
      <w:r w:rsidR="00516977">
        <w:rPr>
          <w:sz w:val="24"/>
          <w:szCs w:val="24"/>
        </w:rPr>
        <w:t xml:space="preserve"> </w:t>
      </w:r>
      <w:r w:rsidR="00516977" w:rsidRPr="00516977">
        <w:rPr>
          <w:sz w:val="24"/>
          <w:szCs w:val="24"/>
        </w:rPr>
        <w:t>48.65</w:t>
      </w:r>
      <w:r w:rsidR="00A725F0">
        <w:rPr>
          <w:sz w:val="24"/>
          <w:szCs w:val="24"/>
        </w:rPr>
        <w:t xml:space="preserve"> </w:t>
      </w:r>
      <w:r w:rsidR="00516977" w:rsidRPr="00516977">
        <w:rPr>
          <w:sz w:val="24"/>
          <w:szCs w:val="24"/>
        </w:rPr>
        <w:t>(28.33)</w:t>
      </w:r>
      <w:r w:rsidR="00A725F0">
        <w:rPr>
          <w:sz w:val="24"/>
          <w:szCs w:val="24"/>
        </w:rPr>
        <w:t xml:space="preserve">, </w:t>
      </w:r>
      <w:r w:rsidR="00A725F0" w:rsidRPr="00A725F0">
        <w:rPr>
          <w:sz w:val="24"/>
          <w:szCs w:val="24"/>
        </w:rPr>
        <w:t>GIS Medication Side Effects (MSE)</w:t>
      </w:r>
      <w:r w:rsidR="00A725F0">
        <w:rPr>
          <w:sz w:val="24"/>
          <w:szCs w:val="24"/>
        </w:rPr>
        <w:t xml:space="preserve"> </w:t>
      </w:r>
      <w:r w:rsidR="00A725F0" w:rsidRPr="00A725F0">
        <w:rPr>
          <w:sz w:val="24"/>
          <w:szCs w:val="24"/>
        </w:rPr>
        <w:t>40.45</w:t>
      </w:r>
      <w:r w:rsidR="00A725F0">
        <w:rPr>
          <w:sz w:val="24"/>
          <w:szCs w:val="24"/>
        </w:rPr>
        <w:t xml:space="preserve"> </w:t>
      </w:r>
      <w:r w:rsidR="00A725F0" w:rsidRPr="00A725F0">
        <w:rPr>
          <w:sz w:val="24"/>
          <w:szCs w:val="24"/>
        </w:rPr>
        <w:t>(26.33)</w:t>
      </w:r>
      <w:r w:rsidR="00A725F0">
        <w:rPr>
          <w:sz w:val="24"/>
          <w:szCs w:val="24"/>
        </w:rPr>
        <w:t xml:space="preserve">, </w:t>
      </w:r>
      <w:r w:rsidR="00A725F0" w:rsidRPr="00A725F0">
        <w:rPr>
          <w:sz w:val="24"/>
          <w:szCs w:val="24"/>
        </w:rPr>
        <w:t xml:space="preserve">GIS Unmet </w:t>
      </w:r>
      <w:r w:rsidR="000A5B0E">
        <w:rPr>
          <w:sz w:val="24"/>
          <w:szCs w:val="24"/>
        </w:rPr>
        <w:t>T</w:t>
      </w:r>
      <w:r w:rsidR="00A725F0" w:rsidRPr="00A725F0">
        <w:rPr>
          <w:sz w:val="24"/>
          <w:szCs w:val="24"/>
        </w:rPr>
        <w:t xml:space="preserve">reatment </w:t>
      </w:r>
      <w:r w:rsidR="000A5B0E">
        <w:rPr>
          <w:sz w:val="24"/>
          <w:szCs w:val="24"/>
        </w:rPr>
        <w:t>N</w:t>
      </w:r>
      <w:r w:rsidR="00A725F0" w:rsidRPr="00A725F0">
        <w:rPr>
          <w:sz w:val="24"/>
          <w:szCs w:val="24"/>
        </w:rPr>
        <w:t>eed (UTN)</w:t>
      </w:r>
      <w:r w:rsidR="00A725F0">
        <w:rPr>
          <w:sz w:val="24"/>
          <w:szCs w:val="24"/>
        </w:rPr>
        <w:t xml:space="preserve"> </w:t>
      </w:r>
      <w:r w:rsidR="00A725F0" w:rsidRPr="00A725F0">
        <w:rPr>
          <w:sz w:val="24"/>
          <w:szCs w:val="24"/>
        </w:rPr>
        <w:t>33.46</w:t>
      </w:r>
      <w:r w:rsidR="00A725F0">
        <w:rPr>
          <w:sz w:val="24"/>
          <w:szCs w:val="24"/>
        </w:rPr>
        <w:t xml:space="preserve"> </w:t>
      </w:r>
      <w:r w:rsidR="00A725F0" w:rsidRPr="00A725F0">
        <w:rPr>
          <w:sz w:val="24"/>
          <w:szCs w:val="24"/>
        </w:rPr>
        <w:t>(20.57)</w:t>
      </w:r>
      <w:r w:rsidR="00A725F0">
        <w:rPr>
          <w:sz w:val="24"/>
          <w:szCs w:val="24"/>
        </w:rPr>
        <w:t xml:space="preserve">, </w:t>
      </w:r>
      <w:r w:rsidR="00A725F0" w:rsidRPr="00A725F0">
        <w:rPr>
          <w:sz w:val="24"/>
          <w:szCs w:val="24"/>
        </w:rPr>
        <w:t xml:space="preserve">GIS Wellbeing </w:t>
      </w:r>
      <w:r w:rsidR="00092DFF">
        <w:rPr>
          <w:sz w:val="24"/>
          <w:szCs w:val="24"/>
        </w:rPr>
        <w:t>D</w:t>
      </w:r>
      <w:r w:rsidR="00A725F0" w:rsidRPr="00A725F0">
        <w:rPr>
          <w:sz w:val="24"/>
          <w:szCs w:val="24"/>
        </w:rPr>
        <w:t xml:space="preserve">uring an </w:t>
      </w:r>
      <w:r w:rsidR="00092DFF">
        <w:rPr>
          <w:sz w:val="24"/>
          <w:szCs w:val="24"/>
        </w:rPr>
        <w:t>A</w:t>
      </w:r>
      <w:r w:rsidR="00A725F0" w:rsidRPr="00A725F0">
        <w:rPr>
          <w:sz w:val="24"/>
          <w:szCs w:val="24"/>
        </w:rPr>
        <w:t>ttack (WBDA)</w:t>
      </w:r>
      <w:r w:rsidR="00A725F0">
        <w:rPr>
          <w:sz w:val="24"/>
          <w:szCs w:val="24"/>
        </w:rPr>
        <w:t xml:space="preserve"> </w:t>
      </w:r>
      <w:r w:rsidR="00A725F0" w:rsidRPr="00A725F0">
        <w:rPr>
          <w:sz w:val="24"/>
          <w:szCs w:val="24"/>
        </w:rPr>
        <w:t>45.19</w:t>
      </w:r>
      <w:r w:rsidR="00A725F0">
        <w:rPr>
          <w:sz w:val="24"/>
          <w:szCs w:val="24"/>
        </w:rPr>
        <w:t xml:space="preserve"> </w:t>
      </w:r>
      <w:r w:rsidR="00A725F0" w:rsidRPr="00A725F0">
        <w:rPr>
          <w:sz w:val="24"/>
          <w:szCs w:val="24"/>
        </w:rPr>
        <w:t>(26.41)</w:t>
      </w:r>
      <w:r w:rsidR="00A725F0">
        <w:rPr>
          <w:sz w:val="24"/>
          <w:szCs w:val="24"/>
        </w:rPr>
        <w:t xml:space="preserve">, </w:t>
      </w:r>
      <w:r w:rsidR="00A725F0" w:rsidRPr="00A725F0">
        <w:rPr>
          <w:sz w:val="24"/>
          <w:szCs w:val="24"/>
        </w:rPr>
        <w:t xml:space="preserve">GIS Concern </w:t>
      </w:r>
      <w:r w:rsidR="00092DFF">
        <w:rPr>
          <w:sz w:val="24"/>
          <w:szCs w:val="24"/>
        </w:rPr>
        <w:t>D</w:t>
      </w:r>
      <w:r w:rsidR="00A725F0" w:rsidRPr="00A725F0">
        <w:rPr>
          <w:sz w:val="24"/>
          <w:szCs w:val="24"/>
        </w:rPr>
        <w:t xml:space="preserve">uring an </w:t>
      </w:r>
      <w:r w:rsidR="00092DFF">
        <w:rPr>
          <w:sz w:val="24"/>
          <w:szCs w:val="24"/>
        </w:rPr>
        <w:t>A</w:t>
      </w:r>
      <w:r w:rsidR="00A725F0" w:rsidRPr="00A725F0">
        <w:rPr>
          <w:sz w:val="24"/>
          <w:szCs w:val="24"/>
        </w:rPr>
        <w:t>ttack (CDA)</w:t>
      </w:r>
      <w:r w:rsidR="00A725F0">
        <w:rPr>
          <w:sz w:val="24"/>
          <w:szCs w:val="24"/>
        </w:rPr>
        <w:t xml:space="preserve"> </w:t>
      </w:r>
      <w:r w:rsidR="00A725F0" w:rsidRPr="00A725F0">
        <w:rPr>
          <w:sz w:val="24"/>
          <w:szCs w:val="24"/>
        </w:rPr>
        <w:t>40.13</w:t>
      </w:r>
      <w:r w:rsidR="00A725F0">
        <w:rPr>
          <w:sz w:val="24"/>
          <w:szCs w:val="24"/>
        </w:rPr>
        <w:t xml:space="preserve"> </w:t>
      </w:r>
      <w:r w:rsidR="00A725F0" w:rsidRPr="00A725F0">
        <w:rPr>
          <w:sz w:val="24"/>
          <w:szCs w:val="24"/>
        </w:rPr>
        <w:t>(24.35)</w:t>
      </w:r>
      <w:r w:rsidR="00A725F0">
        <w:rPr>
          <w:sz w:val="24"/>
          <w:szCs w:val="24"/>
        </w:rPr>
        <w:t xml:space="preserve">, </w:t>
      </w:r>
      <w:r w:rsidR="00A725F0" w:rsidRPr="00A725F0">
        <w:rPr>
          <w:sz w:val="24"/>
          <w:szCs w:val="24"/>
        </w:rPr>
        <w:t>SF-36 PF10</w:t>
      </w:r>
      <w:r w:rsidR="009B1F01">
        <w:rPr>
          <w:sz w:val="24"/>
          <w:szCs w:val="24"/>
        </w:rPr>
        <w:t xml:space="preserve"> </w:t>
      </w:r>
      <w:r w:rsidR="009B1F01" w:rsidRPr="009B1F01">
        <w:rPr>
          <w:sz w:val="24"/>
          <w:szCs w:val="24"/>
        </w:rPr>
        <w:t>63.5</w:t>
      </w:r>
      <w:r w:rsidR="009B1F01">
        <w:rPr>
          <w:sz w:val="24"/>
          <w:szCs w:val="24"/>
        </w:rPr>
        <w:t>8</w:t>
      </w:r>
      <w:r w:rsidR="0014462B">
        <w:rPr>
          <w:sz w:val="24"/>
          <w:szCs w:val="24"/>
        </w:rPr>
        <w:t xml:space="preserve"> </w:t>
      </w:r>
      <w:r w:rsidR="009B1F01">
        <w:rPr>
          <w:sz w:val="24"/>
          <w:szCs w:val="24"/>
        </w:rPr>
        <w:t>(33.08)</w:t>
      </w:r>
      <w:r w:rsidR="00A725F0">
        <w:rPr>
          <w:sz w:val="24"/>
          <w:szCs w:val="24"/>
        </w:rPr>
        <w:t xml:space="preserve">, </w:t>
      </w:r>
      <w:r w:rsidR="0014462B">
        <w:rPr>
          <w:sz w:val="24"/>
          <w:szCs w:val="24"/>
        </w:rPr>
        <w:t xml:space="preserve">and </w:t>
      </w:r>
      <w:r w:rsidR="00A725F0" w:rsidRPr="00A725F0">
        <w:rPr>
          <w:sz w:val="24"/>
          <w:szCs w:val="24"/>
        </w:rPr>
        <w:t>HAQ-DI 0.51</w:t>
      </w:r>
      <w:r w:rsidR="00A725F0">
        <w:rPr>
          <w:sz w:val="24"/>
          <w:szCs w:val="24"/>
        </w:rPr>
        <w:t xml:space="preserve"> </w:t>
      </w:r>
      <w:r w:rsidR="00A725F0" w:rsidRPr="00A725F0">
        <w:rPr>
          <w:sz w:val="24"/>
          <w:szCs w:val="24"/>
        </w:rPr>
        <w:t>(0.71)</w:t>
      </w:r>
      <w:r w:rsidR="00A725F0">
        <w:rPr>
          <w:sz w:val="24"/>
          <w:szCs w:val="24"/>
        </w:rPr>
        <w:t xml:space="preserve">. </w:t>
      </w:r>
      <w:r w:rsidR="0097608B" w:rsidRPr="007C2CE5">
        <w:rPr>
          <w:sz w:val="24"/>
          <w:szCs w:val="24"/>
        </w:rPr>
        <w:t xml:space="preserve"> </w:t>
      </w:r>
      <w:r w:rsidR="00D44A16">
        <w:rPr>
          <w:sz w:val="24"/>
          <w:szCs w:val="24"/>
        </w:rPr>
        <w:t>Responders</w:t>
      </w:r>
      <w:r w:rsidR="00E27135">
        <w:rPr>
          <w:sz w:val="24"/>
          <w:szCs w:val="24"/>
        </w:rPr>
        <w:t xml:space="preserve"> to follow-up questionnaires</w:t>
      </w:r>
      <w:r w:rsidR="00D44A16">
        <w:rPr>
          <w:sz w:val="24"/>
          <w:szCs w:val="24"/>
        </w:rPr>
        <w:t xml:space="preserve"> </w:t>
      </w:r>
      <w:r w:rsidR="00A04989">
        <w:rPr>
          <w:sz w:val="24"/>
          <w:szCs w:val="24"/>
        </w:rPr>
        <w:t xml:space="preserve">had lower GIS UTN </w:t>
      </w:r>
      <w:r w:rsidR="000C3019">
        <w:rPr>
          <w:sz w:val="24"/>
          <w:szCs w:val="24"/>
        </w:rPr>
        <w:t xml:space="preserve">(less unmet treatment need) </w:t>
      </w:r>
      <w:r w:rsidR="00A04989">
        <w:rPr>
          <w:sz w:val="24"/>
          <w:szCs w:val="24"/>
        </w:rPr>
        <w:t>and HAQ-DI scores</w:t>
      </w:r>
      <w:r w:rsidR="000C3019">
        <w:rPr>
          <w:sz w:val="24"/>
          <w:szCs w:val="24"/>
        </w:rPr>
        <w:t xml:space="preserve"> (less activity limitation) </w:t>
      </w:r>
      <w:r w:rsidR="00A04989">
        <w:rPr>
          <w:sz w:val="24"/>
          <w:szCs w:val="24"/>
        </w:rPr>
        <w:t xml:space="preserve">and higher SF-36 PF10 </w:t>
      </w:r>
      <w:r w:rsidR="000C3019">
        <w:rPr>
          <w:sz w:val="24"/>
          <w:szCs w:val="24"/>
        </w:rPr>
        <w:t xml:space="preserve">(better generic HRQOL) </w:t>
      </w:r>
      <w:r w:rsidR="00A04989">
        <w:rPr>
          <w:sz w:val="24"/>
          <w:szCs w:val="24"/>
        </w:rPr>
        <w:t xml:space="preserve">scores </w:t>
      </w:r>
      <w:r w:rsidR="00AF72EB">
        <w:rPr>
          <w:sz w:val="24"/>
          <w:szCs w:val="24"/>
        </w:rPr>
        <w:t xml:space="preserve">at </w:t>
      </w:r>
      <w:r w:rsidR="00AF72EB" w:rsidRPr="00137DFF">
        <w:rPr>
          <w:sz w:val="24"/>
          <w:szCs w:val="24"/>
        </w:rPr>
        <w:t xml:space="preserve">baseline </w:t>
      </w:r>
      <w:r w:rsidR="00A04989" w:rsidRPr="00137DFF">
        <w:rPr>
          <w:sz w:val="24"/>
          <w:szCs w:val="24"/>
        </w:rPr>
        <w:t xml:space="preserve">in comparison with </w:t>
      </w:r>
      <w:r w:rsidR="00A04989">
        <w:rPr>
          <w:sz w:val="24"/>
          <w:szCs w:val="24"/>
        </w:rPr>
        <w:t>non-participants</w:t>
      </w:r>
      <w:r w:rsidR="002131D2">
        <w:rPr>
          <w:sz w:val="24"/>
          <w:szCs w:val="24"/>
        </w:rPr>
        <w:t xml:space="preserve"> at later follow-up time-points</w:t>
      </w:r>
      <w:r w:rsidR="00A04989">
        <w:rPr>
          <w:sz w:val="24"/>
          <w:szCs w:val="24"/>
        </w:rPr>
        <w:t xml:space="preserve"> (</w:t>
      </w:r>
      <w:r w:rsidR="00A04989" w:rsidRPr="009367C4">
        <w:rPr>
          <w:sz w:val="24"/>
          <w:szCs w:val="24"/>
        </w:rPr>
        <w:t xml:space="preserve">supplementary </w:t>
      </w:r>
      <w:r w:rsidR="00A04989" w:rsidRPr="00533CDB">
        <w:rPr>
          <w:sz w:val="24"/>
          <w:szCs w:val="24"/>
        </w:rPr>
        <w:t>table</w:t>
      </w:r>
      <w:r w:rsidR="00D20964" w:rsidRPr="00533CDB">
        <w:rPr>
          <w:sz w:val="24"/>
          <w:szCs w:val="24"/>
        </w:rPr>
        <w:t xml:space="preserve"> S</w:t>
      </w:r>
      <w:r w:rsidR="00685962" w:rsidRPr="00533CDB">
        <w:rPr>
          <w:sz w:val="24"/>
          <w:szCs w:val="24"/>
        </w:rPr>
        <w:t>1</w:t>
      </w:r>
      <w:r w:rsidR="00A04989">
        <w:rPr>
          <w:sz w:val="24"/>
          <w:szCs w:val="24"/>
        </w:rPr>
        <w:t xml:space="preserve">). </w:t>
      </w:r>
      <w:r w:rsidR="003C6EAD">
        <w:rPr>
          <w:sz w:val="24"/>
          <w:szCs w:val="24"/>
        </w:rPr>
        <w:t>The mean (SD) scores for each HRQOL measure indicated slightly better HRQOL at 36 months compared with baseline</w:t>
      </w:r>
      <w:r w:rsidR="003C6EAD" w:rsidRPr="000375B0">
        <w:rPr>
          <w:sz w:val="24"/>
          <w:szCs w:val="24"/>
        </w:rPr>
        <w:t xml:space="preserve"> </w:t>
      </w:r>
      <w:r w:rsidR="003C6EAD">
        <w:rPr>
          <w:sz w:val="24"/>
          <w:szCs w:val="24"/>
        </w:rPr>
        <w:t>(</w:t>
      </w:r>
      <w:r w:rsidR="003C6EAD" w:rsidRPr="009367C4">
        <w:rPr>
          <w:sz w:val="24"/>
          <w:szCs w:val="24"/>
        </w:rPr>
        <w:t xml:space="preserve">supplementary </w:t>
      </w:r>
      <w:r w:rsidR="003C6EAD" w:rsidRPr="00533CDB">
        <w:rPr>
          <w:sz w:val="24"/>
          <w:szCs w:val="24"/>
        </w:rPr>
        <w:t>table S2)</w:t>
      </w:r>
      <w:r w:rsidR="003C6EAD" w:rsidRPr="009367C4">
        <w:rPr>
          <w:sz w:val="24"/>
          <w:szCs w:val="24"/>
        </w:rPr>
        <w:t>.</w:t>
      </w:r>
      <w:r w:rsidR="006C36DD" w:rsidRPr="00504759">
        <w:rPr>
          <w:sz w:val="24"/>
          <w:szCs w:val="24"/>
        </w:rPr>
        <w:t xml:space="preserve"> </w:t>
      </w:r>
    </w:p>
    <w:p w14:paraId="542BE7F5" w14:textId="4096D16F" w:rsidR="009654F0" w:rsidRDefault="006C36DD" w:rsidP="00D853B5">
      <w:pPr>
        <w:spacing w:after="0" w:line="480" w:lineRule="auto"/>
        <w:jc w:val="both"/>
        <w:rPr>
          <w:sz w:val="24"/>
          <w:szCs w:val="24"/>
        </w:rPr>
      </w:pPr>
      <w:r>
        <w:rPr>
          <w:sz w:val="24"/>
          <w:szCs w:val="24"/>
        </w:rPr>
        <w:lastRenderedPageBreak/>
        <w:t xml:space="preserve"> </w:t>
      </w:r>
      <w:r w:rsidR="00B00990" w:rsidRPr="0050482D">
        <w:rPr>
          <w:sz w:val="24"/>
          <w:szCs w:val="24"/>
        </w:rPr>
        <w:t xml:space="preserve">Most </w:t>
      </w:r>
      <w:r w:rsidR="00155375">
        <w:rPr>
          <w:sz w:val="24"/>
          <w:szCs w:val="24"/>
        </w:rPr>
        <w:t>variable</w:t>
      </w:r>
      <w:r w:rsidR="00B00990" w:rsidRPr="0050482D">
        <w:rPr>
          <w:sz w:val="24"/>
          <w:szCs w:val="24"/>
        </w:rPr>
        <w:t>s includ</w:t>
      </w:r>
      <w:r w:rsidR="00B00990">
        <w:rPr>
          <w:sz w:val="24"/>
          <w:szCs w:val="24"/>
        </w:rPr>
        <w:t>ed</w:t>
      </w:r>
      <w:r w:rsidR="00B00990" w:rsidRPr="0050482D">
        <w:rPr>
          <w:sz w:val="24"/>
          <w:szCs w:val="24"/>
        </w:rPr>
        <w:t xml:space="preserve"> in the LMM had less than 10% missing values</w:t>
      </w:r>
      <w:r w:rsidR="00092DFF">
        <w:rPr>
          <w:sz w:val="24"/>
          <w:szCs w:val="24"/>
        </w:rPr>
        <w:t xml:space="preserve"> at each time-point</w:t>
      </w:r>
      <w:r w:rsidR="00B00990">
        <w:rPr>
          <w:sz w:val="24"/>
          <w:szCs w:val="24"/>
        </w:rPr>
        <w:t>,</w:t>
      </w:r>
      <w:r w:rsidR="00B00990" w:rsidRPr="0050482D">
        <w:rPr>
          <w:sz w:val="24"/>
          <w:szCs w:val="24"/>
        </w:rPr>
        <w:t xml:space="preserve"> except</w:t>
      </w:r>
      <w:r w:rsidR="00BF52B8">
        <w:rPr>
          <w:sz w:val="24"/>
          <w:szCs w:val="24"/>
        </w:rPr>
        <w:t xml:space="preserve"> for</w:t>
      </w:r>
      <w:r w:rsidR="00B00990">
        <w:rPr>
          <w:sz w:val="24"/>
          <w:szCs w:val="24"/>
        </w:rPr>
        <w:t xml:space="preserve"> </w:t>
      </w:r>
      <w:r w:rsidR="00B00990" w:rsidRPr="0050482D">
        <w:rPr>
          <w:sz w:val="24"/>
          <w:szCs w:val="24"/>
        </w:rPr>
        <w:t>serum urate (missing 61</w:t>
      </w:r>
      <w:r w:rsidR="002F154C">
        <w:rPr>
          <w:sz w:val="24"/>
          <w:szCs w:val="24"/>
        </w:rPr>
        <w:t>.1</w:t>
      </w:r>
      <w:r w:rsidR="00B00990" w:rsidRPr="0050482D">
        <w:rPr>
          <w:sz w:val="24"/>
          <w:szCs w:val="24"/>
        </w:rPr>
        <w:t>%), body pain (18</w:t>
      </w:r>
      <w:r w:rsidR="002F154C">
        <w:rPr>
          <w:sz w:val="24"/>
          <w:szCs w:val="24"/>
        </w:rPr>
        <w:t>.2</w:t>
      </w:r>
      <w:r w:rsidR="00B00990" w:rsidRPr="0050482D">
        <w:rPr>
          <w:sz w:val="24"/>
          <w:szCs w:val="24"/>
        </w:rPr>
        <w:t>%), eGFR (21</w:t>
      </w:r>
      <w:r w:rsidR="002F154C">
        <w:rPr>
          <w:sz w:val="24"/>
          <w:szCs w:val="24"/>
        </w:rPr>
        <w:t>.4</w:t>
      </w:r>
      <w:r w:rsidR="00B00990" w:rsidRPr="0050482D">
        <w:rPr>
          <w:sz w:val="24"/>
          <w:szCs w:val="24"/>
        </w:rPr>
        <w:t>%), and PHQ-9 (12</w:t>
      </w:r>
      <w:r w:rsidR="002F154C">
        <w:rPr>
          <w:sz w:val="24"/>
          <w:szCs w:val="24"/>
        </w:rPr>
        <w:t>.0</w:t>
      </w:r>
      <w:r w:rsidR="00B00990" w:rsidRPr="0050482D">
        <w:rPr>
          <w:sz w:val="24"/>
          <w:szCs w:val="24"/>
        </w:rPr>
        <w:t>%)</w:t>
      </w:r>
      <w:r w:rsidR="00B00990">
        <w:rPr>
          <w:sz w:val="24"/>
          <w:szCs w:val="24"/>
        </w:rPr>
        <w:t xml:space="preserve"> (</w:t>
      </w:r>
      <w:r w:rsidR="00B00990" w:rsidRPr="009367C4">
        <w:rPr>
          <w:sz w:val="24"/>
          <w:szCs w:val="24"/>
        </w:rPr>
        <w:t xml:space="preserve">supplementary </w:t>
      </w:r>
      <w:r w:rsidR="00B00990" w:rsidRPr="00533CDB">
        <w:rPr>
          <w:sz w:val="24"/>
          <w:szCs w:val="24"/>
        </w:rPr>
        <w:t>table S</w:t>
      </w:r>
      <w:r w:rsidR="00504759" w:rsidRPr="00533CDB">
        <w:rPr>
          <w:sz w:val="24"/>
          <w:szCs w:val="24"/>
        </w:rPr>
        <w:t>3</w:t>
      </w:r>
      <w:r w:rsidR="00B00990" w:rsidRPr="009367C4">
        <w:rPr>
          <w:sz w:val="24"/>
          <w:szCs w:val="24"/>
        </w:rPr>
        <w:t>)</w:t>
      </w:r>
      <w:r w:rsidR="00B00990" w:rsidRPr="00504759">
        <w:rPr>
          <w:sz w:val="24"/>
          <w:szCs w:val="24"/>
        </w:rPr>
        <w:t xml:space="preserve">.  </w:t>
      </w:r>
      <w:r w:rsidR="00B00990" w:rsidRPr="0050482D">
        <w:rPr>
          <w:sz w:val="24"/>
          <w:szCs w:val="24"/>
        </w:rPr>
        <w:t>Due to the high percentage of missing data for serum urate and</w:t>
      </w:r>
      <w:r w:rsidR="0024643D">
        <w:rPr>
          <w:sz w:val="24"/>
          <w:szCs w:val="24"/>
        </w:rPr>
        <w:t xml:space="preserve"> the</w:t>
      </w:r>
      <w:r w:rsidR="00B00990" w:rsidRPr="0050482D">
        <w:rPr>
          <w:sz w:val="24"/>
          <w:szCs w:val="24"/>
        </w:rPr>
        <w:t xml:space="preserve"> low prevalence of tophi, they were not included in the analysis.</w:t>
      </w:r>
      <w:r w:rsidR="00E16831">
        <w:rPr>
          <w:sz w:val="24"/>
          <w:szCs w:val="24"/>
        </w:rPr>
        <w:t xml:space="preserve"> As the SF-36 PF10 and HAQ-DI outcomes were </w:t>
      </w:r>
      <w:r w:rsidR="00E16831" w:rsidRPr="0008258D">
        <w:rPr>
          <w:sz w:val="24"/>
          <w:szCs w:val="24"/>
        </w:rPr>
        <w:t xml:space="preserve">skewed </w:t>
      </w:r>
      <w:r w:rsidR="00E16831" w:rsidRPr="005470FE">
        <w:rPr>
          <w:sz w:val="24"/>
          <w:szCs w:val="24"/>
        </w:rPr>
        <w:t xml:space="preserve">maximum likelihood estimation (MLE) with robust standard errors was used for </w:t>
      </w:r>
      <w:r w:rsidR="00D41019" w:rsidRPr="005470FE">
        <w:rPr>
          <w:sz w:val="24"/>
          <w:szCs w:val="24"/>
        </w:rPr>
        <w:t>the LMM analysis</w:t>
      </w:r>
      <w:r w:rsidR="000D1F40">
        <w:rPr>
          <w:sz w:val="24"/>
          <w:szCs w:val="24"/>
        </w:rPr>
        <w:t xml:space="preserve"> of these variables</w:t>
      </w:r>
      <w:r w:rsidR="00D41019" w:rsidRPr="005470FE">
        <w:rPr>
          <w:sz w:val="24"/>
          <w:szCs w:val="24"/>
        </w:rPr>
        <w:t>.</w:t>
      </w:r>
    </w:p>
    <w:p w14:paraId="19F4B7C9" w14:textId="4E72FF26" w:rsidR="00812F2D" w:rsidRPr="00E036E6" w:rsidRDefault="00E16831" w:rsidP="00D853B5">
      <w:pPr>
        <w:spacing w:after="0" w:line="480" w:lineRule="auto"/>
        <w:jc w:val="both"/>
        <w:rPr>
          <w:sz w:val="24"/>
          <w:szCs w:val="24"/>
        </w:rPr>
      </w:pPr>
      <w:r w:rsidRPr="00533CDB">
        <w:rPr>
          <w:sz w:val="24"/>
          <w:szCs w:val="24"/>
        </w:rPr>
        <w:t xml:space="preserve"> </w:t>
      </w:r>
      <w:r w:rsidR="009654F0" w:rsidRPr="009654F0">
        <w:rPr>
          <w:sz w:val="24"/>
          <w:szCs w:val="24"/>
        </w:rPr>
        <w:t>All models included a random intercept, allowing the level of the outcome at baseline to vary across participants.  The models for the GIS subscales and HAQ-DI also included a random slope, allowing the change in the outcome over time to vary across participants, and had an unstructured covariance structure.  The likelihood ratio test (LRT) and slope variance results for the SF-36 PF10 LMM did not support the inclusion of a random slope.</w:t>
      </w:r>
      <w:r w:rsidR="009654F0">
        <w:rPr>
          <w:sz w:val="24"/>
          <w:szCs w:val="24"/>
        </w:rPr>
        <w:t>[</w:t>
      </w:r>
      <w:r w:rsidR="00902D69" w:rsidRPr="00533CDB">
        <w:rPr>
          <w:sz w:val="24"/>
          <w:szCs w:val="24"/>
        </w:rPr>
        <w:t>35</w:t>
      </w:r>
      <w:r w:rsidR="009654F0" w:rsidRPr="00533CDB">
        <w:rPr>
          <w:sz w:val="24"/>
          <w:szCs w:val="24"/>
        </w:rPr>
        <w:t>-</w:t>
      </w:r>
      <w:r w:rsidR="00902D69" w:rsidRPr="00533CDB">
        <w:rPr>
          <w:sz w:val="24"/>
          <w:szCs w:val="24"/>
        </w:rPr>
        <w:t>36</w:t>
      </w:r>
      <w:r w:rsidR="009654F0">
        <w:rPr>
          <w:sz w:val="24"/>
          <w:szCs w:val="24"/>
        </w:rPr>
        <w:t>]</w:t>
      </w:r>
      <w:r w:rsidR="009654F0" w:rsidRPr="0050482D">
        <w:rPr>
          <w:sz w:val="24"/>
          <w:szCs w:val="24"/>
        </w:rPr>
        <w:t xml:space="preserve">  </w:t>
      </w:r>
    </w:p>
    <w:p w14:paraId="374BFD3F" w14:textId="0CD80511" w:rsidR="0014462B" w:rsidRPr="0014462B" w:rsidRDefault="0014462B" w:rsidP="00D853B5">
      <w:pPr>
        <w:spacing w:after="0" w:line="480" w:lineRule="auto"/>
        <w:jc w:val="both"/>
        <w:rPr>
          <w:b/>
          <w:bCs/>
          <w:sz w:val="24"/>
          <w:szCs w:val="24"/>
        </w:rPr>
      </w:pPr>
      <w:r w:rsidRPr="003277C2">
        <w:rPr>
          <w:b/>
          <w:bCs/>
          <w:sz w:val="24"/>
          <w:szCs w:val="24"/>
        </w:rPr>
        <w:t>Gout-specific factors associated with HRQOL</w:t>
      </w:r>
      <w:r>
        <w:rPr>
          <w:b/>
          <w:bCs/>
          <w:sz w:val="24"/>
          <w:szCs w:val="24"/>
        </w:rPr>
        <w:t xml:space="preserve"> </w:t>
      </w:r>
    </w:p>
    <w:p w14:paraId="69BAA806" w14:textId="2B83C9E5" w:rsidR="0072759B" w:rsidRDefault="003277C2" w:rsidP="001055A0">
      <w:pPr>
        <w:spacing w:after="0" w:line="480" w:lineRule="auto"/>
        <w:jc w:val="both"/>
        <w:rPr>
          <w:sz w:val="24"/>
          <w:szCs w:val="24"/>
        </w:rPr>
      </w:pPr>
      <w:r>
        <w:rPr>
          <w:sz w:val="24"/>
          <w:szCs w:val="24"/>
        </w:rPr>
        <w:t xml:space="preserve">Gout-specific factors associated with </w:t>
      </w:r>
      <w:r w:rsidR="00517CFD">
        <w:rPr>
          <w:sz w:val="24"/>
          <w:szCs w:val="24"/>
        </w:rPr>
        <w:t>worse</w:t>
      </w:r>
      <w:r>
        <w:rPr>
          <w:sz w:val="24"/>
          <w:szCs w:val="24"/>
        </w:rPr>
        <w:t xml:space="preserve"> </w:t>
      </w:r>
      <w:r w:rsidR="00AE0733">
        <w:rPr>
          <w:sz w:val="24"/>
          <w:szCs w:val="24"/>
        </w:rPr>
        <w:t xml:space="preserve">outcomes </w:t>
      </w:r>
      <w:r>
        <w:rPr>
          <w:sz w:val="24"/>
          <w:szCs w:val="24"/>
        </w:rPr>
        <w:t xml:space="preserve">over three years </w:t>
      </w:r>
      <w:r w:rsidR="00AB3FB7">
        <w:rPr>
          <w:sz w:val="24"/>
          <w:szCs w:val="24"/>
        </w:rPr>
        <w:t>were</w:t>
      </w:r>
      <w:r>
        <w:rPr>
          <w:sz w:val="24"/>
          <w:szCs w:val="24"/>
        </w:rPr>
        <w:t xml:space="preserve">: </w:t>
      </w:r>
      <w:r w:rsidR="002F12C5">
        <w:rPr>
          <w:sz w:val="24"/>
          <w:szCs w:val="24"/>
        </w:rPr>
        <w:t>gout flares</w:t>
      </w:r>
      <w:r w:rsidR="00FC32EF">
        <w:rPr>
          <w:sz w:val="24"/>
          <w:szCs w:val="24"/>
        </w:rPr>
        <w:t xml:space="preserve"> (</w:t>
      </w:r>
      <w:r w:rsidR="00C04D5E">
        <w:rPr>
          <w:sz w:val="24"/>
          <w:szCs w:val="24"/>
        </w:rPr>
        <w:t>≥5</w:t>
      </w:r>
      <w:r w:rsidR="00B8591D" w:rsidRPr="00B8591D">
        <w:rPr>
          <w:sz w:val="24"/>
          <w:szCs w:val="24"/>
        </w:rPr>
        <w:t xml:space="preserve"> flares </w:t>
      </w:r>
      <w:r w:rsidR="00FC32EF">
        <w:rPr>
          <w:sz w:val="24"/>
          <w:szCs w:val="24"/>
        </w:rPr>
        <w:t>GIS CO</w:t>
      </w:r>
      <w:r w:rsidR="00B8591D">
        <w:rPr>
          <w:sz w:val="24"/>
          <w:szCs w:val="24"/>
        </w:rPr>
        <w:t xml:space="preserve"> </w:t>
      </w:r>
      <w:r w:rsidR="00C04D5E" w:rsidRPr="00C04D5E">
        <w:rPr>
          <w:sz w:val="24"/>
          <w:szCs w:val="24"/>
        </w:rPr>
        <w:t xml:space="preserve"> β=</w:t>
      </w:r>
      <w:r w:rsidR="00B8591D" w:rsidRPr="00B8591D">
        <w:rPr>
          <w:sz w:val="24"/>
          <w:szCs w:val="24"/>
        </w:rPr>
        <w:t>19.36(15.70, 23.03)</w:t>
      </w:r>
      <w:r w:rsidR="00FC32EF">
        <w:rPr>
          <w:sz w:val="24"/>
          <w:szCs w:val="24"/>
        </w:rPr>
        <w:t>, MSE</w:t>
      </w:r>
      <w:r w:rsidR="00C04D5E">
        <w:rPr>
          <w:sz w:val="24"/>
          <w:szCs w:val="24"/>
        </w:rPr>
        <w:t xml:space="preserve"> </w:t>
      </w:r>
      <w:r w:rsidR="00C04D5E" w:rsidRPr="00C04D5E">
        <w:rPr>
          <w:sz w:val="24"/>
          <w:szCs w:val="24"/>
        </w:rPr>
        <w:t xml:space="preserve"> β=</w:t>
      </w:r>
      <w:r w:rsidR="00B8591D" w:rsidRPr="00B8591D">
        <w:rPr>
          <w:sz w:val="24"/>
          <w:szCs w:val="24"/>
        </w:rPr>
        <w:t>10.14(6.29, 14.00)</w:t>
      </w:r>
      <w:r w:rsidR="00FC32EF">
        <w:rPr>
          <w:sz w:val="24"/>
          <w:szCs w:val="24"/>
        </w:rPr>
        <w:t>, UTN</w:t>
      </w:r>
      <w:r w:rsidR="00C04D5E">
        <w:rPr>
          <w:sz w:val="24"/>
          <w:szCs w:val="24"/>
        </w:rPr>
        <w:t xml:space="preserve"> </w:t>
      </w:r>
      <w:r w:rsidR="00C04D5E" w:rsidRPr="00C04D5E">
        <w:rPr>
          <w:sz w:val="24"/>
          <w:szCs w:val="24"/>
        </w:rPr>
        <w:t xml:space="preserve"> β=</w:t>
      </w:r>
      <w:r w:rsidR="00B8591D" w:rsidRPr="00B8591D">
        <w:rPr>
          <w:sz w:val="24"/>
          <w:szCs w:val="24"/>
        </w:rPr>
        <w:t>12.27(8.99, 15.54)</w:t>
      </w:r>
      <w:r w:rsidR="00FC32EF">
        <w:rPr>
          <w:sz w:val="24"/>
          <w:szCs w:val="24"/>
        </w:rPr>
        <w:t>, CDA</w:t>
      </w:r>
      <w:r w:rsidR="00B8591D">
        <w:rPr>
          <w:sz w:val="24"/>
          <w:szCs w:val="24"/>
        </w:rPr>
        <w:t xml:space="preserve"> </w:t>
      </w:r>
      <w:r w:rsidR="00C04D5E" w:rsidRPr="00C04D5E">
        <w:rPr>
          <w:sz w:val="24"/>
          <w:szCs w:val="24"/>
        </w:rPr>
        <w:t xml:space="preserve"> β=</w:t>
      </w:r>
      <w:r w:rsidR="00B8591D" w:rsidRPr="00B8591D">
        <w:rPr>
          <w:sz w:val="24"/>
          <w:szCs w:val="24"/>
        </w:rPr>
        <w:t>8.15(4.82, 11.48)</w:t>
      </w:r>
      <w:r w:rsidR="00315992">
        <w:rPr>
          <w:sz w:val="24"/>
          <w:szCs w:val="24"/>
        </w:rPr>
        <w:t>,</w:t>
      </w:r>
      <w:r w:rsidR="00FC32EF">
        <w:rPr>
          <w:sz w:val="24"/>
          <w:szCs w:val="24"/>
        </w:rPr>
        <w:t xml:space="preserve"> SF-36 PF10</w:t>
      </w:r>
      <w:r w:rsidR="00C04D5E" w:rsidRPr="00C04D5E">
        <w:rPr>
          <w:sz w:val="24"/>
          <w:szCs w:val="24"/>
        </w:rPr>
        <w:t xml:space="preserve"> β=</w:t>
      </w:r>
      <w:r w:rsidR="00B8591D" w:rsidRPr="00B8591D">
        <w:rPr>
          <w:sz w:val="24"/>
          <w:szCs w:val="24"/>
        </w:rPr>
        <w:t>-8.33(-12.5, -4.15)</w:t>
      </w:r>
      <w:r w:rsidR="00FC32EF">
        <w:rPr>
          <w:sz w:val="24"/>
          <w:szCs w:val="24"/>
        </w:rPr>
        <w:t>),</w:t>
      </w:r>
      <w:r w:rsidR="00315992">
        <w:rPr>
          <w:sz w:val="24"/>
          <w:szCs w:val="24"/>
        </w:rPr>
        <w:t xml:space="preserve"> </w:t>
      </w:r>
      <w:bookmarkStart w:id="1" w:name="_Hlk24028629"/>
      <w:r w:rsidR="00315992">
        <w:rPr>
          <w:sz w:val="24"/>
          <w:szCs w:val="24"/>
        </w:rPr>
        <w:t>experiencing a current flare</w:t>
      </w:r>
      <w:bookmarkEnd w:id="1"/>
      <w:r w:rsidR="00FC32EF">
        <w:rPr>
          <w:sz w:val="24"/>
          <w:szCs w:val="24"/>
        </w:rPr>
        <w:t xml:space="preserve"> (GIS CO</w:t>
      </w:r>
      <w:r w:rsidR="00B8591D">
        <w:rPr>
          <w:sz w:val="24"/>
          <w:szCs w:val="24"/>
        </w:rPr>
        <w:t xml:space="preserve"> </w:t>
      </w:r>
      <w:r w:rsidR="00C04D5E" w:rsidRPr="00C04D5E">
        <w:rPr>
          <w:sz w:val="24"/>
          <w:szCs w:val="24"/>
        </w:rPr>
        <w:t xml:space="preserve"> β=</w:t>
      </w:r>
      <w:r w:rsidR="00B8591D" w:rsidRPr="00B8591D">
        <w:rPr>
          <w:sz w:val="24"/>
          <w:szCs w:val="24"/>
        </w:rPr>
        <w:t>4.22(1.11, 7.34)</w:t>
      </w:r>
      <w:r w:rsidR="00FC32EF">
        <w:rPr>
          <w:sz w:val="24"/>
          <w:szCs w:val="24"/>
        </w:rPr>
        <w:t>, UTN</w:t>
      </w:r>
      <w:r w:rsidR="00B8591D">
        <w:rPr>
          <w:sz w:val="24"/>
          <w:szCs w:val="24"/>
        </w:rPr>
        <w:t xml:space="preserve"> </w:t>
      </w:r>
      <w:r w:rsidR="00C04D5E" w:rsidRPr="00C04D5E">
        <w:rPr>
          <w:sz w:val="24"/>
          <w:szCs w:val="24"/>
        </w:rPr>
        <w:t xml:space="preserve"> β=</w:t>
      </w:r>
      <w:r w:rsidR="00B8591D" w:rsidRPr="00B8591D">
        <w:rPr>
          <w:sz w:val="24"/>
          <w:szCs w:val="24"/>
        </w:rPr>
        <w:t>6.88(3.96, 9.80)</w:t>
      </w:r>
      <w:r w:rsidR="00FC32EF">
        <w:rPr>
          <w:sz w:val="24"/>
          <w:szCs w:val="24"/>
        </w:rPr>
        <w:t>)</w:t>
      </w:r>
      <w:r w:rsidR="00241524">
        <w:rPr>
          <w:sz w:val="24"/>
          <w:szCs w:val="24"/>
        </w:rPr>
        <w:t xml:space="preserve">, </w:t>
      </w:r>
      <w:r w:rsidR="00315992">
        <w:rPr>
          <w:sz w:val="24"/>
          <w:szCs w:val="24"/>
        </w:rPr>
        <w:t>oligo-/polyarticular flares (ever)</w:t>
      </w:r>
      <w:r w:rsidR="00FC32EF">
        <w:rPr>
          <w:sz w:val="24"/>
          <w:szCs w:val="24"/>
        </w:rPr>
        <w:t xml:space="preserve"> (GIS CO</w:t>
      </w:r>
      <w:r w:rsidR="008427FE">
        <w:rPr>
          <w:sz w:val="24"/>
          <w:szCs w:val="24"/>
        </w:rPr>
        <w:t xml:space="preserve"> </w:t>
      </w:r>
      <w:r w:rsidR="00C04D5E" w:rsidRPr="00C04D5E">
        <w:rPr>
          <w:sz w:val="24"/>
          <w:szCs w:val="24"/>
        </w:rPr>
        <w:t xml:space="preserve"> β=</w:t>
      </w:r>
      <w:r w:rsidR="008427FE" w:rsidRPr="008427FE">
        <w:rPr>
          <w:sz w:val="24"/>
          <w:szCs w:val="24"/>
        </w:rPr>
        <w:t>4.89(2.78, 7.00)</w:t>
      </w:r>
      <w:r w:rsidR="00FC32EF">
        <w:rPr>
          <w:sz w:val="24"/>
          <w:szCs w:val="24"/>
        </w:rPr>
        <w:t>, MSE</w:t>
      </w:r>
      <w:r w:rsidR="008427FE">
        <w:rPr>
          <w:sz w:val="24"/>
          <w:szCs w:val="24"/>
        </w:rPr>
        <w:t xml:space="preserve"> </w:t>
      </w:r>
      <w:r w:rsidR="00C04D5E" w:rsidRPr="00C04D5E">
        <w:rPr>
          <w:sz w:val="24"/>
          <w:szCs w:val="24"/>
        </w:rPr>
        <w:t xml:space="preserve"> β=</w:t>
      </w:r>
      <w:r w:rsidR="008427FE" w:rsidRPr="008427FE">
        <w:rPr>
          <w:sz w:val="24"/>
          <w:szCs w:val="24"/>
        </w:rPr>
        <w:t>2.85(0.62, 5.09)</w:t>
      </w:r>
      <w:r w:rsidR="00FC32EF">
        <w:rPr>
          <w:sz w:val="24"/>
          <w:szCs w:val="24"/>
        </w:rPr>
        <w:t>, WBDA</w:t>
      </w:r>
      <w:r w:rsidR="008427FE">
        <w:rPr>
          <w:sz w:val="24"/>
          <w:szCs w:val="24"/>
        </w:rPr>
        <w:t xml:space="preserve"> </w:t>
      </w:r>
      <w:r w:rsidR="00C04D5E" w:rsidRPr="00C04D5E">
        <w:rPr>
          <w:sz w:val="24"/>
          <w:szCs w:val="24"/>
        </w:rPr>
        <w:t xml:space="preserve"> β=</w:t>
      </w:r>
      <w:r w:rsidR="008427FE" w:rsidRPr="008427FE">
        <w:rPr>
          <w:sz w:val="24"/>
          <w:szCs w:val="24"/>
        </w:rPr>
        <w:t>3.45(1.51, 5.39)</w:t>
      </w:r>
      <w:r w:rsidR="00FC32EF">
        <w:rPr>
          <w:sz w:val="24"/>
          <w:szCs w:val="24"/>
        </w:rPr>
        <w:t>, CDA</w:t>
      </w:r>
      <w:r w:rsidR="008427FE">
        <w:rPr>
          <w:sz w:val="24"/>
          <w:szCs w:val="24"/>
        </w:rPr>
        <w:t xml:space="preserve"> </w:t>
      </w:r>
      <w:r w:rsidR="00C04D5E" w:rsidRPr="00C04D5E">
        <w:rPr>
          <w:sz w:val="24"/>
          <w:szCs w:val="24"/>
        </w:rPr>
        <w:t xml:space="preserve"> β=</w:t>
      </w:r>
      <w:r w:rsidR="008427FE" w:rsidRPr="008427FE">
        <w:rPr>
          <w:sz w:val="24"/>
          <w:szCs w:val="24"/>
        </w:rPr>
        <w:t>3.30(1.38, 5.23)</w:t>
      </w:r>
      <w:r w:rsidR="00FC32EF">
        <w:rPr>
          <w:sz w:val="24"/>
          <w:szCs w:val="24"/>
        </w:rPr>
        <w:t>, SF-36 PF10</w:t>
      </w:r>
      <w:r w:rsidR="008427FE">
        <w:rPr>
          <w:sz w:val="24"/>
          <w:szCs w:val="24"/>
        </w:rPr>
        <w:t xml:space="preserve"> </w:t>
      </w:r>
      <w:r w:rsidR="00C04D5E" w:rsidRPr="00C04D5E">
        <w:rPr>
          <w:sz w:val="24"/>
          <w:szCs w:val="24"/>
        </w:rPr>
        <w:t xml:space="preserve"> β=</w:t>
      </w:r>
      <w:r w:rsidR="008427FE" w:rsidRPr="008427FE">
        <w:rPr>
          <w:sz w:val="24"/>
          <w:szCs w:val="24"/>
        </w:rPr>
        <w:t>-2.70(-4.61, -0.80)</w:t>
      </w:r>
      <w:r w:rsidR="00FC32EF">
        <w:rPr>
          <w:sz w:val="24"/>
          <w:szCs w:val="24"/>
        </w:rPr>
        <w:t>, HAQ-DI</w:t>
      </w:r>
      <w:r w:rsidR="008427FE">
        <w:rPr>
          <w:sz w:val="24"/>
          <w:szCs w:val="24"/>
        </w:rPr>
        <w:t xml:space="preserve"> </w:t>
      </w:r>
      <w:r w:rsidR="00C04D5E" w:rsidRPr="00C04D5E">
        <w:rPr>
          <w:sz w:val="24"/>
          <w:szCs w:val="24"/>
        </w:rPr>
        <w:t xml:space="preserve"> β=</w:t>
      </w:r>
      <w:r w:rsidR="008427FE" w:rsidRPr="008427FE">
        <w:rPr>
          <w:sz w:val="24"/>
          <w:szCs w:val="24"/>
        </w:rPr>
        <w:t>0.04(0.01, 0.08)</w:t>
      </w:r>
      <w:r w:rsidR="00FC32EF">
        <w:rPr>
          <w:sz w:val="24"/>
          <w:szCs w:val="24"/>
        </w:rPr>
        <w:t>)</w:t>
      </w:r>
      <w:r w:rsidR="00315992">
        <w:rPr>
          <w:sz w:val="24"/>
          <w:szCs w:val="24"/>
        </w:rPr>
        <w:t xml:space="preserve">, </w:t>
      </w:r>
      <w:r w:rsidR="009C15B2">
        <w:rPr>
          <w:sz w:val="24"/>
          <w:szCs w:val="24"/>
        </w:rPr>
        <w:t xml:space="preserve">and </w:t>
      </w:r>
      <w:r w:rsidR="00315992">
        <w:rPr>
          <w:sz w:val="24"/>
          <w:szCs w:val="24"/>
        </w:rPr>
        <w:t xml:space="preserve">allopurinol use </w:t>
      </w:r>
      <w:r w:rsidR="00FC32EF">
        <w:rPr>
          <w:sz w:val="24"/>
          <w:szCs w:val="24"/>
        </w:rPr>
        <w:t>(SF-36 PF10</w:t>
      </w:r>
      <w:r w:rsidR="00C04D5E">
        <w:rPr>
          <w:sz w:val="24"/>
          <w:szCs w:val="24"/>
        </w:rPr>
        <w:t xml:space="preserve"> </w:t>
      </w:r>
      <w:r w:rsidR="00592D5B" w:rsidRPr="00592D5B">
        <w:rPr>
          <w:sz w:val="24"/>
          <w:szCs w:val="24"/>
        </w:rPr>
        <w:t xml:space="preserve"> β=</w:t>
      </w:r>
      <w:r w:rsidR="00C04D5E" w:rsidRPr="00C04D5E">
        <w:rPr>
          <w:sz w:val="24"/>
          <w:szCs w:val="24"/>
        </w:rPr>
        <w:t>-3.74(-6.41, -1.06)</w:t>
      </w:r>
      <w:r w:rsidR="00FC32EF" w:rsidRPr="009367C4">
        <w:rPr>
          <w:sz w:val="24"/>
          <w:szCs w:val="24"/>
        </w:rPr>
        <w:t>)</w:t>
      </w:r>
      <w:r w:rsidR="00D92314">
        <w:rPr>
          <w:sz w:val="24"/>
          <w:szCs w:val="24"/>
        </w:rPr>
        <w:t xml:space="preserve"> </w:t>
      </w:r>
      <w:r w:rsidR="00380BAD" w:rsidRPr="00504759">
        <w:rPr>
          <w:sz w:val="24"/>
          <w:szCs w:val="24"/>
        </w:rPr>
        <w:t>(table</w:t>
      </w:r>
      <w:r w:rsidR="009E6567" w:rsidRPr="00504759">
        <w:rPr>
          <w:sz w:val="24"/>
          <w:szCs w:val="24"/>
        </w:rPr>
        <w:t xml:space="preserve"> </w:t>
      </w:r>
      <w:r w:rsidR="006A2CA5" w:rsidRPr="00504759">
        <w:rPr>
          <w:sz w:val="24"/>
          <w:szCs w:val="24"/>
        </w:rPr>
        <w:t>2</w:t>
      </w:r>
      <w:r w:rsidR="00380BAD" w:rsidRPr="00504759">
        <w:rPr>
          <w:sz w:val="24"/>
          <w:szCs w:val="24"/>
        </w:rPr>
        <w:t>)</w:t>
      </w:r>
      <w:r w:rsidR="00D44A16" w:rsidRPr="00504759">
        <w:rPr>
          <w:sz w:val="24"/>
          <w:szCs w:val="24"/>
        </w:rPr>
        <w:t xml:space="preserve">. </w:t>
      </w:r>
      <w:r w:rsidR="00AF72EB">
        <w:rPr>
          <w:sz w:val="24"/>
          <w:szCs w:val="24"/>
        </w:rPr>
        <w:t xml:space="preserve">Worse </w:t>
      </w:r>
      <w:r w:rsidR="00BD70ED">
        <w:rPr>
          <w:sz w:val="24"/>
          <w:szCs w:val="24"/>
        </w:rPr>
        <w:t xml:space="preserve">HRQOL </w:t>
      </w:r>
      <w:r w:rsidR="00AF72EB">
        <w:rPr>
          <w:sz w:val="24"/>
          <w:szCs w:val="24"/>
        </w:rPr>
        <w:t>was</w:t>
      </w:r>
      <w:r w:rsidR="009367C4">
        <w:rPr>
          <w:sz w:val="24"/>
          <w:szCs w:val="24"/>
        </w:rPr>
        <w:t xml:space="preserve"> </w:t>
      </w:r>
      <w:r w:rsidR="00D92314">
        <w:rPr>
          <w:sz w:val="24"/>
          <w:szCs w:val="24"/>
        </w:rPr>
        <w:t>observed</w:t>
      </w:r>
      <w:r w:rsidR="009367C4">
        <w:rPr>
          <w:sz w:val="24"/>
          <w:szCs w:val="24"/>
        </w:rPr>
        <w:t xml:space="preserve"> as the number of flares experienced increased</w:t>
      </w:r>
      <w:r w:rsidR="00BD70ED">
        <w:rPr>
          <w:sz w:val="24"/>
          <w:szCs w:val="24"/>
        </w:rPr>
        <w:t xml:space="preserve">.  </w:t>
      </w:r>
      <w:r>
        <w:rPr>
          <w:sz w:val="24"/>
          <w:szCs w:val="24"/>
        </w:rPr>
        <w:t>Gout-sp</w:t>
      </w:r>
      <w:r w:rsidR="00517CFD">
        <w:rPr>
          <w:sz w:val="24"/>
          <w:szCs w:val="24"/>
        </w:rPr>
        <w:t>ecific factors associated with</w:t>
      </w:r>
      <w:r>
        <w:rPr>
          <w:sz w:val="24"/>
          <w:szCs w:val="24"/>
        </w:rPr>
        <w:t xml:space="preserve"> </w:t>
      </w:r>
      <w:r w:rsidR="00517CFD">
        <w:rPr>
          <w:sz w:val="24"/>
          <w:szCs w:val="24"/>
        </w:rPr>
        <w:t xml:space="preserve">better </w:t>
      </w:r>
      <w:r w:rsidR="00315992">
        <w:rPr>
          <w:sz w:val="24"/>
          <w:szCs w:val="24"/>
        </w:rPr>
        <w:t>outcomes</w:t>
      </w:r>
      <w:r>
        <w:rPr>
          <w:sz w:val="24"/>
          <w:szCs w:val="24"/>
        </w:rPr>
        <w:t xml:space="preserve"> over</w:t>
      </w:r>
      <w:r w:rsidR="000D1F40">
        <w:rPr>
          <w:sz w:val="24"/>
          <w:szCs w:val="24"/>
        </w:rPr>
        <w:t xml:space="preserve"> three years</w:t>
      </w:r>
      <w:r>
        <w:rPr>
          <w:sz w:val="24"/>
          <w:szCs w:val="24"/>
        </w:rPr>
        <w:t>:</w:t>
      </w:r>
      <w:r w:rsidR="00315992">
        <w:rPr>
          <w:sz w:val="24"/>
          <w:szCs w:val="24"/>
        </w:rPr>
        <w:t>, allopurinol use</w:t>
      </w:r>
      <w:r w:rsidR="00FC32EF">
        <w:rPr>
          <w:sz w:val="24"/>
          <w:szCs w:val="24"/>
        </w:rPr>
        <w:t xml:space="preserve"> (GIS UTN</w:t>
      </w:r>
      <w:r w:rsidR="00592D5B" w:rsidRPr="00592D5B">
        <w:rPr>
          <w:sz w:val="24"/>
          <w:szCs w:val="24"/>
        </w:rPr>
        <w:t xml:space="preserve"> β=</w:t>
      </w:r>
      <w:r w:rsidR="00C04D5E" w:rsidRPr="00C04D5E">
        <w:rPr>
          <w:sz w:val="24"/>
          <w:szCs w:val="24"/>
        </w:rPr>
        <w:t>-7.22(-9.36, -5.09)</w:t>
      </w:r>
      <w:r w:rsidR="00FC32EF">
        <w:rPr>
          <w:sz w:val="24"/>
          <w:szCs w:val="24"/>
        </w:rPr>
        <w:t>)</w:t>
      </w:r>
      <w:r w:rsidR="00315992">
        <w:rPr>
          <w:sz w:val="24"/>
          <w:szCs w:val="24"/>
        </w:rPr>
        <w:t xml:space="preserve">, </w:t>
      </w:r>
      <w:r w:rsidR="009C15B2">
        <w:rPr>
          <w:sz w:val="24"/>
          <w:szCs w:val="24"/>
        </w:rPr>
        <w:t xml:space="preserve">and </w:t>
      </w:r>
      <w:r w:rsidR="006A2CA5">
        <w:rPr>
          <w:sz w:val="24"/>
          <w:szCs w:val="24"/>
        </w:rPr>
        <w:t xml:space="preserve">a longer </w:t>
      </w:r>
      <w:r w:rsidR="00315992">
        <w:rPr>
          <w:sz w:val="24"/>
          <w:szCs w:val="24"/>
        </w:rPr>
        <w:t xml:space="preserve">disease duration </w:t>
      </w:r>
      <w:r w:rsidR="00FC32EF">
        <w:rPr>
          <w:sz w:val="24"/>
          <w:szCs w:val="24"/>
        </w:rPr>
        <w:t>(GIS CO</w:t>
      </w:r>
      <w:r w:rsidR="00C04D5E">
        <w:rPr>
          <w:sz w:val="24"/>
          <w:szCs w:val="24"/>
        </w:rPr>
        <w:t xml:space="preserve"> </w:t>
      </w:r>
      <w:r w:rsidR="00592D5B" w:rsidRPr="00592D5B">
        <w:rPr>
          <w:sz w:val="24"/>
          <w:szCs w:val="24"/>
        </w:rPr>
        <w:t xml:space="preserve"> β=</w:t>
      </w:r>
      <w:r w:rsidR="00C04D5E" w:rsidRPr="00C04D5E">
        <w:rPr>
          <w:sz w:val="24"/>
          <w:szCs w:val="24"/>
        </w:rPr>
        <w:t>-0.27(-0.41, -0.13)</w:t>
      </w:r>
      <w:r w:rsidR="00FC32EF">
        <w:rPr>
          <w:sz w:val="24"/>
          <w:szCs w:val="24"/>
        </w:rPr>
        <w:t>, MSE</w:t>
      </w:r>
      <w:r w:rsidR="00C04D5E">
        <w:rPr>
          <w:sz w:val="24"/>
          <w:szCs w:val="24"/>
        </w:rPr>
        <w:t xml:space="preserve"> </w:t>
      </w:r>
      <w:r w:rsidR="00592D5B" w:rsidRPr="00592D5B">
        <w:rPr>
          <w:sz w:val="24"/>
          <w:szCs w:val="24"/>
        </w:rPr>
        <w:t xml:space="preserve"> β=</w:t>
      </w:r>
      <w:r w:rsidR="00C04D5E" w:rsidRPr="00C04D5E">
        <w:rPr>
          <w:sz w:val="24"/>
          <w:szCs w:val="24"/>
        </w:rPr>
        <w:t>-0.17(-0.32, -0.01)</w:t>
      </w:r>
      <w:r w:rsidR="00FC32EF">
        <w:rPr>
          <w:sz w:val="24"/>
          <w:szCs w:val="24"/>
        </w:rPr>
        <w:t>, UTN</w:t>
      </w:r>
      <w:r w:rsidR="00C04D5E">
        <w:rPr>
          <w:sz w:val="24"/>
          <w:szCs w:val="24"/>
        </w:rPr>
        <w:t xml:space="preserve"> </w:t>
      </w:r>
      <w:r w:rsidR="00592D5B" w:rsidRPr="00592D5B">
        <w:rPr>
          <w:sz w:val="24"/>
          <w:szCs w:val="24"/>
        </w:rPr>
        <w:t xml:space="preserve"> β=</w:t>
      </w:r>
      <w:r w:rsidR="00C04D5E" w:rsidRPr="00C04D5E">
        <w:rPr>
          <w:sz w:val="24"/>
          <w:szCs w:val="24"/>
        </w:rPr>
        <w:t>-0.12(-0.22, -0.02)</w:t>
      </w:r>
      <w:r w:rsidR="00FC32EF">
        <w:rPr>
          <w:sz w:val="24"/>
          <w:szCs w:val="24"/>
        </w:rPr>
        <w:t>, CDA</w:t>
      </w:r>
      <w:r w:rsidR="00592D5B">
        <w:rPr>
          <w:sz w:val="24"/>
          <w:szCs w:val="24"/>
        </w:rPr>
        <w:t xml:space="preserve"> </w:t>
      </w:r>
      <w:r w:rsidR="00592D5B" w:rsidRPr="00592D5B">
        <w:rPr>
          <w:sz w:val="24"/>
          <w:szCs w:val="24"/>
        </w:rPr>
        <w:t xml:space="preserve"> β=</w:t>
      </w:r>
      <w:r w:rsidR="00C04D5E" w:rsidRPr="00C04D5E">
        <w:rPr>
          <w:sz w:val="24"/>
          <w:szCs w:val="24"/>
        </w:rPr>
        <w:t>-0.15(-0.29, -0.02)</w:t>
      </w:r>
      <w:r w:rsidR="00FC32EF">
        <w:rPr>
          <w:sz w:val="24"/>
          <w:szCs w:val="24"/>
        </w:rPr>
        <w:t xml:space="preserve">) </w:t>
      </w:r>
      <w:r w:rsidR="00380BAD" w:rsidRPr="00874CF8">
        <w:rPr>
          <w:sz w:val="24"/>
          <w:szCs w:val="24"/>
        </w:rPr>
        <w:t>(</w:t>
      </w:r>
      <w:r w:rsidR="00380BAD" w:rsidRPr="009367C4">
        <w:rPr>
          <w:sz w:val="24"/>
          <w:szCs w:val="24"/>
        </w:rPr>
        <w:t>table</w:t>
      </w:r>
      <w:r w:rsidR="00835645" w:rsidRPr="00504759">
        <w:rPr>
          <w:sz w:val="24"/>
          <w:szCs w:val="24"/>
        </w:rPr>
        <w:t xml:space="preserve"> </w:t>
      </w:r>
      <w:r w:rsidR="006A2CA5" w:rsidRPr="00504759">
        <w:rPr>
          <w:sz w:val="24"/>
          <w:szCs w:val="24"/>
        </w:rPr>
        <w:t>2</w:t>
      </w:r>
      <w:r w:rsidR="00380BAD" w:rsidRPr="00874CF8">
        <w:rPr>
          <w:sz w:val="24"/>
          <w:szCs w:val="24"/>
        </w:rPr>
        <w:t>)</w:t>
      </w:r>
      <w:r w:rsidR="00315992" w:rsidRPr="00874CF8">
        <w:rPr>
          <w:sz w:val="24"/>
          <w:szCs w:val="24"/>
        </w:rPr>
        <w:t>.</w:t>
      </w:r>
      <w:r w:rsidR="00B67FB5">
        <w:rPr>
          <w:sz w:val="24"/>
          <w:szCs w:val="24"/>
        </w:rPr>
        <w:t xml:space="preserve"> </w:t>
      </w:r>
      <w:r w:rsidR="00B67FB5" w:rsidRPr="00B67FB5">
        <w:rPr>
          <w:sz w:val="24"/>
          <w:szCs w:val="24"/>
        </w:rPr>
        <w:t>The statistically significant beta coefficient for experiencing a current flare and GIS WBDA does not have interpretability as the association between experiencing a current flare and GIS WBDA varied by time (see ‘Interactions with time’ section).</w:t>
      </w:r>
    </w:p>
    <w:p w14:paraId="7A428ACD" w14:textId="77777777" w:rsidR="00B67FB5" w:rsidRPr="00384F04" w:rsidRDefault="00B67FB5" w:rsidP="001055A0">
      <w:pPr>
        <w:spacing w:after="0" w:line="480" w:lineRule="auto"/>
        <w:jc w:val="both"/>
        <w:rPr>
          <w:sz w:val="24"/>
          <w:szCs w:val="24"/>
        </w:rPr>
      </w:pPr>
    </w:p>
    <w:p w14:paraId="25E8E69B" w14:textId="0F8DCBA0" w:rsidR="0050594C" w:rsidRPr="003277C2" w:rsidRDefault="0050594C" w:rsidP="00D853B5">
      <w:pPr>
        <w:spacing w:after="0" w:line="480" w:lineRule="auto"/>
        <w:jc w:val="both"/>
        <w:rPr>
          <w:b/>
          <w:bCs/>
          <w:sz w:val="24"/>
          <w:szCs w:val="24"/>
        </w:rPr>
      </w:pPr>
      <w:r w:rsidRPr="003277C2">
        <w:rPr>
          <w:b/>
          <w:bCs/>
          <w:sz w:val="24"/>
          <w:szCs w:val="24"/>
        </w:rPr>
        <w:t>Comorbid factors associated with HRQOL</w:t>
      </w:r>
      <w:r w:rsidR="00517CFD">
        <w:rPr>
          <w:b/>
          <w:bCs/>
          <w:sz w:val="24"/>
          <w:szCs w:val="24"/>
        </w:rPr>
        <w:t xml:space="preserve"> </w:t>
      </w:r>
    </w:p>
    <w:p w14:paraId="37894FA8" w14:textId="7432599F" w:rsidR="00BD70ED" w:rsidRPr="00874CF8" w:rsidRDefault="003277C2" w:rsidP="00066F2E">
      <w:pPr>
        <w:spacing w:after="0" w:line="480" w:lineRule="auto"/>
        <w:jc w:val="both"/>
        <w:rPr>
          <w:sz w:val="24"/>
          <w:szCs w:val="24"/>
        </w:rPr>
      </w:pPr>
      <w:r>
        <w:rPr>
          <w:sz w:val="24"/>
          <w:szCs w:val="24"/>
        </w:rPr>
        <w:t xml:space="preserve">Comorbid factors associated with </w:t>
      </w:r>
      <w:r w:rsidR="00517CFD">
        <w:rPr>
          <w:sz w:val="24"/>
          <w:szCs w:val="24"/>
        </w:rPr>
        <w:t>worse</w:t>
      </w:r>
      <w:r>
        <w:rPr>
          <w:sz w:val="24"/>
          <w:szCs w:val="24"/>
        </w:rPr>
        <w:t xml:space="preserve"> </w:t>
      </w:r>
      <w:r w:rsidR="00351100">
        <w:rPr>
          <w:sz w:val="24"/>
          <w:szCs w:val="24"/>
        </w:rPr>
        <w:t xml:space="preserve">outcomes </w:t>
      </w:r>
      <w:r>
        <w:rPr>
          <w:sz w:val="24"/>
          <w:szCs w:val="24"/>
        </w:rPr>
        <w:t xml:space="preserve">over three years </w:t>
      </w:r>
      <w:r w:rsidR="00AB3FB7">
        <w:rPr>
          <w:sz w:val="24"/>
          <w:szCs w:val="24"/>
        </w:rPr>
        <w:t>were</w:t>
      </w:r>
      <w:r w:rsidR="006A2CA5">
        <w:rPr>
          <w:sz w:val="24"/>
          <w:szCs w:val="24"/>
        </w:rPr>
        <w:t xml:space="preserve"> the</w:t>
      </w:r>
      <w:r>
        <w:rPr>
          <w:sz w:val="24"/>
          <w:szCs w:val="24"/>
        </w:rPr>
        <w:t xml:space="preserve"> </w:t>
      </w:r>
      <w:r w:rsidR="009C15B2">
        <w:rPr>
          <w:sz w:val="24"/>
          <w:szCs w:val="24"/>
        </w:rPr>
        <w:t>total number of comorbidities</w:t>
      </w:r>
      <w:r w:rsidR="00FC32EF">
        <w:rPr>
          <w:sz w:val="24"/>
          <w:szCs w:val="24"/>
        </w:rPr>
        <w:t xml:space="preserve"> (</w:t>
      </w:r>
      <w:r w:rsidR="00E57C26">
        <w:rPr>
          <w:sz w:val="24"/>
          <w:szCs w:val="24"/>
        </w:rPr>
        <w:t>SF-36 PF10</w:t>
      </w:r>
      <w:r w:rsidR="00592D5B">
        <w:rPr>
          <w:sz w:val="24"/>
          <w:szCs w:val="24"/>
        </w:rPr>
        <w:t xml:space="preserve"> </w:t>
      </w:r>
      <w:r w:rsidR="00592D5B" w:rsidRPr="00592D5B">
        <w:rPr>
          <w:sz w:val="24"/>
          <w:szCs w:val="24"/>
        </w:rPr>
        <w:t>β=</w:t>
      </w:r>
      <w:r w:rsidR="00131B82" w:rsidRPr="00131B82">
        <w:rPr>
          <w:sz w:val="24"/>
          <w:szCs w:val="24"/>
        </w:rPr>
        <w:t>-1.34(-2.63, -0.05)</w:t>
      </w:r>
      <w:r w:rsidR="00FC32EF">
        <w:rPr>
          <w:sz w:val="24"/>
          <w:szCs w:val="24"/>
        </w:rPr>
        <w:t>)</w:t>
      </w:r>
      <w:r w:rsidR="009C15B2">
        <w:rPr>
          <w:sz w:val="24"/>
          <w:szCs w:val="24"/>
        </w:rPr>
        <w:t xml:space="preserve">, </w:t>
      </w:r>
      <w:r w:rsidR="00535E68">
        <w:rPr>
          <w:sz w:val="24"/>
          <w:szCs w:val="24"/>
        </w:rPr>
        <w:t>CKD</w:t>
      </w:r>
      <w:r w:rsidR="00535E68">
        <w:rPr>
          <w:rFonts w:cstheme="minorHAnsi"/>
          <w:sz w:val="24"/>
          <w:szCs w:val="24"/>
        </w:rPr>
        <w:t xml:space="preserve"> stage≥3</w:t>
      </w:r>
      <w:r w:rsidR="00E57C26">
        <w:rPr>
          <w:rFonts w:cstheme="minorHAnsi"/>
          <w:sz w:val="24"/>
          <w:szCs w:val="24"/>
        </w:rPr>
        <w:t xml:space="preserve"> </w:t>
      </w:r>
      <w:r w:rsidR="00E57C26">
        <w:rPr>
          <w:sz w:val="24"/>
          <w:szCs w:val="24"/>
        </w:rPr>
        <w:t xml:space="preserve">(SF-36 PF10 </w:t>
      </w:r>
      <w:r w:rsidR="00592D5B" w:rsidRPr="00592D5B">
        <w:rPr>
          <w:sz w:val="24"/>
          <w:szCs w:val="24"/>
        </w:rPr>
        <w:t>β=</w:t>
      </w:r>
      <w:r w:rsidR="00131B82" w:rsidRPr="00131B82">
        <w:rPr>
          <w:sz w:val="24"/>
          <w:szCs w:val="24"/>
        </w:rPr>
        <w:t>-4.28(-8.09, -0.46)</w:t>
      </w:r>
      <w:r w:rsidR="00592D5B">
        <w:rPr>
          <w:sz w:val="24"/>
          <w:szCs w:val="24"/>
        </w:rPr>
        <w:t xml:space="preserve">, </w:t>
      </w:r>
      <w:r w:rsidR="00E57C26">
        <w:rPr>
          <w:sz w:val="24"/>
          <w:szCs w:val="24"/>
        </w:rPr>
        <w:t>HAQ-</w:t>
      </w:r>
      <w:r w:rsidR="00E57C26" w:rsidRPr="00131B82">
        <w:rPr>
          <w:sz w:val="24"/>
          <w:szCs w:val="24"/>
        </w:rPr>
        <w:t>DI</w:t>
      </w:r>
      <w:r w:rsidR="00592D5B" w:rsidRPr="00131B82">
        <w:rPr>
          <w:sz w:val="24"/>
          <w:szCs w:val="24"/>
        </w:rPr>
        <w:t xml:space="preserve"> </w:t>
      </w:r>
      <w:r w:rsidR="00592D5B" w:rsidRPr="00607B24">
        <w:rPr>
          <w:rStyle w:val="normaltextrun"/>
          <w:rFonts w:ascii="Calibri" w:hAnsi="Calibri" w:cs="Calibri"/>
          <w:color w:val="000000"/>
          <w:sz w:val="24"/>
          <w:szCs w:val="24"/>
          <w:bdr w:val="none" w:sz="0" w:space="0" w:color="auto" w:frame="1"/>
        </w:rPr>
        <w:t>β=</w:t>
      </w:r>
      <w:r w:rsidR="00131B82" w:rsidRPr="00607B24">
        <w:rPr>
          <w:rStyle w:val="normaltextrun"/>
          <w:rFonts w:ascii="Calibri" w:hAnsi="Calibri" w:cs="Calibri"/>
          <w:color w:val="000000"/>
          <w:sz w:val="24"/>
          <w:szCs w:val="24"/>
          <w:bdr w:val="none" w:sz="0" w:space="0" w:color="auto" w:frame="1"/>
        </w:rPr>
        <w:t>0.10(0.01, 0.20</w:t>
      </w:r>
      <w:r w:rsidR="00E57C26" w:rsidRPr="00131B82">
        <w:rPr>
          <w:sz w:val="24"/>
          <w:szCs w:val="24"/>
        </w:rPr>
        <w:t>)</w:t>
      </w:r>
      <w:r w:rsidR="009C15B2" w:rsidRPr="00131B82">
        <w:rPr>
          <w:sz w:val="24"/>
          <w:szCs w:val="24"/>
        </w:rPr>
        <w:t>,</w:t>
      </w:r>
      <w:r w:rsidR="009C15B2">
        <w:rPr>
          <w:sz w:val="24"/>
          <w:szCs w:val="24"/>
        </w:rPr>
        <w:t xml:space="preserve"> </w:t>
      </w:r>
      <w:r w:rsidR="00FA37BD" w:rsidRPr="00FA37BD">
        <w:rPr>
          <w:sz w:val="24"/>
          <w:szCs w:val="24"/>
        </w:rPr>
        <w:t xml:space="preserve">worse </w:t>
      </w:r>
      <w:r w:rsidR="009C15B2" w:rsidRPr="00FA37BD">
        <w:rPr>
          <w:sz w:val="24"/>
          <w:szCs w:val="24"/>
        </w:rPr>
        <w:t xml:space="preserve">pain </w:t>
      </w:r>
      <w:r w:rsidR="00FA37BD" w:rsidRPr="00FA37BD">
        <w:rPr>
          <w:sz w:val="24"/>
          <w:szCs w:val="24"/>
        </w:rPr>
        <w:t xml:space="preserve">(pain </w:t>
      </w:r>
      <w:r w:rsidR="009C15B2" w:rsidRPr="00FA37BD">
        <w:rPr>
          <w:sz w:val="24"/>
          <w:szCs w:val="24"/>
        </w:rPr>
        <w:t>NRS</w:t>
      </w:r>
      <w:r w:rsidR="00FA37BD" w:rsidRPr="00FA37BD">
        <w:rPr>
          <w:sz w:val="24"/>
          <w:szCs w:val="24"/>
        </w:rPr>
        <w:t>)</w:t>
      </w:r>
      <w:r w:rsidR="00E57C26">
        <w:rPr>
          <w:sz w:val="24"/>
          <w:szCs w:val="24"/>
        </w:rPr>
        <w:t xml:space="preserve"> (GIS CO</w:t>
      </w:r>
      <w:r w:rsidR="00592D5B">
        <w:rPr>
          <w:sz w:val="24"/>
          <w:szCs w:val="24"/>
        </w:rPr>
        <w:t xml:space="preserve"> </w:t>
      </w:r>
      <w:r w:rsidR="00592D5B" w:rsidRPr="00592D5B">
        <w:rPr>
          <w:sz w:val="24"/>
          <w:szCs w:val="24"/>
        </w:rPr>
        <w:t xml:space="preserve"> β=</w:t>
      </w:r>
      <w:r w:rsidR="00131B82" w:rsidRPr="00131B82">
        <w:rPr>
          <w:sz w:val="24"/>
          <w:szCs w:val="24"/>
        </w:rPr>
        <w:t>1.24(0.82, 1.66)</w:t>
      </w:r>
      <w:r w:rsidR="00E57C26">
        <w:rPr>
          <w:sz w:val="24"/>
          <w:szCs w:val="24"/>
        </w:rPr>
        <w:t>, UTN</w:t>
      </w:r>
      <w:r w:rsidR="00592D5B">
        <w:rPr>
          <w:sz w:val="24"/>
          <w:szCs w:val="24"/>
        </w:rPr>
        <w:t xml:space="preserve"> </w:t>
      </w:r>
      <w:r w:rsidR="00592D5B" w:rsidRPr="00592D5B">
        <w:rPr>
          <w:sz w:val="24"/>
          <w:szCs w:val="24"/>
        </w:rPr>
        <w:t xml:space="preserve"> β=</w:t>
      </w:r>
      <w:r w:rsidR="00131B82" w:rsidRPr="00131B82">
        <w:rPr>
          <w:sz w:val="24"/>
          <w:szCs w:val="24"/>
        </w:rPr>
        <w:t>0.63(0.26, 1.00)</w:t>
      </w:r>
      <w:r w:rsidR="00E57C26">
        <w:rPr>
          <w:sz w:val="24"/>
          <w:szCs w:val="24"/>
        </w:rPr>
        <w:t>, WBDA</w:t>
      </w:r>
      <w:r w:rsidR="00592D5B">
        <w:rPr>
          <w:sz w:val="24"/>
          <w:szCs w:val="24"/>
        </w:rPr>
        <w:t xml:space="preserve"> </w:t>
      </w:r>
      <w:r w:rsidR="00592D5B" w:rsidRPr="00592D5B">
        <w:rPr>
          <w:sz w:val="24"/>
          <w:szCs w:val="24"/>
        </w:rPr>
        <w:t xml:space="preserve"> β=</w:t>
      </w:r>
      <w:r w:rsidR="00131B82" w:rsidRPr="00131B82">
        <w:rPr>
          <w:sz w:val="24"/>
          <w:szCs w:val="24"/>
        </w:rPr>
        <w:t>1.57(1.18, 1.95)</w:t>
      </w:r>
      <w:r w:rsidR="00E57C26">
        <w:rPr>
          <w:sz w:val="24"/>
          <w:szCs w:val="24"/>
        </w:rPr>
        <w:t>, CDA</w:t>
      </w:r>
      <w:r w:rsidR="00592D5B">
        <w:rPr>
          <w:sz w:val="24"/>
          <w:szCs w:val="24"/>
        </w:rPr>
        <w:t xml:space="preserve"> </w:t>
      </w:r>
      <w:r w:rsidR="00592D5B" w:rsidRPr="00592D5B">
        <w:rPr>
          <w:sz w:val="24"/>
          <w:szCs w:val="24"/>
        </w:rPr>
        <w:t xml:space="preserve"> β=</w:t>
      </w:r>
      <w:r w:rsidR="00131B82" w:rsidRPr="00131B82">
        <w:rPr>
          <w:sz w:val="24"/>
          <w:szCs w:val="24"/>
        </w:rPr>
        <w:t>0.51(0.12, 0.89)</w:t>
      </w:r>
      <w:r w:rsidR="00E57C26">
        <w:rPr>
          <w:sz w:val="24"/>
          <w:szCs w:val="24"/>
        </w:rPr>
        <w:t xml:space="preserve">, SF-36 PF10 </w:t>
      </w:r>
      <w:r w:rsidR="00592D5B" w:rsidRPr="00592D5B">
        <w:rPr>
          <w:sz w:val="24"/>
          <w:szCs w:val="24"/>
        </w:rPr>
        <w:t xml:space="preserve"> β=</w:t>
      </w:r>
      <w:r w:rsidR="00131B82" w:rsidRPr="00131B82">
        <w:rPr>
          <w:sz w:val="24"/>
          <w:szCs w:val="24"/>
        </w:rPr>
        <w:t>-2.03(-2.56, -1.50)</w:t>
      </w:r>
      <w:r w:rsidR="00131B82">
        <w:rPr>
          <w:sz w:val="24"/>
          <w:szCs w:val="24"/>
        </w:rPr>
        <w:t xml:space="preserve"> </w:t>
      </w:r>
      <w:r w:rsidR="00E57C26">
        <w:rPr>
          <w:sz w:val="24"/>
          <w:szCs w:val="24"/>
        </w:rPr>
        <w:t>and HAQ-DI</w:t>
      </w:r>
      <w:r w:rsidR="00592D5B" w:rsidRPr="00592D5B">
        <w:rPr>
          <w:sz w:val="24"/>
          <w:szCs w:val="24"/>
        </w:rPr>
        <w:t xml:space="preserve"> β=</w:t>
      </w:r>
      <w:r w:rsidR="00131B82" w:rsidRPr="00131B82">
        <w:rPr>
          <w:sz w:val="24"/>
          <w:szCs w:val="24"/>
        </w:rPr>
        <w:t>0.05(0.04, 0.06)</w:t>
      </w:r>
      <w:r w:rsidR="00E57C26">
        <w:rPr>
          <w:sz w:val="24"/>
          <w:szCs w:val="24"/>
        </w:rPr>
        <w:t>)</w:t>
      </w:r>
      <w:r w:rsidR="00FA37BD">
        <w:rPr>
          <w:sz w:val="24"/>
          <w:szCs w:val="24"/>
        </w:rPr>
        <w:t>, the presence of body pain</w:t>
      </w:r>
      <w:r w:rsidR="00E57C26">
        <w:rPr>
          <w:sz w:val="24"/>
          <w:szCs w:val="24"/>
        </w:rPr>
        <w:t xml:space="preserve"> (GIS CO</w:t>
      </w:r>
      <w:r w:rsidR="00592D5B">
        <w:rPr>
          <w:sz w:val="24"/>
          <w:szCs w:val="24"/>
        </w:rPr>
        <w:t xml:space="preserve"> </w:t>
      </w:r>
      <w:r w:rsidR="00592D5B" w:rsidRPr="00592D5B">
        <w:rPr>
          <w:sz w:val="24"/>
          <w:szCs w:val="24"/>
        </w:rPr>
        <w:t xml:space="preserve"> β=</w:t>
      </w:r>
      <w:r w:rsidR="00131B82" w:rsidRPr="00131B82">
        <w:rPr>
          <w:sz w:val="24"/>
          <w:szCs w:val="24"/>
        </w:rPr>
        <w:t>5.21(1.71, 8.70)</w:t>
      </w:r>
      <w:r w:rsidR="00E57C26">
        <w:rPr>
          <w:sz w:val="24"/>
          <w:szCs w:val="24"/>
        </w:rPr>
        <w:t xml:space="preserve">, </w:t>
      </w:r>
      <w:r w:rsidR="00131B82">
        <w:rPr>
          <w:sz w:val="24"/>
          <w:szCs w:val="24"/>
        </w:rPr>
        <w:t>GIS MSE</w:t>
      </w:r>
      <w:r w:rsidR="00131B82" w:rsidRPr="00592D5B">
        <w:rPr>
          <w:sz w:val="24"/>
          <w:szCs w:val="24"/>
        </w:rPr>
        <w:t xml:space="preserve"> β=</w:t>
      </w:r>
      <w:r w:rsidR="00043425" w:rsidRPr="00043425">
        <w:rPr>
          <w:sz w:val="24"/>
          <w:szCs w:val="24"/>
        </w:rPr>
        <w:t>7.69(3.91, 11.47)</w:t>
      </w:r>
      <w:r w:rsidR="00043425">
        <w:rPr>
          <w:sz w:val="24"/>
          <w:szCs w:val="24"/>
        </w:rPr>
        <w:t>,</w:t>
      </w:r>
      <w:r w:rsidR="00E57C26">
        <w:rPr>
          <w:sz w:val="24"/>
          <w:szCs w:val="24"/>
        </w:rPr>
        <w:t xml:space="preserve"> SF-36 PF10</w:t>
      </w:r>
      <w:r w:rsidR="00592D5B">
        <w:rPr>
          <w:sz w:val="24"/>
          <w:szCs w:val="24"/>
        </w:rPr>
        <w:t xml:space="preserve"> </w:t>
      </w:r>
      <w:r w:rsidR="00592D5B" w:rsidRPr="00592D5B">
        <w:rPr>
          <w:sz w:val="24"/>
          <w:szCs w:val="24"/>
        </w:rPr>
        <w:t>β=</w:t>
      </w:r>
      <w:r w:rsidR="00043425" w:rsidRPr="00043425">
        <w:rPr>
          <w:sz w:val="24"/>
          <w:szCs w:val="24"/>
        </w:rPr>
        <w:t>-3.59(-7.07, -0.11)</w:t>
      </w:r>
      <w:r w:rsidR="00043425">
        <w:rPr>
          <w:sz w:val="24"/>
          <w:szCs w:val="24"/>
        </w:rPr>
        <w:t>, HAQ-DI</w:t>
      </w:r>
      <w:r w:rsidR="00043425" w:rsidRPr="00592D5B">
        <w:rPr>
          <w:sz w:val="24"/>
          <w:szCs w:val="24"/>
        </w:rPr>
        <w:t xml:space="preserve"> β=</w:t>
      </w:r>
      <w:r w:rsidR="00043425" w:rsidRPr="00043425">
        <w:rPr>
          <w:sz w:val="24"/>
          <w:szCs w:val="24"/>
        </w:rPr>
        <w:t>0.09(0.01, 0.17)</w:t>
      </w:r>
      <w:r w:rsidR="00E57C26">
        <w:rPr>
          <w:sz w:val="24"/>
          <w:szCs w:val="24"/>
        </w:rPr>
        <w:t>)</w:t>
      </w:r>
      <w:r w:rsidR="00AF72EB">
        <w:rPr>
          <w:sz w:val="24"/>
          <w:szCs w:val="24"/>
        </w:rPr>
        <w:t>,</w:t>
      </w:r>
      <w:r w:rsidR="00FA37BD">
        <w:rPr>
          <w:sz w:val="24"/>
          <w:szCs w:val="24"/>
        </w:rPr>
        <w:t xml:space="preserve"> more severe depression (PHQ-9 score)</w:t>
      </w:r>
      <w:r w:rsidR="00E57C26">
        <w:rPr>
          <w:sz w:val="24"/>
          <w:szCs w:val="24"/>
        </w:rPr>
        <w:t xml:space="preserve"> (GIS </w:t>
      </w:r>
      <w:r w:rsidR="00E57C26" w:rsidRPr="00043425">
        <w:rPr>
          <w:sz w:val="24"/>
          <w:szCs w:val="24"/>
        </w:rPr>
        <w:t>MSE</w:t>
      </w:r>
      <w:r w:rsidR="00592D5B" w:rsidRPr="00043425">
        <w:rPr>
          <w:sz w:val="24"/>
          <w:szCs w:val="24"/>
        </w:rPr>
        <w:t xml:space="preserve"> β=</w:t>
      </w:r>
      <w:r w:rsidR="00043425" w:rsidRPr="00607B24">
        <w:rPr>
          <w:sz w:val="24"/>
          <w:szCs w:val="24"/>
        </w:rPr>
        <w:t>0.61(0.06, 1.17)</w:t>
      </w:r>
      <w:r w:rsidR="00E57C26" w:rsidRPr="00043425">
        <w:rPr>
          <w:sz w:val="24"/>
          <w:szCs w:val="24"/>
        </w:rPr>
        <w:t>,</w:t>
      </w:r>
      <w:r w:rsidR="00E57C26">
        <w:rPr>
          <w:sz w:val="24"/>
          <w:szCs w:val="24"/>
        </w:rPr>
        <w:t xml:space="preserve"> WBDA</w:t>
      </w:r>
      <w:r w:rsidR="00592D5B" w:rsidRPr="00592D5B">
        <w:rPr>
          <w:sz w:val="24"/>
          <w:szCs w:val="24"/>
        </w:rPr>
        <w:t xml:space="preserve"> β=</w:t>
      </w:r>
      <w:r w:rsidR="00043425" w:rsidRPr="00043425">
        <w:rPr>
          <w:sz w:val="24"/>
          <w:szCs w:val="24"/>
        </w:rPr>
        <w:t>1.11(0.57, 1.65)</w:t>
      </w:r>
      <w:r w:rsidR="00043425">
        <w:rPr>
          <w:sz w:val="24"/>
          <w:szCs w:val="24"/>
        </w:rPr>
        <w:t xml:space="preserve"> </w:t>
      </w:r>
      <w:r w:rsidR="00E57C26">
        <w:rPr>
          <w:sz w:val="24"/>
          <w:szCs w:val="24"/>
        </w:rPr>
        <w:t>, CDA</w:t>
      </w:r>
      <w:r w:rsidR="00592D5B" w:rsidRPr="00592D5B">
        <w:rPr>
          <w:sz w:val="24"/>
          <w:szCs w:val="24"/>
        </w:rPr>
        <w:t xml:space="preserve"> β=</w:t>
      </w:r>
      <w:r w:rsidR="00043425" w:rsidRPr="00043425">
        <w:rPr>
          <w:sz w:val="24"/>
          <w:szCs w:val="24"/>
        </w:rPr>
        <w:t>0.84(0.35, 1.32)</w:t>
      </w:r>
      <w:r w:rsidR="00E57C26">
        <w:rPr>
          <w:sz w:val="24"/>
          <w:szCs w:val="24"/>
        </w:rPr>
        <w:t>, SF-36 PF10</w:t>
      </w:r>
      <w:r w:rsidR="00592D5B" w:rsidRPr="00592D5B">
        <w:rPr>
          <w:sz w:val="24"/>
          <w:szCs w:val="24"/>
        </w:rPr>
        <w:t xml:space="preserve"> β=</w:t>
      </w:r>
      <w:r w:rsidR="00043425" w:rsidRPr="00043425">
        <w:rPr>
          <w:sz w:val="24"/>
          <w:szCs w:val="24"/>
        </w:rPr>
        <w:t>-2.19(-2.78, -1.60)</w:t>
      </w:r>
      <w:r w:rsidR="00E57C26">
        <w:rPr>
          <w:sz w:val="24"/>
          <w:szCs w:val="24"/>
        </w:rPr>
        <w:t xml:space="preserve"> and HAQ-DI</w:t>
      </w:r>
      <w:r w:rsidR="00592D5B" w:rsidRPr="00592D5B">
        <w:rPr>
          <w:sz w:val="24"/>
          <w:szCs w:val="24"/>
        </w:rPr>
        <w:t xml:space="preserve"> β=</w:t>
      </w:r>
      <w:r w:rsidR="00043425" w:rsidRPr="00043425">
        <w:rPr>
          <w:sz w:val="24"/>
          <w:szCs w:val="24"/>
        </w:rPr>
        <w:t>0.05(0.03, 0.06)</w:t>
      </w:r>
      <w:r w:rsidR="00E57C26">
        <w:rPr>
          <w:sz w:val="24"/>
          <w:szCs w:val="24"/>
        </w:rPr>
        <w:t>)</w:t>
      </w:r>
      <w:r w:rsidR="00FA37BD">
        <w:rPr>
          <w:sz w:val="24"/>
          <w:szCs w:val="24"/>
        </w:rPr>
        <w:t xml:space="preserve"> and more severe anxiety </w:t>
      </w:r>
      <w:r w:rsidR="00AB3FB7">
        <w:rPr>
          <w:sz w:val="24"/>
          <w:szCs w:val="24"/>
        </w:rPr>
        <w:t>(GAD-7)</w:t>
      </w:r>
      <w:r w:rsidR="00E57C26">
        <w:rPr>
          <w:sz w:val="24"/>
          <w:szCs w:val="24"/>
        </w:rPr>
        <w:t xml:space="preserve"> (GIS CO</w:t>
      </w:r>
      <w:r w:rsidR="00592D5B" w:rsidRPr="00592D5B">
        <w:rPr>
          <w:sz w:val="24"/>
          <w:szCs w:val="24"/>
        </w:rPr>
        <w:t xml:space="preserve"> β=</w:t>
      </w:r>
      <w:r w:rsidR="00043425" w:rsidRPr="00043425">
        <w:rPr>
          <w:sz w:val="24"/>
          <w:szCs w:val="24"/>
        </w:rPr>
        <w:t>0.61(0.03, 1.18)</w:t>
      </w:r>
      <w:r w:rsidR="00E57C26">
        <w:rPr>
          <w:sz w:val="24"/>
          <w:szCs w:val="24"/>
        </w:rPr>
        <w:t>, MSE</w:t>
      </w:r>
      <w:r w:rsidR="00592D5B">
        <w:rPr>
          <w:sz w:val="24"/>
          <w:szCs w:val="24"/>
        </w:rPr>
        <w:t xml:space="preserve"> </w:t>
      </w:r>
      <w:r w:rsidR="00592D5B" w:rsidRPr="00592D5B">
        <w:rPr>
          <w:sz w:val="24"/>
          <w:szCs w:val="24"/>
        </w:rPr>
        <w:t xml:space="preserve"> β=</w:t>
      </w:r>
      <w:r w:rsidR="00043425" w:rsidRPr="00043425">
        <w:rPr>
          <w:sz w:val="24"/>
          <w:szCs w:val="24"/>
        </w:rPr>
        <w:t>0.72(0.10, 1.34)</w:t>
      </w:r>
      <w:r w:rsidR="00E57C26">
        <w:rPr>
          <w:sz w:val="24"/>
          <w:szCs w:val="24"/>
        </w:rPr>
        <w:t>, CDA</w:t>
      </w:r>
      <w:r w:rsidR="00592D5B" w:rsidRPr="00592D5B">
        <w:rPr>
          <w:sz w:val="24"/>
          <w:szCs w:val="24"/>
        </w:rPr>
        <w:t xml:space="preserve"> β=</w:t>
      </w:r>
      <w:r w:rsidR="00043425" w:rsidRPr="00043425">
        <w:rPr>
          <w:sz w:val="24"/>
          <w:szCs w:val="24"/>
        </w:rPr>
        <w:t>1.06(0.52, 1.61)</w:t>
      </w:r>
      <w:r w:rsidR="00E57C26">
        <w:rPr>
          <w:sz w:val="24"/>
          <w:szCs w:val="24"/>
        </w:rPr>
        <w:t>)</w:t>
      </w:r>
      <w:r w:rsidR="00AB3FB7">
        <w:rPr>
          <w:sz w:val="24"/>
          <w:szCs w:val="24"/>
        </w:rPr>
        <w:t xml:space="preserve"> </w:t>
      </w:r>
      <w:r w:rsidR="00380BAD" w:rsidRPr="00874CF8">
        <w:rPr>
          <w:sz w:val="24"/>
          <w:szCs w:val="24"/>
        </w:rPr>
        <w:t>(</w:t>
      </w:r>
      <w:r w:rsidR="00380BAD" w:rsidRPr="009367C4">
        <w:rPr>
          <w:sz w:val="24"/>
          <w:szCs w:val="24"/>
        </w:rPr>
        <w:t xml:space="preserve">table </w:t>
      </w:r>
      <w:r w:rsidR="006A2CA5" w:rsidRPr="00504759">
        <w:rPr>
          <w:sz w:val="24"/>
          <w:szCs w:val="24"/>
        </w:rPr>
        <w:t>2</w:t>
      </w:r>
      <w:r w:rsidR="00380BAD" w:rsidRPr="00874CF8">
        <w:rPr>
          <w:sz w:val="24"/>
          <w:szCs w:val="24"/>
        </w:rPr>
        <w:t>)</w:t>
      </w:r>
      <w:r w:rsidR="00BD70ED">
        <w:rPr>
          <w:sz w:val="24"/>
          <w:szCs w:val="24"/>
        </w:rPr>
        <w:t xml:space="preserve">.  </w:t>
      </w:r>
    </w:p>
    <w:p w14:paraId="599D08EA" w14:textId="6C153066" w:rsidR="0050594C" w:rsidRPr="003277C2" w:rsidRDefault="0050594C" w:rsidP="00D853B5">
      <w:pPr>
        <w:spacing w:after="0" w:line="480" w:lineRule="auto"/>
        <w:jc w:val="both"/>
        <w:rPr>
          <w:b/>
          <w:bCs/>
          <w:sz w:val="24"/>
          <w:szCs w:val="24"/>
        </w:rPr>
      </w:pPr>
      <w:r w:rsidRPr="003277C2">
        <w:rPr>
          <w:b/>
          <w:bCs/>
          <w:sz w:val="24"/>
          <w:szCs w:val="24"/>
        </w:rPr>
        <w:t xml:space="preserve">Socio-demographic </w:t>
      </w:r>
      <w:r w:rsidR="002D74A8">
        <w:rPr>
          <w:b/>
          <w:bCs/>
          <w:sz w:val="24"/>
          <w:szCs w:val="24"/>
        </w:rPr>
        <w:t xml:space="preserve">and </w:t>
      </w:r>
      <w:r w:rsidR="002D74A8" w:rsidRPr="002D74A8">
        <w:rPr>
          <w:b/>
          <w:sz w:val="24"/>
          <w:szCs w:val="24"/>
        </w:rPr>
        <w:t xml:space="preserve">anthropometric </w:t>
      </w:r>
      <w:r w:rsidRPr="002D74A8">
        <w:rPr>
          <w:b/>
          <w:bCs/>
          <w:sz w:val="24"/>
          <w:szCs w:val="24"/>
        </w:rPr>
        <w:t>f</w:t>
      </w:r>
      <w:r w:rsidRPr="003277C2">
        <w:rPr>
          <w:b/>
          <w:bCs/>
          <w:sz w:val="24"/>
          <w:szCs w:val="24"/>
        </w:rPr>
        <w:t>actors associated with HRQOL</w:t>
      </w:r>
      <w:r w:rsidR="00517CFD">
        <w:rPr>
          <w:b/>
          <w:bCs/>
          <w:sz w:val="24"/>
          <w:szCs w:val="24"/>
        </w:rPr>
        <w:t xml:space="preserve"> </w:t>
      </w:r>
    </w:p>
    <w:p w14:paraId="55793F92" w14:textId="022230D2" w:rsidR="00EC7C52" w:rsidRDefault="006A2CA5" w:rsidP="003277C2">
      <w:pPr>
        <w:spacing w:after="0" w:line="480" w:lineRule="auto"/>
        <w:jc w:val="both"/>
        <w:rPr>
          <w:sz w:val="24"/>
          <w:szCs w:val="24"/>
        </w:rPr>
      </w:pPr>
      <w:r>
        <w:rPr>
          <w:sz w:val="24"/>
          <w:szCs w:val="24"/>
        </w:rPr>
        <w:t xml:space="preserve">Older </w:t>
      </w:r>
      <w:r w:rsidR="003C1178">
        <w:rPr>
          <w:sz w:val="24"/>
          <w:szCs w:val="24"/>
        </w:rPr>
        <w:t>age</w:t>
      </w:r>
      <w:r w:rsidR="00E57C26">
        <w:rPr>
          <w:sz w:val="24"/>
          <w:szCs w:val="24"/>
        </w:rPr>
        <w:t xml:space="preserve"> (SF-36 PF10</w:t>
      </w:r>
      <w:r w:rsidR="00592D5B" w:rsidRPr="00592D5B">
        <w:rPr>
          <w:sz w:val="24"/>
          <w:szCs w:val="24"/>
        </w:rPr>
        <w:t xml:space="preserve"> β=</w:t>
      </w:r>
      <w:r w:rsidR="007270D0" w:rsidRPr="007270D0">
        <w:rPr>
          <w:sz w:val="24"/>
          <w:szCs w:val="24"/>
        </w:rPr>
        <w:t>-0.74(-0.90, -0.58)</w:t>
      </w:r>
      <w:r w:rsidR="00304164">
        <w:rPr>
          <w:sz w:val="24"/>
          <w:szCs w:val="24"/>
        </w:rPr>
        <w:t>)</w:t>
      </w:r>
      <w:r w:rsidR="00E57C26">
        <w:rPr>
          <w:sz w:val="24"/>
          <w:szCs w:val="24"/>
        </w:rPr>
        <w:t xml:space="preserve">, </w:t>
      </w:r>
      <w:r w:rsidR="003C1178">
        <w:rPr>
          <w:sz w:val="24"/>
          <w:szCs w:val="24"/>
        </w:rPr>
        <w:t>being female</w:t>
      </w:r>
      <w:r w:rsidR="00E57C26">
        <w:rPr>
          <w:sz w:val="24"/>
          <w:szCs w:val="24"/>
        </w:rPr>
        <w:t xml:space="preserve"> (SF-36 PF10</w:t>
      </w:r>
      <w:r w:rsidR="00592D5B" w:rsidRPr="00592D5B">
        <w:rPr>
          <w:sz w:val="24"/>
          <w:szCs w:val="24"/>
        </w:rPr>
        <w:t xml:space="preserve"> β=</w:t>
      </w:r>
      <w:r w:rsidR="002F69DE">
        <w:rPr>
          <w:sz w:val="24"/>
          <w:szCs w:val="24"/>
        </w:rPr>
        <w:t xml:space="preserve">-12.84(-17.89, </w:t>
      </w:r>
      <w:r w:rsidR="007270D0" w:rsidRPr="007270D0">
        <w:rPr>
          <w:sz w:val="24"/>
          <w:szCs w:val="24"/>
        </w:rPr>
        <w:t>-7.80)</w:t>
      </w:r>
      <w:r w:rsidR="00E57C26">
        <w:rPr>
          <w:sz w:val="24"/>
          <w:szCs w:val="24"/>
        </w:rPr>
        <w:t>,</w:t>
      </w:r>
      <w:r w:rsidR="007270D0">
        <w:rPr>
          <w:sz w:val="24"/>
          <w:szCs w:val="24"/>
        </w:rPr>
        <w:t xml:space="preserve"> </w:t>
      </w:r>
      <w:r w:rsidR="00E57C26">
        <w:rPr>
          <w:sz w:val="24"/>
          <w:szCs w:val="24"/>
        </w:rPr>
        <w:t>HAQ-DI</w:t>
      </w:r>
      <w:r w:rsidR="00592D5B" w:rsidRPr="00592D5B">
        <w:rPr>
          <w:sz w:val="24"/>
          <w:szCs w:val="24"/>
        </w:rPr>
        <w:t xml:space="preserve"> β=</w:t>
      </w:r>
      <w:r w:rsidR="007270D0" w:rsidRPr="007270D0">
        <w:rPr>
          <w:sz w:val="24"/>
          <w:szCs w:val="24"/>
        </w:rPr>
        <w:t>0.17(0.03, 0.30)</w:t>
      </w:r>
      <w:r w:rsidR="00E57C26">
        <w:rPr>
          <w:sz w:val="24"/>
          <w:szCs w:val="24"/>
        </w:rPr>
        <w:t>)</w:t>
      </w:r>
      <w:r w:rsidR="00AB3FB7">
        <w:rPr>
          <w:sz w:val="24"/>
          <w:szCs w:val="24"/>
        </w:rPr>
        <w:t>, and higher BMI</w:t>
      </w:r>
      <w:r w:rsidR="00E57C26">
        <w:rPr>
          <w:sz w:val="24"/>
          <w:szCs w:val="24"/>
        </w:rPr>
        <w:t xml:space="preserve"> (HAQ-DI</w:t>
      </w:r>
      <w:r w:rsidR="00592D5B" w:rsidRPr="00592D5B">
        <w:rPr>
          <w:sz w:val="24"/>
          <w:szCs w:val="24"/>
        </w:rPr>
        <w:t xml:space="preserve"> β=</w:t>
      </w:r>
      <w:r w:rsidR="007270D0" w:rsidRPr="007270D0">
        <w:rPr>
          <w:sz w:val="24"/>
          <w:szCs w:val="24"/>
        </w:rPr>
        <w:t>0.01(0.00, 0.01)</w:t>
      </w:r>
      <w:r w:rsidR="00E57C26">
        <w:rPr>
          <w:sz w:val="24"/>
          <w:szCs w:val="24"/>
        </w:rPr>
        <w:t>)</w:t>
      </w:r>
      <w:r w:rsidRPr="006A2CA5">
        <w:rPr>
          <w:sz w:val="24"/>
          <w:szCs w:val="24"/>
        </w:rPr>
        <w:t xml:space="preserve"> </w:t>
      </w:r>
      <w:r>
        <w:rPr>
          <w:sz w:val="24"/>
          <w:szCs w:val="24"/>
        </w:rPr>
        <w:t>were associated with worse outcome over three years</w:t>
      </w:r>
      <w:r w:rsidR="00380BAD">
        <w:rPr>
          <w:sz w:val="24"/>
          <w:szCs w:val="24"/>
        </w:rPr>
        <w:t xml:space="preserve"> </w:t>
      </w:r>
      <w:r w:rsidR="00380BAD" w:rsidRPr="00874CF8">
        <w:rPr>
          <w:sz w:val="24"/>
          <w:szCs w:val="24"/>
        </w:rPr>
        <w:t>(</w:t>
      </w:r>
      <w:r w:rsidR="00380BAD" w:rsidRPr="009367C4">
        <w:rPr>
          <w:sz w:val="24"/>
          <w:szCs w:val="24"/>
        </w:rPr>
        <w:t>table</w:t>
      </w:r>
      <w:r w:rsidR="00544F92" w:rsidRPr="00504759">
        <w:rPr>
          <w:sz w:val="24"/>
          <w:szCs w:val="24"/>
        </w:rPr>
        <w:t xml:space="preserve"> </w:t>
      </w:r>
      <w:r w:rsidR="002F154C" w:rsidRPr="00533CDB">
        <w:rPr>
          <w:sz w:val="24"/>
          <w:szCs w:val="24"/>
        </w:rPr>
        <w:t>3</w:t>
      </w:r>
      <w:r w:rsidR="00380BAD" w:rsidRPr="00504759">
        <w:rPr>
          <w:sz w:val="24"/>
          <w:szCs w:val="24"/>
        </w:rPr>
        <w:t>)</w:t>
      </w:r>
      <w:r w:rsidR="003C1178" w:rsidRPr="00504759">
        <w:rPr>
          <w:sz w:val="24"/>
          <w:szCs w:val="24"/>
        </w:rPr>
        <w:t xml:space="preserve">.  </w:t>
      </w:r>
      <w:r w:rsidR="003277C2">
        <w:rPr>
          <w:sz w:val="24"/>
          <w:szCs w:val="24"/>
        </w:rPr>
        <w:t xml:space="preserve">Socio-demographic factors associated with </w:t>
      </w:r>
      <w:r w:rsidR="00517CFD">
        <w:rPr>
          <w:sz w:val="24"/>
          <w:szCs w:val="24"/>
        </w:rPr>
        <w:t>better</w:t>
      </w:r>
      <w:r w:rsidR="003277C2">
        <w:rPr>
          <w:sz w:val="24"/>
          <w:szCs w:val="24"/>
        </w:rPr>
        <w:t xml:space="preserve"> </w:t>
      </w:r>
      <w:r w:rsidR="00AF1292">
        <w:rPr>
          <w:sz w:val="24"/>
          <w:szCs w:val="24"/>
        </w:rPr>
        <w:t>outcomes</w:t>
      </w:r>
      <w:r w:rsidR="003277C2">
        <w:rPr>
          <w:sz w:val="24"/>
          <w:szCs w:val="24"/>
        </w:rPr>
        <w:t xml:space="preserve"> </w:t>
      </w:r>
      <w:r w:rsidR="00806DC2">
        <w:rPr>
          <w:sz w:val="24"/>
          <w:szCs w:val="24"/>
        </w:rPr>
        <w:t>were</w:t>
      </w:r>
      <w:r w:rsidR="003277C2">
        <w:rPr>
          <w:sz w:val="24"/>
          <w:szCs w:val="24"/>
        </w:rPr>
        <w:t xml:space="preserve">: </w:t>
      </w:r>
      <w:r w:rsidR="003C1178">
        <w:rPr>
          <w:sz w:val="24"/>
          <w:szCs w:val="24"/>
        </w:rPr>
        <w:t>older age</w:t>
      </w:r>
      <w:r w:rsidR="00E57C26">
        <w:rPr>
          <w:sz w:val="24"/>
          <w:szCs w:val="24"/>
        </w:rPr>
        <w:t xml:space="preserve"> (GIS CO</w:t>
      </w:r>
      <w:r w:rsidR="00592D5B" w:rsidRPr="00592D5B">
        <w:rPr>
          <w:sz w:val="24"/>
          <w:szCs w:val="24"/>
        </w:rPr>
        <w:t xml:space="preserve"> β=</w:t>
      </w:r>
      <w:r w:rsidR="007270D0" w:rsidRPr="007270D0">
        <w:rPr>
          <w:sz w:val="24"/>
          <w:szCs w:val="24"/>
        </w:rPr>
        <w:t>-0.53(-0.69, 0.37)</w:t>
      </w:r>
      <w:r w:rsidR="00E57C26">
        <w:rPr>
          <w:sz w:val="24"/>
          <w:szCs w:val="24"/>
        </w:rPr>
        <w:t>, MSE</w:t>
      </w:r>
      <w:r w:rsidR="00592D5B" w:rsidRPr="00592D5B">
        <w:rPr>
          <w:sz w:val="24"/>
          <w:szCs w:val="24"/>
        </w:rPr>
        <w:t xml:space="preserve"> β=</w:t>
      </w:r>
      <w:r w:rsidR="007270D0" w:rsidRPr="007270D0">
        <w:rPr>
          <w:sz w:val="24"/>
          <w:szCs w:val="24"/>
        </w:rPr>
        <w:t>-0.27(-0.45, -0.10)</w:t>
      </w:r>
      <w:r w:rsidR="00E57C26">
        <w:rPr>
          <w:sz w:val="24"/>
          <w:szCs w:val="24"/>
        </w:rPr>
        <w:t>, WBDA</w:t>
      </w:r>
      <w:r w:rsidR="00592D5B" w:rsidRPr="00592D5B">
        <w:rPr>
          <w:sz w:val="24"/>
          <w:szCs w:val="24"/>
        </w:rPr>
        <w:t xml:space="preserve"> β=</w:t>
      </w:r>
      <w:r w:rsidR="007270D0" w:rsidRPr="007270D0">
        <w:rPr>
          <w:sz w:val="24"/>
          <w:szCs w:val="24"/>
        </w:rPr>
        <w:t>-0.43(-0.60, -0.26)</w:t>
      </w:r>
      <w:r w:rsidR="00E57C26">
        <w:rPr>
          <w:sz w:val="24"/>
          <w:szCs w:val="24"/>
        </w:rPr>
        <w:t>, CDA</w:t>
      </w:r>
      <w:r w:rsidR="00592D5B" w:rsidRPr="00592D5B">
        <w:rPr>
          <w:sz w:val="24"/>
          <w:szCs w:val="24"/>
        </w:rPr>
        <w:t xml:space="preserve"> β=</w:t>
      </w:r>
      <w:r w:rsidR="007270D0">
        <w:rPr>
          <w:sz w:val="24"/>
          <w:szCs w:val="24"/>
        </w:rPr>
        <w:t xml:space="preserve">-0.25(-0.40, </w:t>
      </w:r>
      <w:r w:rsidR="007270D0" w:rsidRPr="007270D0">
        <w:rPr>
          <w:sz w:val="24"/>
          <w:szCs w:val="24"/>
        </w:rPr>
        <w:t>-0.10)</w:t>
      </w:r>
      <w:r w:rsidR="00E57C26">
        <w:rPr>
          <w:sz w:val="24"/>
          <w:szCs w:val="24"/>
        </w:rPr>
        <w:t>)</w:t>
      </w:r>
      <w:r w:rsidR="006959AC">
        <w:rPr>
          <w:sz w:val="24"/>
          <w:szCs w:val="24"/>
        </w:rPr>
        <w:t>, attendance at further education</w:t>
      </w:r>
      <w:r w:rsidR="00E57C26">
        <w:rPr>
          <w:sz w:val="24"/>
          <w:szCs w:val="24"/>
        </w:rPr>
        <w:t xml:space="preserve"> (GIS UTN</w:t>
      </w:r>
      <w:r w:rsidR="00592D5B" w:rsidRPr="00592D5B">
        <w:rPr>
          <w:sz w:val="24"/>
          <w:szCs w:val="24"/>
        </w:rPr>
        <w:t xml:space="preserve"> β=</w:t>
      </w:r>
      <w:r w:rsidR="007270D0" w:rsidRPr="007270D0">
        <w:rPr>
          <w:sz w:val="24"/>
          <w:szCs w:val="24"/>
        </w:rPr>
        <w:t>-2.53(-5.05, -0.02)</w:t>
      </w:r>
      <w:r w:rsidR="00E57C26">
        <w:rPr>
          <w:sz w:val="24"/>
          <w:szCs w:val="24"/>
        </w:rPr>
        <w:t>, WBDA</w:t>
      </w:r>
      <w:r w:rsidR="00592D5B" w:rsidRPr="00592D5B">
        <w:rPr>
          <w:sz w:val="24"/>
          <w:szCs w:val="24"/>
        </w:rPr>
        <w:t xml:space="preserve"> β=</w:t>
      </w:r>
      <w:r w:rsidR="007270D0" w:rsidRPr="007270D0">
        <w:rPr>
          <w:sz w:val="24"/>
          <w:szCs w:val="24"/>
        </w:rPr>
        <w:t>-3.98(-7.88, -0.08)</w:t>
      </w:r>
      <w:r w:rsidR="00E57C26">
        <w:rPr>
          <w:sz w:val="24"/>
          <w:szCs w:val="24"/>
        </w:rPr>
        <w:t>)</w:t>
      </w:r>
      <w:r w:rsidR="006959AC">
        <w:rPr>
          <w:sz w:val="24"/>
          <w:szCs w:val="24"/>
        </w:rPr>
        <w:t>, living in a less socioeconomically deprived area (IMD score)</w:t>
      </w:r>
      <w:r w:rsidR="00E57C26">
        <w:rPr>
          <w:sz w:val="24"/>
          <w:szCs w:val="24"/>
        </w:rPr>
        <w:t xml:space="preserve"> (SF-36 PF10</w:t>
      </w:r>
      <w:r w:rsidR="00592D5B" w:rsidRPr="00592D5B">
        <w:rPr>
          <w:sz w:val="24"/>
          <w:szCs w:val="24"/>
        </w:rPr>
        <w:t xml:space="preserve"> β=</w:t>
      </w:r>
      <w:r w:rsidR="007270D0" w:rsidRPr="007270D0">
        <w:rPr>
          <w:sz w:val="24"/>
          <w:szCs w:val="24"/>
        </w:rPr>
        <w:t>0.60(0.04, 1.16)</w:t>
      </w:r>
      <w:r w:rsidR="006855DC">
        <w:rPr>
          <w:sz w:val="24"/>
          <w:szCs w:val="24"/>
        </w:rPr>
        <w:t>)</w:t>
      </w:r>
      <w:r w:rsidR="00E57C26">
        <w:rPr>
          <w:sz w:val="24"/>
          <w:szCs w:val="24"/>
        </w:rPr>
        <w:t xml:space="preserve">, </w:t>
      </w:r>
      <w:r w:rsidR="00517CFD">
        <w:rPr>
          <w:sz w:val="24"/>
          <w:szCs w:val="24"/>
        </w:rPr>
        <w:t xml:space="preserve"> </w:t>
      </w:r>
      <w:r w:rsidR="00EF79D8">
        <w:rPr>
          <w:sz w:val="24"/>
          <w:szCs w:val="24"/>
        </w:rPr>
        <w:t xml:space="preserve">and </w:t>
      </w:r>
      <w:r w:rsidR="006959AC">
        <w:rPr>
          <w:sz w:val="24"/>
          <w:szCs w:val="24"/>
        </w:rPr>
        <w:t xml:space="preserve">consuming alcohol </w:t>
      </w:r>
      <w:r w:rsidR="00E57C26">
        <w:rPr>
          <w:sz w:val="24"/>
          <w:szCs w:val="24"/>
        </w:rPr>
        <w:t>(</w:t>
      </w:r>
      <w:r w:rsidR="007270D0">
        <w:rPr>
          <w:sz w:val="24"/>
          <w:szCs w:val="24"/>
        </w:rPr>
        <w:t xml:space="preserve">Daily or almost daily </w:t>
      </w:r>
      <w:r w:rsidR="00E57C26">
        <w:rPr>
          <w:sz w:val="24"/>
          <w:szCs w:val="24"/>
        </w:rPr>
        <w:t>GIS WBDA</w:t>
      </w:r>
      <w:r w:rsidR="00592D5B" w:rsidRPr="00592D5B">
        <w:rPr>
          <w:sz w:val="24"/>
          <w:szCs w:val="24"/>
        </w:rPr>
        <w:t xml:space="preserve"> β=</w:t>
      </w:r>
      <w:r w:rsidR="007270D0" w:rsidRPr="007270D0">
        <w:rPr>
          <w:sz w:val="24"/>
          <w:szCs w:val="24"/>
        </w:rPr>
        <w:t>-7.84(-14.62, -1.06)</w:t>
      </w:r>
      <w:r w:rsidR="00E57C26">
        <w:rPr>
          <w:sz w:val="24"/>
          <w:szCs w:val="24"/>
        </w:rPr>
        <w:t>, SF-36 PF10</w:t>
      </w:r>
      <w:r w:rsidR="00592D5B" w:rsidRPr="00592D5B">
        <w:rPr>
          <w:sz w:val="24"/>
          <w:szCs w:val="24"/>
        </w:rPr>
        <w:t xml:space="preserve"> β=</w:t>
      </w:r>
      <w:r w:rsidR="007270D0" w:rsidRPr="007270D0">
        <w:rPr>
          <w:sz w:val="24"/>
          <w:szCs w:val="24"/>
        </w:rPr>
        <w:t>14.23(7.11, 21.35)</w:t>
      </w:r>
      <w:r w:rsidR="00E57C26">
        <w:rPr>
          <w:sz w:val="24"/>
          <w:szCs w:val="24"/>
        </w:rPr>
        <w:t>, HAQ-DI</w:t>
      </w:r>
      <w:r w:rsidR="007270D0" w:rsidRPr="007270D0">
        <w:rPr>
          <w:sz w:val="24"/>
          <w:szCs w:val="24"/>
        </w:rPr>
        <w:t xml:space="preserve"> </w:t>
      </w:r>
      <w:r w:rsidR="007270D0" w:rsidRPr="00592D5B">
        <w:rPr>
          <w:sz w:val="24"/>
          <w:szCs w:val="24"/>
        </w:rPr>
        <w:t>β=</w:t>
      </w:r>
      <w:r w:rsidR="007270D0" w:rsidRPr="007270D0">
        <w:rPr>
          <w:sz w:val="24"/>
          <w:szCs w:val="24"/>
        </w:rPr>
        <w:t>-0.30(-0.49, -0.12)</w:t>
      </w:r>
      <w:r w:rsidR="00E57C26">
        <w:rPr>
          <w:sz w:val="24"/>
          <w:szCs w:val="24"/>
        </w:rPr>
        <w:t xml:space="preserve">) </w:t>
      </w:r>
      <w:r w:rsidR="00380BAD" w:rsidRPr="00874CF8">
        <w:rPr>
          <w:sz w:val="24"/>
          <w:szCs w:val="24"/>
        </w:rPr>
        <w:t>(</w:t>
      </w:r>
      <w:r w:rsidR="00AA54C5" w:rsidRPr="009367C4">
        <w:rPr>
          <w:sz w:val="24"/>
          <w:szCs w:val="24"/>
        </w:rPr>
        <w:t>table</w:t>
      </w:r>
      <w:r w:rsidR="003C2E4C" w:rsidRPr="00504759">
        <w:rPr>
          <w:sz w:val="24"/>
          <w:szCs w:val="24"/>
        </w:rPr>
        <w:t xml:space="preserve"> </w:t>
      </w:r>
      <w:r w:rsidR="002F154C" w:rsidRPr="00533CDB">
        <w:rPr>
          <w:sz w:val="24"/>
          <w:szCs w:val="24"/>
        </w:rPr>
        <w:t>3</w:t>
      </w:r>
      <w:r w:rsidR="00380BAD" w:rsidRPr="00874CF8">
        <w:rPr>
          <w:sz w:val="24"/>
          <w:szCs w:val="24"/>
        </w:rPr>
        <w:t>)</w:t>
      </w:r>
      <w:r w:rsidR="006959AC" w:rsidRPr="00874CF8">
        <w:rPr>
          <w:sz w:val="24"/>
          <w:szCs w:val="24"/>
        </w:rPr>
        <w:t>.</w:t>
      </w:r>
    </w:p>
    <w:p w14:paraId="58DB3DE8" w14:textId="13C88BBA" w:rsidR="00EF25DF" w:rsidRPr="00C7176B" w:rsidRDefault="00EF25DF" w:rsidP="003277C2">
      <w:pPr>
        <w:spacing w:after="0" w:line="480" w:lineRule="auto"/>
        <w:jc w:val="both"/>
        <w:rPr>
          <w:sz w:val="24"/>
          <w:szCs w:val="24"/>
        </w:rPr>
      </w:pPr>
      <w:r w:rsidRPr="00C23058">
        <w:rPr>
          <w:rFonts w:cstheme="minorHAnsi"/>
          <w:sz w:val="24"/>
          <w:szCs w:val="24"/>
        </w:rPr>
        <w:t xml:space="preserve">The statistically significant beta coefficients for both older age and deprivation and HAQ-DI do not have interpretability as the associations between both older age and deprivation and HAQ-DI </w:t>
      </w:r>
      <w:r w:rsidR="00D83E28">
        <w:rPr>
          <w:rFonts w:cstheme="minorHAnsi"/>
          <w:sz w:val="24"/>
          <w:szCs w:val="24"/>
        </w:rPr>
        <w:t xml:space="preserve">varied with time </w:t>
      </w:r>
      <w:r w:rsidRPr="00C23058">
        <w:rPr>
          <w:rFonts w:cstheme="minorHAnsi"/>
          <w:sz w:val="24"/>
          <w:szCs w:val="24"/>
        </w:rPr>
        <w:t>(see ‘Interactions with time’ section).</w:t>
      </w:r>
    </w:p>
    <w:p w14:paraId="65D5D60F" w14:textId="4C147D45" w:rsidR="003C2E4C" w:rsidRPr="005470FE" w:rsidRDefault="003C2E4C" w:rsidP="003277C2">
      <w:pPr>
        <w:spacing w:after="0" w:line="480" w:lineRule="auto"/>
        <w:jc w:val="both"/>
        <w:rPr>
          <w:b/>
          <w:sz w:val="24"/>
          <w:szCs w:val="24"/>
        </w:rPr>
      </w:pPr>
      <w:r w:rsidRPr="00E27135">
        <w:rPr>
          <w:b/>
          <w:sz w:val="24"/>
          <w:szCs w:val="24"/>
        </w:rPr>
        <w:lastRenderedPageBreak/>
        <w:t>Interactions with time</w:t>
      </w:r>
    </w:p>
    <w:p w14:paraId="23FB6BD1" w14:textId="229783D4" w:rsidR="00A916C0" w:rsidRDefault="00B36A5E" w:rsidP="00D853B5">
      <w:pPr>
        <w:spacing w:after="0" w:line="480" w:lineRule="auto"/>
        <w:jc w:val="both"/>
        <w:rPr>
          <w:sz w:val="24"/>
          <w:szCs w:val="24"/>
        </w:rPr>
      </w:pPr>
      <w:r w:rsidRPr="004D60CA">
        <w:rPr>
          <w:sz w:val="24"/>
          <w:szCs w:val="24"/>
        </w:rPr>
        <w:t>The interactions for the following variables and time were retained in the following LMM models; experiencing a current flare (GIS WBDA, GIS CDA models)</w:t>
      </w:r>
      <w:r w:rsidR="0047200C" w:rsidRPr="004D60CA">
        <w:rPr>
          <w:sz w:val="24"/>
          <w:szCs w:val="24"/>
        </w:rPr>
        <w:t xml:space="preserve"> (table 2)</w:t>
      </w:r>
      <w:r w:rsidRPr="004D60CA">
        <w:rPr>
          <w:sz w:val="24"/>
          <w:szCs w:val="24"/>
        </w:rPr>
        <w:t>, non-White European (GIS CDA), age (HAQ-DI) and indices of multiple deprivation (HAQ-DI)</w:t>
      </w:r>
      <w:r w:rsidR="0047200C" w:rsidRPr="004D60CA">
        <w:rPr>
          <w:sz w:val="24"/>
          <w:szCs w:val="24"/>
        </w:rPr>
        <w:t xml:space="preserve"> (table 3)</w:t>
      </w:r>
      <w:r w:rsidRPr="004D60CA">
        <w:rPr>
          <w:sz w:val="24"/>
          <w:szCs w:val="24"/>
        </w:rPr>
        <w:t>.</w:t>
      </w:r>
      <w:r w:rsidR="002F3281" w:rsidRPr="004D60CA">
        <w:rPr>
          <w:sz w:val="24"/>
          <w:szCs w:val="24"/>
        </w:rPr>
        <w:t xml:space="preserve"> </w:t>
      </w:r>
      <w:r w:rsidR="00B91F10" w:rsidRPr="004D60CA">
        <w:rPr>
          <w:sz w:val="24"/>
          <w:szCs w:val="24"/>
        </w:rPr>
        <w:t>The</w:t>
      </w:r>
      <w:r w:rsidR="00B24D93" w:rsidRPr="004D60CA">
        <w:rPr>
          <w:sz w:val="24"/>
          <w:szCs w:val="24"/>
        </w:rPr>
        <w:t>se</w:t>
      </w:r>
      <w:r w:rsidR="00B91F10" w:rsidRPr="004D60CA">
        <w:rPr>
          <w:sz w:val="24"/>
          <w:szCs w:val="24"/>
        </w:rPr>
        <w:t xml:space="preserve"> interactions indicate that the change in HRQOL associated with these particular variables was not the same at each time-point.  </w:t>
      </w:r>
      <w:r w:rsidR="004D60CA" w:rsidRPr="004D60CA">
        <w:rPr>
          <w:sz w:val="24"/>
          <w:szCs w:val="24"/>
        </w:rPr>
        <w:t>For example, the interaction between non-White European and time indicates that the relationship between GIS WBDA and time is different depending on whether or not someone is non-White European</w:t>
      </w:r>
      <w:r w:rsidR="00F70436">
        <w:rPr>
          <w:sz w:val="24"/>
          <w:szCs w:val="24"/>
        </w:rPr>
        <w:t>.</w:t>
      </w:r>
      <w:r w:rsidR="00F61E40">
        <w:rPr>
          <w:sz w:val="24"/>
          <w:szCs w:val="24"/>
        </w:rPr>
        <w:t xml:space="preserve"> </w:t>
      </w:r>
      <w:r w:rsidR="00104AD8">
        <w:rPr>
          <w:sz w:val="24"/>
          <w:szCs w:val="24"/>
        </w:rPr>
        <w:t xml:space="preserve">  </w:t>
      </w:r>
    </w:p>
    <w:p w14:paraId="2130EC85" w14:textId="352C0CAA" w:rsidR="009E228C" w:rsidRPr="00607B24" w:rsidRDefault="00A12A22" w:rsidP="00D853B5">
      <w:pPr>
        <w:spacing w:after="0" w:line="480" w:lineRule="auto"/>
        <w:jc w:val="both"/>
        <w:rPr>
          <w:b/>
          <w:sz w:val="24"/>
          <w:szCs w:val="24"/>
        </w:rPr>
      </w:pPr>
      <w:r>
        <w:rPr>
          <w:b/>
          <w:sz w:val="24"/>
          <w:szCs w:val="24"/>
        </w:rPr>
        <w:t>Linear Mixed Model</w:t>
      </w:r>
    </w:p>
    <w:p w14:paraId="02FE2737" w14:textId="686D424B" w:rsidR="009E228C" w:rsidRPr="002C60A0" w:rsidRDefault="00DD5A4A" w:rsidP="00D853B5">
      <w:pPr>
        <w:spacing w:after="0" w:line="480" w:lineRule="auto"/>
        <w:jc w:val="both"/>
        <w:rPr>
          <w:color w:val="FF0000"/>
          <w:sz w:val="24"/>
          <w:szCs w:val="24"/>
        </w:rPr>
      </w:pPr>
      <w:r w:rsidRPr="00607B24">
        <w:rPr>
          <w:rStyle w:val="normaltextrun"/>
          <w:rFonts w:cstheme="minorHAnsi"/>
          <w:color w:val="000000"/>
          <w:sz w:val="24"/>
          <w:szCs w:val="24"/>
          <w:shd w:val="clear" w:color="auto" w:fill="FFFFFF"/>
        </w:rPr>
        <w:t>The linear mixed model is a reasonable approximation to the d</w:t>
      </w:r>
      <w:r w:rsidR="00A12A22" w:rsidRPr="00607B24">
        <w:rPr>
          <w:rStyle w:val="normaltextrun"/>
          <w:rFonts w:cstheme="minorHAnsi"/>
          <w:color w:val="000000"/>
          <w:sz w:val="24"/>
          <w:szCs w:val="24"/>
          <w:shd w:val="clear" w:color="auto" w:fill="FFFFFF"/>
        </w:rPr>
        <w:t>ata as evidence by the pseudo r-</w:t>
      </w:r>
      <w:r w:rsidR="008703BF">
        <w:rPr>
          <w:rStyle w:val="normaltextrun"/>
          <w:rFonts w:cstheme="minorHAnsi"/>
          <w:color w:val="000000"/>
          <w:sz w:val="24"/>
          <w:szCs w:val="24"/>
          <w:shd w:val="clear" w:color="auto" w:fill="FFFFFF"/>
        </w:rPr>
        <w:t>squared values (table S4</w:t>
      </w:r>
      <w:r w:rsidRPr="00607B24">
        <w:rPr>
          <w:rStyle w:val="normaltextrun"/>
          <w:rFonts w:cstheme="minorHAnsi"/>
          <w:color w:val="000000"/>
          <w:sz w:val="24"/>
          <w:szCs w:val="24"/>
          <w:shd w:val="clear" w:color="auto" w:fill="FFFFFF"/>
        </w:rPr>
        <w:t xml:space="preserve">), the residuals showed no evidence </w:t>
      </w:r>
      <w:r w:rsidRPr="00607B24">
        <w:rPr>
          <w:rStyle w:val="normaltextrun"/>
          <w:rFonts w:cstheme="minorHAnsi"/>
          <w:sz w:val="24"/>
          <w:szCs w:val="24"/>
          <w:shd w:val="clear" w:color="auto" w:fill="FFFFFF"/>
        </w:rPr>
        <w:t xml:space="preserve">of </w:t>
      </w:r>
      <w:r w:rsidR="0031464D">
        <w:rPr>
          <w:rFonts w:cstheme="minorHAnsi"/>
          <w:sz w:val="24"/>
          <w:szCs w:val="24"/>
          <w:shd w:val="clear" w:color="auto" w:fill="FFFFFF"/>
        </w:rPr>
        <w:t>heterosk</w:t>
      </w:r>
      <w:r w:rsidR="0031464D" w:rsidRPr="00607B24">
        <w:rPr>
          <w:rFonts w:cstheme="minorHAnsi"/>
          <w:sz w:val="24"/>
          <w:szCs w:val="24"/>
          <w:shd w:val="clear" w:color="auto" w:fill="FFFFFF"/>
        </w:rPr>
        <w:t xml:space="preserve">edasticity </w:t>
      </w:r>
      <w:r w:rsidR="0031464D" w:rsidRPr="00607B24">
        <w:rPr>
          <w:rStyle w:val="normaltextrun"/>
          <w:rFonts w:cstheme="minorHAnsi"/>
          <w:color w:val="000000"/>
          <w:sz w:val="24"/>
          <w:szCs w:val="24"/>
          <w:shd w:val="clear" w:color="auto" w:fill="FFFFFF"/>
        </w:rPr>
        <w:t xml:space="preserve">or </w:t>
      </w:r>
      <w:r w:rsidRPr="00607B24">
        <w:rPr>
          <w:rStyle w:val="normaltextrun"/>
          <w:rFonts w:cstheme="minorHAnsi"/>
          <w:color w:val="000000"/>
          <w:sz w:val="24"/>
          <w:szCs w:val="24"/>
          <w:shd w:val="clear" w:color="auto" w:fill="FFFFFF"/>
        </w:rPr>
        <w:t>heterogeneity</w:t>
      </w:r>
      <w:r w:rsidR="0031464D">
        <w:rPr>
          <w:rStyle w:val="normaltextrun"/>
          <w:rFonts w:cstheme="minorHAnsi"/>
          <w:color w:val="000000"/>
          <w:sz w:val="24"/>
          <w:szCs w:val="24"/>
          <w:shd w:val="clear" w:color="auto" w:fill="FFFFFF"/>
        </w:rPr>
        <w:t xml:space="preserve">, </w:t>
      </w:r>
      <w:r w:rsidRPr="00607B24">
        <w:rPr>
          <w:rStyle w:val="normaltextrun"/>
          <w:rFonts w:cstheme="minorHAnsi"/>
          <w:color w:val="000000"/>
          <w:sz w:val="24"/>
          <w:szCs w:val="24"/>
          <w:shd w:val="clear" w:color="auto" w:fill="FFFFFF"/>
        </w:rPr>
        <w:t>and were</w:t>
      </w:r>
      <w:r w:rsidR="008703BF">
        <w:rPr>
          <w:rStyle w:val="normaltextrun"/>
          <w:rFonts w:cstheme="minorHAnsi"/>
          <w:color w:val="000000"/>
          <w:sz w:val="24"/>
          <w:szCs w:val="24"/>
          <w:shd w:val="clear" w:color="auto" w:fill="FFFFFF"/>
        </w:rPr>
        <w:t xml:space="preserve"> normally distributed (figure S3</w:t>
      </w:r>
      <w:r w:rsidRPr="00607B24">
        <w:rPr>
          <w:rStyle w:val="normaltextrun"/>
          <w:rFonts w:cstheme="minorHAnsi"/>
          <w:color w:val="000000"/>
          <w:sz w:val="24"/>
          <w:szCs w:val="24"/>
          <w:shd w:val="clear" w:color="auto" w:fill="FFFFFF"/>
        </w:rPr>
        <w:t>)</w:t>
      </w:r>
      <w:r w:rsidR="00F608FC">
        <w:rPr>
          <w:rStyle w:val="normaltextrun"/>
          <w:rFonts w:cstheme="minorHAnsi"/>
          <w:color w:val="000000"/>
          <w:sz w:val="24"/>
          <w:szCs w:val="24"/>
          <w:shd w:val="clear" w:color="auto" w:fill="FFFFFF"/>
        </w:rPr>
        <w:t>. O</w:t>
      </w:r>
      <w:r w:rsidRPr="00607B24">
        <w:rPr>
          <w:rStyle w:val="normaltextrun"/>
          <w:rFonts w:cstheme="minorHAnsi"/>
          <w:color w:val="000000"/>
          <w:sz w:val="24"/>
          <w:szCs w:val="24"/>
          <w:shd w:val="clear" w:color="auto" w:fill="FFFFFF"/>
        </w:rPr>
        <w:t xml:space="preserve">verall a reasonable fit </w:t>
      </w:r>
      <w:r w:rsidR="00F608FC">
        <w:rPr>
          <w:rStyle w:val="normaltextrun"/>
          <w:rFonts w:cstheme="minorHAnsi"/>
          <w:color w:val="000000"/>
          <w:sz w:val="24"/>
          <w:szCs w:val="24"/>
          <w:shd w:val="clear" w:color="auto" w:fill="FFFFFF"/>
        </w:rPr>
        <w:t xml:space="preserve">to the data </w:t>
      </w:r>
      <w:r w:rsidRPr="00607B24">
        <w:rPr>
          <w:rStyle w:val="normaltextrun"/>
          <w:rFonts w:cstheme="minorHAnsi"/>
          <w:color w:val="000000"/>
          <w:sz w:val="24"/>
          <w:szCs w:val="24"/>
          <w:shd w:val="clear" w:color="auto" w:fill="FFFFFF"/>
        </w:rPr>
        <w:t>was observed</w:t>
      </w:r>
      <w:r w:rsidRPr="00607B24">
        <w:rPr>
          <w:rStyle w:val="normaltextrun"/>
          <w:rFonts w:ascii="Calibri" w:hAnsi="Calibri" w:cs="Calibri"/>
          <w:color w:val="000000"/>
          <w:sz w:val="24"/>
          <w:szCs w:val="24"/>
          <w:shd w:val="clear" w:color="auto" w:fill="FFFFFF"/>
        </w:rPr>
        <w:t xml:space="preserve">. </w:t>
      </w:r>
    </w:p>
    <w:p w14:paraId="474A1EC8" w14:textId="77777777" w:rsidR="009E228C" w:rsidRDefault="009E228C" w:rsidP="00D853B5">
      <w:pPr>
        <w:spacing w:after="0" w:line="480" w:lineRule="auto"/>
        <w:jc w:val="both"/>
        <w:rPr>
          <w:sz w:val="24"/>
          <w:szCs w:val="24"/>
        </w:rPr>
      </w:pPr>
    </w:p>
    <w:p w14:paraId="2E3C5C71" w14:textId="5575D1B8" w:rsidR="00907555" w:rsidRPr="00476AC6" w:rsidRDefault="00907555" w:rsidP="00D853B5">
      <w:pPr>
        <w:spacing w:after="0" w:line="480" w:lineRule="auto"/>
        <w:jc w:val="both"/>
        <w:rPr>
          <w:b/>
          <w:bCs/>
          <w:sz w:val="24"/>
          <w:szCs w:val="24"/>
        </w:rPr>
      </w:pPr>
      <w:r w:rsidRPr="00476AC6">
        <w:rPr>
          <w:b/>
          <w:bCs/>
          <w:sz w:val="24"/>
          <w:szCs w:val="24"/>
        </w:rPr>
        <w:t>Discussion</w:t>
      </w:r>
    </w:p>
    <w:p w14:paraId="21A6E254" w14:textId="07DBB20E" w:rsidR="00532F24" w:rsidRPr="00610A56" w:rsidRDefault="00C27901" w:rsidP="004667C4">
      <w:pPr>
        <w:spacing w:after="0" w:line="480" w:lineRule="auto"/>
        <w:jc w:val="both"/>
        <w:rPr>
          <w:sz w:val="24"/>
          <w:szCs w:val="24"/>
        </w:rPr>
      </w:pPr>
      <w:r w:rsidRPr="00C27901">
        <w:rPr>
          <w:sz w:val="24"/>
          <w:szCs w:val="24"/>
        </w:rPr>
        <w:t xml:space="preserve">This large study is the first to investigate </w:t>
      </w:r>
      <w:r>
        <w:rPr>
          <w:sz w:val="24"/>
          <w:szCs w:val="24"/>
        </w:rPr>
        <w:t>the factors associated with change in both disease-specific (GIS subscales)</w:t>
      </w:r>
      <w:r w:rsidRPr="00532F24">
        <w:rPr>
          <w:sz w:val="24"/>
          <w:szCs w:val="24"/>
        </w:rPr>
        <w:t xml:space="preserve"> </w:t>
      </w:r>
      <w:r>
        <w:rPr>
          <w:sz w:val="24"/>
          <w:szCs w:val="24"/>
        </w:rPr>
        <w:t xml:space="preserve">and generic (SF-36 PF10, HAQ-DI) </w:t>
      </w:r>
      <w:r w:rsidRPr="00C27901">
        <w:rPr>
          <w:sz w:val="24"/>
          <w:szCs w:val="24"/>
        </w:rPr>
        <w:t xml:space="preserve">HRQOL </w:t>
      </w:r>
      <w:r w:rsidR="00AF72EB">
        <w:rPr>
          <w:sz w:val="24"/>
          <w:szCs w:val="24"/>
        </w:rPr>
        <w:t xml:space="preserve">over time </w:t>
      </w:r>
      <w:r w:rsidRPr="00C27901">
        <w:rPr>
          <w:sz w:val="24"/>
          <w:szCs w:val="24"/>
        </w:rPr>
        <w:t xml:space="preserve">in </w:t>
      </w:r>
      <w:r>
        <w:rPr>
          <w:sz w:val="24"/>
          <w:szCs w:val="24"/>
        </w:rPr>
        <w:t xml:space="preserve">a prospective cohort of </w:t>
      </w:r>
      <w:r w:rsidRPr="00C27901">
        <w:rPr>
          <w:sz w:val="24"/>
          <w:szCs w:val="24"/>
        </w:rPr>
        <w:t>people living</w:t>
      </w:r>
      <w:r w:rsidR="00C674D1">
        <w:rPr>
          <w:sz w:val="24"/>
          <w:szCs w:val="24"/>
        </w:rPr>
        <w:t xml:space="preserve"> with gout</w:t>
      </w:r>
      <w:r w:rsidRPr="00C27901">
        <w:rPr>
          <w:sz w:val="24"/>
          <w:szCs w:val="24"/>
        </w:rPr>
        <w:t xml:space="preserve"> in primary care</w:t>
      </w:r>
      <w:r>
        <w:rPr>
          <w:sz w:val="24"/>
          <w:szCs w:val="24"/>
        </w:rPr>
        <w:t>.</w:t>
      </w:r>
      <w:r w:rsidR="00610A56">
        <w:rPr>
          <w:sz w:val="24"/>
          <w:szCs w:val="24"/>
        </w:rPr>
        <w:t xml:space="preserve">  </w:t>
      </w:r>
      <w:r w:rsidR="00EA58A3">
        <w:rPr>
          <w:sz w:val="24"/>
          <w:szCs w:val="24"/>
        </w:rPr>
        <w:t>Whilst gout flares were the major factor associated with worse HRQOL over three years</w:t>
      </w:r>
      <w:r w:rsidR="00A17D8B">
        <w:rPr>
          <w:sz w:val="24"/>
          <w:szCs w:val="24"/>
        </w:rPr>
        <w:t xml:space="preserve"> and exhibited </w:t>
      </w:r>
      <w:r w:rsidR="00EA58A3">
        <w:rPr>
          <w:sz w:val="24"/>
          <w:szCs w:val="24"/>
        </w:rPr>
        <w:t>a dose-response</w:t>
      </w:r>
      <w:r w:rsidR="0054580D">
        <w:rPr>
          <w:sz w:val="24"/>
          <w:szCs w:val="24"/>
        </w:rPr>
        <w:t xml:space="preserve"> relationship</w:t>
      </w:r>
      <w:r w:rsidR="00EA58A3">
        <w:rPr>
          <w:sz w:val="24"/>
          <w:szCs w:val="24"/>
        </w:rPr>
        <w:t xml:space="preserve">, </w:t>
      </w:r>
      <w:r w:rsidR="00AF72EB" w:rsidRPr="00532F24">
        <w:rPr>
          <w:bCs/>
          <w:sz w:val="24"/>
          <w:szCs w:val="24"/>
        </w:rPr>
        <w:t>history of oligo/polyarticular flares, the presence of body pain, worse pain severity, and worse depression score</w:t>
      </w:r>
      <w:r w:rsidR="00AF72EB">
        <w:rPr>
          <w:sz w:val="24"/>
          <w:szCs w:val="24"/>
        </w:rPr>
        <w:t xml:space="preserve"> were also </w:t>
      </w:r>
      <w:r w:rsidR="00EA58A3">
        <w:rPr>
          <w:sz w:val="24"/>
          <w:szCs w:val="24"/>
        </w:rPr>
        <w:t xml:space="preserve">associated with </w:t>
      </w:r>
      <w:r w:rsidR="00EA58A3">
        <w:rPr>
          <w:bCs/>
          <w:sz w:val="24"/>
          <w:szCs w:val="24"/>
        </w:rPr>
        <w:t xml:space="preserve">both worse </w:t>
      </w:r>
      <w:r w:rsidR="00532F24" w:rsidRPr="00532F24">
        <w:rPr>
          <w:bCs/>
          <w:sz w:val="24"/>
          <w:szCs w:val="24"/>
        </w:rPr>
        <w:t xml:space="preserve">disease-specific and generic HRQOL.  </w:t>
      </w:r>
      <w:r w:rsidR="0054580D">
        <w:rPr>
          <w:bCs/>
          <w:sz w:val="24"/>
          <w:szCs w:val="24"/>
        </w:rPr>
        <w:t>L</w:t>
      </w:r>
      <w:r w:rsidR="00532F24" w:rsidRPr="00532F24">
        <w:rPr>
          <w:bCs/>
          <w:sz w:val="24"/>
          <w:szCs w:val="24"/>
        </w:rPr>
        <w:t>onger disease duration, older age, and attendance at further education</w:t>
      </w:r>
      <w:r w:rsidR="0054580D">
        <w:rPr>
          <w:bCs/>
          <w:sz w:val="24"/>
          <w:szCs w:val="24"/>
        </w:rPr>
        <w:t xml:space="preserve"> were associated with better disease</w:t>
      </w:r>
      <w:r w:rsidR="00AF72EB">
        <w:rPr>
          <w:bCs/>
          <w:sz w:val="24"/>
          <w:szCs w:val="24"/>
        </w:rPr>
        <w:t>-</w:t>
      </w:r>
      <w:r w:rsidR="0054580D">
        <w:rPr>
          <w:bCs/>
          <w:sz w:val="24"/>
          <w:szCs w:val="24"/>
        </w:rPr>
        <w:t>specific HRQOL, and l</w:t>
      </w:r>
      <w:r w:rsidR="00532F24" w:rsidRPr="00532F24">
        <w:rPr>
          <w:bCs/>
          <w:sz w:val="24"/>
          <w:szCs w:val="24"/>
        </w:rPr>
        <w:t xml:space="preserve">iving in a less socio-economically deprived area and </w:t>
      </w:r>
      <w:r w:rsidR="0054580D">
        <w:rPr>
          <w:bCs/>
          <w:sz w:val="24"/>
          <w:szCs w:val="24"/>
        </w:rPr>
        <w:t>alcohol consumption</w:t>
      </w:r>
      <w:r w:rsidR="00DF2145">
        <w:rPr>
          <w:bCs/>
          <w:sz w:val="24"/>
          <w:szCs w:val="24"/>
        </w:rPr>
        <w:t xml:space="preserve"> with better generic HRQOL</w:t>
      </w:r>
      <w:r w:rsidR="004667C4">
        <w:rPr>
          <w:bCs/>
          <w:sz w:val="24"/>
          <w:szCs w:val="24"/>
        </w:rPr>
        <w:t xml:space="preserve">.  </w:t>
      </w:r>
    </w:p>
    <w:p w14:paraId="02DFEAA2" w14:textId="003F047E" w:rsidR="00FF4E33" w:rsidRPr="008943A3" w:rsidRDefault="00C27901" w:rsidP="00231EEF">
      <w:pPr>
        <w:spacing w:line="480" w:lineRule="auto"/>
        <w:jc w:val="both"/>
      </w:pPr>
      <w:r>
        <w:rPr>
          <w:bCs/>
          <w:sz w:val="24"/>
          <w:szCs w:val="24"/>
        </w:rPr>
        <w:lastRenderedPageBreak/>
        <w:t xml:space="preserve">The findings of this </w:t>
      </w:r>
      <w:r w:rsidR="009B6DF5">
        <w:rPr>
          <w:bCs/>
          <w:sz w:val="24"/>
          <w:szCs w:val="24"/>
        </w:rPr>
        <w:t xml:space="preserve">prospective study </w:t>
      </w:r>
      <w:r>
        <w:rPr>
          <w:bCs/>
          <w:sz w:val="24"/>
          <w:szCs w:val="24"/>
        </w:rPr>
        <w:t xml:space="preserve">are consistent with </w:t>
      </w:r>
      <w:r w:rsidR="00231EEF" w:rsidRPr="00532F24">
        <w:rPr>
          <w:bCs/>
          <w:sz w:val="24"/>
          <w:szCs w:val="24"/>
        </w:rPr>
        <w:t xml:space="preserve">previous </w:t>
      </w:r>
      <w:r w:rsidR="00231EEF" w:rsidRPr="00723B67">
        <w:rPr>
          <w:bCs/>
          <w:sz w:val="24"/>
          <w:szCs w:val="24"/>
        </w:rPr>
        <w:t>cross-sectional studies</w:t>
      </w:r>
      <w:r w:rsidR="00AB0A5A" w:rsidRPr="00723B67">
        <w:rPr>
          <w:bCs/>
          <w:sz w:val="24"/>
          <w:szCs w:val="24"/>
        </w:rPr>
        <w:t>,</w:t>
      </w:r>
      <w:r w:rsidR="00EB0D43" w:rsidRPr="00723B67">
        <w:rPr>
          <w:bCs/>
          <w:sz w:val="24"/>
          <w:szCs w:val="24"/>
        </w:rPr>
        <w:t xml:space="preserve"> where f</w:t>
      </w:r>
      <w:r w:rsidR="00C50B43" w:rsidRPr="00723B67">
        <w:rPr>
          <w:bCs/>
          <w:sz w:val="24"/>
          <w:szCs w:val="24"/>
        </w:rPr>
        <w:t xml:space="preserve">requent gout flares </w:t>
      </w:r>
      <w:r w:rsidR="0054580D" w:rsidRPr="00723B67">
        <w:rPr>
          <w:bCs/>
          <w:sz w:val="24"/>
          <w:szCs w:val="24"/>
        </w:rPr>
        <w:t>were</w:t>
      </w:r>
      <w:r w:rsidR="006D4A30" w:rsidRPr="00723B67">
        <w:rPr>
          <w:bCs/>
          <w:sz w:val="24"/>
          <w:szCs w:val="24"/>
        </w:rPr>
        <w:t xml:space="preserve"> </w:t>
      </w:r>
      <w:r w:rsidR="00C50B43" w:rsidRPr="00723B67">
        <w:rPr>
          <w:bCs/>
          <w:sz w:val="24"/>
          <w:szCs w:val="24"/>
        </w:rPr>
        <w:t xml:space="preserve">associated with worse </w:t>
      </w:r>
      <w:r w:rsidR="00231EEF" w:rsidRPr="00723B67">
        <w:rPr>
          <w:bCs/>
          <w:sz w:val="24"/>
          <w:szCs w:val="24"/>
        </w:rPr>
        <w:t xml:space="preserve">GIS subscale </w:t>
      </w:r>
      <w:r w:rsidR="003237A3" w:rsidRPr="00723B67">
        <w:rPr>
          <w:bCs/>
          <w:sz w:val="24"/>
          <w:szCs w:val="24"/>
        </w:rPr>
        <w:t xml:space="preserve">and SF-36 PF10 scores </w:t>
      </w:r>
      <w:r w:rsidR="00BF5FBB" w:rsidRPr="00723B67">
        <w:rPr>
          <w:bCs/>
          <w:sz w:val="24"/>
          <w:szCs w:val="24"/>
        </w:rPr>
        <w:t>[</w:t>
      </w:r>
      <w:r w:rsidR="00957774" w:rsidRPr="00C7176B">
        <w:rPr>
          <w:bCs/>
          <w:sz w:val="24"/>
          <w:szCs w:val="24"/>
        </w:rPr>
        <w:t>12</w:t>
      </w:r>
      <w:r w:rsidR="00583F54" w:rsidRPr="00723B67">
        <w:rPr>
          <w:bCs/>
          <w:sz w:val="24"/>
          <w:szCs w:val="24"/>
        </w:rPr>
        <w:t>-</w:t>
      </w:r>
      <w:r w:rsidR="00A41785" w:rsidRPr="00723B67">
        <w:rPr>
          <w:bCs/>
          <w:sz w:val="24"/>
          <w:szCs w:val="24"/>
        </w:rPr>
        <w:t>1</w:t>
      </w:r>
      <w:r w:rsidR="00957774">
        <w:rPr>
          <w:bCs/>
          <w:sz w:val="24"/>
          <w:szCs w:val="24"/>
        </w:rPr>
        <w:t>3</w:t>
      </w:r>
      <w:r w:rsidR="00BF5FBB" w:rsidRPr="00723B67">
        <w:rPr>
          <w:bCs/>
          <w:sz w:val="24"/>
          <w:szCs w:val="24"/>
        </w:rPr>
        <w:t>]</w:t>
      </w:r>
      <w:r w:rsidR="00EB0D43" w:rsidRPr="0079551C">
        <w:rPr>
          <w:bCs/>
          <w:color w:val="FF0000"/>
          <w:sz w:val="24"/>
          <w:szCs w:val="24"/>
        </w:rPr>
        <w:t xml:space="preserve"> </w:t>
      </w:r>
      <w:r w:rsidR="00EB0D43">
        <w:rPr>
          <w:bCs/>
          <w:sz w:val="24"/>
          <w:szCs w:val="24"/>
        </w:rPr>
        <w:t xml:space="preserve">and </w:t>
      </w:r>
      <w:r w:rsidR="00EB0D43" w:rsidRPr="00330B1F">
        <w:rPr>
          <w:bCs/>
          <w:sz w:val="24"/>
          <w:szCs w:val="24"/>
        </w:rPr>
        <w:t>the number of joints affected by g</w:t>
      </w:r>
      <w:r w:rsidR="00330B1F" w:rsidRPr="00330B1F">
        <w:rPr>
          <w:bCs/>
          <w:sz w:val="24"/>
          <w:szCs w:val="24"/>
        </w:rPr>
        <w:t xml:space="preserve">out with worse GIS subscale, SF-36 PF10 and </w:t>
      </w:r>
      <w:r w:rsidR="00EB0D43" w:rsidRPr="00330B1F">
        <w:rPr>
          <w:bCs/>
          <w:sz w:val="24"/>
          <w:szCs w:val="24"/>
        </w:rPr>
        <w:t>HAQ-DI scores</w:t>
      </w:r>
      <w:r w:rsidR="009B6DF5" w:rsidRPr="00330B1F">
        <w:rPr>
          <w:bCs/>
          <w:sz w:val="24"/>
          <w:szCs w:val="24"/>
        </w:rPr>
        <w:t>.</w:t>
      </w:r>
      <w:r w:rsidR="007071D8" w:rsidRPr="00330B1F">
        <w:rPr>
          <w:bCs/>
          <w:sz w:val="24"/>
          <w:szCs w:val="24"/>
        </w:rPr>
        <w:t>[</w:t>
      </w:r>
      <w:r w:rsidR="00330B1F" w:rsidRPr="00330B1F">
        <w:rPr>
          <w:bCs/>
          <w:sz w:val="24"/>
          <w:szCs w:val="24"/>
        </w:rPr>
        <w:t xml:space="preserve">10, </w:t>
      </w:r>
      <w:r w:rsidR="00957774">
        <w:rPr>
          <w:bCs/>
          <w:sz w:val="24"/>
          <w:szCs w:val="24"/>
        </w:rPr>
        <w:t>12</w:t>
      </w:r>
      <w:r w:rsidR="00330B1F" w:rsidRPr="00330B1F">
        <w:rPr>
          <w:bCs/>
          <w:sz w:val="24"/>
          <w:szCs w:val="24"/>
        </w:rPr>
        <w:t xml:space="preserve">, </w:t>
      </w:r>
      <w:r w:rsidR="00583F54" w:rsidRPr="00330B1F">
        <w:rPr>
          <w:bCs/>
          <w:sz w:val="24"/>
          <w:szCs w:val="24"/>
        </w:rPr>
        <w:t>1</w:t>
      </w:r>
      <w:r w:rsidR="00957774">
        <w:rPr>
          <w:bCs/>
          <w:sz w:val="24"/>
          <w:szCs w:val="24"/>
        </w:rPr>
        <w:t>8</w:t>
      </w:r>
      <w:r w:rsidR="00330B1F" w:rsidRPr="00330B1F">
        <w:rPr>
          <w:bCs/>
          <w:sz w:val="24"/>
          <w:szCs w:val="24"/>
        </w:rPr>
        <w:t>]</w:t>
      </w:r>
      <w:r w:rsidR="00EB0D43" w:rsidRPr="00330B1F">
        <w:rPr>
          <w:bCs/>
          <w:sz w:val="24"/>
          <w:szCs w:val="24"/>
        </w:rPr>
        <w:t xml:space="preserve"> </w:t>
      </w:r>
      <w:r w:rsidR="00DF2145" w:rsidRPr="00AE6DA2">
        <w:rPr>
          <w:bCs/>
          <w:sz w:val="24"/>
          <w:szCs w:val="24"/>
        </w:rPr>
        <w:t xml:space="preserve">Our finding that </w:t>
      </w:r>
      <w:r w:rsidR="006D4A30" w:rsidRPr="00AE6DA2">
        <w:rPr>
          <w:bCs/>
          <w:sz w:val="24"/>
          <w:szCs w:val="24"/>
        </w:rPr>
        <w:t>a</w:t>
      </w:r>
      <w:r w:rsidR="00B14478" w:rsidRPr="00AE6DA2">
        <w:rPr>
          <w:bCs/>
          <w:sz w:val="24"/>
          <w:szCs w:val="24"/>
        </w:rPr>
        <w:t xml:space="preserve">llopurinol use was associated with </w:t>
      </w:r>
      <w:r w:rsidR="00685859" w:rsidRPr="00AE6DA2">
        <w:rPr>
          <w:bCs/>
          <w:sz w:val="24"/>
          <w:szCs w:val="24"/>
        </w:rPr>
        <w:t>better</w:t>
      </w:r>
      <w:r w:rsidR="00B14478" w:rsidRPr="00AE6DA2">
        <w:rPr>
          <w:bCs/>
          <w:sz w:val="24"/>
          <w:szCs w:val="24"/>
        </w:rPr>
        <w:t xml:space="preserve"> HRQOL, measured by GIS </w:t>
      </w:r>
      <w:r w:rsidR="009B6DF5" w:rsidRPr="00AE6DA2">
        <w:rPr>
          <w:bCs/>
          <w:sz w:val="24"/>
          <w:szCs w:val="24"/>
        </w:rPr>
        <w:t>unmet treatment need (UTN)</w:t>
      </w:r>
      <w:r w:rsidR="006D4A30" w:rsidRPr="00AE6DA2">
        <w:rPr>
          <w:bCs/>
          <w:sz w:val="24"/>
          <w:szCs w:val="24"/>
        </w:rPr>
        <w:t xml:space="preserve">, is </w:t>
      </w:r>
      <w:r w:rsidR="00A84205" w:rsidRPr="00AE6DA2">
        <w:rPr>
          <w:bCs/>
          <w:sz w:val="24"/>
          <w:szCs w:val="24"/>
        </w:rPr>
        <w:t xml:space="preserve">in keeping with </w:t>
      </w:r>
      <w:r w:rsidR="00DF2145" w:rsidRPr="00AE6DA2">
        <w:rPr>
          <w:bCs/>
          <w:sz w:val="24"/>
          <w:szCs w:val="24"/>
        </w:rPr>
        <w:t xml:space="preserve">a recent RCT </w:t>
      </w:r>
      <w:r w:rsidR="0054580D">
        <w:rPr>
          <w:bCs/>
          <w:sz w:val="24"/>
          <w:szCs w:val="24"/>
        </w:rPr>
        <w:t>that</w:t>
      </w:r>
      <w:r w:rsidR="0054580D" w:rsidRPr="00AE6DA2">
        <w:rPr>
          <w:bCs/>
          <w:sz w:val="24"/>
          <w:szCs w:val="24"/>
        </w:rPr>
        <w:t xml:space="preserve"> </w:t>
      </w:r>
      <w:r w:rsidR="00DF2145" w:rsidRPr="00AE6DA2">
        <w:rPr>
          <w:bCs/>
          <w:sz w:val="24"/>
          <w:szCs w:val="24"/>
        </w:rPr>
        <w:t xml:space="preserve">reported better GIS UTN </w:t>
      </w:r>
      <w:r w:rsidR="006D4A30" w:rsidRPr="00AE6DA2">
        <w:rPr>
          <w:bCs/>
          <w:sz w:val="24"/>
          <w:szCs w:val="24"/>
        </w:rPr>
        <w:t>scores</w:t>
      </w:r>
      <w:r w:rsidR="00B14478" w:rsidRPr="00AE6DA2">
        <w:rPr>
          <w:bCs/>
          <w:sz w:val="24"/>
          <w:szCs w:val="24"/>
        </w:rPr>
        <w:t xml:space="preserve"> </w:t>
      </w:r>
      <w:r w:rsidR="00B14478" w:rsidRPr="006D4A30">
        <w:rPr>
          <w:bCs/>
          <w:sz w:val="24"/>
          <w:szCs w:val="24"/>
        </w:rPr>
        <w:t xml:space="preserve">over two years in </w:t>
      </w:r>
      <w:r w:rsidR="00B14478" w:rsidRPr="009B6DF5">
        <w:rPr>
          <w:bCs/>
          <w:sz w:val="24"/>
          <w:szCs w:val="24"/>
        </w:rPr>
        <w:t>participants with greater adherence</w:t>
      </w:r>
      <w:r w:rsidR="0054580D">
        <w:rPr>
          <w:bCs/>
          <w:sz w:val="24"/>
          <w:szCs w:val="24"/>
        </w:rPr>
        <w:t xml:space="preserve"> to ULT</w:t>
      </w:r>
      <w:r w:rsidR="00B14478" w:rsidRPr="009B6DF5">
        <w:rPr>
          <w:bCs/>
          <w:sz w:val="24"/>
          <w:szCs w:val="24"/>
        </w:rPr>
        <w:t>.</w:t>
      </w:r>
      <w:r w:rsidR="003215B6">
        <w:rPr>
          <w:bCs/>
          <w:sz w:val="24"/>
          <w:szCs w:val="24"/>
        </w:rPr>
        <w:t>[</w:t>
      </w:r>
      <w:r w:rsidR="00DA1A37" w:rsidRPr="00533CDB">
        <w:rPr>
          <w:bCs/>
          <w:sz w:val="24"/>
          <w:szCs w:val="24"/>
        </w:rPr>
        <w:t>2</w:t>
      </w:r>
      <w:r w:rsidR="00957774">
        <w:rPr>
          <w:bCs/>
          <w:sz w:val="24"/>
          <w:szCs w:val="24"/>
        </w:rPr>
        <w:t>3</w:t>
      </w:r>
      <w:r w:rsidR="003215B6" w:rsidRPr="009B6DF5">
        <w:rPr>
          <w:bCs/>
          <w:sz w:val="24"/>
          <w:szCs w:val="24"/>
        </w:rPr>
        <w:t>]</w:t>
      </w:r>
      <w:r w:rsidR="00B14478" w:rsidRPr="009B6DF5">
        <w:rPr>
          <w:bCs/>
          <w:sz w:val="24"/>
          <w:szCs w:val="24"/>
        </w:rPr>
        <w:t xml:space="preserve">  </w:t>
      </w:r>
      <w:r w:rsidR="00387AB5" w:rsidRPr="009B6DF5">
        <w:rPr>
          <w:bCs/>
          <w:sz w:val="24"/>
          <w:szCs w:val="24"/>
        </w:rPr>
        <w:t xml:space="preserve">  </w:t>
      </w:r>
      <w:r w:rsidR="00DF2145">
        <w:rPr>
          <w:bCs/>
          <w:sz w:val="24"/>
          <w:szCs w:val="24"/>
        </w:rPr>
        <w:t>However, a</w:t>
      </w:r>
      <w:r w:rsidR="00B14478" w:rsidRPr="009B6DF5">
        <w:rPr>
          <w:bCs/>
          <w:sz w:val="24"/>
          <w:szCs w:val="24"/>
        </w:rPr>
        <w:t xml:space="preserve">llopurinol </w:t>
      </w:r>
      <w:r w:rsidR="00DF2145">
        <w:rPr>
          <w:bCs/>
          <w:sz w:val="24"/>
          <w:szCs w:val="24"/>
        </w:rPr>
        <w:t>use</w:t>
      </w:r>
      <w:r w:rsidR="00AE6DA2">
        <w:rPr>
          <w:bCs/>
          <w:sz w:val="24"/>
          <w:szCs w:val="24"/>
        </w:rPr>
        <w:t xml:space="preserve"> </w:t>
      </w:r>
      <w:r w:rsidR="00B14478" w:rsidRPr="009B6DF5">
        <w:rPr>
          <w:bCs/>
          <w:sz w:val="24"/>
          <w:szCs w:val="24"/>
        </w:rPr>
        <w:t xml:space="preserve">was associated with </w:t>
      </w:r>
      <w:r w:rsidR="00D466BF" w:rsidRPr="00732F73">
        <w:rPr>
          <w:bCs/>
          <w:sz w:val="24"/>
          <w:szCs w:val="24"/>
        </w:rPr>
        <w:t>worse</w:t>
      </w:r>
      <w:r w:rsidR="00B14478" w:rsidRPr="00732F73">
        <w:rPr>
          <w:bCs/>
          <w:sz w:val="24"/>
          <w:szCs w:val="24"/>
        </w:rPr>
        <w:t xml:space="preserve"> SF-36 PF10</w:t>
      </w:r>
      <w:r w:rsidR="00A84205" w:rsidRPr="00732F73">
        <w:rPr>
          <w:bCs/>
          <w:sz w:val="24"/>
          <w:szCs w:val="24"/>
        </w:rPr>
        <w:t xml:space="preserve"> scores, </w:t>
      </w:r>
      <w:r w:rsidR="00AE6DA2" w:rsidRPr="00732F73">
        <w:rPr>
          <w:bCs/>
          <w:sz w:val="24"/>
          <w:szCs w:val="24"/>
        </w:rPr>
        <w:t>which</w:t>
      </w:r>
      <w:r w:rsidR="00A84205" w:rsidRPr="00732F73">
        <w:rPr>
          <w:bCs/>
          <w:sz w:val="24"/>
          <w:szCs w:val="24"/>
        </w:rPr>
        <w:t xml:space="preserve"> is in contrast with the </w:t>
      </w:r>
      <w:r w:rsidR="00B14478" w:rsidRPr="00732F73">
        <w:rPr>
          <w:bCs/>
          <w:sz w:val="24"/>
          <w:szCs w:val="24"/>
        </w:rPr>
        <w:t xml:space="preserve">lack of association </w:t>
      </w:r>
      <w:r w:rsidR="006D4A30" w:rsidRPr="00732F73">
        <w:rPr>
          <w:bCs/>
          <w:sz w:val="24"/>
          <w:szCs w:val="24"/>
        </w:rPr>
        <w:t>between</w:t>
      </w:r>
      <w:r w:rsidR="00B14478" w:rsidRPr="00732F73">
        <w:rPr>
          <w:bCs/>
          <w:sz w:val="24"/>
          <w:szCs w:val="24"/>
        </w:rPr>
        <w:t xml:space="preserve"> both generic HRQOL or disability and allopurinol use </w:t>
      </w:r>
      <w:r w:rsidR="00A84205" w:rsidRPr="00732F73">
        <w:rPr>
          <w:bCs/>
          <w:sz w:val="24"/>
          <w:szCs w:val="24"/>
        </w:rPr>
        <w:t xml:space="preserve">in </w:t>
      </w:r>
      <w:r w:rsidR="00BF5FBB" w:rsidRPr="00732F73">
        <w:rPr>
          <w:bCs/>
          <w:sz w:val="24"/>
          <w:szCs w:val="24"/>
        </w:rPr>
        <w:t>several</w:t>
      </w:r>
      <w:r w:rsidR="00A84205" w:rsidRPr="00732F73">
        <w:rPr>
          <w:bCs/>
          <w:sz w:val="24"/>
          <w:szCs w:val="24"/>
        </w:rPr>
        <w:t xml:space="preserve"> previous </w:t>
      </w:r>
      <w:r w:rsidR="00B14478" w:rsidRPr="00732F73">
        <w:rPr>
          <w:bCs/>
          <w:sz w:val="24"/>
          <w:szCs w:val="24"/>
        </w:rPr>
        <w:t>cross-sectional analyses.</w:t>
      </w:r>
      <w:r w:rsidR="003215B6">
        <w:rPr>
          <w:bCs/>
          <w:sz w:val="24"/>
          <w:szCs w:val="24"/>
        </w:rPr>
        <w:t>[</w:t>
      </w:r>
      <w:r w:rsidR="002508DE">
        <w:rPr>
          <w:bCs/>
          <w:sz w:val="24"/>
          <w:szCs w:val="24"/>
        </w:rPr>
        <w:t>10-11</w:t>
      </w:r>
      <w:r w:rsidR="002508DE" w:rsidRPr="00533CDB">
        <w:rPr>
          <w:bCs/>
          <w:sz w:val="24"/>
          <w:szCs w:val="24"/>
        </w:rPr>
        <w:t xml:space="preserve"> </w:t>
      </w:r>
      <w:r w:rsidR="003215B6" w:rsidRPr="00533CDB">
        <w:rPr>
          <w:bCs/>
          <w:sz w:val="24"/>
          <w:szCs w:val="24"/>
        </w:rPr>
        <w:t>,</w:t>
      </w:r>
      <w:r w:rsidR="00A9766D" w:rsidRPr="00533CDB">
        <w:rPr>
          <w:bCs/>
          <w:sz w:val="24"/>
          <w:szCs w:val="24"/>
        </w:rPr>
        <w:t>1</w:t>
      </w:r>
      <w:r w:rsidR="00957774">
        <w:rPr>
          <w:bCs/>
          <w:sz w:val="24"/>
          <w:szCs w:val="24"/>
        </w:rPr>
        <w:t>5</w:t>
      </w:r>
      <w:r w:rsidR="003215B6" w:rsidRPr="009B6DF5">
        <w:rPr>
          <w:bCs/>
          <w:sz w:val="24"/>
          <w:szCs w:val="24"/>
        </w:rPr>
        <w:t>]</w:t>
      </w:r>
      <w:r w:rsidR="00B14478" w:rsidRPr="009B6DF5">
        <w:rPr>
          <w:bCs/>
          <w:sz w:val="24"/>
          <w:szCs w:val="24"/>
        </w:rPr>
        <w:t xml:space="preserve">  The association between allopurinol use and worse HRQOL </w:t>
      </w:r>
      <w:r w:rsidR="00AE6DA2">
        <w:rPr>
          <w:bCs/>
          <w:sz w:val="24"/>
          <w:szCs w:val="24"/>
        </w:rPr>
        <w:t xml:space="preserve">(PF10) could </w:t>
      </w:r>
      <w:r w:rsidR="0054580D">
        <w:rPr>
          <w:bCs/>
          <w:sz w:val="24"/>
          <w:szCs w:val="24"/>
        </w:rPr>
        <w:t>be explained by</w:t>
      </w:r>
      <w:r w:rsidR="00B14478" w:rsidRPr="009B6DF5">
        <w:rPr>
          <w:bCs/>
          <w:sz w:val="24"/>
          <w:szCs w:val="24"/>
        </w:rPr>
        <w:t xml:space="preserve"> participan</w:t>
      </w:r>
      <w:r w:rsidR="00AE6DA2">
        <w:rPr>
          <w:bCs/>
          <w:sz w:val="24"/>
          <w:szCs w:val="24"/>
        </w:rPr>
        <w:t>ts with worse physical function or</w:t>
      </w:r>
      <w:r w:rsidR="00B14478" w:rsidRPr="009B6DF5">
        <w:rPr>
          <w:bCs/>
          <w:sz w:val="24"/>
          <w:szCs w:val="24"/>
        </w:rPr>
        <w:t xml:space="preserve"> more severe comorbidities or gout s</w:t>
      </w:r>
      <w:r w:rsidR="009B6DF5" w:rsidRPr="009B6DF5">
        <w:rPr>
          <w:bCs/>
          <w:sz w:val="24"/>
          <w:szCs w:val="24"/>
        </w:rPr>
        <w:t xml:space="preserve">ymptoms </w:t>
      </w:r>
      <w:r w:rsidR="0054580D">
        <w:rPr>
          <w:bCs/>
          <w:sz w:val="24"/>
          <w:szCs w:val="24"/>
        </w:rPr>
        <w:t>being</w:t>
      </w:r>
      <w:r w:rsidR="0054580D" w:rsidRPr="009B6DF5">
        <w:rPr>
          <w:bCs/>
          <w:sz w:val="24"/>
          <w:szCs w:val="24"/>
        </w:rPr>
        <w:t xml:space="preserve"> </w:t>
      </w:r>
      <w:r w:rsidR="00B14478" w:rsidRPr="009B6DF5">
        <w:rPr>
          <w:bCs/>
          <w:sz w:val="24"/>
          <w:szCs w:val="24"/>
        </w:rPr>
        <w:t>more likely to be prescribed allopurinol</w:t>
      </w:r>
      <w:r w:rsidR="00853C57">
        <w:rPr>
          <w:bCs/>
          <w:sz w:val="24"/>
          <w:szCs w:val="24"/>
        </w:rPr>
        <w:t>.</w:t>
      </w:r>
      <w:r w:rsidR="00853C57">
        <w:t xml:space="preserve">  </w:t>
      </w:r>
      <w:r w:rsidR="00FF4E33" w:rsidRPr="00B14478">
        <w:rPr>
          <w:bCs/>
          <w:sz w:val="24"/>
          <w:szCs w:val="24"/>
        </w:rPr>
        <w:t xml:space="preserve">Longer </w:t>
      </w:r>
      <w:r w:rsidR="008943A3">
        <w:rPr>
          <w:bCs/>
          <w:sz w:val="24"/>
          <w:szCs w:val="24"/>
        </w:rPr>
        <w:t>gout</w:t>
      </w:r>
      <w:r w:rsidR="00FF4E33" w:rsidRPr="00B14478">
        <w:rPr>
          <w:bCs/>
          <w:sz w:val="24"/>
          <w:szCs w:val="24"/>
        </w:rPr>
        <w:t xml:space="preserve"> duration was associated with </w:t>
      </w:r>
      <w:r w:rsidR="00D466BF">
        <w:rPr>
          <w:bCs/>
          <w:sz w:val="24"/>
          <w:szCs w:val="24"/>
        </w:rPr>
        <w:t>better</w:t>
      </w:r>
      <w:r w:rsidR="00FF4E33" w:rsidRPr="00B14478">
        <w:rPr>
          <w:bCs/>
          <w:sz w:val="24"/>
          <w:szCs w:val="24"/>
        </w:rPr>
        <w:t xml:space="preserve"> disease-specific HRQOL in </w:t>
      </w:r>
      <w:r w:rsidR="008943A3">
        <w:rPr>
          <w:bCs/>
          <w:sz w:val="24"/>
          <w:szCs w:val="24"/>
        </w:rPr>
        <w:t>most</w:t>
      </w:r>
      <w:r w:rsidR="00FF4E33" w:rsidRPr="00B14478">
        <w:rPr>
          <w:bCs/>
          <w:sz w:val="24"/>
          <w:szCs w:val="24"/>
        </w:rPr>
        <w:t xml:space="preserve"> GIS subscales</w:t>
      </w:r>
      <w:r w:rsidR="00AF1292">
        <w:rPr>
          <w:bCs/>
          <w:sz w:val="24"/>
          <w:szCs w:val="24"/>
        </w:rPr>
        <w:t xml:space="preserve">, which </w:t>
      </w:r>
      <w:r w:rsidR="00FF4E33" w:rsidRPr="00B14478">
        <w:rPr>
          <w:bCs/>
          <w:sz w:val="24"/>
          <w:szCs w:val="24"/>
        </w:rPr>
        <w:t>could in part be attributable to the process of adaption</w:t>
      </w:r>
      <w:r w:rsidR="008943A3">
        <w:rPr>
          <w:bCs/>
          <w:sz w:val="24"/>
          <w:szCs w:val="24"/>
        </w:rPr>
        <w:t xml:space="preserve"> to a chronic</w:t>
      </w:r>
      <w:r w:rsidR="00FF4E33" w:rsidRPr="00B14478">
        <w:rPr>
          <w:bCs/>
          <w:sz w:val="24"/>
          <w:szCs w:val="24"/>
        </w:rPr>
        <w:t xml:space="preserve"> illness over time which can influence how a person reflects on their HRQOL</w:t>
      </w:r>
      <w:r w:rsidR="008943A3">
        <w:rPr>
          <w:bCs/>
          <w:sz w:val="24"/>
          <w:szCs w:val="24"/>
        </w:rPr>
        <w:t>.</w:t>
      </w:r>
      <w:r w:rsidR="003215B6">
        <w:rPr>
          <w:bCs/>
          <w:sz w:val="24"/>
          <w:szCs w:val="24"/>
        </w:rPr>
        <w:t>[</w:t>
      </w:r>
      <w:r w:rsidR="00902D69" w:rsidRPr="00533CDB">
        <w:rPr>
          <w:bCs/>
          <w:sz w:val="24"/>
          <w:szCs w:val="24"/>
        </w:rPr>
        <w:t>4</w:t>
      </w:r>
      <w:r w:rsidR="00C11C00">
        <w:rPr>
          <w:bCs/>
          <w:sz w:val="24"/>
          <w:szCs w:val="24"/>
        </w:rPr>
        <w:t>5</w:t>
      </w:r>
      <w:r w:rsidR="003215B6">
        <w:rPr>
          <w:bCs/>
          <w:sz w:val="24"/>
          <w:szCs w:val="24"/>
        </w:rPr>
        <w:t>]</w:t>
      </w:r>
      <w:r w:rsidR="008943A3">
        <w:rPr>
          <w:bCs/>
          <w:sz w:val="24"/>
          <w:szCs w:val="24"/>
        </w:rPr>
        <w:t xml:space="preserve">  </w:t>
      </w:r>
    </w:p>
    <w:p w14:paraId="75F07212" w14:textId="7E24F3EA" w:rsidR="00C85848" w:rsidRPr="00C85848" w:rsidRDefault="00137759" w:rsidP="00EA58A3">
      <w:pPr>
        <w:spacing w:after="0" w:line="480" w:lineRule="auto"/>
        <w:jc w:val="both"/>
        <w:rPr>
          <w:sz w:val="24"/>
          <w:szCs w:val="24"/>
        </w:rPr>
      </w:pPr>
      <w:r>
        <w:rPr>
          <w:sz w:val="24"/>
          <w:szCs w:val="24"/>
        </w:rPr>
        <w:t>As observed in previous cross-sectional studies [</w:t>
      </w:r>
      <w:r w:rsidR="00957774">
        <w:rPr>
          <w:sz w:val="24"/>
          <w:szCs w:val="24"/>
        </w:rPr>
        <w:t>12</w:t>
      </w:r>
      <w:r>
        <w:rPr>
          <w:sz w:val="24"/>
          <w:szCs w:val="24"/>
        </w:rPr>
        <w:t>],</w:t>
      </w:r>
      <w:r w:rsidR="00C03C32">
        <w:rPr>
          <w:sz w:val="24"/>
          <w:szCs w:val="24"/>
        </w:rPr>
        <w:t xml:space="preserve"> gout</w:t>
      </w:r>
      <w:r>
        <w:rPr>
          <w:sz w:val="24"/>
          <w:szCs w:val="24"/>
        </w:rPr>
        <w:t>-</w:t>
      </w:r>
      <w:r w:rsidR="00C03C32">
        <w:rPr>
          <w:sz w:val="24"/>
          <w:szCs w:val="24"/>
        </w:rPr>
        <w:t>related factors tended to be associated with the disease-specific GIS subscales, whereas comorbid, anthropometric and socio-demographic factors were associated with the generic measures of HRQOL</w:t>
      </w:r>
      <w:r>
        <w:rPr>
          <w:sz w:val="24"/>
          <w:szCs w:val="24"/>
        </w:rPr>
        <w:t xml:space="preserve"> (SF-36 PF10, HAQ-DI)</w:t>
      </w:r>
      <w:r w:rsidR="00C03C32">
        <w:rPr>
          <w:sz w:val="24"/>
          <w:szCs w:val="24"/>
        </w:rPr>
        <w:t xml:space="preserve">. </w:t>
      </w:r>
    </w:p>
    <w:p w14:paraId="7E51845B" w14:textId="76D2F8D0" w:rsidR="00B17529" w:rsidRPr="00A07D2E" w:rsidRDefault="00137759" w:rsidP="00177B31">
      <w:pPr>
        <w:spacing w:after="0" w:line="480" w:lineRule="auto"/>
        <w:jc w:val="both"/>
        <w:rPr>
          <w:sz w:val="24"/>
          <w:szCs w:val="24"/>
        </w:rPr>
      </w:pPr>
      <w:r>
        <w:rPr>
          <w:sz w:val="24"/>
          <w:szCs w:val="24"/>
        </w:rPr>
        <w:t>T</w:t>
      </w:r>
      <w:r w:rsidR="0008394A">
        <w:rPr>
          <w:sz w:val="24"/>
          <w:szCs w:val="24"/>
        </w:rPr>
        <w:t>his study uniquely investigate</w:t>
      </w:r>
      <w:r w:rsidR="002D3F6A">
        <w:rPr>
          <w:sz w:val="24"/>
          <w:szCs w:val="24"/>
        </w:rPr>
        <w:t>s</w:t>
      </w:r>
      <w:r w:rsidR="0008394A">
        <w:rPr>
          <w:sz w:val="24"/>
          <w:szCs w:val="24"/>
        </w:rPr>
        <w:t xml:space="preserve"> change</w:t>
      </w:r>
      <w:r w:rsidR="0083671D">
        <w:rPr>
          <w:sz w:val="24"/>
          <w:szCs w:val="24"/>
        </w:rPr>
        <w:t xml:space="preserve"> in HRQOL</w:t>
      </w:r>
      <w:r w:rsidR="0008394A">
        <w:rPr>
          <w:sz w:val="24"/>
          <w:szCs w:val="24"/>
        </w:rPr>
        <w:t xml:space="preserve"> over three years in a large primary care cohort</w:t>
      </w:r>
      <w:r w:rsidR="006C173D">
        <w:rPr>
          <w:sz w:val="24"/>
          <w:szCs w:val="24"/>
        </w:rPr>
        <w:t xml:space="preserve"> of people with gout</w:t>
      </w:r>
      <w:r w:rsidR="00A07D2E">
        <w:rPr>
          <w:sz w:val="24"/>
          <w:szCs w:val="24"/>
        </w:rPr>
        <w:t xml:space="preserve">. It </w:t>
      </w:r>
      <w:r w:rsidR="002909FF">
        <w:rPr>
          <w:sz w:val="24"/>
          <w:szCs w:val="24"/>
        </w:rPr>
        <w:t xml:space="preserve">is the longest study investigating the factors associated with both disease-specific </w:t>
      </w:r>
      <w:r w:rsidR="00535758">
        <w:rPr>
          <w:sz w:val="24"/>
          <w:szCs w:val="24"/>
        </w:rPr>
        <w:t xml:space="preserve">and </w:t>
      </w:r>
      <w:r w:rsidR="002909FF">
        <w:rPr>
          <w:sz w:val="24"/>
          <w:szCs w:val="24"/>
        </w:rPr>
        <w:t>generic HRQOL</w:t>
      </w:r>
      <w:r w:rsidR="00710C43">
        <w:rPr>
          <w:sz w:val="24"/>
          <w:szCs w:val="24"/>
        </w:rPr>
        <w:t xml:space="preserve"> in </w:t>
      </w:r>
      <w:r w:rsidR="002909FF">
        <w:rPr>
          <w:sz w:val="24"/>
          <w:szCs w:val="24"/>
        </w:rPr>
        <w:t>people living with gout</w:t>
      </w:r>
      <w:r w:rsidR="00710C43">
        <w:rPr>
          <w:sz w:val="24"/>
          <w:szCs w:val="24"/>
        </w:rPr>
        <w:t>.</w:t>
      </w:r>
      <w:r w:rsidR="005429E2">
        <w:rPr>
          <w:sz w:val="24"/>
          <w:szCs w:val="24"/>
        </w:rPr>
        <w:t xml:space="preserve"> </w:t>
      </w:r>
      <w:r w:rsidR="00710C43">
        <w:rPr>
          <w:sz w:val="24"/>
          <w:szCs w:val="24"/>
        </w:rPr>
        <w:t xml:space="preserve"> </w:t>
      </w:r>
      <w:r w:rsidR="002909FF">
        <w:rPr>
          <w:sz w:val="24"/>
          <w:szCs w:val="24"/>
        </w:rPr>
        <w:t xml:space="preserve"> </w:t>
      </w:r>
      <w:r w:rsidR="006F098B">
        <w:rPr>
          <w:sz w:val="24"/>
          <w:szCs w:val="24"/>
        </w:rPr>
        <w:t>Using different measures of HRQOL allows its</w:t>
      </w:r>
      <w:r w:rsidR="00B17529">
        <w:rPr>
          <w:sz w:val="24"/>
          <w:szCs w:val="24"/>
        </w:rPr>
        <w:t xml:space="preserve"> multidimensional </w:t>
      </w:r>
      <w:r w:rsidR="006F098B">
        <w:rPr>
          <w:sz w:val="24"/>
          <w:szCs w:val="24"/>
        </w:rPr>
        <w:t>aspects to be explored</w:t>
      </w:r>
      <w:r w:rsidR="00F17FEF">
        <w:rPr>
          <w:sz w:val="24"/>
          <w:szCs w:val="24"/>
        </w:rPr>
        <w:t>.</w:t>
      </w:r>
      <w:r w:rsidR="003215B6">
        <w:rPr>
          <w:sz w:val="24"/>
          <w:szCs w:val="24"/>
        </w:rPr>
        <w:t>[</w:t>
      </w:r>
      <w:r w:rsidR="00902D69" w:rsidRPr="00533CDB">
        <w:rPr>
          <w:sz w:val="24"/>
          <w:szCs w:val="24"/>
        </w:rPr>
        <w:t>43</w:t>
      </w:r>
      <w:r w:rsidR="00583F54" w:rsidRPr="00533CDB">
        <w:rPr>
          <w:sz w:val="24"/>
          <w:szCs w:val="24"/>
        </w:rPr>
        <w:t>-</w:t>
      </w:r>
      <w:r w:rsidR="00902D69" w:rsidRPr="00533CDB">
        <w:rPr>
          <w:sz w:val="24"/>
          <w:szCs w:val="24"/>
        </w:rPr>
        <w:t>44</w:t>
      </w:r>
      <w:r w:rsidR="003215B6">
        <w:rPr>
          <w:sz w:val="24"/>
          <w:szCs w:val="24"/>
        </w:rPr>
        <w:t>]</w:t>
      </w:r>
      <w:r w:rsidR="00544F92">
        <w:rPr>
          <w:sz w:val="24"/>
          <w:szCs w:val="24"/>
        </w:rPr>
        <w:t xml:space="preserve"> </w:t>
      </w:r>
      <w:r w:rsidR="008C62AB" w:rsidRPr="002D3F6A">
        <w:rPr>
          <w:sz w:val="24"/>
          <w:szCs w:val="24"/>
        </w:rPr>
        <w:t xml:space="preserve">The inclusion of a range of </w:t>
      </w:r>
      <w:r w:rsidR="00155375">
        <w:rPr>
          <w:sz w:val="24"/>
          <w:szCs w:val="24"/>
        </w:rPr>
        <w:t>variables</w:t>
      </w:r>
      <w:r w:rsidR="008C62AB" w:rsidRPr="002D3F6A">
        <w:rPr>
          <w:sz w:val="24"/>
          <w:szCs w:val="24"/>
        </w:rPr>
        <w:t xml:space="preserve"> relevant to disease-specific and generic HRQOL aimed to reduce the potential for unmeasured confounding.   </w:t>
      </w:r>
      <w:r w:rsidR="00A07D2E">
        <w:rPr>
          <w:sz w:val="24"/>
          <w:szCs w:val="24"/>
        </w:rPr>
        <w:t>Limitations of this study require acknowledgement.  T</w:t>
      </w:r>
      <w:r w:rsidR="008C62AB" w:rsidRPr="002D3F6A">
        <w:rPr>
          <w:sz w:val="24"/>
          <w:szCs w:val="24"/>
        </w:rPr>
        <w:t xml:space="preserve">ophi and </w:t>
      </w:r>
      <w:r w:rsidR="008C62AB" w:rsidRPr="002D3F6A">
        <w:rPr>
          <w:sz w:val="24"/>
          <w:szCs w:val="24"/>
        </w:rPr>
        <w:lastRenderedPageBreak/>
        <w:t xml:space="preserve">serum urate were not included as </w:t>
      </w:r>
      <w:r w:rsidR="00155375">
        <w:rPr>
          <w:sz w:val="24"/>
          <w:szCs w:val="24"/>
        </w:rPr>
        <w:t>variables</w:t>
      </w:r>
      <w:r w:rsidR="008C62AB" w:rsidRPr="002D3F6A">
        <w:rPr>
          <w:sz w:val="24"/>
          <w:szCs w:val="24"/>
        </w:rPr>
        <w:t xml:space="preserve"> </w:t>
      </w:r>
      <w:r w:rsidR="003215B6">
        <w:rPr>
          <w:sz w:val="24"/>
          <w:szCs w:val="24"/>
        </w:rPr>
        <w:t>owing</w:t>
      </w:r>
      <w:r w:rsidR="008C62AB" w:rsidRPr="002D3F6A">
        <w:rPr>
          <w:sz w:val="24"/>
          <w:szCs w:val="24"/>
        </w:rPr>
        <w:t xml:space="preserve"> to the low prevalence of tophi </w:t>
      </w:r>
      <w:r w:rsidR="00A14681">
        <w:rPr>
          <w:sz w:val="24"/>
          <w:szCs w:val="24"/>
        </w:rPr>
        <w:t xml:space="preserve">coded </w:t>
      </w:r>
      <w:r w:rsidR="00FB2073">
        <w:rPr>
          <w:sz w:val="24"/>
          <w:szCs w:val="24"/>
        </w:rPr>
        <w:t xml:space="preserve">in the medical record </w:t>
      </w:r>
      <w:r w:rsidR="008C62AB" w:rsidRPr="002D3F6A">
        <w:rPr>
          <w:sz w:val="24"/>
          <w:szCs w:val="24"/>
        </w:rPr>
        <w:t xml:space="preserve">and the high proportion of </w:t>
      </w:r>
      <w:r w:rsidR="00FB2073">
        <w:rPr>
          <w:sz w:val="24"/>
          <w:szCs w:val="24"/>
        </w:rPr>
        <w:t>participants without a</w:t>
      </w:r>
      <w:r w:rsidR="008C62AB" w:rsidRPr="002D3F6A">
        <w:rPr>
          <w:sz w:val="24"/>
          <w:szCs w:val="24"/>
        </w:rPr>
        <w:t xml:space="preserve"> serum urate level</w:t>
      </w:r>
      <w:r w:rsidR="00FB2073">
        <w:rPr>
          <w:sz w:val="24"/>
          <w:szCs w:val="24"/>
        </w:rPr>
        <w:t xml:space="preserve"> </w:t>
      </w:r>
      <w:r w:rsidR="00EF1A2E">
        <w:rPr>
          <w:sz w:val="24"/>
          <w:szCs w:val="24"/>
        </w:rPr>
        <w:t>recorded</w:t>
      </w:r>
      <w:r w:rsidR="008C62AB" w:rsidRPr="002D3F6A">
        <w:rPr>
          <w:sz w:val="24"/>
          <w:szCs w:val="24"/>
        </w:rPr>
        <w:t>.</w:t>
      </w:r>
      <w:r w:rsidR="00A07D2E">
        <w:rPr>
          <w:sz w:val="24"/>
          <w:szCs w:val="24"/>
        </w:rPr>
        <w:t xml:space="preserve">  </w:t>
      </w:r>
      <w:r w:rsidR="008C62AB" w:rsidRPr="00A07D2E">
        <w:rPr>
          <w:sz w:val="24"/>
          <w:szCs w:val="24"/>
        </w:rPr>
        <w:t xml:space="preserve">The diagnosis of gout was based on a GP diagnosis rather than the gold standard of monosodium urate crystal identification, however joint aspiration is performed infrequently in primary care and a sensitivity and specificity of over 90% has been reported for </w:t>
      </w:r>
      <w:r w:rsidR="00FB2073">
        <w:rPr>
          <w:sz w:val="24"/>
          <w:szCs w:val="24"/>
        </w:rPr>
        <w:t xml:space="preserve">a </w:t>
      </w:r>
      <w:r w:rsidR="008C62AB" w:rsidRPr="00A07D2E">
        <w:rPr>
          <w:sz w:val="24"/>
          <w:szCs w:val="24"/>
        </w:rPr>
        <w:t>Read-coded diagnosis of gout</w:t>
      </w:r>
      <w:r w:rsidR="00000B0B" w:rsidRPr="00A07D2E">
        <w:rPr>
          <w:sz w:val="24"/>
          <w:szCs w:val="24"/>
        </w:rPr>
        <w:t>.</w:t>
      </w:r>
      <w:r w:rsidR="008C62AB" w:rsidRPr="00A07D2E">
        <w:rPr>
          <w:sz w:val="24"/>
          <w:szCs w:val="24"/>
        </w:rPr>
        <w:t>[</w:t>
      </w:r>
      <w:r w:rsidR="00902D69" w:rsidRPr="00533CDB">
        <w:rPr>
          <w:sz w:val="24"/>
          <w:szCs w:val="24"/>
        </w:rPr>
        <w:t>4</w:t>
      </w:r>
      <w:r w:rsidR="00C11C00">
        <w:rPr>
          <w:sz w:val="24"/>
          <w:szCs w:val="24"/>
        </w:rPr>
        <w:t>7</w:t>
      </w:r>
      <w:r w:rsidR="001B24EA" w:rsidRPr="00A07D2E">
        <w:rPr>
          <w:sz w:val="24"/>
          <w:szCs w:val="24"/>
        </w:rPr>
        <w:t>] Whilst the SF-36 has been endorsed as a HRQOL measure</w:t>
      </w:r>
      <w:r w:rsidR="00000B0B" w:rsidRPr="00A07D2E">
        <w:rPr>
          <w:sz w:val="24"/>
          <w:szCs w:val="24"/>
        </w:rPr>
        <w:t xml:space="preserve"> for gout studies</w:t>
      </w:r>
      <w:r w:rsidR="001B24EA" w:rsidRPr="00A07D2E">
        <w:rPr>
          <w:sz w:val="24"/>
          <w:szCs w:val="24"/>
        </w:rPr>
        <w:t xml:space="preserve"> by OMERACT [</w:t>
      </w:r>
      <w:r w:rsidR="00693E1C" w:rsidRPr="00533CDB">
        <w:rPr>
          <w:sz w:val="24"/>
          <w:szCs w:val="24"/>
        </w:rPr>
        <w:t>29</w:t>
      </w:r>
      <w:r w:rsidR="001B24EA" w:rsidRPr="00A07D2E">
        <w:rPr>
          <w:sz w:val="24"/>
          <w:szCs w:val="24"/>
        </w:rPr>
        <w:t xml:space="preserve">], only the physical function subscale was included as </w:t>
      </w:r>
      <w:r w:rsidR="00000B0B" w:rsidRPr="00A07D2E">
        <w:rPr>
          <w:sz w:val="24"/>
          <w:szCs w:val="24"/>
        </w:rPr>
        <w:t>previous studies had</w:t>
      </w:r>
      <w:r w:rsidR="001B24EA" w:rsidRPr="00A07D2E">
        <w:rPr>
          <w:sz w:val="24"/>
          <w:szCs w:val="24"/>
        </w:rPr>
        <w:t xml:space="preserve"> shown that </w:t>
      </w:r>
      <w:r w:rsidR="00535758" w:rsidRPr="00A07D2E">
        <w:rPr>
          <w:sz w:val="24"/>
          <w:szCs w:val="24"/>
        </w:rPr>
        <w:t xml:space="preserve">impaired </w:t>
      </w:r>
      <w:r w:rsidR="001B24EA" w:rsidRPr="00A07D2E">
        <w:rPr>
          <w:sz w:val="24"/>
          <w:szCs w:val="24"/>
        </w:rPr>
        <w:t xml:space="preserve">HRQOL in people with gout is predominantly </w:t>
      </w:r>
      <w:r w:rsidR="00000B0B" w:rsidRPr="00A07D2E">
        <w:rPr>
          <w:sz w:val="24"/>
          <w:szCs w:val="24"/>
        </w:rPr>
        <w:t>in</w:t>
      </w:r>
      <w:r w:rsidR="001B24EA" w:rsidRPr="00A07D2E">
        <w:rPr>
          <w:sz w:val="24"/>
          <w:szCs w:val="24"/>
        </w:rPr>
        <w:t xml:space="preserve"> the physical domain [</w:t>
      </w:r>
      <w:r w:rsidR="00957774">
        <w:rPr>
          <w:sz w:val="24"/>
          <w:szCs w:val="24"/>
        </w:rPr>
        <w:t>27</w:t>
      </w:r>
      <w:r w:rsidR="001B24EA" w:rsidRPr="00A07D2E">
        <w:rPr>
          <w:sz w:val="24"/>
          <w:szCs w:val="24"/>
        </w:rPr>
        <w:t xml:space="preserve">] and to reduce </w:t>
      </w:r>
      <w:r w:rsidR="00A07D2E" w:rsidRPr="00A07D2E">
        <w:rPr>
          <w:sz w:val="24"/>
          <w:szCs w:val="24"/>
        </w:rPr>
        <w:t xml:space="preserve">the </w:t>
      </w:r>
      <w:r w:rsidR="001B24EA" w:rsidRPr="00A07D2E">
        <w:rPr>
          <w:sz w:val="24"/>
          <w:szCs w:val="24"/>
        </w:rPr>
        <w:t>burden</w:t>
      </w:r>
      <w:r w:rsidR="00A07D2E" w:rsidRPr="00A07D2E">
        <w:rPr>
          <w:sz w:val="24"/>
          <w:szCs w:val="24"/>
        </w:rPr>
        <w:t xml:space="preserve"> of questionnaire completion to participants</w:t>
      </w:r>
      <w:r w:rsidR="001B24EA" w:rsidRPr="00A07D2E">
        <w:rPr>
          <w:sz w:val="24"/>
          <w:szCs w:val="24"/>
        </w:rPr>
        <w:t xml:space="preserve">. </w:t>
      </w:r>
      <w:r w:rsidR="00462857" w:rsidRPr="00462857">
        <w:rPr>
          <w:sz w:val="24"/>
          <w:szCs w:val="24"/>
        </w:rPr>
        <w:t>As responders to f</w:t>
      </w:r>
      <w:r w:rsidR="00A7230A">
        <w:rPr>
          <w:sz w:val="24"/>
          <w:szCs w:val="24"/>
        </w:rPr>
        <w:t>ollow-up questionnaires had lower</w:t>
      </w:r>
      <w:r w:rsidR="00462857" w:rsidRPr="00462857">
        <w:rPr>
          <w:sz w:val="24"/>
          <w:szCs w:val="24"/>
        </w:rPr>
        <w:t xml:space="preserve"> unmet treatment need, less activity limitation and better generic HRQOL at baseline in comparison with non-participants at later follow-up time-points, it is possible that the findings, such as the strength of the associations observed, may have been</w:t>
      </w:r>
      <w:r w:rsidR="00C33CC6">
        <w:rPr>
          <w:sz w:val="24"/>
          <w:szCs w:val="24"/>
        </w:rPr>
        <w:t xml:space="preserve"> different if no attrition </w:t>
      </w:r>
      <w:r w:rsidR="00563968">
        <w:rPr>
          <w:sz w:val="24"/>
          <w:szCs w:val="24"/>
        </w:rPr>
        <w:t xml:space="preserve">bias </w:t>
      </w:r>
      <w:r w:rsidR="00462857" w:rsidRPr="00462857">
        <w:rPr>
          <w:sz w:val="24"/>
          <w:szCs w:val="24"/>
        </w:rPr>
        <w:t>had been identified.</w:t>
      </w:r>
      <w:r w:rsidR="00462857">
        <w:rPr>
          <w:sz w:val="24"/>
          <w:szCs w:val="24"/>
        </w:rPr>
        <w:t xml:space="preserve"> </w:t>
      </w:r>
      <w:r w:rsidR="005B2C1F" w:rsidRPr="005B2C1F">
        <w:rPr>
          <w:sz w:val="24"/>
          <w:szCs w:val="24"/>
        </w:rPr>
        <w:t>Finally, participants were recruited from a single geographical region in England so findings may not be generalizable to other regions or countries.</w:t>
      </w:r>
    </w:p>
    <w:p w14:paraId="3C9D8EC9" w14:textId="257D1731" w:rsidR="00ED522E" w:rsidRDefault="00423C90" w:rsidP="00D853B5">
      <w:pPr>
        <w:spacing w:after="0" w:line="480" w:lineRule="auto"/>
        <w:jc w:val="both"/>
        <w:rPr>
          <w:sz w:val="24"/>
          <w:szCs w:val="24"/>
        </w:rPr>
      </w:pPr>
      <w:r>
        <w:rPr>
          <w:sz w:val="24"/>
          <w:szCs w:val="24"/>
        </w:rPr>
        <w:t xml:space="preserve">The </w:t>
      </w:r>
      <w:r w:rsidR="005D0351">
        <w:rPr>
          <w:sz w:val="24"/>
          <w:szCs w:val="24"/>
        </w:rPr>
        <w:t xml:space="preserve">strong </w:t>
      </w:r>
      <w:r>
        <w:rPr>
          <w:sz w:val="24"/>
          <w:szCs w:val="24"/>
        </w:rPr>
        <w:t>association observed between gout flares and deterioration in disease-specific HRQOL</w:t>
      </w:r>
      <w:r w:rsidRPr="00423C90">
        <w:rPr>
          <w:sz w:val="24"/>
          <w:szCs w:val="24"/>
        </w:rPr>
        <w:t xml:space="preserve"> support</w:t>
      </w:r>
      <w:r w:rsidR="005D0351">
        <w:rPr>
          <w:sz w:val="24"/>
          <w:szCs w:val="24"/>
        </w:rPr>
        <w:t>s</w:t>
      </w:r>
      <w:r>
        <w:rPr>
          <w:sz w:val="24"/>
          <w:szCs w:val="24"/>
        </w:rPr>
        <w:t xml:space="preserve"> recommendation</w:t>
      </w:r>
      <w:r w:rsidR="00284083">
        <w:rPr>
          <w:sz w:val="24"/>
          <w:szCs w:val="24"/>
        </w:rPr>
        <w:t>s</w:t>
      </w:r>
      <w:r>
        <w:rPr>
          <w:sz w:val="24"/>
          <w:szCs w:val="24"/>
        </w:rPr>
        <w:t xml:space="preserve"> in </w:t>
      </w:r>
      <w:r w:rsidR="005D0351">
        <w:rPr>
          <w:sz w:val="24"/>
          <w:szCs w:val="24"/>
        </w:rPr>
        <w:t>national and inter</w:t>
      </w:r>
      <w:r w:rsidR="00FC32EF">
        <w:rPr>
          <w:sz w:val="24"/>
          <w:szCs w:val="24"/>
        </w:rPr>
        <w:t xml:space="preserve">national </w:t>
      </w:r>
      <w:r>
        <w:rPr>
          <w:sz w:val="24"/>
          <w:szCs w:val="24"/>
        </w:rPr>
        <w:t xml:space="preserve">gout management guidelines </w:t>
      </w:r>
      <w:r w:rsidRPr="00423C90">
        <w:rPr>
          <w:sz w:val="24"/>
          <w:szCs w:val="24"/>
        </w:rPr>
        <w:t>that the option of ULT should be explained to all people with a diagnosis of gout</w:t>
      </w:r>
      <w:r>
        <w:rPr>
          <w:sz w:val="24"/>
          <w:szCs w:val="24"/>
        </w:rPr>
        <w:t xml:space="preserve"> but particularly </w:t>
      </w:r>
      <w:r w:rsidR="005D0351">
        <w:rPr>
          <w:sz w:val="24"/>
          <w:szCs w:val="24"/>
        </w:rPr>
        <w:t>recommended to people</w:t>
      </w:r>
      <w:r w:rsidR="005872B8">
        <w:rPr>
          <w:sz w:val="24"/>
          <w:szCs w:val="24"/>
        </w:rPr>
        <w:t xml:space="preserve"> </w:t>
      </w:r>
      <w:r>
        <w:rPr>
          <w:sz w:val="24"/>
          <w:szCs w:val="24"/>
        </w:rPr>
        <w:t xml:space="preserve">experiencing </w:t>
      </w:r>
      <w:r w:rsidRPr="000F687F">
        <w:rPr>
          <w:sz w:val="24"/>
          <w:szCs w:val="24"/>
        </w:rPr>
        <w:t xml:space="preserve">two or more gout </w:t>
      </w:r>
      <w:r>
        <w:rPr>
          <w:sz w:val="24"/>
          <w:szCs w:val="24"/>
        </w:rPr>
        <w:t>flares in the previous year</w:t>
      </w:r>
      <w:r w:rsidRPr="00423C90">
        <w:rPr>
          <w:sz w:val="24"/>
          <w:szCs w:val="24"/>
        </w:rPr>
        <w:t>.</w:t>
      </w:r>
      <w:r w:rsidR="000619B3">
        <w:rPr>
          <w:sz w:val="24"/>
          <w:szCs w:val="24"/>
        </w:rPr>
        <w:t>[</w:t>
      </w:r>
      <w:r w:rsidR="001456BA" w:rsidRPr="00533CDB">
        <w:rPr>
          <w:sz w:val="24"/>
          <w:szCs w:val="24"/>
        </w:rPr>
        <w:t>4</w:t>
      </w:r>
      <w:r w:rsidR="00C11C00">
        <w:rPr>
          <w:sz w:val="24"/>
          <w:szCs w:val="24"/>
        </w:rPr>
        <w:t>8</w:t>
      </w:r>
      <w:r w:rsidR="001456BA" w:rsidRPr="00533CDB">
        <w:rPr>
          <w:sz w:val="24"/>
          <w:szCs w:val="24"/>
        </w:rPr>
        <w:t>-</w:t>
      </w:r>
      <w:r w:rsidR="00C11C00">
        <w:rPr>
          <w:sz w:val="24"/>
          <w:szCs w:val="24"/>
        </w:rPr>
        <w:t>50</w:t>
      </w:r>
      <w:r w:rsidR="000619B3" w:rsidRPr="000619B3">
        <w:rPr>
          <w:sz w:val="24"/>
          <w:szCs w:val="24"/>
        </w:rPr>
        <w:t>]</w:t>
      </w:r>
      <w:r w:rsidRPr="00423C90">
        <w:rPr>
          <w:sz w:val="24"/>
          <w:szCs w:val="24"/>
        </w:rPr>
        <w:t xml:space="preserve">  </w:t>
      </w:r>
      <w:r w:rsidR="000619B3">
        <w:rPr>
          <w:sz w:val="24"/>
          <w:szCs w:val="24"/>
        </w:rPr>
        <w:t>We</w:t>
      </w:r>
      <w:r w:rsidR="00284083">
        <w:rPr>
          <w:sz w:val="24"/>
          <w:szCs w:val="24"/>
        </w:rPr>
        <w:t xml:space="preserve"> identified</w:t>
      </w:r>
      <w:r w:rsidR="00177B31">
        <w:rPr>
          <w:sz w:val="24"/>
          <w:szCs w:val="24"/>
        </w:rPr>
        <w:t xml:space="preserve"> people at risk of worse outcomes over time</w:t>
      </w:r>
      <w:r w:rsidR="0008394A">
        <w:rPr>
          <w:sz w:val="24"/>
          <w:szCs w:val="24"/>
        </w:rPr>
        <w:t>,</w:t>
      </w:r>
      <w:r w:rsidR="00177B31">
        <w:rPr>
          <w:sz w:val="24"/>
          <w:szCs w:val="24"/>
        </w:rPr>
        <w:t xml:space="preserve"> </w:t>
      </w:r>
      <w:r w:rsidR="0008394A" w:rsidRPr="0008394A">
        <w:rPr>
          <w:sz w:val="24"/>
          <w:szCs w:val="24"/>
        </w:rPr>
        <w:t>for example people with</w:t>
      </w:r>
      <w:r w:rsidR="003E6ACB">
        <w:rPr>
          <w:sz w:val="24"/>
          <w:szCs w:val="24"/>
        </w:rPr>
        <w:t xml:space="preserve"> more frequent flares, oligo</w:t>
      </w:r>
      <w:r w:rsidR="000619B3">
        <w:rPr>
          <w:sz w:val="24"/>
          <w:szCs w:val="24"/>
        </w:rPr>
        <w:t>/</w:t>
      </w:r>
      <w:r w:rsidR="003E6ACB">
        <w:rPr>
          <w:sz w:val="24"/>
          <w:szCs w:val="24"/>
        </w:rPr>
        <w:t xml:space="preserve">polyarticular flares, </w:t>
      </w:r>
      <w:r w:rsidR="0008394A" w:rsidRPr="0008394A">
        <w:rPr>
          <w:sz w:val="24"/>
          <w:szCs w:val="24"/>
        </w:rPr>
        <w:t>worse pain and more severe depression</w:t>
      </w:r>
      <w:r w:rsidR="0008394A">
        <w:rPr>
          <w:sz w:val="24"/>
          <w:szCs w:val="24"/>
        </w:rPr>
        <w:t>,</w:t>
      </w:r>
      <w:r w:rsidR="0008394A" w:rsidRPr="0008394A">
        <w:rPr>
          <w:sz w:val="24"/>
          <w:szCs w:val="24"/>
        </w:rPr>
        <w:t xml:space="preserve"> </w:t>
      </w:r>
      <w:r w:rsidR="000619B3">
        <w:rPr>
          <w:sz w:val="24"/>
          <w:szCs w:val="24"/>
        </w:rPr>
        <w:t>who could be targeted for specific</w:t>
      </w:r>
      <w:r w:rsidR="00177B31">
        <w:rPr>
          <w:sz w:val="24"/>
          <w:szCs w:val="24"/>
        </w:rPr>
        <w:t xml:space="preserve"> interventions</w:t>
      </w:r>
      <w:r w:rsidR="00EA4FF0">
        <w:rPr>
          <w:sz w:val="24"/>
          <w:szCs w:val="24"/>
        </w:rPr>
        <w:t xml:space="preserve">.  </w:t>
      </w:r>
      <w:r w:rsidR="00462857" w:rsidRPr="00367753">
        <w:rPr>
          <w:sz w:val="24"/>
          <w:szCs w:val="24"/>
        </w:rPr>
        <w:t xml:space="preserve">Interventions which optimise ULT and target modifiable risk </w:t>
      </w:r>
      <w:r w:rsidR="00462857">
        <w:rPr>
          <w:sz w:val="24"/>
          <w:szCs w:val="24"/>
        </w:rPr>
        <w:t xml:space="preserve">factors such as pain and </w:t>
      </w:r>
      <w:r w:rsidR="00462857" w:rsidRPr="00367753">
        <w:rPr>
          <w:sz w:val="24"/>
          <w:szCs w:val="24"/>
        </w:rPr>
        <w:t>depression have the potential to attenuate deterioration in HRQOL in people living with gout.</w:t>
      </w:r>
      <w:r w:rsidR="00D94A1F">
        <w:rPr>
          <w:sz w:val="24"/>
          <w:szCs w:val="24"/>
        </w:rPr>
        <w:t xml:space="preserve"> </w:t>
      </w:r>
      <w:r w:rsidR="000619B3">
        <w:rPr>
          <w:sz w:val="24"/>
          <w:szCs w:val="24"/>
        </w:rPr>
        <w:t>L</w:t>
      </w:r>
      <w:r w:rsidR="00ED522E" w:rsidRPr="00ED522E">
        <w:rPr>
          <w:sz w:val="24"/>
          <w:szCs w:val="24"/>
        </w:rPr>
        <w:t xml:space="preserve">iving in a less deprived </w:t>
      </w:r>
      <w:r w:rsidR="0008394A">
        <w:rPr>
          <w:sz w:val="24"/>
          <w:szCs w:val="24"/>
        </w:rPr>
        <w:t xml:space="preserve">area and </w:t>
      </w:r>
      <w:r w:rsidR="00EA4FF0" w:rsidRPr="00EA4FF0">
        <w:rPr>
          <w:sz w:val="24"/>
          <w:szCs w:val="24"/>
        </w:rPr>
        <w:t xml:space="preserve">attendance at </w:t>
      </w:r>
      <w:r w:rsidR="00C54630">
        <w:rPr>
          <w:sz w:val="24"/>
          <w:szCs w:val="24"/>
        </w:rPr>
        <w:t>further</w:t>
      </w:r>
      <w:r w:rsidR="00E0264C">
        <w:rPr>
          <w:sz w:val="24"/>
          <w:szCs w:val="24"/>
        </w:rPr>
        <w:t xml:space="preserve"> </w:t>
      </w:r>
      <w:r w:rsidR="00EA4FF0" w:rsidRPr="00EA4FF0">
        <w:rPr>
          <w:sz w:val="24"/>
          <w:szCs w:val="24"/>
        </w:rPr>
        <w:t xml:space="preserve">education </w:t>
      </w:r>
      <w:r w:rsidR="000619B3">
        <w:rPr>
          <w:sz w:val="24"/>
          <w:szCs w:val="24"/>
        </w:rPr>
        <w:t>were</w:t>
      </w:r>
      <w:r w:rsidR="00EA4FF0" w:rsidRPr="00EA4FF0">
        <w:rPr>
          <w:sz w:val="24"/>
          <w:szCs w:val="24"/>
        </w:rPr>
        <w:t xml:space="preserve"> associated with </w:t>
      </w:r>
      <w:r w:rsidR="000619B3">
        <w:rPr>
          <w:sz w:val="24"/>
          <w:szCs w:val="24"/>
        </w:rPr>
        <w:t>better</w:t>
      </w:r>
      <w:r w:rsidR="00EA4FF0" w:rsidRPr="00EA4FF0">
        <w:rPr>
          <w:sz w:val="24"/>
          <w:szCs w:val="24"/>
        </w:rPr>
        <w:t xml:space="preserve"> </w:t>
      </w:r>
      <w:r w:rsidR="0008394A">
        <w:rPr>
          <w:sz w:val="24"/>
          <w:szCs w:val="24"/>
        </w:rPr>
        <w:t xml:space="preserve">generic and </w:t>
      </w:r>
      <w:r w:rsidR="00EA4FF0" w:rsidRPr="00EA4FF0">
        <w:rPr>
          <w:sz w:val="24"/>
          <w:szCs w:val="24"/>
        </w:rPr>
        <w:t xml:space="preserve">disease-specific </w:t>
      </w:r>
      <w:r w:rsidR="00EA4FF0" w:rsidRPr="00EA4FF0">
        <w:rPr>
          <w:sz w:val="24"/>
          <w:szCs w:val="24"/>
        </w:rPr>
        <w:lastRenderedPageBreak/>
        <w:t>HRQOL</w:t>
      </w:r>
      <w:r w:rsidR="0008394A">
        <w:rPr>
          <w:sz w:val="24"/>
          <w:szCs w:val="24"/>
        </w:rPr>
        <w:t xml:space="preserve"> respectively</w:t>
      </w:r>
      <w:r w:rsidR="00ED522E" w:rsidRPr="00ED522E">
        <w:rPr>
          <w:sz w:val="24"/>
          <w:szCs w:val="24"/>
        </w:rPr>
        <w:t>, suggest</w:t>
      </w:r>
      <w:r w:rsidR="000619B3">
        <w:rPr>
          <w:sz w:val="24"/>
          <w:szCs w:val="24"/>
        </w:rPr>
        <w:t xml:space="preserve">ing </w:t>
      </w:r>
      <w:r w:rsidR="00ED522E" w:rsidRPr="00ED522E">
        <w:rPr>
          <w:sz w:val="24"/>
          <w:szCs w:val="24"/>
        </w:rPr>
        <w:t>that outcomes in gout are linked to health inequality</w:t>
      </w:r>
      <w:r w:rsidR="00A14681">
        <w:rPr>
          <w:sz w:val="24"/>
          <w:szCs w:val="24"/>
        </w:rPr>
        <w:t>.</w:t>
      </w:r>
      <w:r w:rsidR="00FA63B4">
        <w:rPr>
          <w:sz w:val="24"/>
          <w:szCs w:val="24"/>
        </w:rPr>
        <w:t xml:space="preserve"> </w:t>
      </w:r>
      <w:r w:rsidR="00ED522E" w:rsidRPr="00ED522E">
        <w:rPr>
          <w:sz w:val="24"/>
          <w:szCs w:val="24"/>
        </w:rPr>
        <w:t xml:space="preserve"> </w:t>
      </w:r>
      <w:r w:rsidR="00A14681">
        <w:rPr>
          <w:sz w:val="24"/>
          <w:szCs w:val="24"/>
        </w:rPr>
        <w:t xml:space="preserve">Interventions, </w:t>
      </w:r>
      <w:r w:rsidR="008F57A4">
        <w:rPr>
          <w:sz w:val="24"/>
          <w:szCs w:val="24"/>
        </w:rPr>
        <w:t>e</w:t>
      </w:r>
      <w:r w:rsidR="00ED522E" w:rsidRPr="00ED522E">
        <w:rPr>
          <w:sz w:val="24"/>
          <w:szCs w:val="24"/>
        </w:rPr>
        <w:t>ducation, and resources</w:t>
      </w:r>
      <w:r w:rsidR="000619B3">
        <w:rPr>
          <w:sz w:val="24"/>
          <w:szCs w:val="24"/>
        </w:rPr>
        <w:t xml:space="preserve"> for gout</w:t>
      </w:r>
      <w:r w:rsidR="00FA63B4">
        <w:rPr>
          <w:sz w:val="24"/>
          <w:szCs w:val="24"/>
        </w:rPr>
        <w:t xml:space="preserve"> may therefore</w:t>
      </w:r>
      <w:r w:rsidR="000619B3">
        <w:rPr>
          <w:sz w:val="24"/>
          <w:szCs w:val="24"/>
        </w:rPr>
        <w:t xml:space="preserve"> need to be tailored for use </w:t>
      </w:r>
      <w:r w:rsidR="00ED522E" w:rsidRPr="00ED522E">
        <w:rPr>
          <w:sz w:val="24"/>
          <w:szCs w:val="24"/>
        </w:rPr>
        <w:t>in areas of deprivation</w:t>
      </w:r>
      <w:r w:rsidR="00EA4FF0">
        <w:rPr>
          <w:sz w:val="24"/>
          <w:szCs w:val="24"/>
        </w:rPr>
        <w:t xml:space="preserve"> and lower education</w:t>
      </w:r>
      <w:r w:rsidR="0008394A">
        <w:rPr>
          <w:sz w:val="24"/>
          <w:szCs w:val="24"/>
        </w:rPr>
        <w:t>al</w:t>
      </w:r>
      <w:r w:rsidR="00EA4FF0">
        <w:rPr>
          <w:sz w:val="24"/>
          <w:szCs w:val="24"/>
        </w:rPr>
        <w:t xml:space="preserve"> </w:t>
      </w:r>
      <w:r w:rsidR="00EA4FF0" w:rsidRPr="00F22BDA">
        <w:rPr>
          <w:sz w:val="24"/>
          <w:szCs w:val="24"/>
        </w:rPr>
        <w:t>attainment</w:t>
      </w:r>
      <w:r w:rsidR="00ED522E" w:rsidRPr="00F22BDA">
        <w:rPr>
          <w:sz w:val="24"/>
          <w:szCs w:val="24"/>
        </w:rPr>
        <w:t>.</w:t>
      </w:r>
      <w:r w:rsidR="00841EB2">
        <w:rPr>
          <w:sz w:val="24"/>
          <w:szCs w:val="24"/>
        </w:rPr>
        <w:t xml:space="preserve">  </w:t>
      </w:r>
      <w:r w:rsidR="00FB2073">
        <w:rPr>
          <w:sz w:val="24"/>
          <w:szCs w:val="24"/>
        </w:rPr>
        <w:t>Owing</w:t>
      </w:r>
      <w:r w:rsidR="00284083" w:rsidRPr="00EA4FF0">
        <w:rPr>
          <w:sz w:val="24"/>
          <w:szCs w:val="24"/>
        </w:rPr>
        <w:t xml:space="preserve"> to the paucity of previous studies</w:t>
      </w:r>
      <w:r w:rsidR="00B55260">
        <w:rPr>
          <w:sz w:val="24"/>
          <w:szCs w:val="24"/>
        </w:rPr>
        <w:t xml:space="preserve"> prospectively investigating HRQOL in primary care</w:t>
      </w:r>
      <w:r w:rsidR="00FB2073">
        <w:rPr>
          <w:sz w:val="24"/>
          <w:szCs w:val="24"/>
        </w:rPr>
        <w:t>,</w:t>
      </w:r>
      <w:r w:rsidR="00284083" w:rsidRPr="00EA4FF0">
        <w:rPr>
          <w:sz w:val="24"/>
          <w:szCs w:val="24"/>
        </w:rPr>
        <w:t xml:space="preserve"> </w:t>
      </w:r>
      <w:r w:rsidR="00284083">
        <w:rPr>
          <w:sz w:val="24"/>
          <w:szCs w:val="24"/>
        </w:rPr>
        <w:t>t</w:t>
      </w:r>
      <w:r w:rsidR="00ED522E" w:rsidRPr="00EA4FF0">
        <w:rPr>
          <w:sz w:val="24"/>
          <w:szCs w:val="24"/>
        </w:rPr>
        <w:t>his study was intentionally exploratory in nature</w:t>
      </w:r>
      <w:r w:rsidR="00677B2B">
        <w:rPr>
          <w:sz w:val="24"/>
          <w:szCs w:val="24"/>
        </w:rPr>
        <w:t>.</w:t>
      </w:r>
      <w:r w:rsidR="00841EB2">
        <w:rPr>
          <w:sz w:val="24"/>
          <w:szCs w:val="24"/>
        </w:rPr>
        <w:t xml:space="preserve"> </w:t>
      </w:r>
    </w:p>
    <w:p w14:paraId="7D12A200" w14:textId="7DE44B75" w:rsidR="00177B31" w:rsidRDefault="00177B31" w:rsidP="00D853B5">
      <w:pPr>
        <w:spacing w:after="0" w:line="480" w:lineRule="auto"/>
        <w:jc w:val="both"/>
        <w:rPr>
          <w:sz w:val="24"/>
          <w:szCs w:val="24"/>
        </w:rPr>
      </w:pPr>
      <w:r>
        <w:rPr>
          <w:sz w:val="24"/>
          <w:szCs w:val="24"/>
        </w:rPr>
        <w:t>In conclusion, this study</w:t>
      </w:r>
      <w:r w:rsidR="0095725C">
        <w:rPr>
          <w:sz w:val="24"/>
          <w:szCs w:val="24"/>
        </w:rPr>
        <w:t xml:space="preserve"> identified </w:t>
      </w:r>
      <w:r w:rsidR="0008394A">
        <w:rPr>
          <w:sz w:val="24"/>
          <w:szCs w:val="24"/>
        </w:rPr>
        <w:t>gout-specific, comorbid and socio-demographic factors associated with change in disease-specific and generic HRQOL in people living with gout in primary care, highlighting people at risk o</w:t>
      </w:r>
      <w:r w:rsidR="0095725C">
        <w:rPr>
          <w:sz w:val="24"/>
          <w:szCs w:val="24"/>
        </w:rPr>
        <w:t>f</w:t>
      </w:r>
      <w:r w:rsidR="0008394A">
        <w:rPr>
          <w:sz w:val="24"/>
          <w:szCs w:val="24"/>
        </w:rPr>
        <w:t xml:space="preserve"> worse outcomes over three years and at greatest need for targeted interventions.</w:t>
      </w:r>
    </w:p>
    <w:tbl>
      <w:tblPr>
        <w:tblStyle w:val="TableGrid"/>
        <w:tblpPr w:leftFromText="180" w:rightFromText="180" w:vertAnchor="text" w:horzAnchor="margin" w:tblpY="207"/>
        <w:tblW w:w="0" w:type="auto"/>
        <w:tblLook w:val="04A0" w:firstRow="1" w:lastRow="0" w:firstColumn="1" w:lastColumn="0" w:noHBand="0" w:noVBand="1"/>
      </w:tblPr>
      <w:tblGrid>
        <w:gridCol w:w="9016"/>
      </w:tblGrid>
      <w:tr w:rsidR="00EA3E2C" w14:paraId="5C353A1E" w14:textId="77777777" w:rsidTr="00EA3E2C">
        <w:trPr>
          <w:trHeight w:val="431"/>
        </w:trPr>
        <w:tc>
          <w:tcPr>
            <w:tcW w:w="9016" w:type="dxa"/>
            <w:shd w:val="clear" w:color="auto" w:fill="404040" w:themeFill="text1" w:themeFillTint="BF"/>
            <w:vAlign w:val="center"/>
          </w:tcPr>
          <w:p w14:paraId="38597DA0" w14:textId="77777777" w:rsidR="00EA3E2C" w:rsidRDefault="00EA3E2C" w:rsidP="00EA3E2C">
            <w:pPr>
              <w:rPr>
                <w:sz w:val="24"/>
                <w:szCs w:val="24"/>
              </w:rPr>
            </w:pPr>
            <w:r w:rsidRPr="007D5D24">
              <w:rPr>
                <w:color w:val="FFFFFF" w:themeColor="background1"/>
                <w:sz w:val="24"/>
                <w:szCs w:val="24"/>
              </w:rPr>
              <w:t>Rheumatology key messages</w:t>
            </w:r>
          </w:p>
        </w:tc>
      </w:tr>
      <w:tr w:rsidR="00EA3E2C" w14:paraId="19D288DF" w14:textId="77777777" w:rsidTr="00EA3E2C">
        <w:tc>
          <w:tcPr>
            <w:tcW w:w="9016" w:type="dxa"/>
          </w:tcPr>
          <w:p w14:paraId="01036652" w14:textId="77777777" w:rsidR="00EA3E2C" w:rsidRPr="00DE5A34" w:rsidRDefault="00EA3E2C" w:rsidP="00EA3E2C">
            <w:pPr>
              <w:pStyle w:val="ListParagraph"/>
              <w:numPr>
                <w:ilvl w:val="0"/>
                <w:numId w:val="2"/>
              </w:numPr>
              <w:rPr>
                <w:sz w:val="24"/>
                <w:szCs w:val="24"/>
              </w:rPr>
            </w:pPr>
            <w:r w:rsidRPr="00DE5A34">
              <w:rPr>
                <w:sz w:val="24"/>
                <w:szCs w:val="24"/>
              </w:rPr>
              <w:t>Gout-specific, comorbid and socio-demographic factors associated with health-related quality of life (HRQOL) were identified.</w:t>
            </w:r>
          </w:p>
          <w:p w14:paraId="7A790DF5" w14:textId="781EC0ED" w:rsidR="00EA3E2C" w:rsidRPr="00DE5A34" w:rsidRDefault="00EF1A2E" w:rsidP="00EA3E2C">
            <w:pPr>
              <w:pStyle w:val="ListParagraph"/>
              <w:numPr>
                <w:ilvl w:val="0"/>
                <w:numId w:val="2"/>
              </w:numPr>
              <w:rPr>
                <w:sz w:val="24"/>
                <w:szCs w:val="24"/>
              </w:rPr>
            </w:pPr>
            <w:r>
              <w:rPr>
                <w:sz w:val="24"/>
                <w:szCs w:val="24"/>
              </w:rPr>
              <w:t>Gout flare</w:t>
            </w:r>
            <w:r w:rsidR="00EA3E2C" w:rsidRPr="00DE5A34">
              <w:rPr>
                <w:sz w:val="24"/>
                <w:szCs w:val="24"/>
              </w:rPr>
              <w:t xml:space="preserve"> frequency, oligo/polyarticular flares, pain</w:t>
            </w:r>
            <w:r w:rsidR="009D56A5">
              <w:rPr>
                <w:sz w:val="24"/>
                <w:szCs w:val="24"/>
              </w:rPr>
              <w:t>,</w:t>
            </w:r>
            <w:r w:rsidR="00EA3E2C" w:rsidRPr="00DE5A34">
              <w:rPr>
                <w:sz w:val="24"/>
                <w:szCs w:val="24"/>
              </w:rPr>
              <w:t xml:space="preserve"> and depression were associated with worse HRQOL</w:t>
            </w:r>
            <w:r>
              <w:rPr>
                <w:sz w:val="24"/>
                <w:szCs w:val="24"/>
              </w:rPr>
              <w:t xml:space="preserve"> (disease-specific, </w:t>
            </w:r>
            <w:r w:rsidRPr="00DE5A34">
              <w:rPr>
                <w:sz w:val="24"/>
                <w:szCs w:val="24"/>
              </w:rPr>
              <w:t>generic</w:t>
            </w:r>
            <w:r w:rsidR="009D56A5">
              <w:rPr>
                <w:sz w:val="24"/>
                <w:szCs w:val="24"/>
              </w:rPr>
              <w:t>)</w:t>
            </w:r>
            <w:r w:rsidR="00EA3E2C" w:rsidRPr="00DE5A34">
              <w:rPr>
                <w:sz w:val="24"/>
                <w:szCs w:val="24"/>
              </w:rPr>
              <w:t xml:space="preserve">. </w:t>
            </w:r>
          </w:p>
          <w:p w14:paraId="11197CB9" w14:textId="101D4FD3" w:rsidR="00EA3E2C" w:rsidRPr="004B3AD4" w:rsidRDefault="00EA3E2C" w:rsidP="00EF1A2E">
            <w:pPr>
              <w:pStyle w:val="ListParagraph"/>
              <w:numPr>
                <w:ilvl w:val="0"/>
                <w:numId w:val="2"/>
              </w:numPr>
              <w:rPr>
                <w:sz w:val="24"/>
                <w:szCs w:val="24"/>
              </w:rPr>
            </w:pPr>
            <w:r w:rsidRPr="00DE5A34">
              <w:rPr>
                <w:sz w:val="24"/>
                <w:szCs w:val="24"/>
              </w:rPr>
              <w:t>Interventions, education and resources could be targeted at risk of a worse</w:t>
            </w:r>
            <w:r w:rsidR="00EF1A2E">
              <w:rPr>
                <w:sz w:val="24"/>
                <w:szCs w:val="24"/>
              </w:rPr>
              <w:t xml:space="preserve"> gout</w:t>
            </w:r>
            <w:r w:rsidRPr="00DE5A34">
              <w:rPr>
                <w:sz w:val="24"/>
                <w:szCs w:val="24"/>
              </w:rPr>
              <w:t xml:space="preserve"> outcome.</w:t>
            </w:r>
            <w:r w:rsidRPr="00D86070">
              <w:rPr>
                <w:sz w:val="24"/>
                <w:szCs w:val="24"/>
              </w:rPr>
              <w:t xml:space="preserve">  </w:t>
            </w:r>
          </w:p>
        </w:tc>
      </w:tr>
    </w:tbl>
    <w:p w14:paraId="54066777" w14:textId="77777777" w:rsidR="00D90B61" w:rsidRDefault="00D90B61" w:rsidP="00F7126B">
      <w:pPr>
        <w:spacing w:after="0" w:line="480" w:lineRule="auto"/>
        <w:jc w:val="both"/>
        <w:rPr>
          <w:b/>
          <w:sz w:val="24"/>
          <w:szCs w:val="24"/>
        </w:rPr>
      </w:pPr>
    </w:p>
    <w:p w14:paraId="1999D7AB" w14:textId="77777777" w:rsidR="002C60A0" w:rsidRDefault="002C60A0" w:rsidP="00F7126B">
      <w:pPr>
        <w:spacing w:after="0" w:line="480" w:lineRule="auto"/>
        <w:jc w:val="both"/>
        <w:rPr>
          <w:b/>
          <w:sz w:val="24"/>
          <w:szCs w:val="24"/>
        </w:rPr>
      </w:pPr>
    </w:p>
    <w:p w14:paraId="34DAA0F0" w14:textId="77777777" w:rsidR="002C60A0" w:rsidRDefault="002C60A0" w:rsidP="00F7126B">
      <w:pPr>
        <w:spacing w:after="0" w:line="480" w:lineRule="auto"/>
        <w:jc w:val="both"/>
        <w:rPr>
          <w:b/>
          <w:sz w:val="24"/>
          <w:szCs w:val="24"/>
        </w:rPr>
      </w:pPr>
    </w:p>
    <w:p w14:paraId="51E10661" w14:textId="2B59F361" w:rsidR="00F7126B" w:rsidRDefault="00F7126B" w:rsidP="00F7126B">
      <w:pPr>
        <w:spacing w:after="0" w:line="480" w:lineRule="auto"/>
        <w:jc w:val="both"/>
        <w:rPr>
          <w:b/>
          <w:sz w:val="24"/>
          <w:szCs w:val="24"/>
        </w:rPr>
      </w:pPr>
      <w:r w:rsidRPr="007B2129">
        <w:rPr>
          <w:b/>
          <w:sz w:val="24"/>
          <w:szCs w:val="24"/>
        </w:rPr>
        <w:t>Acknowledgements</w:t>
      </w:r>
      <w:r>
        <w:rPr>
          <w:b/>
          <w:sz w:val="24"/>
          <w:szCs w:val="24"/>
        </w:rPr>
        <w:t>:</w:t>
      </w:r>
      <w:r w:rsidRPr="007B2129">
        <w:rPr>
          <w:b/>
          <w:sz w:val="24"/>
          <w:szCs w:val="24"/>
        </w:rPr>
        <w:t xml:space="preserve"> </w:t>
      </w:r>
    </w:p>
    <w:p w14:paraId="46487DA0" w14:textId="4DB1488B" w:rsidR="00A916C0" w:rsidRDefault="00F7126B" w:rsidP="0089345F">
      <w:pPr>
        <w:spacing w:after="0" w:line="480" w:lineRule="auto"/>
        <w:jc w:val="both"/>
        <w:rPr>
          <w:sz w:val="24"/>
          <w:szCs w:val="24"/>
        </w:rPr>
      </w:pPr>
      <w:r w:rsidRPr="00034F4C">
        <w:rPr>
          <w:sz w:val="24"/>
          <w:szCs w:val="24"/>
        </w:rPr>
        <w:t xml:space="preserve">This work was supported by service support through the </w:t>
      </w:r>
      <w:r w:rsidR="00EF1A2E">
        <w:rPr>
          <w:sz w:val="24"/>
          <w:szCs w:val="24"/>
        </w:rPr>
        <w:t>NIHR CRN: West Midlands</w:t>
      </w:r>
      <w:r w:rsidRPr="00034F4C">
        <w:rPr>
          <w:sz w:val="24"/>
          <w:szCs w:val="24"/>
        </w:rPr>
        <w:t>.  The authors would like to thank the administrative and health informatics staff at Keele University’s Primary Care Centre Versus Arthritis</w:t>
      </w:r>
      <w:r>
        <w:rPr>
          <w:sz w:val="24"/>
          <w:szCs w:val="24"/>
        </w:rPr>
        <w:t xml:space="preserve">, and staff and patients of the participating </w:t>
      </w:r>
      <w:r w:rsidR="00EF1A2E">
        <w:rPr>
          <w:sz w:val="24"/>
          <w:szCs w:val="24"/>
        </w:rPr>
        <w:t xml:space="preserve">general </w:t>
      </w:r>
      <w:r>
        <w:rPr>
          <w:sz w:val="24"/>
          <w:szCs w:val="24"/>
        </w:rPr>
        <w:t xml:space="preserve">practices. </w:t>
      </w:r>
      <w:r w:rsidRPr="000235D3">
        <w:rPr>
          <w:sz w:val="24"/>
          <w:szCs w:val="24"/>
        </w:rPr>
        <w:t>This project was undertaken with the support of Keele Clinical Trials Unit, Keele University, UK</w:t>
      </w:r>
    </w:p>
    <w:p w14:paraId="2538E34D" w14:textId="2BC94E85" w:rsidR="00682DF0" w:rsidRDefault="00682DF0" w:rsidP="0089345F">
      <w:pPr>
        <w:spacing w:after="0" w:line="480" w:lineRule="auto"/>
        <w:jc w:val="both"/>
        <w:rPr>
          <w:sz w:val="24"/>
          <w:szCs w:val="24"/>
        </w:rPr>
      </w:pPr>
    </w:p>
    <w:p w14:paraId="64D620A0" w14:textId="77777777" w:rsidR="00682DF0" w:rsidRDefault="00682DF0" w:rsidP="0089345F">
      <w:pPr>
        <w:spacing w:after="0" w:line="480" w:lineRule="auto"/>
        <w:jc w:val="both"/>
        <w:rPr>
          <w:b/>
          <w:sz w:val="24"/>
          <w:szCs w:val="24"/>
        </w:rPr>
      </w:pPr>
    </w:p>
    <w:p w14:paraId="6A8875A9" w14:textId="0656AD71" w:rsidR="0074670D" w:rsidRPr="00F7126B" w:rsidRDefault="0074670D" w:rsidP="0089345F">
      <w:pPr>
        <w:spacing w:after="0" w:line="480" w:lineRule="auto"/>
        <w:jc w:val="both"/>
        <w:rPr>
          <w:b/>
          <w:sz w:val="24"/>
          <w:szCs w:val="24"/>
        </w:rPr>
      </w:pPr>
      <w:r w:rsidRPr="00F7126B">
        <w:rPr>
          <w:b/>
          <w:sz w:val="24"/>
          <w:szCs w:val="24"/>
        </w:rPr>
        <w:lastRenderedPageBreak/>
        <w:t>Funding statement</w:t>
      </w:r>
      <w:r w:rsidR="004F43A7" w:rsidRPr="00F7126B">
        <w:rPr>
          <w:b/>
          <w:sz w:val="24"/>
          <w:szCs w:val="24"/>
        </w:rPr>
        <w:t>:</w:t>
      </w:r>
    </w:p>
    <w:p w14:paraId="60068CBC" w14:textId="7F63D540" w:rsidR="000664B4" w:rsidRDefault="000664B4" w:rsidP="000664B4">
      <w:pPr>
        <w:spacing w:after="0" w:line="480" w:lineRule="auto"/>
        <w:jc w:val="both"/>
        <w:rPr>
          <w:rFonts w:cstheme="minorHAnsi"/>
          <w:color w:val="000000"/>
          <w:sz w:val="24"/>
          <w:szCs w:val="24"/>
          <w:shd w:val="clear" w:color="auto" w:fill="FFFFFF"/>
        </w:rPr>
      </w:pPr>
      <w:bookmarkStart w:id="2" w:name="_Hlk22545726"/>
      <w:r w:rsidRPr="00A96EA4">
        <w:rPr>
          <w:rFonts w:cstheme="minorHAnsi"/>
          <w:color w:val="000000"/>
          <w:sz w:val="24"/>
          <w:szCs w:val="24"/>
          <w:shd w:val="clear" w:color="auto" w:fill="FFFFFF"/>
        </w:rPr>
        <w:t xml:space="preserve">Christian Mallen is funded by the </w:t>
      </w:r>
      <w:r w:rsidRPr="00A96EA4">
        <w:rPr>
          <w:rFonts w:cstheme="minorHAnsi"/>
          <w:sz w:val="24"/>
          <w:szCs w:val="24"/>
        </w:rPr>
        <w:t>National Institute for Health</w:t>
      </w:r>
      <w:r w:rsidR="00D8424D">
        <w:rPr>
          <w:rFonts w:cstheme="minorHAnsi"/>
          <w:sz w:val="24"/>
          <w:szCs w:val="24"/>
        </w:rPr>
        <w:t xml:space="preserve"> and Care</w:t>
      </w:r>
      <w:r w:rsidRPr="00A96EA4">
        <w:rPr>
          <w:rFonts w:cstheme="minorHAnsi"/>
          <w:sz w:val="24"/>
          <w:szCs w:val="24"/>
        </w:rPr>
        <w:t xml:space="preserve"> Research (</w:t>
      </w:r>
      <w:r w:rsidRPr="00A96EA4">
        <w:rPr>
          <w:rFonts w:cstheme="minorHAnsi"/>
          <w:color w:val="000000"/>
          <w:sz w:val="24"/>
          <w:szCs w:val="24"/>
          <w:shd w:val="clear" w:color="auto" w:fill="FFFFFF"/>
        </w:rPr>
        <w:t>NIHR) Applied Research Collaboration West Midlands,</w:t>
      </w:r>
      <w:r>
        <w:rPr>
          <w:rFonts w:cstheme="minorHAnsi"/>
          <w:color w:val="000000"/>
          <w:sz w:val="24"/>
          <w:szCs w:val="24"/>
          <w:shd w:val="clear" w:color="auto" w:fill="FFFFFF"/>
        </w:rPr>
        <w:t xml:space="preserve"> and </w:t>
      </w:r>
      <w:r w:rsidRPr="00A96EA4">
        <w:rPr>
          <w:rFonts w:cstheme="minorHAnsi"/>
          <w:color w:val="000000"/>
          <w:sz w:val="24"/>
          <w:szCs w:val="24"/>
          <w:shd w:val="clear" w:color="auto" w:fill="FFFFFF"/>
        </w:rPr>
        <w:t xml:space="preserve">the NIHR School for Primary Care Research this research project. </w:t>
      </w:r>
      <w:r>
        <w:rPr>
          <w:rFonts w:cstheme="minorHAnsi"/>
          <w:color w:val="000000"/>
          <w:sz w:val="24"/>
          <w:szCs w:val="24"/>
          <w:shd w:val="clear" w:color="auto" w:fill="FFFFFF"/>
        </w:rPr>
        <w:t xml:space="preserve">The School of Medicine as received funding from BMS for a non-pharmacological AF screening trial. </w:t>
      </w:r>
    </w:p>
    <w:p w14:paraId="7651E953" w14:textId="6D72F49D" w:rsidR="000664B4" w:rsidRDefault="000664B4" w:rsidP="000664B4">
      <w:pPr>
        <w:spacing w:after="0" w:line="480" w:lineRule="auto"/>
        <w:jc w:val="both"/>
        <w:rPr>
          <w:rFonts w:ascii="Calibri" w:hAnsi="Calibri" w:cs="Calibri"/>
          <w:iCs/>
          <w:color w:val="000000"/>
          <w:sz w:val="24"/>
          <w:szCs w:val="24"/>
          <w:shd w:val="clear" w:color="auto" w:fill="FFFFFF"/>
        </w:rPr>
      </w:pPr>
      <w:r w:rsidRPr="00F20842">
        <w:rPr>
          <w:rFonts w:ascii="Calibri" w:hAnsi="Calibri" w:cs="Calibri"/>
          <w:iCs/>
          <w:color w:val="000000"/>
          <w:sz w:val="24"/>
          <w:szCs w:val="24"/>
          <w:shd w:val="clear" w:color="auto" w:fill="FFFFFF"/>
        </w:rPr>
        <w:t>Lorraine Watson is funded by the National Institute for Health</w:t>
      </w:r>
      <w:r w:rsidR="00D8424D">
        <w:rPr>
          <w:rFonts w:ascii="Calibri" w:hAnsi="Calibri" w:cs="Calibri"/>
          <w:iCs/>
          <w:color w:val="000000"/>
          <w:sz w:val="24"/>
          <w:szCs w:val="24"/>
          <w:shd w:val="clear" w:color="auto" w:fill="FFFFFF"/>
        </w:rPr>
        <w:t xml:space="preserve"> and Care</w:t>
      </w:r>
      <w:r w:rsidRPr="00F20842">
        <w:rPr>
          <w:rFonts w:ascii="Calibri" w:hAnsi="Calibri" w:cs="Calibri"/>
          <w:iCs/>
          <w:color w:val="000000"/>
          <w:sz w:val="24"/>
          <w:szCs w:val="24"/>
          <w:shd w:val="clear" w:color="auto" w:fill="FFFFFF"/>
        </w:rPr>
        <w:t xml:space="preserve"> Research (NIHR) School for Primary Care Research.  </w:t>
      </w:r>
    </w:p>
    <w:p w14:paraId="3F711DF9" w14:textId="6CE4132B" w:rsidR="000664B4" w:rsidRPr="00A96EA4" w:rsidRDefault="000664B4" w:rsidP="000664B4">
      <w:pPr>
        <w:spacing w:after="0" w:line="480" w:lineRule="auto"/>
        <w:jc w:val="both"/>
        <w:rPr>
          <w:rFonts w:cstheme="minorHAnsi"/>
          <w:color w:val="000000"/>
          <w:sz w:val="24"/>
          <w:szCs w:val="24"/>
          <w:shd w:val="clear" w:color="auto" w:fill="FFFFFF"/>
        </w:rPr>
      </w:pPr>
      <w:r>
        <w:rPr>
          <w:rFonts w:cstheme="minorHAnsi"/>
          <w:color w:val="000000"/>
          <w:sz w:val="24"/>
          <w:szCs w:val="24"/>
          <w:shd w:val="clear" w:color="auto" w:fill="FFFFFF"/>
        </w:rPr>
        <w:t xml:space="preserve">Sara Muller </w:t>
      </w:r>
      <w:r w:rsidRPr="00A96EA4">
        <w:rPr>
          <w:rFonts w:cstheme="minorHAnsi"/>
          <w:color w:val="000000"/>
          <w:sz w:val="24"/>
          <w:szCs w:val="24"/>
          <w:shd w:val="clear" w:color="auto" w:fill="FFFFFF"/>
        </w:rPr>
        <w:t xml:space="preserve">is funded by the </w:t>
      </w:r>
      <w:r w:rsidRPr="00A96EA4">
        <w:rPr>
          <w:rFonts w:cstheme="minorHAnsi"/>
          <w:sz w:val="24"/>
          <w:szCs w:val="24"/>
        </w:rPr>
        <w:t xml:space="preserve">National Institute for Health </w:t>
      </w:r>
      <w:r w:rsidR="00D8424D">
        <w:rPr>
          <w:rFonts w:cstheme="minorHAnsi"/>
          <w:sz w:val="24"/>
          <w:szCs w:val="24"/>
        </w:rPr>
        <w:t xml:space="preserve">and Care </w:t>
      </w:r>
      <w:r w:rsidRPr="00A96EA4">
        <w:rPr>
          <w:rFonts w:cstheme="minorHAnsi"/>
          <w:sz w:val="24"/>
          <w:szCs w:val="24"/>
        </w:rPr>
        <w:t>Research (</w:t>
      </w:r>
      <w:r w:rsidRPr="00A96EA4">
        <w:rPr>
          <w:rFonts w:cstheme="minorHAnsi"/>
          <w:color w:val="000000"/>
          <w:sz w:val="24"/>
          <w:szCs w:val="24"/>
          <w:shd w:val="clear" w:color="auto" w:fill="FFFFFF"/>
        </w:rPr>
        <w:t>NIHR) Applied Research Collaboration West Midlands</w:t>
      </w:r>
      <w:r>
        <w:rPr>
          <w:rFonts w:cstheme="minorHAnsi"/>
          <w:color w:val="000000"/>
          <w:sz w:val="24"/>
          <w:szCs w:val="24"/>
          <w:shd w:val="clear" w:color="auto" w:fill="FFFFFF"/>
        </w:rPr>
        <w:t>.</w:t>
      </w:r>
    </w:p>
    <w:p w14:paraId="7197A701" w14:textId="2E7A2B9C" w:rsidR="000664B4" w:rsidRDefault="000664B4" w:rsidP="000664B4">
      <w:pPr>
        <w:spacing w:after="0" w:line="480" w:lineRule="auto"/>
        <w:jc w:val="both"/>
        <w:rPr>
          <w:rFonts w:cstheme="minorHAnsi"/>
          <w:sz w:val="24"/>
          <w:szCs w:val="24"/>
        </w:rPr>
      </w:pPr>
      <w:r w:rsidRPr="00A96EA4">
        <w:rPr>
          <w:rFonts w:cstheme="minorHAnsi"/>
          <w:color w:val="000000"/>
          <w:sz w:val="24"/>
          <w:szCs w:val="24"/>
          <w:shd w:val="clear" w:color="auto" w:fill="FFFFFF"/>
        </w:rPr>
        <w:t>This (</w:t>
      </w:r>
      <w:r>
        <w:rPr>
          <w:rFonts w:cstheme="minorHAnsi"/>
          <w:sz w:val="24"/>
          <w:szCs w:val="24"/>
          <w:shd w:val="clear" w:color="auto" w:fill="FFFFFF"/>
        </w:rPr>
        <w:t>paper</w:t>
      </w:r>
      <w:r w:rsidRPr="00A96EA4">
        <w:rPr>
          <w:rFonts w:cstheme="minorHAnsi"/>
          <w:color w:val="000000"/>
          <w:sz w:val="24"/>
          <w:szCs w:val="24"/>
          <w:shd w:val="clear" w:color="auto" w:fill="FFFFFF"/>
        </w:rPr>
        <w:t xml:space="preserve">) presents independent research funded by the NIHR and </w:t>
      </w:r>
      <w:r w:rsidRPr="00A96EA4">
        <w:rPr>
          <w:rFonts w:cstheme="minorHAnsi"/>
          <w:sz w:val="24"/>
          <w:szCs w:val="24"/>
        </w:rPr>
        <w:t>the NIHR Applied Research Collaboration (ARC) West Midlands</w:t>
      </w:r>
      <w:r w:rsidRPr="00A96EA4">
        <w:rPr>
          <w:rFonts w:cstheme="minorHAnsi"/>
          <w:color w:val="000000"/>
          <w:sz w:val="24"/>
          <w:szCs w:val="24"/>
          <w:shd w:val="clear" w:color="auto" w:fill="FFFFFF"/>
        </w:rPr>
        <w:t>. The views expressed are those of the author(s) and not necessarily those of the (partner organisation), the NHS, the NIHR or the Department of Health and Social Care</w:t>
      </w:r>
      <w:r w:rsidRPr="00A96EA4">
        <w:rPr>
          <w:rFonts w:cstheme="minorHAnsi"/>
          <w:sz w:val="24"/>
          <w:szCs w:val="24"/>
        </w:rPr>
        <w:t>.</w:t>
      </w:r>
    </w:p>
    <w:p w14:paraId="1FE7CF3F" w14:textId="77777777" w:rsidR="00A86604" w:rsidRPr="00A96EA4" w:rsidRDefault="00A86604" w:rsidP="000664B4">
      <w:pPr>
        <w:spacing w:after="0" w:line="480" w:lineRule="auto"/>
        <w:jc w:val="both"/>
        <w:rPr>
          <w:rFonts w:cstheme="minorHAnsi"/>
          <w:sz w:val="24"/>
          <w:szCs w:val="24"/>
        </w:rPr>
      </w:pPr>
    </w:p>
    <w:bookmarkEnd w:id="2"/>
    <w:p w14:paraId="68E37D15" w14:textId="77777777" w:rsidR="0074670D" w:rsidRPr="00ED7143" w:rsidRDefault="0074670D" w:rsidP="0089345F">
      <w:pPr>
        <w:spacing w:after="0" w:line="480" w:lineRule="auto"/>
        <w:jc w:val="both"/>
        <w:rPr>
          <w:b/>
          <w:sz w:val="24"/>
          <w:szCs w:val="24"/>
        </w:rPr>
      </w:pPr>
      <w:r w:rsidRPr="00ED7143">
        <w:rPr>
          <w:b/>
          <w:sz w:val="24"/>
          <w:szCs w:val="24"/>
        </w:rPr>
        <w:t>Disclosures/ conflict of intere</w:t>
      </w:r>
      <w:r w:rsidR="004F43A7" w:rsidRPr="00ED7143">
        <w:rPr>
          <w:b/>
          <w:sz w:val="24"/>
          <w:szCs w:val="24"/>
        </w:rPr>
        <w:t>st</w:t>
      </w:r>
      <w:r w:rsidR="00ED7143" w:rsidRPr="00ED7143">
        <w:rPr>
          <w:b/>
          <w:sz w:val="24"/>
          <w:szCs w:val="24"/>
        </w:rPr>
        <w:t>:</w:t>
      </w:r>
    </w:p>
    <w:p w14:paraId="78AC36C6" w14:textId="7F7ECA3A" w:rsidR="009E228C" w:rsidRDefault="004F43A7" w:rsidP="0089345F">
      <w:pPr>
        <w:spacing w:after="0" w:line="480" w:lineRule="auto"/>
        <w:jc w:val="both"/>
        <w:rPr>
          <w:sz w:val="24"/>
          <w:szCs w:val="24"/>
        </w:rPr>
      </w:pPr>
      <w:r>
        <w:rPr>
          <w:sz w:val="24"/>
          <w:szCs w:val="24"/>
        </w:rPr>
        <w:t>None</w:t>
      </w:r>
    </w:p>
    <w:p w14:paraId="3E20FCB8" w14:textId="77777777" w:rsidR="00A86604" w:rsidRDefault="00A86604" w:rsidP="0089345F">
      <w:pPr>
        <w:spacing w:after="0" w:line="480" w:lineRule="auto"/>
        <w:jc w:val="both"/>
        <w:rPr>
          <w:sz w:val="24"/>
          <w:szCs w:val="24"/>
        </w:rPr>
      </w:pPr>
    </w:p>
    <w:p w14:paraId="60522F71" w14:textId="7654CA00" w:rsidR="00A86604" w:rsidRPr="00C23058" w:rsidRDefault="00A86604" w:rsidP="0089345F">
      <w:pPr>
        <w:spacing w:after="0" w:line="480" w:lineRule="auto"/>
        <w:jc w:val="both"/>
        <w:rPr>
          <w:b/>
          <w:sz w:val="24"/>
          <w:szCs w:val="24"/>
        </w:rPr>
      </w:pPr>
      <w:r w:rsidRPr="00C23058">
        <w:rPr>
          <w:b/>
          <w:sz w:val="24"/>
          <w:szCs w:val="24"/>
        </w:rPr>
        <w:t>Data availability statement:</w:t>
      </w:r>
    </w:p>
    <w:p w14:paraId="2DD65145" w14:textId="6843E8FC" w:rsidR="00A86604" w:rsidRPr="005B18AB" w:rsidRDefault="00A86604" w:rsidP="0089345F">
      <w:pPr>
        <w:spacing w:after="0" w:line="480" w:lineRule="auto"/>
        <w:jc w:val="both"/>
        <w:rPr>
          <w:sz w:val="24"/>
          <w:szCs w:val="24"/>
        </w:rPr>
      </w:pPr>
      <w:bookmarkStart w:id="3" w:name="_GoBack"/>
      <w:bookmarkEnd w:id="3"/>
      <w:r w:rsidRPr="00A86604">
        <w:rPr>
          <w:sz w:val="24"/>
          <w:szCs w:val="24"/>
        </w:rPr>
        <w:t xml:space="preserve">Data are available upon reasonable request via open or restricted access through a strict controlled access procedure. In the first instance data requests and enquiries should be directed to </w:t>
      </w:r>
      <w:hyperlink r:id="rId9" w:history="1">
        <w:r w:rsidRPr="005B18AB">
          <w:rPr>
            <w:rStyle w:val="Hyperlink"/>
            <w:color w:val="auto"/>
            <w:sz w:val="24"/>
            <w:szCs w:val="24"/>
            <w:u w:val="none"/>
          </w:rPr>
          <w:t>medicine.datasharing@keele.ac.uk</w:t>
        </w:r>
      </w:hyperlink>
    </w:p>
    <w:p w14:paraId="006E8782" w14:textId="50F973CF" w:rsidR="00A86604" w:rsidRDefault="00A86604" w:rsidP="0089345F">
      <w:pPr>
        <w:spacing w:after="0" w:line="480" w:lineRule="auto"/>
        <w:jc w:val="both"/>
        <w:rPr>
          <w:sz w:val="24"/>
          <w:szCs w:val="24"/>
        </w:rPr>
      </w:pPr>
    </w:p>
    <w:p w14:paraId="0CDCB567" w14:textId="7A8CB514" w:rsidR="00A86604" w:rsidRDefault="00A86604" w:rsidP="0089345F">
      <w:pPr>
        <w:spacing w:after="0" w:line="480" w:lineRule="auto"/>
        <w:jc w:val="both"/>
        <w:rPr>
          <w:sz w:val="24"/>
          <w:szCs w:val="24"/>
        </w:rPr>
      </w:pPr>
    </w:p>
    <w:p w14:paraId="030BAFB0" w14:textId="5F8CBC04" w:rsidR="00A86604" w:rsidRDefault="00A86604" w:rsidP="0089345F">
      <w:pPr>
        <w:spacing w:after="0" w:line="480" w:lineRule="auto"/>
        <w:jc w:val="both"/>
        <w:rPr>
          <w:sz w:val="24"/>
          <w:szCs w:val="24"/>
        </w:rPr>
      </w:pPr>
    </w:p>
    <w:p w14:paraId="3515C417" w14:textId="77777777" w:rsidR="00A86604" w:rsidRDefault="00A86604" w:rsidP="0089345F">
      <w:pPr>
        <w:spacing w:after="0" w:line="480" w:lineRule="auto"/>
        <w:jc w:val="both"/>
        <w:rPr>
          <w:sz w:val="24"/>
          <w:szCs w:val="24"/>
        </w:rPr>
      </w:pPr>
    </w:p>
    <w:p w14:paraId="125F344B" w14:textId="563D71E5" w:rsidR="00874CF8" w:rsidRDefault="0026753B" w:rsidP="0012295B">
      <w:pPr>
        <w:spacing w:after="0" w:line="480" w:lineRule="auto"/>
        <w:jc w:val="both"/>
        <w:rPr>
          <w:rFonts w:ascii="Times New Roman" w:eastAsia="Times New Roman" w:hAnsi="Times New Roman" w:cs="Times New Roman"/>
          <w:color w:val="2A2A2A"/>
          <w:sz w:val="23"/>
          <w:szCs w:val="23"/>
          <w:lang w:eastAsia="en-GB"/>
        </w:rPr>
      </w:pPr>
      <w:r w:rsidRPr="0026753B">
        <w:rPr>
          <w:b/>
          <w:sz w:val="24"/>
          <w:szCs w:val="24"/>
        </w:rPr>
        <w:lastRenderedPageBreak/>
        <w:t>References</w:t>
      </w:r>
      <w:r w:rsidR="00FC7284">
        <w:rPr>
          <w:b/>
          <w:sz w:val="24"/>
          <w:szCs w:val="24"/>
        </w:rPr>
        <w:t xml:space="preserve"> </w:t>
      </w:r>
    </w:p>
    <w:p w14:paraId="5EE0764F" w14:textId="77777777" w:rsidR="001456BA" w:rsidRDefault="001456BA" w:rsidP="001456BA">
      <w:pPr>
        <w:spacing w:line="480" w:lineRule="auto"/>
        <w:rPr>
          <w:sz w:val="24"/>
          <w:szCs w:val="24"/>
        </w:rPr>
      </w:pPr>
      <w:r>
        <w:rPr>
          <w:sz w:val="24"/>
          <w:szCs w:val="24"/>
        </w:rPr>
        <w:t>1</w:t>
      </w:r>
      <w:r w:rsidRPr="005B38F1">
        <w:rPr>
          <w:sz w:val="24"/>
          <w:szCs w:val="24"/>
        </w:rPr>
        <w:t xml:space="preserve">. Kuo CF, Grainge MJ, Mallen C, Zhang W, Doherty M. Rising burden of gout in the UK but continuing suboptimal management: A nationwide population study. </w:t>
      </w:r>
      <w:r w:rsidRPr="002853DB">
        <w:rPr>
          <w:i/>
          <w:sz w:val="24"/>
          <w:szCs w:val="24"/>
        </w:rPr>
        <w:t>Ann Rheum Dis</w:t>
      </w:r>
      <w:r>
        <w:rPr>
          <w:sz w:val="24"/>
          <w:szCs w:val="24"/>
        </w:rPr>
        <w:t xml:space="preserve"> </w:t>
      </w:r>
      <w:r w:rsidRPr="005B38F1">
        <w:rPr>
          <w:sz w:val="24"/>
          <w:szCs w:val="24"/>
        </w:rPr>
        <w:t xml:space="preserve">2015;74(4):661–7. </w:t>
      </w:r>
      <w:r>
        <w:rPr>
          <w:sz w:val="24"/>
          <w:szCs w:val="24"/>
        </w:rPr>
        <w:t>doi:</w:t>
      </w:r>
      <w:r w:rsidRPr="002853DB">
        <w:t xml:space="preserve"> </w:t>
      </w:r>
      <w:r w:rsidRPr="002853DB">
        <w:rPr>
          <w:sz w:val="24"/>
          <w:szCs w:val="24"/>
        </w:rPr>
        <w:t>10.1136/annrheumdis-2013-204463</w:t>
      </w:r>
    </w:p>
    <w:p w14:paraId="6427A889" w14:textId="77777777" w:rsidR="001456BA" w:rsidRDefault="001456BA" w:rsidP="001456BA">
      <w:pPr>
        <w:spacing w:line="480" w:lineRule="auto"/>
        <w:rPr>
          <w:sz w:val="24"/>
          <w:szCs w:val="24"/>
        </w:rPr>
      </w:pPr>
      <w:r w:rsidRPr="00981831">
        <w:rPr>
          <w:sz w:val="24"/>
          <w:szCs w:val="24"/>
        </w:rPr>
        <w:t xml:space="preserve">2. Roddy E, Zhang W, Doherty M. Concordance of the management of chronic gout in a UK primary-care population with the EULAR gout recommendations. </w:t>
      </w:r>
      <w:r w:rsidRPr="00A916C0">
        <w:rPr>
          <w:i/>
          <w:sz w:val="24"/>
          <w:szCs w:val="24"/>
        </w:rPr>
        <w:t>Ann Rheum Dis</w:t>
      </w:r>
      <w:r w:rsidRPr="00981831">
        <w:rPr>
          <w:sz w:val="24"/>
          <w:szCs w:val="24"/>
        </w:rPr>
        <w:t xml:space="preserve"> 2007;66:1311–5. doi: 10.1136/ard.2007.070755</w:t>
      </w:r>
    </w:p>
    <w:p w14:paraId="607988ED" w14:textId="142BB926" w:rsidR="001456BA" w:rsidRDefault="001456BA" w:rsidP="001456BA">
      <w:pPr>
        <w:spacing w:line="480" w:lineRule="auto"/>
        <w:rPr>
          <w:sz w:val="24"/>
          <w:szCs w:val="24"/>
        </w:rPr>
      </w:pPr>
      <w:r w:rsidRPr="00501002">
        <w:rPr>
          <w:sz w:val="24"/>
          <w:szCs w:val="24"/>
        </w:rPr>
        <w:t xml:space="preserve">3. Wall GC, Koenigsfeld CF, Hegge KA, Bottenberg MM. Adherence to treatment guidelines in two primary care populations with gout. </w:t>
      </w:r>
      <w:r w:rsidRPr="00A916C0">
        <w:rPr>
          <w:i/>
          <w:sz w:val="24"/>
          <w:szCs w:val="24"/>
        </w:rPr>
        <w:t>Rheumatol Int</w:t>
      </w:r>
      <w:r w:rsidRPr="00501002">
        <w:rPr>
          <w:sz w:val="24"/>
          <w:szCs w:val="24"/>
        </w:rPr>
        <w:t xml:space="preserve"> 2010;30(6):749–53. doi: 10.1007/s00296-009-1056-7</w:t>
      </w:r>
    </w:p>
    <w:p w14:paraId="2ADCC978" w14:textId="098D0D17" w:rsidR="00833647" w:rsidRDefault="00833647" w:rsidP="001456BA">
      <w:pPr>
        <w:spacing w:line="480" w:lineRule="auto"/>
        <w:rPr>
          <w:sz w:val="24"/>
          <w:szCs w:val="24"/>
        </w:rPr>
      </w:pPr>
      <w:r>
        <w:rPr>
          <w:sz w:val="24"/>
          <w:szCs w:val="24"/>
        </w:rPr>
        <w:t>4</w:t>
      </w:r>
      <w:r w:rsidRPr="00667883">
        <w:rPr>
          <w:sz w:val="24"/>
          <w:szCs w:val="24"/>
        </w:rPr>
        <w:t xml:space="preserve">. Schumacher HR, Taylor W, Edwards L, Grainger R, Schlesinger N, Dalbeth N, et al. Outcome domains for studies of acute and chronic gout. </w:t>
      </w:r>
      <w:r w:rsidRPr="00A916C0">
        <w:rPr>
          <w:i/>
          <w:sz w:val="24"/>
          <w:szCs w:val="24"/>
        </w:rPr>
        <w:t>J Rheumatol</w:t>
      </w:r>
      <w:r w:rsidRPr="00667883">
        <w:rPr>
          <w:sz w:val="24"/>
          <w:szCs w:val="24"/>
        </w:rPr>
        <w:t xml:space="preserve"> 2009;36(10):2342–5. doi: 10.3899/jrheum.090370</w:t>
      </w:r>
    </w:p>
    <w:p w14:paraId="3186E149" w14:textId="734BDA28" w:rsidR="001456BA" w:rsidRDefault="00775A62" w:rsidP="001456BA">
      <w:pPr>
        <w:spacing w:line="480" w:lineRule="auto"/>
        <w:rPr>
          <w:sz w:val="24"/>
          <w:szCs w:val="24"/>
        </w:rPr>
      </w:pPr>
      <w:r>
        <w:rPr>
          <w:sz w:val="24"/>
          <w:szCs w:val="24"/>
        </w:rPr>
        <w:t>5</w:t>
      </w:r>
      <w:r w:rsidR="001456BA" w:rsidRPr="005B38F1">
        <w:rPr>
          <w:sz w:val="24"/>
          <w:szCs w:val="24"/>
        </w:rPr>
        <w:t xml:space="preserve">. Becker MA, Schumacher HR, Benjamin KL, Gorevic P, Greenwald M, Fessel J, et al. Quality of life and disability in patients with treatment-failure gout. </w:t>
      </w:r>
      <w:r w:rsidR="001456BA" w:rsidRPr="00F5386A">
        <w:rPr>
          <w:i/>
          <w:sz w:val="24"/>
          <w:szCs w:val="24"/>
        </w:rPr>
        <w:t>J Rheumatol</w:t>
      </w:r>
      <w:r w:rsidR="001456BA" w:rsidRPr="005B38F1">
        <w:rPr>
          <w:sz w:val="24"/>
          <w:szCs w:val="24"/>
        </w:rPr>
        <w:t xml:space="preserve"> 2009;36(5):1041–8. </w:t>
      </w:r>
      <w:r w:rsidR="001456BA">
        <w:rPr>
          <w:sz w:val="24"/>
          <w:szCs w:val="24"/>
        </w:rPr>
        <w:t>doi:</w:t>
      </w:r>
      <w:r w:rsidR="001456BA" w:rsidRPr="00F5386A">
        <w:t xml:space="preserve"> </w:t>
      </w:r>
      <w:r w:rsidR="001456BA" w:rsidRPr="00F5386A">
        <w:rPr>
          <w:sz w:val="24"/>
          <w:szCs w:val="24"/>
        </w:rPr>
        <w:t>10.3899/jrheum.071229</w:t>
      </w:r>
    </w:p>
    <w:p w14:paraId="1E7D8AA8" w14:textId="3FFD31A2" w:rsidR="001456BA" w:rsidRPr="005B38F1" w:rsidRDefault="00775A62" w:rsidP="001456BA">
      <w:pPr>
        <w:spacing w:line="480" w:lineRule="auto"/>
        <w:rPr>
          <w:sz w:val="24"/>
          <w:szCs w:val="24"/>
        </w:rPr>
      </w:pPr>
      <w:r>
        <w:rPr>
          <w:sz w:val="24"/>
          <w:szCs w:val="24"/>
        </w:rPr>
        <w:t>6</w:t>
      </w:r>
      <w:r w:rsidR="001456BA" w:rsidRPr="005B38F1">
        <w:rPr>
          <w:sz w:val="24"/>
          <w:szCs w:val="24"/>
        </w:rPr>
        <w:t xml:space="preserve">. Khanna PP, Perez-Ruiz F, Maranian P, Khanna D. Long-term therapy for chronic gout results in clinically important improvements in the health-related quality of life: Short form-36 is responsive to change in chronic gout. </w:t>
      </w:r>
      <w:r w:rsidR="001456BA" w:rsidRPr="008060F0">
        <w:rPr>
          <w:i/>
          <w:sz w:val="24"/>
          <w:szCs w:val="24"/>
        </w:rPr>
        <w:t>Rheumatology</w:t>
      </w:r>
      <w:r w:rsidR="001456BA">
        <w:rPr>
          <w:i/>
          <w:sz w:val="24"/>
          <w:szCs w:val="24"/>
        </w:rPr>
        <w:t xml:space="preserve"> </w:t>
      </w:r>
      <w:r w:rsidR="001456BA" w:rsidRPr="005B38F1">
        <w:rPr>
          <w:sz w:val="24"/>
          <w:szCs w:val="24"/>
        </w:rPr>
        <w:t xml:space="preserve">2011;50(4):740–5. </w:t>
      </w:r>
      <w:r w:rsidR="001456BA">
        <w:rPr>
          <w:sz w:val="24"/>
          <w:szCs w:val="24"/>
        </w:rPr>
        <w:t>doi:</w:t>
      </w:r>
      <w:r w:rsidR="001456BA" w:rsidRPr="007B5650">
        <w:rPr>
          <w:sz w:val="24"/>
          <w:szCs w:val="24"/>
        </w:rPr>
        <w:t>10.1093/rheumatology/keq346</w:t>
      </w:r>
    </w:p>
    <w:p w14:paraId="513D2067" w14:textId="6F65EC7D" w:rsidR="001456BA" w:rsidRDefault="00775A62" w:rsidP="001456BA">
      <w:pPr>
        <w:spacing w:line="480" w:lineRule="auto"/>
        <w:rPr>
          <w:sz w:val="24"/>
          <w:szCs w:val="24"/>
        </w:rPr>
      </w:pPr>
      <w:r>
        <w:rPr>
          <w:sz w:val="24"/>
          <w:szCs w:val="24"/>
        </w:rPr>
        <w:t>7</w:t>
      </w:r>
      <w:r w:rsidR="001456BA" w:rsidRPr="005B38F1">
        <w:rPr>
          <w:sz w:val="24"/>
          <w:szCs w:val="24"/>
        </w:rPr>
        <w:t xml:space="preserve">. Lee SJ, Hirsch JD, Terkeltaub R, Khanna D, Singh JA, Sarkin A, et al. Perceptions of disease and health-related quality of life among patients with gout. </w:t>
      </w:r>
      <w:r w:rsidR="001456BA" w:rsidRPr="002853DB">
        <w:rPr>
          <w:i/>
          <w:sz w:val="24"/>
          <w:szCs w:val="24"/>
        </w:rPr>
        <w:t>Rheumatology</w:t>
      </w:r>
      <w:r w:rsidR="001456BA">
        <w:rPr>
          <w:sz w:val="24"/>
          <w:szCs w:val="24"/>
        </w:rPr>
        <w:t xml:space="preserve"> </w:t>
      </w:r>
      <w:r w:rsidR="001456BA" w:rsidRPr="005B38F1">
        <w:rPr>
          <w:sz w:val="24"/>
          <w:szCs w:val="24"/>
        </w:rPr>
        <w:t xml:space="preserve">2009;48(5):582–6. </w:t>
      </w:r>
      <w:r w:rsidR="001456BA">
        <w:rPr>
          <w:sz w:val="24"/>
          <w:szCs w:val="24"/>
        </w:rPr>
        <w:t xml:space="preserve">doi: </w:t>
      </w:r>
      <w:r w:rsidR="001456BA" w:rsidRPr="00FD09B2">
        <w:rPr>
          <w:sz w:val="24"/>
          <w:szCs w:val="24"/>
        </w:rPr>
        <w:t>10.1093/rheumatology/kep047</w:t>
      </w:r>
    </w:p>
    <w:p w14:paraId="3110F34C" w14:textId="342E730B" w:rsidR="001456BA" w:rsidRDefault="00775A62" w:rsidP="001456BA">
      <w:pPr>
        <w:spacing w:line="480" w:lineRule="auto"/>
        <w:rPr>
          <w:sz w:val="24"/>
          <w:szCs w:val="24"/>
        </w:rPr>
      </w:pPr>
      <w:r>
        <w:rPr>
          <w:sz w:val="24"/>
          <w:szCs w:val="24"/>
        </w:rPr>
        <w:lastRenderedPageBreak/>
        <w:t>8</w:t>
      </w:r>
      <w:r w:rsidR="001456BA" w:rsidRPr="00501002">
        <w:rPr>
          <w:sz w:val="24"/>
          <w:szCs w:val="24"/>
        </w:rPr>
        <w:t xml:space="preserve">. Strand V, Khanna D, Singh JA, Forsythe A, Edwards NL. Improved health-related quality of life and physical function in patients with refractory chronic gout following treatment with pegloticase: Evidence from phase III randomized controlled trials. </w:t>
      </w:r>
      <w:r w:rsidR="001456BA" w:rsidRPr="00A916C0">
        <w:rPr>
          <w:i/>
          <w:sz w:val="24"/>
          <w:szCs w:val="24"/>
        </w:rPr>
        <w:t>J Rheumatol</w:t>
      </w:r>
      <w:r w:rsidR="001456BA" w:rsidRPr="00501002">
        <w:rPr>
          <w:sz w:val="24"/>
          <w:szCs w:val="24"/>
        </w:rPr>
        <w:t xml:space="preserve"> 2012;39(7):1450–7. doi: 10.3899/jrheum.111375</w:t>
      </w:r>
    </w:p>
    <w:p w14:paraId="72528951" w14:textId="75003BBE" w:rsidR="001456BA" w:rsidRDefault="00775A62" w:rsidP="001456BA">
      <w:pPr>
        <w:spacing w:line="480" w:lineRule="auto"/>
        <w:rPr>
          <w:sz w:val="24"/>
          <w:szCs w:val="24"/>
        </w:rPr>
      </w:pPr>
      <w:r>
        <w:rPr>
          <w:sz w:val="24"/>
          <w:szCs w:val="24"/>
        </w:rPr>
        <w:t>9</w:t>
      </w:r>
      <w:r w:rsidR="001456BA" w:rsidRPr="005B38F1">
        <w:rPr>
          <w:sz w:val="24"/>
          <w:szCs w:val="24"/>
        </w:rPr>
        <w:t xml:space="preserve">. Fu T, Cao H, Yin R, Zhang L, Zhang Q, Li L, et al. Associated factors with functional disability and health-related quality of life in Chinese patients with gout: A case-control study. </w:t>
      </w:r>
      <w:r w:rsidR="001456BA" w:rsidRPr="00830AB1">
        <w:rPr>
          <w:i/>
          <w:sz w:val="24"/>
          <w:szCs w:val="24"/>
        </w:rPr>
        <w:t>BMC Musculoskelet Disord</w:t>
      </w:r>
      <w:r w:rsidR="001456BA">
        <w:rPr>
          <w:sz w:val="24"/>
          <w:szCs w:val="24"/>
        </w:rPr>
        <w:t xml:space="preserve"> </w:t>
      </w:r>
      <w:r w:rsidR="001456BA" w:rsidRPr="005B38F1">
        <w:rPr>
          <w:sz w:val="24"/>
          <w:szCs w:val="24"/>
        </w:rPr>
        <w:t xml:space="preserve">2017;18(1):429 1–11. </w:t>
      </w:r>
      <w:r w:rsidR="001456BA">
        <w:rPr>
          <w:sz w:val="24"/>
          <w:szCs w:val="24"/>
        </w:rPr>
        <w:t xml:space="preserve">doi: </w:t>
      </w:r>
      <w:r w:rsidR="001456BA" w:rsidRPr="00830AB1">
        <w:rPr>
          <w:sz w:val="24"/>
          <w:szCs w:val="24"/>
        </w:rPr>
        <w:t>10.1186/s12891-017-1787-7</w:t>
      </w:r>
    </w:p>
    <w:p w14:paraId="636AD90B" w14:textId="2500E48E" w:rsidR="001456BA" w:rsidRDefault="00775A62" w:rsidP="001456BA">
      <w:pPr>
        <w:spacing w:line="480" w:lineRule="auto"/>
        <w:rPr>
          <w:sz w:val="24"/>
          <w:szCs w:val="24"/>
        </w:rPr>
      </w:pPr>
      <w:r>
        <w:rPr>
          <w:sz w:val="24"/>
          <w:szCs w:val="24"/>
        </w:rPr>
        <w:t>10</w:t>
      </w:r>
      <w:r w:rsidR="001456BA" w:rsidRPr="001A1D07">
        <w:rPr>
          <w:sz w:val="24"/>
          <w:szCs w:val="24"/>
        </w:rPr>
        <w:t xml:space="preserve">. Scire C, Manara M, Cimmino M a, Govoni M, Salaffi F, Punzi L, et al. Gout impacts on function and health-related quality of life beyond associated risk factors and medical conditions: Results from the KING observational study of the Italian Society for Rheumatology (SIR). </w:t>
      </w:r>
      <w:r w:rsidR="001456BA" w:rsidRPr="00A916C0">
        <w:rPr>
          <w:i/>
          <w:sz w:val="24"/>
          <w:szCs w:val="24"/>
        </w:rPr>
        <w:t>Arthritis Res Ther</w:t>
      </w:r>
      <w:r w:rsidR="001456BA" w:rsidRPr="001A1D07">
        <w:rPr>
          <w:sz w:val="24"/>
          <w:szCs w:val="24"/>
        </w:rPr>
        <w:t xml:space="preserve"> 2013;15(5):1–10. doi: 10.1186/ar4281</w:t>
      </w:r>
    </w:p>
    <w:p w14:paraId="15155523" w14:textId="2E4CF13B" w:rsidR="001456BA" w:rsidRDefault="00775A62" w:rsidP="001456BA">
      <w:pPr>
        <w:spacing w:line="480" w:lineRule="auto"/>
        <w:rPr>
          <w:sz w:val="24"/>
          <w:szCs w:val="24"/>
        </w:rPr>
      </w:pPr>
      <w:r>
        <w:rPr>
          <w:sz w:val="24"/>
          <w:szCs w:val="24"/>
        </w:rPr>
        <w:t>11</w:t>
      </w:r>
      <w:r w:rsidR="001456BA" w:rsidRPr="00981831">
        <w:rPr>
          <w:sz w:val="24"/>
          <w:szCs w:val="24"/>
        </w:rPr>
        <w:t xml:space="preserve">. Roddy E, Zhang W, Doherty M. Is gout associated with reduced quality of life? A case-control study. </w:t>
      </w:r>
      <w:r w:rsidR="001456BA" w:rsidRPr="00A916C0">
        <w:rPr>
          <w:i/>
          <w:sz w:val="24"/>
          <w:szCs w:val="24"/>
        </w:rPr>
        <w:t>Rheumatology</w:t>
      </w:r>
      <w:r w:rsidR="001456BA" w:rsidRPr="00981831">
        <w:rPr>
          <w:sz w:val="24"/>
          <w:szCs w:val="24"/>
        </w:rPr>
        <w:t xml:space="preserve"> 2007;46(9):1441–4. doi: 10.1093/rheumatology/kem150</w:t>
      </w:r>
    </w:p>
    <w:p w14:paraId="05B7C1CD" w14:textId="59137D21" w:rsidR="00775A62" w:rsidRDefault="00775A62" w:rsidP="00775A62">
      <w:pPr>
        <w:spacing w:line="480" w:lineRule="auto"/>
        <w:rPr>
          <w:sz w:val="24"/>
          <w:szCs w:val="24"/>
        </w:rPr>
      </w:pPr>
    </w:p>
    <w:p w14:paraId="587D32E1" w14:textId="77777777" w:rsidR="00775A62" w:rsidRPr="00981831" w:rsidRDefault="00775A62" w:rsidP="001456BA">
      <w:pPr>
        <w:spacing w:line="480" w:lineRule="auto"/>
        <w:rPr>
          <w:sz w:val="24"/>
          <w:szCs w:val="24"/>
        </w:rPr>
      </w:pPr>
    </w:p>
    <w:p w14:paraId="55F9CE75" w14:textId="5BB4417D" w:rsidR="001456BA" w:rsidRDefault="001456BA" w:rsidP="001456BA">
      <w:pPr>
        <w:spacing w:line="480" w:lineRule="auto"/>
        <w:rPr>
          <w:sz w:val="24"/>
          <w:szCs w:val="24"/>
        </w:rPr>
      </w:pPr>
      <w:r w:rsidRPr="004363EE">
        <w:rPr>
          <w:sz w:val="24"/>
          <w:szCs w:val="24"/>
        </w:rPr>
        <w:t>1</w:t>
      </w:r>
      <w:r w:rsidR="00133CF1">
        <w:rPr>
          <w:sz w:val="24"/>
          <w:szCs w:val="24"/>
        </w:rPr>
        <w:t>2</w:t>
      </w:r>
      <w:r w:rsidRPr="004363EE">
        <w:rPr>
          <w:sz w:val="24"/>
          <w:szCs w:val="24"/>
        </w:rPr>
        <w:t xml:space="preserve">. Chandratre P, Mallen C, Richardson J, Muller S, Hider S, Rome K, et al. Health-related quality of life in gout in primary care: Baseline findings from a cohort study. </w:t>
      </w:r>
      <w:r w:rsidRPr="00A916C0">
        <w:rPr>
          <w:i/>
          <w:sz w:val="24"/>
          <w:szCs w:val="24"/>
        </w:rPr>
        <w:t>Semin Arthritis Rheum</w:t>
      </w:r>
      <w:r w:rsidRPr="004363EE">
        <w:rPr>
          <w:sz w:val="24"/>
          <w:szCs w:val="24"/>
        </w:rPr>
        <w:t xml:space="preserve"> 2018;48(1):61–9. doi: 10.1016/j.semarthrit.2017.12.005</w:t>
      </w:r>
    </w:p>
    <w:p w14:paraId="75DC64EE" w14:textId="2D4144D5" w:rsidR="00A41785" w:rsidRPr="0058306E" w:rsidRDefault="00A41785" w:rsidP="00A41785">
      <w:pPr>
        <w:spacing w:line="480" w:lineRule="auto"/>
        <w:rPr>
          <w:sz w:val="24"/>
          <w:szCs w:val="24"/>
        </w:rPr>
      </w:pPr>
      <w:r w:rsidRPr="0058306E">
        <w:rPr>
          <w:sz w:val="24"/>
          <w:szCs w:val="24"/>
        </w:rPr>
        <w:t>1</w:t>
      </w:r>
      <w:r w:rsidR="00133CF1">
        <w:rPr>
          <w:sz w:val="24"/>
          <w:szCs w:val="24"/>
        </w:rPr>
        <w:t>3</w:t>
      </w:r>
      <w:r w:rsidRPr="0058306E">
        <w:rPr>
          <w:sz w:val="24"/>
          <w:szCs w:val="24"/>
        </w:rPr>
        <w:t xml:space="preserve">. Hirsch JD, Lee SJ, Terkeltaub R, Khanna D, Singh J, Sarkin A, et al.  Evaluation of an instrutment assessing influence of gout on health-related quality of life. </w:t>
      </w:r>
      <w:r w:rsidRPr="0058306E">
        <w:rPr>
          <w:i/>
          <w:sz w:val="24"/>
          <w:szCs w:val="24"/>
        </w:rPr>
        <w:t>J Rheumatol</w:t>
      </w:r>
      <w:r w:rsidRPr="0058306E">
        <w:rPr>
          <w:sz w:val="24"/>
          <w:szCs w:val="24"/>
        </w:rPr>
        <w:t xml:space="preserve"> 2008;35(12):2406–14. doi: 10.3899/jrheum.080506</w:t>
      </w:r>
    </w:p>
    <w:p w14:paraId="57B1100F" w14:textId="3BFA72D9" w:rsidR="00962773" w:rsidRPr="00533CDB" w:rsidRDefault="00B5390E" w:rsidP="00533CDB">
      <w:pPr>
        <w:spacing w:line="480" w:lineRule="auto"/>
        <w:rPr>
          <w:rFonts w:cstheme="minorHAnsi"/>
          <w:sz w:val="24"/>
          <w:szCs w:val="24"/>
        </w:rPr>
      </w:pPr>
      <w:r w:rsidRPr="00533CDB">
        <w:rPr>
          <w:rFonts w:cstheme="minorHAnsi"/>
          <w:sz w:val="24"/>
          <w:szCs w:val="24"/>
        </w:rPr>
        <w:lastRenderedPageBreak/>
        <w:t>1</w:t>
      </w:r>
      <w:r w:rsidR="00133CF1">
        <w:rPr>
          <w:rFonts w:cstheme="minorHAnsi"/>
          <w:sz w:val="24"/>
          <w:szCs w:val="24"/>
        </w:rPr>
        <w:t>4</w:t>
      </w:r>
      <w:r w:rsidRPr="00533CDB">
        <w:rPr>
          <w:rFonts w:cstheme="minorHAnsi"/>
          <w:sz w:val="24"/>
          <w:szCs w:val="24"/>
        </w:rPr>
        <w:t>. Khanna PP, Nuki G</w:t>
      </w:r>
      <w:r w:rsidR="00A41785" w:rsidRPr="00533CDB">
        <w:rPr>
          <w:rFonts w:cstheme="minorHAnsi"/>
          <w:sz w:val="24"/>
          <w:szCs w:val="24"/>
        </w:rPr>
        <w:t>, Bardin</w:t>
      </w:r>
      <w:r w:rsidRPr="00533CDB">
        <w:rPr>
          <w:rFonts w:cstheme="minorHAnsi"/>
          <w:sz w:val="24"/>
          <w:szCs w:val="24"/>
        </w:rPr>
        <w:t xml:space="preserve"> T, Tausche AK, Forsythe A, Goren A</w:t>
      </w:r>
      <w:r w:rsidR="00A41785" w:rsidRPr="00533CDB">
        <w:rPr>
          <w:rFonts w:cstheme="minorHAnsi"/>
          <w:sz w:val="24"/>
          <w:szCs w:val="24"/>
        </w:rPr>
        <w:t>, V</w:t>
      </w:r>
      <w:r w:rsidRPr="00533CDB">
        <w:rPr>
          <w:rFonts w:cstheme="minorHAnsi"/>
          <w:sz w:val="24"/>
          <w:szCs w:val="24"/>
        </w:rPr>
        <w:t>ietri JT, et al.</w:t>
      </w:r>
      <w:r w:rsidR="008C7DB0" w:rsidRPr="00533CDB">
        <w:rPr>
          <w:rFonts w:cstheme="minorHAnsi"/>
          <w:sz w:val="24"/>
          <w:szCs w:val="24"/>
        </w:rPr>
        <w:t xml:space="preserve"> </w:t>
      </w:r>
      <w:r w:rsidR="00A41785" w:rsidRPr="00533CDB">
        <w:rPr>
          <w:rFonts w:cstheme="minorHAnsi"/>
          <w:sz w:val="24"/>
          <w:szCs w:val="24"/>
        </w:rPr>
        <w:t xml:space="preserve">Tophi and frequent gout flares are associated with </w:t>
      </w:r>
      <w:r w:rsidRPr="00533CDB">
        <w:rPr>
          <w:rFonts w:cstheme="minorHAnsi"/>
          <w:sz w:val="24"/>
          <w:szCs w:val="24"/>
        </w:rPr>
        <w:t xml:space="preserve">impairments to quality of life, </w:t>
      </w:r>
      <w:r w:rsidR="00A41785" w:rsidRPr="00533CDB">
        <w:rPr>
          <w:rFonts w:cstheme="minorHAnsi"/>
          <w:sz w:val="24"/>
          <w:szCs w:val="24"/>
        </w:rPr>
        <w:t>productivity, and increased healthcare resource use: Results from a cross-sectional survey.</w:t>
      </w:r>
      <w:r w:rsidR="00962773" w:rsidRPr="00962773">
        <w:t xml:space="preserve"> </w:t>
      </w:r>
      <w:r w:rsidR="00962773" w:rsidRPr="00533CDB">
        <w:rPr>
          <w:rFonts w:cstheme="minorHAnsi"/>
          <w:i/>
          <w:sz w:val="24"/>
          <w:szCs w:val="24"/>
        </w:rPr>
        <w:t>Health Qual Life Outcomes</w:t>
      </w:r>
      <w:r w:rsidR="00A41785" w:rsidRPr="00533CDB">
        <w:rPr>
          <w:rFonts w:cstheme="minorHAnsi"/>
          <w:sz w:val="24"/>
          <w:szCs w:val="24"/>
        </w:rPr>
        <w:t xml:space="preserve"> </w:t>
      </w:r>
      <w:r w:rsidR="00962773" w:rsidRPr="00533CDB">
        <w:rPr>
          <w:rFonts w:cstheme="minorHAnsi"/>
          <w:iCs/>
          <w:sz w:val="24"/>
          <w:szCs w:val="24"/>
        </w:rPr>
        <w:t>2012</w:t>
      </w:r>
      <w:r w:rsidR="00962773" w:rsidRPr="00533CDB">
        <w:rPr>
          <w:rFonts w:cstheme="minorHAnsi"/>
          <w:sz w:val="24"/>
          <w:szCs w:val="24"/>
        </w:rPr>
        <w:t>;10:</w:t>
      </w:r>
      <w:r w:rsidR="00A41785" w:rsidRPr="00533CDB">
        <w:rPr>
          <w:rFonts w:cstheme="minorHAnsi"/>
          <w:sz w:val="24"/>
          <w:szCs w:val="24"/>
        </w:rPr>
        <w:t>117. doi: 10.1186/1477-7525-10-117</w:t>
      </w:r>
    </w:p>
    <w:p w14:paraId="491B58B1" w14:textId="1214D603" w:rsidR="00E05BFE" w:rsidRPr="00533CDB" w:rsidRDefault="00962773" w:rsidP="00533CDB">
      <w:pPr>
        <w:spacing w:line="480" w:lineRule="auto"/>
        <w:rPr>
          <w:rFonts w:eastAsia="Times New Roman" w:cstheme="minorHAnsi"/>
          <w:sz w:val="24"/>
          <w:szCs w:val="24"/>
          <w:lang w:eastAsia="en-GB"/>
        </w:rPr>
      </w:pPr>
      <w:r w:rsidRPr="00533CDB">
        <w:rPr>
          <w:rFonts w:eastAsia="Times New Roman" w:cstheme="minorHAnsi"/>
          <w:sz w:val="24"/>
          <w:szCs w:val="24"/>
          <w:lang w:eastAsia="en-GB"/>
        </w:rPr>
        <w:t>1</w:t>
      </w:r>
      <w:r w:rsidR="00133CF1">
        <w:rPr>
          <w:rFonts w:eastAsia="Times New Roman" w:cstheme="minorHAnsi"/>
          <w:sz w:val="24"/>
          <w:szCs w:val="24"/>
          <w:lang w:eastAsia="en-GB"/>
        </w:rPr>
        <w:t>5</w:t>
      </w:r>
      <w:r w:rsidRPr="00533CDB">
        <w:rPr>
          <w:rFonts w:eastAsia="Times New Roman" w:cstheme="minorHAnsi"/>
          <w:sz w:val="24"/>
          <w:szCs w:val="24"/>
          <w:lang w:eastAsia="en-GB"/>
        </w:rPr>
        <w:t xml:space="preserve">. Proudman C, Lester SE, Gonzalez-Chica DA, Gill TK, Dalbeth N, Hill CL. </w:t>
      </w:r>
      <w:r w:rsidR="00E05BFE" w:rsidRPr="00533CDB">
        <w:rPr>
          <w:rFonts w:eastAsia="Times New Roman" w:cstheme="minorHAnsi"/>
          <w:sz w:val="24"/>
          <w:szCs w:val="24"/>
          <w:lang w:eastAsia="en-GB"/>
        </w:rPr>
        <w:t xml:space="preserve">Gout, flares, and allopurinol use: A population-based study. </w:t>
      </w:r>
      <w:r w:rsidRPr="00533CDB">
        <w:rPr>
          <w:rFonts w:eastAsia="Times New Roman" w:cstheme="minorHAnsi"/>
          <w:sz w:val="24"/>
          <w:szCs w:val="24"/>
          <w:lang w:eastAsia="en-GB"/>
        </w:rPr>
        <w:t xml:space="preserve">Arthritis Res Ther </w:t>
      </w:r>
      <w:r w:rsidRPr="00533CDB">
        <w:rPr>
          <w:rFonts w:eastAsia="Times New Roman" w:cstheme="minorHAnsi"/>
          <w:iCs/>
          <w:sz w:val="24"/>
          <w:szCs w:val="24"/>
          <w:lang w:eastAsia="en-GB"/>
        </w:rPr>
        <w:t>2019</w:t>
      </w:r>
      <w:r w:rsidRPr="00533CDB">
        <w:rPr>
          <w:rFonts w:eastAsia="Times New Roman" w:cstheme="minorHAnsi"/>
          <w:sz w:val="24"/>
          <w:szCs w:val="24"/>
          <w:lang w:eastAsia="en-GB"/>
        </w:rPr>
        <w:t>; 21:</w:t>
      </w:r>
      <w:r w:rsidR="00E05BFE" w:rsidRPr="00533CDB">
        <w:rPr>
          <w:rFonts w:eastAsia="Times New Roman" w:cstheme="minorHAnsi"/>
          <w:sz w:val="24"/>
          <w:szCs w:val="24"/>
          <w:lang w:eastAsia="en-GB"/>
        </w:rPr>
        <w:t>132</w:t>
      </w:r>
      <w:r w:rsidR="0058306E">
        <w:rPr>
          <w:rFonts w:eastAsia="Times New Roman" w:cstheme="minorHAnsi"/>
          <w:sz w:val="24"/>
          <w:szCs w:val="24"/>
          <w:lang w:eastAsia="en-GB"/>
        </w:rPr>
        <w:t>. doi:10.1186/s13075-019-1918-7</w:t>
      </w:r>
    </w:p>
    <w:p w14:paraId="088BD496" w14:textId="4462E923" w:rsidR="008F55F3" w:rsidRPr="00533CDB" w:rsidRDefault="00962773">
      <w:pPr>
        <w:spacing w:line="480" w:lineRule="auto"/>
        <w:rPr>
          <w:rFonts w:eastAsia="Times New Roman" w:cstheme="minorHAnsi"/>
          <w:sz w:val="24"/>
          <w:szCs w:val="24"/>
          <w:lang w:eastAsia="en-GB"/>
        </w:rPr>
      </w:pPr>
      <w:r w:rsidRPr="00533CDB">
        <w:rPr>
          <w:rFonts w:cstheme="minorHAnsi"/>
          <w:sz w:val="24"/>
          <w:szCs w:val="24"/>
        </w:rPr>
        <w:t>1</w:t>
      </w:r>
      <w:r w:rsidR="00133CF1">
        <w:rPr>
          <w:rFonts w:cstheme="minorHAnsi"/>
          <w:sz w:val="24"/>
          <w:szCs w:val="24"/>
        </w:rPr>
        <w:t>6</w:t>
      </w:r>
      <w:r w:rsidRPr="00533CDB">
        <w:rPr>
          <w:rFonts w:cstheme="minorHAnsi"/>
          <w:sz w:val="24"/>
          <w:szCs w:val="24"/>
        </w:rPr>
        <w:t>. Khanna PP, Khanna D, Shiozawa A</w:t>
      </w:r>
      <w:r w:rsidR="00E05BFE" w:rsidRPr="00533CDB">
        <w:rPr>
          <w:rFonts w:cstheme="minorHAnsi"/>
          <w:sz w:val="24"/>
          <w:szCs w:val="24"/>
        </w:rPr>
        <w:t>, Walker</w:t>
      </w:r>
      <w:r w:rsidRPr="00533CDB">
        <w:rPr>
          <w:rFonts w:cstheme="minorHAnsi"/>
          <w:sz w:val="24"/>
          <w:szCs w:val="24"/>
        </w:rPr>
        <w:t xml:space="preserve"> V, Bancroft T, Essoi B, et al.</w:t>
      </w:r>
      <w:r w:rsidR="00E05BFE" w:rsidRPr="00533CDB">
        <w:rPr>
          <w:rFonts w:cstheme="minorHAnsi"/>
          <w:sz w:val="24"/>
          <w:szCs w:val="24"/>
        </w:rPr>
        <w:t xml:space="preserve"> Health-related quality of life and treatment satisfaction in patients with gout: Results from a cross-sectional study in a managed care setting.</w:t>
      </w:r>
      <w:r w:rsidRPr="00533CDB">
        <w:rPr>
          <w:rFonts w:cstheme="minorHAnsi"/>
          <w:sz w:val="24"/>
          <w:szCs w:val="24"/>
        </w:rPr>
        <w:t xml:space="preserve">  </w:t>
      </w:r>
      <w:r w:rsidRPr="00533CDB">
        <w:rPr>
          <w:rFonts w:cstheme="minorHAnsi"/>
          <w:i/>
          <w:sz w:val="24"/>
          <w:szCs w:val="24"/>
        </w:rPr>
        <w:t>Patient Prefer Adherence</w:t>
      </w:r>
      <w:r w:rsidR="00E05BFE" w:rsidRPr="00533CDB">
        <w:rPr>
          <w:rFonts w:cstheme="minorHAnsi"/>
          <w:sz w:val="24"/>
          <w:szCs w:val="24"/>
        </w:rPr>
        <w:t xml:space="preserve"> </w:t>
      </w:r>
      <w:r w:rsidRPr="00533CDB">
        <w:rPr>
          <w:rFonts w:cstheme="minorHAnsi"/>
          <w:iCs/>
          <w:sz w:val="24"/>
          <w:szCs w:val="24"/>
        </w:rPr>
        <w:t>2015</w:t>
      </w:r>
      <w:r w:rsidR="0058306E" w:rsidRPr="00533CDB">
        <w:rPr>
          <w:rFonts w:cstheme="minorHAnsi"/>
          <w:sz w:val="24"/>
          <w:szCs w:val="24"/>
        </w:rPr>
        <w:t>; 9:</w:t>
      </w:r>
      <w:r w:rsidR="00E05BFE" w:rsidRPr="00533CDB">
        <w:rPr>
          <w:rFonts w:cstheme="minorHAnsi"/>
          <w:sz w:val="24"/>
          <w:szCs w:val="24"/>
        </w:rPr>
        <w:t>971–981.</w:t>
      </w:r>
      <w:r w:rsidR="00E05BFE" w:rsidRPr="00533CDB">
        <w:rPr>
          <w:rFonts w:eastAsia="Times New Roman" w:cstheme="minorHAnsi"/>
          <w:sz w:val="24"/>
          <w:szCs w:val="24"/>
          <w:lang w:eastAsia="en-GB"/>
        </w:rPr>
        <w:t xml:space="preserve"> doi:10.2147/PPA.S83700</w:t>
      </w:r>
    </w:p>
    <w:p w14:paraId="1CCA91C4" w14:textId="2196B876" w:rsidR="008F55F3" w:rsidRPr="00533CDB" w:rsidRDefault="008F55F3" w:rsidP="00533CDB">
      <w:pPr>
        <w:spacing w:line="480" w:lineRule="auto"/>
        <w:rPr>
          <w:rFonts w:cstheme="minorHAnsi"/>
          <w:sz w:val="24"/>
          <w:szCs w:val="24"/>
        </w:rPr>
      </w:pPr>
      <w:r w:rsidRPr="0058306E">
        <w:rPr>
          <w:sz w:val="24"/>
          <w:szCs w:val="24"/>
        </w:rPr>
        <w:t>1</w:t>
      </w:r>
      <w:r w:rsidR="00133CF1">
        <w:rPr>
          <w:sz w:val="24"/>
          <w:szCs w:val="24"/>
        </w:rPr>
        <w:t>7</w:t>
      </w:r>
      <w:r w:rsidRPr="0058306E">
        <w:rPr>
          <w:sz w:val="24"/>
          <w:szCs w:val="24"/>
        </w:rPr>
        <w:t>.</w:t>
      </w:r>
      <w:r w:rsidR="0058306E" w:rsidRPr="00533CDB">
        <w:rPr>
          <w:rFonts w:cstheme="minorHAnsi"/>
          <w:sz w:val="24"/>
          <w:szCs w:val="24"/>
        </w:rPr>
        <w:t xml:space="preserve"> Lee W, Teng GG, Kok JC, Santosa A, Lim AYN,</w:t>
      </w:r>
      <w:r w:rsidRPr="00533CDB">
        <w:rPr>
          <w:rFonts w:cstheme="minorHAnsi"/>
          <w:sz w:val="24"/>
          <w:szCs w:val="24"/>
        </w:rPr>
        <w:t xml:space="preserve"> </w:t>
      </w:r>
      <w:r w:rsidR="0058306E" w:rsidRPr="00533CDB">
        <w:rPr>
          <w:rFonts w:cstheme="minorHAnsi"/>
          <w:sz w:val="24"/>
          <w:szCs w:val="24"/>
        </w:rPr>
        <w:t xml:space="preserve">Wee HL. </w:t>
      </w:r>
      <w:r w:rsidRPr="00533CDB">
        <w:rPr>
          <w:rFonts w:cstheme="minorHAnsi"/>
          <w:sz w:val="24"/>
          <w:szCs w:val="24"/>
        </w:rPr>
        <w:t xml:space="preserve">Validity and reliability of the Gout Impact Scale in a multi-ethnic Asian population. </w:t>
      </w:r>
      <w:r w:rsidR="0058306E" w:rsidRPr="00533CDB">
        <w:rPr>
          <w:rFonts w:cstheme="minorHAnsi"/>
          <w:i/>
          <w:sz w:val="24"/>
          <w:szCs w:val="24"/>
        </w:rPr>
        <w:t>Int J Rheum Dis</w:t>
      </w:r>
      <w:r w:rsidR="0058306E" w:rsidRPr="00533CDB">
        <w:rPr>
          <w:rFonts w:cstheme="minorHAnsi"/>
          <w:sz w:val="24"/>
          <w:szCs w:val="24"/>
        </w:rPr>
        <w:t xml:space="preserve"> </w:t>
      </w:r>
      <w:r w:rsidR="0058306E" w:rsidRPr="00533CDB">
        <w:rPr>
          <w:rFonts w:cstheme="minorHAnsi"/>
          <w:iCs/>
          <w:sz w:val="24"/>
          <w:szCs w:val="24"/>
        </w:rPr>
        <w:t>2019</w:t>
      </w:r>
      <w:r w:rsidRPr="00533CDB">
        <w:rPr>
          <w:rFonts w:cstheme="minorHAnsi"/>
          <w:sz w:val="24"/>
          <w:szCs w:val="24"/>
        </w:rPr>
        <w:t>. 22(8), 1427–1434. doi:10.1111/1756-185X.13595</w:t>
      </w:r>
    </w:p>
    <w:p w14:paraId="456D37A3" w14:textId="02A6A746" w:rsidR="005B0C25" w:rsidRDefault="005B0C25" w:rsidP="001456BA">
      <w:pPr>
        <w:spacing w:line="480" w:lineRule="auto"/>
        <w:rPr>
          <w:sz w:val="24"/>
          <w:szCs w:val="24"/>
        </w:rPr>
      </w:pPr>
    </w:p>
    <w:p w14:paraId="4F2A252A" w14:textId="2E2F4B0E" w:rsidR="005B0C25" w:rsidRPr="005B38F1" w:rsidRDefault="005B0C25" w:rsidP="005B0C25">
      <w:pPr>
        <w:spacing w:line="480" w:lineRule="auto"/>
        <w:rPr>
          <w:sz w:val="24"/>
          <w:szCs w:val="24"/>
        </w:rPr>
      </w:pPr>
      <w:r>
        <w:rPr>
          <w:sz w:val="24"/>
          <w:szCs w:val="24"/>
        </w:rPr>
        <w:t>1</w:t>
      </w:r>
      <w:r w:rsidR="00133CF1">
        <w:rPr>
          <w:sz w:val="24"/>
          <w:szCs w:val="24"/>
        </w:rPr>
        <w:t>8</w:t>
      </w:r>
      <w:r>
        <w:rPr>
          <w:sz w:val="24"/>
          <w:szCs w:val="24"/>
        </w:rPr>
        <w:t xml:space="preserve">. </w:t>
      </w:r>
      <w:r w:rsidRPr="005B38F1">
        <w:rPr>
          <w:sz w:val="24"/>
          <w:szCs w:val="24"/>
        </w:rPr>
        <w:t xml:space="preserve">Hirsch JD, Terkeltaub R, Khanna D, Singh J, Sarkin A, Shieh M, et al. Gout disease-specific quality of life and the association with gout charcteristics. </w:t>
      </w:r>
      <w:r w:rsidRPr="00A14257">
        <w:rPr>
          <w:i/>
          <w:sz w:val="24"/>
          <w:szCs w:val="24"/>
        </w:rPr>
        <w:t>Patient Relat Outcome Meas</w:t>
      </w:r>
      <w:r w:rsidRPr="005B38F1">
        <w:rPr>
          <w:sz w:val="24"/>
          <w:szCs w:val="24"/>
        </w:rPr>
        <w:t xml:space="preserve"> 2010;Jul(1):1–8. </w:t>
      </w:r>
      <w:r>
        <w:rPr>
          <w:sz w:val="24"/>
          <w:szCs w:val="24"/>
        </w:rPr>
        <w:t xml:space="preserve">doi: </w:t>
      </w:r>
      <w:r w:rsidRPr="00A14257">
        <w:rPr>
          <w:sz w:val="24"/>
          <w:szCs w:val="24"/>
        </w:rPr>
        <w:t>10.2147/PROM.S8310</w:t>
      </w:r>
    </w:p>
    <w:p w14:paraId="4E6BD7C9" w14:textId="45FA9196" w:rsidR="005B0C25" w:rsidRDefault="00133CF1" w:rsidP="001456BA">
      <w:pPr>
        <w:spacing w:line="480" w:lineRule="auto"/>
        <w:rPr>
          <w:sz w:val="24"/>
          <w:szCs w:val="24"/>
        </w:rPr>
      </w:pPr>
      <w:r>
        <w:rPr>
          <w:sz w:val="24"/>
          <w:szCs w:val="24"/>
        </w:rPr>
        <w:t>19</w:t>
      </w:r>
      <w:r w:rsidR="0066665B">
        <w:rPr>
          <w:sz w:val="24"/>
          <w:szCs w:val="24"/>
        </w:rPr>
        <w:t xml:space="preserve">. </w:t>
      </w:r>
      <w:r w:rsidR="0066665B" w:rsidRPr="0066665B">
        <w:rPr>
          <w:sz w:val="24"/>
          <w:szCs w:val="24"/>
        </w:rPr>
        <w:t>La-Crette, J., Jenkins, W., Fernandes, G., Valdes, A.M., Doherty, M. &amp; Abhishek, A. (2018) First validation of the gout activity score against gout impact scale in a primary care based gout cohort. Joint Bone Spine.  85(3), 323–325. doi: 10.1016/j.jbspin.2017.05.010</w:t>
      </w:r>
    </w:p>
    <w:p w14:paraId="58F6D8CB" w14:textId="5277F3D4" w:rsidR="00A9766D" w:rsidRPr="0058306E" w:rsidRDefault="00133CF1" w:rsidP="001456BA">
      <w:pPr>
        <w:spacing w:line="480" w:lineRule="auto"/>
        <w:rPr>
          <w:sz w:val="24"/>
          <w:szCs w:val="24"/>
        </w:rPr>
      </w:pPr>
      <w:r>
        <w:rPr>
          <w:sz w:val="24"/>
          <w:szCs w:val="24"/>
        </w:rPr>
        <w:lastRenderedPageBreak/>
        <w:t>20</w:t>
      </w:r>
      <w:r w:rsidR="0058306E" w:rsidRPr="00533CDB">
        <w:rPr>
          <w:sz w:val="24"/>
          <w:szCs w:val="24"/>
        </w:rPr>
        <w:t>. Edwards NL, Singh JA, Troum O, Yeo AE, Lipsky PE.</w:t>
      </w:r>
      <w:r w:rsidR="00FC7EAF" w:rsidRPr="0058306E">
        <w:rPr>
          <w:sz w:val="24"/>
          <w:szCs w:val="24"/>
        </w:rPr>
        <w:t xml:space="preserve"> Characterization of patients with chronic refractory gout who do and do not have clinically apparent tophi and their response to pegloticase. </w:t>
      </w:r>
      <w:r w:rsidR="00FC7EAF" w:rsidRPr="00533CDB">
        <w:rPr>
          <w:i/>
          <w:sz w:val="24"/>
          <w:szCs w:val="24"/>
        </w:rPr>
        <w:t>Rheumatology</w:t>
      </w:r>
      <w:r w:rsidR="0058306E" w:rsidRPr="00533CDB">
        <w:rPr>
          <w:sz w:val="24"/>
          <w:szCs w:val="24"/>
        </w:rPr>
        <w:t xml:space="preserve"> 2019;58 (8): </w:t>
      </w:r>
      <w:r w:rsidR="00FC7EAF" w:rsidRPr="0058306E">
        <w:rPr>
          <w:sz w:val="24"/>
          <w:szCs w:val="24"/>
        </w:rPr>
        <w:t>1422–1431. doi:10.1093/rheumatology/kez017</w:t>
      </w:r>
    </w:p>
    <w:p w14:paraId="6AEA31BF" w14:textId="5ED1E09C" w:rsidR="00CF255E" w:rsidRDefault="00CF255E" w:rsidP="001456BA">
      <w:pPr>
        <w:spacing w:line="480" w:lineRule="auto"/>
        <w:rPr>
          <w:sz w:val="24"/>
          <w:szCs w:val="24"/>
        </w:rPr>
      </w:pPr>
      <w:r>
        <w:rPr>
          <w:sz w:val="24"/>
          <w:szCs w:val="24"/>
        </w:rPr>
        <w:t>2</w:t>
      </w:r>
      <w:r w:rsidR="00133CF1">
        <w:rPr>
          <w:sz w:val="24"/>
          <w:szCs w:val="24"/>
        </w:rPr>
        <w:t>1</w:t>
      </w:r>
      <w:r w:rsidRPr="00501002">
        <w:rPr>
          <w:sz w:val="24"/>
          <w:szCs w:val="24"/>
        </w:rPr>
        <w:t xml:space="preserve">. Stewart S, Rome K, A E, House M., Horne A, Doyle AJ, et al. Predictors of activity limitation in people with gout: a prospective study. </w:t>
      </w:r>
      <w:r w:rsidRPr="00A916C0">
        <w:rPr>
          <w:i/>
          <w:sz w:val="24"/>
          <w:szCs w:val="24"/>
        </w:rPr>
        <w:t>Clin Rheumatol</w:t>
      </w:r>
      <w:r w:rsidRPr="00501002">
        <w:rPr>
          <w:sz w:val="24"/>
          <w:szCs w:val="24"/>
        </w:rPr>
        <w:t xml:space="preserve"> 2018;37:2213–9. doi: 10.1007/s10067-018-4110-6</w:t>
      </w:r>
    </w:p>
    <w:p w14:paraId="3FC55BF5" w14:textId="34A29D49" w:rsidR="00DA1A37" w:rsidRDefault="004E244F" w:rsidP="004E244F">
      <w:pPr>
        <w:spacing w:line="480" w:lineRule="auto"/>
        <w:rPr>
          <w:sz w:val="24"/>
          <w:szCs w:val="24"/>
        </w:rPr>
      </w:pPr>
      <w:r>
        <w:rPr>
          <w:sz w:val="24"/>
          <w:szCs w:val="24"/>
        </w:rPr>
        <w:t>2</w:t>
      </w:r>
      <w:r w:rsidR="00133CF1">
        <w:rPr>
          <w:sz w:val="24"/>
          <w:szCs w:val="24"/>
        </w:rPr>
        <w:t>2</w:t>
      </w:r>
      <w:r w:rsidRPr="00E04B3D">
        <w:rPr>
          <w:sz w:val="24"/>
          <w:szCs w:val="24"/>
        </w:rPr>
        <w:t xml:space="preserve">. Wallace B, Khanna D, Aquino-Beaton C, Singh JA, Duffy E, Elashoff D, et al. Performance of Gout Impact Scale in a longitudinal observational study of patients with gout. </w:t>
      </w:r>
      <w:r w:rsidRPr="003A1D9B">
        <w:rPr>
          <w:i/>
          <w:sz w:val="24"/>
          <w:szCs w:val="24"/>
        </w:rPr>
        <w:t xml:space="preserve">Rheumatology </w:t>
      </w:r>
      <w:r w:rsidRPr="00E04B3D">
        <w:rPr>
          <w:sz w:val="24"/>
          <w:szCs w:val="24"/>
        </w:rPr>
        <w:t>2016;55(6):982–90. doi: 10.1093/rheumatology/kew007</w:t>
      </w:r>
    </w:p>
    <w:p w14:paraId="572272A6" w14:textId="5D78C07A" w:rsidR="00F1240E" w:rsidRDefault="00DA1A37" w:rsidP="001456BA">
      <w:pPr>
        <w:spacing w:line="480" w:lineRule="auto"/>
        <w:rPr>
          <w:sz w:val="24"/>
          <w:szCs w:val="24"/>
        </w:rPr>
      </w:pPr>
      <w:r>
        <w:rPr>
          <w:sz w:val="24"/>
          <w:szCs w:val="24"/>
        </w:rPr>
        <w:t>2</w:t>
      </w:r>
      <w:r w:rsidR="00133CF1">
        <w:rPr>
          <w:sz w:val="24"/>
          <w:szCs w:val="24"/>
        </w:rPr>
        <w:t>3</w:t>
      </w:r>
      <w:r w:rsidRPr="005B38F1">
        <w:rPr>
          <w:sz w:val="24"/>
          <w:szCs w:val="24"/>
        </w:rPr>
        <w:t xml:space="preserve">. Doherty M, Jenkins W, Richardson H, Sarmanova A, Abhishek A, Ashton D, et al. Efficacy and cost-effectiveness of nurse-led care involving education and engagement of patients and a treat-to-target urate-lowering strategy versus usual care for gout: a randomised controlled trial. </w:t>
      </w:r>
      <w:r w:rsidRPr="00503280">
        <w:rPr>
          <w:i/>
          <w:sz w:val="24"/>
          <w:szCs w:val="24"/>
        </w:rPr>
        <w:t>Lancet</w:t>
      </w:r>
      <w:r w:rsidRPr="005B38F1">
        <w:rPr>
          <w:sz w:val="24"/>
          <w:szCs w:val="24"/>
        </w:rPr>
        <w:t xml:space="preserve"> 2018;392(10156):1403–12. </w:t>
      </w:r>
      <w:r>
        <w:rPr>
          <w:sz w:val="24"/>
          <w:szCs w:val="24"/>
        </w:rPr>
        <w:t xml:space="preserve">doi: </w:t>
      </w:r>
      <w:r w:rsidRPr="00FA39C0">
        <w:rPr>
          <w:sz w:val="24"/>
          <w:szCs w:val="24"/>
        </w:rPr>
        <w:t>10.1016/S0140-6736(18)32158-5</w:t>
      </w:r>
    </w:p>
    <w:p w14:paraId="3CE8AC89" w14:textId="7C7CE2AE" w:rsidR="00F1240E" w:rsidRPr="00533CDB" w:rsidRDefault="0058306E" w:rsidP="00F1240E">
      <w:pPr>
        <w:spacing w:after="0" w:line="360" w:lineRule="auto"/>
        <w:rPr>
          <w:rFonts w:cstheme="minorHAnsi"/>
          <w:sz w:val="24"/>
          <w:szCs w:val="24"/>
        </w:rPr>
      </w:pPr>
      <w:r w:rsidRPr="00533CDB">
        <w:rPr>
          <w:rFonts w:cstheme="minorHAnsi"/>
          <w:sz w:val="24"/>
          <w:szCs w:val="24"/>
        </w:rPr>
        <w:t>2</w:t>
      </w:r>
      <w:r w:rsidR="00133CF1">
        <w:rPr>
          <w:rFonts w:cstheme="minorHAnsi"/>
          <w:sz w:val="24"/>
          <w:szCs w:val="24"/>
        </w:rPr>
        <w:t>4</w:t>
      </w:r>
      <w:r w:rsidRPr="00533CDB">
        <w:rPr>
          <w:rFonts w:cstheme="minorHAnsi"/>
          <w:sz w:val="24"/>
          <w:szCs w:val="24"/>
        </w:rPr>
        <w:t>. Dalbeth N, Petrie KJ, House M, Chong J, Leung W</w:t>
      </w:r>
      <w:r w:rsidR="00F1240E" w:rsidRPr="00533CDB">
        <w:rPr>
          <w:rFonts w:cstheme="minorHAnsi"/>
          <w:sz w:val="24"/>
          <w:szCs w:val="24"/>
        </w:rPr>
        <w:t>, Chegudi</w:t>
      </w:r>
      <w:r w:rsidRPr="00533CDB">
        <w:rPr>
          <w:rFonts w:cstheme="minorHAnsi"/>
          <w:sz w:val="24"/>
          <w:szCs w:val="24"/>
        </w:rPr>
        <w:t xml:space="preserve"> R</w:t>
      </w:r>
      <w:r w:rsidR="00563F5A" w:rsidRPr="00533CDB">
        <w:rPr>
          <w:rFonts w:cstheme="minorHAnsi"/>
          <w:sz w:val="24"/>
          <w:szCs w:val="24"/>
        </w:rPr>
        <w:t xml:space="preserve"> et al.</w:t>
      </w:r>
      <w:r w:rsidR="00F1240E" w:rsidRPr="00533CDB">
        <w:rPr>
          <w:rFonts w:cstheme="minorHAnsi"/>
          <w:sz w:val="24"/>
          <w:szCs w:val="24"/>
        </w:rPr>
        <w:t xml:space="preserve"> Illness perceptions in patients with gout and the relationship with progression of musculoskeletal disability. </w:t>
      </w:r>
      <w:r w:rsidR="00563F5A" w:rsidRPr="00533CDB">
        <w:rPr>
          <w:rFonts w:cstheme="minorHAnsi"/>
          <w:i/>
          <w:sz w:val="24"/>
          <w:szCs w:val="24"/>
        </w:rPr>
        <w:t>Arthritis Care Res</w:t>
      </w:r>
      <w:r w:rsidR="00563F5A" w:rsidRPr="00533CDB">
        <w:rPr>
          <w:rFonts w:cstheme="minorHAnsi"/>
          <w:sz w:val="24"/>
          <w:szCs w:val="24"/>
        </w:rPr>
        <w:t xml:space="preserve"> </w:t>
      </w:r>
      <w:r w:rsidR="00563F5A" w:rsidRPr="00533CDB">
        <w:rPr>
          <w:rFonts w:cstheme="minorHAnsi"/>
          <w:iCs/>
          <w:sz w:val="24"/>
          <w:szCs w:val="24"/>
        </w:rPr>
        <w:t>2011;</w:t>
      </w:r>
      <w:r w:rsidR="00563F5A" w:rsidRPr="00533CDB">
        <w:rPr>
          <w:rFonts w:cstheme="minorHAnsi"/>
          <w:sz w:val="24"/>
          <w:szCs w:val="24"/>
        </w:rPr>
        <w:t xml:space="preserve"> 63(11);</w:t>
      </w:r>
      <w:r w:rsidR="00F1240E" w:rsidRPr="00533CDB">
        <w:rPr>
          <w:rFonts w:cstheme="minorHAnsi"/>
          <w:sz w:val="24"/>
          <w:szCs w:val="24"/>
        </w:rPr>
        <w:t>1605–1612. doi:10.1002/acr.20570</w:t>
      </w:r>
    </w:p>
    <w:p w14:paraId="299082A5" w14:textId="77777777" w:rsidR="00F1240E" w:rsidRDefault="00F1240E" w:rsidP="001456BA">
      <w:pPr>
        <w:spacing w:line="480" w:lineRule="auto"/>
        <w:rPr>
          <w:sz w:val="24"/>
          <w:szCs w:val="24"/>
        </w:rPr>
      </w:pPr>
    </w:p>
    <w:p w14:paraId="6B7254AA" w14:textId="5E112FA9" w:rsidR="001456BA" w:rsidRDefault="003D2622" w:rsidP="001456BA">
      <w:pPr>
        <w:spacing w:line="480" w:lineRule="auto"/>
        <w:rPr>
          <w:sz w:val="24"/>
          <w:szCs w:val="24"/>
        </w:rPr>
      </w:pPr>
      <w:r>
        <w:rPr>
          <w:sz w:val="24"/>
          <w:szCs w:val="24"/>
        </w:rPr>
        <w:t>2</w:t>
      </w:r>
      <w:r w:rsidR="00133CF1">
        <w:rPr>
          <w:sz w:val="24"/>
          <w:szCs w:val="24"/>
        </w:rPr>
        <w:t>5</w:t>
      </w:r>
      <w:r w:rsidR="001456BA" w:rsidRPr="005B38F1">
        <w:rPr>
          <w:sz w:val="24"/>
          <w:szCs w:val="24"/>
        </w:rPr>
        <w:t xml:space="preserve">. Dalbeth N, House ME, Horne A, Te Karu L, Petrie KJ, McQueen FM, et al. The experience and impact of gout in Māori and Pacific people: A prospective observational study. </w:t>
      </w:r>
      <w:r w:rsidR="001456BA" w:rsidRPr="0072661F">
        <w:rPr>
          <w:i/>
          <w:sz w:val="24"/>
          <w:szCs w:val="24"/>
        </w:rPr>
        <w:t>Clin Rheumatol</w:t>
      </w:r>
      <w:r w:rsidR="001456BA" w:rsidRPr="005B38F1">
        <w:rPr>
          <w:sz w:val="24"/>
          <w:szCs w:val="24"/>
        </w:rPr>
        <w:t xml:space="preserve"> 2013;32(2):247–51. </w:t>
      </w:r>
      <w:r w:rsidR="001456BA">
        <w:rPr>
          <w:sz w:val="24"/>
          <w:szCs w:val="24"/>
        </w:rPr>
        <w:t>doi:</w:t>
      </w:r>
      <w:r w:rsidR="001456BA" w:rsidRPr="0072661F">
        <w:t xml:space="preserve"> </w:t>
      </w:r>
      <w:r w:rsidR="001456BA" w:rsidRPr="0072661F">
        <w:rPr>
          <w:sz w:val="24"/>
          <w:szCs w:val="24"/>
        </w:rPr>
        <w:t>10.1007/s10067-012-2110-5</w:t>
      </w:r>
    </w:p>
    <w:p w14:paraId="1C26E8C2" w14:textId="545E4960" w:rsidR="001456BA" w:rsidRDefault="003D2622" w:rsidP="001456BA">
      <w:pPr>
        <w:spacing w:line="480" w:lineRule="auto"/>
        <w:rPr>
          <w:sz w:val="24"/>
          <w:szCs w:val="24"/>
        </w:rPr>
      </w:pPr>
      <w:r>
        <w:rPr>
          <w:sz w:val="24"/>
          <w:szCs w:val="24"/>
        </w:rPr>
        <w:t>2</w:t>
      </w:r>
      <w:r w:rsidR="00133CF1">
        <w:rPr>
          <w:sz w:val="24"/>
          <w:szCs w:val="24"/>
        </w:rPr>
        <w:t>6</w:t>
      </w:r>
      <w:r w:rsidR="001456BA" w:rsidRPr="001A1D07">
        <w:rPr>
          <w:sz w:val="24"/>
          <w:szCs w:val="24"/>
        </w:rPr>
        <w:t xml:space="preserve">. Singh JA, Bharat A, Khanna D, Aquino-Beaton C, Persselin JE, Duffy E, et al. Racial differences in health-related quality of life and functional ability in patients with gout. </w:t>
      </w:r>
      <w:r w:rsidR="001456BA" w:rsidRPr="00A916C0">
        <w:rPr>
          <w:i/>
          <w:sz w:val="24"/>
          <w:szCs w:val="24"/>
        </w:rPr>
        <w:t xml:space="preserve">Rheumatology </w:t>
      </w:r>
      <w:r w:rsidR="001456BA" w:rsidRPr="001A1D07">
        <w:rPr>
          <w:sz w:val="24"/>
          <w:szCs w:val="24"/>
        </w:rPr>
        <w:t>2016;56(1):103–12. doi: 10.1093/rheumatology/kew356</w:t>
      </w:r>
    </w:p>
    <w:p w14:paraId="0D6FB643" w14:textId="4031BFB1" w:rsidR="00133CF1" w:rsidRDefault="00133CF1" w:rsidP="001456BA">
      <w:pPr>
        <w:spacing w:line="480" w:lineRule="auto"/>
        <w:rPr>
          <w:sz w:val="24"/>
          <w:szCs w:val="24"/>
        </w:rPr>
      </w:pPr>
      <w:r>
        <w:rPr>
          <w:sz w:val="24"/>
          <w:szCs w:val="24"/>
        </w:rPr>
        <w:lastRenderedPageBreak/>
        <w:t>27</w:t>
      </w:r>
      <w:r w:rsidRPr="007501FE">
        <w:rPr>
          <w:sz w:val="24"/>
          <w:szCs w:val="24"/>
        </w:rPr>
        <w:t xml:space="preserve">. Chandratre P, Roddy E, Clarson L, Richardson J, Hider SL, Mallen CD. Health-related quality of life in gout: a systematic review. </w:t>
      </w:r>
      <w:r w:rsidRPr="00A916C0">
        <w:rPr>
          <w:i/>
          <w:sz w:val="24"/>
          <w:szCs w:val="24"/>
        </w:rPr>
        <w:t>Rheumatology</w:t>
      </w:r>
      <w:r w:rsidRPr="007501FE">
        <w:rPr>
          <w:sz w:val="24"/>
          <w:szCs w:val="24"/>
        </w:rPr>
        <w:t xml:space="preserve"> 2013;52(11):2031–40. doi: 10.1093/rheumatology/ket265</w:t>
      </w:r>
    </w:p>
    <w:p w14:paraId="3F061FE3" w14:textId="1A216015" w:rsidR="00693E1C" w:rsidRDefault="00693E1C" w:rsidP="001456BA">
      <w:pPr>
        <w:spacing w:line="480" w:lineRule="auto"/>
        <w:rPr>
          <w:sz w:val="24"/>
          <w:szCs w:val="24"/>
        </w:rPr>
      </w:pPr>
      <w:r>
        <w:rPr>
          <w:sz w:val="24"/>
          <w:szCs w:val="24"/>
        </w:rPr>
        <w:t>28</w:t>
      </w:r>
      <w:r w:rsidRPr="004363EE">
        <w:rPr>
          <w:sz w:val="24"/>
          <w:szCs w:val="24"/>
        </w:rPr>
        <w:t xml:space="preserve">. Chandratre P, Mallen C, Richardson J, Rome K, Bailey J, Gill R, et al. Prospective observational cohort study of Health Related Quality of Life (HRQOL), chronic foot problems and their determinants in gout: a research protocol. </w:t>
      </w:r>
      <w:r w:rsidRPr="00A916C0">
        <w:rPr>
          <w:i/>
          <w:sz w:val="24"/>
          <w:szCs w:val="24"/>
        </w:rPr>
        <w:t>BMC Musculoskelet Disord</w:t>
      </w:r>
      <w:r w:rsidRPr="004363EE">
        <w:rPr>
          <w:sz w:val="24"/>
          <w:szCs w:val="24"/>
        </w:rPr>
        <w:t xml:space="preserve"> 2012;13(1):219. doi:10.1186/1471-2474-13-219</w:t>
      </w:r>
    </w:p>
    <w:p w14:paraId="0DBDB806" w14:textId="501B43EA" w:rsidR="001456BA" w:rsidRPr="005B38F1" w:rsidRDefault="00693E1C" w:rsidP="001456BA">
      <w:pPr>
        <w:spacing w:line="480" w:lineRule="auto"/>
        <w:rPr>
          <w:sz w:val="24"/>
          <w:szCs w:val="24"/>
        </w:rPr>
      </w:pPr>
      <w:r>
        <w:rPr>
          <w:sz w:val="24"/>
          <w:szCs w:val="24"/>
        </w:rPr>
        <w:t>29</w:t>
      </w:r>
      <w:r w:rsidR="001456BA" w:rsidRPr="00667883">
        <w:rPr>
          <w:sz w:val="24"/>
          <w:szCs w:val="24"/>
        </w:rPr>
        <w:t xml:space="preserve">. Singh JA, Taylor WJ, Simon LS, Khanna PP, Stamp LA, McQueen FM, et al. Patient-reported Outcome in Chronic Gout: A Report from OMERACT 10. </w:t>
      </w:r>
      <w:r w:rsidR="001456BA" w:rsidRPr="00A916C0">
        <w:rPr>
          <w:i/>
          <w:sz w:val="24"/>
          <w:szCs w:val="24"/>
        </w:rPr>
        <w:t>J Rheumatol</w:t>
      </w:r>
      <w:r w:rsidR="001456BA" w:rsidRPr="00667883">
        <w:rPr>
          <w:sz w:val="24"/>
          <w:szCs w:val="24"/>
        </w:rPr>
        <w:t xml:space="preserve"> 2011;38(7):1452–7. doi: 10.3899/jrheum.110271</w:t>
      </w:r>
    </w:p>
    <w:p w14:paraId="02D74990" w14:textId="41094ECF" w:rsidR="001456BA" w:rsidRPr="005B38F1" w:rsidRDefault="00B078B1" w:rsidP="001456BA">
      <w:pPr>
        <w:spacing w:line="480" w:lineRule="auto"/>
        <w:rPr>
          <w:sz w:val="24"/>
          <w:szCs w:val="24"/>
        </w:rPr>
      </w:pPr>
      <w:r>
        <w:rPr>
          <w:sz w:val="24"/>
          <w:szCs w:val="24"/>
        </w:rPr>
        <w:t>30</w:t>
      </w:r>
      <w:r w:rsidR="001456BA" w:rsidRPr="00E04B3D">
        <w:rPr>
          <w:sz w:val="24"/>
          <w:szCs w:val="24"/>
        </w:rPr>
        <w:t xml:space="preserve">. Ware JE, Sherbourne CD. The MOS 36-item short form health survey (SF-36): I. Conceptual framework. </w:t>
      </w:r>
      <w:r w:rsidR="00F41CD3">
        <w:rPr>
          <w:i/>
          <w:sz w:val="24"/>
          <w:szCs w:val="24"/>
        </w:rPr>
        <w:t>Med Care</w:t>
      </w:r>
      <w:r w:rsidR="001456BA" w:rsidRPr="00E04B3D">
        <w:rPr>
          <w:sz w:val="24"/>
          <w:szCs w:val="24"/>
        </w:rPr>
        <w:t xml:space="preserve"> 1992;30(6):473–83. doi: 10.1007/BF03260127</w:t>
      </w:r>
    </w:p>
    <w:p w14:paraId="182DC35A" w14:textId="1D213D22" w:rsidR="001456BA" w:rsidRPr="005B38F1" w:rsidRDefault="00B078B1" w:rsidP="001456BA">
      <w:pPr>
        <w:spacing w:line="480" w:lineRule="auto"/>
        <w:rPr>
          <w:sz w:val="24"/>
          <w:szCs w:val="24"/>
        </w:rPr>
      </w:pPr>
      <w:r>
        <w:rPr>
          <w:sz w:val="24"/>
          <w:szCs w:val="24"/>
        </w:rPr>
        <w:t>3</w:t>
      </w:r>
      <w:r w:rsidR="001456BA">
        <w:rPr>
          <w:sz w:val="24"/>
          <w:szCs w:val="24"/>
        </w:rPr>
        <w:t>1</w:t>
      </w:r>
      <w:r w:rsidR="001456BA" w:rsidRPr="005B38F1">
        <w:rPr>
          <w:sz w:val="24"/>
          <w:szCs w:val="24"/>
        </w:rPr>
        <w:t xml:space="preserve">. Bruce B, Fries JF. The Stanford Health Assessment Questionnaire: dimensions and practical applications. </w:t>
      </w:r>
      <w:r w:rsidR="001456BA" w:rsidRPr="00F41CD3">
        <w:rPr>
          <w:i/>
          <w:sz w:val="24"/>
          <w:szCs w:val="24"/>
        </w:rPr>
        <w:t>Heal</w:t>
      </w:r>
      <w:r w:rsidR="00F41CD3" w:rsidRPr="00F41CD3">
        <w:rPr>
          <w:i/>
          <w:sz w:val="24"/>
          <w:szCs w:val="24"/>
        </w:rPr>
        <w:t>th</w:t>
      </w:r>
      <w:r w:rsidR="001456BA" w:rsidRPr="00F41CD3">
        <w:rPr>
          <w:i/>
          <w:sz w:val="24"/>
          <w:szCs w:val="24"/>
        </w:rPr>
        <w:t xml:space="preserve"> </w:t>
      </w:r>
      <w:r w:rsidR="001456BA" w:rsidRPr="00FD4080">
        <w:rPr>
          <w:i/>
          <w:sz w:val="24"/>
          <w:szCs w:val="24"/>
        </w:rPr>
        <w:t>Qual Life Outcomes</w:t>
      </w:r>
      <w:r w:rsidR="001456BA" w:rsidRPr="005B38F1">
        <w:rPr>
          <w:sz w:val="24"/>
          <w:szCs w:val="24"/>
        </w:rPr>
        <w:t xml:space="preserve"> 2003;1:20 1–6. </w:t>
      </w:r>
      <w:r w:rsidR="001456BA">
        <w:rPr>
          <w:sz w:val="24"/>
          <w:szCs w:val="24"/>
        </w:rPr>
        <w:t>doi:</w:t>
      </w:r>
      <w:r w:rsidR="001456BA" w:rsidRPr="00F62CAF">
        <w:rPr>
          <w:sz w:val="24"/>
          <w:szCs w:val="24"/>
        </w:rPr>
        <w:t>10.1186/1477-7525-1-20</w:t>
      </w:r>
    </w:p>
    <w:p w14:paraId="2EAC035A" w14:textId="1F330457" w:rsidR="001456BA" w:rsidRDefault="00B078B1" w:rsidP="001456BA">
      <w:pPr>
        <w:spacing w:line="480" w:lineRule="auto"/>
        <w:jc w:val="both"/>
        <w:rPr>
          <w:sz w:val="24"/>
          <w:szCs w:val="24"/>
        </w:rPr>
      </w:pPr>
      <w:r>
        <w:rPr>
          <w:sz w:val="24"/>
          <w:szCs w:val="24"/>
        </w:rPr>
        <w:t>3</w:t>
      </w:r>
      <w:r w:rsidR="001456BA" w:rsidRPr="00402BB1">
        <w:rPr>
          <w:sz w:val="24"/>
          <w:szCs w:val="24"/>
        </w:rPr>
        <w:t xml:space="preserve">2. Khanna D, Sarkin AJ, Khanna PP, Shieh MM, Kavanaugh AF, Terkeltaub RA, et al. Minimally important differences of the gout impact scale in a randomized controlled trial. </w:t>
      </w:r>
      <w:r w:rsidR="001456BA" w:rsidRPr="00A916C0">
        <w:rPr>
          <w:i/>
          <w:sz w:val="24"/>
          <w:szCs w:val="24"/>
        </w:rPr>
        <w:t xml:space="preserve">Rheumatology </w:t>
      </w:r>
      <w:r w:rsidR="001456BA" w:rsidRPr="00402BB1">
        <w:rPr>
          <w:sz w:val="24"/>
          <w:szCs w:val="24"/>
        </w:rPr>
        <w:t>2011;50(7):1331–6. doi:10.1093/rheumatology/ker023</w:t>
      </w:r>
    </w:p>
    <w:p w14:paraId="18097242" w14:textId="2624957C" w:rsidR="001456BA" w:rsidRDefault="00B078B1" w:rsidP="001456BA">
      <w:pPr>
        <w:spacing w:line="480" w:lineRule="auto"/>
        <w:jc w:val="both"/>
        <w:rPr>
          <w:sz w:val="24"/>
          <w:szCs w:val="24"/>
        </w:rPr>
      </w:pPr>
      <w:r>
        <w:rPr>
          <w:sz w:val="24"/>
          <w:szCs w:val="24"/>
        </w:rPr>
        <w:t>3</w:t>
      </w:r>
      <w:r w:rsidR="001456BA">
        <w:rPr>
          <w:sz w:val="24"/>
          <w:szCs w:val="24"/>
        </w:rPr>
        <w:t xml:space="preserve">3. Ware JE, Kosinski M, Bayliss MS, McHorney CA, Rogers WH, </w:t>
      </w:r>
      <w:r w:rsidR="001456BA" w:rsidRPr="00E04B3D">
        <w:rPr>
          <w:sz w:val="24"/>
          <w:szCs w:val="24"/>
        </w:rPr>
        <w:t xml:space="preserve">Raczek A. Comparison of methods for the scoring and statistical analysis of SF36 health profile and summary </w:t>
      </w:r>
      <w:r w:rsidR="00F41CD3">
        <w:rPr>
          <w:sz w:val="24"/>
          <w:szCs w:val="24"/>
        </w:rPr>
        <w:t>measures: Summary of results fro</w:t>
      </w:r>
      <w:r w:rsidR="001456BA" w:rsidRPr="00E04B3D">
        <w:rPr>
          <w:sz w:val="24"/>
          <w:szCs w:val="24"/>
        </w:rPr>
        <w:t xml:space="preserve">m the medical outcomes study. </w:t>
      </w:r>
      <w:r w:rsidR="001456BA" w:rsidRPr="00A916C0">
        <w:rPr>
          <w:i/>
          <w:sz w:val="24"/>
          <w:szCs w:val="24"/>
        </w:rPr>
        <w:t>Med Care</w:t>
      </w:r>
      <w:r w:rsidR="001456BA" w:rsidRPr="00E04B3D">
        <w:rPr>
          <w:sz w:val="24"/>
          <w:szCs w:val="24"/>
        </w:rPr>
        <w:t xml:space="preserve"> 1995;33:AS264–79. </w:t>
      </w:r>
    </w:p>
    <w:p w14:paraId="709D5415" w14:textId="2B63C18E" w:rsidR="0009205C" w:rsidRDefault="00DE5A34" w:rsidP="0009205C">
      <w:pPr>
        <w:spacing w:line="480" w:lineRule="auto"/>
        <w:jc w:val="both"/>
        <w:rPr>
          <w:sz w:val="23"/>
          <w:szCs w:val="23"/>
        </w:rPr>
      </w:pPr>
      <w:r>
        <w:rPr>
          <w:sz w:val="23"/>
          <w:szCs w:val="23"/>
        </w:rPr>
        <w:t xml:space="preserve">34. </w:t>
      </w:r>
      <w:r w:rsidR="0009205C">
        <w:rPr>
          <w:sz w:val="23"/>
          <w:szCs w:val="23"/>
        </w:rPr>
        <w:t xml:space="preserve">KroenkeK, Spitzer RL,  Williams JBW. The PHQ-9 Validity of a Brief Depression Severity Measure. </w:t>
      </w:r>
      <w:r w:rsidR="00CF6373" w:rsidRPr="00CF6373">
        <w:rPr>
          <w:rFonts w:ascii="Arial" w:hAnsi="Arial" w:cs="Arial"/>
          <w:i/>
          <w:color w:val="000000"/>
          <w:sz w:val="20"/>
          <w:szCs w:val="20"/>
          <w:shd w:val="clear" w:color="auto" w:fill="FFFFFF"/>
        </w:rPr>
        <w:t>J Gen Intern Med</w:t>
      </w:r>
      <w:r w:rsidR="00CF6373">
        <w:rPr>
          <w:iCs/>
          <w:sz w:val="23"/>
          <w:szCs w:val="23"/>
        </w:rPr>
        <w:t xml:space="preserve"> 2001</w:t>
      </w:r>
      <w:r w:rsidR="00CF6373">
        <w:rPr>
          <w:sz w:val="23"/>
          <w:szCs w:val="23"/>
        </w:rPr>
        <w:t>;</w:t>
      </w:r>
      <w:r w:rsidR="0009205C">
        <w:rPr>
          <w:sz w:val="23"/>
          <w:szCs w:val="23"/>
        </w:rPr>
        <w:t xml:space="preserve"> </w:t>
      </w:r>
      <w:r w:rsidR="0009205C">
        <w:rPr>
          <w:i/>
          <w:iCs/>
          <w:sz w:val="23"/>
          <w:szCs w:val="23"/>
        </w:rPr>
        <w:t>16</w:t>
      </w:r>
      <w:r w:rsidR="00CF6373">
        <w:rPr>
          <w:sz w:val="23"/>
          <w:szCs w:val="23"/>
        </w:rPr>
        <w:t>(9):</w:t>
      </w:r>
      <w:r w:rsidR="0009205C">
        <w:rPr>
          <w:sz w:val="23"/>
          <w:szCs w:val="23"/>
        </w:rPr>
        <w:t>606–613. doi:10.1046/j.1525-1497.2001.016009606.x</w:t>
      </w:r>
    </w:p>
    <w:p w14:paraId="03CDC954" w14:textId="2A2B3892" w:rsidR="0009205C" w:rsidRDefault="00DE5A34" w:rsidP="0009205C">
      <w:pPr>
        <w:spacing w:line="480" w:lineRule="auto"/>
        <w:jc w:val="both"/>
        <w:rPr>
          <w:sz w:val="24"/>
          <w:szCs w:val="24"/>
        </w:rPr>
      </w:pPr>
      <w:r>
        <w:rPr>
          <w:sz w:val="23"/>
          <w:szCs w:val="23"/>
        </w:rPr>
        <w:lastRenderedPageBreak/>
        <w:t xml:space="preserve">35. </w:t>
      </w:r>
      <w:r w:rsidR="00CF6373">
        <w:rPr>
          <w:sz w:val="23"/>
          <w:szCs w:val="23"/>
        </w:rPr>
        <w:t>Spitzer R, Kroenke K, Williams J, Lowe</w:t>
      </w:r>
      <w:r w:rsidR="0009205C">
        <w:rPr>
          <w:sz w:val="23"/>
          <w:szCs w:val="23"/>
        </w:rPr>
        <w:t xml:space="preserve"> B. A brief measure for assessing generalized anxiety disorder: The GAD-7. </w:t>
      </w:r>
      <w:r w:rsidR="00CF6373" w:rsidRPr="00CF6373">
        <w:rPr>
          <w:rFonts w:ascii="Arial" w:hAnsi="Arial" w:cs="Arial"/>
          <w:i/>
          <w:color w:val="000000"/>
          <w:sz w:val="20"/>
          <w:szCs w:val="20"/>
          <w:shd w:val="clear" w:color="auto" w:fill="FFFFFF"/>
        </w:rPr>
        <w:t>Arch Intern Med</w:t>
      </w:r>
      <w:r w:rsidR="00CF6373">
        <w:rPr>
          <w:i/>
          <w:iCs/>
          <w:sz w:val="23"/>
          <w:szCs w:val="23"/>
        </w:rPr>
        <w:t xml:space="preserve"> </w:t>
      </w:r>
      <w:r w:rsidR="00CF6373" w:rsidRPr="00CF6373">
        <w:rPr>
          <w:iCs/>
          <w:sz w:val="23"/>
          <w:szCs w:val="23"/>
        </w:rPr>
        <w:t>2006</w:t>
      </w:r>
      <w:r w:rsidR="00CF6373">
        <w:rPr>
          <w:i/>
          <w:iCs/>
          <w:sz w:val="23"/>
          <w:szCs w:val="23"/>
        </w:rPr>
        <w:t xml:space="preserve">; </w:t>
      </w:r>
      <w:r w:rsidR="00CF6373">
        <w:rPr>
          <w:sz w:val="23"/>
          <w:szCs w:val="23"/>
        </w:rPr>
        <w:t>166(10):</w:t>
      </w:r>
      <w:r w:rsidR="0009205C">
        <w:rPr>
          <w:sz w:val="23"/>
          <w:szCs w:val="23"/>
        </w:rPr>
        <w:t>1092–1097. doi:10.1001/archinte.166.10.1092</w:t>
      </w:r>
    </w:p>
    <w:p w14:paraId="3D710A4B" w14:textId="04557501" w:rsidR="001456BA" w:rsidRDefault="00B078B1" w:rsidP="001456BA">
      <w:pPr>
        <w:spacing w:line="480" w:lineRule="auto"/>
        <w:jc w:val="both"/>
        <w:rPr>
          <w:sz w:val="24"/>
          <w:szCs w:val="24"/>
        </w:rPr>
      </w:pPr>
      <w:r>
        <w:rPr>
          <w:sz w:val="24"/>
          <w:szCs w:val="24"/>
        </w:rPr>
        <w:t>3</w:t>
      </w:r>
      <w:r w:rsidR="00DE5A34">
        <w:rPr>
          <w:sz w:val="24"/>
          <w:szCs w:val="24"/>
        </w:rPr>
        <w:t>6</w:t>
      </w:r>
      <w:r w:rsidR="001456BA">
        <w:rPr>
          <w:sz w:val="24"/>
          <w:szCs w:val="24"/>
        </w:rPr>
        <w:t xml:space="preserve">. Ministry of Housing, Communities &amp; Local Government. English indices of deprivation 2010 </w:t>
      </w:r>
      <w:hyperlink r:id="rId10" w:history="1">
        <w:r w:rsidR="001456BA">
          <w:rPr>
            <w:rStyle w:val="Hyperlink"/>
            <w:sz w:val="24"/>
            <w:szCs w:val="24"/>
          </w:rPr>
          <w:t>https://www.gov.uk/government/statistics/english-indices-of-deprivation-2010</w:t>
        </w:r>
      </w:hyperlink>
      <w:r w:rsidR="001456BA">
        <w:rPr>
          <w:sz w:val="24"/>
          <w:szCs w:val="24"/>
          <w:u w:val="single"/>
        </w:rPr>
        <w:t xml:space="preserve"> </w:t>
      </w:r>
      <w:r w:rsidR="001456BA">
        <w:rPr>
          <w:sz w:val="24"/>
          <w:szCs w:val="24"/>
        </w:rPr>
        <w:t xml:space="preserve">  Accessed August 2019</w:t>
      </w:r>
    </w:p>
    <w:p w14:paraId="34A4C18E" w14:textId="7289399B" w:rsidR="001456BA" w:rsidRPr="00D65E0A" w:rsidRDefault="00B078B1" w:rsidP="001456BA">
      <w:pPr>
        <w:spacing w:line="480" w:lineRule="auto"/>
        <w:jc w:val="both"/>
        <w:rPr>
          <w:sz w:val="24"/>
          <w:szCs w:val="24"/>
        </w:rPr>
      </w:pPr>
      <w:r>
        <w:rPr>
          <w:sz w:val="24"/>
          <w:szCs w:val="24"/>
        </w:rPr>
        <w:t>3</w:t>
      </w:r>
      <w:r w:rsidR="00DE5A34">
        <w:rPr>
          <w:sz w:val="24"/>
          <w:szCs w:val="24"/>
        </w:rPr>
        <w:t>7</w:t>
      </w:r>
      <w:r w:rsidR="001456BA" w:rsidRPr="00D65E0A">
        <w:rPr>
          <w:sz w:val="24"/>
          <w:szCs w:val="24"/>
        </w:rPr>
        <w:t>. T</w:t>
      </w:r>
      <w:r w:rsidR="001456BA">
        <w:rPr>
          <w:sz w:val="24"/>
          <w:szCs w:val="24"/>
        </w:rPr>
        <w:t>wisk, JWR. Applied Multilevel Analysis. Cambrige: Cambridge University Press, 2006</w:t>
      </w:r>
    </w:p>
    <w:p w14:paraId="2FA2240D" w14:textId="005E3EB8" w:rsidR="001456BA" w:rsidRDefault="00B078B1" w:rsidP="001456BA">
      <w:pPr>
        <w:spacing w:line="480" w:lineRule="auto"/>
        <w:jc w:val="both"/>
        <w:rPr>
          <w:sz w:val="24"/>
          <w:szCs w:val="24"/>
        </w:rPr>
      </w:pPr>
      <w:r>
        <w:rPr>
          <w:sz w:val="24"/>
          <w:szCs w:val="24"/>
        </w:rPr>
        <w:t>3</w:t>
      </w:r>
      <w:r w:rsidR="00DE5A34">
        <w:rPr>
          <w:sz w:val="24"/>
          <w:szCs w:val="24"/>
        </w:rPr>
        <w:t>8</w:t>
      </w:r>
      <w:r w:rsidR="001456BA">
        <w:rPr>
          <w:sz w:val="24"/>
          <w:szCs w:val="24"/>
        </w:rPr>
        <w:t>. West TB, Welch KB,</w:t>
      </w:r>
      <w:r w:rsidR="001456BA" w:rsidRPr="00BC6294">
        <w:rPr>
          <w:sz w:val="24"/>
          <w:szCs w:val="24"/>
        </w:rPr>
        <w:t xml:space="preserve"> Galecki AT. Linear Mixed Model A Practical Guide Using Statistical Software. 2nd ed. Boca Raton, Florida: CR</w:t>
      </w:r>
      <w:r w:rsidR="001456BA">
        <w:rPr>
          <w:sz w:val="24"/>
          <w:szCs w:val="24"/>
        </w:rPr>
        <w:t xml:space="preserve">C Press Taylor &amp; Francis Group, </w:t>
      </w:r>
      <w:r w:rsidR="001456BA" w:rsidRPr="00BC6294">
        <w:rPr>
          <w:sz w:val="24"/>
          <w:szCs w:val="24"/>
        </w:rPr>
        <w:t>2015.</w:t>
      </w:r>
    </w:p>
    <w:p w14:paraId="79EBD2EE" w14:textId="3BDF24E0" w:rsidR="000C5064" w:rsidRDefault="000C5064" w:rsidP="000C5064">
      <w:pPr>
        <w:spacing w:line="480" w:lineRule="auto"/>
        <w:jc w:val="both"/>
        <w:rPr>
          <w:sz w:val="24"/>
          <w:szCs w:val="24"/>
        </w:rPr>
      </w:pPr>
      <w:r>
        <w:rPr>
          <w:sz w:val="24"/>
          <w:szCs w:val="24"/>
        </w:rPr>
        <w:t>3</w:t>
      </w:r>
      <w:r w:rsidR="00DE5A34">
        <w:rPr>
          <w:sz w:val="24"/>
          <w:szCs w:val="24"/>
        </w:rPr>
        <w:t>9</w:t>
      </w:r>
      <w:r w:rsidRPr="005B38F1">
        <w:rPr>
          <w:sz w:val="24"/>
          <w:szCs w:val="24"/>
        </w:rPr>
        <w:t xml:space="preserve">. Cnaan A, Laird NM, Slasor P. Tutorial in Biostatistics: Using the General Linear Mixed Model To Analyse Unbalanced Repeated Measures and Longitudinal Data. </w:t>
      </w:r>
      <w:r w:rsidRPr="001E0BC6">
        <w:rPr>
          <w:i/>
          <w:sz w:val="24"/>
          <w:szCs w:val="24"/>
        </w:rPr>
        <w:t>Stat Med Stat Med</w:t>
      </w:r>
      <w:r w:rsidRPr="005B38F1">
        <w:rPr>
          <w:sz w:val="24"/>
          <w:szCs w:val="24"/>
        </w:rPr>
        <w:t xml:space="preserve"> 1997;16(16):2349–80. </w:t>
      </w:r>
      <w:r>
        <w:rPr>
          <w:sz w:val="24"/>
          <w:szCs w:val="24"/>
        </w:rPr>
        <w:t>doi:</w:t>
      </w:r>
      <w:r w:rsidRPr="00EA1696">
        <w:rPr>
          <w:sz w:val="24"/>
          <w:szCs w:val="24"/>
        </w:rPr>
        <w:t>10.1002/(SICI)1097-0258(19971030)16:20&lt;2349::AID-SIM667&gt;3.0.CO;2-E</w:t>
      </w:r>
    </w:p>
    <w:p w14:paraId="6707DE68" w14:textId="1BDD9105" w:rsidR="000C5064" w:rsidRDefault="00DE5A34" w:rsidP="000C5064">
      <w:pPr>
        <w:spacing w:line="480" w:lineRule="auto"/>
        <w:jc w:val="both"/>
        <w:rPr>
          <w:sz w:val="24"/>
          <w:szCs w:val="24"/>
        </w:rPr>
      </w:pPr>
      <w:r>
        <w:rPr>
          <w:sz w:val="24"/>
          <w:szCs w:val="24"/>
        </w:rPr>
        <w:t>40</w:t>
      </w:r>
      <w:r w:rsidR="000C5064" w:rsidRPr="00501002">
        <w:rPr>
          <w:sz w:val="24"/>
          <w:szCs w:val="24"/>
        </w:rPr>
        <w:t xml:space="preserve">. Twisk J, De Boer M, De Vente W, Heymans M. Multiple imputation of missing values was not necessary before performing a longitudinal mixed-model analysis. </w:t>
      </w:r>
      <w:r w:rsidR="000C5064" w:rsidRPr="00A916C0">
        <w:rPr>
          <w:i/>
          <w:sz w:val="24"/>
          <w:szCs w:val="24"/>
        </w:rPr>
        <w:t>J Clin Epidemiol</w:t>
      </w:r>
      <w:r w:rsidR="000C5064" w:rsidRPr="00501002">
        <w:rPr>
          <w:sz w:val="24"/>
          <w:szCs w:val="24"/>
        </w:rPr>
        <w:t xml:space="preserve"> 2013;66(9):1022–8. doi: 10.1016/j.jclinepi.2013.03.017</w:t>
      </w:r>
    </w:p>
    <w:p w14:paraId="10ED5147" w14:textId="77777777" w:rsidR="000C5064" w:rsidRDefault="000C5064" w:rsidP="001456BA">
      <w:pPr>
        <w:spacing w:line="480" w:lineRule="auto"/>
        <w:jc w:val="both"/>
        <w:rPr>
          <w:sz w:val="24"/>
          <w:szCs w:val="24"/>
        </w:rPr>
      </w:pPr>
    </w:p>
    <w:p w14:paraId="7A4DDACA" w14:textId="767A05BA" w:rsidR="001456BA" w:rsidRDefault="00DE5A34" w:rsidP="001456BA">
      <w:pPr>
        <w:spacing w:line="480" w:lineRule="auto"/>
        <w:jc w:val="both"/>
        <w:rPr>
          <w:sz w:val="24"/>
          <w:szCs w:val="24"/>
        </w:rPr>
      </w:pPr>
      <w:r>
        <w:rPr>
          <w:sz w:val="24"/>
          <w:szCs w:val="24"/>
        </w:rPr>
        <w:t>41</w:t>
      </w:r>
      <w:r w:rsidR="001456BA" w:rsidRPr="00981831">
        <w:rPr>
          <w:sz w:val="24"/>
          <w:szCs w:val="24"/>
        </w:rPr>
        <w:t xml:space="preserve">. Royston P, Moons KGM, Altman DG, Vergouwe Y. Prognosis and prognostic research: Developing a prognostic model. </w:t>
      </w:r>
      <w:r w:rsidR="001456BA" w:rsidRPr="00A916C0">
        <w:rPr>
          <w:i/>
          <w:sz w:val="24"/>
          <w:szCs w:val="24"/>
        </w:rPr>
        <w:t>BMJ</w:t>
      </w:r>
      <w:r w:rsidR="001456BA" w:rsidRPr="00981831">
        <w:rPr>
          <w:sz w:val="24"/>
          <w:szCs w:val="24"/>
        </w:rPr>
        <w:t xml:space="preserve"> 2009;338(7707):1373–7. doi: 10.1136/bmj.b604</w:t>
      </w:r>
    </w:p>
    <w:p w14:paraId="28A3DF30" w14:textId="417E469E" w:rsidR="00E0264C" w:rsidRDefault="00DE5A34" w:rsidP="00533CDB">
      <w:pPr>
        <w:spacing w:line="480" w:lineRule="auto"/>
        <w:rPr>
          <w:sz w:val="24"/>
          <w:szCs w:val="24"/>
        </w:rPr>
      </w:pPr>
      <w:r>
        <w:rPr>
          <w:sz w:val="24"/>
          <w:szCs w:val="24"/>
        </w:rPr>
        <w:t>42</w:t>
      </w:r>
      <w:r w:rsidR="00E0264C">
        <w:rPr>
          <w:sz w:val="24"/>
          <w:szCs w:val="24"/>
        </w:rPr>
        <w:t>. Berrington</w:t>
      </w:r>
      <w:r w:rsidR="00E0264C" w:rsidRPr="005B38F1">
        <w:rPr>
          <w:sz w:val="24"/>
          <w:szCs w:val="24"/>
        </w:rPr>
        <w:t xml:space="preserve"> </w:t>
      </w:r>
      <w:r w:rsidR="00E0264C">
        <w:rPr>
          <w:sz w:val="24"/>
          <w:szCs w:val="24"/>
        </w:rPr>
        <w:t>A, Smith WF</w:t>
      </w:r>
      <w:r w:rsidR="00E0264C" w:rsidRPr="005B38F1">
        <w:rPr>
          <w:sz w:val="24"/>
          <w:szCs w:val="24"/>
        </w:rPr>
        <w:t>, Sturgis P. An Overview of Methods for the Analysis of Panel Data.</w:t>
      </w:r>
      <w:r w:rsidR="00E0264C" w:rsidRPr="00FD4080">
        <w:t xml:space="preserve"> </w:t>
      </w:r>
      <w:r w:rsidR="00E0264C" w:rsidRPr="00FD4080">
        <w:rPr>
          <w:sz w:val="24"/>
          <w:szCs w:val="24"/>
        </w:rPr>
        <w:t>Economic &amp; Social Research Council National Centre for Research Methods Briefing Paper</w:t>
      </w:r>
      <w:r w:rsidR="00E0264C" w:rsidRPr="005B38F1">
        <w:rPr>
          <w:sz w:val="24"/>
          <w:szCs w:val="24"/>
        </w:rPr>
        <w:t xml:space="preserve"> 2006;(November):1–57. </w:t>
      </w:r>
    </w:p>
    <w:p w14:paraId="69B787A9" w14:textId="3E7ACE27" w:rsidR="00D77E51" w:rsidRDefault="000C5064" w:rsidP="001456BA">
      <w:pPr>
        <w:spacing w:line="480" w:lineRule="auto"/>
        <w:jc w:val="both"/>
        <w:rPr>
          <w:sz w:val="24"/>
          <w:szCs w:val="24"/>
        </w:rPr>
      </w:pPr>
      <w:r>
        <w:rPr>
          <w:sz w:val="24"/>
          <w:szCs w:val="24"/>
        </w:rPr>
        <w:lastRenderedPageBreak/>
        <w:t>4</w:t>
      </w:r>
      <w:r w:rsidR="00DE5A34">
        <w:rPr>
          <w:sz w:val="24"/>
          <w:szCs w:val="24"/>
        </w:rPr>
        <w:t>3</w:t>
      </w:r>
      <w:r w:rsidR="00707B85" w:rsidRPr="005470FE">
        <w:rPr>
          <w:sz w:val="24"/>
          <w:szCs w:val="24"/>
        </w:rPr>
        <w:t xml:space="preserve">. </w:t>
      </w:r>
      <w:r w:rsidR="00707B85" w:rsidRPr="00707B85">
        <w:rPr>
          <w:sz w:val="24"/>
          <w:szCs w:val="24"/>
        </w:rPr>
        <w:t>Gurka</w:t>
      </w:r>
      <w:r w:rsidR="00707B85">
        <w:rPr>
          <w:sz w:val="24"/>
          <w:szCs w:val="24"/>
        </w:rPr>
        <w:t xml:space="preserve"> MJ</w:t>
      </w:r>
      <w:r w:rsidR="001D1EC6">
        <w:rPr>
          <w:sz w:val="24"/>
          <w:szCs w:val="24"/>
        </w:rPr>
        <w:t xml:space="preserve">. </w:t>
      </w:r>
      <w:r w:rsidR="00707B85" w:rsidRPr="00707B85">
        <w:rPr>
          <w:sz w:val="24"/>
          <w:szCs w:val="24"/>
        </w:rPr>
        <w:t>Selecting the Bes</w:t>
      </w:r>
      <w:r w:rsidR="00707B85">
        <w:rPr>
          <w:sz w:val="24"/>
          <w:szCs w:val="24"/>
        </w:rPr>
        <w:t xml:space="preserve">t Linear Mixed Model Under REML. </w:t>
      </w:r>
      <w:r w:rsidR="00707B85" w:rsidRPr="00A916C0">
        <w:rPr>
          <w:i/>
          <w:sz w:val="24"/>
          <w:szCs w:val="24"/>
        </w:rPr>
        <w:t>The American Statistician</w:t>
      </w:r>
      <w:r w:rsidR="00707B85">
        <w:rPr>
          <w:sz w:val="24"/>
          <w:szCs w:val="24"/>
        </w:rPr>
        <w:t xml:space="preserve"> 2006; 60(1):</w:t>
      </w:r>
      <w:r w:rsidR="00707B85" w:rsidRPr="00707B85">
        <w:rPr>
          <w:sz w:val="24"/>
          <w:szCs w:val="24"/>
        </w:rPr>
        <w:t>19-26, DOI: 10.1198/000313006X90396</w:t>
      </w:r>
    </w:p>
    <w:p w14:paraId="08D3B371" w14:textId="636A4E16" w:rsidR="001D1EC6" w:rsidRDefault="000C5064" w:rsidP="001456BA">
      <w:pPr>
        <w:spacing w:line="480" w:lineRule="auto"/>
        <w:jc w:val="both"/>
        <w:rPr>
          <w:sz w:val="24"/>
          <w:szCs w:val="24"/>
        </w:rPr>
      </w:pPr>
      <w:r>
        <w:rPr>
          <w:sz w:val="24"/>
          <w:szCs w:val="24"/>
        </w:rPr>
        <w:t>4</w:t>
      </w:r>
      <w:r w:rsidR="00DE5A34">
        <w:rPr>
          <w:sz w:val="24"/>
          <w:szCs w:val="24"/>
        </w:rPr>
        <w:t>4</w:t>
      </w:r>
      <w:r w:rsidR="001D1EC6">
        <w:rPr>
          <w:sz w:val="24"/>
          <w:szCs w:val="24"/>
        </w:rPr>
        <w:t xml:space="preserve">. </w:t>
      </w:r>
      <w:r w:rsidR="001D1EC6" w:rsidRPr="001D1EC6">
        <w:rPr>
          <w:sz w:val="24"/>
          <w:szCs w:val="24"/>
        </w:rPr>
        <w:t>Buscemi</w:t>
      </w:r>
      <w:r w:rsidR="001D1EC6">
        <w:rPr>
          <w:sz w:val="24"/>
          <w:szCs w:val="24"/>
        </w:rPr>
        <w:t xml:space="preserve"> S &amp; </w:t>
      </w:r>
      <w:r w:rsidR="001D1EC6" w:rsidRPr="001D1EC6">
        <w:rPr>
          <w:sz w:val="24"/>
          <w:szCs w:val="24"/>
        </w:rPr>
        <w:t xml:space="preserve">Plaia A. Model selection in linear mixed-effect models. </w:t>
      </w:r>
      <w:r w:rsidR="001D1EC6" w:rsidRPr="00A916C0">
        <w:rPr>
          <w:i/>
          <w:sz w:val="24"/>
          <w:szCs w:val="24"/>
        </w:rPr>
        <w:t>Advances in Statistical Analysis</w:t>
      </w:r>
      <w:r w:rsidR="001D1EC6">
        <w:rPr>
          <w:sz w:val="24"/>
          <w:szCs w:val="24"/>
        </w:rPr>
        <w:t xml:space="preserve"> 2020;104:</w:t>
      </w:r>
      <w:r w:rsidR="001D1EC6" w:rsidRPr="001D1EC6">
        <w:rPr>
          <w:sz w:val="24"/>
          <w:szCs w:val="24"/>
        </w:rPr>
        <w:t>529–575</w:t>
      </w:r>
      <w:r w:rsidR="001D1EC6">
        <w:rPr>
          <w:sz w:val="24"/>
          <w:szCs w:val="24"/>
        </w:rPr>
        <w:t>. doi:</w:t>
      </w:r>
      <w:r w:rsidR="001D1EC6" w:rsidRPr="001D1EC6">
        <w:rPr>
          <w:sz w:val="24"/>
          <w:szCs w:val="24"/>
        </w:rPr>
        <w:t>10.1007/s10182-019-00359-z</w:t>
      </w:r>
    </w:p>
    <w:p w14:paraId="774F490B" w14:textId="46FF09D1" w:rsidR="001456BA" w:rsidRDefault="00902D69" w:rsidP="001456BA">
      <w:pPr>
        <w:spacing w:line="480" w:lineRule="auto"/>
        <w:rPr>
          <w:sz w:val="24"/>
          <w:szCs w:val="24"/>
        </w:rPr>
      </w:pPr>
      <w:r>
        <w:rPr>
          <w:sz w:val="24"/>
          <w:szCs w:val="24"/>
        </w:rPr>
        <w:t>4</w:t>
      </w:r>
      <w:r w:rsidR="00DE5A34">
        <w:rPr>
          <w:sz w:val="24"/>
          <w:szCs w:val="24"/>
        </w:rPr>
        <w:t>5</w:t>
      </w:r>
      <w:r w:rsidR="001456BA">
        <w:rPr>
          <w:sz w:val="24"/>
          <w:szCs w:val="24"/>
        </w:rPr>
        <w:t xml:space="preserve">. Fayers PM, </w:t>
      </w:r>
      <w:r w:rsidR="001456BA" w:rsidRPr="005B38F1">
        <w:rPr>
          <w:sz w:val="24"/>
          <w:szCs w:val="24"/>
        </w:rPr>
        <w:t>Machin D. Quality of Life; The assessment, analysis and reporting of patient-reported outcomes. 3rd E</w:t>
      </w:r>
      <w:r w:rsidR="001456BA">
        <w:rPr>
          <w:sz w:val="24"/>
          <w:szCs w:val="24"/>
        </w:rPr>
        <w:t>d</w:t>
      </w:r>
      <w:r w:rsidR="001456BA" w:rsidRPr="005B38F1">
        <w:rPr>
          <w:sz w:val="24"/>
          <w:szCs w:val="24"/>
        </w:rPr>
        <w:t>. Chiche</w:t>
      </w:r>
      <w:r w:rsidR="001456BA">
        <w:rPr>
          <w:sz w:val="24"/>
          <w:szCs w:val="24"/>
        </w:rPr>
        <w:t xml:space="preserve">ster: John Wiley &amp; Sons; 2016. </w:t>
      </w:r>
    </w:p>
    <w:p w14:paraId="0CA9FB17" w14:textId="4E94EB37" w:rsidR="00902D69" w:rsidRPr="00F84DA5" w:rsidRDefault="00902D69" w:rsidP="001456BA">
      <w:pPr>
        <w:spacing w:line="480" w:lineRule="auto"/>
        <w:rPr>
          <w:sz w:val="24"/>
          <w:szCs w:val="24"/>
        </w:rPr>
      </w:pPr>
      <w:r>
        <w:rPr>
          <w:sz w:val="24"/>
          <w:szCs w:val="24"/>
        </w:rPr>
        <w:t>4</w:t>
      </w:r>
      <w:r w:rsidR="00DE5A34">
        <w:rPr>
          <w:sz w:val="24"/>
          <w:szCs w:val="24"/>
        </w:rPr>
        <w:t>6</w:t>
      </w:r>
      <w:r w:rsidRPr="005B38F1">
        <w:rPr>
          <w:sz w:val="24"/>
          <w:szCs w:val="24"/>
        </w:rPr>
        <w:t xml:space="preserve">. Fitzpatrick R, Fletcher A, Gore S, Jones D, Spiegelhalter D, Cox D. Quality of life measures in health care. I: Applications and issues in assessment. </w:t>
      </w:r>
      <w:r w:rsidRPr="00042268">
        <w:rPr>
          <w:i/>
          <w:sz w:val="24"/>
          <w:szCs w:val="24"/>
        </w:rPr>
        <w:t>BMJ</w:t>
      </w:r>
      <w:r w:rsidRPr="005B38F1">
        <w:rPr>
          <w:sz w:val="24"/>
          <w:szCs w:val="24"/>
        </w:rPr>
        <w:t xml:space="preserve"> 1992;305(6861):1074–7. </w:t>
      </w:r>
      <w:r>
        <w:rPr>
          <w:sz w:val="24"/>
          <w:szCs w:val="24"/>
        </w:rPr>
        <w:t xml:space="preserve">doi: </w:t>
      </w:r>
      <w:r w:rsidRPr="00042268">
        <w:rPr>
          <w:sz w:val="24"/>
          <w:szCs w:val="24"/>
        </w:rPr>
        <w:t>10.1136/bmj.305.6861.1074</w:t>
      </w:r>
    </w:p>
    <w:p w14:paraId="0365A7B1" w14:textId="0ABDBB27" w:rsidR="001456BA" w:rsidRPr="005B38F1" w:rsidRDefault="001456BA" w:rsidP="001456BA">
      <w:pPr>
        <w:spacing w:line="480" w:lineRule="auto"/>
        <w:rPr>
          <w:sz w:val="24"/>
          <w:szCs w:val="24"/>
        </w:rPr>
      </w:pPr>
      <w:r>
        <w:rPr>
          <w:sz w:val="24"/>
          <w:szCs w:val="24"/>
        </w:rPr>
        <w:t>4</w:t>
      </w:r>
      <w:r w:rsidR="00DE5A34">
        <w:rPr>
          <w:sz w:val="24"/>
          <w:szCs w:val="24"/>
        </w:rPr>
        <w:t>7</w:t>
      </w:r>
      <w:r w:rsidRPr="004C01E9">
        <w:rPr>
          <w:sz w:val="24"/>
          <w:szCs w:val="24"/>
        </w:rPr>
        <w:t xml:space="preserve">. Hassey A, Gerret D, Wilson A. A survey of validity and utility of electronic patient records in a general practice. </w:t>
      </w:r>
      <w:r w:rsidR="00F41CD3" w:rsidRPr="00F41CD3">
        <w:rPr>
          <w:i/>
          <w:sz w:val="24"/>
          <w:szCs w:val="24"/>
        </w:rPr>
        <w:t>BMJ</w:t>
      </w:r>
      <w:r w:rsidRPr="00F41CD3">
        <w:rPr>
          <w:sz w:val="24"/>
          <w:szCs w:val="24"/>
        </w:rPr>
        <w:t xml:space="preserve"> </w:t>
      </w:r>
      <w:r w:rsidRPr="004C01E9">
        <w:rPr>
          <w:sz w:val="24"/>
          <w:szCs w:val="24"/>
        </w:rPr>
        <w:t>2001;322(7299):1401–5. doi: 10.1136/bmj.322.7299.1401</w:t>
      </w:r>
    </w:p>
    <w:p w14:paraId="6DDEDD95" w14:textId="79281ACB" w:rsidR="001456BA" w:rsidRDefault="001456BA" w:rsidP="001456BA">
      <w:pPr>
        <w:spacing w:line="480" w:lineRule="auto"/>
        <w:rPr>
          <w:sz w:val="24"/>
          <w:szCs w:val="24"/>
        </w:rPr>
      </w:pPr>
      <w:r>
        <w:rPr>
          <w:sz w:val="24"/>
          <w:szCs w:val="24"/>
        </w:rPr>
        <w:t>4</w:t>
      </w:r>
      <w:r w:rsidR="00DE5A34">
        <w:rPr>
          <w:sz w:val="24"/>
          <w:szCs w:val="24"/>
        </w:rPr>
        <w:t>8</w:t>
      </w:r>
      <w:r w:rsidRPr="005B38F1">
        <w:rPr>
          <w:sz w:val="24"/>
          <w:szCs w:val="24"/>
        </w:rPr>
        <w:t xml:space="preserve">. Hui M, Carr A, Cameron S, Davenport G, Doherty M, Forrester H, et al. The British society for rheumatology guideline for the management of gout. </w:t>
      </w:r>
      <w:r w:rsidRPr="00A838FE">
        <w:rPr>
          <w:i/>
          <w:sz w:val="24"/>
          <w:szCs w:val="24"/>
        </w:rPr>
        <w:t>Rheumatol</w:t>
      </w:r>
      <w:r>
        <w:rPr>
          <w:i/>
          <w:sz w:val="24"/>
          <w:szCs w:val="24"/>
        </w:rPr>
        <w:t>ogy</w:t>
      </w:r>
      <w:r w:rsidRPr="005B38F1">
        <w:rPr>
          <w:sz w:val="24"/>
          <w:szCs w:val="24"/>
        </w:rPr>
        <w:t xml:space="preserve"> 2017;56(7):e1–20. </w:t>
      </w:r>
      <w:r>
        <w:rPr>
          <w:sz w:val="24"/>
          <w:szCs w:val="24"/>
        </w:rPr>
        <w:t xml:space="preserve"> doi: </w:t>
      </w:r>
      <w:r w:rsidRPr="00A838FE">
        <w:rPr>
          <w:sz w:val="24"/>
          <w:szCs w:val="24"/>
        </w:rPr>
        <w:t>10.1093/rheumatology/kex150</w:t>
      </w:r>
    </w:p>
    <w:p w14:paraId="0848EA75" w14:textId="2DE93161" w:rsidR="0009205C" w:rsidRDefault="001456BA" w:rsidP="001456BA">
      <w:pPr>
        <w:spacing w:line="480" w:lineRule="auto"/>
        <w:rPr>
          <w:sz w:val="24"/>
          <w:szCs w:val="24"/>
        </w:rPr>
      </w:pPr>
      <w:r>
        <w:rPr>
          <w:sz w:val="24"/>
          <w:szCs w:val="24"/>
        </w:rPr>
        <w:t>4</w:t>
      </w:r>
      <w:r w:rsidR="00DE5A34">
        <w:rPr>
          <w:sz w:val="24"/>
          <w:szCs w:val="24"/>
        </w:rPr>
        <w:t>9</w:t>
      </w:r>
      <w:r>
        <w:rPr>
          <w:sz w:val="24"/>
          <w:szCs w:val="24"/>
        </w:rPr>
        <w:t xml:space="preserve">. </w:t>
      </w:r>
      <w:r w:rsidR="0009205C" w:rsidRPr="0009205C">
        <w:rPr>
          <w:rStyle w:val="docsum-authors"/>
          <w:rFonts w:ascii="Segoe UI" w:hAnsi="Segoe UI" w:cs="Segoe UI"/>
          <w:bCs/>
          <w:color w:val="212121"/>
        </w:rPr>
        <w:t>FitzGerald JD</w:t>
      </w:r>
      <w:r w:rsidR="0009205C">
        <w:rPr>
          <w:rStyle w:val="docsum-authors"/>
          <w:rFonts w:ascii="Segoe UI" w:hAnsi="Segoe UI" w:cs="Segoe UI"/>
          <w:color w:val="212121"/>
        </w:rPr>
        <w:t xml:space="preserve">, Dalbeth N, Mikuls T, Brignardello-Petersen R, Guyatt G, Abeles AM, et al. </w:t>
      </w:r>
      <w:r w:rsidR="0009205C" w:rsidRPr="0009205C">
        <w:rPr>
          <w:rStyle w:val="docsum-authors"/>
          <w:rFonts w:ascii="Segoe UI" w:hAnsi="Segoe UI" w:cs="Segoe UI"/>
          <w:color w:val="212121"/>
        </w:rPr>
        <w:t xml:space="preserve">2020 American College of Rheumatology Guideline for the Management </w:t>
      </w:r>
      <w:r w:rsidR="0009205C" w:rsidRPr="0009205C">
        <w:rPr>
          <w:rStyle w:val="docsum-authors"/>
          <w:rFonts w:ascii="Segoe UI" w:hAnsi="Segoe UI" w:cs="Segoe UI"/>
        </w:rPr>
        <w:t>of Gout.</w:t>
      </w:r>
      <w:r w:rsidR="0009205C" w:rsidRPr="0009205C">
        <w:rPr>
          <w:rStyle w:val="docsum-journal-citation"/>
          <w:rFonts w:ascii="Segoe UI" w:hAnsi="Segoe UI" w:cs="Segoe UI"/>
        </w:rPr>
        <w:t xml:space="preserve"> Arthritis Care Res (Hoboken) 2020; 72(6):744-760. </w:t>
      </w:r>
      <w:r w:rsidR="0009205C" w:rsidRPr="0009205C">
        <w:rPr>
          <w:rStyle w:val="docsum-authors"/>
          <w:rFonts w:ascii="Segoe UI" w:hAnsi="Segoe UI" w:cs="Segoe UI"/>
        </w:rPr>
        <w:t xml:space="preserve"> </w:t>
      </w:r>
      <w:r w:rsidR="0009205C" w:rsidRPr="0009205C">
        <w:rPr>
          <w:rStyle w:val="citation-doi"/>
          <w:shd w:val="clear" w:color="auto" w:fill="FFFFFF"/>
        </w:rPr>
        <w:t>doi: 10.1002/acr.24180.</w:t>
      </w:r>
      <w:r w:rsidR="0009205C" w:rsidRPr="0009205C">
        <w:rPr>
          <w:rFonts w:ascii="Segoe UI" w:hAnsi="Segoe UI" w:cs="Segoe UI"/>
          <w:shd w:val="clear" w:color="auto" w:fill="FFFFFF"/>
        </w:rPr>
        <w:t> </w:t>
      </w:r>
      <w:r w:rsidR="0009205C" w:rsidRPr="0009205C">
        <w:rPr>
          <w:rStyle w:val="secondary-date"/>
          <w:rFonts w:ascii="Segoe UI" w:hAnsi="Segoe UI" w:cs="Segoe UI"/>
          <w:shd w:val="clear" w:color="auto" w:fill="FFFFFF"/>
        </w:rPr>
        <w:t>Epub 2020 May 11.</w:t>
      </w:r>
    </w:p>
    <w:p w14:paraId="3949F9D3" w14:textId="47A8757A" w:rsidR="00F75457" w:rsidRDefault="00DE5A34" w:rsidP="00F75457">
      <w:pPr>
        <w:spacing w:after="0" w:line="480" w:lineRule="auto"/>
        <w:rPr>
          <w:sz w:val="24"/>
          <w:szCs w:val="24"/>
        </w:rPr>
      </w:pPr>
      <w:r>
        <w:rPr>
          <w:sz w:val="24"/>
          <w:szCs w:val="24"/>
        </w:rPr>
        <w:t>50</w:t>
      </w:r>
      <w:r w:rsidR="001456BA">
        <w:rPr>
          <w:sz w:val="24"/>
          <w:szCs w:val="24"/>
        </w:rPr>
        <w:t xml:space="preserve">. </w:t>
      </w:r>
      <w:r w:rsidR="001456BA" w:rsidRPr="00554BA9">
        <w:rPr>
          <w:sz w:val="24"/>
          <w:szCs w:val="24"/>
        </w:rPr>
        <w:t xml:space="preserve">Richette P, Doherty M, Pascual E, </w:t>
      </w:r>
      <w:r w:rsidR="001456BA">
        <w:rPr>
          <w:sz w:val="24"/>
          <w:szCs w:val="24"/>
        </w:rPr>
        <w:t xml:space="preserve">Barskova, V, Becce F, </w:t>
      </w:r>
      <w:r w:rsidR="001456BA" w:rsidRPr="008A174E">
        <w:rPr>
          <w:sz w:val="24"/>
          <w:szCs w:val="24"/>
        </w:rPr>
        <w:t>Castañeda-Sanabria</w:t>
      </w:r>
      <w:r w:rsidR="001456BA">
        <w:rPr>
          <w:sz w:val="24"/>
          <w:szCs w:val="24"/>
        </w:rPr>
        <w:t xml:space="preserve"> J, </w:t>
      </w:r>
      <w:r w:rsidR="001456BA" w:rsidRPr="00554BA9">
        <w:rPr>
          <w:sz w:val="24"/>
          <w:szCs w:val="24"/>
        </w:rPr>
        <w:t xml:space="preserve">et al. 2016 updated EULAR evidence-based recommendations for the management of gout. </w:t>
      </w:r>
      <w:r w:rsidR="001456BA" w:rsidRPr="00EC0659">
        <w:rPr>
          <w:i/>
          <w:iCs/>
          <w:sz w:val="24"/>
          <w:szCs w:val="24"/>
        </w:rPr>
        <w:t>Ann Rheum Dis</w:t>
      </w:r>
      <w:r w:rsidR="001456BA" w:rsidRPr="00554BA9">
        <w:rPr>
          <w:sz w:val="24"/>
          <w:szCs w:val="24"/>
        </w:rPr>
        <w:t xml:space="preserve"> 2017;76:29-42. doi: 10.1136/annrheumdis-2016-209707</w:t>
      </w:r>
    </w:p>
    <w:p w14:paraId="6D5742BE" w14:textId="314403FA" w:rsidR="00A725F0" w:rsidRDefault="00F75457" w:rsidP="00F75457">
      <w:pPr>
        <w:rPr>
          <w:sz w:val="24"/>
          <w:szCs w:val="24"/>
        </w:rPr>
      </w:pPr>
      <w:r>
        <w:rPr>
          <w:sz w:val="24"/>
          <w:szCs w:val="24"/>
        </w:rPr>
        <w:br w:type="page"/>
      </w:r>
    </w:p>
    <w:tbl>
      <w:tblPr>
        <w:tblStyle w:val="TableGrid3"/>
        <w:tblpPr w:leftFromText="180" w:rightFromText="180" w:vertAnchor="page" w:horzAnchor="margin" w:tblpXSpec="right" w:tblpY="1105"/>
        <w:tblW w:w="9782" w:type="dxa"/>
        <w:tblLook w:val="04A0" w:firstRow="1" w:lastRow="0" w:firstColumn="1" w:lastColumn="0" w:noHBand="0" w:noVBand="1"/>
      </w:tblPr>
      <w:tblGrid>
        <w:gridCol w:w="5529"/>
        <w:gridCol w:w="4253"/>
      </w:tblGrid>
      <w:tr w:rsidR="00E245F3" w:rsidRPr="0086519F" w14:paraId="5DBFA438" w14:textId="77777777" w:rsidTr="00E245F3">
        <w:trPr>
          <w:trHeight w:val="20"/>
        </w:trPr>
        <w:tc>
          <w:tcPr>
            <w:tcW w:w="9782" w:type="dxa"/>
            <w:gridSpan w:val="2"/>
            <w:tcBorders>
              <w:top w:val="single" w:sz="4" w:space="0" w:color="FFFFFF" w:themeColor="background1"/>
              <w:left w:val="single" w:sz="4" w:space="0" w:color="FFFFFF" w:themeColor="background1"/>
              <w:right w:val="single" w:sz="4" w:space="0" w:color="FFFFFF" w:themeColor="background1"/>
            </w:tcBorders>
          </w:tcPr>
          <w:p w14:paraId="14C4D22C" w14:textId="77777777" w:rsidR="00E245F3" w:rsidRPr="00A725F0" w:rsidRDefault="00E245F3" w:rsidP="00E245F3">
            <w:pPr>
              <w:spacing w:after="40"/>
              <w:rPr>
                <w:rFonts w:cstheme="minorHAnsi"/>
                <w:bCs/>
                <w:sz w:val="20"/>
                <w:szCs w:val="20"/>
              </w:rPr>
            </w:pPr>
            <w:r w:rsidRPr="002845B5">
              <w:rPr>
                <w:b/>
                <w:sz w:val="24"/>
                <w:szCs w:val="24"/>
              </w:rPr>
              <w:lastRenderedPageBreak/>
              <w:t>Table 1</w:t>
            </w:r>
            <w:r>
              <w:rPr>
                <w:sz w:val="24"/>
                <w:szCs w:val="24"/>
              </w:rPr>
              <w:t xml:space="preserve"> Baseline characteristic</w:t>
            </w:r>
          </w:p>
        </w:tc>
      </w:tr>
      <w:tr w:rsidR="00E245F3" w:rsidRPr="0086519F" w14:paraId="526589BA" w14:textId="77777777" w:rsidTr="00533CDB">
        <w:trPr>
          <w:trHeight w:val="510"/>
        </w:trPr>
        <w:tc>
          <w:tcPr>
            <w:tcW w:w="5529" w:type="dxa"/>
            <w:vAlign w:val="center"/>
          </w:tcPr>
          <w:p w14:paraId="1C0BE810" w14:textId="77777777" w:rsidR="00E245F3" w:rsidRPr="00A725F0" w:rsidRDefault="00E245F3" w:rsidP="00E245F3">
            <w:pPr>
              <w:jc w:val="center"/>
              <w:rPr>
                <w:rFonts w:cstheme="minorHAnsi"/>
                <w:b/>
                <w:sz w:val="20"/>
                <w:szCs w:val="20"/>
              </w:rPr>
            </w:pPr>
          </w:p>
        </w:tc>
        <w:tc>
          <w:tcPr>
            <w:tcW w:w="4253" w:type="dxa"/>
            <w:tcBorders>
              <w:right w:val="single" w:sz="4" w:space="0" w:color="auto"/>
            </w:tcBorders>
            <w:vAlign w:val="center"/>
          </w:tcPr>
          <w:p w14:paraId="0FD280FC" w14:textId="77777777" w:rsidR="00E245F3" w:rsidRPr="00A725F0" w:rsidRDefault="00E245F3" w:rsidP="00E245F3">
            <w:pPr>
              <w:jc w:val="center"/>
              <w:rPr>
                <w:rFonts w:cstheme="minorHAnsi"/>
                <w:bCs/>
                <w:sz w:val="20"/>
                <w:szCs w:val="20"/>
              </w:rPr>
            </w:pPr>
            <w:r w:rsidRPr="00A725F0">
              <w:rPr>
                <w:rFonts w:cstheme="minorHAnsi"/>
                <w:bCs/>
                <w:sz w:val="20"/>
                <w:szCs w:val="20"/>
              </w:rPr>
              <w:t xml:space="preserve">Characteristics </w:t>
            </w:r>
            <w:r w:rsidRPr="00A725F0">
              <w:rPr>
                <w:rFonts w:cstheme="minorHAnsi"/>
                <w:sz w:val="20"/>
                <w:szCs w:val="20"/>
              </w:rPr>
              <w:t>all responders at baseline</w:t>
            </w:r>
          </w:p>
          <w:p w14:paraId="19AB0EDA" w14:textId="77777777" w:rsidR="00E245F3" w:rsidRPr="00A725F0" w:rsidRDefault="00E245F3" w:rsidP="00E245F3">
            <w:pPr>
              <w:jc w:val="center"/>
              <w:rPr>
                <w:rFonts w:cstheme="minorHAnsi"/>
                <w:sz w:val="20"/>
                <w:szCs w:val="20"/>
              </w:rPr>
            </w:pPr>
            <w:r w:rsidRPr="00A725F0">
              <w:rPr>
                <w:rFonts w:cstheme="minorHAnsi"/>
                <w:sz w:val="20"/>
                <w:szCs w:val="20"/>
              </w:rPr>
              <w:t>(n=1184)</w:t>
            </w:r>
          </w:p>
        </w:tc>
      </w:tr>
      <w:tr w:rsidR="00E245F3" w:rsidRPr="0086519F" w14:paraId="0DD6EBF1" w14:textId="77777777" w:rsidTr="00533CDB">
        <w:tc>
          <w:tcPr>
            <w:tcW w:w="5529" w:type="dxa"/>
          </w:tcPr>
          <w:p w14:paraId="1C6177D1" w14:textId="77777777" w:rsidR="00E245F3" w:rsidRPr="00C54D26" w:rsidRDefault="00E245F3" w:rsidP="00E245F3">
            <w:pPr>
              <w:rPr>
                <w:rFonts w:cstheme="minorHAnsi"/>
                <w:sz w:val="20"/>
                <w:szCs w:val="20"/>
              </w:rPr>
            </w:pPr>
            <w:r w:rsidRPr="00C54D26">
              <w:rPr>
                <w:rFonts w:cstheme="minorHAnsi"/>
                <w:sz w:val="20"/>
                <w:szCs w:val="20"/>
              </w:rPr>
              <w:t xml:space="preserve">Male </w:t>
            </w:r>
          </w:p>
        </w:tc>
        <w:tc>
          <w:tcPr>
            <w:tcW w:w="4253" w:type="dxa"/>
            <w:tcBorders>
              <w:right w:val="single" w:sz="4" w:space="0" w:color="auto"/>
            </w:tcBorders>
            <w:vAlign w:val="center"/>
          </w:tcPr>
          <w:p w14:paraId="623E5F32" w14:textId="77777777" w:rsidR="00E245F3" w:rsidRPr="00A725F0" w:rsidRDefault="00E245F3" w:rsidP="00E245F3">
            <w:pPr>
              <w:jc w:val="center"/>
              <w:rPr>
                <w:rFonts w:cstheme="minorHAnsi"/>
                <w:sz w:val="20"/>
                <w:szCs w:val="20"/>
              </w:rPr>
            </w:pPr>
            <w:r w:rsidRPr="00A725F0">
              <w:rPr>
                <w:rFonts w:cstheme="minorHAnsi"/>
                <w:sz w:val="20"/>
                <w:szCs w:val="20"/>
              </w:rPr>
              <w:t>990(83.6)</w:t>
            </w:r>
          </w:p>
        </w:tc>
      </w:tr>
      <w:tr w:rsidR="00E245F3" w:rsidRPr="0086519F" w14:paraId="6DAA1871" w14:textId="77777777" w:rsidTr="00533CDB">
        <w:tc>
          <w:tcPr>
            <w:tcW w:w="5529" w:type="dxa"/>
          </w:tcPr>
          <w:p w14:paraId="092629D0" w14:textId="77777777" w:rsidR="00E245F3" w:rsidRPr="00C54D26" w:rsidRDefault="00E245F3" w:rsidP="00E245F3">
            <w:pPr>
              <w:rPr>
                <w:rFonts w:cstheme="minorHAnsi"/>
                <w:sz w:val="20"/>
                <w:szCs w:val="20"/>
              </w:rPr>
            </w:pPr>
            <w:r w:rsidRPr="00C54D26">
              <w:rPr>
                <w:rFonts w:cstheme="minorHAnsi"/>
                <w:sz w:val="20"/>
                <w:szCs w:val="20"/>
              </w:rPr>
              <w:t>Age mean (SD)</w:t>
            </w:r>
          </w:p>
        </w:tc>
        <w:tc>
          <w:tcPr>
            <w:tcW w:w="4253" w:type="dxa"/>
            <w:tcBorders>
              <w:right w:val="single" w:sz="4" w:space="0" w:color="auto"/>
            </w:tcBorders>
            <w:vAlign w:val="center"/>
          </w:tcPr>
          <w:p w14:paraId="181EB8F4" w14:textId="77777777" w:rsidR="00E245F3" w:rsidRPr="00A725F0" w:rsidRDefault="00E245F3" w:rsidP="00E245F3">
            <w:pPr>
              <w:jc w:val="center"/>
              <w:rPr>
                <w:rFonts w:cstheme="minorHAnsi"/>
                <w:sz w:val="20"/>
                <w:szCs w:val="20"/>
              </w:rPr>
            </w:pPr>
            <w:r w:rsidRPr="00A725F0">
              <w:rPr>
                <w:rFonts w:cstheme="minorHAnsi"/>
                <w:sz w:val="20"/>
                <w:szCs w:val="20"/>
              </w:rPr>
              <w:t>65.61(12.49)</w:t>
            </w:r>
          </w:p>
        </w:tc>
      </w:tr>
      <w:tr w:rsidR="00E245F3" w:rsidRPr="0086519F" w14:paraId="5398BE1F" w14:textId="77777777" w:rsidTr="00533CDB">
        <w:tc>
          <w:tcPr>
            <w:tcW w:w="5529" w:type="dxa"/>
          </w:tcPr>
          <w:p w14:paraId="3178A2E9" w14:textId="77777777" w:rsidR="00E245F3" w:rsidRPr="00C54D26" w:rsidRDefault="00E245F3" w:rsidP="00E245F3">
            <w:pPr>
              <w:rPr>
                <w:rFonts w:cstheme="minorHAnsi"/>
                <w:sz w:val="20"/>
                <w:szCs w:val="20"/>
              </w:rPr>
            </w:pPr>
            <w:r w:rsidRPr="00C54D26">
              <w:rPr>
                <w:rFonts w:cstheme="minorHAnsi"/>
                <w:sz w:val="20"/>
                <w:szCs w:val="20"/>
              </w:rPr>
              <w:t xml:space="preserve">Neighbour deprivation status† </w:t>
            </w:r>
            <w:r>
              <w:rPr>
                <w:rFonts w:cstheme="minorHAnsi"/>
                <w:sz w:val="20"/>
                <w:szCs w:val="20"/>
              </w:rPr>
              <w:t>:</w:t>
            </w:r>
          </w:p>
        </w:tc>
        <w:tc>
          <w:tcPr>
            <w:tcW w:w="4253" w:type="dxa"/>
            <w:tcBorders>
              <w:right w:val="single" w:sz="4" w:space="0" w:color="auto"/>
            </w:tcBorders>
            <w:vAlign w:val="center"/>
          </w:tcPr>
          <w:p w14:paraId="7C0E81DC" w14:textId="77777777" w:rsidR="00E245F3" w:rsidRPr="00A725F0" w:rsidRDefault="00E245F3" w:rsidP="00E245F3">
            <w:pPr>
              <w:jc w:val="center"/>
              <w:rPr>
                <w:rFonts w:cstheme="minorHAnsi"/>
                <w:sz w:val="20"/>
                <w:szCs w:val="20"/>
              </w:rPr>
            </w:pPr>
          </w:p>
        </w:tc>
      </w:tr>
      <w:tr w:rsidR="00E245F3" w:rsidRPr="0086519F" w14:paraId="138636FB" w14:textId="77777777" w:rsidTr="00533CDB">
        <w:tc>
          <w:tcPr>
            <w:tcW w:w="5529" w:type="dxa"/>
          </w:tcPr>
          <w:p w14:paraId="25C28600" w14:textId="77777777" w:rsidR="00E245F3" w:rsidRPr="00C54D26" w:rsidRDefault="00E245F3" w:rsidP="00E245F3">
            <w:pPr>
              <w:rPr>
                <w:rFonts w:cstheme="minorHAnsi"/>
                <w:sz w:val="20"/>
                <w:szCs w:val="20"/>
              </w:rPr>
            </w:pPr>
            <w:r>
              <w:rPr>
                <w:rFonts w:cstheme="minorHAnsi"/>
                <w:sz w:val="20"/>
                <w:szCs w:val="20"/>
              </w:rPr>
              <w:t xml:space="preserve">   </w:t>
            </w:r>
            <w:r w:rsidRPr="00C54D26">
              <w:rPr>
                <w:rFonts w:cstheme="minorHAnsi"/>
                <w:sz w:val="20"/>
                <w:szCs w:val="20"/>
              </w:rPr>
              <w:t>Most deprived</w:t>
            </w:r>
          </w:p>
        </w:tc>
        <w:tc>
          <w:tcPr>
            <w:tcW w:w="4253" w:type="dxa"/>
            <w:tcBorders>
              <w:right w:val="single" w:sz="4" w:space="0" w:color="auto"/>
            </w:tcBorders>
            <w:vAlign w:val="center"/>
          </w:tcPr>
          <w:p w14:paraId="329B8691" w14:textId="77777777" w:rsidR="00E245F3" w:rsidRPr="00A725F0" w:rsidRDefault="00E245F3" w:rsidP="00E245F3">
            <w:pPr>
              <w:jc w:val="center"/>
              <w:rPr>
                <w:rFonts w:cstheme="minorHAnsi"/>
                <w:sz w:val="20"/>
                <w:szCs w:val="20"/>
              </w:rPr>
            </w:pPr>
            <w:r w:rsidRPr="00A725F0">
              <w:rPr>
                <w:rFonts w:cstheme="minorHAnsi"/>
                <w:sz w:val="20"/>
                <w:szCs w:val="20"/>
              </w:rPr>
              <w:t>369(31.2)</w:t>
            </w:r>
          </w:p>
        </w:tc>
      </w:tr>
      <w:tr w:rsidR="00E245F3" w:rsidRPr="0086519F" w14:paraId="22A768F4" w14:textId="77777777" w:rsidTr="00533CDB">
        <w:tc>
          <w:tcPr>
            <w:tcW w:w="5529" w:type="dxa"/>
          </w:tcPr>
          <w:p w14:paraId="1EF7E78B" w14:textId="77777777" w:rsidR="00E245F3" w:rsidRPr="00C54D26" w:rsidRDefault="00E245F3" w:rsidP="00E245F3">
            <w:pPr>
              <w:rPr>
                <w:rFonts w:cstheme="minorHAnsi"/>
                <w:sz w:val="20"/>
                <w:szCs w:val="20"/>
              </w:rPr>
            </w:pPr>
            <w:r>
              <w:rPr>
                <w:rFonts w:cstheme="minorHAnsi"/>
                <w:sz w:val="20"/>
                <w:szCs w:val="20"/>
              </w:rPr>
              <w:t xml:space="preserve">   </w:t>
            </w:r>
            <w:r w:rsidRPr="00C54D26">
              <w:rPr>
                <w:rFonts w:cstheme="minorHAnsi"/>
                <w:sz w:val="20"/>
                <w:szCs w:val="20"/>
              </w:rPr>
              <w:t>Middle</w:t>
            </w:r>
          </w:p>
        </w:tc>
        <w:tc>
          <w:tcPr>
            <w:tcW w:w="4253" w:type="dxa"/>
            <w:tcBorders>
              <w:right w:val="single" w:sz="4" w:space="0" w:color="auto"/>
            </w:tcBorders>
            <w:vAlign w:val="center"/>
          </w:tcPr>
          <w:p w14:paraId="277A875B" w14:textId="77777777" w:rsidR="00E245F3" w:rsidRPr="00A725F0" w:rsidRDefault="00E245F3" w:rsidP="00E245F3">
            <w:pPr>
              <w:jc w:val="center"/>
              <w:rPr>
                <w:rFonts w:cstheme="minorHAnsi"/>
                <w:sz w:val="20"/>
                <w:szCs w:val="20"/>
              </w:rPr>
            </w:pPr>
            <w:r w:rsidRPr="00A725F0">
              <w:rPr>
                <w:rFonts w:cstheme="minorHAnsi"/>
                <w:sz w:val="20"/>
                <w:szCs w:val="20"/>
              </w:rPr>
              <w:t>405(34.2)</w:t>
            </w:r>
          </w:p>
        </w:tc>
      </w:tr>
      <w:tr w:rsidR="00E245F3" w:rsidRPr="0086519F" w14:paraId="5E132F59" w14:textId="77777777" w:rsidTr="00533CDB">
        <w:tc>
          <w:tcPr>
            <w:tcW w:w="5529" w:type="dxa"/>
          </w:tcPr>
          <w:p w14:paraId="0B7229A4" w14:textId="77777777" w:rsidR="00E245F3" w:rsidRPr="00C54D26" w:rsidRDefault="00E245F3" w:rsidP="00E245F3">
            <w:pPr>
              <w:rPr>
                <w:rFonts w:cstheme="minorHAnsi"/>
                <w:sz w:val="20"/>
                <w:szCs w:val="20"/>
              </w:rPr>
            </w:pPr>
            <w:r>
              <w:rPr>
                <w:rFonts w:cstheme="minorHAnsi"/>
                <w:sz w:val="20"/>
                <w:szCs w:val="20"/>
              </w:rPr>
              <w:t xml:space="preserve">   </w:t>
            </w:r>
            <w:r w:rsidRPr="00C54D26">
              <w:rPr>
                <w:rFonts w:cstheme="minorHAnsi"/>
                <w:sz w:val="20"/>
                <w:szCs w:val="20"/>
              </w:rPr>
              <w:t>Least deprived</w:t>
            </w:r>
          </w:p>
        </w:tc>
        <w:tc>
          <w:tcPr>
            <w:tcW w:w="4253" w:type="dxa"/>
            <w:tcBorders>
              <w:right w:val="single" w:sz="4" w:space="0" w:color="auto"/>
            </w:tcBorders>
            <w:vAlign w:val="center"/>
          </w:tcPr>
          <w:p w14:paraId="35B4399E" w14:textId="77777777" w:rsidR="00E245F3" w:rsidRPr="00A725F0" w:rsidRDefault="00E245F3" w:rsidP="00E245F3">
            <w:pPr>
              <w:jc w:val="center"/>
              <w:rPr>
                <w:rFonts w:cstheme="minorHAnsi"/>
                <w:sz w:val="20"/>
                <w:szCs w:val="20"/>
              </w:rPr>
            </w:pPr>
            <w:r w:rsidRPr="00A725F0">
              <w:rPr>
                <w:rFonts w:cstheme="minorHAnsi"/>
                <w:sz w:val="20"/>
                <w:szCs w:val="20"/>
              </w:rPr>
              <w:t>410(34.6)</w:t>
            </w:r>
          </w:p>
        </w:tc>
      </w:tr>
      <w:tr w:rsidR="00E245F3" w:rsidRPr="0086519F" w14:paraId="7E9E2DEA" w14:textId="77777777" w:rsidTr="00533CDB">
        <w:tc>
          <w:tcPr>
            <w:tcW w:w="5529" w:type="dxa"/>
          </w:tcPr>
          <w:p w14:paraId="210C5814" w14:textId="77777777" w:rsidR="00E245F3" w:rsidRPr="00C54D26" w:rsidRDefault="00E245F3" w:rsidP="00E245F3">
            <w:pPr>
              <w:rPr>
                <w:rFonts w:cstheme="minorHAnsi"/>
                <w:sz w:val="20"/>
                <w:szCs w:val="20"/>
              </w:rPr>
            </w:pPr>
            <w:r>
              <w:rPr>
                <w:rFonts w:cstheme="minorHAnsi"/>
                <w:sz w:val="20"/>
                <w:szCs w:val="20"/>
              </w:rPr>
              <w:t>White European</w:t>
            </w:r>
          </w:p>
        </w:tc>
        <w:tc>
          <w:tcPr>
            <w:tcW w:w="4253" w:type="dxa"/>
            <w:tcBorders>
              <w:right w:val="single" w:sz="4" w:space="0" w:color="auto"/>
            </w:tcBorders>
            <w:vAlign w:val="center"/>
          </w:tcPr>
          <w:p w14:paraId="719BBC92" w14:textId="77777777" w:rsidR="00E245F3" w:rsidRPr="00A725F0" w:rsidRDefault="00E245F3" w:rsidP="00E245F3">
            <w:pPr>
              <w:jc w:val="center"/>
              <w:rPr>
                <w:rFonts w:cstheme="minorHAnsi"/>
                <w:sz w:val="20"/>
                <w:szCs w:val="20"/>
              </w:rPr>
            </w:pPr>
            <w:r w:rsidRPr="00A725F0">
              <w:rPr>
                <w:rFonts w:cstheme="minorHAnsi"/>
                <w:sz w:val="20"/>
                <w:szCs w:val="20"/>
              </w:rPr>
              <w:t>1126(95.1)</w:t>
            </w:r>
          </w:p>
        </w:tc>
      </w:tr>
      <w:tr w:rsidR="00E245F3" w:rsidRPr="0086519F" w14:paraId="32683F82" w14:textId="77777777" w:rsidTr="00533CDB">
        <w:tc>
          <w:tcPr>
            <w:tcW w:w="5529" w:type="dxa"/>
          </w:tcPr>
          <w:p w14:paraId="15545409" w14:textId="77777777" w:rsidR="00E245F3" w:rsidRPr="00C54D26" w:rsidRDefault="00E245F3" w:rsidP="00E245F3">
            <w:pPr>
              <w:rPr>
                <w:rFonts w:cstheme="minorHAnsi"/>
                <w:sz w:val="20"/>
                <w:szCs w:val="20"/>
              </w:rPr>
            </w:pPr>
            <w:r w:rsidRPr="00C54D26">
              <w:rPr>
                <w:rFonts w:cstheme="minorHAnsi"/>
                <w:sz w:val="20"/>
                <w:szCs w:val="20"/>
              </w:rPr>
              <w:t>Married or cohabiting</w:t>
            </w:r>
          </w:p>
        </w:tc>
        <w:tc>
          <w:tcPr>
            <w:tcW w:w="4253" w:type="dxa"/>
            <w:tcBorders>
              <w:right w:val="single" w:sz="4" w:space="0" w:color="auto"/>
            </w:tcBorders>
            <w:vAlign w:val="center"/>
          </w:tcPr>
          <w:p w14:paraId="5F2891A5" w14:textId="77777777" w:rsidR="00E245F3" w:rsidRPr="00A725F0" w:rsidRDefault="00E245F3" w:rsidP="00E245F3">
            <w:pPr>
              <w:jc w:val="center"/>
              <w:rPr>
                <w:rFonts w:cstheme="minorHAnsi"/>
                <w:sz w:val="20"/>
                <w:szCs w:val="20"/>
              </w:rPr>
            </w:pPr>
            <w:r>
              <w:rPr>
                <w:rFonts w:cstheme="minorHAnsi"/>
                <w:sz w:val="20"/>
                <w:szCs w:val="20"/>
              </w:rPr>
              <w:t>882(74.5)</w:t>
            </w:r>
          </w:p>
        </w:tc>
      </w:tr>
      <w:tr w:rsidR="00E245F3" w:rsidRPr="0086519F" w14:paraId="51996C0F" w14:textId="77777777" w:rsidTr="00533CDB">
        <w:tc>
          <w:tcPr>
            <w:tcW w:w="5529" w:type="dxa"/>
          </w:tcPr>
          <w:p w14:paraId="64592C86" w14:textId="77777777" w:rsidR="00E245F3" w:rsidRPr="00C54D26" w:rsidRDefault="00E245F3" w:rsidP="00E245F3">
            <w:pPr>
              <w:rPr>
                <w:rFonts w:cstheme="minorHAnsi"/>
                <w:sz w:val="20"/>
                <w:szCs w:val="20"/>
              </w:rPr>
            </w:pPr>
            <w:r w:rsidRPr="00C54D26">
              <w:rPr>
                <w:rFonts w:cstheme="minorHAnsi"/>
                <w:sz w:val="20"/>
                <w:szCs w:val="20"/>
              </w:rPr>
              <w:t xml:space="preserve">Attendance at further education </w:t>
            </w:r>
          </w:p>
        </w:tc>
        <w:tc>
          <w:tcPr>
            <w:tcW w:w="4253" w:type="dxa"/>
            <w:tcBorders>
              <w:right w:val="single" w:sz="4" w:space="0" w:color="auto"/>
            </w:tcBorders>
            <w:vAlign w:val="center"/>
          </w:tcPr>
          <w:p w14:paraId="4C0E09C3" w14:textId="77777777" w:rsidR="00E245F3" w:rsidRPr="00A725F0" w:rsidRDefault="00E245F3" w:rsidP="00E245F3">
            <w:pPr>
              <w:jc w:val="center"/>
              <w:rPr>
                <w:rFonts w:cstheme="minorHAnsi"/>
                <w:sz w:val="20"/>
                <w:szCs w:val="20"/>
              </w:rPr>
            </w:pPr>
            <w:r w:rsidRPr="00A725F0">
              <w:rPr>
                <w:rFonts w:cstheme="minorHAnsi"/>
                <w:sz w:val="20"/>
                <w:szCs w:val="20"/>
              </w:rPr>
              <w:t>249(21.0)</w:t>
            </w:r>
          </w:p>
        </w:tc>
      </w:tr>
      <w:tr w:rsidR="00E245F3" w:rsidRPr="0086519F" w14:paraId="282B1927" w14:textId="77777777" w:rsidTr="00533CDB">
        <w:tc>
          <w:tcPr>
            <w:tcW w:w="5529" w:type="dxa"/>
          </w:tcPr>
          <w:p w14:paraId="05D35CB6" w14:textId="77777777" w:rsidR="00E245F3" w:rsidRPr="00C54D26" w:rsidRDefault="00E245F3" w:rsidP="00E245F3">
            <w:pPr>
              <w:rPr>
                <w:rFonts w:cstheme="minorHAnsi"/>
                <w:sz w:val="20"/>
                <w:szCs w:val="20"/>
              </w:rPr>
            </w:pPr>
            <w:r w:rsidRPr="00C54D26">
              <w:rPr>
                <w:rFonts w:cstheme="minorHAnsi"/>
                <w:sz w:val="20"/>
                <w:szCs w:val="20"/>
              </w:rPr>
              <w:t>BMI kg/m</w:t>
            </w:r>
            <w:r w:rsidRPr="00C54D26">
              <w:rPr>
                <w:rFonts w:cstheme="minorHAnsi"/>
                <w:sz w:val="20"/>
                <w:szCs w:val="20"/>
                <w:vertAlign w:val="superscript"/>
              </w:rPr>
              <w:t xml:space="preserve">2   </w:t>
            </w:r>
            <w:r w:rsidRPr="00C54D26">
              <w:rPr>
                <w:rFonts w:cstheme="minorHAnsi"/>
                <w:sz w:val="20"/>
                <w:szCs w:val="20"/>
              </w:rPr>
              <w:t>mean (SD)</w:t>
            </w:r>
          </w:p>
        </w:tc>
        <w:tc>
          <w:tcPr>
            <w:tcW w:w="4253" w:type="dxa"/>
            <w:tcBorders>
              <w:right w:val="single" w:sz="4" w:space="0" w:color="auto"/>
            </w:tcBorders>
            <w:vAlign w:val="center"/>
          </w:tcPr>
          <w:p w14:paraId="18985CC1" w14:textId="77777777" w:rsidR="00E245F3" w:rsidRPr="00A725F0" w:rsidRDefault="00E245F3" w:rsidP="00E245F3">
            <w:pPr>
              <w:jc w:val="center"/>
              <w:rPr>
                <w:rFonts w:cstheme="minorHAnsi"/>
                <w:sz w:val="20"/>
                <w:szCs w:val="20"/>
              </w:rPr>
            </w:pPr>
            <w:r w:rsidRPr="00A725F0">
              <w:rPr>
                <w:rFonts w:cstheme="minorHAnsi"/>
                <w:sz w:val="20"/>
                <w:szCs w:val="20"/>
              </w:rPr>
              <w:t>29.13(5.11)</w:t>
            </w:r>
          </w:p>
        </w:tc>
      </w:tr>
      <w:tr w:rsidR="00E245F3" w:rsidRPr="0086519F" w14:paraId="367C2240" w14:textId="77777777" w:rsidTr="00533CDB">
        <w:tc>
          <w:tcPr>
            <w:tcW w:w="5529" w:type="dxa"/>
          </w:tcPr>
          <w:p w14:paraId="1870BA1F" w14:textId="77777777" w:rsidR="00E245F3" w:rsidRPr="00C54D26" w:rsidRDefault="00E245F3" w:rsidP="00E245F3">
            <w:pPr>
              <w:rPr>
                <w:rFonts w:cstheme="minorHAnsi"/>
                <w:sz w:val="20"/>
                <w:szCs w:val="20"/>
              </w:rPr>
            </w:pPr>
            <w:r w:rsidRPr="00C54D26">
              <w:rPr>
                <w:rFonts w:cstheme="minorHAnsi"/>
                <w:sz w:val="20"/>
                <w:szCs w:val="20"/>
              </w:rPr>
              <w:t>Alcohol frequency</w:t>
            </w:r>
            <w:r>
              <w:rPr>
                <w:rFonts w:cstheme="minorHAnsi"/>
                <w:sz w:val="20"/>
                <w:szCs w:val="20"/>
              </w:rPr>
              <w:t>:</w:t>
            </w:r>
            <w:r w:rsidRPr="00C54D26">
              <w:rPr>
                <w:rFonts w:cstheme="minorHAnsi"/>
                <w:sz w:val="20"/>
                <w:szCs w:val="20"/>
              </w:rPr>
              <w:t xml:space="preserve"> </w:t>
            </w:r>
          </w:p>
        </w:tc>
        <w:tc>
          <w:tcPr>
            <w:tcW w:w="4253" w:type="dxa"/>
            <w:tcBorders>
              <w:right w:val="single" w:sz="4" w:space="0" w:color="auto"/>
            </w:tcBorders>
            <w:vAlign w:val="center"/>
          </w:tcPr>
          <w:p w14:paraId="37A0FFA5" w14:textId="77777777" w:rsidR="00E245F3" w:rsidRPr="00A725F0" w:rsidRDefault="00E245F3" w:rsidP="00E245F3">
            <w:pPr>
              <w:jc w:val="center"/>
              <w:rPr>
                <w:rFonts w:cstheme="minorHAnsi"/>
                <w:sz w:val="20"/>
                <w:szCs w:val="20"/>
              </w:rPr>
            </w:pPr>
          </w:p>
        </w:tc>
      </w:tr>
      <w:tr w:rsidR="00E245F3" w:rsidRPr="0086519F" w14:paraId="7090B5F2" w14:textId="77777777" w:rsidTr="00533CDB">
        <w:tc>
          <w:tcPr>
            <w:tcW w:w="5529" w:type="dxa"/>
          </w:tcPr>
          <w:p w14:paraId="533ACBC3" w14:textId="77777777" w:rsidR="00E245F3" w:rsidRPr="00C54D26" w:rsidRDefault="00E245F3" w:rsidP="00E245F3">
            <w:pPr>
              <w:rPr>
                <w:rFonts w:cstheme="minorHAnsi"/>
                <w:sz w:val="20"/>
                <w:szCs w:val="20"/>
              </w:rPr>
            </w:pPr>
            <w:r w:rsidRPr="00C54D26">
              <w:rPr>
                <w:rFonts w:cstheme="minorHAnsi"/>
                <w:sz w:val="20"/>
                <w:szCs w:val="20"/>
              </w:rPr>
              <w:t xml:space="preserve">   Never</w:t>
            </w:r>
          </w:p>
        </w:tc>
        <w:tc>
          <w:tcPr>
            <w:tcW w:w="4253" w:type="dxa"/>
            <w:tcBorders>
              <w:right w:val="single" w:sz="4" w:space="0" w:color="auto"/>
            </w:tcBorders>
            <w:vAlign w:val="center"/>
          </w:tcPr>
          <w:p w14:paraId="11A7E1DE" w14:textId="77777777" w:rsidR="00E245F3" w:rsidRPr="00A725F0" w:rsidRDefault="00E245F3" w:rsidP="00E245F3">
            <w:pPr>
              <w:jc w:val="center"/>
              <w:rPr>
                <w:rFonts w:cstheme="minorHAnsi"/>
                <w:sz w:val="20"/>
                <w:szCs w:val="20"/>
              </w:rPr>
            </w:pPr>
            <w:r w:rsidRPr="00A725F0">
              <w:rPr>
                <w:rFonts w:cstheme="minorHAnsi"/>
                <w:sz w:val="20"/>
                <w:szCs w:val="20"/>
              </w:rPr>
              <w:t>113(9.5)</w:t>
            </w:r>
          </w:p>
        </w:tc>
      </w:tr>
      <w:tr w:rsidR="00E245F3" w:rsidRPr="0086519F" w14:paraId="042C1768" w14:textId="77777777" w:rsidTr="00533CDB">
        <w:tc>
          <w:tcPr>
            <w:tcW w:w="5529" w:type="dxa"/>
          </w:tcPr>
          <w:p w14:paraId="7AA0FCDF" w14:textId="77777777" w:rsidR="00E245F3" w:rsidRPr="00C54D26" w:rsidRDefault="00E245F3" w:rsidP="00E245F3">
            <w:pPr>
              <w:rPr>
                <w:rFonts w:cstheme="minorHAnsi"/>
                <w:sz w:val="20"/>
                <w:szCs w:val="20"/>
              </w:rPr>
            </w:pPr>
            <w:r w:rsidRPr="00C54D26">
              <w:rPr>
                <w:rFonts w:cstheme="minorHAnsi"/>
                <w:sz w:val="20"/>
                <w:szCs w:val="20"/>
              </w:rPr>
              <w:t xml:space="preserve">   Special occasions</w:t>
            </w:r>
          </w:p>
        </w:tc>
        <w:tc>
          <w:tcPr>
            <w:tcW w:w="4253" w:type="dxa"/>
            <w:tcBorders>
              <w:right w:val="single" w:sz="4" w:space="0" w:color="auto"/>
            </w:tcBorders>
            <w:vAlign w:val="center"/>
          </w:tcPr>
          <w:p w14:paraId="0D11EFE0" w14:textId="77777777" w:rsidR="00E245F3" w:rsidRPr="00A725F0" w:rsidRDefault="00E245F3" w:rsidP="00E245F3">
            <w:pPr>
              <w:jc w:val="center"/>
              <w:rPr>
                <w:rFonts w:cstheme="minorHAnsi"/>
                <w:sz w:val="20"/>
                <w:szCs w:val="20"/>
              </w:rPr>
            </w:pPr>
            <w:r w:rsidRPr="00A725F0">
              <w:rPr>
                <w:rFonts w:cstheme="minorHAnsi"/>
                <w:sz w:val="20"/>
                <w:szCs w:val="20"/>
              </w:rPr>
              <w:t>155(13.1)</w:t>
            </w:r>
          </w:p>
        </w:tc>
      </w:tr>
      <w:tr w:rsidR="00E245F3" w:rsidRPr="0086519F" w14:paraId="2A9021A5" w14:textId="77777777" w:rsidTr="00533CDB">
        <w:tc>
          <w:tcPr>
            <w:tcW w:w="5529" w:type="dxa"/>
          </w:tcPr>
          <w:p w14:paraId="2A8A98A5" w14:textId="77777777" w:rsidR="00E245F3" w:rsidRPr="00C54D26" w:rsidRDefault="00E245F3" w:rsidP="00E245F3">
            <w:pPr>
              <w:rPr>
                <w:rFonts w:cstheme="minorHAnsi"/>
                <w:sz w:val="20"/>
                <w:szCs w:val="20"/>
              </w:rPr>
            </w:pPr>
            <w:r w:rsidRPr="00C54D26">
              <w:rPr>
                <w:rFonts w:cstheme="minorHAnsi"/>
                <w:sz w:val="20"/>
                <w:szCs w:val="20"/>
              </w:rPr>
              <w:t xml:space="preserve">   1 to 3 times per month</w:t>
            </w:r>
          </w:p>
        </w:tc>
        <w:tc>
          <w:tcPr>
            <w:tcW w:w="4253" w:type="dxa"/>
            <w:tcBorders>
              <w:right w:val="single" w:sz="4" w:space="0" w:color="auto"/>
            </w:tcBorders>
            <w:vAlign w:val="center"/>
          </w:tcPr>
          <w:p w14:paraId="220EBDB2" w14:textId="77777777" w:rsidR="00E245F3" w:rsidRPr="00A725F0" w:rsidRDefault="00E245F3" w:rsidP="00E245F3">
            <w:pPr>
              <w:jc w:val="center"/>
              <w:rPr>
                <w:rFonts w:cstheme="minorHAnsi"/>
                <w:sz w:val="20"/>
                <w:szCs w:val="20"/>
              </w:rPr>
            </w:pPr>
            <w:r w:rsidRPr="00A725F0">
              <w:rPr>
                <w:rFonts w:cstheme="minorHAnsi"/>
                <w:sz w:val="20"/>
                <w:szCs w:val="20"/>
              </w:rPr>
              <w:t>109(9.2)</w:t>
            </w:r>
          </w:p>
        </w:tc>
      </w:tr>
      <w:tr w:rsidR="00E245F3" w:rsidRPr="0086519F" w14:paraId="2147FB9C" w14:textId="77777777" w:rsidTr="00533CDB">
        <w:tc>
          <w:tcPr>
            <w:tcW w:w="5529" w:type="dxa"/>
          </w:tcPr>
          <w:p w14:paraId="76677175" w14:textId="77777777" w:rsidR="00E245F3" w:rsidRPr="00C54D26" w:rsidRDefault="00E245F3" w:rsidP="00E245F3">
            <w:pPr>
              <w:rPr>
                <w:rFonts w:cstheme="minorHAnsi"/>
                <w:sz w:val="20"/>
                <w:szCs w:val="20"/>
              </w:rPr>
            </w:pPr>
            <w:r w:rsidRPr="00C54D26">
              <w:rPr>
                <w:rFonts w:cstheme="minorHAnsi"/>
                <w:sz w:val="20"/>
                <w:szCs w:val="20"/>
              </w:rPr>
              <w:t xml:space="preserve">   Once or twice per week</w:t>
            </w:r>
          </w:p>
        </w:tc>
        <w:tc>
          <w:tcPr>
            <w:tcW w:w="4253" w:type="dxa"/>
            <w:tcBorders>
              <w:right w:val="single" w:sz="4" w:space="0" w:color="auto"/>
            </w:tcBorders>
            <w:vAlign w:val="center"/>
          </w:tcPr>
          <w:p w14:paraId="79789062" w14:textId="77777777" w:rsidR="00E245F3" w:rsidRPr="00A725F0" w:rsidRDefault="00E245F3" w:rsidP="00E245F3">
            <w:pPr>
              <w:jc w:val="center"/>
              <w:rPr>
                <w:rFonts w:cstheme="minorHAnsi"/>
                <w:sz w:val="20"/>
                <w:szCs w:val="20"/>
              </w:rPr>
            </w:pPr>
            <w:r w:rsidRPr="00A725F0">
              <w:rPr>
                <w:rFonts w:cstheme="minorHAnsi"/>
                <w:sz w:val="20"/>
                <w:szCs w:val="20"/>
              </w:rPr>
              <w:t>254(21.5)</w:t>
            </w:r>
          </w:p>
        </w:tc>
      </w:tr>
      <w:tr w:rsidR="00E245F3" w:rsidRPr="0086519F" w14:paraId="70CD0928" w14:textId="77777777" w:rsidTr="00533CDB">
        <w:tc>
          <w:tcPr>
            <w:tcW w:w="5529" w:type="dxa"/>
          </w:tcPr>
          <w:p w14:paraId="618C5AD3" w14:textId="77777777" w:rsidR="00E245F3" w:rsidRPr="00C54D26" w:rsidRDefault="00E245F3" w:rsidP="00E245F3">
            <w:pPr>
              <w:rPr>
                <w:rFonts w:cstheme="minorHAnsi"/>
                <w:sz w:val="20"/>
                <w:szCs w:val="20"/>
              </w:rPr>
            </w:pPr>
            <w:r w:rsidRPr="00C54D26">
              <w:rPr>
                <w:rFonts w:cstheme="minorHAnsi"/>
                <w:sz w:val="20"/>
                <w:szCs w:val="20"/>
              </w:rPr>
              <w:t xml:space="preserve">   3 to 4 times per week</w:t>
            </w:r>
          </w:p>
        </w:tc>
        <w:tc>
          <w:tcPr>
            <w:tcW w:w="4253" w:type="dxa"/>
            <w:tcBorders>
              <w:right w:val="single" w:sz="4" w:space="0" w:color="auto"/>
            </w:tcBorders>
            <w:vAlign w:val="center"/>
          </w:tcPr>
          <w:p w14:paraId="6085319C" w14:textId="77777777" w:rsidR="00E245F3" w:rsidRPr="00A725F0" w:rsidRDefault="00E245F3" w:rsidP="00E245F3">
            <w:pPr>
              <w:jc w:val="center"/>
              <w:rPr>
                <w:rFonts w:cstheme="minorHAnsi"/>
                <w:sz w:val="20"/>
                <w:szCs w:val="20"/>
              </w:rPr>
            </w:pPr>
            <w:r w:rsidRPr="00A725F0">
              <w:rPr>
                <w:rFonts w:cstheme="minorHAnsi"/>
                <w:sz w:val="20"/>
                <w:szCs w:val="20"/>
              </w:rPr>
              <w:t>263(22.2)</w:t>
            </w:r>
          </w:p>
        </w:tc>
      </w:tr>
      <w:tr w:rsidR="00E245F3" w:rsidRPr="0086519F" w14:paraId="55949D9E" w14:textId="77777777" w:rsidTr="00533CDB">
        <w:tc>
          <w:tcPr>
            <w:tcW w:w="5529" w:type="dxa"/>
            <w:tcBorders>
              <w:bottom w:val="single" w:sz="4" w:space="0" w:color="auto"/>
            </w:tcBorders>
          </w:tcPr>
          <w:p w14:paraId="04E53B6C" w14:textId="77777777" w:rsidR="00E245F3" w:rsidRPr="00C54D26" w:rsidRDefault="00E245F3" w:rsidP="00E245F3">
            <w:pPr>
              <w:rPr>
                <w:rFonts w:cstheme="minorHAnsi"/>
                <w:sz w:val="20"/>
                <w:szCs w:val="20"/>
              </w:rPr>
            </w:pPr>
            <w:r w:rsidRPr="00C54D26">
              <w:rPr>
                <w:rFonts w:cstheme="minorHAnsi"/>
                <w:sz w:val="20"/>
                <w:szCs w:val="20"/>
              </w:rPr>
              <w:t xml:space="preserve">   Daily or almost daily</w:t>
            </w:r>
          </w:p>
        </w:tc>
        <w:tc>
          <w:tcPr>
            <w:tcW w:w="4253" w:type="dxa"/>
            <w:tcBorders>
              <w:bottom w:val="single" w:sz="4" w:space="0" w:color="auto"/>
              <w:right w:val="single" w:sz="4" w:space="0" w:color="auto"/>
            </w:tcBorders>
            <w:vAlign w:val="center"/>
          </w:tcPr>
          <w:p w14:paraId="69254352" w14:textId="77777777" w:rsidR="00E245F3" w:rsidRPr="00A725F0" w:rsidRDefault="00E245F3" w:rsidP="00E245F3">
            <w:pPr>
              <w:jc w:val="center"/>
              <w:rPr>
                <w:rFonts w:cstheme="minorHAnsi"/>
                <w:sz w:val="20"/>
                <w:szCs w:val="20"/>
              </w:rPr>
            </w:pPr>
            <w:r w:rsidRPr="00A725F0">
              <w:rPr>
                <w:rFonts w:cstheme="minorHAnsi"/>
                <w:sz w:val="20"/>
                <w:szCs w:val="20"/>
              </w:rPr>
              <w:t>273(23.1)</w:t>
            </w:r>
          </w:p>
        </w:tc>
      </w:tr>
      <w:tr w:rsidR="00E245F3" w:rsidRPr="0086519F" w14:paraId="24CAB770" w14:textId="77777777" w:rsidTr="00533CDB">
        <w:tc>
          <w:tcPr>
            <w:tcW w:w="5529" w:type="dxa"/>
            <w:tcBorders>
              <w:top w:val="single" w:sz="4" w:space="0" w:color="auto"/>
            </w:tcBorders>
          </w:tcPr>
          <w:p w14:paraId="416FA7C4" w14:textId="77777777" w:rsidR="00E245F3" w:rsidRPr="00C54D26" w:rsidRDefault="00E245F3" w:rsidP="00E245F3">
            <w:pPr>
              <w:rPr>
                <w:rFonts w:cstheme="minorHAnsi"/>
                <w:bCs/>
                <w:sz w:val="20"/>
                <w:szCs w:val="20"/>
              </w:rPr>
            </w:pPr>
            <w:r w:rsidRPr="00C54D26">
              <w:rPr>
                <w:rFonts w:cstheme="minorHAnsi"/>
                <w:bCs/>
                <w:sz w:val="20"/>
                <w:szCs w:val="20"/>
              </w:rPr>
              <w:t>Self-reported comorbidities</w:t>
            </w:r>
            <w:r>
              <w:rPr>
                <w:rFonts w:cstheme="minorHAnsi"/>
                <w:bCs/>
                <w:sz w:val="20"/>
                <w:szCs w:val="20"/>
              </w:rPr>
              <w:t>:</w:t>
            </w:r>
          </w:p>
        </w:tc>
        <w:tc>
          <w:tcPr>
            <w:tcW w:w="4253" w:type="dxa"/>
            <w:tcBorders>
              <w:top w:val="single" w:sz="4" w:space="0" w:color="auto"/>
              <w:right w:val="single" w:sz="4" w:space="0" w:color="auto"/>
            </w:tcBorders>
            <w:vAlign w:val="center"/>
          </w:tcPr>
          <w:p w14:paraId="7383DD39" w14:textId="77777777" w:rsidR="00E245F3" w:rsidRPr="00A725F0" w:rsidRDefault="00E245F3" w:rsidP="00E245F3">
            <w:pPr>
              <w:jc w:val="center"/>
              <w:rPr>
                <w:rFonts w:cstheme="minorHAnsi"/>
                <w:sz w:val="20"/>
                <w:szCs w:val="20"/>
              </w:rPr>
            </w:pPr>
          </w:p>
        </w:tc>
      </w:tr>
      <w:tr w:rsidR="00E245F3" w:rsidRPr="0086519F" w14:paraId="21BBC3FE" w14:textId="77777777" w:rsidTr="00533CDB">
        <w:tc>
          <w:tcPr>
            <w:tcW w:w="5529" w:type="dxa"/>
          </w:tcPr>
          <w:p w14:paraId="0FEC148A" w14:textId="77777777" w:rsidR="00E245F3" w:rsidRPr="00C54D26" w:rsidRDefault="00E245F3" w:rsidP="00E245F3">
            <w:pPr>
              <w:rPr>
                <w:rFonts w:cstheme="minorHAnsi"/>
                <w:sz w:val="20"/>
                <w:szCs w:val="20"/>
              </w:rPr>
            </w:pPr>
            <w:r w:rsidRPr="00C54D26">
              <w:rPr>
                <w:rFonts w:cstheme="minorHAnsi"/>
                <w:sz w:val="20"/>
                <w:szCs w:val="20"/>
              </w:rPr>
              <w:t xml:space="preserve">   Diabetes </w:t>
            </w:r>
          </w:p>
        </w:tc>
        <w:tc>
          <w:tcPr>
            <w:tcW w:w="4253" w:type="dxa"/>
            <w:tcBorders>
              <w:right w:val="single" w:sz="4" w:space="0" w:color="auto"/>
            </w:tcBorders>
            <w:vAlign w:val="center"/>
          </w:tcPr>
          <w:p w14:paraId="6EDCA53B" w14:textId="77777777" w:rsidR="00E245F3" w:rsidRPr="00A725F0" w:rsidRDefault="00E245F3" w:rsidP="00E245F3">
            <w:pPr>
              <w:jc w:val="center"/>
              <w:rPr>
                <w:rFonts w:cstheme="minorHAnsi"/>
                <w:sz w:val="20"/>
                <w:szCs w:val="20"/>
              </w:rPr>
            </w:pPr>
            <w:r w:rsidRPr="00A725F0">
              <w:rPr>
                <w:rFonts w:cstheme="minorHAnsi"/>
                <w:sz w:val="20"/>
                <w:szCs w:val="20"/>
              </w:rPr>
              <w:t>205(17.3)</w:t>
            </w:r>
          </w:p>
        </w:tc>
      </w:tr>
      <w:tr w:rsidR="00E245F3" w:rsidRPr="0086519F" w14:paraId="57BB7C1A" w14:textId="77777777" w:rsidTr="00533CDB">
        <w:tc>
          <w:tcPr>
            <w:tcW w:w="5529" w:type="dxa"/>
          </w:tcPr>
          <w:p w14:paraId="3B5AAEFB" w14:textId="77777777" w:rsidR="00E245F3" w:rsidRPr="00C54D26" w:rsidRDefault="00E245F3" w:rsidP="00E245F3">
            <w:pPr>
              <w:rPr>
                <w:rFonts w:cstheme="minorHAnsi"/>
                <w:sz w:val="20"/>
                <w:szCs w:val="20"/>
              </w:rPr>
            </w:pPr>
            <w:r w:rsidRPr="00C54D26">
              <w:rPr>
                <w:rFonts w:cstheme="minorHAnsi"/>
                <w:sz w:val="20"/>
                <w:szCs w:val="20"/>
              </w:rPr>
              <w:t xml:space="preserve">   </w:t>
            </w:r>
            <w:r w:rsidRPr="00C54D26">
              <w:rPr>
                <w:rFonts w:eastAsia="Calibri" w:cstheme="minorHAnsi"/>
                <w:sz w:val="20"/>
                <w:szCs w:val="20"/>
              </w:rPr>
              <w:t xml:space="preserve">Cerebrovascular </w:t>
            </w:r>
            <w:r w:rsidRPr="00C54D26">
              <w:rPr>
                <w:rFonts w:cstheme="minorHAnsi"/>
                <w:sz w:val="20"/>
                <w:szCs w:val="20"/>
              </w:rPr>
              <w:t>Accident (CVA)</w:t>
            </w:r>
            <w:r w:rsidRPr="00C54D26">
              <w:rPr>
                <w:rFonts w:eastAsia="Calibri" w:cstheme="minorHAnsi"/>
                <w:sz w:val="20"/>
                <w:szCs w:val="20"/>
              </w:rPr>
              <w:t xml:space="preserve">      </w:t>
            </w:r>
          </w:p>
        </w:tc>
        <w:tc>
          <w:tcPr>
            <w:tcW w:w="4253" w:type="dxa"/>
            <w:tcBorders>
              <w:right w:val="single" w:sz="4" w:space="0" w:color="auto"/>
            </w:tcBorders>
            <w:vAlign w:val="center"/>
          </w:tcPr>
          <w:p w14:paraId="20F7A682" w14:textId="77777777" w:rsidR="00E245F3" w:rsidRPr="00A725F0" w:rsidRDefault="00E245F3" w:rsidP="00E245F3">
            <w:pPr>
              <w:jc w:val="center"/>
              <w:rPr>
                <w:rFonts w:cstheme="minorHAnsi"/>
                <w:sz w:val="20"/>
                <w:szCs w:val="20"/>
              </w:rPr>
            </w:pPr>
            <w:r w:rsidRPr="00A725F0">
              <w:rPr>
                <w:rFonts w:cstheme="minorHAnsi"/>
                <w:sz w:val="20"/>
                <w:szCs w:val="20"/>
              </w:rPr>
              <w:t>37(3.1)</w:t>
            </w:r>
          </w:p>
        </w:tc>
      </w:tr>
      <w:tr w:rsidR="00E245F3" w:rsidRPr="0086519F" w14:paraId="243CC97F" w14:textId="77777777" w:rsidTr="00533CDB">
        <w:tc>
          <w:tcPr>
            <w:tcW w:w="5529" w:type="dxa"/>
          </w:tcPr>
          <w:p w14:paraId="4E94D819" w14:textId="77777777" w:rsidR="00E245F3" w:rsidRPr="00C54D26" w:rsidRDefault="00E245F3" w:rsidP="00E245F3">
            <w:pPr>
              <w:rPr>
                <w:rFonts w:cstheme="minorHAnsi"/>
                <w:sz w:val="20"/>
                <w:szCs w:val="20"/>
              </w:rPr>
            </w:pPr>
            <w:r w:rsidRPr="00C54D26">
              <w:rPr>
                <w:rFonts w:cstheme="minorHAnsi"/>
                <w:sz w:val="20"/>
                <w:szCs w:val="20"/>
              </w:rPr>
              <w:t xml:space="preserve">   Hypertension (HT)</w:t>
            </w:r>
          </w:p>
        </w:tc>
        <w:tc>
          <w:tcPr>
            <w:tcW w:w="4253" w:type="dxa"/>
            <w:tcBorders>
              <w:right w:val="single" w:sz="4" w:space="0" w:color="auto"/>
            </w:tcBorders>
            <w:vAlign w:val="center"/>
          </w:tcPr>
          <w:p w14:paraId="3F330B14" w14:textId="77777777" w:rsidR="00E245F3" w:rsidRPr="00A725F0" w:rsidRDefault="00E245F3" w:rsidP="00E245F3">
            <w:pPr>
              <w:jc w:val="center"/>
              <w:rPr>
                <w:rFonts w:cstheme="minorHAnsi"/>
                <w:sz w:val="20"/>
                <w:szCs w:val="20"/>
              </w:rPr>
            </w:pPr>
            <w:r w:rsidRPr="00A725F0">
              <w:rPr>
                <w:rFonts w:cstheme="minorHAnsi"/>
                <w:sz w:val="20"/>
                <w:szCs w:val="20"/>
              </w:rPr>
              <w:t>731(61.7)</w:t>
            </w:r>
          </w:p>
        </w:tc>
      </w:tr>
      <w:tr w:rsidR="00E245F3" w:rsidRPr="0086519F" w14:paraId="73527496" w14:textId="77777777" w:rsidTr="00533CDB">
        <w:tc>
          <w:tcPr>
            <w:tcW w:w="5529" w:type="dxa"/>
          </w:tcPr>
          <w:p w14:paraId="4B0ACEB3" w14:textId="77777777" w:rsidR="00E245F3" w:rsidRPr="00C54D26" w:rsidRDefault="00E245F3" w:rsidP="00E245F3">
            <w:pPr>
              <w:rPr>
                <w:rFonts w:cstheme="minorHAnsi"/>
                <w:sz w:val="20"/>
                <w:szCs w:val="20"/>
              </w:rPr>
            </w:pPr>
            <w:r w:rsidRPr="00C54D26">
              <w:rPr>
                <w:rFonts w:cstheme="minorHAnsi"/>
                <w:sz w:val="20"/>
                <w:szCs w:val="20"/>
              </w:rPr>
              <w:t xml:space="preserve">   Transient ischaemic attack (TIA)</w:t>
            </w:r>
          </w:p>
        </w:tc>
        <w:tc>
          <w:tcPr>
            <w:tcW w:w="4253" w:type="dxa"/>
            <w:tcBorders>
              <w:right w:val="single" w:sz="4" w:space="0" w:color="auto"/>
            </w:tcBorders>
            <w:vAlign w:val="center"/>
          </w:tcPr>
          <w:p w14:paraId="78A88064" w14:textId="77777777" w:rsidR="00E245F3" w:rsidRPr="00A725F0" w:rsidRDefault="00E245F3" w:rsidP="00E245F3">
            <w:pPr>
              <w:jc w:val="center"/>
              <w:rPr>
                <w:rFonts w:cstheme="minorHAnsi"/>
                <w:sz w:val="20"/>
                <w:szCs w:val="20"/>
              </w:rPr>
            </w:pPr>
            <w:r w:rsidRPr="00A725F0">
              <w:rPr>
                <w:rFonts w:cstheme="minorHAnsi"/>
                <w:sz w:val="20"/>
                <w:szCs w:val="20"/>
              </w:rPr>
              <w:t>62(5.2)</w:t>
            </w:r>
          </w:p>
        </w:tc>
      </w:tr>
      <w:tr w:rsidR="00E245F3" w:rsidRPr="0086519F" w14:paraId="1CDBFE87" w14:textId="77777777" w:rsidTr="00533CDB">
        <w:tc>
          <w:tcPr>
            <w:tcW w:w="5529" w:type="dxa"/>
          </w:tcPr>
          <w:p w14:paraId="3D4F8CDD" w14:textId="77777777" w:rsidR="00E245F3" w:rsidRPr="00C54D26" w:rsidRDefault="00E245F3" w:rsidP="00E245F3">
            <w:pPr>
              <w:rPr>
                <w:rFonts w:cstheme="minorHAnsi"/>
                <w:sz w:val="20"/>
                <w:szCs w:val="20"/>
              </w:rPr>
            </w:pPr>
            <w:r w:rsidRPr="00C54D26">
              <w:rPr>
                <w:rFonts w:cstheme="minorHAnsi"/>
                <w:sz w:val="20"/>
                <w:szCs w:val="20"/>
              </w:rPr>
              <w:t xml:space="preserve">   Hyperlipidaemia (HL)</w:t>
            </w:r>
          </w:p>
        </w:tc>
        <w:tc>
          <w:tcPr>
            <w:tcW w:w="4253" w:type="dxa"/>
            <w:tcBorders>
              <w:right w:val="single" w:sz="4" w:space="0" w:color="auto"/>
            </w:tcBorders>
            <w:vAlign w:val="center"/>
          </w:tcPr>
          <w:p w14:paraId="2FDBC331" w14:textId="77777777" w:rsidR="00E245F3" w:rsidRPr="00A725F0" w:rsidRDefault="00E245F3" w:rsidP="00E245F3">
            <w:pPr>
              <w:jc w:val="center"/>
              <w:rPr>
                <w:rFonts w:cstheme="minorHAnsi"/>
                <w:sz w:val="20"/>
                <w:szCs w:val="20"/>
              </w:rPr>
            </w:pPr>
            <w:r w:rsidRPr="00A725F0">
              <w:rPr>
                <w:rFonts w:cstheme="minorHAnsi"/>
                <w:sz w:val="20"/>
                <w:szCs w:val="20"/>
              </w:rPr>
              <w:t>508(42.9)</w:t>
            </w:r>
          </w:p>
        </w:tc>
      </w:tr>
      <w:tr w:rsidR="00E245F3" w:rsidRPr="0086519F" w14:paraId="5F273B6E" w14:textId="77777777" w:rsidTr="00533CDB">
        <w:tc>
          <w:tcPr>
            <w:tcW w:w="5529" w:type="dxa"/>
          </w:tcPr>
          <w:p w14:paraId="3EC03EB6" w14:textId="77777777" w:rsidR="00E245F3" w:rsidRPr="00C54D26" w:rsidRDefault="00E245F3" w:rsidP="00E245F3">
            <w:pPr>
              <w:rPr>
                <w:rFonts w:cstheme="minorHAnsi"/>
                <w:sz w:val="20"/>
                <w:szCs w:val="20"/>
              </w:rPr>
            </w:pPr>
            <w:r w:rsidRPr="00C54D26">
              <w:rPr>
                <w:rFonts w:cstheme="minorHAnsi"/>
                <w:sz w:val="20"/>
                <w:szCs w:val="20"/>
              </w:rPr>
              <w:t xml:space="preserve">   Myocardial Infarction (MI)                </w:t>
            </w:r>
          </w:p>
        </w:tc>
        <w:tc>
          <w:tcPr>
            <w:tcW w:w="4253" w:type="dxa"/>
            <w:tcBorders>
              <w:right w:val="single" w:sz="4" w:space="0" w:color="auto"/>
            </w:tcBorders>
            <w:vAlign w:val="center"/>
          </w:tcPr>
          <w:p w14:paraId="70329266" w14:textId="77777777" w:rsidR="00E245F3" w:rsidRPr="00A725F0" w:rsidRDefault="00E245F3" w:rsidP="00E245F3">
            <w:pPr>
              <w:jc w:val="center"/>
              <w:rPr>
                <w:rFonts w:cstheme="minorHAnsi"/>
                <w:sz w:val="20"/>
                <w:szCs w:val="20"/>
              </w:rPr>
            </w:pPr>
            <w:r w:rsidRPr="00A725F0">
              <w:rPr>
                <w:rFonts w:cstheme="minorHAnsi"/>
                <w:sz w:val="20"/>
                <w:szCs w:val="20"/>
              </w:rPr>
              <w:t>119(10.1)</w:t>
            </w:r>
          </w:p>
        </w:tc>
      </w:tr>
      <w:tr w:rsidR="00E245F3" w:rsidRPr="0086519F" w14:paraId="77DE354C" w14:textId="77777777" w:rsidTr="00533CDB">
        <w:tc>
          <w:tcPr>
            <w:tcW w:w="5529" w:type="dxa"/>
          </w:tcPr>
          <w:p w14:paraId="7F1FC5D8" w14:textId="77777777" w:rsidR="00E245F3" w:rsidRPr="00C54D26" w:rsidRDefault="00E245F3" w:rsidP="00E245F3">
            <w:pPr>
              <w:rPr>
                <w:rFonts w:cstheme="minorHAnsi"/>
                <w:sz w:val="20"/>
                <w:szCs w:val="20"/>
              </w:rPr>
            </w:pPr>
            <w:r w:rsidRPr="00C54D26">
              <w:rPr>
                <w:rFonts w:cstheme="minorHAnsi"/>
                <w:sz w:val="20"/>
                <w:szCs w:val="20"/>
              </w:rPr>
              <w:t xml:space="preserve">   Renal failure (RF)</w:t>
            </w:r>
          </w:p>
        </w:tc>
        <w:tc>
          <w:tcPr>
            <w:tcW w:w="4253" w:type="dxa"/>
            <w:tcBorders>
              <w:right w:val="single" w:sz="4" w:space="0" w:color="auto"/>
            </w:tcBorders>
            <w:vAlign w:val="center"/>
          </w:tcPr>
          <w:p w14:paraId="00F5FC57" w14:textId="77777777" w:rsidR="00E245F3" w:rsidRPr="00A725F0" w:rsidRDefault="00E245F3" w:rsidP="00E245F3">
            <w:pPr>
              <w:jc w:val="center"/>
              <w:rPr>
                <w:rFonts w:cstheme="minorHAnsi"/>
                <w:sz w:val="20"/>
                <w:szCs w:val="20"/>
              </w:rPr>
            </w:pPr>
            <w:r w:rsidRPr="00A725F0">
              <w:rPr>
                <w:rFonts w:cstheme="minorHAnsi"/>
                <w:sz w:val="20"/>
                <w:szCs w:val="20"/>
              </w:rPr>
              <w:t>56(4.7)</w:t>
            </w:r>
          </w:p>
        </w:tc>
      </w:tr>
      <w:tr w:rsidR="00E245F3" w:rsidRPr="0086519F" w14:paraId="29F40791" w14:textId="77777777" w:rsidTr="00533CDB">
        <w:tc>
          <w:tcPr>
            <w:tcW w:w="5529" w:type="dxa"/>
          </w:tcPr>
          <w:p w14:paraId="22AF9E72" w14:textId="77777777" w:rsidR="00E245F3" w:rsidRPr="00C54D26" w:rsidRDefault="00E245F3" w:rsidP="00E245F3">
            <w:pPr>
              <w:rPr>
                <w:rFonts w:cstheme="minorHAnsi"/>
                <w:sz w:val="20"/>
                <w:szCs w:val="20"/>
              </w:rPr>
            </w:pPr>
            <w:r w:rsidRPr="00C54D26">
              <w:rPr>
                <w:rFonts w:cstheme="minorHAnsi"/>
                <w:sz w:val="20"/>
                <w:szCs w:val="20"/>
              </w:rPr>
              <w:t xml:space="preserve">   Renal calculi</w:t>
            </w:r>
          </w:p>
        </w:tc>
        <w:tc>
          <w:tcPr>
            <w:tcW w:w="4253" w:type="dxa"/>
            <w:tcBorders>
              <w:right w:val="single" w:sz="4" w:space="0" w:color="auto"/>
            </w:tcBorders>
            <w:vAlign w:val="center"/>
          </w:tcPr>
          <w:p w14:paraId="465E47C4" w14:textId="77777777" w:rsidR="00E245F3" w:rsidRPr="00A725F0" w:rsidRDefault="00E245F3" w:rsidP="00E245F3">
            <w:pPr>
              <w:jc w:val="center"/>
              <w:rPr>
                <w:rFonts w:cstheme="minorHAnsi"/>
                <w:sz w:val="20"/>
                <w:szCs w:val="20"/>
              </w:rPr>
            </w:pPr>
            <w:r w:rsidRPr="00A725F0">
              <w:rPr>
                <w:rFonts w:cstheme="minorHAnsi"/>
                <w:sz w:val="20"/>
                <w:szCs w:val="20"/>
              </w:rPr>
              <w:t>81(6.8)</w:t>
            </w:r>
          </w:p>
        </w:tc>
      </w:tr>
      <w:tr w:rsidR="00E245F3" w:rsidRPr="0086519F" w14:paraId="3F2DA158" w14:textId="77777777" w:rsidTr="00533CDB">
        <w:tc>
          <w:tcPr>
            <w:tcW w:w="5529" w:type="dxa"/>
          </w:tcPr>
          <w:p w14:paraId="11D30598" w14:textId="77777777" w:rsidR="00E245F3" w:rsidRPr="00C54D26" w:rsidRDefault="00E245F3" w:rsidP="00E245F3">
            <w:pPr>
              <w:rPr>
                <w:rFonts w:cstheme="minorHAnsi"/>
                <w:sz w:val="20"/>
                <w:szCs w:val="20"/>
              </w:rPr>
            </w:pPr>
            <w:r w:rsidRPr="00C54D26">
              <w:rPr>
                <w:rFonts w:cstheme="minorHAnsi"/>
                <w:sz w:val="20"/>
                <w:szCs w:val="20"/>
              </w:rPr>
              <w:t xml:space="preserve">    Angina</w:t>
            </w:r>
          </w:p>
        </w:tc>
        <w:tc>
          <w:tcPr>
            <w:tcW w:w="4253" w:type="dxa"/>
            <w:tcBorders>
              <w:right w:val="single" w:sz="4" w:space="0" w:color="auto"/>
            </w:tcBorders>
            <w:vAlign w:val="center"/>
          </w:tcPr>
          <w:p w14:paraId="678A495F" w14:textId="77777777" w:rsidR="00E245F3" w:rsidRPr="00A725F0" w:rsidRDefault="00E245F3" w:rsidP="00E245F3">
            <w:pPr>
              <w:jc w:val="center"/>
              <w:rPr>
                <w:rFonts w:cstheme="minorHAnsi"/>
                <w:sz w:val="20"/>
                <w:szCs w:val="20"/>
              </w:rPr>
            </w:pPr>
            <w:r w:rsidRPr="00A725F0">
              <w:rPr>
                <w:rFonts w:cstheme="minorHAnsi"/>
                <w:sz w:val="20"/>
                <w:szCs w:val="20"/>
              </w:rPr>
              <w:t>147(12.4)</w:t>
            </w:r>
          </w:p>
        </w:tc>
      </w:tr>
      <w:tr w:rsidR="00E245F3" w:rsidRPr="0086519F" w14:paraId="7E76A493" w14:textId="77777777" w:rsidTr="00533CDB">
        <w:tc>
          <w:tcPr>
            <w:tcW w:w="5529" w:type="dxa"/>
          </w:tcPr>
          <w:p w14:paraId="54939305" w14:textId="77777777" w:rsidR="00E245F3" w:rsidRPr="00C54D26" w:rsidRDefault="00E245F3" w:rsidP="00E245F3">
            <w:pPr>
              <w:rPr>
                <w:rFonts w:cstheme="minorHAnsi"/>
                <w:sz w:val="20"/>
                <w:szCs w:val="20"/>
              </w:rPr>
            </w:pPr>
            <w:r>
              <w:rPr>
                <w:rFonts w:cstheme="minorHAnsi"/>
                <w:sz w:val="20"/>
                <w:szCs w:val="20"/>
              </w:rPr>
              <w:t>Number of</w:t>
            </w:r>
            <w:r w:rsidRPr="00C54D26">
              <w:rPr>
                <w:rFonts w:cstheme="minorHAnsi"/>
                <w:sz w:val="20"/>
                <w:szCs w:val="20"/>
              </w:rPr>
              <w:t xml:space="preserve"> comorbidities</w:t>
            </w:r>
            <w:r>
              <w:rPr>
                <w:rFonts w:cstheme="minorHAnsi"/>
                <w:sz w:val="20"/>
                <w:szCs w:val="20"/>
              </w:rPr>
              <w:t>,</w:t>
            </w:r>
            <w:r w:rsidRPr="00C54D26">
              <w:rPr>
                <w:rFonts w:cstheme="minorHAnsi"/>
                <w:sz w:val="20"/>
                <w:szCs w:val="20"/>
              </w:rPr>
              <w:t xml:space="preserve"> mean (SD)</w:t>
            </w:r>
            <w:r>
              <w:rPr>
                <w:rFonts w:cstheme="minorHAnsi"/>
                <w:sz w:val="20"/>
                <w:szCs w:val="20"/>
                <w:vertAlign w:val="superscript"/>
              </w:rPr>
              <w:t>*</w:t>
            </w:r>
          </w:p>
        </w:tc>
        <w:tc>
          <w:tcPr>
            <w:tcW w:w="4253" w:type="dxa"/>
            <w:tcBorders>
              <w:right w:val="single" w:sz="4" w:space="0" w:color="auto"/>
            </w:tcBorders>
            <w:vAlign w:val="center"/>
          </w:tcPr>
          <w:p w14:paraId="3C7C0FCB" w14:textId="77777777" w:rsidR="00E245F3" w:rsidRPr="00A725F0" w:rsidRDefault="00E245F3" w:rsidP="00E245F3">
            <w:pPr>
              <w:jc w:val="center"/>
              <w:rPr>
                <w:rFonts w:cstheme="minorHAnsi"/>
                <w:sz w:val="20"/>
                <w:szCs w:val="20"/>
              </w:rPr>
            </w:pPr>
            <w:r w:rsidRPr="00A725F0">
              <w:rPr>
                <w:rFonts w:cstheme="minorHAnsi"/>
                <w:sz w:val="20"/>
                <w:szCs w:val="20"/>
              </w:rPr>
              <w:t>1.6 (1.4)</w:t>
            </w:r>
          </w:p>
        </w:tc>
      </w:tr>
      <w:tr w:rsidR="00E245F3" w:rsidRPr="0086519F" w14:paraId="49C14043" w14:textId="77777777" w:rsidTr="00533CDB">
        <w:tc>
          <w:tcPr>
            <w:tcW w:w="5529" w:type="dxa"/>
          </w:tcPr>
          <w:p w14:paraId="2894A6B2" w14:textId="77777777" w:rsidR="00E245F3" w:rsidRPr="00C54D26" w:rsidRDefault="00E245F3" w:rsidP="00E245F3">
            <w:pPr>
              <w:rPr>
                <w:rFonts w:cstheme="minorHAnsi"/>
                <w:sz w:val="20"/>
                <w:szCs w:val="20"/>
              </w:rPr>
            </w:pPr>
            <w:r w:rsidRPr="00C54D26">
              <w:rPr>
                <w:rFonts w:cstheme="minorHAnsi"/>
                <w:sz w:val="20"/>
                <w:szCs w:val="20"/>
              </w:rPr>
              <w:t>eGFR &lt;60  mL/min/1.73m</w:t>
            </w:r>
            <w:r w:rsidRPr="00C54D26">
              <w:rPr>
                <w:rFonts w:cstheme="minorHAnsi"/>
                <w:sz w:val="20"/>
                <w:szCs w:val="20"/>
                <w:vertAlign w:val="superscript"/>
              </w:rPr>
              <w:t>2</w:t>
            </w:r>
          </w:p>
        </w:tc>
        <w:tc>
          <w:tcPr>
            <w:tcW w:w="4253" w:type="dxa"/>
            <w:tcBorders>
              <w:right w:val="single" w:sz="4" w:space="0" w:color="auto"/>
            </w:tcBorders>
            <w:vAlign w:val="center"/>
          </w:tcPr>
          <w:p w14:paraId="69CBC7EA" w14:textId="77777777" w:rsidR="00E245F3" w:rsidRPr="00A725F0" w:rsidRDefault="00E245F3" w:rsidP="00E245F3">
            <w:pPr>
              <w:jc w:val="center"/>
              <w:rPr>
                <w:rFonts w:cstheme="minorHAnsi"/>
                <w:sz w:val="20"/>
                <w:szCs w:val="20"/>
              </w:rPr>
            </w:pPr>
            <w:r w:rsidRPr="00A725F0">
              <w:rPr>
                <w:rFonts w:cstheme="minorHAnsi"/>
                <w:sz w:val="20"/>
                <w:szCs w:val="20"/>
              </w:rPr>
              <w:t>318(26.9)</w:t>
            </w:r>
          </w:p>
        </w:tc>
      </w:tr>
      <w:tr w:rsidR="00E245F3" w:rsidRPr="0086519F" w14:paraId="114F5D07" w14:textId="77777777" w:rsidTr="00533CDB">
        <w:tc>
          <w:tcPr>
            <w:tcW w:w="5529" w:type="dxa"/>
          </w:tcPr>
          <w:p w14:paraId="15CB2588" w14:textId="4C32A59A" w:rsidR="00E245F3" w:rsidRPr="00C54D26" w:rsidRDefault="00E245F3" w:rsidP="00E245F3">
            <w:pPr>
              <w:rPr>
                <w:rFonts w:cstheme="minorHAnsi"/>
                <w:sz w:val="20"/>
                <w:szCs w:val="20"/>
              </w:rPr>
            </w:pPr>
            <w:r w:rsidRPr="00C54D26">
              <w:rPr>
                <w:rFonts w:cstheme="minorHAnsi"/>
                <w:sz w:val="20"/>
                <w:szCs w:val="20"/>
              </w:rPr>
              <w:t>Depression PHQ-9 score mean</w:t>
            </w:r>
            <w:r w:rsidR="00DC78D7">
              <w:rPr>
                <w:rFonts w:cstheme="minorHAnsi"/>
                <w:sz w:val="20"/>
                <w:szCs w:val="20"/>
              </w:rPr>
              <w:t xml:space="preserve"> </w:t>
            </w:r>
            <w:r w:rsidRPr="00C54D26">
              <w:rPr>
                <w:rFonts w:cstheme="minorHAnsi"/>
                <w:sz w:val="20"/>
                <w:szCs w:val="20"/>
              </w:rPr>
              <w:t>(SD)</w:t>
            </w:r>
          </w:p>
        </w:tc>
        <w:tc>
          <w:tcPr>
            <w:tcW w:w="4253" w:type="dxa"/>
            <w:tcBorders>
              <w:right w:val="single" w:sz="4" w:space="0" w:color="auto"/>
            </w:tcBorders>
            <w:vAlign w:val="center"/>
          </w:tcPr>
          <w:p w14:paraId="2D6B880E" w14:textId="77777777" w:rsidR="00E245F3" w:rsidRPr="00A725F0" w:rsidRDefault="00E245F3" w:rsidP="00E245F3">
            <w:pPr>
              <w:jc w:val="center"/>
              <w:rPr>
                <w:rFonts w:cstheme="minorHAnsi"/>
                <w:sz w:val="20"/>
                <w:szCs w:val="20"/>
              </w:rPr>
            </w:pPr>
            <w:r w:rsidRPr="00A725F0">
              <w:rPr>
                <w:rFonts w:cstheme="minorHAnsi"/>
                <w:sz w:val="20"/>
                <w:szCs w:val="20"/>
              </w:rPr>
              <w:t>3.64(5.22)</w:t>
            </w:r>
          </w:p>
        </w:tc>
      </w:tr>
      <w:tr w:rsidR="00E245F3" w:rsidRPr="0086519F" w14:paraId="1572EFE9" w14:textId="77777777" w:rsidTr="00533CDB">
        <w:tc>
          <w:tcPr>
            <w:tcW w:w="5529" w:type="dxa"/>
          </w:tcPr>
          <w:p w14:paraId="2CB08426" w14:textId="0BBDE033" w:rsidR="00E245F3" w:rsidRPr="00C54D26" w:rsidRDefault="00E245F3" w:rsidP="00E245F3">
            <w:pPr>
              <w:rPr>
                <w:rFonts w:cstheme="minorHAnsi"/>
                <w:sz w:val="20"/>
                <w:szCs w:val="20"/>
              </w:rPr>
            </w:pPr>
            <w:r w:rsidRPr="00C54D26">
              <w:rPr>
                <w:rFonts w:cstheme="minorHAnsi"/>
                <w:sz w:val="20"/>
                <w:szCs w:val="20"/>
              </w:rPr>
              <w:t>Anxiety GAD-7 score mean</w:t>
            </w:r>
            <w:r w:rsidR="00DC78D7">
              <w:rPr>
                <w:rFonts w:cstheme="minorHAnsi"/>
                <w:sz w:val="20"/>
                <w:szCs w:val="20"/>
              </w:rPr>
              <w:t xml:space="preserve"> </w:t>
            </w:r>
            <w:r w:rsidRPr="00C54D26">
              <w:rPr>
                <w:rFonts w:cstheme="minorHAnsi"/>
                <w:sz w:val="20"/>
                <w:szCs w:val="20"/>
              </w:rPr>
              <w:t>(SD)</w:t>
            </w:r>
          </w:p>
        </w:tc>
        <w:tc>
          <w:tcPr>
            <w:tcW w:w="4253" w:type="dxa"/>
            <w:tcBorders>
              <w:right w:val="single" w:sz="4" w:space="0" w:color="auto"/>
            </w:tcBorders>
            <w:vAlign w:val="center"/>
          </w:tcPr>
          <w:p w14:paraId="0ACA7EE6" w14:textId="77777777" w:rsidR="00E245F3" w:rsidRPr="00A725F0" w:rsidRDefault="00E245F3" w:rsidP="00E245F3">
            <w:pPr>
              <w:jc w:val="center"/>
              <w:rPr>
                <w:rFonts w:cstheme="minorHAnsi"/>
                <w:sz w:val="20"/>
                <w:szCs w:val="20"/>
              </w:rPr>
            </w:pPr>
            <w:r w:rsidRPr="00A725F0">
              <w:rPr>
                <w:rFonts w:cstheme="minorHAnsi"/>
                <w:sz w:val="20"/>
                <w:szCs w:val="20"/>
              </w:rPr>
              <w:t>2.79(4.49)</w:t>
            </w:r>
          </w:p>
        </w:tc>
      </w:tr>
      <w:tr w:rsidR="00E245F3" w:rsidRPr="0086519F" w14:paraId="65D97DDD" w14:textId="77777777" w:rsidTr="00533CDB">
        <w:tc>
          <w:tcPr>
            <w:tcW w:w="5529" w:type="dxa"/>
          </w:tcPr>
          <w:p w14:paraId="756A7384" w14:textId="77777777" w:rsidR="00E245F3" w:rsidRPr="00C54D26" w:rsidRDefault="00E245F3" w:rsidP="00E245F3">
            <w:pPr>
              <w:rPr>
                <w:rFonts w:cstheme="minorHAnsi"/>
                <w:sz w:val="20"/>
                <w:szCs w:val="20"/>
              </w:rPr>
            </w:pPr>
            <w:r w:rsidRPr="00C54D26">
              <w:rPr>
                <w:rFonts w:cstheme="minorHAnsi"/>
                <w:sz w:val="20"/>
                <w:szCs w:val="20"/>
              </w:rPr>
              <w:t>Body pain</w:t>
            </w:r>
          </w:p>
        </w:tc>
        <w:tc>
          <w:tcPr>
            <w:tcW w:w="4253" w:type="dxa"/>
            <w:tcBorders>
              <w:right w:val="single" w:sz="4" w:space="0" w:color="auto"/>
            </w:tcBorders>
            <w:vAlign w:val="center"/>
          </w:tcPr>
          <w:p w14:paraId="0FDE7FCC" w14:textId="77777777" w:rsidR="00E245F3" w:rsidRPr="00A725F0" w:rsidRDefault="00E245F3" w:rsidP="00E245F3">
            <w:pPr>
              <w:jc w:val="center"/>
              <w:rPr>
                <w:rFonts w:cstheme="minorHAnsi"/>
                <w:sz w:val="20"/>
                <w:szCs w:val="20"/>
              </w:rPr>
            </w:pPr>
            <w:r w:rsidRPr="00A725F0">
              <w:rPr>
                <w:rFonts w:cstheme="minorHAnsi"/>
                <w:sz w:val="20"/>
                <w:szCs w:val="20"/>
              </w:rPr>
              <w:t>651(54.9)</w:t>
            </w:r>
          </w:p>
        </w:tc>
      </w:tr>
      <w:tr w:rsidR="00E245F3" w:rsidRPr="0086519F" w14:paraId="116C701E" w14:textId="77777777" w:rsidTr="00533CDB">
        <w:tc>
          <w:tcPr>
            <w:tcW w:w="5529" w:type="dxa"/>
          </w:tcPr>
          <w:p w14:paraId="63BE6F6F" w14:textId="77777777" w:rsidR="00E245F3" w:rsidRPr="00C54D26" w:rsidRDefault="00E245F3" w:rsidP="00E245F3">
            <w:pPr>
              <w:rPr>
                <w:rFonts w:cstheme="minorHAnsi"/>
                <w:sz w:val="20"/>
                <w:szCs w:val="20"/>
              </w:rPr>
            </w:pPr>
            <w:r>
              <w:rPr>
                <w:rFonts w:cstheme="minorHAnsi"/>
                <w:sz w:val="20"/>
                <w:szCs w:val="20"/>
              </w:rPr>
              <w:t xml:space="preserve">Pain </w:t>
            </w:r>
            <w:r w:rsidRPr="00C54D26">
              <w:rPr>
                <w:rFonts w:cstheme="minorHAnsi"/>
                <w:sz w:val="20"/>
                <w:szCs w:val="20"/>
              </w:rPr>
              <w:t>NRS in last week mean (SD)</w:t>
            </w:r>
          </w:p>
        </w:tc>
        <w:tc>
          <w:tcPr>
            <w:tcW w:w="4253" w:type="dxa"/>
            <w:tcBorders>
              <w:right w:val="single" w:sz="4" w:space="0" w:color="auto"/>
            </w:tcBorders>
            <w:vAlign w:val="center"/>
          </w:tcPr>
          <w:p w14:paraId="1BC5E199" w14:textId="77777777" w:rsidR="00E245F3" w:rsidRPr="00A725F0" w:rsidRDefault="00E245F3" w:rsidP="00E245F3">
            <w:pPr>
              <w:jc w:val="center"/>
              <w:rPr>
                <w:rFonts w:cstheme="minorHAnsi"/>
                <w:sz w:val="20"/>
                <w:szCs w:val="20"/>
              </w:rPr>
            </w:pPr>
            <w:r w:rsidRPr="00A725F0">
              <w:rPr>
                <w:rFonts w:cstheme="minorHAnsi"/>
                <w:sz w:val="20"/>
                <w:szCs w:val="20"/>
              </w:rPr>
              <w:t>2.32(2.85)</w:t>
            </w:r>
          </w:p>
        </w:tc>
      </w:tr>
      <w:tr w:rsidR="00E245F3" w:rsidRPr="0086519F" w14:paraId="2BFB4AC3" w14:textId="77777777" w:rsidTr="00533CDB">
        <w:tc>
          <w:tcPr>
            <w:tcW w:w="5529" w:type="dxa"/>
            <w:tcBorders>
              <w:top w:val="single" w:sz="4" w:space="0" w:color="auto"/>
            </w:tcBorders>
          </w:tcPr>
          <w:p w14:paraId="0815F7F5" w14:textId="77777777" w:rsidR="00E245F3" w:rsidRDefault="00E245F3" w:rsidP="00E245F3">
            <w:pPr>
              <w:rPr>
                <w:rFonts w:cstheme="minorHAnsi"/>
                <w:sz w:val="20"/>
                <w:szCs w:val="20"/>
              </w:rPr>
            </w:pPr>
            <w:r>
              <w:rPr>
                <w:rFonts w:cstheme="minorHAnsi"/>
                <w:sz w:val="20"/>
                <w:szCs w:val="20"/>
              </w:rPr>
              <w:t>Number of gout flares in 12 months preceding baseline:</w:t>
            </w:r>
          </w:p>
        </w:tc>
        <w:tc>
          <w:tcPr>
            <w:tcW w:w="4253" w:type="dxa"/>
            <w:tcBorders>
              <w:top w:val="single" w:sz="4" w:space="0" w:color="auto"/>
              <w:right w:val="single" w:sz="4" w:space="0" w:color="auto"/>
            </w:tcBorders>
            <w:vAlign w:val="center"/>
          </w:tcPr>
          <w:p w14:paraId="4DD6294D" w14:textId="77777777" w:rsidR="00E245F3" w:rsidRPr="00A725F0" w:rsidRDefault="00E245F3" w:rsidP="00E245F3">
            <w:pPr>
              <w:jc w:val="center"/>
              <w:rPr>
                <w:rFonts w:cstheme="minorHAnsi"/>
                <w:sz w:val="20"/>
                <w:szCs w:val="20"/>
              </w:rPr>
            </w:pPr>
          </w:p>
        </w:tc>
      </w:tr>
      <w:tr w:rsidR="00E245F3" w:rsidRPr="0086519F" w14:paraId="1C284CF0" w14:textId="77777777" w:rsidTr="00533CDB">
        <w:tc>
          <w:tcPr>
            <w:tcW w:w="5529" w:type="dxa"/>
            <w:tcBorders>
              <w:top w:val="single" w:sz="4" w:space="0" w:color="auto"/>
            </w:tcBorders>
          </w:tcPr>
          <w:p w14:paraId="626FE1DF" w14:textId="77777777" w:rsidR="00E245F3" w:rsidRDefault="00E245F3" w:rsidP="00E245F3">
            <w:pPr>
              <w:rPr>
                <w:rFonts w:cstheme="minorHAnsi"/>
                <w:sz w:val="20"/>
                <w:szCs w:val="20"/>
              </w:rPr>
            </w:pPr>
            <w:r>
              <w:rPr>
                <w:rFonts w:cstheme="minorHAnsi"/>
                <w:sz w:val="20"/>
                <w:szCs w:val="20"/>
              </w:rPr>
              <w:t xml:space="preserve">   </w:t>
            </w:r>
            <w:r w:rsidRPr="00C54D26">
              <w:rPr>
                <w:rFonts w:cstheme="minorHAnsi"/>
                <w:sz w:val="20"/>
                <w:szCs w:val="20"/>
              </w:rPr>
              <w:t xml:space="preserve">0 </w:t>
            </w:r>
          </w:p>
        </w:tc>
        <w:tc>
          <w:tcPr>
            <w:tcW w:w="4253" w:type="dxa"/>
            <w:tcBorders>
              <w:top w:val="single" w:sz="4" w:space="0" w:color="auto"/>
              <w:right w:val="single" w:sz="4" w:space="0" w:color="auto"/>
            </w:tcBorders>
            <w:vAlign w:val="center"/>
          </w:tcPr>
          <w:p w14:paraId="79390957" w14:textId="77777777" w:rsidR="00E245F3" w:rsidRPr="00A725F0" w:rsidRDefault="00E245F3" w:rsidP="00E245F3">
            <w:pPr>
              <w:jc w:val="center"/>
              <w:rPr>
                <w:rFonts w:cstheme="minorHAnsi"/>
                <w:sz w:val="20"/>
                <w:szCs w:val="20"/>
              </w:rPr>
            </w:pPr>
            <w:r w:rsidRPr="00A725F0">
              <w:rPr>
                <w:rFonts w:cstheme="minorHAnsi"/>
                <w:sz w:val="20"/>
                <w:szCs w:val="20"/>
              </w:rPr>
              <w:t>398(33.6)</w:t>
            </w:r>
          </w:p>
        </w:tc>
      </w:tr>
      <w:tr w:rsidR="00E245F3" w:rsidRPr="0086519F" w14:paraId="133E7C5C" w14:textId="77777777" w:rsidTr="00533CDB">
        <w:tc>
          <w:tcPr>
            <w:tcW w:w="5529" w:type="dxa"/>
          </w:tcPr>
          <w:p w14:paraId="511C5041" w14:textId="77777777" w:rsidR="00E245F3" w:rsidRDefault="00E245F3" w:rsidP="00E245F3">
            <w:pPr>
              <w:rPr>
                <w:rFonts w:cstheme="minorHAnsi"/>
                <w:sz w:val="20"/>
                <w:szCs w:val="20"/>
              </w:rPr>
            </w:pPr>
            <w:r>
              <w:rPr>
                <w:rFonts w:cstheme="minorHAnsi"/>
                <w:sz w:val="20"/>
                <w:szCs w:val="20"/>
              </w:rPr>
              <w:t xml:space="preserve">   </w:t>
            </w:r>
            <w:r w:rsidRPr="00C54D26">
              <w:rPr>
                <w:rFonts w:cstheme="minorHAnsi"/>
                <w:sz w:val="20"/>
                <w:szCs w:val="20"/>
              </w:rPr>
              <w:t xml:space="preserve">1 </w:t>
            </w:r>
          </w:p>
        </w:tc>
        <w:tc>
          <w:tcPr>
            <w:tcW w:w="4253" w:type="dxa"/>
            <w:tcBorders>
              <w:right w:val="single" w:sz="4" w:space="0" w:color="auto"/>
            </w:tcBorders>
            <w:vAlign w:val="center"/>
          </w:tcPr>
          <w:p w14:paraId="463FA8E0" w14:textId="77777777" w:rsidR="00E245F3" w:rsidRPr="00A725F0" w:rsidRDefault="00E245F3" w:rsidP="00E245F3">
            <w:pPr>
              <w:jc w:val="center"/>
              <w:rPr>
                <w:rFonts w:cstheme="minorHAnsi"/>
                <w:sz w:val="20"/>
                <w:szCs w:val="20"/>
              </w:rPr>
            </w:pPr>
            <w:r w:rsidRPr="00A725F0">
              <w:rPr>
                <w:rFonts w:cstheme="minorHAnsi"/>
                <w:sz w:val="20"/>
                <w:szCs w:val="20"/>
              </w:rPr>
              <w:t>231(19.5)</w:t>
            </w:r>
          </w:p>
        </w:tc>
      </w:tr>
      <w:tr w:rsidR="00E245F3" w:rsidRPr="0086519F" w14:paraId="1D1BAC6A" w14:textId="77777777" w:rsidTr="00533CDB">
        <w:tc>
          <w:tcPr>
            <w:tcW w:w="5529" w:type="dxa"/>
          </w:tcPr>
          <w:p w14:paraId="5F3586DF" w14:textId="77777777" w:rsidR="00E245F3" w:rsidRDefault="00E245F3" w:rsidP="00E245F3">
            <w:pPr>
              <w:rPr>
                <w:rFonts w:cstheme="minorHAnsi"/>
                <w:sz w:val="20"/>
                <w:szCs w:val="20"/>
              </w:rPr>
            </w:pPr>
            <w:r>
              <w:rPr>
                <w:rFonts w:cstheme="minorHAnsi"/>
                <w:sz w:val="20"/>
                <w:szCs w:val="20"/>
              </w:rPr>
              <w:t xml:space="preserve">   </w:t>
            </w:r>
            <w:r w:rsidRPr="00C54D26">
              <w:rPr>
                <w:rFonts w:cstheme="minorHAnsi"/>
                <w:sz w:val="20"/>
                <w:szCs w:val="20"/>
              </w:rPr>
              <w:t xml:space="preserve">2 </w:t>
            </w:r>
          </w:p>
        </w:tc>
        <w:tc>
          <w:tcPr>
            <w:tcW w:w="4253" w:type="dxa"/>
            <w:tcBorders>
              <w:right w:val="single" w:sz="4" w:space="0" w:color="auto"/>
            </w:tcBorders>
            <w:vAlign w:val="center"/>
          </w:tcPr>
          <w:p w14:paraId="238414B8" w14:textId="77777777" w:rsidR="00E245F3" w:rsidRPr="00A725F0" w:rsidRDefault="00E245F3" w:rsidP="00E245F3">
            <w:pPr>
              <w:jc w:val="center"/>
              <w:rPr>
                <w:rFonts w:cstheme="minorHAnsi"/>
                <w:sz w:val="20"/>
                <w:szCs w:val="20"/>
              </w:rPr>
            </w:pPr>
            <w:r w:rsidRPr="00A725F0">
              <w:rPr>
                <w:rFonts w:cstheme="minorHAnsi"/>
                <w:sz w:val="20"/>
                <w:szCs w:val="20"/>
              </w:rPr>
              <w:t>187 (15.8)</w:t>
            </w:r>
          </w:p>
        </w:tc>
      </w:tr>
      <w:tr w:rsidR="00E245F3" w:rsidRPr="0086519F" w14:paraId="21FF8B76" w14:textId="77777777" w:rsidTr="00533CDB">
        <w:tc>
          <w:tcPr>
            <w:tcW w:w="5529" w:type="dxa"/>
          </w:tcPr>
          <w:p w14:paraId="49B2229E" w14:textId="77777777" w:rsidR="00E245F3" w:rsidRDefault="00E245F3" w:rsidP="00E245F3">
            <w:pPr>
              <w:rPr>
                <w:rFonts w:cstheme="minorHAnsi"/>
                <w:sz w:val="20"/>
                <w:szCs w:val="20"/>
              </w:rPr>
            </w:pPr>
            <w:r>
              <w:rPr>
                <w:rFonts w:cstheme="minorHAnsi"/>
                <w:sz w:val="20"/>
                <w:szCs w:val="20"/>
              </w:rPr>
              <w:t xml:space="preserve">   </w:t>
            </w:r>
            <w:r w:rsidRPr="00C54D26">
              <w:rPr>
                <w:rFonts w:cstheme="minorHAnsi"/>
                <w:sz w:val="20"/>
                <w:szCs w:val="20"/>
              </w:rPr>
              <w:t>3</w:t>
            </w:r>
          </w:p>
        </w:tc>
        <w:tc>
          <w:tcPr>
            <w:tcW w:w="4253" w:type="dxa"/>
            <w:tcBorders>
              <w:right w:val="single" w:sz="4" w:space="0" w:color="auto"/>
            </w:tcBorders>
            <w:vAlign w:val="center"/>
          </w:tcPr>
          <w:p w14:paraId="51E6E582" w14:textId="77777777" w:rsidR="00E245F3" w:rsidRPr="00A725F0" w:rsidRDefault="00E245F3" w:rsidP="00E245F3">
            <w:pPr>
              <w:jc w:val="center"/>
              <w:rPr>
                <w:rFonts w:cstheme="minorHAnsi"/>
                <w:sz w:val="20"/>
                <w:szCs w:val="20"/>
              </w:rPr>
            </w:pPr>
            <w:r w:rsidRPr="00A725F0">
              <w:rPr>
                <w:rFonts w:cstheme="minorHAnsi"/>
                <w:sz w:val="20"/>
                <w:szCs w:val="20"/>
              </w:rPr>
              <w:t>103(8.7)</w:t>
            </w:r>
          </w:p>
        </w:tc>
      </w:tr>
      <w:tr w:rsidR="00E245F3" w:rsidRPr="0086519F" w14:paraId="5A61B088" w14:textId="77777777" w:rsidTr="00533CDB">
        <w:tc>
          <w:tcPr>
            <w:tcW w:w="5529" w:type="dxa"/>
          </w:tcPr>
          <w:p w14:paraId="63960289" w14:textId="77777777" w:rsidR="00E245F3" w:rsidRDefault="00E245F3" w:rsidP="00E245F3">
            <w:pPr>
              <w:rPr>
                <w:rFonts w:cstheme="minorHAnsi"/>
                <w:sz w:val="20"/>
                <w:szCs w:val="20"/>
              </w:rPr>
            </w:pPr>
            <w:r>
              <w:rPr>
                <w:rFonts w:cstheme="minorHAnsi"/>
                <w:sz w:val="20"/>
                <w:szCs w:val="20"/>
              </w:rPr>
              <w:t xml:space="preserve">   </w:t>
            </w:r>
            <w:r w:rsidRPr="00C54D26">
              <w:rPr>
                <w:rFonts w:cstheme="minorHAnsi"/>
                <w:sz w:val="20"/>
                <w:szCs w:val="20"/>
              </w:rPr>
              <w:t>4</w:t>
            </w:r>
          </w:p>
        </w:tc>
        <w:tc>
          <w:tcPr>
            <w:tcW w:w="4253" w:type="dxa"/>
            <w:tcBorders>
              <w:right w:val="single" w:sz="4" w:space="0" w:color="auto"/>
            </w:tcBorders>
            <w:vAlign w:val="center"/>
          </w:tcPr>
          <w:p w14:paraId="0CEC255A" w14:textId="77777777" w:rsidR="00E245F3" w:rsidRPr="00A725F0" w:rsidRDefault="00E245F3" w:rsidP="00E245F3">
            <w:pPr>
              <w:jc w:val="center"/>
              <w:rPr>
                <w:rFonts w:cstheme="minorHAnsi"/>
                <w:sz w:val="20"/>
                <w:szCs w:val="20"/>
              </w:rPr>
            </w:pPr>
            <w:r w:rsidRPr="00A725F0">
              <w:rPr>
                <w:rFonts w:cstheme="minorHAnsi"/>
                <w:sz w:val="20"/>
                <w:szCs w:val="20"/>
              </w:rPr>
              <w:t>67(5.7)</w:t>
            </w:r>
          </w:p>
        </w:tc>
      </w:tr>
      <w:tr w:rsidR="00E245F3" w:rsidRPr="0086519F" w14:paraId="6B5FFB2D" w14:textId="77777777" w:rsidTr="00533CDB">
        <w:tc>
          <w:tcPr>
            <w:tcW w:w="5529" w:type="dxa"/>
          </w:tcPr>
          <w:p w14:paraId="70BE2C24" w14:textId="77777777" w:rsidR="00E245F3" w:rsidRDefault="00E245F3" w:rsidP="00E245F3">
            <w:pPr>
              <w:rPr>
                <w:rFonts w:cstheme="minorHAnsi"/>
                <w:sz w:val="20"/>
                <w:szCs w:val="20"/>
              </w:rPr>
            </w:pPr>
            <w:r>
              <w:rPr>
                <w:rFonts w:cstheme="minorHAnsi"/>
                <w:sz w:val="20"/>
                <w:szCs w:val="20"/>
              </w:rPr>
              <w:t xml:space="preserve">  ≥</w:t>
            </w:r>
            <w:r w:rsidRPr="00C54D26">
              <w:rPr>
                <w:rFonts w:cstheme="minorHAnsi"/>
                <w:sz w:val="20"/>
                <w:szCs w:val="20"/>
              </w:rPr>
              <w:t xml:space="preserve">5 </w:t>
            </w:r>
          </w:p>
        </w:tc>
        <w:tc>
          <w:tcPr>
            <w:tcW w:w="4253" w:type="dxa"/>
            <w:tcBorders>
              <w:right w:val="single" w:sz="4" w:space="0" w:color="auto"/>
            </w:tcBorders>
            <w:vAlign w:val="center"/>
          </w:tcPr>
          <w:p w14:paraId="4AB06002" w14:textId="77777777" w:rsidR="00E245F3" w:rsidRPr="00A725F0" w:rsidRDefault="00E245F3" w:rsidP="00E245F3">
            <w:pPr>
              <w:jc w:val="center"/>
              <w:rPr>
                <w:rFonts w:cstheme="minorHAnsi"/>
                <w:sz w:val="20"/>
                <w:szCs w:val="20"/>
              </w:rPr>
            </w:pPr>
            <w:r w:rsidRPr="00A725F0">
              <w:rPr>
                <w:rFonts w:cstheme="minorHAnsi"/>
                <w:sz w:val="20"/>
                <w:szCs w:val="20"/>
              </w:rPr>
              <w:t>137(11.6)</w:t>
            </w:r>
          </w:p>
        </w:tc>
      </w:tr>
      <w:tr w:rsidR="00E245F3" w:rsidRPr="0086519F" w14:paraId="3467C55B" w14:textId="77777777" w:rsidTr="00533CDB">
        <w:tc>
          <w:tcPr>
            <w:tcW w:w="5529" w:type="dxa"/>
          </w:tcPr>
          <w:p w14:paraId="5C33CE01" w14:textId="77777777" w:rsidR="00E245F3" w:rsidRDefault="00E245F3" w:rsidP="00E245F3">
            <w:pPr>
              <w:rPr>
                <w:rFonts w:cstheme="minorHAnsi"/>
                <w:sz w:val="20"/>
                <w:szCs w:val="20"/>
              </w:rPr>
            </w:pPr>
            <w:r w:rsidRPr="00C54D26">
              <w:rPr>
                <w:rFonts w:cstheme="minorHAnsi"/>
                <w:sz w:val="20"/>
                <w:szCs w:val="20"/>
              </w:rPr>
              <w:t>Disease Duration years mean (SD)</w:t>
            </w:r>
          </w:p>
        </w:tc>
        <w:tc>
          <w:tcPr>
            <w:tcW w:w="4253" w:type="dxa"/>
            <w:tcBorders>
              <w:right w:val="single" w:sz="4" w:space="0" w:color="auto"/>
            </w:tcBorders>
            <w:vAlign w:val="center"/>
          </w:tcPr>
          <w:p w14:paraId="4A72E27D" w14:textId="77777777" w:rsidR="00E245F3" w:rsidRPr="00A725F0" w:rsidRDefault="00E245F3" w:rsidP="00E245F3">
            <w:pPr>
              <w:jc w:val="center"/>
              <w:rPr>
                <w:rFonts w:cstheme="minorHAnsi"/>
                <w:sz w:val="20"/>
                <w:szCs w:val="20"/>
              </w:rPr>
            </w:pPr>
            <w:r w:rsidRPr="00A725F0">
              <w:rPr>
                <w:rFonts w:cstheme="minorHAnsi"/>
                <w:sz w:val="20"/>
                <w:szCs w:val="20"/>
              </w:rPr>
              <w:t>11.91(12.13)</w:t>
            </w:r>
          </w:p>
        </w:tc>
      </w:tr>
      <w:tr w:rsidR="00E245F3" w:rsidRPr="0086519F" w14:paraId="1BCE13AB" w14:textId="77777777" w:rsidTr="00533CDB">
        <w:tc>
          <w:tcPr>
            <w:tcW w:w="5529" w:type="dxa"/>
          </w:tcPr>
          <w:p w14:paraId="0C0AF5C6" w14:textId="77777777" w:rsidR="00E245F3" w:rsidRDefault="00E245F3" w:rsidP="00E245F3">
            <w:pPr>
              <w:rPr>
                <w:rFonts w:cstheme="minorHAnsi"/>
                <w:sz w:val="20"/>
                <w:szCs w:val="20"/>
              </w:rPr>
            </w:pPr>
            <w:r w:rsidRPr="00C54D26">
              <w:rPr>
                <w:rFonts w:cstheme="minorHAnsi"/>
                <w:sz w:val="20"/>
                <w:szCs w:val="20"/>
              </w:rPr>
              <w:t>Occurrence of current flare</w:t>
            </w:r>
          </w:p>
        </w:tc>
        <w:tc>
          <w:tcPr>
            <w:tcW w:w="4253" w:type="dxa"/>
            <w:tcBorders>
              <w:right w:val="single" w:sz="4" w:space="0" w:color="auto"/>
            </w:tcBorders>
            <w:vAlign w:val="center"/>
          </w:tcPr>
          <w:p w14:paraId="1B836BDF" w14:textId="77777777" w:rsidR="00E245F3" w:rsidRPr="00A725F0" w:rsidRDefault="00E245F3" w:rsidP="00E245F3">
            <w:pPr>
              <w:jc w:val="center"/>
              <w:rPr>
                <w:rFonts w:cstheme="minorHAnsi"/>
                <w:sz w:val="20"/>
                <w:szCs w:val="20"/>
              </w:rPr>
            </w:pPr>
            <w:r w:rsidRPr="00A725F0">
              <w:rPr>
                <w:rFonts w:cstheme="minorHAnsi"/>
                <w:sz w:val="20"/>
                <w:szCs w:val="20"/>
              </w:rPr>
              <w:t>132(11.1)</w:t>
            </w:r>
          </w:p>
        </w:tc>
      </w:tr>
      <w:tr w:rsidR="00E245F3" w:rsidRPr="0086519F" w14:paraId="6980930F" w14:textId="77777777" w:rsidTr="00533CDB">
        <w:tc>
          <w:tcPr>
            <w:tcW w:w="5529" w:type="dxa"/>
          </w:tcPr>
          <w:p w14:paraId="4BD54FCD" w14:textId="77777777" w:rsidR="00E245F3" w:rsidRDefault="00E245F3" w:rsidP="00E245F3">
            <w:pPr>
              <w:rPr>
                <w:rFonts w:cstheme="minorHAnsi"/>
                <w:sz w:val="20"/>
                <w:szCs w:val="20"/>
              </w:rPr>
            </w:pPr>
            <w:r w:rsidRPr="00C54D26">
              <w:rPr>
                <w:rFonts w:cstheme="minorHAnsi"/>
                <w:sz w:val="20"/>
                <w:szCs w:val="20"/>
              </w:rPr>
              <w:t>Occurrence of oligo/ polyarticular flares</w:t>
            </w:r>
          </w:p>
        </w:tc>
        <w:tc>
          <w:tcPr>
            <w:tcW w:w="4253" w:type="dxa"/>
            <w:tcBorders>
              <w:right w:val="single" w:sz="4" w:space="0" w:color="auto"/>
            </w:tcBorders>
            <w:vAlign w:val="center"/>
          </w:tcPr>
          <w:p w14:paraId="51634CA7" w14:textId="77777777" w:rsidR="00E245F3" w:rsidRPr="00A725F0" w:rsidRDefault="00E245F3" w:rsidP="00E245F3">
            <w:pPr>
              <w:jc w:val="center"/>
              <w:rPr>
                <w:rFonts w:cstheme="minorHAnsi"/>
                <w:sz w:val="20"/>
                <w:szCs w:val="20"/>
              </w:rPr>
            </w:pPr>
            <w:r w:rsidRPr="00A725F0">
              <w:rPr>
                <w:rFonts w:cstheme="minorHAnsi"/>
                <w:sz w:val="20"/>
                <w:szCs w:val="20"/>
              </w:rPr>
              <w:t>436(36.8)</w:t>
            </w:r>
          </w:p>
        </w:tc>
      </w:tr>
      <w:tr w:rsidR="00E245F3" w:rsidRPr="0086519F" w14:paraId="5ED5872C" w14:textId="77777777" w:rsidTr="00533CDB">
        <w:tc>
          <w:tcPr>
            <w:tcW w:w="5529" w:type="dxa"/>
          </w:tcPr>
          <w:p w14:paraId="049691FA" w14:textId="77777777" w:rsidR="00E245F3" w:rsidRDefault="00E245F3" w:rsidP="00E245F3">
            <w:pPr>
              <w:rPr>
                <w:rFonts w:cstheme="minorHAnsi"/>
                <w:sz w:val="20"/>
                <w:szCs w:val="20"/>
              </w:rPr>
            </w:pPr>
            <w:r w:rsidRPr="00C54D26">
              <w:rPr>
                <w:rFonts w:cstheme="minorHAnsi"/>
                <w:sz w:val="20"/>
                <w:szCs w:val="20"/>
              </w:rPr>
              <w:t xml:space="preserve">Record of tophi </w:t>
            </w:r>
            <w:r w:rsidRPr="00C54D26">
              <w:rPr>
                <w:rFonts w:ascii="Wingdings 2" w:eastAsia="Wingdings 2" w:hAnsi="Wingdings 2" w:cstheme="minorHAnsi"/>
                <w:sz w:val="20"/>
                <w:szCs w:val="20"/>
                <w:vertAlign w:val="superscript"/>
              </w:rPr>
              <w:t></w:t>
            </w:r>
          </w:p>
        </w:tc>
        <w:tc>
          <w:tcPr>
            <w:tcW w:w="4253" w:type="dxa"/>
            <w:tcBorders>
              <w:right w:val="single" w:sz="4" w:space="0" w:color="auto"/>
            </w:tcBorders>
            <w:vAlign w:val="center"/>
          </w:tcPr>
          <w:p w14:paraId="1F6ACA09" w14:textId="77777777" w:rsidR="00E245F3" w:rsidRPr="00A725F0" w:rsidRDefault="00E245F3" w:rsidP="00E245F3">
            <w:pPr>
              <w:jc w:val="center"/>
              <w:rPr>
                <w:rFonts w:cstheme="minorHAnsi"/>
                <w:sz w:val="20"/>
                <w:szCs w:val="20"/>
              </w:rPr>
            </w:pPr>
            <w:r w:rsidRPr="00A725F0">
              <w:rPr>
                <w:rFonts w:cstheme="minorHAnsi"/>
                <w:sz w:val="20"/>
                <w:szCs w:val="20"/>
              </w:rPr>
              <w:t>25(2.1)</w:t>
            </w:r>
          </w:p>
        </w:tc>
      </w:tr>
      <w:tr w:rsidR="00E245F3" w:rsidRPr="0086519F" w14:paraId="5D78BF6E" w14:textId="77777777" w:rsidTr="00533CDB">
        <w:tc>
          <w:tcPr>
            <w:tcW w:w="5529" w:type="dxa"/>
          </w:tcPr>
          <w:p w14:paraId="40AF7CE6" w14:textId="77777777" w:rsidR="00E245F3" w:rsidRDefault="00E245F3" w:rsidP="00E245F3">
            <w:pPr>
              <w:rPr>
                <w:rFonts w:cstheme="minorHAnsi"/>
                <w:sz w:val="20"/>
                <w:szCs w:val="20"/>
              </w:rPr>
            </w:pPr>
            <w:r w:rsidRPr="00C54D26">
              <w:rPr>
                <w:rFonts w:cstheme="minorHAnsi"/>
                <w:sz w:val="20"/>
                <w:szCs w:val="20"/>
              </w:rPr>
              <w:t>Maximum serum urate level mean (SD)</w:t>
            </w:r>
            <w:r w:rsidRPr="00C54D26">
              <w:rPr>
                <w:rFonts w:cstheme="minorHAnsi"/>
                <w:bCs/>
                <w:sz w:val="20"/>
                <w:szCs w:val="20"/>
              </w:rPr>
              <w:t xml:space="preserve"> µmol/L</w:t>
            </w:r>
            <w:r w:rsidRPr="00C54D26">
              <w:rPr>
                <w:rFonts w:ascii="Wingdings 2" w:eastAsia="Wingdings 2" w:hAnsi="Wingdings 2" w:cstheme="minorHAnsi"/>
                <w:sz w:val="20"/>
                <w:szCs w:val="20"/>
                <w:vertAlign w:val="superscript"/>
              </w:rPr>
              <w:t></w:t>
            </w:r>
            <w:r w:rsidRPr="00C54D26">
              <w:rPr>
                <w:rFonts w:cstheme="minorHAnsi"/>
                <w:sz w:val="20"/>
                <w:szCs w:val="20"/>
              </w:rPr>
              <w:t>*</w:t>
            </w:r>
          </w:p>
        </w:tc>
        <w:tc>
          <w:tcPr>
            <w:tcW w:w="4253" w:type="dxa"/>
            <w:tcBorders>
              <w:right w:val="single" w:sz="4" w:space="0" w:color="auto"/>
            </w:tcBorders>
            <w:vAlign w:val="center"/>
          </w:tcPr>
          <w:p w14:paraId="27575C32" w14:textId="77777777" w:rsidR="00E245F3" w:rsidRPr="00A725F0" w:rsidRDefault="00E245F3" w:rsidP="00E245F3">
            <w:pPr>
              <w:jc w:val="center"/>
              <w:rPr>
                <w:rFonts w:cstheme="minorHAnsi"/>
                <w:sz w:val="20"/>
                <w:szCs w:val="20"/>
              </w:rPr>
            </w:pPr>
            <w:r w:rsidRPr="00A725F0">
              <w:rPr>
                <w:rFonts w:cstheme="minorHAnsi"/>
                <w:sz w:val="20"/>
                <w:szCs w:val="20"/>
              </w:rPr>
              <w:t>441.36(115.51)</w:t>
            </w:r>
          </w:p>
        </w:tc>
      </w:tr>
      <w:tr w:rsidR="00E245F3" w:rsidRPr="0086519F" w14:paraId="524DBB40" w14:textId="77777777" w:rsidTr="00533CDB">
        <w:tc>
          <w:tcPr>
            <w:tcW w:w="5529" w:type="dxa"/>
          </w:tcPr>
          <w:p w14:paraId="7C54D3EC" w14:textId="77777777" w:rsidR="00E245F3" w:rsidRDefault="00E245F3" w:rsidP="00E245F3">
            <w:pPr>
              <w:rPr>
                <w:rFonts w:cstheme="minorHAnsi"/>
                <w:sz w:val="20"/>
                <w:szCs w:val="20"/>
              </w:rPr>
            </w:pPr>
            <w:r>
              <w:rPr>
                <w:rFonts w:cstheme="minorHAnsi"/>
                <w:sz w:val="20"/>
                <w:szCs w:val="20"/>
              </w:rPr>
              <w:t>Using allopurinol</w:t>
            </w:r>
            <w:r w:rsidRPr="00C54D26">
              <w:rPr>
                <w:rFonts w:cstheme="minorHAnsi"/>
                <w:sz w:val="20"/>
                <w:szCs w:val="20"/>
              </w:rPr>
              <w:t xml:space="preserve"> </w:t>
            </w:r>
          </w:p>
        </w:tc>
        <w:tc>
          <w:tcPr>
            <w:tcW w:w="4253" w:type="dxa"/>
            <w:tcBorders>
              <w:right w:val="single" w:sz="4" w:space="0" w:color="auto"/>
            </w:tcBorders>
            <w:vAlign w:val="center"/>
          </w:tcPr>
          <w:p w14:paraId="5D52F354" w14:textId="77777777" w:rsidR="00E245F3" w:rsidRPr="00A725F0" w:rsidRDefault="00E245F3" w:rsidP="00E245F3">
            <w:pPr>
              <w:jc w:val="center"/>
              <w:rPr>
                <w:rFonts w:cstheme="minorHAnsi"/>
                <w:sz w:val="20"/>
                <w:szCs w:val="20"/>
              </w:rPr>
            </w:pPr>
            <w:r w:rsidRPr="00A725F0">
              <w:rPr>
                <w:rFonts w:cstheme="minorHAnsi"/>
                <w:sz w:val="20"/>
                <w:szCs w:val="20"/>
              </w:rPr>
              <w:t>630(53.2)</w:t>
            </w:r>
          </w:p>
        </w:tc>
      </w:tr>
      <w:tr w:rsidR="00E245F3" w:rsidRPr="0086519F" w14:paraId="4F6A34A3" w14:textId="77777777" w:rsidTr="00533CDB">
        <w:tc>
          <w:tcPr>
            <w:tcW w:w="9782" w:type="dxa"/>
            <w:gridSpan w:val="2"/>
            <w:tcBorders>
              <w:left w:val="single" w:sz="4" w:space="0" w:color="FFFFFF" w:themeColor="background1"/>
              <w:bottom w:val="single" w:sz="4" w:space="0" w:color="FFFFFF" w:themeColor="background1"/>
              <w:right w:val="single" w:sz="4" w:space="0" w:color="FFFFFF" w:themeColor="background1"/>
            </w:tcBorders>
          </w:tcPr>
          <w:p w14:paraId="0B156902" w14:textId="77777777" w:rsidR="00E245F3" w:rsidRPr="00FE2EB0" w:rsidRDefault="00E245F3" w:rsidP="00E245F3">
            <w:pPr>
              <w:rPr>
                <w:sz w:val="18"/>
                <w:szCs w:val="18"/>
              </w:rPr>
            </w:pPr>
            <w:r>
              <w:rPr>
                <w:sz w:val="18"/>
                <w:szCs w:val="18"/>
              </w:rPr>
              <w:t>Figures are numbers (percentages) unless otherwise stated</w:t>
            </w:r>
            <w:r>
              <w:rPr>
                <w:rFonts w:cstheme="minorHAnsi"/>
                <w:b/>
                <w:sz w:val="18"/>
                <w:szCs w:val="18"/>
              </w:rPr>
              <w:t>.</w:t>
            </w:r>
            <w:r w:rsidRPr="00A874C3">
              <w:rPr>
                <w:rFonts w:cstheme="minorHAnsi"/>
                <w:b/>
                <w:sz w:val="18"/>
                <w:szCs w:val="18"/>
              </w:rPr>
              <w:t xml:space="preserve">† </w:t>
            </w:r>
            <w:r w:rsidRPr="00A874C3">
              <w:rPr>
                <w:rFonts w:cstheme="minorHAnsi"/>
                <w:bCs/>
                <w:sz w:val="18"/>
                <w:szCs w:val="18"/>
              </w:rPr>
              <w:t>calculated using tertiles of indices of multiple deprivation (IMD)</w:t>
            </w:r>
            <w:r>
              <w:rPr>
                <w:rFonts w:cstheme="minorHAnsi"/>
                <w:bCs/>
                <w:sz w:val="18"/>
                <w:szCs w:val="18"/>
              </w:rPr>
              <w:t xml:space="preserve">. </w:t>
            </w:r>
            <w:r>
              <w:rPr>
                <w:b/>
                <w:bCs/>
                <w:sz w:val="18"/>
                <w:szCs w:val="18"/>
              </w:rPr>
              <w:t>*</w:t>
            </w:r>
            <w:r w:rsidRPr="00A874C3">
              <w:rPr>
                <w:b/>
                <w:bCs/>
                <w:sz w:val="18"/>
                <w:szCs w:val="18"/>
              </w:rPr>
              <w:t>total number of comorbidities</w:t>
            </w:r>
            <w:r w:rsidRPr="00A874C3">
              <w:rPr>
                <w:sz w:val="18"/>
                <w:szCs w:val="18"/>
              </w:rPr>
              <w:t xml:space="preserve"> self-reported in baseline questionnaire (diabetes, hypertension, hyperlipidaemia, myocardial infarction, angina, cerebrovascular accident, transient ischaemic attack, renal failure, renal calculi)</w:t>
            </w:r>
            <w:r>
              <w:rPr>
                <w:sz w:val="18"/>
                <w:szCs w:val="18"/>
              </w:rPr>
              <w:t>.</w:t>
            </w:r>
            <w:r w:rsidRPr="00A874C3">
              <w:rPr>
                <w:b/>
                <w:sz w:val="18"/>
                <w:szCs w:val="18"/>
              </w:rPr>
              <w:t xml:space="preserve"> eGFR &lt;60 </w:t>
            </w:r>
            <w:r w:rsidRPr="00A874C3">
              <w:rPr>
                <w:sz w:val="18"/>
                <w:szCs w:val="18"/>
              </w:rPr>
              <w:t>mL/min/1.73m</w:t>
            </w:r>
            <w:r w:rsidRPr="00A874C3">
              <w:rPr>
                <w:sz w:val="18"/>
                <w:szCs w:val="18"/>
                <w:vertAlign w:val="superscript"/>
              </w:rPr>
              <w:t xml:space="preserve">2 </w:t>
            </w:r>
            <w:r w:rsidRPr="00A874C3">
              <w:rPr>
                <w:sz w:val="18"/>
                <w:szCs w:val="18"/>
              </w:rPr>
              <w:t>indicative of chronic kidney disease</w:t>
            </w:r>
            <w:r>
              <w:rPr>
                <w:sz w:val="18"/>
                <w:szCs w:val="18"/>
              </w:rPr>
              <w:t xml:space="preserve">. </w:t>
            </w:r>
            <w:r w:rsidRPr="00A874C3">
              <w:rPr>
                <w:b/>
                <w:sz w:val="18"/>
                <w:szCs w:val="18"/>
              </w:rPr>
              <w:t xml:space="preserve"> PHQ-9 score </w:t>
            </w:r>
            <w:r w:rsidRPr="00A874C3">
              <w:rPr>
                <w:sz w:val="18"/>
                <w:szCs w:val="18"/>
              </w:rPr>
              <w:t>ranges from 0 to 27  Minimal depression 0-4, Mild 5-9, Moderate 10-14, Moderately Severe 15-19, Severe 20</w:t>
            </w:r>
            <w:r>
              <w:rPr>
                <w:sz w:val="18"/>
                <w:szCs w:val="18"/>
              </w:rPr>
              <w:t>-27</w:t>
            </w:r>
            <w:r w:rsidRPr="00A874C3">
              <w:rPr>
                <w:sz w:val="18"/>
                <w:szCs w:val="18"/>
              </w:rPr>
              <w:t xml:space="preserve">; </w:t>
            </w:r>
            <w:r w:rsidRPr="00A874C3">
              <w:rPr>
                <w:b/>
                <w:sz w:val="18"/>
                <w:szCs w:val="18"/>
              </w:rPr>
              <w:t xml:space="preserve">GAD-7 score </w:t>
            </w:r>
            <w:r w:rsidRPr="00A874C3">
              <w:rPr>
                <w:sz w:val="18"/>
                <w:szCs w:val="18"/>
              </w:rPr>
              <w:t>ranges from 0 to 21 Minimal anxiety</w:t>
            </w:r>
            <w:r>
              <w:rPr>
                <w:sz w:val="18"/>
                <w:szCs w:val="18"/>
              </w:rPr>
              <w:t xml:space="preserve"> </w:t>
            </w:r>
            <w:r w:rsidRPr="00A874C3">
              <w:rPr>
                <w:sz w:val="18"/>
                <w:szCs w:val="18"/>
              </w:rPr>
              <w:t xml:space="preserve">0-4, Mild 5-9, Moderate 10-14, Severe 15-21; </w:t>
            </w:r>
            <w:r w:rsidRPr="00A874C3">
              <w:rPr>
                <w:b/>
                <w:sz w:val="18"/>
                <w:szCs w:val="18"/>
              </w:rPr>
              <w:t>Body pain</w:t>
            </w:r>
            <w:r w:rsidRPr="00A874C3">
              <w:rPr>
                <w:sz w:val="18"/>
                <w:szCs w:val="18"/>
              </w:rPr>
              <w:t xml:space="preserve"> (including ache or discomfort or stiffness) for one day or longer in the 4 weeks prior to baseline</w:t>
            </w:r>
            <w:r w:rsidRPr="00A874C3">
              <w:rPr>
                <w:b/>
                <w:sz w:val="18"/>
                <w:szCs w:val="18"/>
              </w:rPr>
              <w:t>; NRS pain</w:t>
            </w:r>
            <w:r w:rsidRPr="00A874C3">
              <w:rPr>
                <w:sz w:val="18"/>
                <w:szCs w:val="18"/>
              </w:rPr>
              <w:t xml:space="preserve"> </w:t>
            </w:r>
            <w:r w:rsidRPr="00A874C3">
              <w:rPr>
                <w:b/>
                <w:sz w:val="18"/>
                <w:szCs w:val="18"/>
              </w:rPr>
              <w:t xml:space="preserve">in last week </w:t>
            </w:r>
            <w:r w:rsidRPr="00A874C3">
              <w:rPr>
                <w:sz w:val="18"/>
                <w:szCs w:val="18"/>
              </w:rPr>
              <w:t>ranges from 0 (no pain ) to 10 (pain as bad as it can be</w:t>
            </w:r>
            <w:r>
              <w:rPr>
                <w:sz w:val="18"/>
                <w:szCs w:val="18"/>
              </w:rPr>
              <w:t>).</w:t>
            </w:r>
            <w:r w:rsidRPr="00A52B31">
              <w:rPr>
                <w:rFonts w:ascii="Wingdings 2" w:eastAsia="Wingdings 2" w:hAnsi="Wingdings 2" w:cs="Wingdings 2"/>
                <w:b/>
                <w:sz w:val="18"/>
                <w:szCs w:val="18"/>
                <w:vertAlign w:val="superscript"/>
              </w:rPr>
              <w:t></w:t>
            </w:r>
            <w:r w:rsidRPr="00A52B31">
              <w:rPr>
                <w:b/>
                <w:sz w:val="18"/>
                <w:szCs w:val="18"/>
              </w:rPr>
              <w:t>In medical record</w:t>
            </w:r>
            <w:r w:rsidRPr="00A52B31">
              <w:rPr>
                <w:sz w:val="18"/>
                <w:szCs w:val="18"/>
              </w:rPr>
              <w:t xml:space="preserve"> in the </w:t>
            </w:r>
            <w:r>
              <w:rPr>
                <w:sz w:val="18"/>
                <w:szCs w:val="18"/>
              </w:rPr>
              <w:t>2 years pre-</w:t>
            </w:r>
            <w:r w:rsidRPr="00A52B31">
              <w:rPr>
                <w:sz w:val="18"/>
                <w:szCs w:val="18"/>
              </w:rPr>
              <w:t>baseline; *</w:t>
            </w:r>
            <w:r w:rsidRPr="00A52B31">
              <w:rPr>
                <w:b/>
                <w:sz w:val="18"/>
                <w:szCs w:val="18"/>
              </w:rPr>
              <w:t>highest serum urate</w:t>
            </w:r>
            <w:r>
              <w:rPr>
                <w:sz w:val="18"/>
                <w:szCs w:val="18"/>
              </w:rPr>
              <w:t xml:space="preserve"> recorded in the 2 years pre-baseline.</w:t>
            </w:r>
          </w:p>
        </w:tc>
      </w:tr>
    </w:tbl>
    <w:p w14:paraId="6523CB9F" w14:textId="05F87E34" w:rsidR="005505C8" w:rsidRDefault="005505C8">
      <w:pPr>
        <w:spacing w:line="480" w:lineRule="auto"/>
        <w:jc w:val="both"/>
        <w:rPr>
          <w:sz w:val="24"/>
          <w:szCs w:val="24"/>
        </w:rPr>
        <w:sectPr w:rsidR="005505C8" w:rsidSect="00533CDB">
          <w:footerReference w:type="default" r:id="rId11"/>
          <w:type w:val="continuous"/>
          <w:pgSz w:w="11906" w:h="16838"/>
          <w:pgMar w:top="1134" w:right="1440" w:bottom="1134" w:left="1440" w:header="709" w:footer="709" w:gutter="0"/>
          <w:cols w:space="708"/>
          <w:docGrid w:linePitch="360"/>
        </w:sectPr>
      </w:pPr>
    </w:p>
    <w:tbl>
      <w:tblPr>
        <w:tblStyle w:val="TableGrid"/>
        <w:tblpPr w:leftFromText="180" w:rightFromText="180" w:vertAnchor="page" w:horzAnchor="margin" w:tblpX="-431" w:tblpY="1261"/>
        <w:tblW w:w="14737" w:type="dxa"/>
        <w:tblLayout w:type="fixed"/>
        <w:tblCellMar>
          <w:left w:w="0" w:type="dxa"/>
          <w:right w:w="0" w:type="dxa"/>
        </w:tblCellMar>
        <w:tblLook w:val="04A0" w:firstRow="1" w:lastRow="0" w:firstColumn="1" w:lastColumn="0" w:noHBand="0" w:noVBand="1"/>
      </w:tblPr>
      <w:tblGrid>
        <w:gridCol w:w="1783"/>
        <w:gridCol w:w="1956"/>
        <w:gridCol w:w="1700"/>
        <w:gridCol w:w="1859"/>
        <w:gridCol w:w="1860"/>
        <w:gridCol w:w="1859"/>
        <w:gridCol w:w="1878"/>
        <w:gridCol w:w="1842"/>
      </w:tblGrid>
      <w:tr w:rsidR="00B74470" w:rsidRPr="0072438F" w14:paraId="69E6233E" w14:textId="77777777" w:rsidTr="005470FE">
        <w:tc>
          <w:tcPr>
            <w:tcW w:w="14737" w:type="dxa"/>
            <w:gridSpan w:val="8"/>
            <w:tcBorders>
              <w:top w:val="single" w:sz="4" w:space="0" w:color="FFFFFF" w:themeColor="background1"/>
              <w:left w:val="single" w:sz="4" w:space="0" w:color="FFFFFF" w:themeColor="background1"/>
              <w:right w:val="single" w:sz="4" w:space="0" w:color="FFFFFF" w:themeColor="background1"/>
            </w:tcBorders>
            <w:vAlign w:val="center"/>
          </w:tcPr>
          <w:p w14:paraId="6A2A0A9D" w14:textId="08B50C36" w:rsidR="00B74470" w:rsidRDefault="00B74470" w:rsidP="00B74470">
            <w:bookmarkStart w:id="4" w:name="_Ref22118543"/>
            <w:bookmarkStart w:id="5" w:name="_Toc22130449"/>
            <w:bookmarkStart w:id="6" w:name="_Toc23263488"/>
            <w:bookmarkStart w:id="7" w:name="_Hlk8994398"/>
            <w:r w:rsidRPr="00533CDB">
              <w:rPr>
                <w:b/>
              </w:rPr>
              <w:lastRenderedPageBreak/>
              <w:t xml:space="preserve">Table </w:t>
            </w:r>
            <w:bookmarkEnd w:id="4"/>
            <w:r w:rsidR="00544F92" w:rsidRPr="00533CDB">
              <w:rPr>
                <w:b/>
                <w:noProof/>
              </w:rPr>
              <w:t>2</w:t>
            </w:r>
            <w:r w:rsidRPr="00ED7402">
              <w:t xml:space="preserve"> </w:t>
            </w:r>
            <w:bookmarkEnd w:id="5"/>
            <w:bookmarkEnd w:id="6"/>
            <w:r>
              <w:t>Gout-specific and comorbid factors associated with change in gout impact scales over three years</w:t>
            </w:r>
          </w:p>
        </w:tc>
      </w:tr>
      <w:tr w:rsidR="00E223A0" w:rsidRPr="0072438F" w14:paraId="50B0C456" w14:textId="77777777" w:rsidTr="005470FE">
        <w:tc>
          <w:tcPr>
            <w:tcW w:w="1783" w:type="dxa"/>
          </w:tcPr>
          <w:p w14:paraId="3CE2E52E" w14:textId="77777777" w:rsidR="00B74470" w:rsidRPr="00403F21" w:rsidRDefault="00B74470" w:rsidP="00B74470">
            <w:pPr>
              <w:rPr>
                <w:sz w:val="20"/>
                <w:szCs w:val="20"/>
              </w:rPr>
            </w:pPr>
          </w:p>
        </w:tc>
        <w:tc>
          <w:tcPr>
            <w:tcW w:w="1956" w:type="dxa"/>
            <w:vAlign w:val="center"/>
          </w:tcPr>
          <w:p w14:paraId="677EDF83" w14:textId="77777777" w:rsidR="00B74470" w:rsidRPr="00403F21" w:rsidRDefault="00B74470" w:rsidP="00B74470">
            <w:pPr>
              <w:jc w:val="center"/>
              <w:rPr>
                <w:b/>
                <w:sz w:val="20"/>
                <w:szCs w:val="20"/>
              </w:rPr>
            </w:pPr>
            <w:r w:rsidRPr="00403F21">
              <w:rPr>
                <w:b/>
                <w:sz w:val="20"/>
                <w:szCs w:val="20"/>
              </w:rPr>
              <w:t>GIS CO</w:t>
            </w:r>
          </w:p>
          <w:p w14:paraId="0951A193" w14:textId="77777777" w:rsidR="00B74470" w:rsidRPr="00403F21" w:rsidRDefault="00B74470" w:rsidP="00B74470">
            <w:pPr>
              <w:jc w:val="center"/>
              <w:rPr>
                <w:sz w:val="20"/>
                <w:szCs w:val="20"/>
              </w:rPr>
            </w:pPr>
            <w:r w:rsidRPr="00403F21">
              <w:rPr>
                <w:sz w:val="20"/>
                <w:szCs w:val="20"/>
              </w:rPr>
              <w:t>n=595</w:t>
            </w:r>
          </w:p>
          <w:p w14:paraId="1BB036FB" w14:textId="77777777" w:rsidR="00B74470" w:rsidRPr="00403F21" w:rsidRDefault="00B74470" w:rsidP="00B74470">
            <w:pPr>
              <w:jc w:val="center"/>
              <w:rPr>
                <w:b/>
                <w:sz w:val="20"/>
                <w:szCs w:val="20"/>
              </w:rPr>
            </w:pPr>
            <w:r w:rsidRPr="00403F21">
              <w:rPr>
                <w:sz w:val="20"/>
                <w:szCs w:val="20"/>
              </w:rPr>
              <w:t>(β (95% CI))</w:t>
            </w:r>
          </w:p>
        </w:tc>
        <w:tc>
          <w:tcPr>
            <w:tcW w:w="1700" w:type="dxa"/>
            <w:vAlign w:val="center"/>
          </w:tcPr>
          <w:p w14:paraId="523A05F6" w14:textId="77777777" w:rsidR="00B74470" w:rsidRPr="00403F21" w:rsidRDefault="00B74470" w:rsidP="00B74470">
            <w:pPr>
              <w:jc w:val="center"/>
              <w:rPr>
                <w:b/>
                <w:sz w:val="20"/>
                <w:szCs w:val="20"/>
              </w:rPr>
            </w:pPr>
            <w:r w:rsidRPr="00403F21">
              <w:rPr>
                <w:b/>
                <w:sz w:val="20"/>
                <w:szCs w:val="20"/>
              </w:rPr>
              <w:t>GIS MSE</w:t>
            </w:r>
          </w:p>
          <w:p w14:paraId="170392D9" w14:textId="77777777" w:rsidR="00B74470" w:rsidRPr="00403F21" w:rsidRDefault="00B74470" w:rsidP="00B74470">
            <w:pPr>
              <w:jc w:val="center"/>
              <w:rPr>
                <w:sz w:val="20"/>
                <w:szCs w:val="20"/>
              </w:rPr>
            </w:pPr>
            <w:r w:rsidRPr="00403F21">
              <w:rPr>
                <w:sz w:val="20"/>
                <w:szCs w:val="20"/>
              </w:rPr>
              <w:t>n=595</w:t>
            </w:r>
          </w:p>
          <w:p w14:paraId="7F25588F" w14:textId="77777777" w:rsidR="00B74470" w:rsidRPr="00403F21" w:rsidRDefault="00B74470" w:rsidP="00B74470">
            <w:pPr>
              <w:jc w:val="center"/>
              <w:rPr>
                <w:b/>
                <w:sz w:val="20"/>
                <w:szCs w:val="20"/>
              </w:rPr>
            </w:pPr>
            <w:r w:rsidRPr="00403F21">
              <w:rPr>
                <w:sz w:val="20"/>
                <w:szCs w:val="20"/>
              </w:rPr>
              <w:t>(</w:t>
            </w:r>
            <w:bookmarkStart w:id="8" w:name="_Hlk24357465"/>
            <w:r w:rsidRPr="00403F21">
              <w:rPr>
                <w:sz w:val="20"/>
                <w:szCs w:val="20"/>
              </w:rPr>
              <w:t xml:space="preserve">β </w:t>
            </w:r>
            <w:bookmarkEnd w:id="8"/>
            <w:r w:rsidRPr="00403F21">
              <w:rPr>
                <w:sz w:val="20"/>
                <w:szCs w:val="20"/>
              </w:rPr>
              <w:t>(95% CI))</w:t>
            </w:r>
          </w:p>
        </w:tc>
        <w:tc>
          <w:tcPr>
            <w:tcW w:w="1859" w:type="dxa"/>
            <w:vAlign w:val="center"/>
          </w:tcPr>
          <w:p w14:paraId="56C35BF6" w14:textId="77777777" w:rsidR="00B74470" w:rsidRPr="00403F21" w:rsidRDefault="00B74470" w:rsidP="00B74470">
            <w:pPr>
              <w:jc w:val="center"/>
              <w:rPr>
                <w:b/>
                <w:sz w:val="20"/>
                <w:szCs w:val="20"/>
              </w:rPr>
            </w:pPr>
            <w:r w:rsidRPr="00403F21">
              <w:rPr>
                <w:b/>
                <w:sz w:val="20"/>
                <w:szCs w:val="20"/>
              </w:rPr>
              <w:t>GIS UTN</w:t>
            </w:r>
          </w:p>
          <w:p w14:paraId="1FABC981" w14:textId="77777777" w:rsidR="00B74470" w:rsidRPr="00403F21" w:rsidRDefault="00B74470" w:rsidP="00B74470">
            <w:pPr>
              <w:jc w:val="center"/>
              <w:rPr>
                <w:sz w:val="20"/>
                <w:szCs w:val="20"/>
              </w:rPr>
            </w:pPr>
            <w:r w:rsidRPr="00403F21">
              <w:rPr>
                <w:sz w:val="20"/>
                <w:szCs w:val="20"/>
              </w:rPr>
              <w:t>n=591</w:t>
            </w:r>
          </w:p>
          <w:p w14:paraId="1C5E2B3D" w14:textId="77777777" w:rsidR="00B74470" w:rsidRPr="00403F21" w:rsidRDefault="00B74470" w:rsidP="00B74470">
            <w:pPr>
              <w:jc w:val="center"/>
              <w:rPr>
                <w:b/>
                <w:sz w:val="20"/>
                <w:szCs w:val="20"/>
              </w:rPr>
            </w:pPr>
            <w:r w:rsidRPr="00403F21">
              <w:rPr>
                <w:sz w:val="20"/>
                <w:szCs w:val="20"/>
              </w:rPr>
              <w:t>(β (95% CI))</w:t>
            </w:r>
          </w:p>
        </w:tc>
        <w:tc>
          <w:tcPr>
            <w:tcW w:w="1860" w:type="dxa"/>
            <w:vAlign w:val="center"/>
          </w:tcPr>
          <w:p w14:paraId="63AD80AD" w14:textId="77777777" w:rsidR="00B74470" w:rsidRPr="00403F21" w:rsidRDefault="00B74470" w:rsidP="00B74470">
            <w:pPr>
              <w:jc w:val="center"/>
              <w:rPr>
                <w:b/>
                <w:sz w:val="20"/>
                <w:szCs w:val="20"/>
              </w:rPr>
            </w:pPr>
            <w:r w:rsidRPr="00403F21">
              <w:rPr>
                <w:b/>
                <w:sz w:val="20"/>
                <w:szCs w:val="20"/>
              </w:rPr>
              <w:t>GIS WBDA</w:t>
            </w:r>
          </w:p>
          <w:p w14:paraId="122E4B8F" w14:textId="77777777" w:rsidR="00B74470" w:rsidRPr="00403F21" w:rsidRDefault="00B74470" w:rsidP="00B74470">
            <w:pPr>
              <w:jc w:val="center"/>
              <w:rPr>
                <w:sz w:val="20"/>
                <w:szCs w:val="20"/>
              </w:rPr>
            </w:pPr>
            <w:r w:rsidRPr="00403F21">
              <w:rPr>
                <w:sz w:val="20"/>
                <w:szCs w:val="20"/>
              </w:rPr>
              <w:t>n=593</w:t>
            </w:r>
          </w:p>
          <w:p w14:paraId="15157735" w14:textId="77777777" w:rsidR="00B74470" w:rsidRPr="00403F21" w:rsidRDefault="00B74470" w:rsidP="00B74470">
            <w:pPr>
              <w:jc w:val="center"/>
              <w:rPr>
                <w:b/>
                <w:sz w:val="20"/>
                <w:szCs w:val="20"/>
              </w:rPr>
            </w:pPr>
            <w:r w:rsidRPr="00403F21">
              <w:rPr>
                <w:sz w:val="20"/>
                <w:szCs w:val="20"/>
              </w:rPr>
              <w:t>(β (95% CI))</w:t>
            </w:r>
          </w:p>
        </w:tc>
        <w:tc>
          <w:tcPr>
            <w:tcW w:w="1859" w:type="dxa"/>
            <w:vAlign w:val="center"/>
          </w:tcPr>
          <w:p w14:paraId="738ADFF4" w14:textId="77777777" w:rsidR="00B74470" w:rsidRPr="00403F21" w:rsidRDefault="00B74470" w:rsidP="00B74470">
            <w:pPr>
              <w:jc w:val="center"/>
              <w:rPr>
                <w:b/>
                <w:sz w:val="20"/>
                <w:szCs w:val="20"/>
              </w:rPr>
            </w:pPr>
            <w:r w:rsidRPr="00403F21">
              <w:rPr>
                <w:b/>
                <w:sz w:val="20"/>
                <w:szCs w:val="20"/>
              </w:rPr>
              <w:t>GIS CDA</w:t>
            </w:r>
          </w:p>
          <w:p w14:paraId="31BE7A38" w14:textId="77777777" w:rsidR="00B74470" w:rsidRPr="00403F21" w:rsidRDefault="00B74470" w:rsidP="00B74470">
            <w:pPr>
              <w:jc w:val="center"/>
              <w:rPr>
                <w:sz w:val="20"/>
                <w:szCs w:val="20"/>
              </w:rPr>
            </w:pPr>
            <w:r w:rsidRPr="00403F21">
              <w:rPr>
                <w:sz w:val="20"/>
                <w:szCs w:val="20"/>
              </w:rPr>
              <w:t>n=595</w:t>
            </w:r>
          </w:p>
          <w:p w14:paraId="73638371" w14:textId="77777777" w:rsidR="00B74470" w:rsidRPr="00403F21" w:rsidRDefault="00B74470" w:rsidP="00B74470">
            <w:pPr>
              <w:jc w:val="center"/>
              <w:rPr>
                <w:b/>
                <w:sz w:val="20"/>
                <w:szCs w:val="20"/>
              </w:rPr>
            </w:pPr>
            <w:r w:rsidRPr="00403F21">
              <w:rPr>
                <w:sz w:val="20"/>
                <w:szCs w:val="20"/>
              </w:rPr>
              <w:t>(β (95% CI))</w:t>
            </w:r>
          </w:p>
        </w:tc>
        <w:tc>
          <w:tcPr>
            <w:tcW w:w="1878" w:type="dxa"/>
            <w:vAlign w:val="center"/>
          </w:tcPr>
          <w:p w14:paraId="4BB682BB" w14:textId="77777777" w:rsidR="00B74470" w:rsidRPr="00175A67" w:rsidRDefault="00B74470" w:rsidP="00B74470">
            <w:pPr>
              <w:jc w:val="center"/>
              <w:rPr>
                <w:b/>
                <w:sz w:val="20"/>
                <w:szCs w:val="20"/>
              </w:rPr>
            </w:pPr>
            <w:r w:rsidRPr="00175A67">
              <w:rPr>
                <w:b/>
                <w:sz w:val="20"/>
                <w:szCs w:val="20"/>
              </w:rPr>
              <w:t>SF-36 PF10</w:t>
            </w:r>
          </w:p>
          <w:p w14:paraId="33C2235D" w14:textId="77777777" w:rsidR="00B74470" w:rsidRPr="00175A67" w:rsidRDefault="00B74470" w:rsidP="00B74470">
            <w:pPr>
              <w:jc w:val="center"/>
              <w:rPr>
                <w:sz w:val="20"/>
                <w:szCs w:val="20"/>
              </w:rPr>
            </w:pPr>
            <w:r w:rsidRPr="00175A67">
              <w:rPr>
                <w:sz w:val="20"/>
                <w:szCs w:val="20"/>
              </w:rPr>
              <w:t>n=554</w:t>
            </w:r>
          </w:p>
          <w:p w14:paraId="39D3820C" w14:textId="77777777" w:rsidR="00B74470" w:rsidRPr="00403F21" w:rsidRDefault="00B74470" w:rsidP="00B74470">
            <w:pPr>
              <w:jc w:val="center"/>
              <w:rPr>
                <w:b/>
                <w:sz w:val="20"/>
                <w:szCs w:val="20"/>
              </w:rPr>
            </w:pPr>
            <w:r w:rsidRPr="00175A67">
              <w:rPr>
                <w:sz w:val="20"/>
                <w:szCs w:val="20"/>
              </w:rPr>
              <w:t xml:space="preserve"> (β (95% CI))</w:t>
            </w:r>
          </w:p>
        </w:tc>
        <w:tc>
          <w:tcPr>
            <w:tcW w:w="1842" w:type="dxa"/>
            <w:vAlign w:val="center"/>
          </w:tcPr>
          <w:p w14:paraId="0230E958" w14:textId="77777777" w:rsidR="00B74470" w:rsidRPr="00175A67" w:rsidRDefault="00B74470" w:rsidP="00B74470">
            <w:pPr>
              <w:jc w:val="center"/>
              <w:rPr>
                <w:b/>
                <w:sz w:val="20"/>
                <w:szCs w:val="20"/>
              </w:rPr>
            </w:pPr>
            <w:r w:rsidRPr="00175A67">
              <w:rPr>
                <w:b/>
                <w:sz w:val="20"/>
                <w:szCs w:val="20"/>
              </w:rPr>
              <w:t>HAQ-DI</w:t>
            </w:r>
          </w:p>
          <w:p w14:paraId="2974866C" w14:textId="77777777" w:rsidR="00B74470" w:rsidRPr="00175A67" w:rsidRDefault="00B74470" w:rsidP="00B74470">
            <w:pPr>
              <w:jc w:val="center"/>
              <w:rPr>
                <w:sz w:val="20"/>
                <w:szCs w:val="20"/>
              </w:rPr>
            </w:pPr>
            <w:r w:rsidRPr="00175A67">
              <w:rPr>
                <w:sz w:val="20"/>
                <w:szCs w:val="20"/>
              </w:rPr>
              <w:t>n= 594</w:t>
            </w:r>
          </w:p>
          <w:p w14:paraId="7655B294" w14:textId="77777777" w:rsidR="00B74470" w:rsidRPr="00403F21" w:rsidRDefault="00B74470" w:rsidP="00B74470">
            <w:pPr>
              <w:jc w:val="center"/>
              <w:rPr>
                <w:b/>
                <w:sz w:val="20"/>
                <w:szCs w:val="20"/>
              </w:rPr>
            </w:pPr>
            <w:r w:rsidRPr="00175A67">
              <w:rPr>
                <w:sz w:val="20"/>
                <w:szCs w:val="20"/>
              </w:rPr>
              <w:t>(β (95% CI))</w:t>
            </w:r>
          </w:p>
        </w:tc>
      </w:tr>
      <w:tr w:rsidR="00E223A0" w:rsidRPr="0072438F" w14:paraId="73C4AA02" w14:textId="77777777" w:rsidTr="005470FE">
        <w:tc>
          <w:tcPr>
            <w:tcW w:w="1783" w:type="dxa"/>
            <w:vAlign w:val="center"/>
          </w:tcPr>
          <w:p w14:paraId="2868F8BA" w14:textId="77777777" w:rsidR="00B74470" w:rsidRPr="00403F21" w:rsidRDefault="00B74470" w:rsidP="00B74470">
            <w:pPr>
              <w:rPr>
                <w:sz w:val="20"/>
                <w:szCs w:val="20"/>
              </w:rPr>
            </w:pPr>
            <w:r w:rsidRPr="00403F21">
              <w:rPr>
                <w:sz w:val="20"/>
                <w:szCs w:val="20"/>
              </w:rPr>
              <w:t>Intercept</w:t>
            </w:r>
          </w:p>
        </w:tc>
        <w:tc>
          <w:tcPr>
            <w:tcW w:w="1956" w:type="dxa"/>
            <w:vAlign w:val="center"/>
          </w:tcPr>
          <w:p w14:paraId="5E1AB71C" w14:textId="3C3CA809" w:rsidR="00B74470" w:rsidRPr="00403F21" w:rsidRDefault="00B74470" w:rsidP="00B74470">
            <w:pPr>
              <w:jc w:val="center"/>
              <w:rPr>
                <w:b/>
                <w:sz w:val="20"/>
                <w:szCs w:val="20"/>
              </w:rPr>
            </w:pPr>
            <w:r w:rsidRPr="00403F21">
              <w:rPr>
                <w:b/>
                <w:sz w:val="20"/>
                <w:szCs w:val="20"/>
              </w:rPr>
              <w:t>68.</w:t>
            </w:r>
            <w:r>
              <w:rPr>
                <w:b/>
                <w:sz w:val="20"/>
                <w:szCs w:val="20"/>
              </w:rPr>
              <w:t>26(53.92, 82.60</w:t>
            </w:r>
            <w:r w:rsidRPr="00403F21">
              <w:rPr>
                <w:b/>
                <w:sz w:val="20"/>
                <w:szCs w:val="20"/>
              </w:rPr>
              <w:t>)</w:t>
            </w:r>
          </w:p>
        </w:tc>
        <w:tc>
          <w:tcPr>
            <w:tcW w:w="1700" w:type="dxa"/>
            <w:vAlign w:val="center"/>
          </w:tcPr>
          <w:p w14:paraId="41EF8836" w14:textId="77777777" w:rsidR="00B74470" w:rsidRPr="00403F21" w:rsidRDefault="00B74470" w:rsidP="00B74470">
            <w:pPr>
              <w:jc w:val="center"/>
              <w:rPr>
                <w:b/>
                <w:sz w:val="20"/>
                <w:szCs w:val="20"/>
              </w:rPr>
            </w:pPr>
            <w:r w:rsidRPr="00403F21">
              <w:rPr>
                <w:b/>
                <w:sz w:val="20"/>
                <w:szCs w:val="20"/>
              </w:rPr>
              <w:t>43.</w:t>
            </w:r>
            <w:r>
              <w:rPr>
                <w:b/>
                <w:sz w:val="20"/>
                <w:szCs w:val="20"/>
              </w:rPr>
              <w:t>24(27.84,56.64</w:t>
            </w:r>
            <w:r w:rsidRPr="00403F21">
              <w:rPr>
                <w:b/>
                <w:sz w:val="20"/>
                <w:szCs w:val="20"/>
              </w:rPr>
              <w:t>)</w:t>
            </w:r>
          </w:p>
        </w:tc>
        <w:tc>
          <w:tcPr>
            <w:tcW w:w="1859" w:type="dxa"/>
            <w:vAlign w:val="center"/>
          </w:tcPr>
          <w:p w14:paraId="1D494DB2" w14:textId="77685FDB" w:rsidR="00B74470" w:rsidRPr="00403F21" w:rsidRDefault="00B74470" w:rsidP="00B74470">
            <w:pPr>
              <w:jc w:val="center"/>
              <w:rPr>
                <w:b/>
                <w:sz w:val="20"/>
                <w:szCs w:val="20"/>
              </w:rPr>
            </w:pPr>
            <w:r w:rsidRPr="00403F21">
              <w:rPr>
                <w:b/>
                <w:sz w:val="20"/>
                <w:szCs w:val="20"/>
              </w:rPr>
              <w:t>3</w:t>
            </w:r>
            <w:r w:rsidR="000E30A4">
              <w:rPr>
                <w:b/>
                <w:sz w:val="20"/>
                <w:szCs w:val="20"/>
              </w:rPr>
              <w:t>4</w:t>
            </w:r>
            <w:r w:rsidRPr="00403F21">
              <w:rPr>
                <w:b/>
                <w:sz w:val="20"/>
                <w:szCs w:val="20"/>
              </w:rPr>
              <w:t>.</w:t>
            </w:r>
            <w:r w:rsidR="000E30A4">
              <w:rPr>
                <w:b/>
                <w:sz w:val="20"/>
                <w:szCs w:val="20"/>
              </w:rPr>
              <w:t>20</w:t>
            </w:r>
            <w:r>
              <w:rPr>
                <w:b/>
                <w:sz w:val="20"/>
                <w:szCs w:val="20"/>
              </w:rPr>
              <w:t>(2</w:t>
            </w:r>
            <w:r w:rsidR="000E30A4">
              <w:rPr>
                <w:b/>
                <w:sz w:val="20"/>
                <w:szCs w:val="20"/>
              </w:rPr>
              <w:t>3.85</w:t>
            </w:r>
            <w:r>
              <w:rPr>
                <w:b/>
                <w:sz w:val="20"/>
                <w:szCs w:val="20"/>
              </w:rPr>
              <w:t>,4</w:t>
            </w:r>
            <w:r w:rsidR="000E30A4">
              <w:rPr>
                <w:b/>
                <w:sz w:val="20"/>
                <w:szCs w:val="20"/>
              </w:rPr>
              <w:t>4</w:t>
            </w:r>
            <w:r>
              <w:rPr>
                <w:b/>
                <w:sz w:val="20"/>
                <w:szCs w:val="20"/>
              </w:rPr>
              <w:t>.</w:t>
            </w:r>
            <w:r w:rsidR="000E30A4">
              <w:rPr>
                <w:b/>
                <w:sz w:val="20"/>
                <w:szCs w:val="20"/>
              </w:rPr>
              <w:t>55</w:t>
            </w:r>
            <w:r w:rsidRPr="00403F21">
              <w:rPr>
                <w:b/>
                <w:sz w:val="20"/>
                <w:szCs w:val="20"/>
              </w:rPr>
              <w:t>)</w:t>
            </w:r>
          </w:p>
        </w:tc>
        <w:tc>
          <w:tcPr>
            <w:tcW w:w="1860" w:type="dxa"/>
            <w:vAlign w:val="center"/>
          </w:tcPr>
          <w:p w14:paraId="2036637B" w14:textId="77777777" w:rsidR="00B74470" w:rsidRPr="00403F21" w:rsidRDefault="00B74470" w:rsidP="00B74470">
            <w:pPr>
              <w:jc w:val="center"/>
              <w:rPr>
                <w:b/>
                <w:sz w:val="20"/>
                <w:szCs w:val="20"/>
              </w:rPr>
            </w:pPr>
            <w:r w:rsidRPr="00403F21">
              <w:rPr>
                <w:b/>
                <w:sz w:val="20"/>
                <w:szCs w:val="20"/>
              </w:rPr>
              <w:t>65.</w:t>
            </w:r>
            <w:r>
              <w:rPr>
                <w:b/>
                <w:sz w:val="20"/>
                <w:szCs w:val="20"/>
              </w:rPr>
              <w:t>91(51.09,</w:t>
            </w:r>
            <w:r w:rsidRPr="00403F21">
              <w:rPr>
                <w:b/>
                <w:sz w:val="20"/>
                <w:szCs w:val="20"/>
              </w:rPr>
              <w:t>80.</w:t>
            </w:r>
            <w:r>
              <w:rPr>
                <w:b/>
                <w:sz w:val="20"/>
                <w:szCs w:val="20"/>
              </w:rPr>
              <w:t>73</w:t>
            </w:r>
            <w:r w:rsidRPr="00403F21">
              <w:rPr>
                <w:b/>
                <w:sz w:val="20"/>
                <w:szCs w:val="20"/>
              </w:rPr>
              <w:t>)</w:t>
            </w:r>
          </w:p>
        </w:tc>
        <w:tc>
          <w:tcPr>
            <w:tcW w:w="1859" w:type="dxa"/>
            <w:vAlign w:val="center"/>
          </w:tcPr>
          <w:p w14:paraId="619339E7" w14:textId="77777777" w:rsidR="00B74470" w:rsidRPr="00403F21" w:rsidRDefault="00B74470" w:rsidP="00B74470">
            <w:pPr>
              <w:jc w:val="center"/>
              <w:rPr>
                <w:b/>
                <w:sz w:val="20"/>
                <w:szCs w:val="20"/>
              </w:rPr>
            </w:pPr>
            <w:r>
              <w:rPr>
                <w:b/>
                <w:sz w:val="20"/>
                <w:szCs w:val="20"/>
              </w:rPr>
              <w:t>40.15(26.69,53.60</w:t>
            </w:r>
            <w:r w:rsidRPr="00403F21">
              <w:rPr>
                <w:b/>
                <w:sz w:val="20"/>
                <w:szCs w:val="20"/>
              </w:rPr>
              <w:t>)</w:t>
            </w:r>
          </w:p>
        </w:tc>
        <w:tc>
          <w:tcPr>
            <w:tcW w:w="1878" w:type="dxa"/>
            <w:vAlign w:val="center"/>
          </w:tcPr>
          <w:p w14:paraId="6821330D" w14:textId="7A32404D" w:rsidR="00B74470" w:rsidRDefault="00B74470" w:rsidP="005470FE">
            <w:pPr>
              <w:rPr>
                <w:b/>
                <w:sz w:val="20"/>
                <w:szCs w:val="20"/>
              </w:rPr>
            </w:pPr>
            <w:r w:rsidRPr="005A58AE">
              <w:rPr>
                <w:b/>
                <w:sz w:val="20"/>
                <w:szCs w:val="20"/>
              </w:rPr>
              <w:t>128.</w:t>
            </w:r>
            <w:r>
              <w:rPr>
                <w:b/>
                <w:sz w:val="20"/>
                <w:szCs w:val="20"/>
              </w:rPr>
              <w:t>77</w:t>
            </w:r>
            <w:r w:rsidRPr="005A58AE">
              <w:rPr>
                <w:b/>
                <w:sz w:val="20"/>
                <w:szCs w:val="20"/>
              </w:rPr>
              <w:t>(112.</w:t>
            </w:r>
            <w:r>
              <w:rPr>
                <w:b/>
                <w:sz w:val="20"/>
                <w:szCs w:val="20"/>
              </w:rPr>
              <w:t>69</w:t>
            </w:r>
            <w:r w:rsidRPr="005A58AE">
              <w:rPr>
                <w:b/>
                <w:sz w:val="20"/>
                <w:szCs w:val="20"/>
              </w:rPr>
              <w:t>,144.</w:t>
            </w:r>
            <w:r>
              <w:rPr>
                <w:b/>
                <w:sz w:val="20"/>
                <w:szCs w:val="20"/>
              </w:rPr>
              <w:t>85</w:t>
            </w:r>
            <w:r w:rsidRPr="005A58AE">
              <w:rPr>
                <w:b/>
                <w:sz w:val="20"/>
                <w:szCs w:val="20"/>
              </w:rPr>
              <w:t>)</w:t>
            </w:r>
          </w:p>
        </w:tc>
        <w:tc>
          <w:tcPr>
            <w:tcW w:w="1842" w:type="dxa"/>
            <w:vAlign w:val="center"/>
          </w:tcPr>
          <w:p w14:paraId="5CB05549" w14:textId="77777777" w:rsidR="00B74470" w:rsidRDefault="00B74470" w:rsidP="00B74470">
            <w:pPr>
              <w:jc w:val="center"/>
              <w:rPr>
                <w:b/>
                <w:sz w:val="20"/>
                <w:szCs w:val="20"/>
              </w:rPr>
            </w:pPr>
            <w:r w:rsidRPr="004A4AE1">
              <w:rPr>
                <w:b/>
                <w:sz w:val="20"/>
                <w:szCs w:val="20"/>
              </w:rPr>
              <w:t>-0.84(-1.18, -0.45)</w:t>
            </w:r>
          </w:p>
        </w:tc>
      </w:tr>
      <w:tr w:rsidR="00E223A0" w:rsidRPr="0072438F" w14:paraId="5369FFC8" w14:textId="77777777" w:rsidTr="005470FE">
        <w:tc>
          <w:tcPr>
            <w:tcW w:w="1783" w:type="dxa"/>
            <w:vAlign w:val="center"/>
          </w:tcPr>
          <w:p w14:paraId="5ABAFC6C" w14:textId="77777777" w:rsidR="00B74470" w:rsidRPr="00403F21" w:rsidRDefault="00B74470" w:rsidP="00B74470">
            <w:pPr>
              <w:rPr>
                <w:sz w:val="20"/>
                <w:szCs w:val="20"/>
              </w:rPr>
            </w:pPr>
            <w:r w:rsidRPr="00403F21">
              <w:rPr>
                <w:sz w:val="20"/>
                <w:szCs w:val="20"/>
              </w:rPr>
              <w:t>Time</w:t>
            </w:r>
          </w:p>
        </w:tc>
        <w:tc>
          <w:tcPr>
            <w:tcW w:w="1956" w:type="dxa"/>
            <w:vAlign w:val="center"/>
          </w:tcPr>
          <w:p w14:paraId="52729213" w14:textId="77777777" w:rsidR="00B74470" w:rsidRPr="00403F21" w:rsidRDefault="00B74470" w:rsidP="00B74470">
            <w:pPr>
              <w:jc w:val="center"/>
              <w:rPr>
                <w:b/>
                <w:sz w:val="20"/>
                <w:szCs w:val="20"/>
              </w:rPr>
            </w:pPr>
            <w:r>
              <w:rPr>
                <w:b/>
                <w:sz w:val="20"/>
                <w:szCs w:val="20"/>
              </w:rPr>
              <w:t>-0.12(-0.18, -0.07</w:t>
            </w:r>
            <w:r w:rsidRPr="00403F21">
              <w:rPr>
                <w:b/>
                <w:sz w:val="20"/>
                <w:szCs w:val="20"/>
              </w:rPr>
              <w:t>)</w:t>
            </w:r>
          </w:p>
        </w:tc>
        <w:tc>
          <w:tcPr>
            <w:tcW w:w="1700" w:type="dxa"/>
            <w:vAlign w:val="center"/>
          </w:tcPr>
          <w:p w14:paraId="105AD0C0" w14:textId="48C23554" w:rsidR="00B74470" w:rsidRPr="001D3166" w:rsidRDefault="00B74470" w:rsidP="005470FE">
            <w:pPr>
              <w:jc w:val="center"/>
              <w:rPr>
                <w:sz w:val="20"/>
                <w:szCs w:val="20"/>
              </w:rPr>
            </w:pPr>
            <w:r w:rsidRPr="001D3166">
              <w:rPr>
                <w:sz w:val="20"/>
                <w:szCs w:val="20"/>
              </w:rPr>
              <w:t>-0.06</w:t>
            </w:r>
            <w:r>
              <w:rPr>
                <w:sz w:val="20"/>
                <w:szCs w:val="20"/>
              </w:rPr>
              <w:t>(-</w:t>
            </w:r>
            <w:r w:rsidR="00D63C39">
              <w:rPr>
                <w:sz w:val="20"/>
                <w:szCs w:val="20"/>
              </w:rPr>
              <w:t>0.11</w:t>
            </w:r>
            <w:r w:rsidRPr="001D3166">
              <w:rPr>
                <w:sz w:val="20"/>
                <w:szCs w:val="20"/>
              </w:rPr>
              <w:t>, 0.</w:t>
            </w:r>
            <w:r w:rsidR="00D63C39">
              <w:rPr>
                <w:sz w:val="20"/>
                <w:szCs w:val="20"/>
              </w:rPr>
              <w:t>00</w:t>
            </w:r>
            <w:r w:rsidRPr="001D3166">
              <w:rPr>
                <w:sz w:val="20"/>
                <w:szCs w:val="20"/>
              </w:rPr>
              <w:t>)</w:t>
            </w:r>
          </w:p>
        </w:tc>
        <w:tc>
          <w:tcPr>
            <w:tcW w:w="1859" w:type="dxa"/>
            <w:vAlign w:val="center"/>
          </w:tcPr>
          <w:p w14:paraId="0707142B" w14:textId="7624DD0B" w:rsidR="00B74470" w:rsidRPr="00E245F3" w:rsidRDefault="00B74470" w:rsidP="00B74470">
            <w:pPr>
              <w:jc w:val="center"/>
              <w:rPr>
                <w:sz w:val="20"/>
                <w:szCs w:val="20"/>
              </w:rPr>
            </w:pPr>
            <w:r w:rsidRPr="00533CDB">
              <w:rPr>
                <w:b/>
                <w:sz w:val="20"/>
                <w:szCs w:val="20"/>
              </w:rPr>
              <w:t>-0.6(-0.11, -0.02)</w:t>
            </w:r>
          </w:p>
        </w:tc>
        <w:tc>
          <w:tcPr>
            <w:tcW w:w="1860" w:type="dxa"/>
            <w:vAlign w:val="center"/>
          </w:tcPr>
          <w:p w14:paraId="359D74DD" w14:textId="77777777" w:rsidR="00B74470" w:rsidRPr="001D3166" w:rsidRDefault="00B74470" w:rsidP="00B74470">
            <w:pPr>
              <w:jc w:val="center"/>
              <w:rPr>
                <w:b/>
                <w:sz w:val="20"/>
                <w:szCs w:val="20"/>
              </w:rPr>
            </w:pPr>
            <w:r w:rsidRPr="001D3166">
              <w:rPr>
                <w:b/>
                <w:sz w:val="20"/>
                <w:szCs w:val="20"/>
              </w:rPr>
              <w:t>-0.20(-0.26, -0.14)</w:t>
            </w:r>
          </w:p>
        </w:tc>
        <w:tc>
          <w:tcPr>
            <w:tcW w:w="1859" w:type="dxa"/>
            <w:vAlign w:val="center"/>
          </w:tcPr>
          <w:p w14:paraId="74990172" w14:textId="5D84B0E7" w:rsidR="00B74470" w:rsidRPr="001D3166" w:rsidRDefault="00B74470" w:rsidP="00B74470">
            <w:pPr>
              <w:jc w:val="center"/>
              <w:rPr>
                <w:sz w:val="20"/>
                <w:szCs w:val="20"/>
              </w:rPr>
            </w:pPr>
            <w:r>
              <w:rPr>
                <w:sz w:val="20"/>
                <w:szCs w:val="20"/>
              </w:rPr>
              <w:t>-0.03(-0.</w:t>
            </w:r>
            <w:r w:rsidR="00941AA5">
              <w:rPr>
                <w:sz w:val="20"/>
                <w:szCs w:val="20"/>
              </w:rPr>
              <w:t>0</w:t>
            </w:r>
            <w:r>
              <w:rPr>
                <w:sz w:val="20"/>
                <w:szCs w:val="20"/>
              </w:rPr>
              <w:t>8</w:t>
            </w:r>
            <w:r w:rsidRPr="001D3166">
              <w:rPr>
                <w:sz w:val="20"/>
                <w:szCs w:val="20"/>
              </w:rPr>
              <w:t>, 0.0</w:t>
            </w:r>
            <w:r>
              <w:rPr>
                <w:sz w:val="20"/>
                <w:szCs w:val="20"/>
              </w:rPr>
              <w:t>3</w:t>
            </w:r>
            <w:r w:rsidRPr="001D3166">
              <w:rPr>
                <w:sz w:val="20"/>
                <w:szCs w:val="20"/>
              </w:rPr>
              <w:t>)</w:t>
            </w:r>
          </w:p>
        </w:tc>
        <w:tc>
          <w:tcPr>
            <w:tcW w:w="1878" w:type="dxa"/>
            <w:vAlign w:val="center"/>
          </w:tcPr>
          <w:p w14:paraId="2CD97757" w14:textId="328AE929" w:rsidR="00B74470" w:rsidRDefault="00B74470" w:rsidP="00B74470">
            <w:pPr>
              <w:jc w:val="center"/>
              <w:rPr>
                <w:sz w:val="20"/>
                <w:szCs w:val="20"/>
              </w:rPr>
            </w:pPr>
            <w:r>
              <w:rPr>
                <w:sz w:val="20"/>
                <w:szCs w:val="20"/>
              </w:rPr>
              <w:t>-0.04(-0.0</w:t>
            </w:r>
            <w:r w:rsidR="004F5A27">
              <w:rPr>
                <w:sz w:val="20"/>
                <w:szCs w:val="20"/>
              </w:rPr>
              <w:t>9</w:t>
            </w:r>
            <w:r>
              <w:rPr>
                <w:sz w:val="20"/>
                <w:szCs w:val="20"/>
              </w:rPr>
              <w:t>,</w:t>
            </w:r>
            <w:r w:rsidR="004F5A27">
              <w:rPr>
                <w:sz w:val="20"/>
                <w:szCs w:val="20"/>
              </w:rPr>
              <w:t xml:space="preserve"> 0.01</w:t>
            </w:r>
            <w:r w:rsidRPr="005A58AE">
              <w:rPr>
                <w:sz w:val="20"/>
                <w:szCs w:val="20"/>
              </w:rPr>
              <w:t>)</w:t>
            </w:r>
          </w:p>
        </w:tc>
        <w:tc>
          <w:tcPr>
            <w:tcW w:w="1842" w:type="dxa"/>
            <w:vAlign w:val="center"/>
          </w:tcPr>
          <w:p w14:paraId="2DC40113" w14:textId="77777777" w:rsidR="00B74470" w:rsidRDefault="00B74470" w:rsidP="00B74470">
            <w:pPr>
              <w:jc w:val="center"/>
              <w:rPr>
                <w:sz w:val="20"/>
                <w:szCs w:val="20"/>
              </w:rPr>
            </w:pPr>
            <w:r w:rsidRPr="00533CDB">
              <w:rPr>
                <w:b/>
                <w:sz w:val="20"/>
                <w:szCs w:val="20"/>
              </w:rPr>
              <w:t>-0.01(-0.01, -0.00)</w:t>
            </w:r>
          </w:p>
        </w:tc>
      </w:tr>
      <w:tr w:rsidR="00E223A0" w:rsidRPr="0072438F" w14:paraId="634B61EC" w14:textId="77777777" w:rsidTr="005470FE">
        <w:tc>
          <w:tcPr>
            <w:tcW w:w="1783" w:type="dxa"/>
            <w:vAlign w:val="center"/>
          </w:tcPr>
          <w:p w14:paraId="2486793E" w14:textId="77777777" w:rsidR="00B74470" w:rsidRPr="00B74470" w:rsidRDefault="00B74470" w:rsidP="00B74470">
            <w:pPr>
              <w:rPr>
                <w:b/>
                <w:sz w:val="20"/>
                <w:szCs w:val="20"/>
              </w:rPr>
            </w:pPr>
            <w:r w:rsidRPr="00B74470">
              <w:rPr>
                <w:b/>
                <w:sz w:val="20"/>
                <w:szCs w:val="20"/>
              </w:rPr>
              <w:t>Gout-specific</w:t>
            </w:r>
          </w:p>
        </w:tc>
        <w:tc>
          <w:tcPr>
            <w:tcW w:w="1956" w:type="dxa"/>
            <w:vAlign w:val="center"/>
          </w:tcPr>
          <w:p w14:paraId="55E61457" w14:textId="77777777" w:rsidR="00B74470" w:rsidRPr="00403F21" w:rsidRDefault="00B74470" w:rsidP="00B74470">
            <w:pPr>
              <w:jc w:val="center"/>
              <w:rPr>
                <w:sz w:val="20"/>
                <w:szCs w:val="20"/>
              </w:rPr>
            </w:pPr>
          </w:p>
        </w:tc>
        <w:tc>
          <w:tcPr>
            <w:tcW w:w="1700" w:type="dxa"/>
            <w:vAlign w:val="center"/>
          </w:tcPr>
          <w:p w14:paraId="76A73F1E" w14:textId="77777777" w:rsidR="00B74470" w:rsidRPr="001D3166" w:rsidRDefault="00B74470" w:rsidP="00B74470">
            <w:pPr>
              <w:jc w:val="center"/>
              <w:rPr>
                <w:sz w:val="20"/>
                <w:szCs w:val="20"/>
              </w:rPr>
            </w:pPr>
          </w:p>
        </w:tc>
        <w:tc>
          <w:tcPr>
            <w:tcW w:w="1859" w:type="dxa"/>
            <w:vAlign w:val="center"/>
          </w:tcPr>
          <w:p w14:paraId="092D6939" w14:textId="77777777" w:rsidR="00B74470" w:rsidRPr="001D3166" w:rsidRDefault="00B74470" w:rsidP="00B74470">
            <w:pPr>
              <w:jc w:val="center"/>
              <w:rPr>
                <w:sz w:val="20"/>
                <w:szCs w:val="20"/>
              </w:rPr>
            </w:pPr>
          </w:p>
        </w:tc>
        <w:tc>
          <w:tcPr>
            <w:tcW w:w="1860" w:type="dxa"/>
            <w:vAlign w:val="center"/>
          </w:tcPr>
          <w:p w14:paraId="2E2A64FC" w14:textId="77777777" w:rsidR="00B74470" w:rsidRPr="001D3166" w:rsidRDefault="00B74470" w:rsidP="00B74470">
            <w:pPr>
              <w:jc w:val="center"/>
              <w:rPr>
                <w:sz w:val="20"/>
                <w:szCs w:val="20"/>
              </w:rPr>
            </w:pPr>
          </w:p>
        </w:tc>
        <w:tc>
          <w:tcPr>
            <w:tcW w:w="1859" w:type="dxa"/>
            <w:vAlign w:val="center"/>
          </w:tcPr>
          <w:p w14:paraId="2B70D0A5" w14:textId="77777777" w:rsidR="00B74470" w:rsidRPr="001D3166" w:rsidRDefault="00B74470" w:rsidP="00B74470">
            <w:pPr>
              <w:jc w:val="center"/>
              <w:rPr>
                <w:sz w:val="20"/>
                <w:szCs w:val="20"/>
              </w:rPr>
            </w:pPr>
          </w:p>
        </w:tc>
        <w:tc>
          <w:tcPr>
            <w:tcW w:w="1878" w:type="dxa"/>
            <w:vAlign w:val="center"/>
          </w:tcPr>
          <w:p w14:paraId="22010D27" w14:textId="77777777" w:rsidR="00B74470" w:rsidRPr="001D3166" w:rsidRDefault="00B74470" w:rsidP="00B74470">
            <w:pPr>
              <w:jc w:val="center"/>
              <w:rPr>
                <w:sz w:val="20"/>
                <w:szCs w:val="20"/>
              </w:rPr>
            </w:pPr>
          </w:p>
        </w:tc>
        <w:tc>
          <w:tcPr>
            <w:tcW w:w="1842" w:type="dxa"/>
            <w:vAlign w:val="center"/>
          </w:tcPr>
          <w:p w14:paraId="1D626863" w14:textId="77777777" w:rsidR="00B74470" w:rsidRPr="001D3166" w:rsidRDefault="00B74470" w:rsidP="00B74470">
            <w:pPr>
              <w:jc w:val="center"/>
              <w:rPr>
                <w:sz w:val="20"/>
                <w:szCs w:val="20"/>
              </w:rPr>
            </w:pPr>
          </w:p>
        </w:tc>
      </w:tr>
      <w:tr w:rsidR="004F55E1" w:rsidRPr="0072438F" w14:paraId="70BEE970" w14:textId="77777777" w:rsidTr="005470FE">
        <w:tc>
          <w:tcPr>
            <w:tcW w:w="1783" w:type="dxa"/>
            <w:vAlign w:val="center"/>
          </w:tcPr>
          <w:p w14:paraId="5DF89145" w14:textId="77777777" w:rsidR="004F55E1" w:rsidRPr="00403F21" w:rsidRDefault="004F55E1" w:rsidP="004F55E1">
            <w:pPr>
              <w:rPr>
                <w:sz w:val="20"/>
                <w:szCs w:val="20"/>
              </w:rPr>
            </w:pPr>
            <w:r>
              <w:rPr>
                <w:sz w:val="20"/>
                <w:szCs w:val="20"/>
              </w:rPr>
              <w:t>0</w:t>
            </w:r>
            <w:r w:rsidRPr="00403F21">
              <w:rPr>
                <w:sz w:val="20"/>
                <w:szCs w:val="20"/>
              </w:rPr>
              <w:t xml:space="preserve"> gout flares</w:t>
            </w:r>
            <w:r w:rsidRPr="00403F21">
              <w:rPr>
                <w:rFonts w:ascii="Wingdings 2" w:eastAsia="Wingdings 2" w:hAnsi="Wingdings 2" w:cs="Wingdings 2"/>
                <w:sz w:val="20"/>
                <w:szCs w:val="20"/>
                <w:vertAlign w:val="superscript"/>
              </w:rPr>
              <w:t>□</w:t>
            </w:r>
            <w:r w:rsidRPr="00403F21">
              <w:rPr>
                <w:rFonts w:ascii="Wingdings 2" w:eastAsia="Wingdings 2" w:hAnsi="Wingdings 2" w:cs="Wingdings 2"/>
                <w:sz w:val="20"/>
                <w:szCs w:val="20"/>
                <w:vertAlign w:val="superscript"/>
              </w:rPr>
              <w:t></w:t>
            </w:r>
          </w:p>
        </w:tc>
        <w:tc>
          <w:tcPr>
            <w:tcW w:w="1956" w:type="dxa"/>
            <w:vAlign w:val="center"/>
          </w:tcPr>
          <w:p w14:paraId="23E9EB8B" w14:textId="77777777" w:rsidR="004F55E1" w:rsidRPr="00403F21" w:rsidRDefault="004F55E1" w:rsidP="004F55E1">
            <w:pPr>
              <w:jc w:val="center"/>
              <w:rPr>
                <w:sz w:val="20"/>
                <w:szCs w:val="20"/>
              </w:rPr>
            </w:pPr>
            <w:r w:rsidRPr="00403F21">
              <w:rPr>
                <w:sz w:val="20"/>
                <w:szCs w:val="20"/>
              </w:rPr>
              <w:t>reference</w:t>
            </w:r>
          </w:p>
        </w:tc>
        <w:tc>
          <w:tcPr>
            <w:tcW w:w="1700" w:type="dxa"/>
            <w:vAlign w:val="center"/>
          </w:tcPr>
          <w:p w14:paraId="5FFE076A" w14:textId="77777777" w:rsidR="004F55E1" w:rsidRPr="001D3166" w:rsidRDefault="004F55E1" w:rsidP="004F55E1">
            <w:pPr>
              <w:jc w:val="center"/>
              <w:rPr>
                <w:sz w:val="20"/>
                <w:szCs w:val="20"/>
              </w:rPr>
            </w:pPr>
            <w:r w:rsidRPr="001D3166">
              <w:rPr>
                <w:sz w:val="20"/>
                <w:szCs w:val="20"/>
              </w:rPr>
              <w:t>reference</w:t>
            </w:r>
          </w:p>
        </w:tc>
        <w:tc>
          <w:tcPr>
            <w:tcW w:w="1859" w:type="dxa"/>
            <w:vAlign w:val="center"/>
          </w:tcPr>
          <w:p w14:paraId="2F6F5822" w14:textId="77777777" w:rsidR="004F55E1" w:rsidRPr="001D3166" w:rsidRDefault="004F55E1" w:rsidP="004F55E1">
            <w:pPr>
              <w:jc w:val="center"/>
              <w:rPr>
                <w:sz w:val="20"/>
                <w:szCs w:val="20"/>
              </w:rPr>
            </w:pPr>
            <w:r w:rsidRPr="001D3166">
              <w:rPr>
                <w:sz w:val="20"/>
                <w:szCs w:val="20"/>
              </w:rPr>
              <w:t>reference</w:t>
            </w:r>
          </w:p>
        </w:tc>
        <w:tc>
          <w:tcPr>
            <w:tcW w:w="1860" w:type="dxa"/>
            <w:vAlign w:val="center"/>
          </w:tcPr>
          <w:p w14:paraId="5D94D609" w14:textId="77777777" w:rsidR="004F55E1" w:rsidRPr="001D3166" w:rsidRDefault="004F55E1" w:rsidP="004F55E1">
            <w:pPr>
              <w:jc w:val="center"/>
              <w:rPr>
                <w:sz w:val="20"/>
                <w:szCs w:val="20"/>
              </w:rPr>
            </w:pPr>
            <w:r w:rsidRPr="001D3166">
              <w:rPr>
                <w:sz w:val="20"/>
                <w:szCs w:val="20"/>
              </w:rPr>
              <w:t>reference</w:t>
            </w:r>
          </w:p>
        </w:tc>
        <w:tc>
          <w:tcPr>
            <w:tcW w:w="1859" w:type="dxa"/>
            <w:vAlign w:val="center"/>
          </w:tcPr>
          <w:p w14:paraId="31E3EE43" w14:textId="77777777" w:rsidR="004F55E1" w:rsidRPr="001D3166" w:rsidRDefault="004F55E1" w:rsidP="004F55E1">
            <w:pPr>
              <w:jc w:val="center"/>
              <w:rPr>
                <w:sz w:val="20"/>
                <w:szCs w:val="20"/>
              </w:rPr>
            </w:pPr>
            <w:r w:rsidRPr="001D3166">
              <w:rPr>
                <w:sz w:val="20"/>
                <w:szCs w:val="20"/>
              </w:rPr>
              <w:t>reference</w:t>
            </w:r>
          </w:p>
        </w:tc>
        <w:tc>
          <w:tcPr>
            <w:tcW w:w="1878" w:type="dxa"/>
            <w:vAlign w:val="center"/>
          </w:tcPr>
          <w:p w14:paraId="103855C3" w14:textId="7129B472" w:rsidR="004F55E1" w:rsidRPr="001D3166" w:rsidRDefault="004F55E1" w:rsidP="005470FE">
            <w:pPr>
              <w:jc w:val="center"/>
              <w:rPr>
                <w:sz w:val="20"/>
                <w:szCs w:val="20"/>
              </w:rPr>
            </w:pPr>
            <w:r w:rsidRPr="005A58AE">
              <w:rPr>
                <w:sz w:val="20"/>
                <w:szCs w:val="20"/>
              </w:rPr>
              <w:t>reference</w:t>
            </w:r>
          </w:p>
        </w:tc>
        <w:tc>
          <w:tcPr>
            <w:tcW w:w="1842" w:type="dxa"/>
            <w:vAlign w:val="center"/>
          </w:tcPr>
          <w:p w14:paraId="5C3ED003" w14:textId="532F5860" w:rsidR="004F55E1" w:rsidRPr="001D3166" w:rsidRDefault="004F55E1" w:rsidP="004F55E1">
            <w:pPr>
              <w:jc w:val="center"/>
              <w:rPr>
                <w:sz w:val="20"/>
                <w:szCs w:val="20"/>
              </w:rPr>
            </w:pPr>
            <w:r w:rsidRPr="004A4AE1">
              <w:rPr>
                <w:sz w:val="20"/>
                <w:szCs w:val="20"/>
              </w:rPr>
              <w:t>Reference</w:t>
            </w:r>
          </w:p>
        </w:tc>
      </w:tr>
      <w:tr w:rsidR="004F55E1" w:rsidRPr="0072438F" w14:paraId="6CA9AC34" w14:textId="77777777" w:rsidTr="005470FE">
        <w:tc>
          <w:tcPr>
            <w:tcW w:w="1783" w:type="dxa"/>
            <w:vAlign w:val="center"/>
          </w:tcPr>
          <w:p w14:paraId="670E7289" w14:textId="77777777" w:rsidR="004F55E1" w:rsidRPr="00403F21" w:rsidRDefault="004F55E1" w:rsidP="004F55E1">
            <w:pPr>
              <w:rPr>
                <w:sz w:val="20"/>
                <w:szCs w:val="20"/>
              </w:rPr>
            </w:pPr>
            <w:r w:rsidRPr="00403F21">
              <w:rPr>
                <w:sz w:val="20"/>
                <w:szCs w:val="20"/>
              </w:rPr>
              <w:t>1 gout flare</w:t>
            </w:r>
            <w:r w:rsidRPr="00403F21">
              <w:rPr>
                <w:rFonts w:ascii="Wingdings 2" w:eastAsia="Wingdings 2" w:hAnsi="Wingdings 2" w:cs="Wingdings 2"/>
                <w:sz w:val="20"/>
                <w:szCs w:val="20"/>
                <w:vertAlign w:val="superscript"/>
              </w:rPr>
              <w:t>□</w:t>
            </w:r>
            <w:r w:rsidRPr="00403F21">
              <w:rPr>
                <w:rFonts w:ascii="Wingdings 2" w:eastAsia="Wingdings 2" w:hAnsi="Wingdings 2" w:cs="Wingdings 2"/>
                <w:sz w:val="20"/>
                <w:szCs w:val="20"/>
                <w:vertAlign w:val="superscript"/>
              </w:rPr>
              <w:t></w:t>
            </w:r>
          </w:p>
        </w:tc>
        <w:tc>
          <w:tcPr>
            <w:tcW w:w="1956" w:type="dxa"/>
            <w:vAlign w:val="center"/>
          </w:tcPr>
          <w:p w14:paraId="304CCD8F" w14:textId="77777777" w:rsidR="004F55E1" w:rsidRPr="00403F21" w:rsidRDefault="004F55E1" w:rsidP="004F55E1">
            <w:pPr>
              <w:jc w:val="center"/>
              <w:rPr>
                <w:b/>
                <w:sz w:val="20"/>
                <w:szCs w:val="20"/>
              </w:rPr>
            </w:pPr>
            <w:r w:rsidRPr="008953EF">
              <w:rPr>
                <w:b/>
                <w:sz w:val="20"/>
                <w:szCs w:val="20"/>
              </w:rPr>
              <w:t>6.20</w:t>
            </w:r>
            <w:r>
              <w:rPr>
                <w:b/>
                <w:sz w:val="20"/>
                <w:szCs w:val="20"/>
              </w:rPr>
              <w:t>(3.95, 8.45</w:t>
            </w:r>
            <w:r w:rsidRPr="00403F21">
              <w:rPr>
                <w:b/>
                <w:sz w:val="20"/>
                <w:szCs w:val="20"/>
              </w:rPr>
              <w:t>)</w:t>
            </w:r>
          </w:p>
        </w:tc>
        <w:tc>
          <w:tcPr>
            <w:tcW w:w="1700" w:type="dxa"/>
            <w:vAlign w:val="center"/>
          </w:tcPr>
          <w:p w14:paraId="0D76ADFC" w14:textId="77777777" w:rsidR="004F55E1" w:rsidRPr="001D3166" w:rsidRDefault="004F55E1" w:rsidP="004F55E1">
            <w:pPr>
              <w:jc w:val="center"/>
              <w:rPr>
                <w:b/>
                <w:sz w:val="20"/>
                <w:szCs w:val="20"/>
              </w:rPr>
            </w:pPr>
            <w:r w:rsidRPr="001D3166">
              <w:rPr>
                <w:b/>
                <w:sz w:val="20"/>
                <w:szCs w:val="20"/>
              </w:rPr>
              <w:t>3.36(0.98, 5.74)</w:t>
            </w:r>
          </w:p>
        </w:tc>
        <w:tc>
          <w:tcPr>
            <w:tcW w:w="1859" w:type="dxa"/>
            <w:vAlign w:val="center"/>
          </w:tcPr>
          <w:p w14:paraId="1CFD5785" w14:textId="77777777" w:rsidR="004F55E1" w:rsidRPr="001D3166" w:rsidRDefault="004F55E1" w:rsidP="004F55E1">
            <w:pPr>
              <w:jc w:val="center"/>
              <w:rPr>
                <w:b/>
                <w:sz w:val="20"/>
                <w:szCs w:val="20"/>
              </w:rPr>
            </w:pPr>
            <w:r>
              <w:rPr>
                <w:b/>
                <w:sz w:val="20"/>
                <w:szCs w:val="20"/>
              </w:rPr>
              <w:t>4.45(2.35</w:t>
            </w:r>
            <w:r w:rsidRPr="001D3166">
              <w:rPr>
                <w:b/>
                <w:sz w:val="20"/>
                <w:szCs w:val="20"/>
              </w:rPr>
              <w:t>, 6.</w:t>
            </w:r>
            <w:r>
              <w:rPr>
                <w:b/>
                <w:sz w:val="20"/>
                <w:szCs w:val="20"/>
              </w:rPr>
              <w:t>54</w:t>
            </w:r>
            <w:r w:rsidRPr="001D3166">
              <w:rPr>
                <w:b/>
                <w:sz w:val="20"/>
                <w:szCs w:val="20"/>
              </w:rPr>
              <w:t>)</w:t>
            </w:r>
          </w:p>
        </w:tc>
        <w:tc>
          <w:tcPr>
            <w:tcW w:w="1860" w:type="dxa"/>
            <w:vAlign w:val="center"/>
          </w:tcPr>
          <w:p w14:paraId="3E133AEB" w14:textId="77777777" w:rsidR="004F55E1" w:rsidRPr="001D3166" w:rsidRDefault="004F55E1" w:rsidP="004F55E1">
            <w:pPr>
              <w:jc w:val="center"/>
              <w:rPr>
                <w:sz w:val="20"/>
                <w:szCs w:val="20"/>
              </w:rPr>
            </w:pPr>
            <w:r w:rsidRPr="001D3166">
              <w:rPr>
                <w:sz w:val="20"/>
                <w:szCs w:val="20"/>
              </w:rPr>
              <w:t>-1.73(-3.74, 0.29)</w:t>
            </w:r>
          </w:p>
        </w:tc>
        <w:tc>
          <w:tcPr>
            <w:tcW w:w="1859" w:type="dxa"/>
            <w:vAlign w:val="center"/>
          </w:tcPr>
          <w:p w14:paraId="02C82CA8" w14:textId="57E768D0" w:rsidR="004F55E1" w:rsidRPr="001D3166" w:rsidRDefault="004F55E1" w:rsidP="004F55E1">
            <w:pPr>
              <w:jc w:val="center"/>
              <w:rPr>
                <w:b/>
                <w:sz w:val="20"/>
                <w:szCs w:val="20"/>
              </w:rPr>
            </w:pPr>
            <w:r>
              <w:rPr>
                <w:b/>
                <w:sz w:val="20"/>
                <w:szCs w:val="20"/>
              </w:rPr>
              <w:t>2.52(0.48, 4.56</w:t>
            </w:r>
            <w:r w:rsidRPr="001D3166">
              <w:rPr>
                <w:b/>
                <w:sz w:val="20"/>
                <w:szCs w:val="20"/>
              </w:rPr>
              <w:t>)</w:t>
            </w:r>
          </w:p>
        </w:tc>
        <w:tc>
          <w:tcPr>
            <w:tcW w:w="1878" w:type="dxa"/>
            <w:vAlign w:val="center"/>
          </w:tcPr>
          <w:p w14:paraId="5465CFFE" w14:textId="63ACC934" w:rsidR="004F55E1" w:rsidRDefault="004F55E1" w:rsidP="004F55E1">
            <w:pPr>
              <w:jc w:val="center"/>
              <w:rPr>
                <w:b/>
                <w:sz w:val="20"/>
                <w:szCs w:val="20"/>
              </w:rPr>
            </w:pPr>
            <w:r>
              <w:rPr>
                <w:sz w:val="20"/>
                <w:szCs w:val="20"/>
              </w:rPr>
              <w:t>-1.07</w:t>
            </w:r>
            <w:r w:rsidRPr="005A58AE">
              <w:rPr>
                <w:sz w:val="20"/>
                <w:szCs w:val="20"/>
              </w:rPr>
              <w:t xml:space="preserve"> (-</w:t>
            </w:r>
            <w:r>
              <w:rPr>
                <w:sz w:val="20"/>
                <w:szCs w:val="20"/>
              </w:rPr>
              <w:t>3.25</w:t>
            </w:r>
            <w:r w:rsidRPr="005A58AE">
              <w:rPr>
                <w:sz w:val="20"/>
                <w:szCs w:val="20"/>
              </w:rPr>
              <w:t>,</w:t>
            </w:r>
            <w:r>
              <w:rPr>
                <w:sz w:val="20"/>
                <w:szCs w:val="20"/>
              </w:rPr>
              <w:t xml:space="preserve"> 1.10</w:t>
            </w:r>
            <w:r w:rsidRPr="005A58AE">
              <w:rPr>
                <w:sz w:val="20"/>
                <w:szCs w:val="20"/>
              </w:rPr>
              <w:t>)</w:t>
            </w:r>
          </w:p>
        </w:tc>
        <w:tc>
          <w:tcPr>
            <w:tcW w:w="1842" w:type="dxa"/>
            <w:vAlign w:val="center"/>
          </w:tcPr>
          <w:p w14:paraId="60E92E7F" w14:textId="76AFC154" w:rsidR="004F55E1" w:rsidRDefault="004F55E1" w:rsidP="004F55E1">
            <w:pPr>
              <w:jc w:val="center"/>
              <w:rPr>
                <w:b/>
                <w:sz w:val="20"/>
                <w:szCs w:val="20"/>
              </w:rPr>
            </w:pPr>
            <w:r>
              <w:rPr>
                <w:sz w:val="20"/>
                <w:szCs w:val="20"/>
              </w:rPr>
              <w:t>-0.00(-0.04, 0.04</w:t>
            </w:r>
            <w:r w:rsidRPr="004A4AE1">
              <w:rPr>
                <w:sz w:val="20"/>
                <w:szCs w:val="20"/>
              </w:rPr>
              <w:t>)</w:t>
            </w:r>
          </w:p>
        </w:tc>
      </w:tr>
      <w:tr w:rsidR="004F55E1" w:rsidRPr="0072438F" w14:paraId="05A48812" w14:textId="77777777" w:rsidTr="005470FE">
        <w:tc>
          <w:tcPr>
            <w:tcW w:w="1783" w:type="dxa"/>
            <w:vAlign w:val="center"/>
          </w:tcPr>
          <w:p w14:paraId="44404093" w14:textId="77777777" w:rsidR="004F55E1" w:rsidRPr="00403F21" w:rsidRDefault="004F55E1" w:rsidP="004F55E1">
            <w:pPr>
              <w:rPr>
                <w:sz w:val="20"/>
                <w:szCs w:val="20"/>
              </w:rPr>
            </w:pPr>
            <w:r w:rsidRPr="00403F21">
              <w:rPr>
                <w:sz w:val="20"/>
                <w:szCs w:val="20"/>
              </w:rPr>
              <w:t>2 gout flares</w:t>
            </w:r>
            <w:r w:rsidRPr="00403F21">
              <w:rPr>
                <w:rFonts w:ascii="Wingdings 2" w:eastAsia="Wingdings 2" w:hAnsi="Wingdings 2" w:cs="Wingdings 2"/>
                <w:sz w:val="20"/>
                <w:szCs w:val="20"/>
                <w:vertAlign w:val="superscript"/>
              </w:rPr>
              <w:t>□</w:t>
            </w:r>
            <w:r w:rsidRPr="00403F21">
              <w:rPr>
                <w:rFonts w:ascii="Wingdings 2" w:eastAsia="Wingdings 2" w:hAnsi="Wingdings 2" w:cs="Wingdings 2"/>
                <w:sz w:val="20"/>
                <w:szCs w:val="20"/>
                <w:vertAlign w:val="superscript"/>
              </w:rPr>
              <w:t></w:t>
            </w:r>
          </w:p>
        </w:tc>
        <w:tc>
          <w:tcPr>
            <w:tcW w:w="1956" w:type="dxa"/>
            <w:vAlign w:val="center"/>
          </w:tcPr>
          <w:p w14:paraId="6FFA20A4" w14:textId="77777777" w:rsidR="004F55E1" w:rsidRPr="00403F21" w:rsidRDefault="004F55E1" w:rsidP="004F55E1">
            <w:pPr>
              <w:jc w:val="center"/>
              <w:rPr>
                <w:b/>
                <w:sz w:val="20"/>
                <w:szCs w:val="20"/>
              </w:rPr>
            </w:pPr>
            <w:r>
              <w:rPr>
                <w:b/>
                <w:sz w:val="20"/>
                <w:szCs w:val="20"/>
              </w:rPr>
              <w:t>11.72(8.97, 14.47</w:t>
            </w:r>
            <w:r w:rsidRPr="00403F21">
              <w:rPr>
                <w:b/>
                <w:sz w:val="20"/>
                <w:szCs w:val="20"/>
              </w:rPr>
              <w:t>)</w:t>
            </w:r>
          </w:p>
        </w:tc>
        <w:tc>
          <w:tcPr>
            <w:tcW w:w="1700" w:type="dxa"/>
            <w:vAlign w:val="center"/>
          </w:tcPr>
          <w:p w14:paraId="69C31A3A" w14:textId="4F98B3DE" w:rsidR="004F55E1" w:rsidRPr="001D3166" w:rsidRDefault="004F55E1" w:rsidP="004F55E1">
            <w:pPr>
              <w:jc w:val="center"/>
              <w:rPr>
                <w:sz w:val="20"/>
                <w:szCs w:val="20"/>
              </w:rPr>
            </w:pPr>
            <w:r w:rsidRPr="001D3166">
              <w:rPr>
                <w:b/>
                <w:sz w:val="20"/>
                <w:szCs w:val="20"/>
              </w:rPr>
              <w:t>4.9</w:t>
            </w:r>
            <w:r>
              <w:rPr>
                <w:b/>
                <w:sz w:val="20"/>
                <w:szCs w:val="20"/>
              </w:rPr>
              <w:t>4</w:t>
            </w:r>
            <w:r w:rsidRPr="001D3166">
              <w:rPr>
                <w:b/>
                <w:sz w:val="20"/>
                <w:szCs w:val="20"/>
              </w:rPr>
              <w:t>(2.01, 7.86)</w:t>
            </w:r>
          </w:p>
        </w:tc>
        <w:tc>
          <w:tcPr>
            <w:tcW w:w="1859" w:type="dxa"/>
            <w:vAlign w:val="center"/>
          </w:tcPr>
          <w:p w14:paraId="7CD21D93" w14:textId="77777777" w:rsidR="004F55E1" w:rsidRPr="001D3166" w:rsidRDefault="004F55E1" w:rsidP="004F55E1">
            <w:pPr>
              <w:jc w:val="center"/>
              <w:rPr>
                <w:b/>
                <w:sz w:val="20"/>
                <w:szCs w:val="20"/>
              </w:rPr>
            </w:pPr>
            <w:r>
              <w:rPr>
                <w:b/>
                <w:sz w:val="20"/>
                <w:szCs w:val="20"/>
              </w:rPr>
              <w:t>7.87(5.35, 10.39</w:t>
            </w:r>
            <w:r w:rsidRPr="001D3166">
              <w:rPr>
                <w:b/>
                <w:sz w:val="20"/>
                <w:szCs w:val="20"/>
              </w:rPr>
              <w:t>)</w:t>
            </w:r>
          </w:p>
        </w:tc>
        <w:tc>
          <w:tcPr>
            <w:tcW w:w="1860" w:type="dxa"/>
            <w:vAlign w:val="center"/>
          </w:tcPr>
          <w:p w14:paraId="23C58FEF" w14:textId="77777777" w:rsidR="004F55E1" w:rsidRPr="001D3166" w:rsidRDefault="004F55E1" w:rsidP="004F55E1">
            <w:pPr>
              <w:jc w:val="center"/>
              <w:rPr>
                <w:sz w:val="20"/>
                <w:szCs w:val="20"/>
              </w:rPr>
            </w:pPr>
            <w:r w:rsidRPr="001D3166">
              <w:rPr>
                <w:sz w:val="20"/>
                <w:szCs w:val="20"/>
              </w:rPr>
              <w:t>-1.51(-3.98, 0.96)</w:t>
            </w:r>
          </w:p>
        </w:tc>
        <w:tc>
          <w:tcPr>
            <w:tcW w:w="1859" w:type="dxa"/>
            <w:vAlign w:val="center"/>
          </w:tcPr>
          <w:p w14:paraId="6D2F7D4B" w14:textId="77777777" w:rsidR="004F55E1" w:rsidRPr="001D3166" w:rsidRDefault="004F55E1" w:rsidP="004F55E1">
            <w:pPr>
              <w:jc w:val="center"/>
              <w:rPr>
                <w:b/>
                <w:sz w:val="20"/>
                <w:szCs w:val="20"/>
              </w:rPr>
            </w:pPr>
            <w:r w:rsidRPr="001D3166">
              <w:rPr>
                <w:b/>
                <w:sz w:val="20"/>
                <w:szCs w:val="20"/>
              </w:rPr>
              <w:t>4</w:t>
            </w:r>
            <w:r>
              <w:rPr>
                <w:b/>
                <w:sz w:val="20"/>
                <w:szCs w:val="20"/>
              </w:rPr>
              <w:t>.64(2.14, 7.13</w:t>
            </w:r>
            <w:r w:rsidRPr="001D3166">
              <w:rPr>
                <w:b/>
                <w:sz w:val="20"/>
                <w:szCs w:val="20"/>
              </w:rPr>
              <w:t>)</w:t>
            </w:r>
          </w:p>
        </w:tc>
        <w:tc>
          <w:tcPr>
            <w:tcW w:w="1878" w:type="dxa"/>
            <w:vAlign w:val="center"/>
          </w:tcPr>
          <w:p w14:paraId="51E68C4C" w14:textId="40E9D86E" w:rsidR="004F55E1" w:rsidRPr="001D3166" w:rsidRDefault="004F55E1" w:rsidP="004F55E1">
            <w:pPr>
              <w:jc w:val="center"/>
              <w:rPr>
                <w:b/>
                <w:sz w:val="20"/>
                <w:szCs w:val="20"/>
              </w:rPr>
            </w:pPr>
            <w:r w:rsidRPr="004A6DF1">
              <w:rPr>
                <w:b/>
                <w:sz w:val="20"/>
                <w:szCs w:val="20"/>
              </w:rPr>
              <w:t>-4.10(-6.39, -1.80)</w:t>
            </w:r>
          </w:p>
        </w:tc>
        <w:tc>
          <w:tcPr>
            <w:tcW w:w="1842" w:type="dxa"/>
            <w:vAlign w:val="center"/>
          </w:tcPr>
          <w:p w14:paraId="14A128BD" w14:textId="137883AA" w:rsidR="004F55E1" w:rsidRPr="001D3166" w:rsidRDefault="004F55E1" w:rsidP="004F55E1">
            <w:pPr>
              <w:jc w:val="center"/>
              <w:rPr>
                <w:b/>
                <w:sz w:val="20"/>
                <w:szCs w:val="20"/>
              </w:rPr>
            </w:pPr>
            <w:r w:rsidRPr="004A4AE1">
              <w:rPr>
                <w:sz w:val="20"/>
                <w:szCs w:val="20"/>
              </w:rPr>
              <w:t>0.02(-0.03, 0.07)</w:t>
            </w:r>
          </w:p>
        </w:tc>
      </w:tr>
      <w:tr w:rsidR="004F55E1" w:rsidRPr="0072438F" w14:paraId="4F5E2176" w14:textId="77777777" w:rsidTr="005470FE">
        <w:tc>
          <w:tcPr>
            <w:tcW w:w="1783" w:type="dxa"/>
            <w:vAlign w:val="center"/>
          </w:tcPr>
          <w:p w14:paraId="1404D0DD" w14:textId="77777777" w:rsidR="004F55E1" w:rsidRPr="00403F21" w:rsidRDefault="004F55E1" w:rsidP="004F55E1">
            <w:pPr>
              <w:rPr>
                <w:sz w:val="20"/>
                <w:szCs w:val="20"/>
              </w:rPr>
            </w:pPr>
            <w:r w:rsidRPr="00403F21">
              <w:rPr>
                <w:sz w:val="20"/>
                <w:szCs w:val="20"/>
              </w:rPr>
              <w:t>3 gout flares</w:t>
            </w:r>
            <w:r w:rsidRPr="00403F21">
              <w:rPr>
                <w:rFonts w:ascii="Wingdings 2" w:eastAsia="Wingdings 2" w:hAnsi="Wingdings 2" w:cs="Wingdings 2"/>
                <w:sz w:val="20"/>
                <w:szCs w:val="20"/>
                <w:vertAlign w:val="superscript"/>
              </w:rPr>
              <w:t>□</w:t>
            </w:r>
            <w:r w:rsidRPr="00403F21">
              <w:rPr>
                <w:rFonts w:ascii="Wingdings 2" w:eastAsia="Wingdings 2" w:hAnsi="Wingdings 2" w:cs="Wingdings 2"/>
                <w:sz w:val="20"/>
                <w:szCs w:val="20"/>
                <w:vertAlign w:val="superscript"/>
              </w:rPr>
              <w:t></w:t>
            </w:r>
          </w:p>
        </w:tc>
        <w:tc>
          <w:tcPr>
            <w:tcW w:w="1956" w:type="dxa"/>
            <w:vAlign w:val="center"/>
          </w:tcPr>
          <w:p w14:paraId="17CD7C37" w14:textId="77777777" w:rsidR="004F55E1" w:rsidRPr="00403F21" w:rsidRDefault="004F55E1" w:rsidP="004F55E1">
            <w:pPr>
              <w:jc w:val="center"/>
              <w:rPr>
                <w:b/>
                <w:sz w:val="20"/>
                <w:szCs w:val="20"/>
              </w:rPr>
            </w:pPr>
            <w:r w:rsidRPr="002F0ABD">
              <w:rPr>
                <w:b/>
                <w:sz w:val="20"/>
                <w:szCs w:val="20"/>
              </w:rPr>
              <w:t>12.03</w:t>
            </w:r>
            <w:r>
              <w:rPr>
                <w:b/>
                <w:sz w:val="20"/>
                <w:szCs w:val="20"/>
              </w:rPr>
              <w:t>(8.61, 15.44</w:t>
            </w:r>
            <w:r w:rsidRPr="00403F21">
              <w:rPr>
                <w:b/>
                <w:sz w:val="20"/>
                <w:szCs w:val="20"/>
              </w:rPr>
              <w:t>)</w:t>
            </w:r>
          </w:p>
        </w:tc>
        <w:tc>
          <w:tcPr>
            <w:tcW w:w="1700" w:type="dxa"/>
            <w:vAlign w:val="center"/>
          </w:tcPr>
          <w:p w14:paraId="4122F9DC" w14:textId="77777777" w:rsidR="004F55E1" w:rsidRPr="001D3166" w:rsidRDefault="004F55E1" w:rsidP="004F55E1">
            <w:pPr>
              <w:jc w:val="center"/>
              <w:rPr>
                <w:b/>
                <w:sz w:val="20"/>
                <w:szCs w:val="20"/>
              </w:rPr>
            </w:pPr>
            <w:r>
              <w:rPr>
                <w:b/>
                <w:sz w:val="20"/>
                <w:szCs w:val="20"/>
              </w:rPr>
              <w:t>7.26(3.68</w:t>
            </w:r>
            <w:r w:rsidRPr="001D3166">
              <w:rPr>
                <w:b/>
                <w:sz w:val="20"/>
                <w:szCs w:val="20"/>
              </w:rPr>
              <w:t xml:space="preserve">, </w:t>
            </w:r>
            <w:r>
              <w:rPr>
                <w:b/>
                <w:sz w:val="20"/>
                <w:szCs w:val="20"/>
              </w:rPr>
              <w:t>10.84</w:t>
            </w:r>
            <w:r w:rsidRPr="001D3166">
              <w:rPr>
                <w:b/>
                <w:sz w:val="20"/>
                <w:szCs w:val="20"/>
              </w:rPr>
              <w:t>)</w:t>
            </w:r>
          </w:p>
        </w:tc>
        <w:tc>
          <w:tcPr>
            <w:tcW w:w="1859" w:type="dxa"/>
            <w:vAlign w:val="center"/>
          </w:tcPr>
          <w:p w14:paraId="75D84961" w14:textId="77777777" w:rsidR="004F55E1" w:rsidRPr="001D3166" w:rsidRDefault="004F55E1" w:rsidP="004F55E1">
            <w:pPr>
              <w:jc w:val="center"/>
              <w:rPr>
                <w:b/>
                <w:sz w:val="20"/>
                <w:szCs w:val="20"/>
              </w:rPr>
            </w:pPr>
            <w:r>
              <w:rPr>
                <w:b/>
                <w:sz w:val="20"/>
                <w:szCs w:val="20"/>
              </w:rPr>
              <w:t>8.39(5.27</w:t>
            </w:r>
            <w:r w:rsidRPr="001D3166">
              <w:rPr>
                <w:b/>
                <w:sz w:val="20"/>
                <w:szCs w:val="20"/>
              </w:rPr>
              <w:t xml:space="preserve">, </w:t>
            </w:r>
            <w:r>
              <w:rPr>
                <w:b/>
                <w:sz w:val="20"/>
                <w:szCs w:val="20"/>
              </w:rPr>
              <w:t>11.52</w:t>
            </w:r>
            <w:r w:rsidRPr="001D3166">
              <w:rPr>
                <w:b/>
                <w:sz w:val="20"/>
                <w:szCs w:val="20"/>
              </w:rPr>
              <w:t>)</w:t>
            </w:r>
          </w:p>
        </w:tc>
        <w:tc>
          <w:tcPr>
            <w:tcW w:w="1860" w:type="dxa"/>
            <w:vAlign w:val="center"/>
          </w:tcPr>
          <w:p w14:paraId="058413FD" w14:textId="77777777" w:rsidR="004F55E1" w:rsidRPr="001D3166" w:rsidRDefault="004F55E1" w:rsidP="004F55E1">
            <w:pPr>
              <w:jc w:val="center"/>
              <w:rPr>
                <w:sz w:val="20"/>
                <w:szCs w:val="20"/>
              </w:rPr>
            </w:pPr>
            <w:r w:rsidRPr="001D3166">
              <w:rPr>
                <w:sz w:val="20"/>
                <w:szCs w:val="20"/>
              </w:rPr>
              <w:t>0.66(-2.42, 3.74)</w:t>
            </w:r>
          </w:p>
        </w:tc>
        <w:tc>
          <w:tcPr>
            <w:tcW w:w="1859" w:type="dxa"/>
            <w:vAlign w:val="center"/>
          </w:tcPr>
          <w:p w14:paraId="36FF8D3A" w14:textId="77777777" w:rsidR="004F55E1" w:rsidRPr="001D3166" w:rsidRDefault="004F55E1" w:rsidP="004F55E1">
            <w:pPr>
              <w:jc w:val="center"/>
              <w:rPr>
                <w:b/>
                <w:sz w:val="20"/>
                <w:szCs w:val="20"/>
              </w:rPr>
            </w:pPr>
            <w:r>
              <w:rPr>
                <w:b/>
                <w:sz w:val="20"/>
                <w:szCs w:val="20"/>
              </w:rPr>
              <w:t>3.29(0.19, 6.38</w:t>
            </w:r>
            <w:r w:rsidRPr="001D3166">
              <w:rPr>
                <w:b/>
                <w:sz w:val="20"/>
                <w:szCs w:val="20"/>
              </w:rPr>
              <w:t>)</w:t>
            </w:r>
          </w:p>
        </w:tc>
        <w:tc>
          <w:tcPr>
            <w:tcW w:w="1878" w:type="dxa"/>
            <w:vAlign w:val="center"/>
          </w:tcPr>
          <w:p w14:paraId="04D9CC61" w14:textId="115FD445" w:rsidR="004F55E1" w:rsidRDefault="004F55E1" w:rsidP="004F55E1">
            <w:pPr>
              <w:jc w:val="center"/>
              <w:rPr>
                <w:b/>
                <w:sz w:val="20"/>
                <w:szCs w:val="20"/>
              </w:rPr>
            </w:pPr>
            <w:r w:rsidRPr="004A6DF1">
              <w:rPr>
                <w:b/>
                <w:sz w:val="20"/>
                <w:szCs w:val="20"/>
              </w:rPr>
              <w:t>-3.56(-6.72, -0.40)</w:t>
            </w:r>
          </w:p>
        </w:tc>
        <w:tc>
          <w:tcPr>
            <w:tcW w:w="1842" w:type="dxa"/>
            <w:vAlign w:val="center"/>
          </w:tcPr>
          <w:p w14:paraId="328264B4" w14:textId="245F27CC" w:rsidR="004F55E1" w:rsidRDefault="004F55E1" w:rsidP="004F55E1">
            <w:pPr>
              <w:jc w:val="center"/>
              <w:rPr>
                <w:b/>
                <w:sz w:val="20"/>
                <w:szCs w:val="20"/>
              </w:rPr>
            </w:pPr>
            <w:r>
              <w:rPr>
                <w:sz w:val="20"/>
                <w:szCs w:val="20"/>
              </w:rPr>
              <w:t>0.04(-0.04</w:t>
            </w:r>
            <w:r w:rsidRPr="004A4AE1">
              <w:rPr>
                <w:sz w:val="20"/>
                <w:szCs w:val="20"/>
              </w:rPr>
              <w:t>, 0.11)</w:t>
            </w:r>
          </w:p>
        </w:tc>
      </w:tr>
      <w:tr w:rsidR="004F55E1" w:rsidRPr="0072438F" w14:paraId="4C0F03E1" w14:textId="77777777" w:rsidTr="005470FE">
        <w:tc>
          <w:tcPr>
            <w:tcW w:w="1783" w:type="dxa"/>
            <w:vAlign w:val="center"/>
          </w:tcPr>
          <w:p w14:paraId="69367E10" w14:textId="77777777" w:rsidR="004F55E1" w:rsidRPr="00403F21" w:rsidRDefault="004F55E1" w:rsidP="004F55E1">
            <w:pPr>
              <w:rPr>
                <w:sz w:val="20"/>
                <w:szCs w:val="20"/>
              </w:rPr>
            </w:pPr>
            <w:r w:rsidRPr="00403F21">
              <w:rPr>
                <w:sz w:val="20"/>
                <w:szCs w:val="20"/>
              </w:rPr>
              <w:t>4 gout flares</w:t>
            </w:r>
            <w:r w:rsidRPr="00403F21">
              <w:rPr>
                <w:rFonts w:ascii="Wingdings 2" w:eastAsia="Wingdings 2" w:hAnsi="Wingdings 2" w:cs="Wingdings 2"/>
                <w:sz w:val="20"/>
                <w:szCs w:val="20"/>
                <w:vertAlign w:val="superscript"/>
              </w:rPr>
              <w:t>□</w:t>
            </w:r>
            <w:r w:rsidRPr="00403F21">
              <w:rPr>
                <w:rFonts w:ascii="Wingdings 2" w:eastAsia="Wingdings 2" w:hAnsi="Wingdings 2" w:cs="Wingdings 2"/>
                <w:sz w:val="20"/>
                <w:szCs w:val="20"/>
                <w:vertAlign w:val="superscript"/>
              </w:rPr>
              <w:t></w:t>
            </w:r>
          </w:p>
        </w:tc>
        <w:tc>
          <w:tcPr>
            <w:tcW w:w="1956" w:type="dxa"/>
            <w:vAlign w:val="center"/>
          </w:tcPr>
          <w:p w14:paraId="6A8F0F9D" w14:textId="77777777" w:rsidR="004F55E1" w:rsidRPr="00403F21" w:rsidRDefault="004F55E1" w:rsidP="004F55E1">
            <w:pPr>
              <w:jc w:val="center"/>
              <w:rPr>
                <w:b/>
                <w:sz w:val="20"/>
                <w:szCs w:val="20"/>
              </w:rPr>
            </w:pPr>
            <w:r>
              <w:rPr>
                <w:b/>
                <w:sz w:val="20"/>
                <w:szCs w:val="20"/>
              </w:rPr>
              <w:t>16.22(11.94</w:t>
            </w:r>
            <w:r w:rsidRPr="00403F21">
              <w:rPr>
                <w:b/>
                <w:sz w:val="20"/>
                <w:szCs w:val="20"/>
              </w:rPr>
              <w:t>,</w:t>
            </w:r>
            <w:r>
              <w:rPr>
                <w:b/>
                <w:sz w:val="20"/>
                <w:szCs w:val="20"/>
              </w:rPr>
              <w:t xml:space="preserve"> 20.51</w:t>
            </w:r>
            <w:r w:rsidRPr="00403F21">
              <w:rPr>
                <w:b/>
                <w:sz w:val="20"/>
                <w:szCs w:val="20"/>
              </w:rPr>
              <w:t>)</w:t>
            </w:r>
          </w:p>
        </w:tc>
        <w:tc>
          <w:tcPr>
            <w:tcW w:w="1700" w:type="dxa"/>
            <w:vAlign w:val="center"/>
          </w:tcPr>
          <w:p w14:paraId="0D56F825" w14:textId="77777777" w:rsidR="004F55E1" w:rsidRPr="001D3166" w:rsidRDefault="004F55E1" w:rsidP="004F55E1">
            <w:pPr>
              <w:jc w:val="center"/>
              <w:rPr>
                <w:b/>
                <w:sz w:val="20"/>
                <w:szCs w:val="20"/>
              </w:rPr>
            </w:pPr>
            <w:r>
              <w:rPr>
                <w:b/>
                <w:sz w:val="20"/>
                <w:szCs w:val="20"/>
              </w:rPr>
              <w:t>7.85(3.36, 12.34</w:t>
            </w:r>
            <w:r w:rsidRPr="001D3166">
              <w:rPr>
                <w:b/>
                <w:sz w:val="20"/>
                <w:szCs w:val="20"/>
              </w:rPr>
              <w:t>)</w:t>
            </w:r>
          </w:p>
        </w:tc>
        <w:tc>
          <w:tcPr>
            <w:tcW w:w="1859" w:type="dxa"/>
            <w:vAlign w:val="center"/>
          </w:tcPr>
          <w:p w14:paraId="5C7A4B74" w14:textId="77777777" w:rsidR="004F55E1" w:rsidRPr="001D3166" w:rsidRDefault="004F55E1" w:rsidP="004F55E1">
            <w:pPr>
              <w:jc w:val="center"/>
              <w:rPr>
                <w:b/>
                <w:sz w:val="20"/>
                <w:szCs w:val="20"/>
              </w:rPr>
            </w:pPr>
            <w:r>
              <w:rPr>
                <w:b/>
                <w:sz w:val="20"/>
                <w:szCs w:val="20"/>
              </w:rPr>
              <w:t>11.76(7.84</w:t>
            </w:r>
            <w:r w:rsidRPr="001D3166">
              <w:rPr>
                <w:b/>
                <w:sz w:val="20"/>
                <w:szCs w:val="20"/>
              </w:rPr>
              <w:t xml:space="preserve">, </w:t>
            </w:r>
            <w:r>
              <w:rPr>
                <w:b/>
                <w:sz w:val="20"/>
                <w:szCs w:val="20"/>
              </w:rPr>
              <w:t>15.68</w:t>
            </w:r>
            <w:r w:rsidRPr="001D3166">
              <w:rPr>
                <w:b/>
                <w:sz w:val="20"/>
                <w:szCs w:val="20"/>
              </w:rPr>
              <w:t>)</w:t>
            </w:r>
          </w:p>
        </w:tc>
        <w:tc>
          <w:tcPr>
            <w:tcW w:w="1860" w:type="dxa"/>
            <w:vAlign w:val="center"/>
          </w:tcPr>
          <w:p w14:paraId="5AAD7AD4" w14:textId="71867095" w:rsidR="004F55E1" w:rsidRPr="001D3166" w:rsidRDefault="004F55E1" w:rsidP="004F55E1">
            <w:pPr>
              <w:jc w:val="center"/>
              <w:rPr>
                <w:sz w:val="20"/>
                <w:szCs w:val="20"/>
              </w:rPr>
            </w:pPr>
            <w:r w:rsidRPr="001D3166">
              <w:rPr>
                <w:sz w:val="20"/>
                <w:szCs w:val="20"/>
              </w:rPr>
              <w:t>1.6</w:t>
            </w:r>
            <w:r>
              <w:rPr>
                <w:sz w:val="20"/>
                <w:szCs w:val="20"/>
              </w:rPr>
              <w:t>3</w:t>
            </w:r>
            <w:r w:rsidRPr="001D3166">
              <w:rPr>
                <w:sz w:val="20"/>
                <w:szCs w:val="20"/>
              </w:rPr>
              <w:t>(-2.21, 5.47)</w:t>
            </w:r>
          </w:p>
        </w:tc>
        <w:tc>
          <w:tcPr>
            <w:tcW w:w="1859" w:type="dxa"/>
            <w:vAlign w:val="center"/>
          </w:tcPr>
          <w:p w14:paraId="4C4E011D" w14:textId="77777777" w:rsidR="004F55E1" w:rsidRPr="001D3166" w:rsidRDefault="004F55E1" w:rsidP="004F55E1">
            <w:pPr>
              <w:jc w:val="center"/>
              <w:rPr>
                <w:b/>
                <w:sz w:val="20"/>
                <w:szCs w:val="20"/>
              </w:rPr>
            </w:pPr>
            <w:r>
              <w:rPr>
                <w:b/>
                <w:sz w:val="20"/>
                <w:szCs w:val="20"/>
              </w:rPr>
              <w:t>4.98(1.10, 8.86</w:t>
            </w:r>
            <w:r w:rsidRPr="001D3166">
              <w:rPr>
                <w:b/>
                <w:sz w:val="20"/>
                <w:szCs w:val="20"/>
              </w:rPr>
              <w:t>)</w:t>
            </w:r>
          </w:p>
        </w:tc>
        <w:tc>
          <w:tcPr>
            <w:tcW w:w="1878" w:type="dxa"/>
            <w:vAlign w:val="center"/>
          </w:tcPr>
          <w:p w14:paraId="678D972A" w14:textId="276BB0CD" w:rsidR="004F55E1" w:rsidRDefault="004F55E1" w:rsidP="004F55E1">
            <w:pPr>
              <w:jc w:val="center"/>
              <w:rPr>
                <w:b/>
                <w:sz w:val="20"/>
                <w:szCs w:val="20"/>
              </w:rPr>
            </w:pPr>
            <w:r w:rsidRPr="004A6DF1">
              <w:rPr>
                <w:b/>
                <w:sz w:val="20"/>
                <w:szCs w:val="20"/>
              </w:rPr>
              <w:t>-7.96(-12.14, -3.78)</w:t>
            </w:r>
          </w:p>
        </w:tc>
        <w:tc>
          <w:tcPr>
            <w:tcW w:w="1842" w:type="dxa"/>
            <w:vAlign w:val="center"/>
          </w:tcPr>
          <w:p w14:paraId="3DED1A19" w14:textId="30AF66F1" w:rsidR="004F55E1" w:rsidRDefault="004F55E1" w:rsidP="004F55E1">
            <w:pPr>
              <w:jc w:val="center"/>
              <w:rPr>
                <w:b/>
                <w:sz w:val="20"/>
                <w:szCs w:val="20"/>
              </w:rPr>
            </w:pPr>
            <w:r w:rsidRPr="004A4AE1">
              <w:rPr>
                <w:sz w:val="20"/>
                <w:szCs w:val="20"/>
              </w:rPr>
              <w:t>0.02(-0.07, 0.11)</w:t>
            </w:r>
          </w:p>
        </w:tc>
      </w:tr>
      <w:tr w:rsidR="004F55E1" w:rsidRPr="0072438F" w14:paraId="147D8FA8" w14:textId="77777777" w:rsidTr="005470FE">
        <w:tc>
          <w:tcPr>
            <w:tcW w:w="1783" w:type="dxa"/>
            <w:vAlign w:val="center"/>
          </w:tcPr>
          <w:p w14:paraId="77149D8F" w14:textId="77777777" w:rsidR="004F55E1" w:rsidRPr="00403F21" w:rsidRDefault="004F55E1" w:rsidP="004F55E1">
            <w:pPr>
              <w:rPr>
                <w:sz w:val="20"/>
                <w:szCs w:val="20"/>
              </w:rPr>
            </w:pPr>
            <w:r w:rsidRPr="00403F21">
              <w:rPr>
                <w:sz w:val="20"/>
                <w:szCs w:val="20"/>
              </w:rPr>
              <w:t>≥5 gout flares</w:t>
            </w:r>
            <w:r w:rsidRPr="00403F21">
              <w:rPr>
                <w:rFonts w:ascii="Wingdings 2" w:eastAsia="Wingdings 2" w:hAnsi="Wingdings 2" w:cs="Wingdings 2"/>
                <w:sz w:val="20"/>
                <w:szCs w:val="20"/>
                <w:vertAlign w:val="superscript"/>
              </w:rPr>
              <w:t>□</w:t>
            </w:r>
            <w:r w:rsidRPr="00403F21">
              <w:rPr>
                <w:rFonts w:ascii="Wingdings 2" w:eastAsia="Wingdings 2" w:hAnsi="Wingdings 2" w:cs="Wingdings 2"/>
                <w:sz w:val="20"/>
                <w:szCs w:val="20"/>
                <w:vertAlign w:val="superscript"/>
              </w:rPr>
              <w:t></w:t>
            </w:r>
          </w:p>
        </w:tc>
        <w:tc>
          <w:tcPr>
            <w:tcW w:w="1956" w:type="dxa"/>
            <w:vAlign w:val="center"/>
          </w:tcPr>
          <w:p w14:paraId="6CED7A72" w14:textId="77777777" w:rsidR="004F55E1" w:rsidRPr="00403F21" w:rsidRDefault="004F55E1" w:rsidP="004F55E1">
            <w:pPr>
              <w:jc w:val="center"/>
              <w:rPr>
                <w:b/>
                <w:sz w:val="20"/>
                <w:szCs w:val="20"/>
              </w:rPr>
            </w:pPr>
            <w:r>
              <w:rPr>
                <w:b/>
                <w:sz w:val="20"/>
                <w:szCs w:val="20"/>
              </w:rPr>
              <w:t>19.36(15.70, 23.03</w:t>
            </w:r>
            <w:r w:rsidRPr="00403F21">
              <w:rPr>
                <w:b/>
                <w:sz w:val="20"/>
                <w:szCs w:val="20"/>
              </w:rPr>
              <w:t>)</w:t>
            </w:r>
          </w:p>
        </w:tc>
        <w:tc>
          <w:tcPr>
            <w:tcW w:w="1700" w:type="dxa"/>
            <w:vAlign w:val="center"/>
          </w:tcPr>
          <w:p w14:paraId="6D7F5F39" w14:textId="77777777" w:rsidR="004F55E1" w:rsidRPr="001D3166" w:rsidRDefault="004F55E1" w:rsidP="004F55E1">
            <w:pPr>
              <w:jc w:val="center"/>
              <w:rPr>
                <w:sz w:val="20"/>
                <w:szCs w:val="20"/>
              </w:rPr>
            </w:pPr>
            <w:r>
              <w:rPr>
                <w:b/>
                <w:sz w:val="20"/>
                <w:szCs w:val="20"/>
              </w:rPr>
              <w:t>10.14(6.29, 14.0</w:t>
            </w:r>
            <w:r w:rsidRPr="00B8591D">
              <w:rPr>
                <w:b/>
                <w:sz w:val="20"/>
                <w:szCs w:val="20"/>
              </w:rPr>
              <w:t>0</w:t>
            </w:r>
            <w:r w:rsidRPr="00607B24">
              <w:rPr>
                <w:b/>
                <w:sz w:val="20"/>
                <w:szCs w:val="20"/>
              </w:rPr>
              <w:t>)</w:t>
            </w:r>
          </w:p>
        </w:tc>
        <w:tc>
          <w:tcPr>
            <w:tcW w:w="1859" w:type="dxa"/>
            <w:vAlign w:val="center"/>
          </w:tcPr>
          <w:p w14:paraId="4A74F8A1" w14:textId="77777777" w:rsidR="004F55E1" w:rsidRPr="001D3166" w:rsidRDefault="004F55E1" w:rsidP="004F55E1">
            <w:pPr>
              <w:jc w:val="center"/>
              <w:rPr>
                <w:b/>
                <w:sz w:val="20"/>
                <w:szCs w:val="20"/>
              </w:rPr>
            </w:pPr>
            <w:r>
              <w:rPr>
                <w:b/>
                <w:sz w:val="20"/>
                <w:szCs w:val="20"/>
              </w:rPr>
              <w:t>12.27(8.99, 15.54</w:t>
            </w:r>
            <w:r w:rsidRPr="001D3166">
              <w:rPr>
                <w:b/>
                <w:sz w:val="20"/>
                <w:szCs w:val="20"/>
              </w:rPr>
              <w:t>)</w:t>
            </w:r>
          </w:p>
        </w:tc>
        <w:tc>
          <w:tcPr>
            <w:tcW w:w="1860" w:type="dxa"/>
            <w:vAlign w:val="center"/>
          </w:tcPr>
          <w:p w14:paraId="04731A20" w14:textId="77777777" w:rsidR="004F55E1" w:rsidRPr="001D3166" w:rsidRDefault="004F55E1" w:rsidP="004F55E1">
            <w:pPr>
              <w:jc w:val="center"/>
              <w:rPr>
                <w:sz w:val="20"/>
                <w:szCs w:val="20"/>
              </w:rPr>
            </w:pPr>
            <w:r w:rsidRPr="001D3166">
              <w:rPr>
                <w:sz w:val="20"/>
                <w:szCs w:val="20"/>
              </w:rPr>
              <w:t>1.41(-1.94, 4.76)</w:t>
            </w:r>
          </w:p>
        </w:tc>
        <w:tc>
          <w:tcPr>
            <w:tcW w:w="1859" w:type="dxa"/>
            <w:vAlign w:val="center"/>
          </w:tcPr>
          <w:p w14:paraId="4EBDE4BD" w14:textId="77777777" w:rsidR="004F55E1" w:rsidRPr="001D3166" w:rsidRDefault="004F55E1" w:rsidP="004F55E1">
            <w:pPr>
              <w:jc w:val="center"/>
              <w:rPr>
                <w:b/>
                <w:sz w:val="20"/>
                <w:szCs w:val="20"/>
              </w:rPr>
            </w:pPr>
            <w:r>
              <w:rPr>
                <w:b/>
                <w:sz w:val="20"/>
                <w:szCs w:val="20"/>
              </w:rPr>
              <w:t>8.15(4.82, 11.48</w:t>
            </w:r>
            <w:r w:rsidRPr="001D3166">
              <w:rPr>
                <w:b/>
                <w:sz w:val="20"/>
                <w:szCs w:val="20"/>
              </w:rPr>
              <w:t>)</w:t>
            </w:r>
          </w:p>
        </w:tc>
        <w:tc>
          <w:tcPr>
            <w:tcW w:w="1878" w:type="dxa"/>
            <w:vAlign w:val="center"/>
          </w:tcPr>
          <w:p w14:paraId="65FCF974" w14:textId="540CF847" w:rsidR="004F55E1" w:rsidRDefault="004F55E1" w:rsidP="004F55E1">
            <w:pPr>
              <w:jc w:val="center"/>
              <w:rPr>
                <w:b/>
                <w:sz w:val="20"/>
                <w:szCs w:val="20"/>
              </w:rPr>
            </w:pPr>
            <w:r w:rsidRPr="004A6DF1">
              <w:rPr>
                <w:b/>
                <w:sz w:val="20"/>
                <w:szCs w:val="20"/>
              </w:rPr>
              <w:t>-8.33(-12.5, -4.15)</w:t>
            </w:r>
          </w:p>
        </w:tc>
        <w:tc>
          <w:tcPr>
            <w:tcW w:w="1842" w:type="dxa"/>
            <w:vAlign w:val="center"/>
          </w:tcPr>
          <w:p w14:paraId="34FACC54" w14:textId="109D95A3" w:rsidR="004F55E1" w:rsidRDefault="004F55E1" w:rsidP="004F55E1">
            <w:pPr>
              <w:jc w:val="center"/>
              <w:rPr>
                <w:b/>
                <w:sz w:val="20"/>
                <w:szCs w:val="20"/>
              </w:rPr>
            </w:pPr>
            <w:r w:rsidRPr="004A4AE1">
              <w:rPr>
                <w:sz w:val="20"/>
                <w:szCs w:val="20"/>
              </w:rPr>
              <w:t>0.02(-0.06, 0.10)</w:t>
            </w:r>
          </w:p>
        </w:tc>
      </w:tr>
      <w:tr w:rsidR="004F55E1" w:rsidRPr="0072438F" w14:paraId="61F873EB" w14:textId="77777777" w:rsidTr="005470FE">
        <w:tc>
          <w:tcPr>
            <w:tcW w:w="1783" w:type="dxa"/>
            <w:vAlign w:val="center"/>
          </w:tcPr>
          <w:p w14:paraId="2FFCCB0B" w14:textId="77777777" w:rsidR="004F55E1" w:rsidRPr="00403F21" w:rsidRDefault="004F55E1" w:rsidP="004F55E1">
            <w:pPr>
              <w:rPr>
                <w:sz w:val="20"/>
                <w:szCs w:val="20"/>
              </w:rPr>
            </w:pPr>
            <w:r w:rsidRPr="00403F21">
              <w:rPr>
                <w:sz w:val="20"/>
                <w:szCs w:val="20"/>
              </w:rPr>
              <w:t>Current flare</w:t>
            </w:r>
            <w:r w:rsidRPr="00403F21">
              <w:rPr>
                <w:rFonts w:ascii="Wingdings 2" w:eastAsia="Wingdings 2" w:hAnsi="Wingdings 2" w:cs="Wingdings 2"/>
                <w:sz w:val="20"/>
                <w:szCs w:val="20"/>
                <w:vertAlign w:val="superscript"/>
              </w:rPr>
              <w:t></w:t>
            </w:r>
          </w:p>
        </w:tc>
        <w:tc>
          <w:tcPr>
            <w:tcW w:w="1956" w:type="dxa"/>
            <w:vAlign w:val="center"/>
          </w:tcPr>
          <w:p w14:paraId="10062284" w14:textId="08823987" w:rsidR="004F55E1" w:rsidRPr="00403F21" w:rsidRDefault="004F55E1" w:rsidP="004F55E1">
            <w:pPr>
              <w:jc w:val="center"/>
              <w:rPr>
                <w:b/>
                <w:sz w:val="20"/>
                <w:szCs w:val="20"/>
              </w:rPr>
            </w:pPr>
            <w:r>
              <w:rPr>
                <w:b/>
                <w:sz w:val="20"/>
                <w:szCs w:val="20"/>
              </w:rPr>
              <w:t>4.22(1.11, 7.34)</w:t>
            </w:r>
          </w:p>
        </w:tc>
        <w:tc>
          <w:tcPr>
            <w:tcW w:w="1700" w:type="dxa"/>
            <w:vAlign w:val="center"/>
          </w:tcPr>
          <w:p w14:paraId="5666DA4C" w14:textId="77777777" w:rsidR="004F55E1" w:rsidRPr="001D3166" w:rsidRDefault="004F55E1" w:rsidP="004F55E1">
            <w:pPr>
              <w:jc w:val="center"/>
              <w:rPr>
                <w:sz w:val="20"/>
                <w:szCs w:val="20"/>
              </w:rPr>
            </w:pPr>
            <w:r w:rsidRPr="001D3166">
              <w:rPr>
                <w:sz w:val="20"/>
                <w:szCs w:val="20"/>
              </w:rPr>
              <w:t>-</w:t>
            </w:r>
            <w:r>
              <w:rPr>
                <w:sz w:val="20"/>
                <w:szCs w:val="20"/>
              </w:rPr>
              <w:t>0.34(-3.64, 2.95</w:t>
            </w:r>
            <w:r w:rsidRPr="001D3166">
              <w:rPr>
                <w:sz w:val="20"/>
                <w:szCs w:val="20"/>
              </w:rPr>
              <w:t>)</w:t>
            </w:r>
          </w:p>
        </w:tc>
        <w:tc>
          <w:tcPr>
            <w:tcW w:w="1859" w:type="dxa"/>
            <w:vAlign w:val="center"/>
          </w:tcPr>
          <w:p w14:paraId="42D1863A" w14:textId="48AAC6BA" w:rsidR="004F55E1" w:rsidRPr="001D3166" w:rsidRDefault="004F55E1" w:rsidP="004F55E1">
            <w:pPr>
              <w:jc w:val="center"/>
              <w:rPr>
                <w:b/>
                <w:sz w:val="20"/>
                <w:szCs w:val="20"/>
              </w:rPr>
            </w:pPr>
            <w:r>
              <w:rPr>
                <w:b/>
                <w:sz w:val="20"/>
                <w:szCs w:val="20"/>
              </w:rPr>
              <w:t>6.88(3.96, 9.80</w:t>
            </w:r>
            <w:r w:rsidRPr="001D3166">
              <w:rPr>
                <w:b/>
                <w:sz w:val="20"/>
                <w:szCs w:val="20"/>
              </w:rPr>
              <w:t>)</w:t>
            </w:r>
          </w:p>
        </w:tc>
        <w:tc>
          <w:tcPr>
            <w:tcW w:w="1860" w:type="dxa"/>
            <w:vAlign w:val="center"/>
          </w:tcPr>
          <w:p w14:paraId="7B173921" w14:textId="77777777" w:rsidR="004F55E1" w:rsidRPr="001D3166" w:rsidRDefault="004F55E1" w:rsidP="004F55E1">
            <w:pPr>
              <w:jc w:val="center"/>
              <w:rPr>
                <w:b/>
                <w:sz w:val="20"/>
                <w:szCs w:val="20"/>
              </w:rPr>
            </w:pPr>
            <w:r w:rsidRPr="001D3166">
              <w:rPr>
                <w:b/>
                <w:sz w:val="20"/>
                <w:szCs w:val="20"/>
              </w:rPr>
              <w:t>-6.76(-10.26, -3.26)</w:t>
            </w:r>
          </w:p>
        </w:tc>
        <w:tc>
          <w:tcPr>
            <w:tcW w:w="1859" w:type="dxa"/>
            <w:vAlign w:val="center"/>
          </w:tcPr>
          <w:p w14:paraId="44F7B3EE" w14:textId="77777777" w:rsidR="004F55E1" w:rsidRPr="006D140A" w:rsidRDefault="004F55E1" w:rsidP="004F55E1">
            <w:pPr>
              <w:jc w:val="center"/>
              <w:rPr>
                <w:color w:val="00B050"/>
                <w:sz w:val="20"/>
                <w:szCs w:val="20"/>
              </w:rPr>
            </w:pPr>
            <w:r w:rsidRPr="006D140A">
              <w:rPr>
                <w:sz w:val="20"/>
                <w:szCs w:val="20"/>
              </w:rPr>
              <w:t>-3.33(-6.87, 0.22)</w:t>
            </w:r>
          </w:p>
        </w:tc>
        <w:tc>
          <w:tcPr>
            <w:tcW w:w="1878" w:type="dxa"/>
            <w:vAlign w:val="center"/>
          </w:tcPr>
          <w:p w14:paraId="6DBE7E8F" w14:textId="06E5A313" w:rsidR="004F55E1" w:rsidRPr="006D140A" w:rsidRDefault="004F55E1" w:rsidP="004F55E1">
            <w:pPr>
              <w:jc w:val="center"/>
              <w:rPr>
                <w:sz w:val="20"/>
                <w:szCs w:val="20"/>
              </w:rPr>
            </w:pPr>
            <w:r w:rsidRPr="005A58AE">
              <w:rPr>
                <w:sz w:val="20"/>
                <w:szCs w:val="20"/>
              </w:rPr>
              <w:t>1.</w:t>
            </w:r>
            <w:r>
              <w:rPr>
                <w:sz w:val="20"/>
                <w:szCs w:val="20"/>
              </w:rPr>
              <w:t>28(-2.04, 4.61</w:t>
            </w:r>
            <w:r w:rsidRPr="005A58AE">
              <w:rPr>
                <w:sz w:val="20"/>
                <w:szCs w:val="20"/>
              </w:rPr>
              <w:t>)</w:t>
            </w:r>
          </w:p>
        </w:tc>
        <w:tc>
          <w:tcPr>
            <w:tcW w:w="1842" w:type="dxa"/>
            <w:vAlign w:val="center"/>
          </w:tcPr>
          <w:p w14:paraId="400A30A1" w14:textId="32ADB7C4" w:rsidR="004F55E1" w:rsidRPr="006D140A" w:rsidRDefault="004F55E1" w:rsidP="005470FE">
            <w:pPr>
              <w:jc w:val="center"/>
              <w:rPr>
                <w:sz w:val="20"/>
                <w:szCs w:val="20"/>
              </w:rPr>
            </w:pPr>
            <w:r>
              <w:rPr>
                <w:sz w:val="20"/>
                <w:szCs w:val="20"/>
              </w:rPr>
              <w:t>0.01(-0.06, 0.07</w:t>
            </w:r>
            <w:r w:rsidRPr="004A4AE1">
              <w:rPr>
                <w:sz w:val="20"/>
                <w:szCs w:val="20"/>
              </w:rPr>
              <w:t>)</w:t>
            </w:r>
          </w:p>
        </w:tc>
      </w:tr>
      <w:tr w:rsidR="004F55E1" w:rsidRPr="0072438F" w14:paraId="760E5C8A" w14:textId="77777777" w:rsidTr="005470FE">
        <w:tc>
          <w:tcPr>
            <w:tcW w:w="1783" w:type="dxa"/>
            <w:vAlign w:val="center"/>
          </w:tcPr>
          <w:p w14:paraId="1383D9A3" w14:textId="77777777" w:rsidR="004F55E1" w:rsidRPr="001A4471" w:rsidRDefault="004F55E1" w:rsidP="004F55E1">
            <w:pPr>
              <w:rPr>
                <w:sz w:val="20"/>
                <w:szCs w:val="20"/>
              </w:rPr>
            </w:pPr>
            <w:r w:rsidRPr="00403F21">
              <w:rPr>
                <w:sz w:val="20"/>
                <w:szCs w:val="20"/>
              </w:rPr>
              <w:t>Current flare</w:t>
            </w:r>
            <w:r w:rsidRPr="00403F21">
              <w:rPr>
                <w:rFonts w:ascii="Wingdings 2" w:eastAsia="Wingdings 2" w:hAnsi="Wingdings 2" w:cs="Wingdings 2"/>
                <w:sz w:val="20"/>
                <w:szCs w:val="20"/>
                <w:vertAlign w:val="superscript"/>
              </w:rPr>
              <w:t></w:t>
            </w:r>
            <w:r>
              <w:rPr>
                <w:sz w:val="20"/>
                <w:szCs w:val="20"/>
                <w:vertAlign w:val="superscript"/>
              </w:rPr>
              <w:t xml:space="preserve"> </w:t>
            </w:r>
            <w:r>
              <w:rPr>
                <w:sz w:val="20"/>
                <w:szCs w:val="20"/>
              </w:rPr>
              <w:t>x Time</w:t>
            </w:r>
          </w:p>
        </w:tc>
        <w:tc>
          <w:tcPr>
            <w:tcW w:w="1956" w:type="dxa"/>
            <w:vAlign w:val="center"/>
          </w:tcPr>
          <w:p w14:paraId="4440FED5" w14:textId="77777777" w:rsidR="004F55E1" w:rsidRDefault="004F55E1" w:rsidP="004F55E1">
            <w:pPr>
              <w:jc w:val="center"/>
              <w:rPr>
                <w:b/>
                <w:sz w:val="20"/>
                <w:szCs w:val="20"/>
              </w:rPr>
            </w:pPr>
            <w:r>
              <w:rPr>
                <w:b/>
                <w:sz w:val="20"/>
                <w:szCs w:val="20"/>
              </w:rPr>
              <w:t>-</w:t>
            </w:r>
          </w:p>
        </w:tc>
        <w:tc>
          <w:tcPr>
            <w:tcW w:w="1700" w:type="dxa"/>
            <w:vAlign w:val="center"/>
          </w:tcPr>
          <w:p w14:paraId="0C7D0933" w14:textId="77777777" w:rsidR="004F55E1" w:rsidRPr="001D3166" w:rsidRDefault="004F55E1" w:rsidP="004F55E1">
            <w:pPr>
              <w:jc w:val="center"/>
              <w:rPr>
                <w:sz w:val="20"/>
                <w:szCs w:val="20"/>
              </w:rPr>
            </w:pPr>
            <w:r w:rsidRPr="001D3166">
              <w:rPr>
                <w:sz w:val="20"/>
                <w:szCs w:val="20"/>
              </w:rPr>
              <w:t>-</w:t>
            </w:r>
          </w:p>
        </w:tc>
        <w:tc>
          <w:tcPr>
            <w:tcW w:w="1859" w:type="dxa"/>
            <w:vAlign w:val="center"/>
          </w:tcPr>
          <w:p w14:paraId="33D69882" w14:textId="77777777" w:rsidR="004F55E1" w:rsidRPr="001D3166" w:rsidRDefault="004F55E1" w:rsidP="004F55E1">
            <w:pPr>
              <w:jc w:val="center"/>
              <w:rPr>
                <w:b/>
                <w:sz w:val="20"/>
                <w:szCs w:val="20"/>
              </w:rPr>
            </w:pPr>
            <w:r w:rsidRPr="001D3166">
              <w:rPr>
                <w:b/>
                <w:sz w:val="20"/>
                <w:szCs w:val="20"/>
              </w:rPr>
              <w:t>-</w:t>
            </w:r>
          </w:p>
        </w:tc>
        <w:tc>
          <w:tcPr>
            <w:tcW w:w="1860" w:type="dxa"/>
            <w:vAlign w:val="center"/>
          </w:tcPr>
          <w:p w14:paraId="4AA588CB" w14:textId="6CDC89DE" w:rsidR="004F55E1" w:rsidRPr="00E245F3" w:rsidRDefault="004F55E1" w:rsidP="004F55E1">
            <w:pPr>
              <w:jc w:val="center"/>
              <w:rPr>
                <w:b/>
                <w:sz w:val="20"/>
                <w:szCs w:val="20"/>
              </w:rPr>
            </w:pPr>
            <w:r w:rsidRPr="00533CDB">
              <w:rPr>
                <w:b/>
                <w:sz w:val="20"/>
                <w:szCs w:val="20"/>
              </w:rPr>
              <w:t>0.30(0.11, 0.49)</w:t>
            </w:r>
          </w:p>
        </w:tc>
        <w:tc>
          <w:tcPr>
            <w:tcW w:w="1859" w:type="dxa"/>
            <w:vAlign w:val="center"/>
          </w:tcPr>
          <w:p w14:paraId="4B7DBE38" w14:textId="77777777" w:rsidR="004F55E1" w:rsidRPr="006D140A" w:rsidRDefault="004F55E1" w:rsidP="004F55E1">
            <w:pPr>
              <w:jc w:val="center"/>
              <w:rPr>
                <w:color w:val="00B050"/>
                <w:sz w:val="20"/>
                <w:szCs w:val="20"/>
              </w:rPr>
            </w:pPr>
            <w:r w:rsidRPr="00533CDB">
              <w:rPr>
                <w:b/>
                <w:sz w:val="20"/>
                <w:szCs w:val="20"/>
              </w:rPr>
              <w:t>0.25(0.06, 0.44)</w:t>
            </w:r>
          </w:p>
        </w:tc>
        <w:tc>
          <w:tcPr>
            <w:tcW w:w="1878" w:type="dxa"/>
            <w:vAlign w:val="center"/>
          </w:tcPr>
          <w:p w14:paraId="31F74874" w14:textId="29F44511" w:rsidR="004F55E1" w:rsidRPr="006D140A" w:rsidRDefault="004F55E1" w:rsidP="004F55E1">
            <w:pPr>
              <w:jc w:val="center"/>
              <w:rPr>
                <w:b/>
                <w:color w:val="00B050"/>
                <w:sz w:val="20"/>
                <w:szCs w:val="20"/>
              </w:rPr>
            </w:pPr>
            <w:r>
              <w:rPr>
                <w:sz w:val="20"/>
                <w:szCs w:val="20"/>
              </w:rPr>
              <w:t>-</w:t>
            </w:r>
          </w:p>
        </w:tc>
        <w:tc>
          <w:tcPr>
            <w:tcW w:w="1842" w:type="dxa"/>
            <w:vAlign w:val="center"/>
          </w:tcPr>
          <w:p w14:paraId="76A3695F" w14:textId="7AB88F4E" w:rsidR="004F55E1" w:rsidRPr="006D140A" w:rsidRDefault="004F55E1" w:rsidP="004F55E1">
            <w:pPr>
              <w:jc w:val="center"/>
              <w:rPr>
                <w:b/>
                <w:color w:val="00B050"/>
                <w:sz w:val="20"/>
                <w:szCs w:val="20"/>
              </w:rPr>
            </w:pPr>
            <w:r>
              <w:rPr>
                <w:sz w:val="20"/>
                <w:szCs w:val="20"/>
              </w:rPr>
              <w:t>-</w:t>
            </w:r>
          </w:p>
        </w:tc>
      </w:tr>
      <w:tr w:rsidR="004F55E1" w:rsidRPr="0072438F" w14:paraId="5C95D833" w14:textId="77777777" w:rsidTr="005470FE">
        <w:tc>
          <w:tcPr>
            <w:tcW w:w="1783" w:type="dxa"/>
            <w:vAlign w:val="center"/>
          </w:tcPr>
          <w:p w14:paraId="66D795EA" w14:textId="5D5F4D43" w:rsidR="004F55E1" w:rsidRPr="00403F21" w:rsidRDefault="004F55E1" w:rsidP="004F55E1">
            <w:pPr>
              <w:rPr>
                <w:sz w:val="20"/>
                <w:szCs w:val="20"/>
              </w:rPr>
            </w:pPr>
            <w:r w:rsidRPr="00403F21">
              <w:rPr>
                <w:sz w:val="20"/>
                <w:szCs w:val="20"/>
              </w:rPr>
              <w:t>Oligo/polyarticular flares</w:t>
            </w:r>
            <w:r w:rsidRPr="00403F21">
              <w:rPr>
                <w:rFonts w:ascii="Wingdings 2" w:eastAsia="Wingdings 2" w:hAnsi="Wingdings 2" w:cs="Wingdings 2"/>
                <w:sz w:val="20"/>
                <w:szCs w:val="20"/>
                <w:vertAlign w:val="superscript"/>
              </w:rPr>
              <w:t></w:t>
            </w:r>
          </w:p>
        </w:tc>
        <w:tc>
          <w:tcPr>
            <w:tcW w:w="1956" w:type="dxa"/>
            <w:vAlign w:val="center"/>
          </w:tcPr>
          <w:p w14:paraId="779F31D5" w14:textId="782A4A24" w:rsidR="004F55E1" w:rsidRPr="00403F21" w:rsidRDefault="004F55E1" w:rsidP="005470FE">
            <w:pPr>
              <w:jc w:val="center"/>
              <w:rPr>
                <w:b/>
                <w:sz w:val="20"/>
                <w:szCs w:val="20"/>
              </w:rPr>
            </w:pPr>
            <w:r w:rsidRPr="005470FE">
              <w:rPr>
                <w:b/>
                <w:sz w:val="20"/>
                <w:szCs w:val="20"/>
              </w:rPr>
              <w:t>4.89(2.78, 7.0</w:t>
            </w:r>
            <w:r w:rsidR="005470FE" w:rsidRPr="005470FE">
              <w:rPr>
                <w:b/>
                <w:sz w:val="20"/>
                <w:szCs w:val="20"/>
              </w:rPr>
              <w:t>0</w:t>
            </w:r>
            <w:r w:rsidRPr="005470FE">
              <w:rPr>
                <w:b/>
                <w:sz w:val="20"/>
                <w:szCs w:val="20"/>
              </w:rPr>
              <w:t>)</w:t>
            </w:r>
          </w:p>
        </w:tc>
        <w:tc>
          <w:tcPr>
            <w:tcW w:w="1700" w:type="dxa"/>
            <w:vAlign w:val="center"/>
          </w:tcPr>
          <w:p w14:paraId="3147B3F0" w14:textId="77777777" w:rsidR="004F55E1" w:rsidRPr="001D3166" w:rsidRDefault="004F55E1" w:rsidP="004F55E1">
            <w:pPr>
              <w:jc w:val="center"/>
              <w:rPr>
                <w:b/>
                <w:sz w:val="20"/>
                <w:szCs w:val="20"/>
              </w:rPr>
            </w:pPr>
            <w:r>
              <w:rPr>
                <w:b/>
                <w:sz w:val="20"/>
                <w:szCs w:val="20"/>
              </w:rPr>
              <w:t>2.85(0.62, 5.09</w:t>
            </w:r>
            <w:r w:rsidRPr="001D3166">
              <w:rPr>
                <w:b/>
                <w:sz w:val="20"/>
                <w:szCs w:val="20"/>
              </w:rPr>
              <w:t>)</w:t>
            </w:r>
          </w:p>
        </w:tc>
        <w:tc>
          <w:tcPr>
            <w:tcW w:w="1859" w:type="dxa"/>
            <w:vAlign w:val="center"/>
          </w:tcPr>
          <w:p w14:paraId="26CEC5E5" w14:textId="465B5922" w:rsidR="004F55E1" w:rsidRPr="001D3166" w:rsidRDefault="004F55E1" w:rsidP="004F55E1">
            <w:pPr>
              <w:jc w:val="center"/>
              <w:rPr>
                <w:sz w:val="20"/>
                <w:szCs w:val="20"/>
              </w:rPr>
            </w:pPr>
            <w:r>
              <w:rPr>
                <w:sz w:val="20"/>
                <w:szCs w:val="20"/>
              </w:rPr>
              <w:t>-0.18(-2.02, 1.65</w:t>
            </w:r>
            <w:r w:rsidRPr="001D3166">
              <w:rPr>
                <w:sz w:val="20"/>
                <w:szCs w:val="20"/>
              </w:rPr>
              <w:t>)</w:t>
            </w:r>
          </w:p>
        </w:tc>
        <w:tc>
          <w:tcPr>
            <w:tcW w:w="1860" w:type="dxa"/>
            <w:vAlign w:val="center"/>
          </w:tcPr>
          <w:p w14:paraId="658AB582" w14:textId="77777777" w:rsidR="004F55E1" w:rsidRPr="001D3166" w:rsidRDefault="004F55E1" w:rsidP="004F55E1">
            <w:pPr>
              <w:jc w:val="center"/>
              <w:rPr>
                <w:b/>
                <w:sz w:val="20"/>
                <w:szCs w:val="20"/>
              </w:rPr>
            </w:pPr>
            <w:r w:rsidRPr="001D3166">
              <w:rPr>
                <w:b/>
                <w:sz w:val="20"/>
                <w:szCs w:val="20"/>
              </w:rPr>
              <w:t>3.45(1.51, 5.39)</w:t>
            </w:r>
          </w:p>
        </w:tc>
        <w:tc>
          <w:tcPr>
            <w:tcW w:w="1859" w:type="dxa"/>
            <w:vAlign w:val="center"/>
          </w:tcPr>
          <w:p w14:paraId="15623BD5" w14:textId="77777777" w:rsidR="004F55E1" w:rsidRPr="001D3166" w:rsidRDefault="004F55E1" w:rsidP="004F55E1">
            <w:pPr>
              <w:jc w:val="center"/>
              <w:rPr>
                <w:b/>
                <w:sz w:val="20"/>
                <w:szCs w:val="20"/>
              </w:rPr>
            </w:pPr>
            <w:r>
              <w:rPr>
                <w:b/>
                <w:sz w:val="20"/>
                <w:szCs w:val="20"/>
              </w:rPr>
              <w:t>3.30</w:t>
            </w:r>
            <w:r w:rsidRPr="001D3166">
              <w:rPr>
                <w:b/>
                <w:sz w:val="20"/>
                <w:szCs w:val="20"/>
              </w:rPr>
              <w:t>(</w:t>
            </w:r>
            <w:r>
              <w:rPr>
                <w:b/>
                <w:sz w:val="20"/>
                <w:szCs w:val="20"/>
              </w:rPr>
              <w:t>1.38, 5.23</w:t>
            </w:r>
            <w:r w:rsidRPr="001D3166">
              <w:rPr>
                <w:b/>
                <w:sz w:val="20"/>
                <w:szCs w:val="20"/>
              </w:rPr>
              <w:t>)</w:t>
            </w:r>
          </w:p>
        </w:tc>
        <w:tc>
          <w:tcPr>
            <w:tcW w:w="1878" w:type="dxa"/>
            <w:vAlign w:val="center"/>
          </w:tcPr>
          <w:p w14:paraId="749E1AAA" w14:textId="77777777" w:rsidR="004F55E1" w:rsidRDefault="004F55E1" w:rsidP="004F55E1">
            <w:pPr>
              <w:jc w:val="center"/>
              <w:rPr>
                <w:b/>
                <w:sz w:val="20"/>
                <w:szCs w:val="20"/>
              </w:rPr>
            </w:pPr>
            <w:r>
              <w:rPr>
                <w:b/>
                <w:sz w:val="20"/>
                <w:szCs w:val="20"/>
              </w:rPr>
              <w:t>-2.70(-4.61, -0.80</w:t>
            </w:r>
            <w:r w:rsidRPr="005A58AE">
              <w:rPr>
                <w:b/>
                <w:sz w:val="20"/>
                <w:szCs w:val="20"/>
              </w:rPr>
              <w:t>)</w:t>
            </w:r>
          </w:p>
        </w:tc>
        <w:tc>
          <w:tcPr>
            <w:tcW w:w="1842" w:type="dxa"/>
            <w:vAlign w:val="center"/>
          </w:tcPr>
          <w:p w14:paraId="7071E61D" w14:textId="77777777" w:rsidR="004F55E1" w:rsidRDefault="004F55E1" w:rsidP="004F55E1">
            <w:pPr>
              <w:jc w:val="center"/>
              <w:rPr>
                <w:b/>
                <w:sz w:val="20"/>
                <w:szCs w:val="20"/>
              </w:rPr>
            </w:pPr>
            <w:r>
              <w:rPr>
                <w:b/>
                <w:sz w:val="20"/>
                <w:szCs w:val="20"/>
              </w:rPr>
              <w:t>0.04(0.01</w:t>
            </w:r>
            <w:r w:rsidRPr="004A4AE1">
              <w:rPr>
                <w:b/>
                <w:sz w:val="20"/>
                <w:szCs w:val="20"/>
              </w:rPr>
              <w:t>, 0.08)</w:t>
            </w:r>
          </w:p>
        </w:tc>
      </w:tr>
      <w:tr w:rsidR="004F55E1" w:rsidRPr="0072438F" w14:paraId="2BFFCBA9" w14:textId="77777777" w:rsidTr="005470FE">
        <w:tc>
          <w:tcPr>
            <w:tcW w:w="1783" w:type="dxa"/>
            <w:vAlign w:val="center"/>
          </w:tcPr>
          <w:p w14:paraId="7B940B7E" w14:textId="77777777" w:rsidR="004F55E1" w:rsidRPr="00403F21" w:rsidRDefault="004F55E1" w:rsidP="004F55E1">
            <w:pPr>
              <w:rPr>
                <w:sz w:val="20"/>
                <w:szCs w:val="20"/>
              </w:rPr>
            </w:pPr>
            <w:r w:rsidRPr="00403F21">
              <w:rPr>
                <w:sz w:val="20"/>
                <w:szCs w:val="20"/>
              </w:rPr>
              <w:t>Allopurinol use</w:t>
            </w:r>
            <w:r w:rsidRPr="00403F21">
              <w:rPr>
                <w:rFonts w:ascii="Wingdings 2" w:eastAsia="Wingdings 2" w:hAnsi="Wingdings 2" w:cs="Wingdings 2"/>
                <w:sz w:val="20"/>
                <w:szCs w:val="20"/>
                <w:vertAlign w:val="superscript"/>
              </w:rPr>
              <w:t></w:t>
            </w:r>
          </w:p>
        </w:tc>
        <w:tc>
          <w:tcPr>
            <w:tcW w:w="1956" w:type="dxa"/>
            <w:vAlign w:val="center"/>
          </w:tcPr>
          <w:p w14:paraId="7989E159" w14:textId="77777777" w:rsidR="004F55E1" w:rsidRPr="00403F21" w:rsidRDefault="004F55E1" w:rsidP="004F55E1">
            <w:pPr>
              <w:jc w:val="center"/>
              <w:rPr>
                <w:sz w:val="20"/>
                <w:szCs w:val="20"/>
              </w:rPr>
            </w:pPr>
            <w:r>
              <w:rPr>
                <w:sz w:val="20"/>
                <w:szCs w:val="20"/>
              </w:rPr>
              <w:t>-0.87(-3.56, 1.81</w:t>
            </w:r>
            <w:r w:rsidRPr="00403F21">
              <w:rPr>
                <w:sz w:val="20"/>
                <w:szCs w:val="20"/>
              </w:rPr>
              <w:t>)</w:t>
            </w:r>
          </w:p>
        </w:tc>
        <w:tc>
          <w:tcPr>
            <w:tcW w:w="1700" w:type="dxa"/>
            <w:vAlign w:val="center"/>
          </w:tcPr>
          <w:p w14:paraId="399707D9" w14:textId="2E6EE5EF" w:rsidR="004F55E1" w:rsidRPr="001D3166" w:rsidRDefault="004F55E1" w:rsidP="004F55E1">
            <w:pPr>
              <w:jc w:val="center"/>
              <w:rPr>
                <w:sz w:val="20"/>
                <w:szCs w:val="20"/>
              </w:rPr>
            </w:pPr>
            <w:r>
              <w:rPr>
                <w:sz w:val="20"/>
                <w:szCs w:val="20"/>
              </w:rPr>
              <w:t>1.34</w:t>
            </w:r>
            <w:r w:rsidRPr="001D3166">
              <w:rPr>
                <w:sz w:val="20"/>
                <w:szCs w:val="20"/>
              </w:rPr>
              <w:t>(-1.</w:t>
            </w:r>
            <w:r>
              <w:rPr>
                <w:sz w:val="20"/>
                <w:szCs w:val="20"/>
              </w:rPr>
              <w:t>5</w:t>
            </w:r>
            <w:r w:rsidRPr="001D3166">
              <w:rPr>
                <w:sz w:val="20"/>
                <w:szCs w:val="20"/>
              </w:rPr>
              <w:t>1, 4.</w:t>
            </w:r>
            <w:r>
              <w:rPr>
                <w:sz w:val="20"/>
                <w:szCs w:val="20"/>
              </w:rPr>
              <w:t>20</w:t>
            </w:r>
            <w:r w:rsidRPr="001D3166">
              <w:rPr>
                <w:sz w:val="20"/>
                <w:szCs w:val="20"/>
              </w:rPr>
              <w:t>)</w:t>
            </w:r>
          </w:p>
        </w:tc>
        <w:tc>
          <w:tcPr>
            <w:tcW w:w="1859" w:type="dxa"/>
            <w:vAlign w:val="center"/>
          </w:tcPr>
          <w:p w14:paraId="7214D4B0" w14:textId="77777777" w:rsidR="004F55E1" w:rsidRPr="001D3166" w:rsidRDefault="004F55E1" w:rsidP="004F55E1">
            <w:pPr>
              <w:jc w:val="center"/>
              <w:rPr>
                <w:sz w:val="20"/>
                <w:szCs w:val="20"/>
              </w:rPr>
            </w:pPr>
            <w:r w:rsidRPr="001D3166">
              <w:rPr>
                <w:sz w:val="20"/>
                <w:szCs w:val="20"/>
              </w:rPr>
              <w:t>-</w:t>
            </w:r>
            <w:r>
              <w:rPr>
                <w:b/>
                <w:sz w:val="20"/>
                <w:szCs w:val="20"/>
              </w:rPr>
              <w:t>7.22</w:t>
            </w:r>
            <w:r w:rsidRPr="001D3166">
              <w:rPr>
                <w:b/>
                <w:sz w:val="20"/>
                <w:szCs w:val="20"/>
              </w:rPr>
              <w:t>(</w:t>
            </w:r>
            <w:r>
              <w:rPr>
                <w:b/>
                <w:sz w:val="20"/>
                <w:szCs w:val="20"/>
              </w:rPr>
              <w:t>-9.36, -5.09</w:t>
            </w:r>
            <w:r w:rsidRPr="001D3166">
              <w:rPr>
                <w:b/>
                <w:sz w:val="20"/>
                <w:szCs w:val="20"/>
              </w:rPr>
              <w:t>)</w:t>
            </w:r>
          </w:p>
        </w:tc>
        <w:tc>
          <w:tcPr>
            <w:tcW w:w="1860" w:type="dxa"/>
            <w:vAlign w:val="center"/>
          </w:tcPr>
          <w:p w14:paraId="2430615F" w14:textId="77777777" w:rsidR="004F55E1" w:rsidRPr="001D3166" w:rsidRDefault="004F55E1" w:rsidP="004F55E1">
            <w:pPr>
              <w:jc w:val="center"/>
              <w:rPr>
                <w:b/>
                <w:sz w:val="20"/>
                <w:szCs w:val="20"/>
              </w:rPr>
            </w:pPr>
            <w:r w:rsidRPr="009F0A27">
              <w:rPr>
                <w:sz w:val="20"/>
                <w:szCs w:val="20"/>
              </w:rPr>
              <w:t>2.51(-0.09, 5.11)</w:t>
            </w:r>
          </w:p>
        </w:tc>
        <w:tc>
          <w:tcPr>
            <w:tcW w:w="1859" w:type="dxa"/>
            <w:vAlign w:val="center"/>
          </w:tcPr>
          <w:p w14:paraId="6F142FAF" w14:textId="0C0C9A5C" w:rsidR="004F55E1" w:rsidRPr="001D3166" w:rsidRDefault="004F55E1" w:rsidP="004F55E1">
            <w:pPr>
              <w:jc w:val="center"/>
              <w:rPr>
                <w:sz w:val="20"/>
                <w:szCs w:val="20"/>
              </w:rPr>
            </w:pPr>
            <w:r>
              <w:rPr>
                <w:sz w:val="20"/>
                <w:szCs w:val="20"/>
              </w:rPr>
              <w:t>2.15(-0.34, 4.63</w:t>
            </w:r>
            <w:r w:rsidRPr="001D3166">
              <w:rPr>
                <w:sz w:val="20"/>
                <w:szCs w:val="20"/>
              </w:rPr>
              <w:t>)</w:t>
            </w:r>
          </w:p>
        </w:tc>
        <w:tc>
          <w:tcPr>
            <w:tcW w:w="1878" w:type="dxa"/>
            <w:vAlign w:val="center"/>
          </w:tcPr>
          <w:p w14:paraId="747632EC" w14:textId="77777777" w:rsidR="004F55E1" w:rsidRDefault="004F55E1" w:rsidP="004F55E1">
            <w:pPr>
              <w:jc w:val="center"/>
              <w:rPr>
                <w:sz w:val="20"/>
                <w:szCs w:val="20"/>
              </w:rPr>
            </w:pPr>
            <w:r>
              <w:rPr>
                <w:b/>
                <w:sz w:val="20"/>
                <w:szCs w:val="20"/>
              </w:rPr>
              <w:t>-3.74(-6.41</w:t>
            </w:r>
            <w:r w:rsidRPr="005A58AE">
              <w:rPr>
                <w:b/>
                <w:sz w:val="20"/>
                <w:szCs w:val="20"/>
              </w:rPr>
              <w:t>, -</w:t>
            </w:r>
            <w:r>
              <w:rPr>
                <w:b/>
                <w:sz w:val="20"/>
                <w:szCs w:val="20"/>
              </w:rPr>
              <w:t>1.06</w:t>
            </w:r>
            <w:r w:rsidRPr="005A58AE">
              <w:rPr>
                <w:b/>
                <w:sz w:val="20"/>
                <w:szCs w:val="20"/>
              </w:rPr>
              <w:t>)</w:t>
            </w:r>
          </w:p>
        </w:tc>
        <w:tc>
          <w:tcPr>
            <w:tcW w:w="1842" w:type="dxa"/>
            <w:vAlign w:val="center"/>
          </w:tcPr>
          <w:p w14:paraId="758C8CBB" w14:textId="77777777" w:rsidR="004F55E1" w:rsidRDefault="004F55E1" w:rsidP="004F55E1">
            <w:pPr>
              <w:jc w:val="center"/>
              <w:rPr>
                <w:sz w:val="20"/>
                <w:szCs w:val="20"/>
              </w:rPr>
            </w:pPr>
            <w:r w:rsidRPr="004A4AE1">
              <w:rPr>
                <w:sz w:val="20"/>
                <w:szCs w:val="20"/>
              </w:rPr>
              <w:t>0.04(-0.01, 0.09)</w:t>
            </w:r>
          </w:p>
        </w:tc>
      </w:tr>
      <w:tr w:rsidR="004F55E1" w:rsidRPr="0072438F" w14:paraId="104511DA" w14:textId="77777777" w:rsidTr="005470FE">
        <w:tc>
          <w:tcPr>
            <w:tcW w:w="1783" w:type="dxa"/>
            <w:vAlign w:val="center"/>
          </w:tcPr>
          <w:p w14:paraId="0F34D143" w14:textId="77777777" w:rsidR="004F55E1" w:rsidRPr="00403F21" w:rsidRDefault="004F55E1" w:rsidP="004F55E1">
            <w:pPr>
              <w:rPr>
                <w:sz w:val="20"/>
                <w:szCs w:val="20"/>
              </w:rPr>
            </w:pPr>
            <w:r w:rsidRPr="00403F21">
              <w:rPr>
                <w:sz w:val="20"/>
                <w:szCs w:val="20"/>
              </w:rPr>
              <w:t>Disease duration</w:t>
            </w:r>
          </w:p>
        </w:tc>
        <w:tc>
          <w:tcPr>
            <w:tcW w:w="1956" w:type="dxa"/>
            <w:vAlign w:val="center"/>
          </w:tcPr>
          <w:p w14:paraId="784CBA06" w14:textId="77777777" w:rsidR="004F55E1" w:rsidRPr="00403F21" w:rsidRDefault="004F55E1" w:rsidP="004F55E1">
            <w:pPr>
              <w:jc w:val="center"/>
              <w:rPr>
                <w:b/>
                <w:sz w:val="20"/>
                <w:szCs w:val="20"/>
              </w:rPr>
            </w:pPr>
            <w:r>
              <w:rPr>
                <w:b/>
                <w:sz w:val="20"/>
                <w:szCs w:val="20"/>
              </w:rPr>
              <w:t>-0.27(-0.41</w:t>
            </w:r>
            <w:r w:rsidRPr="00403F21">
              <w:rPr>
                <w:b/>
                <w:sz w:val="20"/>
                <w:szCs w:val="20"/>
              </w:rPr>
              <w:t>, -0.13)</w:t>
            </w:r>
          </w:p>
        </w:tc>
        <w:tc>
          <w:tcPr>
            <w:tcW w:w="1700" w:type="dxa"/>
            <w:vAlign w:val="center"/>
          </w:tcPr>
          <w:p w14:paraId="32896B58" w14:textId="77777777" w:rsidR="004F55E1" w:rsidRPr="001D3166" w:rsidRDefault="004F55E1" w:rsidP="004F55E1">
            <w:pPr>
              <w:jc w:val="center"/>
              <w:rPr>
                <w:b/>
                <w:sz w:val="20"/>
                <w:szCs w:val="20"/>
              </w:rPr>
            </w:pPr>
            <w:r w:rsidRPr="001D3166">
              <w:rPr>
                <w:b/>
                <w:sz w:val="20"/>
                <w:szCs w:val="20"/>
              </w:rPr>
              <w:t>-0.1</w:t>
            </w:r>
            <w:r>
              <w:rPr>
                <w:b/>
                <w:sz w:val="20"/>
                <w:szCs w:val="20"/>
              </w:rPr>
              <w:t>7</w:t>
            </w:r>
            <w:r w:rsidRPr="001D3166">
              <w:rPr>
                <w:b/>
                <w:sz w:val="20"/>
                <w:szCs w:val="20"/>
              </w:rPr>
              <w:t>(-0.32, -0.01)</w:t>
            </w:r>
          </w:p>
        </w:tc>
        <w:tc>
          <w:tcPr>
            <w:tcW w:w="1859" w:type="dxa"/>
            <w:vAlign w:val="center"/>
          </w:tcPr>
          <w:p w14:paraId="5CE7EFD9" w14:textId="77777777" w:rsidR="004F55E1" w:rsidRPr="001D3166" w:rsidRDefault="004F55E1" w:rsidP="004F55E1">
            <w:pPr>
              <w:jc w:val="center"/>
              <w:rPr>
                <w:b/>
                <w:sz w:val="20"/>
                <w:szCs w:val="20"/>
              </w:rPr>
            </w:pPr>
            <w:r w:rsidRPr="001D3166">
              <w:rPr>
                <w:b/>
                <w:sz w:val="20"/>
                <w:szCs w:val="20"/>
              </w:rPr>
              <w:t>-0.12(-0.22, -0.02)</w:t>
            </w:r>
          </w:p>
        </w:tc>
        <w:tc>
          <w:tcPr>
            <w:tcW w:w="1860" w:type="dxa"/>
            <w:vAlign w:val="center"/>
          </w:tcPr>
          <w:p w14:paraId="48E952B7" w14:textId="77777777" w:rsidR="004F55E1" w:rsidRPr="001D3166" w:rsidRDefault="004F55E1" w:rsidP="004F55E1">
            <w:pPr>
              <w:jc w:val="center"/>
              <w:rPr>
                <w:sz w:val="20"/>
                <w:szCs w:val="20"/>
              </w:rPr>
            </w:pPr>
            <w:r w:rsidRPr="001D3166">
              <w:rPr>
                <w:sz w:val="20"/>
                <w:szCs w:val="20"/>
              </w:rPr>
              <w:t>-0.11( -0.26, 0.04)</w:t>
            </w:r>
          </w:p>
        </w:tc>
        <w:tc>
          <w:tcPr>
            <w:tcW w:w="1859" w:type="dxa"/>
            <w:vAlign w:val="center"/>
          </w:tcPr>
          <w:p w14:paraId="3A170C20" w14:textId="77777777" w:rsidR="004F55E1" w:rsidRPr="001D3166" w:rsidRDefault="004F55E1" w:rsidP="004F55E1">
            <w:pPr>
              <w:jc w:val="center"/>
              <w:rPr>
                <w:b/>
                <w:sz w:val="20"/>
                <w:szCs w:val="20"/>
              </w:rPr>
            </w:pPr>
            <w:r>
              <w:rPr>
                <w:b/>
                <w:sz w:val="20"/>
                <w:szCs w:val="20"/>
              </w:rPr>
              <w:t>-0.15</w:t>
            </w:r>
            <w:r w:rsidRPr="001D3166">
              <w:rPr>
                <w:b/>
                <w:sz w:val="20"/>
                <w:szCs w:val="20"/>
              </w:rPr>
              <w:t>(-0.29, -0.02)</w:t>
            </w:r>
          </w:p>
        </w:tc>
        <w:tc>
          <w:tcPr>
            <w:tcW w:w="1878" w:type="dxa"/>
            <w:vAlign w:val="center"/>
          </w:tcPr>
          <w:p w14:paraId="2138F2B5" w14:textId="77777777" w:rsidR="004F55E1" w:rsidRDefault="004F55E1" w:rsidP="004F55E1">
            <w:pPr>
              <w:jc w:val="center"/>
              <w:rPr>
                <w:b/>
                <w:sz w:val="20"/>
                <w:szCs w:val="20"/>
              </w:rPr>
            </w:pPr>
            <w:r w:rsidRPr="005A58AE">
              <w:rPr>
                <w:sz w:val="20"/>
                <w:szCs w:val="20"/>
              </w:rPr>
              <w:t>0.0</w:t>
            </w:r>
            <w:r>
              <w:rPr>
                <w:sz w:val="20"/>
                <w:szCs w:val="20"/>
              </w:rPr>
              <w:t>6(-0.07</w:t>
            </w:r>
            <w:r w:rsidRPr="005A58AE">
              <w:rPr>
                <w:sz w:val="20"/>
                <w:szCs w:val="20"/>
              </w:rPr>
              <w:t xml:space="preserve">, </w:t>
            </w:r>
            <w:r>
              <w:rPr>
                <w:sz w:val="20"/>
                <w:szCs w:val="20"/>
              </w:rPr>
              <w:t>0.19</w:t>
            </w:r>
            <w:r w:rsidRPr="005A58AE">
              <w:rPr>
                <w:sz w:val="20"/>
                <w:szCs w:val="20"/>
              </w:rPr>
              <w:t>)</w:t>
            </w:r>
          </w:p>
        </w:tc>
        <w:tc>
          <w:tcPr>
            <w:tcW w:w="1842" w:type="dxa"/>
            <w:vAlign w:val="center"/>
          </w:tcPr>
          <w:p w14:paraId="20C3BD62" w14:textId="77777777" w:rsidR="004F55E1" w:rsidRDefault="004F55E1" w:rsidP="004F55E1">
            <w:pPr>
              <w:jc w:val="center"/>
              <w:rPr>
                <w:b/>
                <w:sz w:val="20"/>
                <w:szCs w:val="20"/>
              </w:rPr>
            </w:pPr>
            <w:r w:rsidRPr="004A4AE1">
              <w:rPr>
                <w:sz w:val="20"/>
                <w:szCs w:val="20"/>
              </w:rPr>
              <w:t>-0.00(-0.01, 0.00)</w:t>
            </w:r>
          </w:p>
        </w:tc>
      </w:tr>
      <w:tr w:rsidR="004F55E1" w:rsidRPr="0072438F" w14:paraId="6FF99B0C" w14:textId="77777777" w:rsidTr="005470FE">
        <w:tc>
          <w:tcPr>
            <w:tcW w:w="1783" w:type="dxa"/>
            <w:vAlign w:val="center"/>
          </w:tcPr>
          <w:p w14:paraId="44CA82FB" w14:textId="77777777" w:rsidR="004F55E1" w:rsidRPr="00B74470" w:rsidRDefault="004F55E1" w:rsidP="004F55E1">
            <w:pPr>
              <w:rPr>
                <w:b/>
                <w:sz w:val="20"/>
                <w:szCs w:val="20"/>
              </w:rPr>
            </w:pPr>
            <w:r w:rsidRPr="00B74470">
              <w:rPr>
                <w:b/>
                <w:sz w:val="20"/>
                <w:szCs w:val="20"/>
              </w:rPr>
              <w:t>Comorbid</w:t>
            </w:r>
          </w:p>
        </w:tc>
        <w:tc>
          <w:tcPr>
            <w:tcW w:w="1956" w:type="dxa"/>
            <w:vAlign w:val="center"/>
          </w:tcPr>
          <w:p w14:paraId="280FA629" w14:textId="77777777" w:rsidR="004F55E1" w:rsidRDefault="004F55E1" w:rsidP="004F55E1">
            <w:pPr>
              <w:jc w:val="center"/>
              <w:rPr>
                <w:sz w:val="20"/>
                <w:szCs w:val="20"/>
              </w:rPr>
            </w:pPr>
          </w:p>
        </w:tc>
        <w:tc>
          <w:tcPr>
            <w:tcW w:w="1700" w:type="dxa"/>
            <w:vAlign w:val="center"/>
          </w:tcPr>
          <w:p w14:paraId="7B66379A" w14:textId="77777777" w:rsidR="004F55E1" w:rsidRPr="00403F21" w:rsidRDefault="004F55E1" w:rsidP="004F55E1">
            <w:pPr>
              <w:jc w:val="center"/>
              <w:rPr>
                <w:sz w:val="20"/>
                <w:szCs w:val="20"/>
              </w:rPr>
            </w:pPr>
          </w:p>
        </w:tc>
        <w:tc>
          <w:tcPr>
            <w:tcW w:w="1859" w:type="dxa"/>
            <w:vAlign w:val="center"/>
          </w:tcPr>
          <w:p w14:paraId="1B6FFE71" w14:textId="77777777" w:rsidR="004F55E1" w:rsidRDefault="004F55E1" w:rsidP="004F55E1">
            <w:pPr>
              <w:jc w:val="center"/>
              <w:rPr>
                <w:sz w:val="20"/>
                <w:szCs w:val="20"/>
              </w:rPr>
            </w:pPr>
          </w:p>
        </w:tc>
        <w:tc>
          <w:tcPr>
            <w:tcW w:w="1860" w:type="dxa"/>
            <w:vAlign w:val="center"/>
          </w:tcPr>
          <w:p w14:paraId="3280F351" w14:textId="77777777" w:rsidR="004F55E1" w:rsidRDefault="004F55E1" w:rsidP="004F55E1">
            <w:pPr>
              <w:jc w:val="center"/>
              <w:rPr>
                <w:sz w:val="20"/>
                <w:szCs w:val="20"/>
              </w:rPr>
            </w:pPr>
          </w:p>
        </w:tc>
        <w:tc>
          <w:tcPr>
            <w:tcW w:w="1859" w:type="dxa"/>
            <w:vAlign w:val="center"/>
          </w:tcPr>
          <w:p w14:paraId="18034218" w14:textId="77777777" w:rsidR="004F55E1" w:rsidRDefault="004F55E1" w:rsidP="004F55E1">
            <w:pPr>
              <w:jc w:val="center"/>
              <w:rPr>
                <w:sz w:val="20"/>
                <w:szCs w:val="20"/>
              </w:rPr>
            </w:pPr>
          </w:p>
        </w:tc>
        <w:tc>
          <w:tcPr>
            <w:tcW w:w="1878" w:type="dxa"/>
            <w:vAlign w:val="center"/>
          </w:tcPr>
          <w:p w14:paraId="500B5A20" w14:textId="77777777" w:rsidR="004F55E1" w:rsidRDefault="004F55E1" w:rsidP="004F55E1">
            <w:pPr>
              <w:jc w:val="center"/>
              <w:rPr>
                <w:b/>
                <w:sz w:val="20"/>
                <w:szCs w:val="20"/>
              </w:rPr>
            </w:pPr>
          </w:p>
        </w:tc>
        <w:tc>
          <w:tcPr>
            <w:tcW w:w="1842" w:type="dxa"/>
            <w:vAlign w:val="center"/>
          </w:tcPr>
          <w:p w14:paraId="5E8D5B6F" w14:textId="77777777" w:rsidR="004F55E1" w:rsidRPr="004A4AE1" w:rsidRDefault="004F55E1" w:rsidP="004F55E1">
            <w:pPr>
              <w:jc w:val="center"/>
              <w:rPr>
                <w:sz w:val="20"/>
                <w:szCs w:val="20"/>
              </w:rPr>
            </w:pPr>
          </w:p>
        </w:tc>
      </w:tr>
      <w:tr w:rsidR="004F55E1" w:rsidRPr="0072438F" w14:paraId="12D76CA2" w14:textId="77777777" w:rsidTr="005470FE">
        <w:tc>
          <w:tcPr>
            <w:tcW w:w="1783" w:type="dxa"/>
            <w:vAlign w:val="center"/>
          </w:tcPr>
          <w:p w14:paraId="55BE0083" w14:textId="77777777" w:rsidR="004F55E1" w:rsidRPr="00403F21" w:rsidRDefault="004F55E1" w:rsidP="004F55E1">
            <w:pPr>
              <w:rPr>
                <w:sz w:val="20"/>
                <w:szCs w:val="20"/>
              </w:rPr>
            </w:pPr>
            <w:r>
              <w:rPr>
                <w:sz w:val="20"/>
                <w:szCs w:val="20"/>
              </w:rPr>
              <w:t xml:space="preserve">Total number of </w:t>
            </w:r>
            <w:r w:rsidRPr="00403F21">
              <w:rPr>
                <w:sz w:val="20"/>
                <w:szCs w:val="20"/>
              </w:rPr>
              <w:t>Comorbidities</w:t>
            </w:r>
          </w:p>
        </w:tc>
        <w:tc>
          <w:tcPr>
            <w:tcW w:w="1956" w:type="dxa"/>
            <w:vAlign w:val="center"/>
          </w:tcPr>
          <w:p w14:paraId="752683D1" w14:textId="77777777" w:rsidR="004F55E1" w:rsidRPr="00610501" w:rsidRDefault="004F55E1" w:rsidP="004F55E1">
            <w:pPr>
              <w:jc w:val="center"/>
              <w:rPr>
                <w:sz w:val="20"/>
                <w:szCs w:val="20"/>
              </w:rPr>
            </w:pPr>
            <w:r>
              <w:rPr>
                <w:sz w:val="20"/>
                <w:szCs w:val="20"/>
              </w:rPr>
              <w:t>-0.07(-1.32, 1.18</w:t>
            </w:r>
            <w:r w:rsidRPr="00403F21">
              <w:rPr>
                <w:sz w:val="20"/>
                <w:szCs w:val="20"/>
              </w:rPr>
              <w:t>)</w:t>
            </w:r>
          </w:p>
        </w:tc>
        <w:tc>
          <w:tcPr>
            <w:tcW w:w="1700" w:type="dxa"/>
            <w:vAlign w:val="center"/>
          </w:tcPr>
          <w:p w14:paraId="619BEE26" w14:textId="77777777" w:rsidR="004F55E1" w:rsidRPr="00610501" w:rsidRDefault="004F55E1" w:rsidP="004F55E1">
            <w:pPr>
              <w:jc w:val="center"/>
              <w:rPr>
                <w:sz w:val="20"/>
                <w:szCs w:val="20"/>
              </w:rPr>
            </w:pPr>
            <w:r w:rsidRPr="00403F21">
              <w:rPr>
                <w:sz w:val="20"/>
                <w:szCs w:val="20"/>
              </w:rPr>
              <w:t>-0.11</w:t>
            </w:r>
            <w:r>
              <w:rPr>
                <w:sz w:val="20"/>
                <w:szCs w:val="20"/>
              </w:rPr>
              <w:t>(-1.45, 1.24</w:t>
            </w:r>
            <w:r w:rsidRPr="00403F21">
              <w:rPr>
                <w:sz w:val="20"/>
                <w:szCs w:val="20"/>
              </w:rPr>
              <w:t>)</w:t>
            </w:r>
          </w:p>
        </w:tc>
        <w:tc>
          <w:tcPr>
            <w:tcW w:w="1859" w:type="dxa"/>
            <w:vAlign w:val="center"/>
          </w:tcPr>
          <w:p w14:paraId="360C0025" w14:textId="77777777" w:rsidR="004F55E1" w:rsidRPr="00610501" w:rsidRDefault="004F55E1" w:rsidP="004F55E1">
            <w:pPr>
              <w:jc w:val="center"/>
              <w:rPr>
                <w:sz w:val="20"/>
                <w:szCs w:val="20"/>
              </w:rPr>
            </w:pPr>
            <w:r>
              <w:rPr>
                <w:sz w:val="20"/>
                <w:szCs w:val="20"/>
              </w:rPr>
              <w:t>0.61(-0.27, 1.49</w:t>
            </w:r>
            <w:r w:rsidRPr="00403F21">
              <w:rPr>
                <w:sz w:val="20"/>
                <w:szCs w:val="20"/>
              </w:rPr>
              <w:t>)</w:t>
            </w:r>
          </w:p>
        </w:tc>
        <w:tc>
          <w:tcPr>
            <w:tcW w:w="1860" w:type="dxa"/>
            <w:vAlign w:val="center"/>
          </w:tcPr>
          <w:p w14:paraId="056E6B34" w14:textId="77777777" w:rsidR="004F55E1" w:rsidRPr="001D3166" w:rsidRDefault="004F55E1" w:rsidP="004F55E1">
            <w:pPr>
              <w:jc w:val="center"/>
              <w:rPr>
                <w:sz w:val="20"/>
                <w:szCs w:val="20"/>
              </w:rPr>
            </w:pPr>
            <w:r>
              <w:rPr>
                <w:sz w:val="20"/>
                <w:szCs w:val="20"/>
              </w:rPr>
              <w:t>-0.14(-1.46, 1.18</w:t>
            </w:r>
            <w:r w:rsidRPr="00403F21">
              <w:rPr>
                <w:sz w:val="20"/>
                <w:szCs w:val="20"/>
              </w:rPr>
              <w:t>)</w:t>
            </w:r>
          </w:p>
        </w:tc>
        <w:tc>
          <w:tcPr>
            <w:tcW w:w="1859" w:type="dxa"/>
            <w:vAlign w:val="center"/>
          </w:tcPr>
          <w:p w14:paraId="7813629C" w14:textId="77777777" w:rsidR="004F55E1" w:rsidRPr="00B74470" w:rsidRDefault="004F55E1" w:rsidP="004F55E1">
            <w:pPr>
              <w:jc w:val="center"/>
              <w:rPr>
                <w:sz w:val="20"/>
                <w:szCs w:val="20"/>
              </w:rPr>
            </w:pPr>
            <w:r>
              <w:rPr>
                <w:sz w:val="20"/>
                <w:szCs w:val="20"/>
              </w:rPr>
              <w:t>0.41(-0.77, 1.59</w:t>
            </w:r>
            <w:r w:rsidRPr="00403F21">
              <w:rPr>
                <w:sz w:val="20"/>
                <w:szCs w:val="20"/>
              </w:rPr>
              <w:t>)</w:t>
            </w:r>
          </w:p>
        </w:tc>
        <w:tc>
          <w:tcPr>
            <w:tcW w:w="1878" w:type="dxa"/>
            <w:vAlign w:val="center"/>
          </w:tcPr>
          <w:p w14:paraId="1ABAE7C5" w14:textId="77777777" w:rsidR="004F55E1" w:rsidRPr="005A58AE" w:rsidRDefault="004F55E1" w:rsidP="004F55E1">
            <w:pPr>
              <w:jc w:val="center"/>
              <w:rPr>
                <w:sz w:val="20"/>
                <w:szCs w:val="20"/>
              </w:rPr>
            </w:pPr>
            <w:r>
              <w:rPr>
                <w:b/>
                <w:sz w:val="20"/>
                <w:szCs w:val="20"/>
              </w:rPr>
              <w:t>-1.34(-2.63, -0.05</w:t>
            </w:r>
            <w:r w:rsidRPr="005A58AE">
              <w:rPr>
                <w:b/>
                <w:sz w:val="20"/>
                <w:szCs w:val="20"/>
              </w:rPr>
              <w:t>)</w:t>
            </w:r>
          </w:p>
        </w:tc>
        <w:tc>
          <w:tcPr>
            <w:tcW w:w="1842" w:type="dxa"/>
            <w:vAlign w:val="center"/>
          </w:tcPr>
          <w:p w14:paraId="0F5A3607" w14:textId="77777777" w:rsidR="004F55E1" w:rsidRPr="004A4AE1" w:rsidRDefault="004F55E1" w:rsidP="004F55E1">
            <w:pPr>
              <w:jc w:val="center"/>
              <w:rPr>
                <w:sz w:val="20"/>
                <w:szCs w:val="20"/>
              </w:rPr>
            </w:pPr>
            <w:r w:rsidRPr="004A4AE1">
              <w:rPr>
                <w:sz w:val="20"/>
                <w:szCs w:val="20"/>
              </w:rPr>
              <w:t>0.03(-0.01, 0.06)</w:t>
            </w:r>
          </w:p>
        </w:tc>
      </w:tr>
      <w:tr w:rsidR="004F55E1" w:rsidRPr="0072438F" w14:paraId="3FCA4606" w14:textId="77777777" w:rsidTr="005470FE">
        <w:tc>
          <w:tcPr>
            <w:tcW w:w="1783" w:type="dxa"/>
            <w:vAlign w:val="center"/>
          </w:tcPr>
          <w:p w14:paraId="6D6F3E44" w14:textId="77777777" w:rsidR="004F55E1" w:rsidRPr="00403F21" w:rsidRDefault="004F55E1" w:rsidP="004F55E1">
            <w:pPr>
              <w:rPr>
                <w:sz w:val="20"/>
                <w:szCs w:val="20"/>
              </w:rPr>
            </w:pPr>
            <w:r w:rsidRPr="00403F21">
              <w:rPr>
                <w:sz w:val="20"/>
                <w:szCs w:val="20"/>
              </w:rPr>
              <w:t>eGFR &lt;60</w:t>
            </w:r>
            <w:r w:rsidRPr="00403F21">
              <w:rPr>
                <w:rFonts w:ascii="Calibri" w:eastAsia="Calibri" w:hAnsi="Calibri" w:cs="Times New Roman"/>
                <w:sz w:val="20"/>
                <w:szCs w:val="20"/>
              </w:rPr>
              <w:t>mL/min/1.73m</w:t>
            </w:r>
            <w:r w:rsidRPr="00403F21">
              <w:rPr>
                <w:rFonts w:ascii="Calibri" w:eastAsia="Calibri" w:hAnsi="Calibri" w:cs="Times New Roman"/>
                <w:sz w:val="20"/>
                <w:szCs w:val="20"/>
                <w:vertAlign w:val="superscript"/>
              </w:rPr>
              <w:t>2</w:t>
            </w:r>
          </w:p>
        </w:tc>
        <w:tc>
          <w:tcPr>
            <w:tcW w:w="1956" w:type="dxa"/>
            <w:vAlign w:val="center"/>
          </w:tcPr>
          <w:p w14:paraId="5FB4B87A" w14:textId="77777777" w:rsidR="004F55E1" w:rsidRPr="00610501" w:rsidRDefault="004F55E1" w:rsidP="004F55E1">
            <w:pPr>
              <w:jc w:val="center"/>
              <w:rPr>
                <w:sz w:val="20"/>
                <w:szCs w:val="20"/>
              </w:rPr>
            </w:pPr>
            <w:r>
              <w:rPr>
                <w:sz w:val="20"/>
                <w:szCs w:val="20"/>
              </w:rPr>
              <w:t>1.36(-2.60</w:t>
            </w:r>
            <w:r w:rsidRPr="00403F21">
              <w:rPr>
                <w:sz w:val="20"/>
                <w:szCs w:val="20"/>
              </w:rPr>
              <w:t>,</w:t>
            </w:r>
            <w:r>
              <w:rPr>
                <w:sz w:val="20"/>
                <w:szCs w:val="20"/>
              </w:rPr>
              <w:t xml:space="preserve"> </w:t>
            </w:r>
            <w:r w:rsidRPr="00403F21">
              <w:rPr>
                <w:sz w:val="20"/>
                <w:szCs w:val="20"/>
              </w:rPr>
              <w:t>5.</w:t>
            </w:r>
            <w:r>
              <w:rPr>
                <w:sz w:val="20"/>
                <w:szCs w:val="20"/>
              </w:rPr>
              <w:t>33</w:t>
            </w:r>
            <w:r w:rsidRPr="00403F21">
              <w:rPr>
                <w:sz w:val="20"/>
                <w:szCs w:val="20"/>
              </w:rPr>
              <w:t>)</w:t>
            </w:r>
          </w:p>
        </w:tc>
        <w:tc>
          <w:tcPr>
            <w:tcW w:w="1700" w:type="dxa"/>
            <w:vAlign w:val="center"/>
          </w:tcPr>
          <w:p w14:paraId="3316113D" w14:textId="77777777" w:rsidR="004F55E1" w:rsidRPr="00610501" w:rsidRDefault="004F55E1" w:rsidP="004F55E1">
            <w:pPr>
              <w:jc w:val="center"/>
              <w:rPr>
                <w:sz w:val="20"/>
                <w:szCs w:val="20"/>
              </w:rPr>
            </w:pPr>
            <w:r w:rsidRPr="00403F21">
              <w:rPr>
                <w:sz w:val="20"/>
                <w:szCs w:val="20"/>
              </w:rPr>
              <w:t>0</w:t>
            </w:r>
            <w:r>
              <w:rPr>
                <w:sz w:val="20"/>
                <w:szCs w:val="20"/>
              </w:rPr>
              <w:t>.51(-3.77, 4.80</w:t>
            </w:r>
            <w:r w:rsidRPr="00403F21">
              <w:rPr>
                <w:sz w:val="20"/>
                <w:szCs w:val="20"/>
              </w:rPr>
              <w:t>)</w:t>
            </w:r>
          </w:p>
        </w:tc>
        <w:tc>
          <w:tcPr>
            <w:tcW w:w="1859" w:type="dxa"/>
            <w:vAlign w:val="center"/>
          </w:tcPr>
          <w:p w14:paraId="70A020BB" w14:textId="77777777" w:rsidR="004F55E1" w:rsidRPr="00610501" w:rsidRDefault="004F55E1" w:rsidP="004F55E1">
            <w:pPr>
              <w:jc w:val="center"/>
              <w:rPr>
                <w:sz w:val="20"/>
                <w:szCs w:val="20"/>
              </w:rPr>
            </w:pPr>
            <w:r w:rsidRPr="00403F21">
              <w:rPr>
                <w:sz w:val="20"/>
                <w:szCs w:val="20"/>
              </w:rPr>
              <w:t>-</w:t>
            </w:r>
            <w:r>
              <w:rPr>
                <w:sz w:val="20"/>
                <w:szCs w:val="20"/>
              </w:rPr>
              <w:t>2.05(-4.79</w:t>
            </w:r>
            <w:r w:rsidRPr="00403F21">
              <w:rPr>
                <w:sz w:val="20"/>
                <w:szCs w:val="20"/>
              </w:rPr>
              <w:t>, 0.</w:t>
            </w:r>
            <w:r>
              <w:rPr>
                <w:sz w:val="20"/>
                <w:szCs w:val="20"/>
              </w:rPr>
              <w:t>69</w:t>
            </w:r>
            <w:r w:rsidRPr="00403F21">
              <w:rPr>
                <w:sz w:val="20"/>
                <w:szCs w:val="20"/>
              </w:rPr>
              <w:t>)</w:t>
            </w:r>
          </w:p>
        </w:tc>
        <w:tc>
          <w:tcPr>
            <w:tcW w:w="1860" w:type="dxa"/>
            <w:vAlign w:val="center"/>
          </w:tcPr>
          <w:p w14:paraId="4A14A264" w14:textId="77777777" w:rsidR="004F55E1" w:rsidRPr="001D3166" w:rsidRDefault="004F55E1" w:rsidP="004F55E1">
            <w:pPr>
              <w:jc w:val="center"/>
              <w:rPr>
                <w:sz w:val="20"/>
                <w:szCs w:val="20"/>
              </w:rPr>
            </w:pPr>
            <w:r w:rsidRPr="00403F21">
              <w:rPr>
                <w:sz w:val="20"/>
                <w:szCs w:val="20"/>
              </w:rPr>
              <w:t>1</w:t>
            </w:r>
            <w:r>
              <w:rPr>
                <w:sz w:val="20"/>
                <w:szCs w:val="20"/>
              </w:rPr>
              <w:t>.51(-2.70, 5.72</w:t>
            </w:r>
            <w:r w:rsidRPr="00403F21">
              <w:rPr>
                <w:sz w:val="20"/>
                <w:szCs w:val="20"/>
              </w:rPr>
              <w:t>)</w:t>
            </w:r>
          </w:p>
        </w:tc>
        <w:tc>
          <w:tcPr>
            <w:tcW w:w="1859" w:type="dxa"/>
            <w:vAlign w:val="center"/>
          </w:tcPr>
          <w:p w14:paraId="14A6A4EE" w14:textId="77777777" w:rsidR="004F55E1" w:rsidRPr="00B74470" w:rsidRDefault="004F55E1" w:rsidP="004F55E1">
            <w:pPr>
              <w:jc w:val="center"/>
              <w:rPr>
                <w:sz w:val="20"/>
                <w:szCs w:val="20"/>
              </w:rPr>
            </w:pPr>
            <w:r>
              <w:rPr>
                <w:sz w:val="20"/>
                <w:szCs w:val="20"/>
              </w:rPr>
              <w:t>2.15(-1.60, 5.89</w:t>
            </w:r>
            <w:r w:rsidRPr="00403F21">
              <w:rPr>
                <w:sz w:val="20"/>
                <w:szCs w:val="20"/>
              </w:rPr>
              <w:t>)</w:t>
            </w:r>
          </w:p>
        </w:tc>
        <w:tc>
          <w:tcPr>
            <w:tcW w:w="1878" w:type="dxa"/>
            <w:vAlign w:val="center"/>
          </w:tcPr>
          <w:p w14:paraId="581206B1" w14:textId="6F77C81B" w:rsidR="004F55E1" w:rsidRPr="005A58AE" w:rsidRDefault="004F55E1" w:rsidP="004F55E1">
            <w:pPr>
              <w:jc w:val="center"/>
              <w:rPr>
                <w:sz w:val="20"/>
                <w:szCs w:val="20"/>
              </w:rPr>
            </w:pPr>
            <w:r>
              <w:rPr>
                <w:b/>
                <w:sz w:val="20"/>
                <w:szCs w:val="20"/>
              </w:rPr>
              <w:t>-4.28(-8.09, -0.46</w:t>
            </w:r>
            <w:r w:rsidRPr="005A58AE">
              <w:rPr>
                <w:b/>
                <w:sz w:val="20"/>
                <w:szCs w:val="20"/>
              </w:rPr>
              <w:t>)</w:t>
            </w:r>
          </w:p>
        </w:tc>
        <w:tc>
          <w:tcPr>
            <w:tcW w:w="1842" w:type="dxa"/>
            <w:vAlign w:val="center"/>
          </w:tcPr>
          <w:p w14:paraId="46979209" w14:textId="77777777" w:rsidR="004F55E1" w:rsidRPr="004A4AE1" w:rsidRDefault="004F55E1" w:rsidP="004F55E1">
            <w:pPr>
              <w:jc w:val="center"/>
              <w:rPr>
                <w:sz w:val="20"/>
                <w:szCs w:val="20"/>
              </w:rPr>
            </w:pPr>
            <w:r w:rsidRPr="004A4AE1">
              <w:rPr>
                <w:b/>
                <w:sz w:val="20"/>
                <w:szCs w:val="20"/>
              </w:rPr>
              <w:t>0.10(0.01, 0.20)</w:t>
            </w:r>
          </w:p>
        </w:tc>
      </w:tr>
      <w:tr w:rsidR="004F55E1" w:rsidRPr="0072438F" w14:paraId="47D32833" w14:textId="77777777" w:rsidTr="005470FE">
        <w:tc>
          <w:tcPr>
            <w:tcW w:w="1783" w:type="dxa"/>
            <w:vAlign w:val="center"/>
          </w:tcPr>
          <w:p w14:paraId="4DED3D74" w14:textId="77777777" w:rsidR="004F55E1" w:rsidRPr="00403F21" w:rsidRDefault="004F55E1" w:rsidP="004F55E1">
            <w:pPr>
              <w:rPr>
                <w:sz w:val="20"/>
                <w:szCs w:val="20"/>
              </w:rPr>
            </w:pPr>
            <w:r w:rsidRPr="00403F21">
              <w:rPr>
                <w:sz w:val="20"/>
                <w:szCs w:val="20"/>
              </w:rPr>
              <w:t>Pain NRS score</w:t>
            </w:r>
            <w:r w:rsidRPr="00403F21">
              <w:rPr>
                <w:rFonts w:ascii="Wingdings 2" w:eastAsia="Wingdings 2" w:hAnsi="Wingdings 2" w:cs="Wingdings 2"/>
                <w:sz w:val="20"/>
                <w:szCs w:val="20"/>
                <w:vertAlign w:val="superscript"/>
              </w:rPr>
              <w:t></w:t>
            </w:r>
          </w:p>
        </w:tc>
        <w:tc>
          <w:tcPr>
            <w:tcW w:w="1956" w:type="dxa"/>
            <w:vAlign w:val="center"/>
          </w:tcPr>
          <w:p w14:paraId="215B6CD9" w14:textId="77777777" w:rsidR="004F55E1" w:rsidRDefault="004F55E1" w:rsidP="004F55E1">
            <w:pPr>
              <w:jc w:val="center"/>
              <w:rPr>
                <w:b/>
                <w:sz w:val="20"/>
                <w:szCs w:val="20"/>
              </w:rPr>
            </w:pPr>
            <w:r>
              <w:rPr>
                <w:b/>
                <w:sz w:val="20"/>
                <w:szCs w:val="20"/>
              </w:rPr>
              <w:t>1.24(0.82, 1.66</w:t>
            </w:r>
            <w:r w:rsidRPr="00403F21">
              <w:rPr>
                <w:b/>
                <w:sz w:val="20"/>
                <w:szCs w:val="20"/>
              </w:rPr>
              <w:t>)</w:t>
            </w:r>
          </w:p>
        </w:tc>
        <w:tc>
          <w:tcPr>
            <w:tcW w:w="1700" w:type="dxa"/>
            <w:vAlign w:val="center"/>
          </w:tcPr>
          <w:p w14:paraId="4B6B9547" w14:textId="77777777" w:rsidR="004F55E1" w:rsidRPr="00610501" w:rsidRDefault="004F55E1" w:rsidP="004F55E1">
            <w:pPr>
              <w:jc w:val="center"/>
              <w:rPr>
                <w:sz w:val="20"/>
                <w:szCs w:val="20"/>
              </w:rPr>
            </w:pPr>
            <w:r>
              <w:rPr>
                <w:sz w:val="20"/>
                <w:szCs w:val="20"/>
              </w:rPr>
              <w:t>0.43( -0.02, 0.87</w:t>
            </w:r>
            <w:r w:rsidRPr="00403F21">
              <w:rPr>
                <w:sz w:val="20"/>
                <w:szCs w:val="20"/>
              </w:rPr>
              <w:t>)</w:t>
            </w:r>
          </w:p>
        </w:tc>
        <w:tc>
          <w:tcPr>
            <w:tcW w:w="1859" w:type="dxa"/>
            <w:vAlign w:val="center"/>
          </w:tcPr>
          <w:p w14:paraId="794A9377" w14:textId="77777777" w:rsidR="004F55E1" w:rsidRPr="001D3166" w:rsidRDefault="004F55E1" w:rsidP="004F55E1">
            <w:pPr>
              <w:jc w:val="center"/>
              <w:rPr>
                <w:b/>
                <w:sz w:val="20"/>
                <w:szCs w:val="20"/>
              </w:rPr>
            </w:pPr>
            <w:r>
              <w:rPr>
                <w:b/>
                <w:sz w:val="20"/>
                <w:szCs w:val="20"/>
              </w:rPr>
              <w:t>0.63(0.26, 1.00</w:t>
            </w:r>
            <w:r w:rsidRPr="00403F21">
              <w:rPr>
                <w:b/>
                <w:sz w:val="20"/>
                <w:szCs w:val="20"/>
              </w:rPr>
              <w:t>)</w:t>
            </w:r>
          </w:p>
        </w:tc>
        <w:tc>
          <w:tcPr>
            <w:tcW w:w="1860" w:type="dxa"/>
            <w:vAlign w:val="center"/>
          </w:tcPr>
          <w:p w14:paraId="3D0831CB" w14:textId="77777777" w:rsidR="004F55E1" w:rsidRPr="00B74470" w:rsidRDefault="004F55E1" w:rsidP="004F55E1">
            <w:pPr>
              <w:jc w:val="center"/>
              <w:rPr>
                <w:b/>
                <w:sz w:val="20"/>
                <w:szCs w:val="20"/>
              </w:rPr>
            </w:pPr>
            <w:r>
              <w:rPr>
                <w:b/>
                <w:sz w:val="20"/>
                <w:szCs w:val="20"/>
              </w:rPr>
              <w:t>1.57(1.18, 1.95</w:t>
            </w:r>
            <w:r w:rsidRPr="00403F21">
              <w:rPr>
                <w:b/>
                <w:sz w:val="20"/>
                <w:szCs w:val="20"/>
              </w:rPr>
              <w:t>)</w:t>
            </w:r>
          </w:p>
        </w:tc>
        <w:tc>
          <w:tcPr>
            <w:tcW w:w="1859" w:type="dxa"/>
            <w:vAlign w:val="center"/>
          </w:tcPr>
          <w:p w14:paraId="7E6B126F" w14:textId="77777777" w:rsidR="004F55E1" w:rsidRDefault="004F55E1" w:rsidP="004F55E1">
            <w:pPr>
              <w:jc w:val="center"/>
              <w:rPr>
                <w:b/>
                <w:sz w:val="20"/>
                <w:szCs w:val="20"/>
              </w:rPr>
            </w:pPr>
            <w:r>
              <w:rPr>
                <w:b/>
                <w:sz w:val="20"/>
                <w:szCs w:val="20"/>
              </w:rPr>
              <w:t>0.51(0.12, 0.89</w:t>
            </w:r>
            <w:r w:rsidRPr="00403F21">
              <w:rPr>
                <w:b/>
                <w:sz w:val="20"/>
                <w:szCs w:val="20"/>
              </w:rPr>
              <w:t>)</w:t>
            </w:r>
          </w:p>
        </w:tc>
        <w:tc>
          <w:tcPr>
            <w:tcW w:w="1878" w:type="dxa"/>
            <w:vAlign w:val="center"/>
          </w:tcPr>
          <w:p w14:paraId="6CAF166C" w14:textId="77777777" w:rsidR="004F55E1" w:rsidRPr="005A58AE" w:rsidRDefault="004F55E1" w:rsidP="004F55E1">
            <w:pPr>
              <w:jc w:val="center"/>
              <w:rPr>
                <w:sz w:val="20"/>
                <w:szCs w:val="20"/>
              </w:rPr>
            </w:pPr>
            <w:r>
              <w:rPr>
                <w:b/>
                <w:sz w:val="20"/>
                <w:szCs w:val="20"/>
              </w:rPr>
              <w:t>-2.03(-2.56, -1.50</w:t>
            </w:r>
            <w:r w:rsidRPr="005A58AE">
              <w:rPr>
                <w:b/>
                <w:sz w:val="20"/>
                <w:szCs w:val="20"/>
              </w:rPr>
              <w:t>)</w:t>
            </w:r>
          </w:p>
        </w:tc>
        <w:tc>
          <w:tcPr>
            <w:tcW w:w="1842" w:type="dxa"/>
            <w:vAlign w:val="center"/>
          </w:tcPr>
          <w:p w14:paraId="13FC0EDE" w14:textId="77777777" w:rsidR="004F55E1" w:rsidRPr="004A4AE1" w:rsidRDefault="004F55E1" w:rsidP="004F55E1">
            <w:pPr>
              <w:jc w:val="center"/>
              <w:rPr>
                <w:sz w:val="20"/>
                <w:szCs w:val="20"/>
              </w:rPr>
            </w:pPr>
            <w:r w:rsidRPr="004A4AE1">
              <w:rPr>
                <w:b/>
                <w:sz w:val="20"/>
                <w:szCs w:val="20"/>
              </w:rPr>
              <w:t>0.05(0.04, 0.06)</w:t>
            </w:r>
          </w:p>
        </w:tc>
      </w:tr>
      <w:tr w:rsidR="004F55E1" w:rsidRPr="0072438F" w14:paraId="10FF99A3" w14:textId="77777777" w:rsidTr="005470FE">
        <w:tc>
          <w:tcPr>
            <w:tcW w:w="1783" w:type="dxa"/>
            <w:vAlign w:val="center"/>
          </w:tcPr>
          <w:p w14:paraId="0ABA064C" w14:textId="77777777" w:rsidR="004F55E1" w:rsidRPr="00403F21" w:rsidRDefault="004F55E1" w:rsidP="004F55E1">
            <w:pPr>
              <w:rPr>
                <w:sz w:val="20"/>
                <w:szCs w:val="20"/>
              </w:rPr>
            </w:pPr>
            <w:r w:rsidRPr="00403F21">
              <w:rPr>
                <w:sz w:val="20"/>
                <w:szCs w:val="20"/>
              </w:rPr>
              <w:t>Body pain</w:t>
            </w:r>
          </w:p>
        </w:tc>
        <w:tc>
          <w:tcPr>
            <w:tcW w:w="1956" w:type="dxa"/>
            <w:vAlign w:val="center"/>
          </w:tcPr>
          <w:p w14:paraId="1D9035F4" w14:textId="77777777" w:rsidR="004F55E1" w:rsidRDefault="004F55E1" w:rsidP="004F55E1">
            <w:pPr>
              <w:jc w:val="center"/>
              <w:rPr>
                <w:b/>
                <w:sz w:val="20"/>
                <w:szCs w:val="20"/>
              </w:rPr>
            </w:pPr>
            <w:r w:rsidRPr="00931FC8">
              <w:rPr>
                <w:b/>
                <w:sz w:val="20"/>
                <w:szCs w:val="20"/>
              </w:rPr>
              <w:t>5.2</w:t>
            </w:r>
            <w:r>
              <w:rPr>
                <w:b/>
                <w:sz w:val="20"/>
                <w:szCs w:val="20"/>
              </w:rPr>
              <w:t>1(1.71, 8.70</w:t>
            </w:r>
            <w:r w:rsidRPr="00931FC8">
              <w:rPr>
                <w:b/>
                <w:sz w:val="20"/>
                <w:szCs w:val="20"/>
              </w:rPr>
              <w:t>)</w:t>
            </w:r>
          </w:p>
        </w:tc>
        <w:tc>
          <w:tcPr>
            <w:tcW w:w="1700" w:type="dxa"/>
            <w:vAlign w:val="center"/>
          </w:tcPr>
          <w:p w14:paraId="407288CA" w14:textId="77777777" w:rsidR="004F55E1" w:rsidRPr="001D3166" w:rsidRDefault="004F55E1" w:rsidP="004F55E1">
            <w:pPr>
              <w:jc w:val="center"/>
              <w:rPr>
                <w:b/>
                <w:sz w:val="20"/>
                <w:szCs w:val="20"/>
              </w:rPr>
            </w:pPr>
            <w:r>
              <w:rPr>
                <w:b/>
                <w:sz w:val="20"/>
                <w:szCs w:val="20"/>
              </w:rPr>
              <w:t>7.69(3.91, 11.47</w:t>
            </w:r>
            <w:r w:rsidRPr="00931FC8">
              <w:rPr>
                <w:b/>
                <w:sz w:val="20"/>
                <w:szCs w:val="20"/>
              </w:rPr>
              <w:t>)</w:t>
            </w:r>
          </w:p>
        </w:tc>
        <w:tc>
          <w:tcPr>
            <w:tcW w:w="1859" w:type="dxa"/>
            <w:vAlign w:val="center"/>
          </w:tcPr>
          <w:p w14:paraId="04F67B3D" w14:textId="77777777" w:rsidR="004F55E1" w:rsidRPr="00610501" w:rsidRDefault="004F55E1" w:rsidP="004F55E1">
            <w:pPr>
              <w:jc w:val="center"/>
              <w:rPr>
                <w:sz w:val="20"/>
                <w:szCs w:val="20"/>
              </w:rPr>
            </w:pPr>
            <w:r>
              <w:rPr>
                <w:sz w:val="20"/>
                <w:szCs w:val="20"/>
              </w:rPr>
              <w:t>1.90(-0.52, 4.33</w:t>
            </w:r>
            <w:r w:rsidRPr="00931FC8">
              <w:rPr>
                <w:sz w:val="20"/>
                <w:szCs w:val="20"/>
              </w:rPr>
              <w:t>)</w:t>
            </w:r>
          </w:p>
        </w:tc>
        <w:tc>
          <w:tcPr>
            <w:tcW w:w="1860" w:type="dxa"/>
            <w:vAlign w:val="center"/>
          </w:tcPr>
          <w:p w14:paraId="7EE27C11" w14:textId="77777777" w:rsidR="004F55E1" w:rsidRPr="001D3166" w:rsidRDefault="004F55E1" w:rsidP="004F55E1">
            <w:pPr>
              <w:jc w:val="center"/>
              <w:rPr>
                <w:sz w:val="20"/>
                <w:szCs w:val="20"/>
              </w:rPr>
            </w:pPr>
            <w:r>
              <w:rPr>
                <w:sz w:val="20"/>
                <w:szCs w:val="20"/>
              </w:rPr>
              <w:t>2.72(-0.98, 6.42</w:t>
            </w:r>
            <w:r w:rsidRPr="00931FC8">
              <w:rPr>
                <w:sz w:val="20"/>
                <w:szCs w:val="20"/>
              </w:rPr>
              <w:t>)</w:t>
            </w:r>
          </w:p>
        </w:tc>
        <w:tc>
          <w:tcPr>
            <w:tcW w:w="1859" w:type="dxa"/>
            <w:vAlign w:val="center"/>
          </w:tcPr>
          <w:p w14:paraId="51BE9F1F" w14:textId="77777777" w:rsidR="004F55E1" w:rsidRPr="00610501" w:rsidRDefault="004F55E1" w:rsidP="004F55E1">
            <w:pPr>
              <w:jc w:val="center"/>
              <w:rPr>
                <w:sz w:val="20"/>
                <w:szCs w:val="20"/>
              </w:rPr>
            </w:pPr>
            <w:r>
              <w:rPr>
                <w:sz w:val="20"/>
                <w:szCs w:val="20"/>
              </w:rPr>
              <w:t>2.07(-1.23, 5.38</w:t>
            </w:r>
            <w:r w:rsidRPr="00931FC8">
              <w:rPr>
                <w:sz w:val="20"/>
                <w:szCs w:val="20"/>
              </w:rPr>
              <w:t>)</w:t>
            </w:r>
          </w:p>
        </w:tc>
        <w:tc>
          <w:tcPr>
            <w:tcW w:w="1878" w:type="dxa"/>
            <w:vAlign w:val="center"/>
          </w:tcPr>
          <w:p w14:paraId="18EB4759" w14:textId="77777777" w:rsidR="004F55E1" w:rsidRPr="005A58AE" w:rsidRDefault="004F55E1" w:rsidP="004F55E1">
            <w:pPr>
              <w:jc w:val="center"/>
              <w:rPr>
                <w:sz w:val="20"/>
                <w:szCs w:val="20"/>
              </w:rPr>
            </w:pPr>
            <w:r>
              <w:rPr>
                <w:b/>
                <w:sz w:val="20"/>
                <w:szCs w:val="20"/>
              </w:rPr>
              <w:t>-3.59</w:t>
            </w:r>
            <w:r w:rsidRPr="005A58AE">
              <w:rPr>
                <w:b/>
                <w:sz w:val="20"/>
                <w:szCs w:val="20"/>
              </w:rPr>
              <w:t>(-7.</w:t>
            </w:r>
            <w:r>
              <w:rPr>
                <w:b/>
                <w:sz w:val="20"/>
                <w:szCs w:val="20"/>
              </w:rPr>
              <w:t>07, -0.11</w:t>
            </w:r>
            <w:r w:rsidRPr="005A58AE">
              <w:rPr>
                <w:b/>
                <w:sz w:val="20"/>
                <w:szCs w:val="20"/>
              </w:rPr>
              <w:t>)</w:t>
            </w:r>
          </w:p>
        </w:tc>
        <w:tc>
          <w:tcPr>
            <w:tcW w:w="1842" w:type="dxa"/>
            <w:vAlign w:val="center"/>
          </w:tcPr>
          <w:p w14:paraId="151CE811" w14:textId="77777777" w:rsidR="004F55E1" w:rsidRPr="004A4AE1" w:rsidRDefault="004F55E1" w:rsidP="004F55E1">
            <w:pPr>
              <w:jc w:val="center"/>
              <w:rPr>
                <w:sz w:val="20"/>
                <w:szCs w:val="20"/>
              </w:rPr>
            </w:pPr>
            <w:r w:rsidRPr="004A4AE1">
              <w:rPr>
                <w:b/>
                <w:sz w:val="20"/>
                <w:szCs w:val="20"/>
              </w:rPr>
              <w:t>0.09(0.01, 0.17)</w:t>
            </w:r>
          </w:p>
        </w:tc>
      </w:tr>
      <w:tr w:rsidR="004F55E1" w:rsidRPr="0072438F" w14:paraId="18840BBA" w14:textId="77777777" w:rsidTr="005470FE">
        <w:tc>
          <w:tcPr>
            <w:tcW w:w="1783" w:type="dxa"/>
            <w:vAlign w:val="center"/>
          </w:tcPr>
          <w:p w14:paraId="38B5C44D" w14:textId="77777777" w:rsidR="004F55E1" w:rsidRPr="00403F21" w:rsidRDefault="004F55E1" w:rsidP="004F55E1">
            <w:pPr>
              <w:rPr>
                <w:sz w:val="20"/>
                <w:szCs w:val="20"/>
              </w:rPr>
            </w:pPr>
            <w:r w:rsidRPr="00403F21">
              <w:rPr>
                <w:sz w:val="20"/>
                <w:szCs w:val="20"/>
              </w:rPr>
              <w:t>PHQ-9 score</w:t>
            </w:r>
          </w:p>
        </w:tc>
        <w:tc>
          <w:tcPr>
            <w:tcW w:w="1956" w:type="dxa"/>
            <w:vAlign w:val="center"/>
          </w:tcPr>
          <w:p w14:paraId="30389FC1" w14:textId="77777777" w:rsidR="004F55E1" w:rsidRPr="00610501" w:rsidRDefault="004F55E1" w:rsidP="004F55E1">
            <w:pPr>
              <w:jc w:val="center"/>
              <w:rPr>
                <w:sz w:val="20"/>
                <w:szCs w:val="20"/>
              </w:rPr>
            </w:pPr>
            <w:r w:rsidRPr="00931FC8">
              <w:rPr>
                <w:sz w:val="20"/>
                <w:szCs w:val="20"/>
              </w:rPr>
              <w:t>0.50</w:t>
            </w:r>
            <w:r>
              <w:rPr>
                <w:sz w:val="20"/>
                <w:szCs w:val="20"/>
              </w:rPr>
              <w:t>(-0.01,1.01</w:t>
            </w:r>
            <w:r w:rsidRPr="00931FC8">
              <w:rPr>
                <w:sz w:val="20"/>
                <w:szCs w:val="20"/>
              </w:rPr>
              <w:t>)</w:t>
            </w:r>
          </w:p>
        </w:tc>
        <w:tc>
          <w:tcPr>
            <w:tcW w:w="1700" w:type="dxa"/>
            <w:vAlign w:val="center"/>
          </w:tcPr>
          <w:p w14:paraId="07558A88" w14:textId="77777777" w:rsidR="004F55E1" w:rsidRPr="001D3166" w:rsidRDefault="004F55E1" w:rsidP="004F55E1">
            <w:pPr>
              <w:jc w:val="center"/>
              <w:rPr>
                <w:b/>
                <w:sz w:val="20"/>
                <w:szCs w:val="20"/>
              </w:rPr>
            </w:pPr>
            <w:r>
              <w:rPr>
                <w:b/>
                <w:sz w:val="20"/>
                <w:szCs w:val="20"/>
              </w:rPr>
              <w:t>0.61(0.06, 1.17</w:t>
            </w:r>
            <w:r w:rsidRPr="00403F21">
              <w:rPr>
                <w:b/>
                <w:sz w:val="20"/>
                <w:szCs w:val="20"/>
              </w:rPr>
              <w:t>)</w:t>
            </w:r>
          </w:p>
        </w:tc>
        <w:tc>
          <w:tcPr>
            <w:tcW w:w="1859" w:type="dxa"/>
            <w:vAlign w:val="center"/>
          </w:tcPr>
          <w:p w14:paraId="77B02798" w14:textId="77777777" w:rsidR="004F55E1" w:rsidRPr="00610501" w:rsidRDefault="004F55E1" w:rsidP="004F55E1">
            <w:pPr>
              <w:jc w:val="center"/>
              <w:rPr>
                <w:sz w:val="20"/>
                <w:szCs w:val="20"/>
              </w:rPr>
            </w:pPr>
            <w:r w:rsidRPr="00403F21">
              <w:rPr>
                <w:sz w:val="20"/>
                <w:szCs w:val="20"/>
              </w:rPr>
              <w:t>0.32(-0.04, 0.68)</w:t>
            </w:r>
          </w:p>
        </w:tc>
        <w:tc>
          <w:tcPr>
            <w:tcW w:w="1860" w:type="dxa"/>
            <w:vAlign w:val="center"/>
          </w:tcPr>
          <w:p w14:paraId="3BEBE828" w14:textId="77777777" w:rsidR="004F55E1" w:rsidRPr="00610501" w:rsidRDefault="004F55E1" w:rsidP="004F55E1">
            <w:pPr>
              <w:jc w:val="center"/>
              <w:rPr>
                <w:b/>
                <w:sz w:val="20"/>
                <w:szCs w:val="20"/>
              </w:rPr>
            </w:pPr>
            <w:r>
              <w:rPr>
                <w:b/>
                <w:sz w:val="20"/>
                <w:szCs w:val="20"/>
              </w:rPr>
              <w:t>1.11(0.57, 1.65</w:t>
            </w:r>
            <w:r w:rsidRPr="00403F21">
              <w:rPr>
                <w:b/>
                <w:sz w:val="20"/>
                <w:szCs w:val="20"/>
              </w:rPr>
              <w:t>)</w:t>
            </w:r>
          </w:p>
        </w:tc>
        <w:tc>
          <w:tcPr>
            <w:tcW w:w="1859" w:type="dxa"/>
            <w:vAlign w:val="center"/>
          </w:tcPr>
          <w:p w14:paraId="64361CC6" w14:textId="77777777" w:rsidR="004F55E1" w:rsidRDefault="004F55E1" w:rsidP="004F55E1">
            <w:pPr>
              <w:jc w:val="center"/>
              <w:rPr>
                <w:b/>
                <w:sz w:val="20"/>
                <w:szCs w:val="20"/>
              </w:rPr>
            </w:pPr>
            <w:r>
              <w:rPr>
                <w:b/>
                <w:sz w:val="20"/>
                <w:szCs w:val="20"/>
              </w:rPr>
              <w:t>0.84(0.35, 1.32</w:t>
            </w:r>
            <w:r w:rsidRPr="00403F21">
              <w:rPr>
                <w:b/>
                <w:sz w:val="20"/>
                <w:szCs w:val="20"/>
              </w:rPr>
              <w:t>)</w:t>
            </w:r>
          </w:p>
        </w:tc>
        <w:tc>
          <w:tcPr>
            <w:tcW w:w="1878" w:type="dxa"/>
            <w:vAlign w:val="center"/>
          </w:tcPr>
          <w:p w14:paraId="0AFAB465" w14:textId="77777777" w:rsidR="004F55E1" w:rsidRPr="005A58AE" w:rsidRDefault="004F55E1" w:rsidP="004F55E1">
            <w:pPr>
              <w:jc w:val="center"/>
              <w:rPr>
                <w:sz w:val="20"/>
                <w:szCs w:val="20"/>
              </w:rPr>
            </w:pPr>
            <w:r w:rsidRPr="005A58AE">
              <w:rPr>
                <w:b/>
                <w:sz w:val="20"/>
                <w:szCs w:val="20"/>
              </w:rPr>
              <w:t>-2.</w:t>
            </w:r>
            <w:r>
              <w:rPr>
                <w:b/>
                <w:sz w:val="20"/>
                <w:szCs w:val="20"/>
              </w:rPr>
              <w:t>19(-2.78, -1.60</w:t>
            </w:r>
            <w:r w:rsidRPr="005A58AE">
              <w:rPr>
                <w:b/>
                <w:sz w:val="20"/>
                <w:szCs w:val="20"/>
              </w:rPr>
              <w:t>)</w:t>
            </w:r>
          </w:p>
        </w:tc>
        <w:tc>
          <w:tcPr>
            <w:tcW w:w="1842" w:type="dxa"/>
            <w:vAlign w:val="center"/>
          </w:tcPr>
          <w:p w14:paraId="4EE73FB6" w14:textId="77777777" w:rsidR="004F55E1" w:rsidRPr="004A4AE1" w:rsidRDefault="004F55E1" w:rsidP="004F55E1">
            <w:pPr>
              <w:jc w:val="center"/>
              <w:rPr>
                <w:sz w:val="20"/>
                <w:szCs w:val="20"/>
              </w:rPr>
            </w:pPr>
            <w:r w:rsidRPr="004A4AE1">
              <w:rPr>
                <w:b/>
                <w:sz w:val="20"/>
                <w:szCs w:val="20"/>
              </w:rPr>
              <w:t>0.05(0.03, 0.06)</w:t>
            </w:r>
          </w:p>
        </w:tc>
      </w:tr>
      <w:tr w:rsidR="004F55E1" w:rsidRPr="0072438F" w14:paraId="1976F4D6" w14:textId="77777777" w:rsidTr="005470FE">
        <w:tc>
          <w:tcPr>
            <w:tcW w:w="1783" w:type="dxa"/>
            <w:vAlign w:val="center"/>
          </w:tcPr>
          <w:p w14:paraId="1CC2938C" w14:textId="77777777" w:rsidR="004F55E1" w:rsidRPr="00403F21" w:rsidRDefault="004F55E1" w:rsidP="004F55E1">
            <w:pPr>
              <w:rPr>
                <w:sz w:val="20"/>
                <w:szCs w:val="20"/>
              </w:rPr>
            </w:pPr>
            <w:r w:rsidRPr="00403F21">
              <w:rPr>
                <w:sz w:val="20"/>
                <w:szCs w:val="20"/>
              </w:rPr>
              <w:t>GAD-7 score</w:t>
            </w:r>
          </w:p>
        </w:tc>
        <w:tc>
          <w:tcPr>
            <w:tcW w:w="1956" w:type="dxa"/>
            <w:vAlign w:val="center"/>
          </w:tcPr>
          <w:p w14:paraId="6FA32571" w14:textId="77777777" w:rsidR="004F55E1" w:rsidRDefault="004F55E1" w:rsidP="004F55E1">
            <w:pPr>
              <w:jc w:val="center"/>
              <w:rPr>
                <w:b/>
                <w:sz w:val="20"/>
                <w:szCs w:val="20"/>
              </w:rPr>
            </w:pPr>
            <w:r>
              <w:rPr>
                <w:b/>
                <w:sz w:val="20"/>
                <w:szCs w:val="20"/>
              </w:rPr>
              <w:t>0.61(0.03, 1.18</w:t>
            </w:r>
            <w:r w:rsidRPr="00403F21">
              <w:rPr>
                <w:b/>
                <w:sz w:val="20"/>
                <w:szCs w:val="20"/>
              </w:rPr>
              <w:t>)</w:t>
            </w:r>
          </w:p>
        </w:tc>
        <w:tc>
          <w:tcPr>
            <w:tcW w:w="1700" w:type="dxa"/>
            <w:vAlign w:val="center"/>
          </w:tcPr>
          <w:p w14:paraId="60E05A1B" w14:textId="77777777" w:rsidR="004F55E1" w:rsidRPr="001D3166" w:rsidRDefault="004F55E1" w:rsidP="004F55E1">
            <w:pPr>
              <w:jc w:val="center"/>
              <w:rPr>
                <w:b/>
                <w:sz w:val="20"/>
                <w:szCs w:val="20"/>
              </w:rPr>
            </w:pPr>
            <w:r>
              <w:rPr>
                <w:b/>
                <w:sz w:val="20"/>
                <w:szCs w:val="20"/>
              </w:rPr>
              <w:t>0.72(0.10, 1.34</w:t>
            </w:r>
            <w:r w:rsidRPr="00403F21">
              <w:rPr>
                <w:b/>
                <w:sz w:val="20"/>
                <w:szCs w:val="20"/>
              </w:rPr>
              <w:t>)</w:t>
            </w:r>
          </w:p>
        </w:tc>
        <w:tc>
          <w:tcPr>
            <w:tcW w:w="1859" w:type="dxa"/>
            <w:vAlign w:val="center"/>
          </w:tcPr>
          <w:p w14:paraId="19EDB9F8" w14:textId="77777777" w:rsidR="004F55E1" w:rsidRPr="00610501" w:rsidRDefault="004F55E1" w:rsidP="004F55E1">
            <w:pPr>
              <w:jc w:val="center"/>
              <w:rPr>
                <w:sz w:val="20"/>
                <w:szCs w:val="20"/>
              </w:rPr>
            </w:pPr>
            <w:r>
              <w:rPr>
                <w:sz w:val="20"/>
                <w:szCs w:val="20"/>
              </w:rPr>
              <w:t>-0.05(-0.45, 0.35</w:t>
            </w:r>
            <w:r w:rsidRPr="00403F21">
              <w:rPr>
                <w:sz w:val="20"/>
                <w:szCs w:val="20"/>
              </w:rPr>
              <w:t>)</w:t>
            </w:r>
          </w:p>
        </w:tc>
        <w:tc>
          <w:tcPr>
            <w:tcW w:w="1860" w:type="dxa"/>
            <w:vAlign w:val="center"/>
          </w:tcPr>
          <w:p w14:paraId="500411BF" w14:textId="77777777" w:rsidR="004F55E1" w:rsidRPr="001D3166" w:rsidRDefault="004F55E1" w:rsidP="004F55E1">
            <w:pPr>
              <w:jc w:val="center"/>
              <w:rPr>
                <w:sz w:val="20"/>
                <w:szCs w:val="20"/>
              </w:rPr>
            </w:pPr>
            <w:r w:rsidRPr="00403F21">
              <w:rPr>
                <w:sz w:val="20"/>
                <w:szCs w:val="20"/>
              </w:rPr>
              <w:t>0.40(-0.21, 1.01)</w:t>
            </w:r>
          </w:p>
        </w:tc>
        <w:tc>
          <w:tcPr>
            <w:tcW w:w="1859" w:type="dxa"/>
            <w:vAlign w:val="center"/>
          </w:tcPr>
          <w:p w14:paraId="47299E22" w14:textId="77777777" w:rsidR="004F55E1" w:rsidRDefault="004F55E1" w:rsidP="004F55E1">
            <w:pPr>
              <w:jc w:val="center"/>
              <w:rPr>
                <w:b/>
                <w:sz w:val="20"/>
                <w:szCs w:val="20"/>
              </w:rPr>
            </w:pPr>
            <w:r>
              <w:rPr>
                <w:b/>
                <w:sz w:val="20"/>
                <w:szCs w:val="20"/>
              </w:rPr>
              <w:t>1.06(0.52</w:t>
            </w:r>
            <w:r w:rsidRPr="00403F21">
              <w:rPr>
                <w:b/>
                <w:sz w:val="20"/>
                <w:szCs w:val="20"/>
              </w:rPr>
              <w:t>, 1.</w:t>
            </w:r>
            <w:r>
              <w:rPr>
                <w:b/>
                <w:sz w:val="20"/>
                <w:szCs w:val="20"/>
              </w:rPr>
              <w:t>61</w:t>
            </w:r>
            <w:r w:rsidRPr="00403F21">
              <w:rPr>
                <w:b/>
                <w:sz w:val="20"/>
                <w:szCs w:val="20"/>
              </w:rPr>
              <w:t>)</w:t>
            </w:r>
          </w:p>
        </w:tc>
        <w:tc>
          <w:tcPr>
            <w:tcW w:w="1878" w:type="dxa"/>
            <w:vAlign w:val="center"/>
          </w:tcPr>
          <w:p w14:paraId="22A45EB6" w14:textId="77777777" w:rsidR="004F55E1" w:rsidRPr="005A58AE" w:rsidRDefault="004F55E1" w:rsidP="004F55E1">
            <w:pPr>
              <w:jc w:val="center"/>
              <w:rPr>
                <w:sz w:val="20"/>
                <w:szCs w:val="20"/>
              </w:rPr>
            </w:pPr>
            <w:r w:rsidRPr="005A58AE">
              <w:rPr>
                <w:sz w:val="20"/>
                <w:szCs w:val="20"/>
              </w:rPr>
              <w:t>-0.11(-0.73, 0.50)</w:t>
            </w:r>
          </w:p>
        </w:tc>
        <w:tc>
          <w:tcPr>
            <w:tcW w:w="1842" w:type="dxa"/>
            <w:vAlign w:val="center"/>
          </w:tcPr>
          <w:p w14:paraId="16D23639" w14:textId="77777777" w:rsidR="004F55E1" w:rsidRPr="004A4AE1" w:rsidRDefault="004F55E1" w:rsidP="004F55E1">
            <w:pPr>
              <w:jc w:val="center"/>
              <w:rPr>
                <w:sz w:val="20"/>
                <w:szCs w:val="20"/>
              </w:rPr>
            </w:pPr>
            <w:r w:rsidRPr="004A4AE1">
              <w:rPr>
                <w:sz w:val="20"/>
                <w:szCs w:val="20"/>
              </w:rPr>
              <w:t>0.01(-0.01, 0.02)</w:t>
            </w:r>
          </w:p>
        </w:tc>
      </w:tr>
      <w:tr w:rsidR="004F55E1" w:rsidRPr="0072438F" w14:paraId="4709C28B" w14:textId="77777777" w:rsidTr="005470FE">
        <w:tc>
          <w:tcPr>
            <w:tcW w:w="14737" w:type="dxa"/>
            <w:gridSpan w:val="8"/>
            <w:tcBorders>
              <w:left w:val="single" w:sz="4" w:space="0" w:color="FFFFFF" w:themeColor="background1"/>
              <w:bottom w:val="single" w:sz="4" w:space="0" w:color="FFFFFF" w:themeColor="background1"/>
              <w:right w:val="single" w:sz="4" w:space="0" w:color="FFFFFF" w:themeColor="background1"/>
            </w:tcBorders>
          </w:tcPr>
          <w:p w14:paraId="039B7E34" w14:textId="1754C60C" w:rsidR="004F55E1" w:rsidRPr="00C23058" w:rsidRDefault="00DC78D7" w:rsidP="00C23058">
            <w:pPr>
              <w:spacing w:after="160" w:line="259" w:lineRule="auto"/>
              <w:rPr>
                <w:b/>
                <w:sz w:val="16"/>
                <w:szCs w:val="16"/>
              </w:rPr>
            </w:pPr>
            <w:r w:rsidRPr="00DC78D7">
              <w:rPr>
                <w:b/>
                <w:sz w:val="16"/>
                <w:szCs w:val="16"/>
              </w:rPr>
              <w:t>All of the gout-specific, comorbid, socio-demographic and anthropometric variables listed in this table and table 3 were included in the linear mixed model f</w:t>
            </w:r>
            <w:r>
              <w:rPr>
                <w:b/>
                <w:sz w:val="16"/>
                <w:szCs w:val="16"/>
              </w:rPr>
              <w:t xml:space="preserve">or each quality of life outcome.    </w:t>
            </w:r>
            <w:r w:rsidR="004F55E1" w:rsidRPr="0072438F">
              <w:rPr>
                <w:b/>
                <w:sz w:val="16"/>
                <w:szCs w:val="16"/>
              </w:rPr>
              <w:t>β</w:t>
            </w:r>
            <w:r w:rsidR="004F55E1" w:rsidRPr="0072438F">
              <w:rPr>
                <w:sz w:val="16"/>
                <w:szCs w:val="16"/>
              </w:rPr>
              <w:t xml:space="preserve"> linear mixed model coefficient    </w:t>
            </w:r>
            <w:r w:rsidR="004F55E1" w:rsidRPr="0072438F">
              <w:rPr>
                <w:rFonts w:ascii="Wingdings 2" w:eastAsia="Wingdings 2" w:hAnsi="Wingdings 2" w:cs="Wingdings 2"/>
                <w:b/>
                <w:sz w:val="16"/>
                <w:szCs w:val="16"/>
                <w:vertAlign w:val="superscript"/>
              </w:rPr>
              <w:t>□</w:t>
            </w:r>
            <w:r w:rsidR="004F55E1" w:rsidRPr="0072438F">
              <w:rPr>
                <w:sz w:val="16"/>
                <w:szCs w:val="16"/>
              </w:rPr>
              <w:t xml:space="preserve"> in previous 12 months at baseline, 12 months and 36 months,  in previo</w:t>
            </w:r>
            <w:r w:rsidR="004F55E1">
              <w:rPr>
                <w:sz w:val="16"/>
                <w:szCs w:val="16"/>
              </w:rPr>
              <w:t xml:space="preserve">us 6 months at 6 and 12 months </w:t>
            </w:r>
            <w:r w:rsidR="004F55E1" w:rsidRPr="0072438F">
              <w:rPr>
                <w:b/>
                <w:sz w:val="16"/>
                <w:szCs w:val="16"/>
              </w:rPr>
              <w:t xml:space="preserve"> </w:t>
            </w:r>
            <w:r w:rsidR="004F55E1" w:rsidRPr="00757E34">
              <w:rPr>
                <w:rFonts w:ascii="Wingdings 2" w:eastAsia="Wingdings 2" w:hAnsi="Wingdings 2" w:cs="Wingdings 2"/>
                <w:b/>
                <w:sz w:val="16"/>
                <w:szCs w:val="16"/>
                <w:vertAlign w:val="superscript"/>
              </w:rPr>
              <w:t></w:t>
            </w:r>
            <w:r w:rsidR="004F55E1" w:rsidRPr="00757E34">
              <w:rPr>
                <w:b/>
                <w:sz w:val="16"/>
                <w:szCs w:val="16"/>
              </w:rPr>
              <w:t>Time-varying</w:t>
            </w:r>
            <w:r w:rsidR="004F55E1" w:rsidRPr="0072438F">
              <w:rPr>
                <w:sz w:val="16"/>
                <w:szCs w:val="16"/>
              </w:rPr>
              <w:t xml:space="preserve"> </w:t>
            </w:r>
            <w:r w:rsidR="00155375">
              <w:rPr>
                <w:sz w:val="16"/>
                <w:szCs w:val="16"/>
              </w:rPr>
              <w:t>variable</w:t>
            </w:r>
            <w:r w:rsidR="004F55E1" w:rsidRPr="0072438F">
              <w:rPr>
                <w:sz w:val="16"/>
                <w:szCs w:val="16"/>
              </w:rPr>
              <w:t xml:space="preserve"> in questionnaire at baseline, 6, 12, 24 and 36 months</w:t>
            </w:r>
            <w:r w:rsidR="004F55E1">
              <w:rPr>
                <w:sz w:val="16"/>
                <w:szCs w:val="16"/>
              </w:rPr>
              <w:t xml:space="preserve"> </w:t>
            </w:r>
            <w:r w:rsidR="004F55E1">
              <w:rPr>
                <w:b/>
                <w:sz w:val="16"/>
                <w:szCs w:val="16"/>
              </w:rPr>
              <w:t xml:space="preserve"> N</w:t>
            </w:r>
            <w:r w:rsidR="004F55E1" w:rsidRPr="00996398">
              <w:rPr>
                <w:b/>
                <w:sz w:val="16"/>
                <w:szCs w:val="16"/>
              </w:rPr>
              <w:t>umber of comorbidities</w:t>
            </w:r>
            <w:r w:rsidR="004F55E1">
              <w:rPr>
                <w:sz w:val="16"/>
                <w:szCs w:val="16"/>
              </w:rPr>
              <w:t xml:space="preserve"> total number of self-reported comorbidities in questionnaire; </w:t>
            </w:r>
            <w:r w:rsidR="004F55E1">
              <w:t xml:space="preserve"> </w:t>
            </w:r>
            <w:r w:rsidR="004F55E1" w:rsidRPr="004E765A">
              <w:rPr>
                <w:b/>
                <w:sz w:val="16"/>
                <w:szCs w:val="16"/>
              </w:rPr>
              <w:t>eGFR</w:t>
            </w:r>
            <w:r w:rsidR="004F55E1" w:rsidRPr="00786F44">
              <w:rPr>
                <w:sz w:val="16"/>
                <w:szCs w:val="16"/>
              </w:rPr>
              <w:t xml:space="preserve"> &lt;60 mL/min/1.73m</w:t>
            </w:r>
            <w:r w:rsidR="004F55E1" w:rsidRPr="004E765A">
              <w:rPr>
                <w:sz w:val="16"/>
                <w:szCs w:val="16"/>
                <w:vertAlign w:val="superscript"/>
              </w:rPr>
              <w:t>2</w:t>
            </w:r>
            <w:r w:rsidR="004F55E1" w:rsidRPr="00786F44">
              <w:rPr>
                <w:sz w:val="16"/>
                <w:szCs w:val="16"/>
              </w:rPr>
              <w:t xml:space="preserve"> indicative of chronic kidney disease </w:t>
            </w:r>
            <w:r w:rsidR="004F55E1" w:rsidRPr="0072438F">
              <w:rPr>
                <w:sz w:val="16"/>
                <w:szCs w:val="16"/>
              </w:rPr>
              <w:t xml:space="preserve"> </w:t>
            </w:r>
            <w:r w:rsidR="004F55E1" w:rsidRPr="00761373">
              <w:rPr>
                <w:b/>
                <w:sz w:val="16"/>
                <w:szCs w:val="16"/>
              </w:rPr>
              <w:t xml:space="preserve"> NRS pain</w:t>
            </w:r>
            <w:r w:rsidR="004F55E1" w:rsidRPr="00761373">
              <w:rPr>
                <w:sz w:val="16"/>
                <w:szCs w:val="16"/>
              </w:rPr>
              <w:t xml:space="preserve"> </w:t>
            </w:r>
            <w:r w:rsidR="004F55E1" w:rsidRPr="00761373">
              <w:rPr>
                <w:b/>
                <w:sz w:val="16"/>
                <w:szCs w:val="16"/>
              </w:rPr>
              <w:t xml:space="preserve">in last week </w:t>
            </w:r>
            <w:r w:rsidR="004F55E1" w:rsidRPr="00761373">
              <w:rPr>
                <w:sz w:val="16"/>
                <w:szCs w:val="16"/>
              </w:rPr>
              <w:t>ranges from 0 (no pain) to 10 (pain as bad as it can be)</w:t>
            </w:r>
            <w:r w:rsidR="004F55E1" w:rsidRPr="00761373">
              <w:rPr>
                <w:b/>
                <w:sz w:val="16"/>
                <w:szCs w:val="16"/>
              </w:rPr>
              <w:t>;</w:t>
            </w:r>
            <w:r w:rsidR="004F55E1">
              <w:rPr>
                <w:b/>
                <w:sz w:val="20"/>
                <w:szCs w:val="20"/>
              </w:rPr>
              <w:t xml:space="preserve"> </w:t>
            </w:r>
            <w:r w:rsidR="004F55E1" w:rsidRPr="00996398">
              <w:rPr>
                <w:b/>
                <w:sz w:val="16"/>
                <w:szCs w:val="16"/>
              </w:rPr>
              <w:t>Body pain</w:t>
            </w:r>
            <w:r w:rsidR="004F55E1" w:rsidRPr="0072438F">
              <w:rPr>
                <w:sz w:val="16"/>
                <w:szCs w:val="16"/>
              </w:rPr>
              <w:t xml:space="preserve"> (including ache or discomfort or stiffness) for one day or longer in the 4 w</w:t>
            </w:r>
            <w:r w:rsidR="004F55E1">
              <w:rPr>
                <w:sz w:val="16"/>
                <w:szCs w:val="16"/>
              </w:rPr>
              <w:t xml:space="preserve">eeks prior to baseline;  </w:t>
            </w:r>
            <w:r w:rsidR="004F55E1" w:rsidRPr="00761373">
              <w:rPr>
                <w:b/>
                <w:sz w:val="16"/>
                <w:szCs w:val="16"/>
              </w:rPr>
              <w:t xml:space="preserve">PHQ-9 depression score </w:t>
            </w:r>
            <w:r w:rsidR="004F55E1">
              <w:rPr>
                <w:sz w:val="16"/>
                <w:szCs w:val="16"/>
              </w:rPr>
              <w:t>ranges from 0 (minimal) to 27 (s</w:t>
            </w:r>
            <w:r w:rsidR="004F55E1" w:rsidRPr="00761373">
              <w:rPr>
                <w:sz w:val="16"/>
                <w:szCs w:val="16"/>
              </w:rPr>
              <w:t>evere</w:t>
            </w:r>
            <w:r w:rsidR="004F55E1">
              <w:rPr>
                <w:sz w:val="16"/>
                <w:szCs w:val="16"/>
              </w:rPr>
              <w:t>)</w:t>
            </w:r>
            <w:r w:rsidR="004F55E1" w:rsidRPr="00761373">
              <w:rPr>
                <w:sz w:val="16"/>
                <w:szCs w:val="16"/>
              </w:rPr>
              <w:t xml:space="preserve">; </w:t>
            </w:r>
            <w:r w:rsidR="004F55E1" w:rsidRPr="00761373">
              <w:rPr>
                <w:b/>
                <w:sz w:val="16"/>
                <w:szCs w:val="16"/>
              </w:rPr>
              <w:t xml:space="preserve">GAD-7 anxiety score </w:t>
            </w:r>
            <w:r w:rsidR="004F55E1" w:rsidRPr="00761373">
              <w:rPr>
                <w:sz w:val="16"/>
                <w:szCs w:val="16"/>
              </w:rPr>
              <w:t>ranges from 0</w:t>
            </w:r>
            <w:r w:rsidR="004F55E1">
              <w:rPr>
                <w:sz w:val="16"/>
                <w:szCs w:val="16"/>
              </w:rPr>
              <w:t xml:space="preserve"> (minimal)</w:t>
            </w:r>
            <w:r w:rsidR="004F55E1" w:rsidRPr="00761373">
              <w:rPr>
                <w:sz w:val="16"/>
                <w:szCs w:val="16"/>
              </w:rPr>
              <w:t xml:space="preserve"> to 21 </w:t>
            </w:r>
            <w:r w:rsidR="004F55E1">
              <w:rPr>
                <w:sz w:val="16"/>
                <w:szCs w:val="16"/>
              </w:rPr>
              <w:t>(severe).</w:t>
            </w:r>
          </w:p>
          <w:p w14:paraId="7F4536CD" w14:textId="77777777" w:rsidR="004F55E1" w:rsidRPr="00610501" w:rsidRDefault="004F55E1" w:rsidP="004F55E1">
            <w:r w:rsidRPr="0072438F">
              <w:rPr>
                <w:sz w:val="16"/>
                <w:szCs w:val="16"/>
              </w:rPr>
              <w:t xml:space="preserve">Each </w:t>
            </w:r>
            <w:r w:rsidRPr="0072438F">
              <w:rPr>
                <w:b/>
                <w:sz w:val="16"/>
                <w:szCs w:val="16"/>
              </w:rPr>
              <w:t>GIS subscale</w:t>
            </w:r>
            <w:r w:rsidRPr="0072438F">
              <w:rPr>
                <w:sz w:val="16"/>
                <w:szCs w:val="16"/>
              </w:rPr>
              <w:t xml:space="preserve"> scored from </w:t>
            </w:r>
            <w:r w:rsidRPr="0072438F">
              <w:rPr>
                <w:b/>
                <w:sz w:val="16"/>
                <w:szCs w:val="16"/>
              </w:rPr>
              <w:t>0 to 100;</w:t>
            </w:r>
            <w:r w:rsidRPr="0072438F">
              <w:rPr>
                <w:sz w:val="16"/>
                <w:szCs w:val="16"/>
              </w:rPr>
              <w:t xml:space="preserve"> higher scores on each scale indicating a greater impact of gout on HRQOL</w:t>
            </w:r>
            <w:r>
              <w:rPr>
                <w:sz w:val="16"/>
                <w:szCs w:val="16"/>
              </w:rPr>
              <w:t>/worse HRQOL</w:t>
            </w:r>
            <w:r w:rsidRPr="0072438F">
              <w:rPr>
                <w:sz w:val="16"/>
                <w:szCs w:val="16"/>
              </w:rPr>
              <w:t xml:space="preserve">, positive </w:t>
            </w:r>
            <w:r w:rsidRPr="0072438F">
              <w:rPr>
                <w:b/>
                <w:sz w:val="16"/>
                <w:szCs w:val="16"/>
              </w:rPr>
              <w:t xml:space="preserve">β </w:t>
            </w:r>
            <w:r w:rsidRPr="0072438F">
              <w:rPr>
                <w:sz w:val="16"/>
                <w:szCs w:val="16"/>
              </w:rPr>
              <w:t xml:space="preserve">coefficient = </w:t>
            </w:r>
            <w:r>
              <w:rPr>
                <w:sz w:val="16"/>
                <w:szCs w:val="16"/>
              </w:rPr>
              <w:t>worse</w:t>
            </w:r>
            <w:r w:rsidRPr="0072438F">
              <w:rPr>
                <w:sz w:val="16"/>
                <w:szCs w:val="16"/>
              </w:rPr>
              <w:t xml:space="preserve">, and negative </w:t>
            </w:r>
            <w:r w:rsidRPr="0072438F">
              <w:rPr>
                <w:b/>
                <w:sz w:val="16"/>
                <w:szCs w:val="16"/>
              </w:rPr>
              <w:t xml:space="preserve">β </w:t>
            </w:r>
            <w:r w:rsidRPr="0072438F">
              <w:rPr>
                <w:sz w:val="16"/>
                <w:szCs w:val="16"/>
              </w:rPr>
              <w:t xml:space="preserve">coefficient = </w:t>
            </w:r>
            <w:r>
              <w:rPr>
                <w:sz w:val="16"/>
                <w:szCs w:val="16"/>
              </w:rPr>
              <w:t>better</w:t>
            </w:r>
            <w:r w:rsidRPr="0072438F">
              <w:t>.</w:t>
            </w:r>
            <w:r>
              <w:t xml:space="preserve"> </w:t>
            </w:r>
            <w:r w:rsidRPr="00493E7D">
              <w:rPr>
                <w:b/>
                <w:sz w:val="16"/>
                <w:szCs w:val="16"/>
              </w:rPr>
              <w:t>SF-36 PF10</w:t>
            </w:r>
            <w:r w:rsidRPr="00493E7D">
              <w:rPr>
                <w:sz w:val="16"/>
                <w:szCs w:val="16"/>
              </w:rPr>
              <w:t xml:space="preserve"> scored from </w:t>
            </w:r>
            <w:r w:rsidRPr="00493E7D">
              <w:rPr>
                <w:b/>
                <w:sz w:val="16"/>
                <w:szCs w:val="16"/>
              </w:rPr>
              <w:t>0 to 100</w:t>
            </w:r>
            <w:r w:rsidRPr="00493E7D">
              <w:rPr>
                <w:sz w:val="16"/>
                <w:szCs w:val="16"/>
              </w:rPr>
              <w:t xml:space="preserve">; higher score indicating performs all types of physical activities including the most vigorous without limitations due to health, positive </w:t>
            </w:r>
            <w:r w:rsidRPr="00493E7D">
              <w:rPr>
                <w:b/>
                <w:sz w:val="16"/>
                <w:szCs w:val="16"/>
              </w:rPr>
              <w:t xml:space="preserve">β </w:t>
            </w:r>
            <w:r w:rsidRPr="00493E7D">
              <w:rPr>
                <w:sz w:val="16"/>
                <w:szCs w:val="16"/>
              </w:rPr>
              <w:t xml:space="preserve">coefficient = </w:t>
            </w:r>
            <w:r>
              <w:rPr>
                <w:sz w:val="16"/>
                <w:szCs w:val="16"/>
              </w:rPr>
              <w:t>better</w:t>
            </w:r>
            <w:r w:rsidRPr="00493E7D">
              <w:rPr>
                <w:sz w:val="16"/>
                <w:szCs w:val="16"/>
              </w:rPr>
              <w:t xml:space="preserve">, and negative </w:t>
            </w:r>
            <w:r w:rsidRPr="00493E7D">
              <w:rPr>
                <w:b/>
                <w:sz w:val="16"/>
                <w:szCs w:val="16"/>
              </w:rPr>
              <w:t xml:space="preserve">β </w:t>
            </w:r>
            <w:r w:rsidRPr="00493E7D">
              <w:rPr>
                <w:sz w:val="16"/>
                <w:szCs w:val="16"/>
              </w:rPr>
              <w:t xml:space="preserve">coefficient = </w:t>
            </w:r>
            <w:r>
              <w:rPr>
                <w:sz w:val="16"/>
                <w:szCs w:val="16"/>
              </w:rPr>
              <w:t>worse.</w:t>
            </w:r>
            <w:r>
              <w:t xml:space="preserve">  </w:t>
            </w:r>
            <w:r w:rsidRPr="00493E7D">
              <w:rPr>
                <w:b/>
                <w:sz w:val="16"/>
                <w:szCs w:val="16"/>
              </w:rPr>
              <w:t>HAQ-DI</w:t>
            </w:r>
            <w:r w:rsidRPr="00493E7D">
              <w:rPr>
                <w:sz w:val="16"/>
                <w:szCs w:val="16"/>
              </w:rPr>
              <w:t xml:space="preserve"> scored from </w:t>
            </w:r>
            <w:r w:rsidRPr="00493E7D">
              <w:rPr>
                <w:b/>
                <w:sz w:val="16"/>
                <w:szCs w:val="16"/>
              </w:rPr>
              <w:t>0 to 3</w:t>
            </w:r>
            <w:r w:rsidRPr="00493E7D">
              <w:rPr>
                <w:sz w:val="16"/>
                <w:szCs w:val="16"/>
              </w:rPr>
              <w:t xml:space="preserve">; higher score indicating greater </w:t>
            </w:r>
            <w:r>
              <w:rPr>
                <w:sz w:val="16"/>
                <w:szCs w:val="16"/>
              </w:rPr>
              <w:t>activity limitation</w:t>
            </w:r>
            <w:r w:rsidRPr="00493E7D">
              <w:rPr>
                <w:sz w:val="16"/>
                <w:szCs w:val="16"/>
              </w:rPr>
              <w:t xml:space="preserve">, positive </w:t>
            </w:r>
            <w:r w:rsidRPr="00493E7D">
              <w:rPr>
                <w:b/>
                <w:sz w:val="16"/>
                <w:szCs w:val="16"/>
              </w:rPr>
              <w:t xml:space="preserve">β </w:t>
            </w:r>
            <w:r w:rsidRPr="00493E7D">
              <w:rPr>
                <w:sz w:val="16"/>
                <w:szCs w:val="16"/>
              </w:rPr>
              <w:t xml:space="preserve">coefficient = </w:t>
            </w:r>
            <w:r>
              <w:rPr>
                <w:sz w:val="16"/>
                <w:szCs w:val="16"/>
              </w:rPr>
              <w:t>worse</w:t>
            </w:r>
            <w:r w:rsidRPr="00493E7D">
              <w:rPr>
                <w:sz w:val="16"/>
                <w:szCs w:val="16"/>
              </w:rPr>
              <w:t xml:space="preserve">, and negative </w:t>
            </w:r>
            <w:r w:rsidRPr="00493E7D">
              <w:rPr>
                <w:b/>
                <w:sz w:val="16"/>
                <w:szCs w:val="16"/>
              </w:rPr>
              <w:t xml:space="preserve">β </w:t>
            </w:r>
            <w:r w:rsidRPr="00493E7D">
              <w:rPr>
                <w:sz w:val="16"/>
                <w:szCs w:val="16"/>
              </w:rPr>
              <w:t xml:space="preserve">coefficient = </w:t>
            </w:r>
            <w:r>
              <w:rPr>
                <w:sz w:val="16"/>
                <w:szCs w:val="16"/>
              </w:rPr>
              <w:t>better</w:t>
            </w:r>
            <w:r w:rsidRPr="00493E7D">
              <w:rPr>
                <w:sz w:val="16"/>
                <w:szCs w:val="16"/>
              </w:rPr>
              <w:t>.</w:t>
            </w:r>
            <w:r>
              <w:rPr>
                <w:sz w:val="16"/>
                <w:szCs w:val="16"/>
              </w:rPr>
              <w:t xml:space="preserve"> </w:t>
            </w:r>
          </w:p>
          <w:p w14:paraId="1D54533B" w14:textId="77777777" w:rsidR="004F55E1" w:rsidRPr="0072438F" w:rsidRDefault="004F55E1" w:rsidP="004F55E1">
            <w:pPr>
              <w:rPr>
                <w:b/>
                <w:sz w:val="16"/>
                <w:szCs w:val="16"/>
              </w:rPr>
            </w:pPr>
          </w:p>
        </w:tc>
      </w:tr>
      <w:bookmarkEnd w:id="7"/>
    </w:tbl>
    <w:p w14:paraId="3D5EDEF5" w14:textId="6528868B" w:rsidR="00705D4E" w:rsidRDefault="00705D4E">
      <w:pPr>
        <w:spacing w:line="480" w:lineRule="auto"/>
        <w:jc w:val="both"/>
        <w:rPr>
          <w:sz w:val="24"/>
          <w:szCs w:val="24"/>
        </w:rPr>
      </w:pPr>
    </w:p>
    <w:p w14:paraId="7D4F9286" w14:textId="77777777" w:rsidR="005505C8" w:rsidRPr="00B74470" w:rsidRDefault="005505C8">
      <w:pPr>
        <w:spacing w:line="480" w:lineRule="auto"/>
        <w:jc w:val="both"/>
        <w:rPr>
          <w:sz w:val="2"/>
          <w:szCs w:val="2"/>
        </w:rPr>
      </w:pPr>
    </w:p>
    <w:tbl>
      <w:tblPr>
        <w:tblStyle w:val="TableGrid"/>
        <w:tblpPr w:leftFromText="180" w:rightFromText="180" w:vertAnchor="page" w:horzAnchor="margin" w:tblpX="-436" w:tblpY="1201"/>
        <w:tblW w:w="14743" w:type="dxa"/>
        <w:tblLayout w:type="fixed"/>
        <w:tblCellMar>
          <w:left w:w="0" w:type="dxa"/>
          <w:right w:w="0" w:type="dxa"/>
        </w:tblCellMar>
        <w:tblLook w:val="04A0" w:firstRow="1" w:lastRow="0" w:firstColumn="1" w:lastColumn="0" w:noHBand="0" w:noVBand="1"/>
      </w:tblPr>
      <w:tblGrid>
        <w:gridCol w:w="1838"/>
        <w:gridCol w:w="1717"/>
        <w:gridCol w:w="1860"/>
        <w:gridCol w:w="1860"/>
        <w:gridCol w:w="1859"/>
        <w:gridCol w:w="1860"/>
        <w:gridCol w:w="1860"/>
        <w:gridCol w:w="1860"/>
        <w:gridCol w:w="29"/>
      </w:tblGrid>
      <w:tr w:rsidR="0036451D" w:rsidRPr="0072438F" w14:paraId="3C069867" w14:textId="2C63A798" w:rsidTr="00B73A11">
        <w:tc>
          <w:tcPr>
            <w:tcW w:w="14743" w:type="dxa"/>
            <w:gridSpan w:val="9"/>
            <w:tcBorders>
              <w:top w:val="single" w:sz="4" w:space="0" w:color="FFFFFF" w:themeColor="background1"/>
              <w:left w:val="single" w:sz="4" w:space="0" w:color="FFFFFF" w:themeColor="background1"/>
              <w:right w:val="single" w:sz="4" w:space="0" w:color="FFFFFF" w:themeColor="background1"/>
            </w:tcBorders>
          </w:tcPr>
          <w:p w14:paraId="0621429F" w14:textId="5360C71F" w:rsidR="0036451D" w:rsidRDefault="0036451D" w:rsidP="00332123">
            <w:r w:rsidRPr="00533CDB">
              <w:rPr>
                <w:b/>
              </w:rPr>
              <w:t xml:space="preserve">Table </w:t>
            </w:r>
            <w:r w:rsidR="00544F92" w:rsidRPr="00533CDB">
              <w:rPr>
                <w:b/>
              </w:rPr>
              <w:t>3</w:t>
            </w:r>
            <w:r w:rsidR="00544F92">
              <w:t xml:space="preserve"> </w:t>
            </w:r>
            <w:r>
              <w:t>Socio-demographic</w:t>
            </w:r>
            <w:r w:rsidR="00B74470">
              <w:t xml:space="preserve"> and anthropometric</w:t>
            </w:r>
            <w:r>
              <w:t xml:space="preserve"> factors </w:t>
            </w:r>
            <w:r w:rsidRPr="00ED7402">
              <w:t xml:space="preserve">associated with change in </w:t>
            </w:r>
            <w:r>
              <w:t>gout impact scale (GIS) subscales over three years</w:t>
            </w:r>
          </w:p>
        </w:tc>
      </w:tr>
      <w:tr w:rsidR="00332123" w:rsidRPr="0072438F" w14:paraId="10AFE645" w14:textId="45057D6B" w:rsidTr="00B73A11">
        <w:trPr>
          <w:gridAfter w:val="1"/>
          <w:wAfter w:w="29" w:type="dxa"/>
        </w:trPr>
        <w:tc>
          <w:tcPr>
            <w:tcW w:w="1838" w:type="dxa"/>
          </w:tcPr>
          <w:p w14:paraId="64117903" w14:textId="77777777" w:rsidR="0012354D" w:rsidRPr="00C300AB" w:rsidRDefault="0012354D" w:rsidP="00332123">
            <w:pPr>
              <w:rPr>
                <w:sz w:val="20"/>
                <w:szCs w:val="20"/>
              </w:rPr>
            </w:pPr>
          </w:p>
        </w:tc>
        <w:tc>
          <w:tcPr>
            <w:tcW w:w="1717" w:type="dxa"/>
            <w:vAlign w:val="center"/>
          </w:tcPr>
          <w:p w14:paraId="0D5C60E1" w14:textId="77777777" w:rsidR="0012354D" w:rsidRPr="00C300AB" w:rsidRDefault="0012354D" w:rsidP="00332123">
            <w:pPr>
              <w:jc w:val="center"/>
              <w:rPr>
                <w:b/>
                <w:sz w:val="20"/>
                <w:szCs w:val="20"/>
              </w:rPr>
            </w:pPr>
            <w:r w:rsidRPr="00C300AB">
              <w:rPr>
                <w:b/>
                <w:sz w:val="20"/>
                <w:szCs w:val="20"/>
              </w:rPr>
              <w:t>GIS CO</w:t>
            </w:r>
          </w:p>
          <w:p w14:paraId="2BFD43B9" w14:textId="77777777" w:rsidR="0012354D" w:rsidRPr="00C300AB" w:rsidRDefault="0012354D" w:rsidP="00332123">
            <w:pPr>
              <w:jc w:val="center"/>
              <w:rPr>
                <w:sz w:val="20"/>
                <w:szCs w:val="20"/>
              </w:rPr>
            </w:pPr>
            <w:r w:rsidRPr="00C300AB">
              <w:rPr>
                <w:sz w:val="20"/>
                <w:szCs w:val="20"/>
              </w:rPr>
              <w:t xml:space="preserve"> n=595</w:t>
            </w:r>
          </w:p>
          <w:p w14:paraId="2E1BDB96" w14:textId="77777777" w:rsidR="0012354D" w:rsidRPr="00C300AB" w:rsidRDefault="0012354D" w:rsidP="00332123">
            <w:pPr>
              <w:jc w:val="center"/>
              <w:rPr>
                <w:b/>
                <w:sz w:val="20"/>
                <w:szCs w:val="20"/>
              </w:rPr>
            </w:pPr>
            <w:r w:rsidRPr="00C300AB">
              <w:rPr>
                <w:sz w:val="20"/>
                <w:szCs w:val="20"/>
              </w:rPr>
              <w:t>(β (95% CI))</w:t>
            </w:r>
          </w:p>
        </w:tc>
        <w:tc>
          <w:tcPr>
            <w:tcW w:w="1860" w:type="dxa"/>
            <w:vAlign w:val="center"/>
          </w:tcPr>
          <w:p w14:paraId="7DC3D8FD" w14:textId="77777777" w:rsidR="0012354D" w:rsidRPr="00C300AB" w:rsidRDefault="0012354D" w:rsidP="00332123">
            <w:pPr>
              <w:jc w:val="center"/>
              <w:rPr>
                <w:b/>
                <w:sz w:val="20"/>
                <w:szCs w:val="20"/>
              </w:rPr>
            </w:pPr>
            <w:r w:rsidRPr="00C300AB">
              <w:rPr>
                <w:b/>
                <w:sz w:val="20"/>
                <w:szCs w:val="20"/>
              </w:rPr>
              <w:t>GIS MSE</w:t>
            </w:r>
          </w:p>
          <w:p w14:paraId="5D685765" w14:textId="77777777" w:rsidR="0012354D" w:rsidRPr="00C300AB" w:rsidRDefault="0012354D" w:rsidP="00332123">
            <w:pPr>
              <w:jc w:val="center"/>
              <w:rPr>
                <w:sz w:val="20"/>
                <w:szCs w:val="20"/>
              </w:rPr>
            </w:pPr>
            <w:r w:rsidRPr="00C300AB">
              <w:rPr>
                <w:sz w:val="20"/>
                <w:szCs w:val="20"/>
              </w:rPr>
              <w:t xml:space="preserve"> n=595</w:t>
            </w:r>
          </w:p>
          <w:p w14:paraId="06EDB6B4" w14:textId="77777777" w:rsidR="0012354D" w:rsidRPr="00C300AB" w:rsidRDefault="0012354D" w:rsidP="00332123">
            <w:pPr>
              <w:jc w:val="center"/>
              <w:rPr>
                <w:b/>
                <w:sz w:val="20"/>
                <w:szCs w:val="20"/>
              </w:rPr>
            </w:pPr>
            <w:r w:rsidRPr="00C300AB">
              <w:rPr>
                <w:sz w:val="20"/>
                <w:szCs w:val="20"/>
              </w:rPr>
              <w:t>(β (95% CI))</w:t>
            </w:r>
          </w:p>
        </w:tc>
        <w:tc>
          <w:tcPr>
            <w:tcW w:w="1860" w:type="dxa"/>
            <w:vAlign w:val="center"/>
          </w:tcPr>
          <w:p w14:paraId="6886D847" w14:textId="77777777" w:rsidR="0012354D" w:rsidRPr="00C300AB" w:rsidRDefault="0012354D" w:rsidP="00332123">
            <w:pPr>
              <w:jc w:val="center"/>
              <w:rPr>
                <w:b/>
                <w:sz w:val="20"/>
                <w:szCs w:val="20"/>
              </w:rPr>
            </w:pPr>
            <w:r w:rsidRPr="00C300AB">
              <w:rPr>
                <w:b/>
                <w:sz w:val="20"/>
                <w:szCs w:val="20"/>
              </w:rPr>
              <w:t>GIS UTN</w:t>
            </w:r>
          </w:p>
          <w:p w14:paraId="1824012C" w14:textId="77777777" w:rsidR="0012354D" w:rsidRPr="00C300AB" w:rsidRDefault="0012354D" w:rsidP="00332123">
            <w:pPr>
              <w:jc w:val="center"/>
              <w:rPr>
                <w:sz w:val="20"/>
                <w:szCs w:val="20"/>
              </w:rPr>
            </w:pPr>
            <w:r w:rsidRPr="00C300AB">
              <w:rPr>
                <w:sz w:val="20"/>
                <w:szCs w:val="20"/>
              </w:rPr>
              <w:t>n=591</w:t>
            </w:r>
          </w:p>
          <w:p w14:paraId="384DC59C" w14:textId="77777777" w:rsidR="0012354D" w:rsidRPr="00C300AB" w:rsidRDefault="0012354D" w:rsidP="00332123">
            <w:pPr>
              <w:jc w:val="center"/>
              <w:rPr>
                <w:b/>
                <w:sz w:val="20"/>
                <w:szCs w:val="20"/>
              </w:rPr>
            </w:pPr>
            <w:r w:rsidRPr="00C300AB">
              <w:rPr>
                <w:sz w:val="20"/>
                <w:szCs w:val="20"/>
              </w:rPr>
              <w:t>(β (95% CI))</w:t>
            </w:r>
          </w:p>
        </w:tc>
        <w:tc>
          <w:tcPr>
            <w:tcW w:w="1859" w:type="dxa"/>
            <w:vAlign w:val="center"/>
          </w:tcPr>
          <w:p w14:paraId="1AA2B63C" w14:textId="77777777" w:rsidR="0012354D" w:rsidRPr="00C300AB" w:rsidRDefault="0012354D" w:rsidP="00332123">
            <w:pPr>
              <w:jc w:val="center"/>
              <w:rPr>
                <w:b/>
                <w:sz w:val="20"/>
                <w:szCs w:val="20"/>
              </w:rPr>
            </w:pPr>
            <w:r w:rsidRPr="00C300AB">
              <w:rPr>
                <w:b/>
                <w:sz w:val="20"/>
                <w:szCs w:val="20"/>
              </w:rPr>
              <w:t>GIS WBDA</w:t>
            </w:r>
          </w:p>
          <w:p w14:paraId="6F35D6FD" w14:textId="77777777" w:rsidR="0012354D" w:rsidRPr="00C300AB" w:rsidRDefault="0012354D" w:rsidP="00332123">
            <w:pPr>
              <w:jc w:val="center"/>
              <w:rPr>
                <w:sz w:val="20"/>
                <w:szCs w:val="20"/>
              </w:rPr>
            </w:pPr>
            <w:r w:rsidRPr="00C300AB">
              <w:rPr>
                <w:sz w:val="20"/>
                <w:szCs w:val="20"/>
              </w:rPr>
              <w:t>n=593</w:t>
            </w:r>
          </w:p>
          <w:p w14:paraId="7F8594C7" w14:textId="77777777" w:rsidR="0012354D" w:rsidRPr="00C300AB" w:rsidRDefault="0012354D" w:rsidP="00332123">
            <w:pPr>
              <w:jc w:val="center"/>
              <w:rPr>
                <w:b/>
                <w:sz w:val="20"/>
                <w:szCs w:val="20"/>
              </w:rPr>
            </w:pPr>
            <w:r w:rsidRPr="00C300AB">
              <w:rPr>
                <w:sz w:val="20"/>
                <w:szCs w:val="20"/>
              </w:rPr>
              <w:t>(β (95% CI))</w:t>
            </w:r>
          </w:p>
        </w:tc>
        <w:tc>
          <w:tcPr>
            <w:tcW w:w="1860" w:type="dxa"/>
            <w:vAlign w:val="center"/>
          </w:tcPr>
          <w:p w14:paraId="42A993A6" w14:textId="77777777" w:rsidR="0012354D" w:rsidRPr="00C300AB" w:rsidRDefault="0012354D" w:rsidP="00332123">
            <w:pPr>
              <w:jc w:val="center"/>
              <w:rPr>
                <w:b/>
                <w:sz w:val="20"/>
                <w:szCs w:val="20"/>
              </w:rPr>
            </w:pPr>
            <w:r w:rsidRPr="00C300AB">
              <w:rPr>
                <w:b/>
                <w:sz w:val="20"/>
                <w:szCs w:val="20"/>
              </w:rPr>
              <w:t>GIS CDA</w:t>
            </w:r>
          </w:p>
          <w:p w14:paraId="7E921CCB" w14:textId="77777777" w:rsidR="0012354D" w:rsidRPr="00C300AB" w:rsidRDefault="0012354D" w:rsidP="00332123">
            <w:pPr>
              <w:jc w:val="center"/>
              <w:rPr>
                <w:sz w:val="20"/>
                <w:szCs w:val="20"/>
              </w:rPr>
            </w:pPr>
            <w:r w:rsidRPr="00C300AB">
              <w:rPr>
                <w:sz w:val="20"/>
                <w:szCs w:val="20"/>
              </w:rPr>
              <w:t xml:space="preserve"> n=595</w:t>
            </w:r>
          </w:p>
          <w:p w14:paraId="4667A19D" w14:textId="77777777" w:rsidR="0012354D" w:rsidRPr="00C300AB" w:rsidRDefault="0012354D" w:rsidP="00332123">
            <w:pPr>
              <w:jc w:val="center"/>
              <w:rPr>
                <w:b/>
                <w:sz w:val="20"/>
                <w:szCs w:val="20"/>
              </w:rPr>
            </w:pPr>
            <w:r w:rsidRPr="00C300AB">
              <w:rPr>
                <w:sz w:val="20"/>
                <w:szCs w:val="20"/>
              </w:rPr>
              <w:t>(β (95% CI))</w:t>
            </w:r>
          </w:p>
        </w:tc>
        <w:tc>
          <w:tcPr>
            <w:tcW w:w="1860" w:type="dxa"/>
            <w:vAlign w:val="center"/>
          </w:tcPr>
          <w:p w14:paraId="4BF561BA" w14:textId="77777777" w:rsidR="0012354D" w:rsidRPr="00175A67" w:rsidRDefault="0012354D" w:rsidP="00332123">
            <w:pPr>
              <w:jc w:val="center"/>
              <w:rPr>
                <w:b/>
                <w:sz w:val="20"/>
                <w:szCs w:val="20"/>
              </w:rPr>
            </w:pPr>
            <w:r w:rsidRPr="00175A67">
              <w:rPr>
                <w:b/>
                <w:sz w:val="20"/>
                <w:szCs w:val="20"/>
              </w:rPr>
              <w:t>SF-36 PF10</w:t>
            </w:r>
          </w:p>
          <w:p w14:paraId="1FB2FA9C" w14:textId="77777777" w:rsidR="0012354D" w:rsidRPr="00175A67" w:rsidRDefault="0012354D" w:rsidP="00332123">
            <w:pPr>
              <w:jc w:val="center"/>
              <w:rPr>
                <w:sz w:val="20"/>
                <w:szCs w:val="20"/>
              </w:rPr>
            </w:pPr>
            <w:r w:rsidRPr="00175A67">
              <w:rPr>
                <w:sz w:val="20"/>
                <w:szCs w:val="20"/>
              </w:rPr>
              <w:t>n=554</w:t>
            </w:r>
          </w:p>
          <w:p w14:paraId="5745E1E9" w14:textId="3044E493" w:rsidR="0012354D" w:rsidRPr="00C300AB" w:rsidRDefault="0012354D" w:rsidP="00332123">
            <w:pPr>
              <w:jc w:val="center"/>
              <w:rPr>
                <w:b/>
                <w:sz w:val="20"/>
                <w:szCs w:val="20"/>
              </w:rPr>
            </w:pPr>
            <w:r w:rsidRPr="00175A67">
              <w:rPr>
                <w:sz w:val="20"/>
                <w:szCs w:val="20"/>
              </w:rPr>
              <w:t xml:space="preserve"> (β (95% CI))</w:t>
            </w:r>
          </w:p>
        </w:tc>
        <w:tc>
          <w:tcPr>
            <w:tcW w:w="1860" w:type="dxa"/>
            <w:vAlign w:val="center"/>
          </w:tcPr>
          <w:p w14:paraId="5E01B431" w14:textId="77777777" w:rsidR="0012354D" w:rsidRPr="00175A67" w:rsidRDefault="0012354D" w:rsidP="00332123">
            <w:pPr>
              <w:jc w:val="center"/>
              <w:rPr>
                <w:b/>
                <w:sz w:val="20"/>
                <w:szCs w:val="20"/>
              </w:rPr>
            </w:pPr>
            <w:r w:rsidRPr="00175A67">
              <w:rPr>
                <w:b/>
                <w:sz w:val="20"/>
                <w:szCs w:val="20"/>
              </w:rPr>
              <w:t>HAQ-DI</w:t>
            </w:r>
          </w:p>
          <w:p w14:paraId="026A9F03" w14:textId="77777777" w:rsidR="0012354D" w:rsidRPr="00175A67" w:rsidRDefault="0012354D" w:rsidP="00332123">
            <w:pPr>
              <w:jc w:val="center"/>
              <w:rPr>
                <w:sz w:val="20"/>
                <w:szCs w:val="20"/>
              </w:rPr>
            </w:pPr>
            <w:r w:rsidRPr="00175A67">
              <w:rPr>
                <w:sz w:val="20"/>
                <w:szCs w:val="20"/>
              </w:rPr>
              <w:t>n= 594</w:t>
            </w:r>
          </w:p>
          <w:p w14:paraId="7EA9396D" w14:textId="4F62D615" w:rsidR="0012354D" w:rsidRPr="00C300AB" w:rsidRDefault="0012354D" w:rsidP="00332123">
            <w:pPr>
              <w:jc w:val="center"/>
              <w:rPr>
                <w:b/>
                <w:sz w:val="20"/>
                <w:szCs w:val="20"/>
              </w:rPr>
            </w:pPr>
            <w:r w:rsidRPr="00175A67">
              <w:rPr>
                <w:sz w:val="20"/>
                <w:szCs w:val="20"/>
              </w:rPr>
              <w:t>(β (95% CI))</w:t>
            </w:r>
          </w:p>
        </w:tc>
      </w:tr>
      <w:tr w:rsidR="00332123" w:rsidRPr="0072438F" w14:paraId="249AEC5B" w14:textId="5CED346B" w:rsidTr="00B73A11">
        <w:trPr>
          <w:gridAfter w:val="1"/>
          <w:wAfter w:w="29" w:type="dxa"/>
        </w:trPr>
        <w:tc>
          <w:tcPr>
            <w:tcW w:w="1838" w:type="dxa"/>
          </w:tcPr>
          <w:p w14:paraId="3B5ED7A8" w14:textId="77777777" w:rsidR="0012354D" w:rsidRPr="00C300AB" w:rsidRDefault="0012354D" w:rsidP="00332123">
            <w:pPr>
              <w:rPr>
                <w:sz w:val="20"/>
                <w:szCs w:val="20"/>
              </w:rPr>
            </w:pPr>
            <w:r w:rsidRPr="00C300AB">
              <w:rPr>
                <w:sz w:val="20"/>
                <w:szCs w:val="20"/>
              </w:rPr>
              <w:t>Age</w:t>
            </w:r>
          </w:p>
        </w:tc>
        <w:tc>
          <w:tcPr>
            <w:tcW w:w="1717" w:type="dxa"/>
            <w:vAlign w:val="center"/>
          </w:tcPr>
          <w:p w14:paraId="27D7DC67" w14:textId="3CE0DC70" w:rsidR="0012354D" w:rsidRPr="00C300AB" w:rsidRDefault="0012354D" w:rsidP="00B73A11">
            <w:pPr>
              <w:jc w:val="center"/>
              <w:rPr>
                <w:b/>
                <w:sz w:val="20"/>
                <w:szCs w:val="20"/>
              </w:rPr>
            </w:pPr>
            <w:r w:rsidRPr="00C300AB">
              <w:rPr>
                <w:b/>
                <w:sz w:val="20"/>
                <w:szCs w:val="20"/>
              </w:rPr>
              <w:t>-0.53</w:t>
            </w:r>
            <w:r>
              <w:rPr>
                <w:b/>
                <w:sz w:val="20"/>
                <w:szCs w:val="20"/>
              </w:rPr>
              <w:t>(-0.69,</w:t>
            </w:r>
            <w:r w:rsidR="00714E50">
              <w:rPr>
                <w:b/>
                <w:sz w:val="20"/>
                <w:szCs w:val="20"/>
              </w:rPr>
              <w:t xml:space="preserve"> </w:t>
            </w:r>
            <w:r w:rsidRPr="00C300AB">
              <w:rPr>
                <w:b/>
                <w:sz w:val="20"/>
                <w:szCs w:val="20"/>
              </w:rPr>
              <w:t>0.37)</w:t>
            </w:r>
          </w:p>
        </w:tc>
        <w:tc>
          <w:tcPr>
            <w:tcW w:w="1860" w:type="dxa"/>
            <w:vAlign w:val="center"/>
          </w:tcPr>
          <w:p w14:paraId="6CC288B2" w14:textId="23134FD8" w:rsidR="0012354D" w:rsidRPr="00C300AB" w:rsidRDefault="0012354D" w:rsidP="00B73A11">
            <w:pPr>
              <w:jc w:val="center"/>
              <w:rPr>
                <w:sz w:val="20"/>
                <w:szCs w:val="20"/>
              </w:rPr>
            </w:pPr>
            <w:r w:rsidRPr="00B74470">
              <w:rPr>
                <w:b/>
                <w:sz w:val="20"/>
                <w:szCs w:val="20"/>
              </w:rPr>
              <w:t>-0</w:t>
            </w:r>
            <w:r w:rsidRPr="00C300AB">
              <w:rPr>
                <w:b/>
                <w:sz w:val="20"/>
                <w:szCs w:val="20"/>
              </w:rPr>
              <w:t>.27(-0.45, -0.10)</w:t>
            </w:r>
          </w:p>
        </w:tc>
        <w:tc>
          <w:tcPr>
            <w:tcW w:w="1860" w:type="dxa"/>
            <w:vAlign w:val="center"/>
          </w:tcPr>
          <w:p w14:paraId="54BD9791" w14:textId="24DE794E" w:rsidR="0012354D" w:rsidRPr="00C300AB" w:rsidRDefault="0012354D" w:rsidP="00B73A11">
            <w:pPr>
              <w:jc w:val="center"/>
              <w:rPr>
                <w:sz w:val="20"/>
                <w:szCs w:val="20"/>
              </w:rPr>
            </w:pPr>
            <w:r w:rsidRPr="00C300AB">
              <w:rPr>
                <w:sz w:val="20"/>
                <w:szCs w:val="20"/>
              </w:rPr>
              <w:t>-0.03(-0.15, 0.08)</w:t>
            </w:r>
          </w:p>
        </w:tc>
        <w:tc>
          <w:tcPr>
            <w:tcW w:w="1859" w:type="dxa"/>
            <w:vAlign w:val="center"/>
          </w:tcPr>
          <w:p w14:paraId="460149F7" w14:textId="3F394302" w:rsidR="0012354D" w:rsidRPr="00C300AB" w:rsidRDefault="0012354D" w:rsidP="00B73A11">
            <w:pPr>
              <w:jc w:val="center"/>
              <w:rPr>
                <w:b/>
                <w:sz w:val="20"/>
                <w:szCs w:val="20"/>
              </w:rPr>
            </w:pPr>
            <w:r>
              <w:rPr>
                <w:b/>
                <w:sz w:val="20"/>
                <w:szCs w:val="20"/>
              </w:rPr>
              <w:t>-0.43(-0.6</w:t>
            </w:r>
            <w:r w:rsidR="0063214E">
              <w:rPr>
                <w:b/>
                <w:sz w:val="20"/>
                <w:szCs w:val="20"/>
              </w:rPr>
              <w:t>0</w:t>
            </w:r>
            <w:r>
              <w:rPr>
                <w:b/>
                <w:sz w:val="20"/>
                <w:szCs w:val="20"/>
              </w:rPr>
              <w:t>, -0.26</w:t>
            </w:r>
            <w:r w:rsidRPr="00C300AB">
              <w:rPr>
                <w:b/>
                <w:sz w:val="20"/>
                <w:szCs w:val="20"/>
              </w:rPr>
              <w:t>)</w:t>
            </w:r>
          </w:p>
        </w:tc>
        <w:tc>
          <w:tcPr>
            <w:tcW w:w="1860" w:type="dxa"/>
            <w:vAlign w:val="center"/>
          </w:tcPr>
          <w:p w14:paraId="451A7F85" w14:textId="3A5CE732" w:rsidR="0012354D" w:rsidRPr="00C300AB" w:rsidRDefault="0012354D" w:rsidP="00B73A11">
            <w:pPr>
              <w:jc w:val="center"/>
              <w:rPr>
                <w:b/>
                <w:sz w:val="20"/>
                <w:szCs w:val="20"/>
              </w:rPr>
            </w:pPr>
            <w:r>
              <w:rPr>
                <w:b/>
                <w:sz w:val="20"/>
                <w:szCs w:val="20"/>
              </w:rPr>
              <w:t>-0.25(-0.40</w:t>
            </w:r>
            <w:r w:rsidRPr="00C300AB">
              <w:rPr>
                <w:b/>
                <w:sz w:val="20"/>
                <w:szCs w:val="20"/>
              </w:rPr>
              <w:t>, -0.10)</w:t>
            </w:r>
          </w:p>
        </w:tc>
        <w:tc>
          <w:tcPr>
            <w:tcW w:w="1860" w:type="dxa"/>
            <w:vAlign w:val="center"/>
          </w:tcPr>
          <w:p w14:paraId="2152554F" w14:textId="1AB78EA8" w:rsidR="0012354D" w:rsidRDefault="0012354D" w:rsidP="00B73A11">
            <w:pPr>
              <w:jc w:val="center"/>
              <w:rPr>
                <w:b/>
                <w:sz w:val="20"/>
                <w:szCs w:val="20"/>
              </w:rPr>
            </w:pPr>
            <w:r>
              <w:rPr>
                <w:b/>
                <w:sz w:val="20"/>
                <w:szCs w:val="20"/>
              </w:rPr>
              <w:t>-0.74(-0.90, -0.58</w:t>
            </w:r>
            <w:r w:rsidRPr="005A58AE">
              <w:rPr>
                <w:b/>
                <w:sz w:val="20"/>
                <w:szCs w:val="20"/>
              </w:rPr>
              <w:t>)</w:t>
            </w:r>
          </w:p>
        </w:tc>
        <w:tc>
          <w:tcPr>
            <w:tcW w:w="1860" w:type="dxa"/>
            <w:vAlign w:val="center"/>
          </w:tcPr>
          <w:p w14:paraId="1300E609" w14:textId="09E14EAE" w:rsidR="0012354D" w:rsidRDefault="0012354D" w:rsidP="00B73A11">
            <w:pPr>
              <w:jc w:val="center"/>
              <w:rPr>
                <w:b/>
                <w:sz w:val="20"/>
                <w:szCs w:val="20"/>
              </w:rPr>
            </w:pPr>
            <w:r w:rsidRPr="004A4AE1">
              <w:rPr>
                <w:b/>
                <w:sz w:val="20"/>
                <w:szCs w:val="20"/>
              </w:rPr>
              <w:t>0.01(0.01, 0.02)</w:t>
            </w:r>
          </w:p>
        </w:tc>
      </w:tr>
      <w:tr w:rsidR="003C2E4C" w:rsidRPr="0072438F" w14:paraId="500CEE79" w14:textId="77777777" w:rsidTr="00B73A11">
        <w:trPr>
          <w:gridAfter w:val="1"/>
          <w:wAfter w:w="29" w:type="dxa"/>
        </w:trPr>
        <w:tc>
          <w:tcPr>
            <w:tcW w:w="1838" w:type="dxa"/>
          </w:tcPr>
          <w:p w14:paraId="4034EC53" w14:textId="2AD183E6" w:rsidR="003C2E4C" w:rsidRPr="00C300AB" w:rsidRDefault="003C2E4C" w:rsidP="00332123">
            <w:pPr>
              <w:rPr>
                <w:sz w:val="20"/>
                <w:szCs w:val="20"/>
              </w:rPr>
            </w:pPr>
            <w:r>
              <w:rPr>
                <w:sz w:val="20"/>
                <w:szCs w:val="20"/>
              </w:rPr>
              <w:t>Age x Time</w:t>
            </w:r>
          </w:p>
        </w:tc>
        <w:tc>
          <w:tcPr>
            <w:tcW w:w="1717" w:type="dxa"/>
            <w:vAlign w:val="center"/>
          </w:tcPr>
          <w:p w14:paraId="495B0AA3" w14:textId="77777777" w:rsidR="003C2E4C" w:rsidRPr="00C300AB" w:rsidRDefault="003C2E4C" w:rsidP="00B73A11">
            <w:pPr>
              <w:jc w:val="center"/>
              <w:rPr>
                <w:b/>
                <w:sz w:val="20"/>
                <w:szCs w:val="20"/>
              </w:rPr>
            </w:pPr>
          </w:p>
        </w:tc>
        <w:tc>
          <w:tcPr>
            <w:tcW w:w="1860" w:type="dxa"/>
            <w:vAlign w:val="center"/>
          </w:tcPr>
          <w:p w14:paraId="44B3EAED" w14:textId="77777777" w:rsidR="003C2E4C" w:rsidRPr="00B74470" w:rsidRDefault="003C2E4C" w:rsidP="00B73A11">
            <w:pPr>
              <w:jc w:val="center"/>
              <w:rPr>
                <w:b/>
                <w:sz w:val="20"/>
                <w:szCs w:val="20"/>
              </w:rPr>
            </w:pPr>
          </w:p>
        </w:tc>
        <w:tc>
          <w:tcPr>
            <w:tcW w:w="1860" w:type="dxa"/>
            <w:vAlign w:val="center"/>
          </w:tcPr>
          <w:p w14:paraId="45486C86" w14:textId="77777777" w:rsidR="003C2E4C" w:rsidRPr="00C300AB" w:rsidRDefault="003C2E4C" w:rsidP="00B73A11">
            <w:pPr>
              <w:jc w:val="center"/>
              <w:rPr>
                <w:sz w:val="20"/>
                <w:szCs w:val="20"/>
              </w:rPr>
            </w:pPr>
          </w:p>
        </w:tc>
        <w:tc>
          <w:tcPr>
            <w:tcW w:w="1859" w:type="dxa"/>
            <w:vAlign w:val="center"/>
          </w:tcPr>
          <w:p w14:paraId="06783623" w14:textId="77777777" w:rsidR="003C2E4C" w:rsidRDefault="003C2E4C" w:rsidP="00B73A11">
            <w:pPr>
              <w:jc w:val="center"/>
              <w:rPr>
                <w:b/>
                <w:sz w:val="20"/>
                <w:szCs w:val="20"/>
              </w:rPr>
            </w:pPr>
          </w:p>
        </w:tc>
        <w:tc>
          <w:tcPr>
            <w:tcW w:w="1860" w:type="dxa"/>
            <w:vAlign w:val="center"/>
          </w:tcPr>
          <w:p w14:paraId="4CC18DF1" w14:textId="77777777" w:rsidR="003C2E4C" w:rsidRDefault="003C2E4C" w:rsidP="00B73A11">
            <w:pPr>
              <w:jc w:val="center"/>
              <w:rPr>
                <w:b/>
                <w:sz w:val="20"/>
                <w:szCs w:val="20"/>
              </w:rPr>
            </w:pPr>
          </w:p>
        </w:tc>
        <w:tc>
          <w:tcPr>
            <w:tcW w:w="1860" w:type="dxa"/>
            <w:vAlign w:val="center"/>
          </w:tcPr>
          <w:p w14:paraId="386F3D5A" w14:textId="0615F5C1" w:rsidR="003C2E4C" w:rsidRPr="005470FE" w:rsidRDefault="00853C57" w:rsidP="00B73A11">
            <w:pPr>
              <w:jc w:val="center"/>
              <w:rPr>
                <w:sz w:val="20"/>
                <w:szCs w:val="20"/>
              </w:rPr>
            </w:pPr>
            <w:r w:rsidRPr="005470FE">
              <w:rPr>
                <w:sz w:val="20"/>
                <w:szCs w:val="20"/>
              </w:rPr>
              <w:t>-</w:t>
            </w:r>
          </w:p>
        </w:tc>
        <w:tc>
          <w:tcPr>
            <w:tcW w:w="1860" w:type="dxa"/>
            <w:vAlign w:val="center"/>
          </w:tcPr>
          <w:p w14:paraId="1E9187A1" w14:textId="22A7E62D" w:rsidR="003C2E4C" w:rsidRPr="004A4AE1" w:rsidRDefault="003C2E4C" w:rsidP="00B73A11">
            <w:pPr>
              <w:jc w:val="center"/>
              <w:rPr>
                <w:b/>
                <w:sz w:val="20"/>
                <w:szCs w:val="20"/>
              </w:rPr>
            </w:pPr>
            <w:r w:rsidRPr="00533CDB">
              <w:rPr>
                <w:b/>
                <w:sz w:val="20"/>
                <w:szCs w:val="20"/>
              </w:rPr>
              <w:t>0.00(0.00,0.00)</w:t>
            </w:r>
          </w:p>
        </w:tc>
      </w:tr>
      <w:tr w:rsidR="00853C57" w:rsidRPr="0072438F" w14:paraId="11AE0CDD" w14:textId="24858FBC" w:rsidTr="005470FE">
        <w:trPr>
          <w:gridAfter w:val="1"/>
          <w:wAfter w:w="29" w:type="dxa"/>
          <w:trHeight w:val="169"/>
        </w:trPr>
        <w:tc>
          <w:tcPr>
            <w:tcW w:w="1838" w:type="dxa"/>
          </w:tcPr>
          <w:p w14:paraId="666A2D22" w14:textId="77777777" w:rsidR="00853C57" w:rsidRPr="00C300AB" w:rsidRDefault="00853C57" w:rsidP="00853C57">
            <w:pPr>
              <w:rPr>
                <w:sz w:val="20"/>
                <w:szCs w:val="20"/>
              </w:rPr>
            </w:pPr>
            <w:r w:rsidRPr="00C300AB">
              <w:rPr>
                <w:sz w:val="20"/>
                <w:szCs w:val="20"/>
              </w:rPr>
              <w:t>Female</w:t>
            </w:r>
          </w:p>
        </w:tc>
        <w:tc>
          <w:tcPr>
            <w:tcW w:w="1717" w:type="dxa"/>
            <w:vAlign w:val="center"/>
          </w:tcPr>
          <w:p w14:paraId="7BA8169F" w14:textId="210FBD64" w:rsidR="00853C57" w:rsidRPr="00C300AB" w:rsidRDefault="00853C57" w:rsidP="00853C57">
            <w:pPr>
              <w:jc w:val="center"/>
              <w:rPr>
                <w:sz w:val="20"/>
                <w:szCs w:val="20"/>
              </w:rPr>
            </w:pPr>
            <w:r>
              <w:rPr>
                <w:sz w:val="20"/>
                <w:szCs w:val="20"/>
              </w:rPr>
              <w:t>2.71(-2.32, 7.74</w:t>
            </w:r>
            <w:r w:rsidRPr="00C300AB">
              <w:rPr>
                <w:sz w:val="20"/>
                <w:szCs w:val="20"/>
              </w:rPr>
              <w:t>)</w:t>
            </w:r>
          </w:p>
        </w:tc>
        <w:tc>
          <w:tcPr>
            <w:tcW w:w="1860" w:type="dxa"/>
            <w:vAlign w:val="center"/>
          </w:tcPr>
          <w:p w14:paraId="090D379E" w14:textId="1505EB4B" w:rsidR="00853C57" w:rsidRPr="00C300AB" w:rsidRDefault="00853C57" w:rsidP="00853C57">
            <w:pPr>
              <w:jc w:val="center"/>
              <w:rPr>
                <w:sz w:val="20"/>
                <w:szCs w:val="20"/>
              </w:rPr>
            </w:pPr>
            <w:r>
              <w:rPr>
                <w:sz w:val="20"/>
                <w:szCs w:val="20"/>
              </w:rPr>
              <w:t>-1.03(-6.46, 4.40</w:t>
            </w:r>
            <w:r w:rsidRPr="00C300AB">
              <w:rPr>
                <w:sz w:val="20"/>
                <w:szCs w:val="20"/>
              </w:rPr>
              <w:t>)</w:t>
            </w:r>
          </w:p>
        </w:tc>
        <w:tc>
          <w:tcPr>
            <w:tcW w:w="1860" w:type="dxa"/>
            <w:vAlign w:val="center"/>
          </w:tcPr>
          <w:p w14:paraId="447AE838" w14:textId="70E39D75" w:rsidR="00853C57" w:rsidRPr="00C300AB" w:rsidRDefault="00853C57" w:rsidP="00853C57">
            <w:pPr>
              <w:jc w:val="center"/>
              <w:rPr>
                <w:sz w:val="20"/>
                <w:szCs w:val="20"/>
              </w:rPr>
            </w:pPr>
            <w:r>
              <w:rPr>
                <w:sz w:val="20"/>
                <w:szCs w:val="20"/>
              </w:rPr>
              <w:t>2.50(-1.03, 6.03</w:t>
            </w:r>
            <w:r w:rsidRPr="00C300AB">
              <w:rPr>
                <w:sz w:val="20"/>
                <w:szCs w:val="20"/>
              </w:rPr>
              <w:t>)</w:t>
            </w:r>
          </w:p>
        </w:tc>
        <w:tc>
          <w:tcPr>
            <w:tcW w:w="1859" w:type="dxa"/>
            <w:vAlign w:val="center"/>
          </w:tcPr>
          <w:p w14:paraId="31C4D663" w14:textId="76874F09" w:rsidR="00853C57" w:rsidRPr="00C300AB" w:rsidRDefault="00853C57" w:rsidP="00853C57">
            <w:pPr>
              <w:jc w:val="center"/>
              <w:rPr>
                <w:sz w:val="20"/>
                <w:szCs w:val="20"/>
              </w:rPr>
            </w:pPr>
            <w:r>
              <w:rPr>
                <w:sz w:val="20"/>
                <w:szCs w:val="20"/>
              </w:rPr>
              <w:t>1.04(-4.30, 6.38</w:t>
            </w:r>
            <w:r w:rsidRPr="00C300AB">
              <w:rPr>
                <w:sz w:val="20"/>
                <w:szCs w:val="20"/>
              </w:rPr>
              <w:t>)</w:t>
            </w:r>
          </w:p>
        </w:tc>
        <w:tc>
          <w:tcPr>
            <w:tcW w:w="1860" w:type="dxa"/>
            <w:vAlign w:val="center"/>
          </w:tcPr>
          <w:p w14:paraId="1DC46046" w14:textId="426A200D" w:rsidR="00853C57" w:rsidRPr="00C300AB" w:rsidRDefault="00853C57" w:rsidP="00853C57">
            <w:pPr>
              <w:jc w:val="center"/>
              <w:rPr>
                <w:sz w:val="20"/>
                <w:szCs w:val="20"/>
              </w:rPr>
            </w:pPr>
            <w:r>
              <w:rPr>
                <w:sz w:val="20"/>
                <w:szCs w:val="20"/>
              </w:rPr>
              <w:t>2.04(-2.70, 6.78</w:t>
            </w:r>
            <w:r w:rsidRPr="00C300AB">
              <w:rPr>
                <w:sz w:val="20"/>
                <w:szCs w:val="20"/>
              </w:rPr>
              <w:t>)</w:t>
            </w:r>
          </w:p>
        </w:tc>
        <w:tc>
          <w:tcPr>
            <w:tcW w:w="1860" w:type="dxa"/>
            <w:vAlign w:val="center"/>
          </w:tcPr>
          <w:p w14:paraId="79DBB598" w14:textId="12CC8AE8" w:rsidR="00853C57" w:rsidRDefault="00853C57" w:rsidP="00853C57">
            <w:pPr>
              <w:jc w:val="center"/>
              <w:rPr>
                <w:sz w:val="20"/>
                <w:szCs w:val="20"/>
              </w:rPr>
            </w:pPr>
            <w:r>
              <w:rPr>
                <w:b/>
                <w:sz w:val="20"/>
                <w:szCs w:val="20"/>
              </w:rPr>
              <w:t>-12.84(-17.89, -</w:t>
            </w:r>
            <w:r w:rsidRPr="005A58AE">
              <w:rPr>
                <w:b/>
                <w:sz w:val="20"/>
                <w:szCs w:val="20"/>
              </w:rPr>
              <w:t>7.80)</w:t>
            </w:r>
          </w:p>
        </w:tc>
        <w:tc>
          <w:tcPr>
            <w:tcW w:w="1860" w:type="dxa"/>
            <w:vAlign w:val="center"/>
          </w:tcPr>
          <w:p w14:paraId="32E7D612" w14:textId="4BF99E54" w:rsidR="00853C57" w:rsidRDefault="00853C57" w:rsidP="00853C57">
            <w:pPr>
              <w:jc w:val="center"/>
              <w:rPr>
                <w:sz w:val="20"/>
                <w:szCs w:val="20"/>
              </w:rPr>
            </w:pPr>
            <w:r w:rsidRPr="004A4AE1">
              <w:rPr>
                <w:b/>
                <w:sz w:val="20"/>
                <w:szCs w:val="20"/>
              </w:rPr>
              <w:t>0.17(0.03, 0.30)</w:t>
            </w:r>
          </w:p>
        </w:tc>
      </w:tr>
      <w:tr w:rsidR="00853C57" w:rsidRPr="0072438F" w14:paraId="5BAF0E63" w14:textId="030C41EA" w:rsidTr="00B73A11">
        <w:trPr>
          <w:gridAfter w:val="1"/>
          <w:wAfter w:w="29" w:type="dxa"/>
        </w:trPr>
        <w:tc>
          <w:tcPr>
            <w:tcW w:w="1838" w:type="dxa"/>
          </w:tcPr>
          <w:p w14:paraId="683230B7" w14:textId="00A68A8E" w:rsidR="00853C57" w:rsidRPr="00C300AB" w:rsidRDefault="00853C57" w:rsidP="00853C57">
            <w:pPr>
              <w:rPr>
                <w:sz w:val="20"/>
                <w:szCs w:val="20"/>
              </w:rPr>
            </w:pPr>
            <w:r w:rsidRPr="00C300AB">
              <w:rPr>
                <w:sz w:val="20"/>
                <w:szCs w:val="20"/>
              </w:rPr>
              <w:t>Non-</w:t>
            </w:r>
            <w:r>
              <w:rPr>
                <w:sz w:val="20"/>
                <w:szCs w:val="20"/>
              </w:rPr>
              <w:t>White European</w:t>
            </w:r>
          </w:p>
        </w:tc>
        <w:tc>
          <w:tcPr>
            <w:tcW w:w="1717" w:type="dxa"/>
            <w:vAlign w:val="center"/>
          </w:tcPr>
          <w:p w14:paraId="254B9C08" w14:textId="00CCFA7E" w:rsidR="00853C57" w:rsidRPr="00C300AB" w:rsidRDefault="00853C57" w:rsidP="00853C57">
            <w:pPr>
              <w:jc w:val="center"/>
              <w:rPr>
                <w:sz w:val="20"/>
                <w:szCs w:val="20"/>
              </w:rPr>
            </w:pPr>
            <w:r>
              <w:rPr>
                <w:sz w:val="20"/>
                <w:szCs w:val="20"/>
              </w:rPr>
              <w:t xml:space="preserve">1.43(-10.34, </w:t>
            </w:r>
            <w:r w:rsidR="00D63C39">
              <w:rPr>
                <w:sz w:val="20"/>
                <w:szCs w:val="20"/>
              </w:rPr>
              <w:t>1</w:t>
            </w:r>
            <w:r>
              <w:rPr>
                <w:sz w:val="20"/>
                <w:szCs w:val="20"/>
              </w:rPr>
              <w:t>3.20</w:t>
            </w:r>
            <w:r w:rsidRPr="00C300AB">
              <w:rPr>
                <w:sz w:val="20"/>
                <w:szCs w:val="20"/>
              </w:rPr>
              <w:t>)</w:t>
            </w:r>
          </w:p>
        </w:tc>
        <w:tc>
          <w:tcPr>
            <w:tcW w:w="1860" w:type="dxa"/>
            <w:vAlign w:val="center"/>
          </w:tcPr>
          <w:p w14:paraId="035EAB85" w14:textId="127D02DC" w:rsidR="00853C57" w:rsidRPr="00C300AB" w:rsidRDefault="00853C57" w:rsidP="00853C57">
            <w:pPr>
              <w:jc w:val="center"/>
              <w:rPr>
                <w:sz w:val="20"/>
                <w:szCs w:val="20"/>
              </w:rPr>
            </w:pPr>
            <w:r>
              <w:rPr>
                <w:sz w:val="20"/>
                <w:szCs w:val="20"/>
              </w:rPr>
              <w:t>4.37(-8.23, 16.97</w:t>
            </w:r>
            <w:r w:rsidRPr="00C300AB">
              <w:rPr>
                <w:sz w:val="20"/>
                <w:szCs w:val="20"/>
              </w:rPr>
              <w:t>)</w:t>
            </w:r>
          </w:p>
        </w:tc>
        <w:tc>
          <w:tcPr>
            <w:tcW w:w="1860" w:type="dxa"/>
            <w:vAlign w:val="center"/>
          </w:tcPr>
          <w:p w14:paraId="6CAA1B7A" w14:textId="275CF34B" w:rsidR="00853C57" w:rsidRPr="00C300AB" w:rsidRDefault="00853C57" w:rsidP="00853C57">
            <w:pPr>
              <w:jc w:val="center"/>
              <w:rPr>
                <w:sz w:val="20"/>
                <w:szCs w:val="20"/>
              </w:rPr>
            </w:pPr>
            <w:r>
              <w:rPr>
                <w:sz w:val="20"/>
                <w:szCs w:val="20"/>
              </w:rPr>
              <w:t>4.73(-3.58, 13.04</w:t>
            </w:r>
            <w:r w:rsidRPr="00C300AB">
              <w:rPr>
                <w:sz w:val="20"/>
                <w:szCs w:val="20"/>
              </w:rPr>
              <w:t>)</w:t>
            </w:r>
          </w:p>
        </w:tc>
        <w:tc>
          <w:tcPr>
            <w:tcW w:w="1859" w:type="dxa"/>
            <w:vAlign w:val="center"/>
          </w:tcPr>
          <w:p w14:paraId="23174A9C" w14:textId="423BD142" w:rsidR="00853C57" w:rsidRPr="00C300AB" w:rsidRDefault="00853C57" w:rsidP="00853C57">
            <w:pPr>
              <w:jc w:val="center"/>
              <w:rPr>
                <w:sz w:val="20"/>
                <w:szCs w:val="20"/>
              </w:rPr>
            </w:pPr>
            <w:r>
              <w:rPr>
                <w:sz w:val="20"/>
                <w:szCs w:val="20"/>
              </w:rPr>
              <w:t>0.80(-11.56,</w:t>
            </w:r>
            <w:r w:rsidR="0063214E">
              <w:rPr>
                <w:sz w:val="20"/>
                <w:szCs w:val="20"/>
              </w:rPr>
              <w:t xml:space="preserve"> </w:t>
            </w:r>
            <w:r>
              <w:rPr>
                <w:sz w:val="20"/>
                <w:szCs w:val="20"/>
              </w:rPr>
              <w:t>13.1</w:t>
            </w:r>
            <w:r w:rsidR="0063214E">
              <w:rPr>
                <w:sz w:val="20"/>
                <w:szCs w:val="20"/>
              </w:rPr>
              <w:t>5</w:t>
            </w:r>
            <w:r w:rsidRPr="00C300AB">
              <w:rPr>
                <w:sz w:val="20"/>
                <w:szCs w:val="20"/>
              </w:rPr>
              <w:t>)</w:t>
            </w:r>
          </w:p>
        </w:tc>
        <w:tc>
          <w:tcPr>
            <w:tcW w:w="1860" w:type="dxa"/>
            <w:vAlign w:val="center"/>
          </w:tcPr>
          <w:p w14:paraId="48897089" w14:textId="41A06E55" w:rsidR="00853C57" w:rsidRPr="00C300AB" w:rsidRDefault="00853C57" w:rsidP="00853C57">
            <w:pPr>
              <w:jc w:val="center"/>
              <w:rPr>
                <w:sz w:val="20"/>
                <w:szCs w:val="20"/>
              </w:rPr>
            </w:pPr>
            <w:r>
              <w:rPr>
                <w:sz w:val="20"/>
                <w:szCs w:val="20"/>
              </w:rPr>
              <w:t>1.05(-10.63,</w:t>
            </w:r>
            <w:r w:rsidR="00C22C46">
              <w:rPr>
                <w:sz w:val="20"/>
                <w:szCs w:val="20"/>
              </w:rPr>
              <w:t xml:space="preserve"> </w:t>
            </w:r>
            <w:r>
              <w:rPr>
                <w:sz w:val="20"/>
                <w:szCs w:val="20"/>
              </w:rPr>
              <w:t>12.72</w:t>
            </w:r>
            <w:r w:rsidRPr="00C300AB">
              <w:rPr>
                <w:sz w:val="20"/>
                <w:szCs w:val="20"/>
              </w:rPr>
              <w:t>)</w:t>
            </w:r>
          </w:p>
        </w:tc>
        <w:tc>
          <w:tcPr>
            <w:tcW w:w="1860" w:type="dxa"/>
            <w:vAlign w:val="center"/>
          </w:tcPr>
          <w:p w14:paraId="357D5553" w14:textId="6E41E8C1" w:rsidR="00853C57" w:rsidRDefault="00853C57" w:rsidP="00853C57">
            <w:pPr>
              <w:jc w:val="center"/>
              <w:rPr>
                <w:sz w:val="20"/>
                <w:szCs w:val="20"/>
              </w:rPr>
            </w:pPr>
            <w:r w:rsidRPr="005A58AE">
              <w:rPr>
                <w:sz w:val="20"/>
                <w:szCs w:val="20"/>
              </w:rPr>
              <w:t>-4.</w:t>
            </w:r>
            <w:r>
              <w:rPr>
                <w:sz w:val="20"/>
                <w:szCs w:val="20"/>
              </w:rPr>
              <w:t>25</w:t>
            </w:r>
            <w:r w:rsidRPr="005A58AE">
              <w:rPr>
                <w:sz w:val="20"/>
                <w:szCs w:val="20"/>
              </w:rPr>
              <w:t>(-13.</w:t>
            </w:r>
            <w:r w:rsidR="004F5A27">
              <w:rPr>
                <w:sz w:val="20"/>
                <w:szCs w:val="20"/>
              </w:rPr>
              <w:t>32</w:t>
            </w:r>
            <w:r w:rsidRPr="005A58AE">
              <w:rPr>
                <w:sz w:val="20"/>
                <w:szCs w:val="20"/>
              </w:rPr>
              <w:t xml:space="preserve">, </w:t>
            </w:r>
            <w:r>
              <w:rPr>
                <w:sz w:val="20"/>
                <w:szCs w:val="20"/>
              </w:rPr>
              <w:t>4.81</w:t>
            </w:r>
            <w:r w:rsidRPr="005A58AE">
              <w:rPr>
                <w:sz w:val="20"/>
                <w:szCs w:val="20"/>
              </w:rPr>
              <w:t>)</w:t>
            </w:r>
          </w:p>
        </w:tc>
        <w:tc>
          <w:tcPr>
            <w:tcW w:w="1860" w:type="dxa"/>
            <w:vAlign w:val="center"/>
          </w:tcPr>
          <w:p w14:paraId="08496B87" w14:textId="718B3596" w:rsidR="00853C57" w:rsidRDefault="00853C57" w:rsidP="00853C57">
            <w:pPr>
              <w:jc w:val="center"/>
              <w:rPr>
                <w:sz w:val="20"/>
                <w:szCs w:val="20"/>
              </w:rPr>
            </w:pPr>
            <w:r w:rsidRPr="004A4AE1">
              <w:rPr>
                <w:sz w:val="20"/>
                <w:szCs w:val="20"/>
              </w:rPr>
              <w:t>0.02(-0.34</w:t>
            </w:r>
            <w:r>
              <w:rPr>
                <w:sz w:val="20"/>
                <w:szCs w:val="20"/>
              </w:rPr>
              <w:t>, 0.37</w:t>
            </w:r>
            <w:r w:rsidRPr="004A4AE1">
              <w:rPr>
                <w:sz w:val="20"/>
                <w:szCs w:val="20"/>
              </w:rPr>
              <w:t>)</w:t>
            </w:r>
          </w:p>
        </w:tc>
      </w:tr>
      <w:tr w:rsidR="00853C57" w:rsidRPr="0072438F" w14:paraId="27E8481F" w14:textId="03AED265" w:rsidTr="00B73A11">
        <w:trPr>
          <w:gridAfter w:val="1"/>
          <w:wAfter w:w="29" w:type="dxa"/>
        </w:trPr>
        <w:tc>
          <w:tcPr>
            <w:tcW w:w="1838" w:type="dxa"/>
          </w:tcPr>
          <w:p w14:paraId="65C7C4E7" w14:textId="74759D0B" w:rsidR="00853C57" w:rsidRPr="00C300AB" w:rsidRDefault="00853C57" w:rsidP="00853C57">
            <w:pPr>
              <w:rPr>
                <w:sz w:val="20"/>
                <w:szCs w:val="20"/>
              </w:rPr>
            </w:pPr>
            <w:r w:rsidRPr="00C300AB">
              <w:rPr>
                <w:sz w:val="20"/>
                <w:szCs w:val="20"/>
              </w:rPr>
              <w:t>Non-</w:t>
            </w:r>
            <w:r>
              <w:rPr>
                <w:sz w:val="20"/>
                <w:szCs w:val="20"/>
              </w:rPr>
              <w:t xml:space="preserve">White European x </w:t>
            </w:r>
            <w:r w:rsidRPr="00C300AB">
              <w:rPr>
                <w:sz w:val="20"/>
                <w:szCs w:val="20"/>
              </w:rPr>
              <w:t>Time</w:t>
            </w:r>
          </w:p>
        </w:tc>
        <w:tc>
          <w:tcPr>
            <w:tcW w:w="1717" w:type="dxa"/>
            <w:vAlign w:val="center"/>
          </w:tcPr>
          <w:p w14:paraId="3BD9C30F" w14:textId="77777777" w:rsidR="00853C57" w:rsidRPr="00C300AB" w:rsidRDefault="00853C57" w:rsidP="00853C57">
            <w:pPr>
              <w:jc w:val="center"/>
              <w:rPr>
                <w:sz w:val="20"/>
                <w:szCs w:val="20"/>
              </w:rPr>
            </w:pPr>
            <w:r w:rsidRPr="00C300AB">
              <w:rPr>
                <w:sz w:val="20"/>
                <w:szCs w:val="20"/>
              </w:rPr>
              <w:t>-</w:t>
            </w:r>
          </w:p>
        </w:tc>
        <w:tc>
          <w:tcPr>
            <w:tcW w:w="1860" w:type="dxa"/>
            <w:vAlign w:val="center"/>
          </w:tcPr>
          <w:p w14:paraId="2C1CFAEE" w14:textId="77777777" w:rsidR="00853C57" w:rsidRPr="00C300AB" w:rsidRDefault="00853C57" w:rsidP="00853C57">
            <w:pPr>
              <w:jc w:val="center"/>
              <w:rPr>
                <w:sz w:val="20"/>
                <w:szCs w:val="20"/>
              </w:rPr>
            </w:pPr>
            <w:r w:rsidRPr="00C300AB">
              <w:rPr>
                <w:sz w:val="20"/>
                <w:szCs w:val="20"/>
              </w:rPr>
              <w:t>-</w:t>
            </w:r>
          </w:p>
        </w:tc>
        <w:tc>
          <w:tcPr>
            <w:tcW w:w="1860" w:type="dxa"/>
            <w:vAlign w:val="center"/>
          </w:tcPr>
          <w:p w14:paraId="6ED34630" w14:textId="77777777" w:rsidR="00853C57" w:rsidRPr="00C300AB" w:rsidRDefault="00853C57" w:rsidP="00853C57">
            <w:pPr>
              <w:jc w:val="center"/>
              <w:rPr>
                <w:sz w:val="20"/>
                <w:szCs w:val="20"/>
              </w:rPr>
            </w:pPr>
            <w:r w:rsidRPr="00C300AB">
              <w:rPr>
                <w:sz w:val="20"/>
                <w:szCs w:val="20"/>
              </w:rPr>
              <w:t>-</w:t>
            </w:r>
          </w:p>
        </w:tc>
        <w:tc>
          <w:tcPr>
            <w:tcW w:w="1859" w:type="dxa"/>
            <w:vAlign w:val="center"/>
          </w:tcPr>
          <w:p w14:paraId="3A389573" w14:textId="77777777" w:rsidR="00853C57" w:rsidRPr="00C300AB" w:rsidRDefault="00853C57" w:rsidP="00853C57">
            <w:pPr>
              <w:jc w:val="center"/>
              <w:rPr>
                <w:sz w:val="20"/>
                <w:szCs w:val="20"/>
              </w:rPr>
            </w:pPr>
            <w:r w:rsidRPr="00C300AB">
              <w:rPr>
                <w:sz w:val="20"/>
                <w:szCs w:val="20"/>
              </w:rPr>
              <w:t>-</w:t>
            </w:r>
          </w:p>
        </w:tc>
        <w:tc>
          <w:tcPr>
            <w:tcW w:w="1860" w:type="dxa"/>
            <w:vAlign w:val="center"/>
          </w:tcPr>
          <w:p w14:paraId="141C9762" w14:textId="6F9AACCB" w:rsidR="00853C57" w:rsidRPr="00C300AB" w:rsidRDefault="00853C57" w:rsidP="00853C57">
            <w:pPr>
              <w:jc w:val="center"/>
              <w:rPr>
                <w:b/>
                <w:sz w:val="20"/>
                <w:szCs w:val="20"/>
              </w:rPr>
            </w:pPr>
            <w:r>
              <w:rPr>
                <w:b/>
                <w:sz w:val="20"/>
                <w:szCs w:val="20"/>
              </w:rPr>
              <w:t>0.74(0.26</w:t>
            </w:r>
            <w:r w:rsidRPr="00C300AB">
              <w:rPr>
                <w:b/>
                <w:sz w:val="20"/>
                <w:szCs w:val="20"/>
              </w:rPr>
              <w:t>, 1.22)</w:t>
            </w:r>
          </w:p>
        </w:tc>
        <w:tc>
          <w:tcPr>
            <w:tcW w:w="1860" w:type="dxa"/>
            <w:vAlign w:val="center"/>
          </w:tcPr>
          <w:p w14:paraId="257B2E4B" w14:textId="73BA7F68" w:rsidR="00853C57" w:rsidRDefault="00853C57" w:rsidP="00853C57">
            <w:pPr>
              <w:jc w:val="center"/>
              <w:rPr>
                <w:b/>
                <w:sz w:val="20"/>
                <w:szCs w:val="20"/>
              </w:rPr>
            </w:pPr>
            <w:r>
              <w:rPr>
                <w:sz w:val="20"/>
                <w:szCs w:val="20"/>
              </w:rPr>
              <w:t>-</w:t>
            </w:r>
          </w:p>
        </w:tc>
        <w:tc>
          <w:tcPr>
            <w:tcW w:w="1860" w:type="dxa"/>
            <w:vAlign w:val="center"/>
          </w:tcPr>
          <w:p w14:paraId="64CA2793" w14:textId="0A4C6C1C" w:rsidR="00853C57" w:rsidRDefault="00853C57" w:rsidP="00853C57">
            <w:pPr>
              <w:jc w:val="center"/>
              <w:rPr>
                <w:b/>
                <w:sz w:val="20"/>
                <w:szCs w:val="20"/>
              </w:rPr>
            </w:pPr>
            <w:r>
              <w:rPr>
                <w:sz w:val="20"/>
                <w:szCs w:val="20"/>
              </w:rPr>
              <w:t>-</w:t>
            </w:r>
          </w:p>
        </w:tc>
      </w:tr>
      <w:tr w:rsidR="00853C57" w:rsidRPr="0072438F" w14:paraId="648EDE7E" w14:textId="3A5D1A82" w:rsidTr="00B73A11">
        <w:trPr>
          <w:gridAfter w:val="1"/>
          <w:wAfter w:w="29" w:type="dxa"/>
        </w:trPr>
        <w:tc>
          <w:tcPr>
            <w:tcW w:w="1838" w:type="dxa"/>
          </w:tcPr>
          <w:p w14:paraId="41C0EC97" w14:textId="77777777" w:rsidR="00853C57" w:rsidRPr="00C300AB" w:rsidRDefault="00853C57" w:rsidP="00853C57">
            <w:pPr>
              <w:rPr>
                <w:sz w:val="20"/>
                <w:szCs w:val="20"/>
              </w:rPr>
            </w:pPr>
            <w:r w:rsidRPr="00C300AB">
              <w:rPr>
                <w:sz w:val="20"/>
                <w:szCs w:val="20"/>
              </w:rPr>
              <w:t>IMD</w:t>
            </w:r>
          </w:p>
        </w:tc>
        <w:tc>
          <w:tcPr>
            <w:tcW w:w="1717" w:type="dxa"/>
            <w:vAlign w:val="center"/>
          </w:tcPr>
          <w:p w14:paraId="5D3843B5" w14:textId="19439DD0" w:rsidR="00853C57" w:rsidRPr="00C300AB" w:rsidRDefault="00853C57" w:rsidP="00853C57">
            <w:pPr>
              <w:jc w:val="center"/>
              <w:rPr>
                <w:sz w:val="20"/>
                <w:szCs w:val="20"/>
              </w:rPr>
            </w:pPr>
            <w:r w:rsidRPr="00C300AB">
              <w:rPr>
                <w:sz w:val="20"/>
                <w:szCs w:val="20"/>
              </w:rPr>
              <w:t>0.25(-0.31, 0.81)</w:t>
            </w:r>
            <w:r w:rsidRPr="00AB549B">
              <w:rPr>
                <w:b/>
                <w:sz w:val="24"/>
                <w:szCs w:val="24"/>
                <w:vertAlign w:val="superscript"/>
              </w:rPr>
              <w:t xml:space="preserve"> a</w:t>
            </w:r>
          </w:p>
        </w:tc>
        <w:tc>
          <w:tcPr>
            <w:tcW w:w="1860" w:type="dxa"/>
            <w:vAlign w:val="center"/>
          </w:tcPr>
          <w:p w14:paraId="1FE68185" w14:textId="0E543B55" w:rsidR="00853C57" w:rsidRPr="00C300AB" w:rsidRDefault="00853C57" w:rsidP="00853C57">
            <w:pPr>
              <w:jc w:val="center"/>
              <w:rPr>
                <w:sz w:val="20"/>
                <w:szCs w:val="20"/>
              </w:rPr>
            </w:pPr>
            <w:r>
              <w:rPr>
                <w:sz w:val="20"/>
                <w:szCs w:val="20"/>
              </w:rPr>
              <w:t>0.37(-0.23, 0.98</w:t>
            </w:r>
            <w:r w:rsidRPr="00C300AB">
              <w:rPr>
                <w:sz w:val="20"/>
                <w:szCs w:val="20"/>
              </w:rPr>
              <w:t>)</w:t>
            </w:r>
            <w:r w:rsidRPr="00AB549B">
              <w:rPr>
                <w:b/>
                <w:sz w:val="24"/>
                <w:szCs w:val="24"/>
                <w:vertAlign w:val="superscript"/>
              </w:rPr>
              <w:t xml:space="preserve"> a</w:t>
            </w:r>
          </w:p>
        </w:tc>
        <w:tc>
          <w:tcPr>
            <w:tcW w:w="1860" w:type="dxa"/>
            <w:vAlign w:val="center"/>
          </w:tcPr>
          <w:p w14:paraId="4B1D6A20" w14:textId="6ECAD0F5" w:rsidR="00853C57" w:rsidRPr="00C300AB" w:rsidRDefault="00853C57" w:rsidP="00853C57">
            <w:pPr>
              <w:jc w:val="center"/>
              <w:rPr>
                <w:sz w:val="20"/>
                <w:szCs w:val="20"/>
              </w:rPr>
            </w:pPr>
            <w:r w:rsidRPr="00C300AB">
              <w:rPr>
                <w:sz w:val="20"/>
                <w:szCs w:val="20"/>
              </w:rPr>
              <w:t>0.28(-0.11, 0.67)</w:t>
            </w:r>
            <w:r w:rsidRPr="00AB549B">
              <w:rPr>
                <w:b/>
                <w:sz w:val="24"/>
                <w:szCs w:val="24"/>
                <w:vertAlign w:val="superscript"/>
              </w:rPr>
              <w:t xml:space="preserve"> a</w:t>
            </w:r>
          </w:p>
        </w:tc>
        <w:tc>
          <w:tcPr>
            <w:tcW w:w="1859" w:type="dxa"/>
            <w:vAlign w:val="center"/>
          </w:tcPr>
          <w:p w14:paraId="58AD1764" w14:textId="7DAB8340" w:rsidR="00853C57" w:rsidRPr="00C300AB" w:rsidRDefault="00853C57" w:rsidP="00853C57">
            <w:pPr>
              <w:jc w:val="center"/>
              <w:rPr>
                <w:sz w:val="20"/>
                <w:szCs w:val="20"/>
              </w:rPr>
            </w:pPr>
            <w:r>
              <w:rPr>
                <w:sz w:val="20"/>
                <w:szCs w:val="20"/>
              </w:rPr>
              <w:t>0.35(-0.25, 0.94</w:t>
            </w:r>
            <w:r w:rsidRPr="00C300AB">
              <w:rPr>
                <w:sz w:val="20"/>
                <w:szCs w:val="20"/>
              </w:rPr>
              <w:t>)</w:t>
            </w:r>
            <w:r w:rsidRPr="00AB549B">
              <w:rPr>
                <w:b/>
                <w:sz w:val="24"/>
                <w:szCs w:val="24"/>
                <w:vertAlign w:val="superscript"/>
              </w:rPr>
              <w:t xml:space="preserve"> a</w:t>
            </w:r>
          </w:p>
        </w:tc>
        <w:tc>
          <w:tcPr>
            <w:tcW w:w="1860" w:type="dxa"/>
            <w:vAlign w:val="center"/>
          </w:tcPr>
          <w:p w14:paraId="28A5327E" w14:textId="2A3117DE" w:rsidR="00853C57" w:rsidRPr="00C300AB" w:rsidRDefault="00853C57" w:rsidP="00853C57">
            <w:pPr>
              <w:jc w:val="center"/>
              <w:rPr>
                <w:sz w:val="20"/>
                <w:szCs w:val="20"/>
              </w:rPr>
            </w:pPr>
            <w:r>
              <w:rPr>
                <w:sz w:val="20"/>
                <w:szCs w:val="20"/>
              </w:rPr>
              <w:t>0.18(-0.35, 0.71</w:t>
            </w:r>
            <w:r w:rsidRPr="00C300AB">
              <w:rPr>
                <w:sz w:val="20"/>
                <w:szCs w:val="20"/>
              </w:rPr>
              <w:t>)</w:t>
            </w:r>
            <w:r w:rsidRPr="00AB549B">
              <w:rPr>
                <w:b/>
                <w:sz w:val="24"/>
                <w:szCs w:val="24"/>
                <w:vertAlign w:val="superscript"/>
              </w:rPr>
              <w:t xml:space="preserve"> a</w:t>
            </w:r>
          </w:p>
        </w:tc>
        <w:tc>
          <w:tcPr>
            <w:tcW w:w="1860" w:type="dxa"/>
            <w:vAlign w:val="center"/>
          </w:tcPr>
          <w:p w14:paraId="34807257" w14:textId="5440B779" w:rsidR="00853C57" w:rsidRDefault="00853C57" w:rsidP="00853C57">
            <w:pPr>
              <w:jc w:val="center"/>
              <w:rPr>
                <w:sz w:val="20"/>
                <w:szCs w:val="20"/>
              </w:rPr>
            </w:pPr>
            <w:r w:rsidRPr="005A58AE">
              <w:rPr>
                <w:b/>
                <w:sz w:val="20"/>
                <w:szCs w:val="20"/>
              </w:rPr>
              <w:t>0.</w:t>
            </w:r>
            <w:r>
              <w:rPr>
                <w:b/>
                <w:sz w:val="20"/>
                <w:szCs w:val="20"/>
              </w:rPr>
              <w:t>60(0.04, 1.16</w:t>
            </w:r>
            <w:r w:rsidRPr="005A58AE">
              <w:rPr>
                <w:sz w:val="20"/>
                <w:szCs w:val="20"/>
              </w:rPr>
              <w:t>)</w:t>
            </w:r>
            <w:r w:rsidRPr="005A58AE">
              <w:rPr>
                <w:b/>
                <w:sz w:val="24"/>
                <w:szCs w:val="24"/>
                <w:vertAlign w:val="superscript"/>
              </w:rPr>
              <w:t xml:space="preserve"> a</w:t>
            </w:r>
          </w:p>
        </w:tc>
        <w:tc>
          <w:tcPr>
            <w:tcW w:w="1860" w:type="dxa"/>
            <w:vAlign w:val="center"/>
          </w:tcPr>
          <w:p w14:paraId="20CEB396" w14:textId="50F266EC" w:rsidR="00853C57" w:rsidRDefault="00853C57" w:rsidP="00853C57">
            <w:pPr>
              <w:jc w:val="center"/>
              <w:rPr>
                <w:sz w:val="20"/>
                <w:szCs w:val="20"/>
              </w:rPr>
            </w:pPr>
            <w:r w:rsidRPr="004A4AE1">
              <w:rPr>
                <w:b/>
                <w:sz w:val="20"/>
                <w:szCs w:val="20"/>
              </w:rPr>
              <w:t>-0.01(-0.03, -0.00)</w:t>
            </w:r>
            <w:r w:rsidRPr="004A4AE1">
              <w:rPr>
                <w:b/>
                <w:sz w:val="24"/>
                <w:szCs w:val="24"/>
                <w:vertAlign w:val="superscript"/>
              </w:rPr>
              <w:t xml:space="preserve"> a</w:t>
            </w:r>
          </w:p>
        </w:tc>
      </w:tr>
      <w:tr w:rsidR="00853C57" w:rsidRPr="0072438F" w14:paraId="08A761B9" w14:textId="77777777" w:rsidTr="00B73A11">
        <w:trPr>
          <w:gridAfter w:val="1"/>
          <w:wAfter w:w="29" w:type="dxa"/>
        </w:trPr>
        <w:tc>
          <w:tcPr>
            <w:tcW w:w="1838" w:type="dxa"/>
          </w:tcPr>
          <w:p w14:paraId="5DBC9A22" w14:textId="19927D82" w:rsidR="00853C57" w:rsidRPr="00C300AB" w:rsidRDefault="00853C57" w:rsidP="00853C57">
            <w:pPr>
              <w:rPr>
                <w:sz w:val="20"/>
                <w:szCs w:val="20"/>
              </w:rPr>
            </w:pPr>
            <w:r>
              <w:rPr>
                <w:sz w:val="20"/>
                <w:szCs w:val="20"/>
              </w:rPr>
              <w:t>IMD x Time</w:t>
            </w:r>
          </w:p>
        </w:tc>
        <w:tc>
          <w:tcPr>
            <w:tcW w:w="1717" w:type="dxa"/>
            <w:vAlign w:val="center"/>
          </w:tcPr>
          <w:p w14:paraId="277205C3" w14:textId="77777777" w:rsidR="00853C57" w:rsidRPr="00C300AB" w:rsidRDefault="00853C57" w:rsidP="00853C57">
            <w:pPr>
              <w:jc w:val="center"/>
              <w:rPr>
                <w:sz w:val="20"/>
                <w:szCs w:val="20"/>
              </w:rPr>
            </w:pPr>
          </w:p>
        </w:tc>
        <w:tc>
          <w:tcPr>
            <w:tcW w:w="1860" w:type="dxa"/>
            <w:vAlign w:val="center"/>
          </w:tcPr>
          <w:p w14:paraId="5C53C389" w14:textId="77777777" w:rsidR="00853C57" w:rsidRDefault="00853C57" w:rsidP="00853C57">
            <w:pPr>
              <w:jc w:val="center"/>
              <w:rPr>
                <w:sz w:val="20"/>
                <w:szCs w:val="20"/>
              </w:rPr>
            </w:pPr>
          </w:p>
        </w:tc>
        <w:tc>
          <w:tcPr>
            <w:tcW w:w="1860" w:type="dxa"/>
            <w:vAlign w:val="center"/>
          </w:tcPr>
          <w:p w14:paraId="1481335E" w14:textId="77777777" w:rsidR="00853C57" w:rsidRPr="00C300AB" w:rsidRDefault="00853C57" w:rsidP="00853C57">
            <w:pPr>
              <w:jc w:val="center"/>
              <w:rPr>
                <w:sz w:val="20"/>
                <w:szCs w:val="20"/>
              </w:rPr>
            </w:pPr>
          </w:p>
        </w:tc>
        <w:tc>
          <w:tcPr>
            <w:tcW w:w="1859" w:type="dxa"/>
            <w:vAlign w:val="center"/>
          </w:tcPr>
          <w:p w14:paraId="3B9C5366" w14:textId="77777777" w:rsidR="00853C57" w:rsidRDefault="00853C57" w:rsidP="00853C57">
            <w:pPr>
              <w:jc w:val="center"/>
              <w:rPr>
                <w:sz w:val="20"/>
                <w:szCs w:val="20"/>
              </w:rPr>
            </w:pPr>
          </w:p>
        </w:tc>
        <w:tc>
          <w:tcPr>
            <w:tcW w:w="1860" w:type="dxa"/>
            <w:vAlign w:val="center"/>
          </w:tcPr>
          <w:p w14:paraId="77383702" w14:textId="77777777" w:rsidR="00853C57" w:rsidRDefault="00853C57" w:rsidP="00853C57">
            <w:pPr>
              <w:jc w:val="center"/>
              <w:rPr>
                <w:sz w:val="20"/>
                <w:szCs w:val="20"/>
              </w:rPr>
            </w:pPr>
          </w:p>
        </w:tc>
        <w:tc>
          <w:tcPr>
            <w:tcW w:w="1860" w:type="dxa"/>
            <w:vAlign w:val="center"/>
          </w:tcPr>
          <w:p w14:paraId="42A34874" w14:textId="352B6C6F" w:rsidR="00853C57" w:rsidRDefault="00853C57" w:rsidP="00853C57">
            <w:pPr>
              <w:jc w:val="center"/>
              <w:rPr>
                <w:sz w:val="20"/>
                <w:szCs w:val="20"/>
              </w:rPr>
            </w:pPr>
            <w:r w:rsidRPr="005A58AE">
              <w:rPr>
                <w:sz w:val="20"/>
                <w:szCs w:val="20"/>
              </w:rPr>
              <w:t>-</w:t>
            </w:r>
          </w:p>
        </w:tc>
        <w:tc>
          <w:tcPr>
            <w:tcW w:w="1860" w:type="dxa"/>
            <w:vAlign w:val="center"/>
          </w:tcPr>
          <w:p w14:paraId="0D1F6661" w14:textId="7797836C" w:rsidR="00853C57" w:rsidRDefault="00853C57" w:rsidP="00853C57">
            <w:pPr>
              <w:jc w:val="center"/>
              <w:rPr>
                <w:sz w:val="20"/>
                <w:szCs w:val="20"/>
              </w:rPr>
            </w:pPr>
            <w:r w:rsidRPr="004A4AE1">
              <w:rPr>
                <w:b/>
                <w:sz w:val="20"/>
                <w:szCs w:val="20"/>
              </w:rPr>
              <w:t>0.00(0.00, 0.00)</w:t>
            </w:r>
          </w:p>
        </w:tc>
      </w:tr>
      <w:tr w:rsidR="00853C57" w:rsidRPr="0072438F" w14:paraId="7025994A" w14:textId="34CC4A79" w:rsidTr="00B73A11">
        <w:trPr>
          <w:gridAfter w:val="1"/>
          <w:wAfter w:w="29" w:type="dxa"/>
        </w:trPr>
        <w:tc>
          <w:tcPr>
            <w:tcW w:w="1838" w:type="dxa"/>
          </w:tcPr>
          <w:p w14:paraId="57FA75FE" w14:textId="77777777" w:rsidR="00853C57" w:rsidRPr="00C300AB" w:rsidRDefault="00853C57" w:rsidP="00853C57">
            <w:pPr>
              <w:rPr>
                <w:sz w:val="20"/>
                <w:szCs w:val="20"/>
              </w:rPr>
            </w:pPr>
            <w:r w:rsidRPr="00C300AB">
              <w:rPr>
                <w:sz w:val="20"/>
                <w:szCs w:val="20"/>
              </w:rPr>
              <w:t>Married or cohabiting</w:t>
            </w:r>
          </w:p>
        </w:tc>
        <w:tc>
          <w:tcPr>
            <w:tcW w:w="1717" w:type="dxa"/>
            <w:vAlign w:val="center"/>
          </w:tcPr>
          <w:p w14:paraId="536F9C67" w14:textId="30DC35E2" w:rsidR="00853C57" w:rsidRPr="00C300AB" w:rsidRDefault="00853C57" w:rsidP="00853C57">
            <w:pPr>
              <w:jc w:val="center"/>
              <w:rPr>
                <w:sz w:val="20"/>
                <w:szCs w:val="20"/>
              </w:rPr>
            </w:pPr>
            <w:r>
              <w:rPr>
                <w:sz w:val="20"/>
                <w:szCs w:val="20"/>
              </w:rPr>
              <w:t>2.44(1.44</w:t>
            </w:r>
            <w:r w:rsidRPr="00C300AB">
              <w:rPr>
                <w:sz w:val="20"/>
                <w:szCs w:val="20"/>
              </w:rPr>
              <w:t>,</w:t>
            </w:r>
            <w:r>
              <w:rPr>
                <w:sz w:val="20"/>
                <w:szCs w:val="20"/>
              </w:rPr>
              <w:t xml:space="preserve"> 6.32</w:t>
            </w:r>
            <w:r w:rsidRPr="00C300AB">
              <w:rPr>
                <w:sz w:val="20"/>
                <w:szCs w:val="20"/>
              </w:rPr>
              <w:t>)</w:t>
            </w:r>
          </w:p>
        </w:tc>
        <w:tc>
          <w:tcPr>
            <w:tcW w:w="1860" w:type="dxa"/>
            <w:vAlign w:val="center"/>
          </w:tcPr>
          <w:p w14:paraId="7608FF3D" w14:textId="189DB91E" w:rsidR="00853C57" w:rsidRPr="00C300AB" w:rsidRDefault="00853C57" w:rsidP="00853C57">
            <w:pPr>
              <w:jc w:val="center"/>
              <w:rPr>
                <w:sz w:val="20"/>
                <w:szCs w:val="20"/>
              </w:rPr>
            </w:pPr>
            <w:r>
              <w:rPr>
                <w:sz w:val="20"/>
                <w:szCs w:val="20"/>
              </w:rPr>
              <w:t>-</w:t>
            </w:r>
            <w:r w:rsidRPr="00C300AB">
              <w:rPr>
                <w:sz w:val="20"/>
                <w:szCs w:val="20"/>
              </w:rPr>
              <w:t xml:space="preserve"> 0.01</w:t>
            </w:r>
            <w:r>
              <w:rPr>
                <w:sz w:val="20"/>
                <w:szCs w:val="20"/>
              </w:rPr>
              <w:t>(-4.20, 4.18</w:t>
            </w:r>
            <w:r w:rsidRPr="00C300AB">
              <w:rPr>
                <w:sz w:val="20"/>
                <w:szCs w:val="20"/>
              </w:rPr>
              <w:t>)</w:t>
            </w:r>
          </w:p>
        </w:tc>
        <w:tc>
          <w:tcPr>
            <w:tcW w:w="1860" w:type="dxa"/>
            <w:vAlign w:val="center"/>
          </w:tcPr>
          <w:p w14:paraId="4B362A89" w14:textId="6329A668" w:rsidR="00853C57" w:rsidRPr="00C300AB" w:rsidRDefault="00853C57" w:rsidP="00853C57">
            <w:pPr>
              <w:jc w:val="center"/>
              <w:rPr>
                <w:sz w:val="20"/>
                <w:szCs w:val="20"/>
              </w:rPr>
            </w:pPr>
            <w:r>
              <w:rPr>
                <w:sz w:val="20"/>
                <w:szCs w:val="20"/>
              </w:rPr>
              <w:t>1.02(-1.69, 3.73</w:t>
            </w:r>
            <w:r w:rsidRPr="00C300AB">
              <w:rPr>
                <w:sz w:val="20"/>
                <w:szCs w:val="20"/>
              </w:rPr>
              <w:t>)</w:t>
            </w:r>
          </w:p>
        </w:tc>
        <w:tc>
          <w:tcPr>
            <w:tcW w:w="1859" w:type="dxa"/>
            <w:vAlign w:val="center"/>
          </w:tcPr>
          <w:p w14:paraId="4BBA8344" w14:textId="76DAB297" w:rsidR="00853C57" w:rsidRPr="00C300AB" w:rsidRDefault="00853C57" w:rsidP="00853C57">
            <w:pPr>
              <w:jc w:val="center"/>
              <w:rPr>
                <w:sz w:val="20"/>
                <w:szCs w:val="20"/>
              </w:rPr>
            </w:pPr>
            <w:r>
              <w:rPr>
                <w:sz w:val="20"/>
                <w:szCs w:val="20"/>
              </w:rPr>
              <w:t>-0.07(-4.18, 4.04</w:t>
            </w:r>
            <w:r w:rsidRPr="00C300AB">
              <w:rPr>
                <w:sz w:val="20"/>
                <w:szCs w:val="20"/>
              </w:rPr>
              <w:t>)</w:t>
            </w:r>
          </w:p>
        </w:tc>
        <w:tc>
          <w:tcPr>
            <w:tcW w:w="1860" w:type="dxa"/>
            <w:vAlign w:val="center"/>
          </w:tcPr>
          <w:p w14:paraId="42CDE70C" w14:textId="531E4C0E" w:rsidR="00853C57" w:rsidRPr="00C300AB" w:rsidRDefault="00853C57" w:rsidP="00853C57">
            <w:pPr>
              <w:jc w:val="center"/>
              <w:rPr>
                <w:sz w:val="20"/>
                <w:szCs w:val="20"/>
              </w:rPr>
            </w:pPr>
            <w:r w:rsidRPr="00C300AB">
              <w:rPr>
                <w:sz w:val="20"/>
                <w:szCs w:val="20"/>
              </w:rPr>
              <w:t>-</w:t>
            </w:r>
            <w:r>
              <w:rPr>
                <w:sz w:val="20"/>
                <w:szCs w:val="20"/>
              </w:rPr>
              <w:t>1.61(-2.05, 5.28</w:t>
            </w:r>
            <w:r w:rsidRPr="00C300AB">
              <w:rPr>
                <w:sz w:val="20"/>
                <w:szCs w:val="20"/>
              </w:rPr>
              <w:t>)</w:t>
            </w:r>
          </w:p>
        </w:tc>
        <w:tc>
          <w:tcPr>
            <w:tcW w:w="1860" w:type="dxa"/>
            <w:vAlign w:val="center"/>
          </w:tcPr>
          <w:p w14:paraId="661878A4" w14:textId="003EB1BD" w:rsidR="00853C57" w:rsidRPr="00C300AB" w:rsidRDefault="00853C57" w:rsidP="00853C57">
            <w:pPr>
              <w:jc w:val="center"/>
              <w:rPr>
                <w:sz w:val="20"/>
                <w:szCs w:val="20"/>
              </w:rPr>
            </w:pPr>
            <w:r>
              <w:rPr>
                <w:sz w:val="20"/>
                <w:szCs w:val="20"/>
              </w:rPr>
              <w:t>0.30(-3.63</w:t>
            </w:r>
            <w:r w:rsidRPr="005A58AE">
              <w:rPr>
                <w:sz w:val="20"/>
                <w:szCs w:val="20"/>
              </w:rPr>
              <w:t>,</w:t>
            </w:r>
            <w:r>
              <w:rPr>
                <w:sz w:val="20"/>
                <w:szCs w:val="20"/>
              </w:rPr>
              <w:t xml:space="preserve"> 4.23</w:t>
            </w:r>
            <w:r w:rsidRPr="005A58AE">
              <w:rPr>
                <w:sz w:val="20"/>
                <w:szCs w:val="20"/>
              </w:rPr>
              <w:t>)</w:t>
            </w:r>
          </w:p>
        </w:tc>
        <w:tc>
          <w:tcPr>
            <w:tcW w:w="1860" w:type="dxa"/>
            <w:vAlign w:val="center"/>
          </w:tcPr>
          <w:p w14:paraId="1C51DAA7" w14:textId="4ACA54DA" w:rsidR="00853C57" w:rsidRPr="00C300AB" w:rsidRDefault="00853C57" w:rsidP="00853C57">
            <w:pPr>
              <w:jc w:val="center"/>
              <w:rPr>
                <w:sz w:val="20"/>
                <w:szCs w:val="20"/>
              </w:rPr>
            </w:pPr>
            <w:r w:rsidRPr="004A4AE1">
              <w:rPr>
                <w:sz w:val="20"/>
                <w:szCs w:val="20"/>
              </w:rPr>
              <w:t>0.00(-0.90, 0.10)</w:t>
            </w:r>
          </w:p>
        </w:tc>
      </w:tr>
      <w:tr w:rsidR="00853C57" w:rsidRPr="0072438F" w14:paraId="7DC0B75B" w14:textId="0B3DF237" w:rsidTr="00B73A11">
        <w:trPr>
          <w:gridAfter w:val="1"/>
          <w:wAfter w:w="29" w:type="dxa"/>
        </w:trPr>
        <w:tc>
          <w:tcPr>
            <w:tcW w:w="1838" w:type="dxa"/>
          </w:tcPr>
          <w:p w14:paraId="6D76953B" w14:textId="77777777" w:rsidR="00853C57" w:rsidRPr="00C300AB" w:rsidRDefault="00853C57" w:rsidP="00853C57">
            <w:pPr>
              <w:rPr>
                <w:sz w:val="20"/>
                <w:szCs w:val="20"/>
              </w:rPr>
            </w:pPr>
            <w:r w:rsidRPr="00C300AB">
              <w:rPr>
                <w:sz w:val="20"/>
                <w:szCs w:val="20"/>
              </w:rPr>
              <w:t>Further education</w:t>
            </w:r>
          </w:p>
        </w:tc>
        <w:tc>
          <w:tcPr>
            <w:tcW w:w="1717" w:type="dxa"/>
            <w:vAlign w:val="center"/>
          </w:tcPr>
          <w:p w14:paraId="55997F4F" w14:textId="0AD51437" w:rsidR="00853C57" w:rsidRPr="00C300AB" w:rsidRDefault="00853C57" w:rsidP="00853C57">
            <w:pPr>
              <w:jc w:val="center"/>
              <w:rPr>
                <w:sz w:val="20"/>
                <w:szCs w:val="20"/>
              </w:rPr>
            </w:pPr>
            <w:r w:rsidRPr="00C300AB">
              <w:rPr>
                <w:sz w:val="20"/>
                <w:szCs w:val="20"/>
              </w:rPr>
              <w:t>-1.</w:t>
            </w:r>
            <w:r>
              <w:rPr>
                <w:sz w:val="20"/>
                <w:szCs w:val="20"/>
              </w:rPr>
              <w:t>15(-4.80, 2.51</w:t>
            </w:r>
            <w:r w:rsidRPr="00C300AB">
              <w:rPr>
                <w:sz w:val="20"/>
                <w:szCs w:val="20"/>
              </w:rPr>
              <w:t>)</w:t>
            </w:r>
          </w:p>
        </w:tc>
        <w:tc>
          <w:tcPr>
            <w:tcW w:w="1860" w:type="dxa"/>
            <w:vAlign w:val="center"/>
          </w:tcPr>
          <w:p w14:paraId="6A74F948" w14:textId="0B0BE30E" w:rsidR="00853C57" w:rsidRPr="00C300AB" w:rsidRDefault="00853C57" w:rsidP="005470FE">
            <w:pPr>
              <w:jc w:val="center"/>
              <w:rPr>
                <w:sz w:val="20"/>
                <w:szCs w:val="20"/>
              </w:rPr>
            </w:pPr>
            <w:r>
              <w:rPr>
                <w:sz w:val="20"/>
                <w:szCs w:val="20"/>
              </w:rPr>
              <w:t>-1.56</w:t>
            </w:r>
            <w:r w:rsidR="00A264A9">
              <w:rPr>
                <w:sz w:val="20"/>
                <w:szCs w:val="20"/>
              </w:rPr>
              <w:t>(-5.53</w:t>
            </w:r>
            <w:r>
              <w:rPr>
                <w:sz w:val="20"/>
                <w:szCs w:val="20"/>
              </w:rPr>
              <w:t>, 2.40</w:t>
            </w:r>
            <w:r w:rsidRPr="00C300AB">
              <w:rPr>
                <w:sz w:val="20"/>
                <w:szCs w:val="20"/>
              </w:rPr>
              <w:t>)</w:t>
            </w:r>
          </w:p>
        </w:tc>
        <w:tc>
          <w:tcPr>
            <w:tcW w:w="1860" w:type="dxa"/>
            <w:vAlign w:val="center"/>
          </w:tcPr>
          <w:p w14:paraId="2EB03469" w14:textId="3965E8DD" w:rsidR="00853C57" w:rsidRPr="00C300AB" w:rsidRDefault="00853C57" w:rsidP="00853C57">
            <w:pPr>
              <w:jc w:val="center"/>
              <w:rPr>
                <w:b/>
                <w:sz w:val="20"/>
                <w:szCs w:val="20"/>
              </w:rPr>
            </w:pPr>
            <w:r w:rsidRPr="00C300AB">
              <w:rPr>
                <w:b/>
                <w:sz w:val="20"/>
                <w:szCs w:val="20"/>
              </w:rPr>
              <w:t>-</w:t>
            </w:r>
            <w:r>
              <w:rPr>
                <w:b/>
                <w:sz w:val="20"/>
                <w:szCs w:val="20"/>
              </w:rPr>
              <w:t>2.53(-5.05, -0.02</w:t>
            </w:r>
            <w:r w:rsidRPr="00C300AB">
              <w:rPr>
                <w:b/>
                <w:sz w:val="20"/>
                <w:szCs w:val="20"/>
              </w:rPr>
              <w:t>)</w:t>
            </w:r>
          </w:p>
        </w:tc>
        <w:tc>
          <w:tcPr>
            <w:tcW w:w="1859" w:type="dxa"/>
            <w:vAlign w:val="center"/>
          </w:tcPr>
          <w:p w14:paraId="3E0AC33C" w14:textId="22647698" w:rsidR="00853C57" w:rsidRPr="00C300AB" w:rsidRDefault="00853C57" w:rsidP="00853C57">
            <w:pPr>
              <w:jc w:val="center"/>
              <w:rPr>
                <w:sz w:val="20"/>
                <w:szCs w:val="20"/>
              </w:rPr>
            </w:pPr>
            <w:r w:rsidRPr="00533CDB">
              <w:rPr>
                <w:b/>
                <w:sz w:val="20"/>
                <w:szCs w:val="20"/>
              </w:rPr>
              <w:t>-3.98(-7.88, -0.08)</w:t>
            </w:r>
          </w:p>
        </w:tc>
        <w:tc>
          <w:tcPr>
            <w:tcW w:w="1860" w:type="dxa"/>
            <w:vAlign w:val="center"/>
          </w:tcPr>
          <w:p w14:paraId="567C6878" w14:textId="1C50C495" w:rsidR="00853C57" w:rsidRPr="00C300AB" w:rsidRDefault="00853C57" w:rsidP="00853C57">
            <w:pPr>
              <w:jc w:val="center"/>
              <w:rPr>
                <w:sz w:val="20"/>
                <w:szCs w:val="20"/>
              </w:rPr>
            </w:pPr>
            <w:r>
              <w:rPr>
                <w:sz w:val="20"/>
                <w:szCs w:val="20"/>
              </w:rPr>
              <w:t>-3.43(-6.89</w:t>
            </w:r>
            <w:r w:rsidRPr="00C300AB">
              <w:rPr>
                <w:sz w:val="20"/>
                <w:szCs w:val="20"/>
              </w:rPr>
              <w:t xml:space="preserve">, </w:t>
            </w:r>
            <w:r>
              <w:rPr>
                <w:sz w:val="20"/>
                <w:szCs w:val="20"/>
              </w:rPr>
              <w:t>0.31</w:t>
            </w:r>
            <w:r w:rsidRPr="00C300AB">
              <w:rPr>
                <w:sz w:val="20"/>
                <w:szCs w:val="20"/>
              </w:rPr>
              <w:t>)</w:t>
            </w:r>
          </w:p>
        </w:tc>
        <w:tc>
          <w:tcPr>
            <w:tcW w:w="1860" w:type="dxa"/>
            <w:vAlign w:val="center"/>
          </w:tcPr>
          <w:p w14:paraId="47EE08D4" w14:textId="024BF45B" w:rsidR="00853C57" w:rsidRDefault="00853C57" w:rsidP="00853C57">
            <w:pPr>
              <w:jc w:val="center"/>
              <w:rPr>
                <w:sz w:val="20"/>
                <w:szCs w:val="20"/>
              </w:rPr>
            </w:pPr>
            <w:r>
              <w:rPr>
                <w:sz w:val="20"/>
                <w:szCs w:val="20"/>
              </w:rPr>
              <w:t>2.23(-1.12, 5.58</w:t>
            </w:r>
            <w:r w:rsidRPr="005A58AE">
              <w:rPr>
                <w:sz w:val="20"/>
                <w:szCs w:val="20"/>
              </w:rPr>
              <w:t>)</w:t>
            </w:r>
          </w:p>
        </w:tc>
        <w:tc>
          <w:tcPr>
            <w:tcW w:w="1860" w:type="dxa"/>
            <w:vAlign w:val="center"/>
          </w:tcPr>
          <w:p w14:paraId="6281EEA3" w14:textId="0C28B717" w:rsidR="00853C57" w:rsidRDefault="00853C57" w:rsidP="00853C57">
            <w:pPr>
              <w:jc w:val="center"/>
              <w:rPr>
                <w:sz w:val="20"/>
                <w:szCs w:val="20"/>
              </w:rPr>
            </w:pPr>
            <w:r w:rsidRPr="004A4AE1">
              <w:rPr>
                <w:sz w:val="20"/>
                <w:szCs w:val="20"/>
              </w:rPr>
              <w:t>-0.05(-0.12, 0.03)</w:t>
            </w:r>
          </w:p>
        </w:tc>
      </w:tr>
      <w:tr w:rsidR="00853C57" w:rsidRPr="0072438F" w14:paraId="635EA4BC" w14:textId="5FE920CB" w:rsidTr="00B73A11">
        <w:trPr>
          <w:gridAfter w:val="1"/>
          <w:wAfter w:w="29" w:type="dxa"/>
        </w:trPr>
        <w:tc>
          <w:tcPr>
            <w:tcW w:w="1838" w:type="dxa"/>
          </w:tcPr>
          <w:p w14:paraId="001E80A1" w14:textId="2EA65FD8" w:rsidR="00853C57" w:rsidRPr="00C300AB" w:rsidRDefault="00853C57" w:rsidP="00853C57">
            <w:pPr>
              <w:rPr>
                <w:sz w:val="20"/>
                <w:szCs w:val="20"/>
              </w:rPr>
            </w:pPr>
            <w:r w:rsidRPr="00C300AB">
              <w:rPr>
                <w:sz w:val="20"/>
                <w:szCs w:val="20"/>
              </w:rPr>
              <w:t>BMI</w:t>
            </w:r>
            <w:r w:rsidRPr="00C300AB">
              <w:rPr>
                <w:rFonts w:ascii="Wingdings 2" w:eastAsia="Wingdings 2" w:hAnsi="Wingdings 2" w:cs="Wingdings 2"/>
                <w:sz w:val="20"/>
                <w:szCs w:val="20"/>
                <w:vertAlign w:val="superscript"/>
              </w:rPr>
              <w:t></w:t>
            </w:r>
          </w:p>
        </w:tc>
        <w:tc>
          <w:tcPr>
            <w:tcW w:w="1717" w:type="dxa"/>
            <w:vAlign w:val="center"/>
          </w:tcPr>
          <w:p w14:paraId="2D39413C" w14:textId="1E5D0721" w:rsidR="00853C57" w:rsidRPr="00C300AB" w:rsidRDefault="00853C57" w:rsidP="00853C57">
            <w:pPr>
              <w:jc w:val="center"/>
              <w:rPr>
                <w:sz w:val="20"/>
                <w:szCs w:val="20"/>
              </w:rPr>
            </w:pPr>
            <w:r>
              <w:rPr>
                <w:sz w:val="20"/>
                <w:szCs w:val="20"/>
              </w:rPr>
              <w:t>-0.03(-0.26, 0.19</w:t>
            </w:r>
            <w:r w:rsidRPr="00C300AB">
              <w:rPr>
                <w:sz w:val="20"/>
                <w:szCs w:val="20"/>
              </w:rPr>
              <w:t>)</w:t>
            </w:r>
          </w:p>
        </w:tc>
        <w:tc>
          <w:tcPr>
            <w:tcW w:w="1860" w:type="dxa"/>
            <w:vAlign w:val="center"/>
          </w:tcPr>
          <w:p w14:paraId="08885CBD" w14:textId="4FBAB896" w:rsidR="00853C57" w:rsidRPr="00C300AB" w:rsidRDefault="00853C57" w:rsidP="00853C57">
            <w:pPr>
              <w:jc w:val="center"/>
              <w:rPr>
                <w:sz w:val="20"/>
                <w:szCs w:val="20"/>
              </w:rPr>
            </w:pPr>
            <w:r>
              <w:rPr>
                <w:sz w:val="20"/>
                <w:szCs w:val="20"/>
              </w:rPr>
              <w:t>-0.02</w:t>
            </w:r>
            <w:r w:rsidRPr="00C300AB">
              <w:rPr>
                <w:sz w:val="20"/>
                <w:szCs w:val="20"/>
              </w:rPr>
              <w:t>(-0.26, 0.21)</w:t>
            </w:r>
          </w:p>
        </w:tc>
        <w:tc>
          <w:tcPr>
            <w:tcW w:w="1860" w:type="dxa"/>
            <w:vAlign w:val="center"/>
          </w:tcPr>
          <w:p w14:paraId="725A7A86" w14:textId="00C94753" w:rsidR="00853C57" w:rsidRPr="00C300AB" w:rsidRDefault="00853C57" w:rsidP="00853C57">
            <w:pPr>
              <w:jc w:val="center"/>
              <w:rPr>
                <w:sz w:val="20"/>
                <w:szCs w:val="20"/>
              </w:rPr>
            </w:pPr>
            <w:r w:rsidRPr="00C300AB">
              <w:rPr>
                <w:sz w:val="20"/>
                <w:szCs w:val="20"/>
              </w:rPr>
              <w:t>-0.12(-0.30, 0.06)</w:t>
            </w:r>
          </w:p>
        </w:tc>
        <w:tc>
          <w:tcPr>
            <w:tcW w:w="1859" w:type="dxa"/>
            <w:vAlign w:val="center"/>
          </w:tcPr>
          <w:p w14:paraId="141B6BE8" w14:textId="0C4A1664" w:rsidR="00853C57" w:rsidRPr="00C300AB" w:rsidRDefault="00853C57" w:rsidP="00853C57">
            <w:pPr>
              <w:jc w:val="center"/>
              <w:rPr>
                <w:sz w:val="20"/>
                <w:szCs w:val="20"/>
              </w:rPr>
            </w:pPr>
            <w:r w:rsidRPr="00C300AB">
              <w:rPr>
                <w:sz w:val="20"/>
                <w:szCs w:val="20"/>
              </w:rPr>
              <w:t>0.03(-0.18, 0.24)</w:t>
            </w:r>
          </w:p>
        </w:tc>
        <w:tc>
          <w:tcPr>
            <w:tcW w:w="1860" w:type="dxa"/>
            <w:vAlign w:val="center"/>
          </w:tcPr>
          <w:p w14:paraId="7B075541" w14:textId="29B801D0" w:rsidR="00853C57" w:rsidRPr="00C300AB" w:rsidRDefault="00853C57" w:rsidP="00853C57">
            <w:pPr>
              <w:jc w:val="center"/>
              <w:rPr>
                <w:sz w:val="20"/>
                <w:szCs w:val="20"/>
              </w:rPr>
            </w:pPr>
            <w:r>
              <w:rPr>
                <w:sz w:val="20"/>
                <w:szCs w:val="20"/>
              </w:rPr>
              <w:t>0.19(-0.02, 0.39</w:t>
            </w:r>
            <w:r w:rsidRPr="00C300AB">
              <w:rPr>
                <w:sz w:val="20"/>
                <w:szCs w:val="20"/>
              </w:rPr>
              <w:t>)</w:t>
            </w:r>
          </w:p>
        </w:tc>
        <w:tc>
          <w:tcPr>
            <w:tcW w:w="1860" w:type="dxa"/>
            <w:vAlign w:val="center"/>
          </w:tcPr>
          <w:p w14:paraId="275E0A1A" w14:textId="651DE04D" w:rsidR="00853C57" w:rsidRDefault="00853C57" w:rsidP="00853C57">
            <w:pPr>
              <w:jc w:val="center"/>
              <w:rPr>
                <w:sz w:val="20"/>
                <w:szCs w:val="20"/>
              </w:rPr>
            </w:pPr>
            <w:r w:rsidRPr="005A58AE">
              <w:rPr>
                <w:sz w:val="20"/>
                <w:szCs w:val="20"/>
              </w:rPr>
              <w:t>-0.17(-0.44, 0.10)</w:t>
            </w:r>
          </w:p>
        </w:tc>
        <w:tc>
          <w:tcPr>
            <w:tcW w:w="1860" w:type="dxa"/>
            <w:vAlign w:val="center"/>
          </w:tcPr>
          <w:p w14:paraId="0D9BEAAF" w14:textId="6B61FBF7" w:rsidR="00853C57" w:rsidRDefault="00853C57" w:rsidP="00853C57">
            <w:pPr>
              <w:jc w:val="center"/>
              <w:rPr>
                <w:sz w:val="20"/>
                <w:szCs w:val="20"/>
              </w:rPr>
            </w:pPr>
            <w:r w:rsidRPr="004A4AE1">
              <w:rPr>
                <w:b/>
                <w:sz w:val="20"/>
                <w:szCs w:val="20"/>
              </w:rPr>
              <w:t>0.01(0.00, 0.01)</w:t>
            </w:r>
          </w:p>
        </w:tc>
      </w:tr>
      <w:tr w:rsidR="00853C57" w:rsidRPr="0072438F" w14:paraId="139AB050" w14:textId="3186F45F" w:rsidTr="00B73A11">
        <w:trPr>
          <w:gridAfter w:val="1"/>
          <w:wAfter w:w="29" w:type="dxa"/>
        </w:trPr>
        <w:tc>
          <w:tcPr>
            <w:tcW w:w="1838" w:type="dxa"/>
          </w:tcPr>
          <w:p w14:paraId="6547103F" w14:textId="77777777" w:rsidR="00853C57" w:rsidRPr="00C300AB" w:rsidRDefault="00853C57" w:rsidP="00853C57">
            <w:pPr>
              <w:rPr>
                <w:sz w:val="20"/>
                <w:szCs w:val="20"/>
              </w:rPr>
            </w:pPr>
            <w:r w:rsidRPr="00C300AB">
              <w:rPr>
                <w:sz w:val="20"/>
                <w:szCs w:val="20"/>
              </w:rPr>
              <w:t>Alcohol consumption- Never</w:t>
            </w:r>
          </w:p>
        </w:tc>
        <w:tc>
          <w:tcPr>
            <w:tcW w:w="1717" w:type="dxa"/>
            <w:vAlign w:val="center"/>
          </w:tcPr>
          <w:p w14:paraId="72473A31" w14:textId="77777777" w:rsidR="00853C57" w:rsidRPr="00C300AB" w:rsidRDefault="00853C57" w:rsidP="00853C57">
            <w:pPr>
              <w:jc w:val="center"/>
              <w:rPr>
                <w:sz w:val="20"/>
                <w:szCs w:val="20"/>
              </w:rPr>
            </w:pPr>
            <w:r w:rsidRPr="00C300AB">
              <w:rPr>
                <w:sz w:val="20"/>
                <w:szCs w:val="20"/>
              </w:rPr>
              <w:t>reference</w:t>
            </w:r>
          </w:p>
        </w:tc>
        <w:tc>
          <w:tcPr>
            <w:tcW w:w="1860" w:type="dxa"/>
            <w:vAlign w:val="center"/>
          </w:tcPr>
          <w:p w14:paraId="31906CED" w14:textId="77777777" w:rsidR="00853C57" w:rsidRPr="00C300AB" w:rsidRDefault="00853C57" w:rsidP="00853C57">
            <w:pPr>
              <w:jc w:val="center"/>
              <w:rPr>
                <w:sz w:val="20"/>
                <w:szCs w:val="20"/>
              </w:rPr>
            </w:pPr>
            <w:r w:rsidRPr="00C300AB">
              <w:rPr>
                <w:sz w:val="20"/>
                <w:szCs w:val="20"/>
              </w:rPr>
              <w:t>reference</w:t>
            </w:r>
          </w:p>
        </w:tc>
        <w:tc>
          <w:tcPr>
            <w:tcW w:w="1860" w:type="dxa"/>
            <w:vAlign w:val="center"/>
          </w:tcPr>
          <w:p w14:paraId="0CAF9525" w14:textId="77777777" w:rsidR="00853C57" w:rsidRPr="00C300AB" w:rsidRDefault="00853C57" w:rsidP="00853C57">
            <w:pPr>
              <w:jc w:val="center"/>
              <w:rPr>
                <w:sz w:val="20"/>
                <w:szCs w:val="20"/>
              </w:rPr>
            </w:pPr>
            <w:r w:rsidRPr="00C300AB">
              <w:rPr>
                <w:sz w:val="20"/>
                <w:szCs w:val="20"/>
              </w:rPr>
              <w:t>reference</w:t>
            </w:r>
          </w:p>
        </w:tc>
        <w:tc>
          <w:tcPr>
            <w:tcW w:w="1859" w:type="dxa"/>
            <w:vAlign w:val="center"/>
          </w:tcPr>
          <w:p w14:paraId="46F96623" w14:textId="77777777" w:rsidR="00853C57" w:rsidRPr="00C300AB" w:rsidRDefault="00853C57" w:rsidP="00853C57">
            <w:pPr>
              <w:jc w:val="center"/>
              <w:rPr>
                <w:sz w:val="20"/>
                <w:szCs w:val="20"/>
              </w:rPr>
            </w:pPr>
            <w:r w:rsidRPr="00C300AB">
              <w:rPr>
                <w:sz w:val="20"/>
                <w:szCs w:val="20"/>
              </w:rPr>
              <w:t>reference</w:t>
            </w:r>
          </w:p>
        </w:tc>
        <w:tc>
          <w:tcPr>
            <w:tcW w:w="1860" w:type="dxa"/>
            <w:vAlign w:val="center"/>
          </w:tcPr>
          <w:p w14:paraId="68D0214F" w14:textId="77777777" w:rsidR="00853C57" w:rsidRPr="00C300AB" w:rsidRDefault="00853C57" w:rsidP="00853C57">
            <w:pPr>
              <w:jc w:val="center"/>
              <w:rPr>
                <w:sz w:val="20"/>
                <w:szCs w:val="20"/>
              </w:rPr>
            </w:pPr>
            <w:r w:rsidRPr="00C300AB">
              <w:rPr>
                <w:sz w:val="20"/>
                <w:szCs w:val="20"/>
              </w:rPr>
              <w:t>reference</w:t>
            </w:r>
          </w:p>
        </w:tc>
        <w:tc>
          <w:tcPr>
            <w:tcW w:w="1860" w:type="dxa"/>
            <w:vAlign w:val="center"/>
          </w:tcPr>
          <w:p w14:paraId="3432D392" w14:textId="3BBD6D1B" w:rsidR="00853C57" w:rsidRPr="00C300AB" w:rsidRDefault="00853C57" w:rsidP="00853C57">
            <w:pPr>
              <w:jc w:val="center"/>
              <w:rPr>
                <w:sz w:val="20"/>
                <w:szCs w:val="20"/>
              </w:rPr>
            </w:pPr>
            <w:r w:rsidRPr="005A58AE">
              <w:rPr>
                <w:sz w:val="20"/>
                <w:szCs w:val="20"/>
              </w:rPr>
              <w:t>reference</w:t>
            </w:r>
          </w:p>
        </w:tc>
        <w:tc>
          <w:tcPr>
            <w:tcW w:w="1860" w:type="dxa"/>
            <w:vAlign w:val="center"/>
          </w:tcPr>
          <w:p w14:paraId="2159AE37" w14:textId="6D0F682B" w:rsidR="00853C57" w:rsidRPr="00C300AB" w:rsidRDefault="00853C57" w:rsidP="00853C57">
            <w:pPr>
              <w:jc w:val="center"/>
              <w:rPr>
                <w:sz w:val="20"/>
                <w:szCs w:val="20"/>
              </w:rPr>
            </w:pPr>
            <w:r w:rsidRPr="004A4AE1">
              <w:rPr>
                <w:sz w:val="20"/>
                <w:szCs w:val="20"/>
              </w:rPr>
              <w:t>reference</w:t>
            </w:r>
          </w:p>
        </w:tc>
      </w:tr>
      <w:tr w:rsidR="00853C57" w:rsidRPr="0072438F" w14:paraId="2BC13BCA" w14:textId="087D3552" w:rsidTr="00B73A11">
        <w:trPr>
          <w:gridAfter w:val="1"/>
          <w:wAfter w:w="29" w:type="dxa"/>
        </w:trPr>
        <w:tc>
          <w:tcPr>
            <w:tcW w:w="1838" w:type="dxa"/>
          </w:tcPr>
          <w:p w14:paraId="306AB405" w14:textId="77777777" w:rsidR="00853C57" w:rsidRPr="000E3E07" w:rsidRDefault="00853C57" w:rsidP="00853C57">
            <w:pPr>
              <w:rPr>
                <w:sz w:val="20"/>
                <w:szCs w:val="20"/>
              </w:rPr>
            </w:pPr>
            <w:r w:rsidRPr="000E3E07">
              <w:rPr>
                <w:sz w:val="20"/>
                <w:szCs w:val="20"/>
              </w:rPr>
              <w:t>Special occasions</w:t>
            </w:r>
          </w:p>
        </w:tc>
        <w:tc>
          <w:tcPr>
            <w:tcW w:w="1717" w:type="dxa"/>
            <w:vAlign w:val="center"/>
          </w:tcPr>
          <w:p w14:paraId="0A8C06CD" w14:textId="6D9B0A56" w:rsidR="00853C57" w:rsidRPr="00C300AB" w:rsidRDefault="00853C57" w:rsidP="00853C57">
            <w:pPr>
              <w:jc w:val="center"/>
              <w:rPr>
                <w:sz w:val="20"/>
                <w:szCs w:val="20"/>
              </w:rPr>
            </w:pPr>
            <w:r w:rsidRPr="00C300AB">
              <w:rPr>
                <w:sz w:val="20"/>
                <w:szCs w:val="20"/>
              </w:rPr>
              <w:t>-</w:t>
            </w:r>
            <w:r>
              <w:rPr>
                <w:sz w:val="20"/>
                <w:szCs w:val="20"/>
              </w:rPr>
              <w:t>3.17</w:t>
            </w:r>
            <w:r w:rsidRPr="00C300AB">
              <w:rPr>
                <w:sz w:val="20"/>
                <w:szCs w:val="20"/>
              </w:rPr>
              <w:t>(-</w:t>
            </w:r>
            <w:r>
              <w:rPr>
                <w:sz w:val="20"/>
                <w:szCs w:val="20"/>
              </w:rPr>
              <w:t>10.19, 3.85</w:t>
            </w:r>
            <w:r w:rsidRPr="00C300AB">
              <w:rPr>
                <w:sz w:val="20"/>
                <w:szCs w:val="20"/>
              </w:rPr>
              <w:t>)</w:t>
            </w:r>
          </w:p>
        </w:tc>
        <w:tc>
          <w:tcPr>
            <w:tcW w:w="1860" w:type="dxa"/>
            <w:vAlign w:val="center"/>
          </w:tcPr>
          <w:p w14:paraId="0F93A14E" w14:textId="62125102" w:rsidR="00853C57" w:rsidRPr="00C300AB" w:rsidRDefault="00853C57" w:rsidP="00853C57">
            <w:pPr>
              <w:jc w:val="center"/>
              <w:rPr>
                <w:sz w:val="20"/>
                <w:szCs w:val="20"/>
              </w:rPr>
            </w:pPr>
            <w:r w:rsidRPr="00C300AB">
              <w:rPr>
                <w:sz w:val="20"/>
                <w:szCs w:val="20"/>
              </w:rPr>
              <w:t>-</w:t>
            </w:r>
            <w:r w:rsidRPr="00A264A9">
              <w:rPr>
                <w:sz w:val="20"/>
                <w:szCs w:val="20"/>
              </w:rPr>
              <w:t>3.</w:t>
            </w:r>
            <w:r w:rsidR="00A264A9" w:rsidRPr="005470FE">
              <w:rPr>
                <w:sz w:val="20"/>
                <w:szCs w:val="20"/>
              </w:rPr>
              <w:t>85</w:t>
            </w:r>
            <w:r>
              <w:rPr>
                <w:sz w:val="20"/>
                <w:szCs w:val="20"/>
              </w:rPr>
              <w:t>(-11.43, 3.74</w:t>
            </w:r>
            <w:r w:rsidRPr="00C300AB">
              <w:rPr>
                <w:sz w:val="20"/>
                <w:szCs w:val="20"/>
              </w:rPr>
              <w:t>)</w:t>
            </w:r>
          </w:p>
        </w:tc>
        <w:tc>
          <w:tcPr>
            <w:tcW w:w="1860" w:type="dxa"/>
            <w:vAlign w:val="center"/>
          </w:tcPr>
          <w:p w14:paraId="6971FDE1" w14:textId="5A414040" w:rsidR="00853C57" w:rsidRPr="00C300AB" w:rsidRDefault="00853C57" w:rsidP="00853C57">
            <w:pPr>
              <w:jc w:val="center"/>
              <w:rPr>
                <w:sz w:val="20"/>
                <w:szCs w:val="20"/>
              </w:rPr>
            </w:pPr>
            <w:r>
              <w:rPr>
                <w:sz w:val="20"/>
                <w:szCs w:val="20"/>
              </w:rPr>
              <w:t>0.89(-4.04, 5.81)</w:t>
            </w:r>
          </w:p>
        </w:tc>
        <w:tc>
          <w:tcPr>
            <w:tcW w:w="1859" w:type="dxa"/>
            <w:vAlign w:val="center"/>
          </w:tcPr>
          <w:p w14:paraId="1CE18EA7" w14:textId="3C7426A1" w:rsidR="00853C57" w:rsidRPr="00C300AB" w:rsidRDefault="00853C57" w:rsidP="00853C57">
            <w:pPr>
              <w:jc w:val="center"/>
              <w:rPr>
                <w:sz w:val="20"/>
                <w:szCs w:val="20"/>
              </w:rPr>
            </w:pPr>
            <w:r w:rsidRPr="002F0497">
              <w:rPr>
                <w:color w:val="FF0000"/>
                <w:sz w:val="20"/>
                <w:szCs w:val="20"/>
              </w:rPr>
              <w:t>-</w:t>
            </w:r>
            <w:r w:rsidRPr="002F0497">
              <w:rPr>
                <w:sz w:val="20"/>
                <w:szCs w:val="20"/>
              </w:rPr>
              <w:t>7.20(-14.61, 0.22)</w:t>
            </w:r>
          </w:p>
        </w:tc>
        <w:tc>
          <w:tcPr>
            <w:tcW w:w="1860" w:type="dxa"/>
            <w:vAlign w:val="center"/>
          </w:tcPr>
          <w:p w14:paraId="36D88709" w14:textId="7B3304C1" w:rsidR="00853C57" w:rsidRPr="00C300AB" w:rsidRDefault="00853C57" w:rsidP="00853C57">
            <w:pPr>
              <w:jc w:val="center"/>
              <w:rPr>
                <w:sz w:val="20"/>
                <w:szCs w:val="20"/>
              </w:rPr>
            </w:pPr>
            <w:r>
              <w:rPr>
                <w:sz w:val="20"/>
                <w:szCs w:val="20"/>
              </w:rPr>
              <w:t>-5.64(-12.26, 0.98</w:t>
            </w:r>
            <w:r w:rsidRPr="00C300AB">
              <w:rPr>
                <w:sz w:val="20"/>
                <w:szCs w:val="20"/>
              </w:rPr>
              <w:t>)</w:t>
            </w:r>
          </w:p>
        </w:tc>
        <w:tc>
          <w:tcPr>
            <w:tcW w:w="1860" w:type="dxa"/>
            <w:vAlign w:val="center"/>
          </w:tcPr>
          <w:p w14:paraId="0A2E47E9" w14:textId="0501D9E1" w:rsidR="00853C57" w:rsidRDefault="00853C57" w:rsidP="005470FE">
            <w:pPr>
              <w:jc w:val="center"/>
              <w:rPr>
                <w:sz w:val="20"/>
                <w:szCs w:val="20"/>
              </w:rPr>
            </w:pPr>
            <w:r w:rsidRPr="005A58AE">
              <w:rPr>
                <w:b/>
                <w:sz w:val="20"/>
                <w:szCs w:val="20"/>
              </w:rPr>
              <w:t>9.</w:t>
            </w:r>
            <w:r w:rsidR="00034B80">
              <w:rPr>
                <w:b/>
                <w:sz w:val="20"/>
                <w:szCs w:val="20"/>
              </w:rPr>
              <w:t>62</w:t>
            </w:r>
            <w:r w:rsidRPr="005A58AE">
              <w:rPr>
                <w:b/>
                <w:sz w:val="20"/>
                <w:szCs w:val="20"/>
              </w:rPr>
              <w:t xml:space="preserve"> (</w:t>
            </w:r>
            <w:r w:rsidR="00034B80">
              <w:rPr>
                <w:b/>
                <w:sz w:val="20"/>
                <w:szCs w:val="20"/>
              </w:rPr>
              <w:t>1.86</w:t>
            </w:r>
            <w:r w:rsidRPr="005A58AE">
              <w:rPr>
                <w:b/>
                <w:sz w:val="20"/>
                <w:szCs w:val="20"/>
              </w:rPr>
              <w:t>, 17.</w:t>
            </w:r>
            <w:r w:rsidR="00034B80">
              <w:rPr>
                <w:b/>
                <w:sz w:val="20"/>
                <w:szCs w:val="20"/>
              </w:rPr>
              <w:t>38</w:t>
            </w:r>
            <w:r w:rsidRPr="005A58AE">
              <w:rPr>
                <w:b/>
                <w:sz w:val="20"/>
                <w:szCs w:val="20"/>
              </w:rPr>
              <w:t>)</w:t>
            </w:r>
          </w:p>
        </w:tc>
        <w:tc>
          <w:tcPr>
            <w:tcW w:w="1860" w:type="dxa"/>
            <w:vAlign w:val="center"/>
          </w:tcPr>
          <w:p w14:paraId="46734D40" w14:textId="68D57429" w:rsidR="00853C57" w:rsidRDefault="00853C57" w:rsidP="00853C57">
            <w:pPr>
              <w:jc w:val="center"/>
              <w:rPr>
                <w:sz w:val="20"/>
                <w:szCs w:val="20"/>
              </w:rPr>
            </w:pPr>
            <w:r>
              <w:rPr>
                <w:sz w:val="20"/>
                <w:szCs w:val="20"/>
              </w:rPr>
              <w:t>-0.14(-0.35, 0.07</w:t>
            </w:r>
            <w:r w:rsidRPr="004A4AE1">
              <w:rPr>
                <w:sz w:val="20"/>
                <w:szCs w:val="20"/>
              </w:rPr>
              <w:t>)</w:t>
            </w:r>
          </w:p>
        </w:tc>
      </w:tr>
      <w:tr w:rsidR="00853C57" w:rsidRPr="0072438F" w14:paraId="11779346" w14:textId="50676E82" w:rsidTr="00B73A11">
        <w:trPr>
          <w:gridAfter w:val="1"/>
          <w:wAfter w:w="29" w:type="dxa"/>
        </w:trPr>
        <w:tc>
          <w:tcPr>
            <w:tcW w:w="1838" w:type="dxa"/>
          </w:tcPr>
          <w:p w14:paraId="2F1F6DDB" w14:textId="77777777" w:rsidR="00853C57" w:rsidRPr="000E3E07" w:rsidRDefault="00853C57" w:rsidP="00853C57">
            <w:pPr>
              <w:rPr>
                <w:sz w:val="20"/>
                <w:szCs w:val="20"/>
              </w:rPr>
            </w:pPr>
            <w:r w:rsidRPr="000E3E07">
              <w:rPr>
                <w:sz w:val="20"/>
                <w:szCs w:val="20"/>
              </w:rPr>
              <w:t>1-3 times/month</w:t>
            </w:r>
          </w:p>
        </w:tc>
        <w:tc>
          <w:tcPr>
            <w:tcW w:w="1717" w:type="dxa"/>
            <w:vAlign w:val="center"/>
          </w:tcPr>
          <w:p w14:paraId="444F9BDC" w14:textId="3310350D" w:rsidR="00853C57" w:rsidRPr="00C300AB" w:rsidRDefault="00853C57" w:rsidP="00853C57">
            <w:pPr>
              <w:jc w:val="center"/>
              <w:rPr>
                <w:sz w:val="20"/>
                <w:szCs w:val="20"/>
              </w:rPr>
            </w:pPr>
            <w:r w:rsidRPr="00C300AB">
              <w:rPr>
                <w:sz w:val="20"/>
                <w:szCs w:val="20"/>
              </w:rPr>
              <w:t>-</w:t>
            </w:r>
            <w:r>
              <w:rPr>
                <w:sz w:val="20"/>
                <w:szCs w:val="20"/>
              </w:rPr>
              <w:t>5.1</w:t>
            </w:r>
            <w:r w:rsidR="00D63C39">
              <w:rPr>
                <w:sz w:val="20"/>
                <w:szCs w:val="20"/>
              </w:rPr>
              <w:t>1</w:t>
            </w:r>
            <w:r>
              <w:rPr>
                <w:sz w:val="20"/>
                <w:szCs w:val="20"/>
              </w:rPr>
              <w:t>(-12.37, 2.15</w:t>
            </w:r>
            <w:r w:rsidRPr="00C300AB">
              <w:rPr>
                <w:sz w:val="20"/>
                <w:szCs w:val="20"/>
              </w:rPr>
              <w:t>)</w:t>
            </w:r>
          </w:p>
        </w:tc>
        <w:tc>
          <w:tcPr>
            <w:tcW w:w="1860" w:type="dxa"/>
            <w:vAlign w:val="center"/>
          </w:tcPr>
          <w:p w14:paraId="5784EAD3" w14:textId="3A859AC2" w:rsidR="00853C57" w:rsidRPr="00C300AB" w:rsidRDefault="00853C57" w:rsidP="00853C57">
            <w:pPr>
              <w:jc w:val="center"/>
              <w:rPr>
                <w:sz w:val="20"/>
                <w:szCs w:val="20"/>
              </w:rPr>
            </w:pPr>
            <w:r>
              <w:rPr>
                <w:sz w:val="20"/>
                <w:szCs w:val="20"/>
              </w:rPr>
              <w:t>1.32( -6.52, 9.17</w:t>
            </w:r>
            <w:r w:rsidRPr="00C300AB">
              <w:rPr>
                <w:sz w:val="20"/>
                <w:szCs w:val="20"/>
              </w:rPr>
              <w:t>)</w:t>
            </w:r>
          </w:p>
        </w:tc>
        <w:tc>
          <w:tcPr>
            <w:tcW w:w="1860" w:type="dxa"/>
            <w:vAlign w:val="center"/>
          </w:tcPr>
          <w:p w14:paraId="060EF917" w14:textId="09F94839" w:rsidR="00853C57" w:rsidRPr="00C300AB" w:rsidRDefault="00853C57" w:rsidP="00853C57">
            <w:pPr>
              <w:jc w:val="center"/>
              <w:rPr>
                <w:sz w:val="20"/>
                <w:szCs w:val="20"/>
              </w:rPr>
            </w:pPr>
            <w:r>
              <w:rPr>
                <w:sz w:val="20"/>
                <w:szCs w:val="20"/>
              </w:rPr>
              <w:t>-0.08(-5.14, 4.97)</w:t>
            </w:r>
          </w:p>
        </w:tc>
        <w:tc>
          <w:tcPr>
            <w:tcW w:w="1859" w:type="dxa"/>
            <w:vAlign w:val="center"/>
          </w:tcPr>
          <w:p w14:paraId="6CF0859C" w14:textId="26BECE1E" w:rsidR="00853C57" w:rsidRPr="00C300AB" w:rsidRDefault="00853C57" w:rsidP="00853C57">
            <w:pPr>
              <w:jc w:val="center"/>
              <w:rPr>
                <w:sz w:val="20"/>
                <w:szCs w:val="20"/>
              </w:rPr>
            </w:pPr>
            <w:r w:rsidRPr="00533CDB">
              <w:rPr>
                <w:b/>
                <w:sz w:val="20"/>
                <w:szCs w:val="20"/>
              </w:rPr>
              <w:t>-7.78(-15.49, -0.62)</w:t>
            </w:r>
          </w:p>
        </w:tc>
        <w:tc>
          <w:tcPr>
            <w:tcW w:w="1860" w:type="dxa"/>
            <w:vAlign w:val="center"/>
          </w:tcPr>
          <w:p w14:paraId="2EC688B7" w14:textId="0FD002ED" w:rsidR="00853C57" w:rsidRPr="00C300AB" w:rsidRDefault="00853C57" w:rsidP="00853C57">
            <w:pPr>
              <w:jc w:val="center"/>
              <w:rPr>
                <w:sz w:val="20"/>
                <w:szCs w:val="20"/>
              </w:rPr>
            </w:pPr>
            <w:r>
              <w:rPr>
                <w:sz w:val="20"/>
                <w:szCs w:val="20"/>
              </w:rPr>
              <w:t>-6.58(-13.4</w:t>
            </w:r>
            <w:r w:rsidR="00C22C46">
              <w:rPr>
                <w:sz w:val="20"/>
                <w:szCs w:val="20"/>
              </w:rPr>
              <w:t>4</w:t>
            </w:r>
            <w:r>
              <w:rPr>
                <w:sz w:val="20"/>
                <w:szCs w:val="20"/>
              </w:rPr>
              <w:t>, 0.28</w:t>
            </w:r>
            <w:r w:rsidRPr="00C300AB">
              <w:rPr>
                <w:sz w:val="20"/>
                <w:szCs w:val="20"/>
              </w:rPr>
              <w:t>)</w:t>
            </w:r>
          </w:p>
        </w:tc>
        <w:tc>
          <w:tcPr>
            <w:tcW w:w="1860" w:type="dxa"/>
            <w:vAlign w:val="center"/>
          </w:tcPr>
          <w:p w14:paraId="2D7BC87B" w14:textId="1D93C677" w:rsidR="00853C57" w:rsidRDefault="00853C57" w:rsidP="00853C57">
            <w:pPr>
              <w:jc w:val="center"/>
              <w:rPr>
                <w:sz w:val="20"/>
                <w:szCs w:val="20"/>
              </w:rPr>
            </w:pPr>
            <w:r w:rsidRPr="005A58AE">
              <w:rPr>
                <w:b/>
                <w:sz w:val="20"/>
                <w:szCs w:val="20"/>
              </w:rPr>
              <w:t>10.8</w:t>
            </w:r>
            <w:r w:rsidR="00034B80">
              <w:rPr>
                <w:b/>
                <w:sz w:val="20"/>
                <w:szCs w:val="20"/>
              </w:rPr>
              <w:t>4</w:t>
            </w:r>
            <w:r w:rsidRPr="005A58AE">
              <w:rPr>
                <w:b/>
                <w:sz w:val="20"/>
                <w:szCs w:val="20"/>
              </w:rPr>
              <w:t>(3.01, 18.</w:t>
            </w:r>
            <w:r w:rsidR="00034B80">
              <w:rPr>
                <w:b/>
                <w:sz w:val="20"/>
                <w:szCs w:val="20"/>
              </w:rPr>
              <w:t>68</w:t>
            </w:r>
            <w:r w:rsidRPr="005A58AE">
              <w:rPr>
                <w:b/>
                <w:sz w:val="20"/>
                <w:szCs w:val="20"/>
              </w:rPr>
              <w:t>)</w:t>
            </w:r>
          </w:p>
        </w:tc>
        <w:tc>
          <w:tcPr>
            <w:tcW w:w="1860" w:type="dxa"/>
            <w:vAlign w:val="center"/>
          </w:tcPr>
          <w:p w14:paraId="2B075E66" w14:textId="138177B0" w:rsidR="00853C57" w:rsidRDefault="00853C57" w:rsidP="00853C57">
            <w:pPr>
              <w:jc w:val="center"/>
              <w:rPr>
                <w:sz w:val="20"/>
                <w:szCs w:val="20"/>
              </w:rPr>
            </w:pPr>
            <w:r w:rsidRPr="004A4AE1">
              <w:rPr>
                <w:b/>
                <w:sz w:val="20"/>
                <w:szCs w:val="20"/>
              </w:rPr>
              <w:t>-0.25</w:t>
            </w:r>
            <w:r>
              <w:rPr>
                <w:b/>
                <w:sz w:val="20"/>
                <w:szCs w:val="20"/>
              </w:rPr>
              <w:t>( -0.45, -</w:t>
            </w:r>
            <w:r w:rsidRPr="004A4AE1">
              <w:rPr>
                <w:b/>
                <w:sz w:val="20"/>
                <w:szCs w:val="20"/>
              </w:rPr>
              <w:t>0.05)</w:t>
            </w:r>
          </w:p>
        </w:tc>
      </w:tr>
      <w:tr w:rsidR="00853C57" w:rsidRPr="0072438F" w14:paraId="755AC826" w14:textId="54BD3B7B" w:rsidTr="00B73A11">
        <w:trPr>
          <w:gridAfter w:val="1"/>
          <w:wAfter w:w="29" w:type="dxa"/>
        </w:trPr>
        <w:tc>
          <w:tcPr>
            <w:tcW w:w="1838" w:type="dxa"/>
          </w:tcPr>
          <w:p w14:paraId="3359A026" w14:textId="77777777" w:rsidR="00853C57" w:rsidRPr="000E3E07" w:rsidRDefault="00853C57" w:rsidP="00853C57">
            <w:pPr>
              <w:rPr>
                <w:sz w:val="20"/>
                <w:szCs w:val="20"/>
              </w:rPr>
            </w:pPr>
            <w:r w:rsidRPr="000E3E07">
              <w:rPr>
                <w:sz w:val="20"/>
                <w:szCs w:val="20"/>
              </w:rPr>
              <w:t>1-2 times/week</w:t>
            </w:r>
          </w:p>
        </w:tc>
        <w:tc>
          <w:tcPr>
            <w:tcW w:w="1717" w:type="dxa"/>
            <w:vAlign w:val="center"/>
          </w:tcPr>
          <w:p w14:paraId="0CAC9A02" w14:textId="5493C5BA" w:rsidR="00853C57" w:rsidRPr="00C300AB" w:rsidRDefault="00853C57" w:rsidP="00853C57">
            <w:pPr>
              <w:jc w:val="center"/>
              <w:rPr>
                <w:sz w:val="20"/>
                <w:szCs w:val="20"/>
              </w:rPr>
            </w:pPr>
            <w:r>
              <w:rPr>
                <w:sz w:val="20"/>
                <w:szCs w:val="20"/>
              </w:rPr>
              <w:t>-0.97( -7.58, 5.64</w:t>
            </w:r>
            <w:r w:rsidRPr="00C300AB">
              <w:rPr>
                <w:sz w:val="20"/>
                <w:szCs w:val="20"/>
              </w:rPr>
              <w:t>)</w:t>
            </w:r>
          </w:p>
        </w:tc>
        <w:tc>
          <w:tcPr>
            <w:tcW w:w="1860" w:type="dxa"/>
            <w:vAlign w:val="center"/>
          </w:tcPr>
          <w:p w14:paraId="22B435B2" w14:textId="5E657088" w:rsidR="00853C57" w:rsidRPr="00C300AB" w:rsidRDefault="00853C57" w:rsidP="00853C57">
            <w:pPr>
              <w:jc w:val="center"/>
              <w:rPr>
                <w:sz w:val="20"/>
                <w:szCs w:val="20"/>
              </w:rPr>
            </w:pPr>
            <w:r>
              <w:rPr>
                <w:sz w:val="20"/>
                <w:szCs w:val="20"/>
              </w:rPr>
              <w:t>0.57( -6.57, 7.71</w:t>
            </w:r>
            <w:r w:rsidRPr="00C300AB">
              <w:rPr>
                <w:sz w:val="20"/>
                <w:szCs w:val="20"/>
              </w:rPr>
              <w:t>)</w:t>
            </w:r>
          </w:p>
        </w:tc>
        <w:tc>
          <w:tcPr>
            <w:tcW w:w="1860" w:type="dxa"/>
            <w:vAlign w:val="center"/>
          </w:tcPr>
          <w:p w14:paraId="2971EEE5" w14:textId="120E64EF" w:rsidR="00853C57" w:rsidRPr="00C300AB" w:rsidRDefault="00853C57" w:rsidP="00853C57">
            <w:pPr>
              <w:jc w:val="center"/>
              <w:rPr>
                <w:sz w:val="20"/>
                <w:szCs w:val="20"/>
              </w:rPr>
            </w:pPr>
            <w:r w:rsidRPr="003E4266">
              <w:rPr>
                <w:sz w:val="20"/>
                <w:szCs w:val="20"/>
              </w:rPr>
              <w:t>-</w:t>
            </w:r>
            <w:r>
              <w:rPr>
                <w:sz w:val="20"/>
                <w:szCs w:val="20"/>
              </w:rPr>
              <w:t>1.40(-6.03, 3.23)</w:t>
            </w:r>
          </w:p>
        </w:tc>
        <w:tc>
          <w:tcPr>
            <w:tcW w:w="1859" w:type="dxa"/>
            <w:vAlign w:val="center"/>
          </w:tcPr>
          <w:p w14:paraId="3124AAF7" w14:textId="6B731E28" w:rsidR="00853C57" w:rsidRPr="00C300AB" w:rsidRDefault="00853C57" w:rsidP="00853C57">
            <w:pPr>
              <w:jc w:val="center"/>
              <w:rPr>
                <w:sz w:val="20"/>
                <w:szCs w:val="20"/>
              </w:rPr>
            </w:pPr>
            <w:r w:rsidRPr="00C300AB">
              <w:rPr>
                <w:sz w:val="20"/>
                <w:szCs w:val="20"/>
              </w:rPr>
              <w:t>-</w:t>
            </w:r>
            <w:r>
              <w:rPr>
                <w:sz w:val="20"/>
                <w:szCs w:val="20"/>
              </w:rPr>
              <w:t>2.61(-9.61, 4.38</w:t>
            </w:r>
            <w:r w:rsidRPr="00C300AB">
              <w:rPr>
                <w:sz w:val="20"/>
                <w:szCs w:val="20"/>
              </w:rPr>
              <w:t>)</w:t>
            </w:r>
          </w:p>
        </w:tc>
        <w:tc>
          <w:tcPr>
            <w:tcW w:w="1860" w:type="dxa"/>
            <w:vAlign w:val="center"/>
          </w:tcPr>
          <w:p w14:paraId="5CB05FDF" w14:textId="0EF8B707" w:rsidR="00853C57" w:rsidRPr="00C300AB" w:rsidRDefault="00853C57" w:rsidP="00853C57">
            <w:pPr>
              <w:jc w:val="center"/>
              <w:rPr>
                <w:sz w:val="20"/>
                <w:szCs w:val="20"/>
              </w:rPr>
            </w:pPr>
            <w:r>
              <w:rPr>
                <w:sz w:val="20"/>
                <w:szCs w:val="20"/>
              </w:rPr>
              <w:t>-2.68(-8.92, 3.56</w:t>
            </w:r>
            <w:r w:rsidRPr="00C300AB">
              <w:rPr>
                <w:sz w:val="20"/>
                <w:szCs w:val="20"/>
              </w:rPr>
              <w:t>)</w:t>
            </w:r>
          </w:p>
        </w:tc>
        <w:tc>
          <w:tcPr>
            <w:tcW w:w="1860" w:type="dxa"/>
            <w:vAlign w:val="center"/>
          </w:tcPr>
          <w:p w14:paraId="679F1D89" w14:textId="1125A332" w:rsidR="00853C57" w:rsidRDefault="00853C57" w:rsidP="00853C57">
            <w:pPr>
              <w:jc w:val="center"/>
              <w:rPr>
                <w:sz w:val="20"/>
                <w:szCs w:val="20"/>
              </w:rPr>
            </w:pPr>
            <w:r>
              <w:rPr>
                <w:b/>
                <w:sz w:val="20"/>
                <w:szCs w:val="20"/>
              </w:rPr>
              <w:t>11.69(4.64</w:t>
            </w:r>
            <w:r w:rsidRPr="005A58AE">
              <w:rPr>
                <w:b/>
                <w:sz w:val="20"/>
                <w:szCs w:val="20"/>
              </w:rPr>
              <w:t>, 18.73)</w:t>
            </w:r>
          </w:p>
        </w:tc>
        <w:tc>
          <w:tcPr>
            <w:tcW w:w="1860" w:type="dxa"/>
            <w:vAlign w:val="center"/>
          </w:tcPr>
          <w:p w14:paraId="7A9FC202" w14:textId="1E7598FD" w:rsidR="00853C57" w:rsidRDefault="00853C57" w:rsidP="00853C57">
            <w:pPr>
              <w:jc w:val="center"/>
              <w:rPr>
                <w:sz w:val="20"/>
                <w:szCs w:val="20"/>
              </w:rPr>
            </w:pPr>
            <w:r>
              <w:rPr>
                <w:b/>
                <w:sz w:val="20"/>
                <w:szCs w:val="20"/>
              </w:rPr>
              <w:t>-0.30( -0.47, -0.12</w:t>
            </w:r>
            <w:r w:rsidRPr="004A4AE1">
              <w:rPr>
                <w:b/>
                <w:sz w:val="20"/>
                <w:szCs w:val="20"/>
              </w:rPr>
              <w:t>)</w:t>
            </w:r>
          </w:p>
        </w:tc>
      </w:tr>
      <w:tr w:rsidR="00853C57" w:rsidRPr="0072438F" w14:paraId="7D2F35CC" w14:textId="5DE2CF3F" w:rsidTr="00B73A11">
        <w:trPr>
          <w:gridAfter w:val="1"/>
          <w:wAfter w:w="29" w:type="dxa"/>
        </w:trPr>
        <w:tc>
          <w:tcPr>
            <w:tcW w:w="1838" w:type="dxa"/>
          </w:tcPr>
          <w:p w14:paraId="36BD475A" w14:textId="77777777" w:rsidR="00853C57" w:rsidRPr="000E3E07" w:rsidRDefault="00853C57" w:rsidP="00853C57">
            <w:pPr>
              <w:rPr>
                <w:sz w:val="20"/>
                <w:szCs w:val="20"/>
              </w:rPr>
            </w:pPr>
            <w:r w:rsidRPr="000E3E07">
              <w:rPr>
                <w:sz w:val="20"/>
                <w:szCs w:val="20"/>
              </w:rPr>
              <w:t>3-4 times/week</w:t>
            </w:r>
          </w:p>
        </w:tc>
        <w:tc>
          <w:tcPr>
            <w:tcW w:w="1717" w:type="dxa"/>
            <w:vAlign w:val="center"/>
          </w:tcPr>
          <w:p w14:paraId="0AFA736A" w14:textId="72EE27E0" w:rsidR="00853C57" w:rsidRPr="00C300AB" w:rsidRDefault="00853C57" w:rsidP="00853C57">
            <w:pPr>
              <w:jc w:val="center"/>
              <w:rPr>
                <w:sz w:val="20"/>
                <w:szCs w:val="20"/>
              </w:rPr>
            </w:pPr>
            <w:r w:rsidRPr="00C300AB">
              <w:rPr>
                <w:sz w:val="20"/>
                <w:szCs w:val="20"/>
              </w:rPr>
              <w:t>-</w:t>
            </w:r>
            <w:r>
              <w:rPr>
                <w:sz w:val="20"/>
                <w:szCs w:val="20"/>
              </w:rPr>
              <w:t>1.18</w:t>
            </w:r>
            <w:r w:rsidRPr="00C300AB">
              <w:rPr>
                <w:sz w:val="20"/>
                <w:szCs w:val="20"/>
              </w:rPr>
              <w:t>( -</w:t>
            </w:r>
            <w:r>
              <w:rPr>
                <w:sz w:val="20"/>
                <w:szCs w:val="20"/>
              </w:rPr>
              <w:t>7.76, 5.40</w:t>
            </w:r>
            <w:r w:rsidRPr="00C300AB">
              <w:rPr>
                <w:sz w:val="20"/>
                <w:szCs w:val="20"/>
              </w:rPr>
              <w:t>)</w:t>
            </w:r>
          </w:p>
        </w:tc>
        <w:tc>
          <w:tcPr>
            <w:tcW w:w="1860" w:type="dxa"/>
            <w:vAlign w:val="center"/>
          </w:tcPr>
          <w:p w14:paraId="0588BDDC" w14:textId="75A8DB43" w:rsidR="00853C57" w:rsidRPr="00C300AB" w:rsidRDefault="00853C57" w:rsidP="00853C57">
            <w:pPr>
              <w:jc w:val="center"/>
              <w:rPr>
                <w:sz w:val="20"/>
                <w:szCs w:val="20"/>
              </w:rPr>
            </w:pPr>
            <w:r w:rsidRPr="00C300AB">
              <w:rPr>
                <w:sz w:val="20"/>
                <w:szCs w:val="20"/>
              </w:rPr>
              <w:t>1</w:t>
            </w:r>
            <w:r>
              <w:rPr>
                <w:sz w:val="20"/>
                <w:szCs w:val="20"/>
              </w:rPr>
              <w:t>.96(-5.15, 9.07</w:t>
            </w:r>
            <w:r w:rsidRPr="00C300AB">
              <w:rPr>
                <w:sz w:val="20"/>
                <w:szCs w:val="20"/>
              </w:rPr>
              <w:t>)</w:t>
            </w:r>
          </w:p>
        </w:tc>
        <w:tc>
          <w:tcPr>
            <w:tcW w:w="1860" w:type="dxa"/>
            <w:vAlign w:val="center"/>
          </w:tcPr>
          <w:p w14:paraId="121A11CC" w14:textId="72201553" w:rsidR="00853C57" w:rsidRPr="00C300AB" w:rsidRDefault="00853C57" w:rsidP="00853C57">
            <w:pPr>
              <w:jc w:val="center"/>
              <w:rPr>
                <w:sz w:val="20"/>
                <w:szCs w:val="20"/>
              </w:rPr>
            </w:pPr>
            <w:r>
              <w:rPr>
                <w:sz w:val="20"/>
                <w:szCs w:val="20"/>
              </w:rPr>
              <w:t>-3.63(--823, 0.97)</w:t>
            </w:r>
          </w:p>
        </w:tc>
        <w:tc>
          <w:tcPr>
            <w:tcW w:w="1859" w:type="dxa"/>
            <w:vAlign w:val="center"/>
          </w:tcPr>
          <w:p w14:paraId="0B87E5DF" w14:textId="33FE8508" w:rsidR="00853C57" w:rsidRPr="00C300AB" w:rsidRDefault="00853C57" w:rsidP="00853C57">
            <w:pPr>
              <w:jc w:val="center"/>
              <w:rPr>
                <w:sz w:val="20"/>
                <w:szCs w:val="20"/>
              </w:rPr>
            </w:pPr>
            <w:r w:rsidRPr="00C300AB">
              <w:rPr>
                <w:sz w:val="20"/>
                <w:szCs w:val="20"/>
              </w:rPr>
              <w:t>-</w:t>
            </w:r>
            <w:r>
              <w:rPr>
                <w:sz w:val="20"/>
                <w:szCs w:val="20"/>
              </w:rPr>
              <w:t>6.24(-13.20, 0.72</w:t>
            </w:r>
            <w:r w:rsidRPr="00C300AB">
              <w:rPr>
                <w:sz w:val="20"/>
                <w:szCs w:val="20"/>
              </w:rPr>
              <w:t>)</w:t>
            </w:r>
          </w:p>
        </w:tc>
        <w:tc>
          <w:tcPr>
            <w:tcW w:w="1860" w:type="dxa"/>
            <w:vAlign w:val="center"/>
          </w:tcPr>
          <w:p w14:paraId="12B32215" w14:textId="4E384B9B" w:rsidR="00853C57" w:rsidRPr="00C300AB" w:rsidRDefault="00853C57" w:rsidP="00853C57">
            <w:pPr>
              <w:jc w:val="center"/>
              <w:rPr>
                <w:sz w:val="20"/>
                <w:szCs w:val="20"/>
              </w:rPr>
            </w:pPr>
            <w:r>
              <w:rPr>
                <w:sz w:val="20"/>
                <w:szCs w:val="20"/>
              </w:rPr>
              <w:t>-3.62(-9.82, 2.59</w:t>
            </w:r>
            <w:r w:rsidRPr="00C300AB">
              <w:rPr>
                <w:sz w:val="20"/>
                <w:szCs w:val="20"/>
              </w:rPr>
              <w:t>)</w:t>
            </w:r>
          </w:p>
        </w:tc>
        <w:tc>
          <w:tcPr>
            <w:tcW w:w="1860" w:type="dxa"/>
            <w:vAlign w:val="center"/>
          </w:tcPr>
          <w:p w14:paraId="6517BC3E" w14:textId="630110C0" w:rsidR="00853C57" w:rsidRDefault="00853C57" w:rsidP="00853C57">
            <w:pPr>
              <w:jc w:val="center"/>
              <w:rPr>
                <w:sz w:val="20"/>
                <w:szCs w:val="20"/>
              </w:rPr>
            </w:pPr>
            <w:r>
              <w:rPr>
                <w:b/>
                <w:sz w:val="20"/>
                <w:szCs w:val="20"/>
              </w:rPr>
              <w:t>14.19(6.94</w:t>
            </w:r>
            <w:r w:rsidRPr="005A58AE">
              <w:rPr>
                <w:b/>
                <w:sz w:val="20"/>
                <w:szCs w:val="20"/>
              </w:rPr>
              <w:t>, 21.45)</w:t>
            </w:r>
          </w:p>
        </w:tc>
        <w:tc>
          <w:tcPr>
            <w:tcW w:w="1860" w:type="dxa"/>
            <w:vAlign w:val="center"/>
          </w:tcPr>
          <w:p w14:paraId="61357BED" w14:textId="0E9ED803" w:rsidR="00853C57" w:rsidRDefault="00853C57" w:rsidP="00853C57">
            <w:pPr>
              <w:jc w:val="center"/>
              <w:rPr>
                <w:sz w:val="20"/>
                <w:szCs w:val="20"/>
              </w:rPr>
            </w:pPr>
            <w:r w:rsidRPr="004A4AE1">
              <w:rPr>
                <w:b/>
                <w:sz w:val="20"/>
                <w:szCs w:val="20"/>
              </w:rPr>
              <w:t>-0.31(-0.49, -0.13)</w:t>
            </w:r>
          </w:p>
        </w:tc>
      </w:tr>
      <w:tr w:rsidR="00853C57" w:rsidRPr="0072438F" w14:paraId="3356FB12" w14:textId="5BE01D58" w:rsidTr="00B73A11">
        <w:trPr>
          <w:gridAfter w:val="1"/>
          <w:wAfter w:w="29" w:type="dxa"/>
          <w:cantSplit/>
        </w:trPr>
        <w:tc>
          <w:tcPr>
            <w:tcW w:w="1838" w:type="dxa"/>
          </w:tcPr>
          <w:p w14:paraId="172FDFD4" w14:textId="4B4CC2A7" w:rsidR="00853C57" w:rsidRPr="000E3E07" w:rsidRDefault="00853C57" w:rsidP="00853C57">
            <w:pPr>
              <w:rPr>
                <w:sz w:val="20"/>
                <w:szCs w:val="20"/>
              </w:rPr>
            </w:pPr>
            <w:r w:rsidRPr="000E3E07">
              <w:rPr>
                <w:sz w:val="20"/>
                <w:szCs w:val="20"/>
              </w:rPr>
              <w:t>Daily or almost daily</w:t>
            </w:r>
          </w:p>
        </w:tc>
        <w:tc>
          <w:tcPr>
            <w:tcW w:w="1717" w:type="dxa"/>
            <w:vAlign w:val="center"/>
          </w:tcPr>
          <w:p w14:paraId="02085A2C" w14:textId="73B0983A" w:rsidR="00853C57" w:rsidRPr="00C300AB" w:rsidRDefault="00853C57" w:rsidP="00853C57">
            <w:pPr>
              <w:jc w:val="center"/>
              <w:rPr>
                <w:sz w:val="20"/>
                <w:szCs w:val="20"/>
              </w:rPr>
            </w:pPr>
            <w:r>
              <w:rPr>
                <w:sz w:val="20"/>
                <w:szCs w:val="20"/>
              </w:rPr>
              <w:t>-4.67( -11.07</w:t>
            </w:r>
            <w:r w:rsidRPr="00C300AB">
              <w:rPr>
                <w:sz w:val="20"/>
                <w:szCs w:val="20"/>
              </w:rPr>
              <w:t xml:space="preserve">, </w:t>
            </w:r>
            <w:r>
              <w:rPr>
                <w:sz w:val="20"/>
                <w:szCs w:val="20"/>
              </w:rPr>
              <w:t>1.72</w:t>
            </w:r>
            <w:r w:rsidRPr="00C300AB">
              <w:rPr>
                <w:sz w:val="20"/>
                <w:szCs w:val="20"/>
              </w:rPr>
              <w:t>)</w:t>
            </w:r>
          </w:p>
        </w:tc>
        <w:tc>
          <w:tcPr>
            <w:tcW w:w="1860" w:type="dxa"/>
            <w:vAlign w:val="center"/>
          </w:tcPr>
          <w:p w14:paraId="37EA220B" w14:textId="1351DD2B" w:rsidR="00853C57" w:rsidRPr="00C300AB" w:rsidRDefault="00853C57" w:rsidP="00853C57">
            <w:pPr>
              <w:jc w:val="center"/>
              <w:rPr>
                <w:sz w:val="20"/>
                <w:szCs w:val="20"/>
              </w:rPr>
            </w:pPr>
            <w:r w:rsidRPr="00C300AB">
              <w:rPr>
                <w:sz w:val="20"/>
                <w:szCs w:val="20"/>
              </w:rPr>
              <w:t>-</w:t>
            </w:r>
            <w:r>
              <w:rPr>
                <w:sz w:val="20"/>
                <w:szCs w:val="20"/>
              </w:rPr>
              <w:t>3.30</w:t>
            </w:r>
            <w:r w:rsidRPr="00C300AB">
              <w:rPr>
                <w:sz w:val="20"/>
                <w:szCs w:val="20"/>
              </w:rPr>
              <w:t>(-1</w:t>
            </w:r>
            <w:r>
              <w:rPr>
                <w:sz w:val="20"/>
                <w:szCs w:val="20"/>
              </w:rPr>
              <w:t>0.22, 3.62</w:t>
            </w:r>
            <w:r w:rsidRPr="00C300AB">
              <w:rPr>
                <w:sz w:val="20"/>
                <w:szCs w:val="20"/>
              </w:rPr>
              <w:t>)</w:t>
            </w:r>
          </w:p>
        </w:tc>
        <w:tc>
          <w:tcPr>
            <w:tcW w:w="1860" w:type="dxa"/>
            <w:vAlign w:val="center"/>
          </w:tcPr>
          <w:p w14:paraId="328802F7" w14:textId="3474E432" w:rsidR="00853C57" w:rsidRPr="00C300AB" w:rsidRDefault="00853C57" w:rsidP="00853C57">
            <w:pPr>
              <w:jc w:val="center"/>
              <w:rPr>
                <w:sz w:val="20"/>
                <w:szCs w:val="20"/>
              </w:rPr>
            </w:pPr>
            <w:r w:rsidRPr="003E4266">
              <w:rPr>
                <w:sz w:val="20"/>
                <w:szCs w:val="20"/>
              </w:rPr>
              <w:t>-</w:t>
            </w:r>
            <w:r>
              <w:rPr>
                <w:sz w:val="20"/>
                <w:szCs w:val="20"/>
              </w:rPr>
              <w:t>3.21(-7.68, 1.27)</w:t>
            </w:r>
          </w:p>
        </w:tc>
        <w:tc>
          <w:tcPr>
            <w:tcW w:w="1859" w:type="dxa"/>
            <w:vAlign w:val="center"/>
          </w:tcPr>
          <w:p w14:paraId="73779A11" w14:textId="4931829F" w:rsidR="00853C57" w:rsidRPr="00C300AB" w:rsidRDefault="00853C57" w:rsidP="00853C57">
            <w:pPr>
              <w:jc w:val="center"/>
              <w:rPr>
                <w:sz w:val="20"/>
                <w:szCs w:val="20"/>
              </w:rPr>
            </w:pPr>
            <w:r w:rsidRPr="002F0497">
              <w:rPr>
                <w:b/>
                <w:sz w:val="20"/>
                <w:szCs w:val="20"/>
              </w:rPr>
              <w:t>-7.84(-14.6</w:t>
            </w:r>
            <w:r w:rsidR="0063214E">
              <w:rPr>
                <w:b/>
                <w:sz w:val="20"/>
                <w:szCs w:val="20"/>
              </w:rPr>
              <w:t>2</w:t>
            </w:r>
            <w:r>
              <w:rPr>
                <w:b/>
                <w:sz w:val="20"/>
                <w:szCs w:val="20"/>
              </w:rPr>
              <w:t>,</w:t>
            </w:r>
            <w:r w:rsidRPr="002F0497">
              <w:rPr>
                <w:b/>
                <w:sz w:val="20"/>
                <w:szCs w:val="20"/>
              </w:rPr>
              <w:t xml:space="preserve"> -1.06)</w:t>
            </w:r>
          </w:p>
        </w:tc>
        <w:tc>
          <w:tcPr>
            <w:tcW w:w="1860" w:type="dxa"/>
            <w:vAlign w:val="center"/>
          </w:tcPr>
          <w:p w14:paraId="192ECC0E" w14:textId="7B0B42A8" w:rsidR="00853C57" w:rsidRPr="00C300AB" w:rsidRDefault="00853C57" w:rsidP="00853C57">
            <w:pPr>
              <w:jc w:val="center"/>
              <w:rPr>
                <w:sz w:val="20"/>
                <w:szCs w:val="20"/>
              </w:rPr>
            </w:pPr>
            <w:r w:rsidRPr="00C300AB">
              <w:rPr>
                <w:sz w:val="20"/>
                <w:szCs w:val="20"/>
              </w:rPr>
              <w:t>-</w:t>
            </w:r>
            <w:r>
              <w:rPr>
                <w:sz w:val="20"/>
                <w:szCs w:val="20"/>
              </w:rPr>
              <w:t>5.37(-11.41, 0.68</w:t>
            </w:r>
            <w:r w:rsidRPr="00C300AB">
              <w:rPr>
                <w:sz w:val="20"/>
                <w:szCs w:val="20"/>
              </w:rPr>
              <w:t>)</w:t>
            </w:r>
          </w:p>
        </w:tc>
        <w:tc>
          <w:tcPr>
            <w:tcW w:w="1860" w:type="dxa"/>
            <w:vAlign w:val="center"/>
          </w:tcPr>
          <w:p w14:paraId="664B21AD" w14:textId="534F53A7" w:rsidR="00853C57" w:rsidRPr="00C300AB" w:rsidRDefault="00853C57" w:rsidP="00853C57">
            <w:pPr>
              <w:jc w:val="center"/>
              <w:rPr>
                <w:sz w:val="20"/>
                <w:szCs w:val="20"/>
              </w:rPr>
            </w:pPr>
            <w:r>
              <w:rPr>
                <w:b/>
                <w:sz w:val="20"/>
                <w:szCs w:val="20"/>
              </w:rPr>
              <w:t>14.23(7.11, 21.35</w:t>
            </w:r>
            <w:r w:rsidRPr="005A58AE">
              <w:rPr>
                <w:b/>
                <w:sz w:val="20"/>
                <w:szCs w:val="20"/>
              </w:rPr>
              <w:t>)</w:t>
            </w:r>
          </w:p>
        </w:tc>
        <w:tc>
          <w:tcPr>
            <w:tcW w:w="1860" w:type="dxa"/>
            <w:vAlign w:val="center"/>
          </w:tcPr>
          <w:p w14:paraId="3FD2A88A" w14:textId="0435BC19" w:rsidR="00853C57" w:rsidRPr="00C300AB" w:rsidRDefault="00853C57" w:rsidP="00853C57">
            <w:pPr>
              <w:jc w:val="center"/>
              <w:rPr>
                <w:sz w:val="20"/>
                <w:szCs w:val="20"/>
              </w:rPr>
            </w:pPr>
            <w:r>
              <w:rPr>
                <w:b/>
                <w:sz w:val="20"/>
                <w:szCs w:val="20"/>
              </w:rPr>
              <w:t>-0.30</w:t>
            </w:r>
            <w:r w:rsidRPr="004A4AE1">
              <w:rPr>
                <w:b/>
                <w:sz w:val="20"/>
                <w:szCs w:val="20"/>
              </w:rPr>
              <w:t>(-0.49, -0.12)</w:t>
            </w:r>
          </w:p>
        </w:tc>
      </w:tr>
      <w:tr w:rsidR="00853C57" w:rsidRPr="0072438F" w14:paraId="7C7DFC71" w14:textId="0F987B5F" w:rsidTr="00610501">
        <w:trPr>
          <w:trHeight w:val="2012"/>
        </w:trPr>
        <w:tc>
          <w:tcPr>
            <w:tcW w:w="14743" w:type="dxa"/>
            <w:gridSpan w:val="9"/>
            <w:tcBorders>
              <w:left w:val="single" w:sz="4" w:space="0" w:color="FFFFFF" w:themeColor="background1"/>
              <w:bottom w:val="single" w:sz="4" w:space="0" w:color="FFFFFF" w:themeColor="background1"/>
              <w:right w:val="single" w:sz="4" w:space="0" w:color="FFFFFF" w:themeColor="background1"/>
            </w:tcBorders>
          </w:tcPr>
          <w:p w14:paraId="0A5E8916" w14:textId="555AD0A0" w:rsidR="00853C57" w:rsidRDefault="00DC78D7" w:rsidP="00853C57">
            <w:pPr>
              <w:rPr>
                <w:sz w:val="16"/>
                <w:szCs w:val="16"/>
              </w:rPr>
            </w:pPr>
            <w:r w:rsidRPr="00DC78D7">
              <w:rPr>
                <w:b/>
                <w:sz w:val="16"/>
                <w:szCs w:val="16"/>
              </w:rPr>
              <w:t>All of the gout-specific, comorbid, socio-demographic and anthropometric variables listed in this table and table 2 were included in the linear mixed model for each quality of life outcome.</w:t>
            </w:r>
            <w:r>
              <w:rPr>
                <w:b/>
                <w:sz w:val="16"/>
                <w:szCs w:val="16"/>
              </w:rPr>
              <w:t xml:space="preserve">  </w:t>
            </w:r>
            <w:r w:rsidR="00853C57" w:rsidRPr="00BC5052">
              <w:rPr>
                <w:b/>
                <w:sz w:val="16"/>
                <w:szCs w:val="16"/>
              </w:rPr>
              <w:t>β</w:t>
            </w:r>
            <w:r w:rsidR="00853C57" w:rsidRPr="00BC5052">
              <w:rPr>
                <w:sz w:val="16"/>
                <w:szCs w:val="16"/>
              </w:rPr>
              <w:t xml:space="preserve"> linear mixed model coefficient      </w:t>
            </w:r>
            <w:r w:rsidR="00853C57" w:rsidRPr="00BC5052">
              <w:rPr>
                <w:b/>
                <w:sz w:val="16"/>
                <w:szCs w:val="16"/>
              </w:rPr>
              <w:t xml:space="preserve"> </w:t>
            </w:r>
            <w:r w:rsidR="00853C57" w:rsidRPr="00757E34">
              <w:rPr>
                <w:rFonts w:ascii="Wingdings 2" w:eastAsia="Wingdings 2" w:hAnsi="Wingdings 2" w:cs="Wingdings 2"/>
                <w:b/>
                <w:sz w:val="16"/>
                <w:szCs w:val="16"/>
                <w:vertAlign w:val="superscript"/>
              </w:rPr>
              <w:t></w:t>
            </w:r>
            <w:r w:rsidR="00853C57" w:rsidRPr="00757E34">
              <w:rPr>
                <w:b/>
                <w:sz w:val="16"/>
                <w:szCs w:val="16"/>
              </w:rPr>
              <w:t xml:space="preserve">Time-varying </w:t>
            </w:r>
            <w:r w:rsidR="00155375">
              <w:rPr>
                <w:b/>
                <w:sz w:val="16"/>
                <w:szCs w:val="16"/>
              </w:rPr>
              <w:t>variable</w:t>
            </w:r>
            <w:r w:rsidR="00853C57" w:rsidRPr="00BC5052">
              <w:rPr>
                <w:sz w:val="16"/>
                <w:szCs w:val="16"/>
              </w:rPr>
              <w:t xml:space="preserve"> in questionnaire at baseline, 6, 12, 24 and 36 months.</w:t>
            </w:r>
            <w:r w:rsidR="00853C57">
              <w:rPr>
                <w:sz w:val="16"/>
                <w:szCs w:val="16"/>
              </w:rPr>
              <w:t xml:space="preserve"> </w:t>
            </w:r>
            <w:r w:rsidR="00853C57" w:rsidRPr="00BC5052">
              <w:rPr>
                <w:rFonts w:cstheme="minorHAnsi"/>
                <w:b/>
                <w:sz w:val="16"/>
                <w:szCs w:val="16"/>
              </w:rPr>
              <w:t xml:space="preserve">BMI </w:t>
            </w:r>
            <w:r w:rsidR="00853C57" w:rsidRPr="00BC5052">
              <w:rPr>
                <w:rFonts w:cstheme="minorHAnsi"/>
                <w:sz w:val="16"/>
                <w:szCs w:val="16"/>
              </w:rPr>
              <w:t>body mass index kg/m</w:t>
            </w:r>
            <w:r w:rsidR="00853C57" w:rsidRPr="00BC5052">
              <w:rPr>
                <w:rFonts w:cstheme="minorHAnsi"/>
                <w:sz w:val="16"/>
                <w:szCs w:val="16"/>
                <w:vertAlign w:val="superscript"/>
              </w:rPr>
              <w:t>2</w:t>
            </w:r>
            <w:r w:rsidR="00853C57">
              <w:rPr>
                <w:rFonts w:cstheme="minorHAnsi"/>
                <w:sz w:val="16"/>
                <w:szCs w:val="16"/>
                <w:vertAlign w:val="superscript"/>
              </w:rPr>
              <w:t xml:space="preserve"> </w:t>
            </w:r>
            <w:r w:rsidR="00853C57" w:rsidRPr="00BC5052">
              <w:rPr>
                <w:sz w:val="16"/>
                <w:szCs w:val="16"/>
              </w:rPr>
              <w:t xml:space="preserve">; </w:t>
            </w:r>
            <w:r w:rsidR="00853C57" w:rsidRPr="00BC5052">
              <w:rPr>
                <w:b/>
                <w:sz w:val="16"/>
                <w:szCs w:val="16"/>
              </w:rPr>
              <w:t>IMD</w:t>
            </w:r>
            <w:r w:rsidR="00853C57" w:rsidRPr="00BC5052">
              <w:rPr>
                <w:sz w:val="16"/>
                <w:szCs w:val="16"/>
              </w:rPr>
              <w:t xml:space="preserve"> Indices of multiple deprivation</w:t>
            </w:r>
            <w:r w:rsidR="00853C57">
              <w:rPr>
                <w:sz w:val="16"/>
                <w:szCs w:val="16"/>
              </w:rPr>
              <w:t>,</w:t>
            </w:r>
            <w:r w:rsidR="00853C57" w:rsidRPr="00BC5052">
              <w:rPr>
                <w:sz w:val="16"/>
                <w:szCs w:val="16"/>
              </w:rPr>
              <w:t xml:space="preserve"> highest score indicates least deprived</w:t>
            </w:r>
            <w:r w:rsidR="00853C57">
              <w:rPr>
                <w:sz w:val="16"/>
                <w:szCs w:val="16"/>
              </w:rPr>
              <w:t xml:space="preserve">, </w:t>
            </w:r>
            <w:r w:rsidR="00853C57" w:rsidRPr="00AB549B">
              <w:rPr>
                <w:b/>
                <w:sz w:val="16"/>
                <w:szCs w:val="16"/>
                <w:vertAlign w:val="superscript"/>
              </w:rPr>
              <w:t>a</w:t>
            </w:r>
            <w:r w:rsidR="00853C57">
              <w:rPr>
                <w:sz w:val="16"/>
                <w:szCs w:val="16"/>
              </w:rPr>
              <w:t>per increase in IMD rank by one decile)</w:t>
            </w:r>
            <w:r w:rsidR="00853C57" w:rsidRPr="00BC5052">
              <w:rPr>
                <w:sz w:val="16"/>
                <w:szCs w:val="16"/>
              </w:rPr>
              <w:t>.</w:t>
            </w:r>
          </w:p>
          <w:p w14:paraId="4D287D8A" w14:textId="77777777" w:rsidR="00853C57" w:rsidRDefault="00853C57" w:rsidP="00853C57">
            <w:pPr>
              <w:rPr>
                <w:sz w:val="16"/>
                <w:szCs w:val="16"/>
              </w:rPr>
            </w:pPr>
            <w:r w:rsidRPr="00BC5052">
              <w:rPr>
                <w:sz w:val="16"/>
                <w:szCs w:val="16"/>
              </w:rPr>
              <w:t xml:space="preserve">Each </w:t>
            </w:r>
            <w:r w:rsidRPr="00BC5052">
              <w:rPr>
                <w:b/>
                <w:sz w:val="16"/>
                <w:szCs w:val="16"/>
              </w:rPr>
              <w:t>GIS subscale</w:t>
            </w:r>
            <w:r w:rsidRPr="00BC5052">
              <w:rPr>
                <w:sz w:val="16"/>
                <w:szCs w:val="16"/>
              </w:rPr>
              <w:t xml:space="preserve"> scored from </w:t>
            </w:r>
            <w:r w:rsidRPr="00BC5052">
              <w:rPr>
                <w:b/>
                <w:sz w:val="16"/>
                <w:szCs w:val="16"/>
              </w:rPr>
              <w:t>0 to 100;</w:t>
            </w:r>
            <w:r w:rsidRPr="00BC5052">
              <w:rPr>
                <w:sz w:val="16"/>
                <w:szCs w:val="16"/>
              </w:rPr>
              <w:t xml:space="preserve"> higher scores on each scale indicating a greater impact of gout on HRQOL/ worse HRQOL, positive </w:t>
            </w:r>
            <w:r w:rsidRPr="00BC5052">
              <w:rPr>
                <w:b/>
                <w:sz w:val="16"/>
                <w:szCs w:val="16"/>
              </w:rPr>
              <w:t xml:space="preserve">β </w:t>
            </w:r>
            <w:r w:rsidRPr="00BC5052">
              <w:rPr>
                <w:sz w:val="16"/>
                <w:szCs w:val="16"/>
              </w:rPr>
              <w:t xml:space="preserve">coefficient = deterioration, and negative </w:t>
            </w:r>
            <w:r w:rsidRPr="00BC5052">
              <w:rPr>
                <w:b/>
                <w:sz w:val="16"/>
                <w:szCs w:val="16"/>
              </w:rPr>
              <w:t xml:space="preserve">β </w:t>
            </w:r>
            <w:r w:rsidRPr="00BC5052">
              <w:rPr>
                <w:sz w:val="16"/>
                <w:szCs w:val="16"/>
              </w:rPr>
              <w:t>coefficient = improvement</w:t>
            </w:r>
            <w:r>
              <w:rPr>
                <w:sz w:val="16"/>
                <w:szCs w:val="16"/>
              </w:rPr>
              <w:t>.</w:t>
            </w:r>
            <w:r w:rsidRPr="00493E7D">
              <w:rPr>
                <w:b/>
                <w:sz w:val="16"/>
                <w:szCs w:val="16"/>
              </w:rPr>
              <w:t xml:space="preserve"> SF-36 PF10</w:t>
            </w:r>
            <w:r w:rsidRPr="00493E7D">
              <w:rPr>
                <w:sz w:val="16"/>
                <w:szCs w:val="16"/>
              </w:rPr>
              <w:t xml:space="preserve"> scored from </w:t>
            </w:r>
            <w:r w:rsidRPr="00493E7D">
              <w:rPr>
                <w:b/>
                <w:sz w:val="16"/>
                <w:szCs w:val="16"/>
              </w:rPr>
              <w:t>0 to 100</w:t>
            </w:r>
            <w:r w:rsidRPr="00493E7D">
              <w:rPr>
                <w:sz w:val="16"/>
                <w:szCs w:val="16"/>
              </w:rPr>
              <w:t xml:space="preserve">; higher score indicating performs all types of physical activities including the most vigorous without limitations due to health, positive </w:t>
            </w:r>
            <w:r w:rsidRPr="00493E7D">
              <w:rPr>
                <w:b/>
                <w:sz w:val="16"/>
                <w:szCs w:val="16"/>
              </w:rPr>
              <w:t xml:space="preserve">β </w:t>
            </w:r>
            <w:r w:rsidRPr="00493E7D">
              <w:rPr>
                <w:sz w:val="16"/>
                <w:szCs w:val="16"/>
              </w:rPr>
              <w:t xml:space="preserve">coefficient = </w:t>
            </w:r>
            <w:r>
              <w:rPr>
                <w:sz w:val="16"/>
                <w:szCs w:val="16"/>
              </w:rPr>
              <w:t>better</w:t>
            </w:r>
            <w:r w:rsidRPr="00493E7D">
              <w:rPr>
                <w:sz w:val="16"/>
                <w:szCs w:val="16"/>
              </w:rPr>
              <w:t xml:space="preserve">, and negative </w:t>
            </w:r>
            <w:r w:rsidRPr="00493E7D">
              <w:rPr>
                <w:b/>
                <w:sz w:val="16"/>
                <w:szCs w:val="16"/>
              </w:rPr>
              <w:t xml:space="preserve">β </w:t>
            </w:r>
            <w:r w:rsidRPr="00493E7D">
              <w:rPr>
                <w:sz w:val="16"/>
                <w:szCs w:val="16"/>
              </w:rPr>
              <w:t xml:space="preserve">coefficient = </w:t>
            </w:r>
            <w:r>
              <w:rPr>
                <w:sz w:val="16"/>
                <w:szCs w:val="16"/>
              </w:rPr>
              <w:t>worse.</w:t>
            </w:r>
          </w:p>
          <w:p w14:paraId="03CE660F" w14:textId="6AE77961" w:rsidR="00853C57" w:rsidRPr="00BC5052" w:rsidRDefault="00853C57" w:rsidP="00853C57">
            <w:pPr>
              <w:rPr>
                <w:sz w:val="16"/>
                <w:szCs w:val="16"/>
              </w:rPr>
            </w:pPr>
            <w:r w:rsidRPr="00493E7D">
              <w:rPr>
                <w:b/>
                <w:sz w:val="16"/>
                <w:szCs w:val="16"/>
              </w:rPr>
              <w:t>HAQ-DI</w:t>
            </w:r>
            <w:r w:rsidRPr="00493E7D">
              <w:rPr>
                <w:sz w:val="16"/>
                <w:szCs w:val="16"/>
              </w:rPr>
              <w:t xml:space="preserve"> scored from </w:t>
            </w:r>
            <w:r w:rsidRPr="00493E7D">
              <w:rPr>
                <w:b/>
                <w:sz w:val="16"/>
                <w:szCs w:val="16"/>
              </w:rPr>
              <w:t>0 to 3</w:t>
            </w:r>
            <w:r w:rsidRPr="00493E7D">
              <w:rPr>
                <w:sz w:val="16"/>
                <w:szCs w:val="16"/>
              </w:rPr>
              <w:t xml:space="preserve">; higher score indicating greater </w:t>
            </w:r>
            <w:r>
              <w:rPr>
                <w:sz w:val="16"/>
                <w:szCs w:val="16"/>
              </w:rPr>
              <w:t>activity limitation</w:t>
            </w:r>
            <w:r w:rsidRPr="00493E7D">
              <w:rPr>
                <w:sz w:val="16"/>
                <w:szCs w:val="16"/>
              </w:rPr>
              <w:t xml:space="preserve">, positive </w:t>
            </w:r>
            <w:r w:rsidRPr="00493E7D">
              <w:rPr>
                <w:b/>
                <w:sz w:val="16"/>
                <w:szCs w:val="16"/>
              </w:rPr>
              <w:t xml:space="preserve">β </w:t>
            </w:r>
            <w:r w:rsidRPr="00493E7D">
              <w:rPr>
                <w:sz w:val="16"/>
                <w:szCs w:val="16"/>
              </w:rPr>
              <w:t xml:space="preserve">coefficient = </w:t>
            </w:r>
            <w:r>
              <w:rPr>
                <w:sz w:val="16"/>
                <w:szCs w:val="16"/>
              </w:rPr>
              <w:t>worse</w:t>
            </w:r>
            <w:r w:rsidRPr="00493E7D">
              <w:rPr>
                <w:sz w:val="16"/>
                <w:szCs w:val="16"/>
              </w:rPr>
              <w:t xml:space="preserve">, and negative </w:t>
            </w:r>
            <w:r w:rsidRPr="00493E7D">
              <w:rPr>
                <w:b/>
                <w:sz w:val="16"/>
                <w:szCs w:val="16"/>
              </w:rPr>
              <w:t xml:space="preserve">β </w:t>
            </w:r>
            <w:r w:rsidRPr="00493E7D">
              <w:rPr>
                <w:sz w:val="16"/>
                <w:szCs w:val="16"/>
              </w:rPr>
              <w:t xml:space="preserve">coefficient = </w:t>
            </w:r>
            <w:r>
              <w:rPr>
                <w:sz w:val="16"/>
                <w:szCs w:val="16"/>
              </w:rPr>
              <w:t>better</w:t>
            </w:r>
            <w:r w:rsidRPr="00493E7D">
              <w:rPr>
                <w:sz w:val="16"/>
                <w:szCs w:val="16"/>
              </w:rPr>
              <w:t>.</w:t>
            </w:r>
            <w:r>
              <w:rPr>
                <w:sz w:val="16"/>
                <w:szCs w:val="16"/>
              </w:rPr>
              <w:t xml:space="preserve"> </w:t>
            </w:r>
          </w:p>
          <w:p w14:paraId="67C198B1" w14:textId="14055E2C" w:rsidR="00853C57" w:rsidRPr="00BC5052" w:rsidRDefault="00853C57" w:rsidP="00853C57">
            <w:pPr>
              <w:rPr>
                <w:b/>
                <w:sz w:val="16"/>
                <w:szCs w:val="16"/>
              </w:rPr>
            </w:pPr>
            <w:r w:rsidRPr="00BC5052">
              <w:rPr>
                <w:sz w:val="16"/>
                <w:szCs w:val="16"/>
              </w:rPr>
              <w:t>.</w:t>
            </w:r>
          </w:p>
        </w:tc>
      </w:tr>
    </w:tbl>
    <w:p w14:paraId="53240E7F" w14:textId="0327E8BC" w:rsidR="005D2AB9" w:rsidRDefault="005D2AB9" w:rsidP="00B74470">
      <w:pPr>
        <w:spacing w:line="480" w:lineRule="auto"/>
        <w:jc w:val="both"/>
        <w:rPr>
          <w:sz w:val="24"/>
          <w:szCs w:val="24"/>
        </w:rPr>
      </w:pPr>
    </w:p>
    <w:sectPr w:rsidR="005D2AB9" w:rsidSect="005505C8">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A5302" w16cex:dateUtc="2022-04-04T13:03:00Z"/>
  <w16cex:commentExtensible w16cex:durableId="263A54A6" w16cex:dateUtc="2022-05-26T18:33:00Z"/>
  <w16cex:commentExtensible w16cex:durableId="263A5505" w16cex:dateUtc="2022-05-26T18:35:00Z"/>
  <w16cex:commentExtensible w16cex:durableId="263A5585" w16cex:dateUtc="2022-05-26T18:37:00Z"/>
  <w16cex:commentExtensible w16cex:durableId="263A56E5" w16cex:dateUtc="2022-05-26T18:43:00Z"/>
  <w16cex:commentExtensible w16cex:durableId="263A5713" w16cex:dateUtc="2022-05-26T18:44:00Z"/>
  <w16cex:commentExtensible w16cex:durableId="3DAF5C1C" w16cex:dateUtc="2022-06-13T10:20:00Z"/>
  <w16cex:commentExtensible w16cex:durableId="263F56AA" w16cex:dateUtc="2022-05-30T13:43:00Z"/>
  <w16cex:commentExtensible w16cex:durableId="263A5746" w16cex:dateUtc="2022-05-26T18:45:00Z"/>
  <w16cex:commentExtensible w16cex:durableId="263A5770" w16cex:dateUtc="2022-05-26T18:45:00Z"/>
  <w16cex:commentExtensible w16cex:durableId="263A57B2" w16cex:dateUtc="2022-05-26T18:46:00Z"/>
  <w16cex:commentExtensible w16cex:durableId="21A81356" w16cex:dateUtc="2022-06-13T10:37:00Z"/>
  <w16cex:commentExtensible w16cex:durableId="263A62C2" w16cex:dateUtc="2022-05-26T19:34:00Z"/>
  <w16cex:commentExtensible w16cex:durableId="265DF4DD" w16cex:dateUtc="2022-06-22T19:06:00Z"/>
  <w16cex:commentExtensible w16cex:durableId="263A62DC" w16cex:dateUtc="2022-05-26T19:34:00Z"/>
  <w16cex:commentExtensible w16cex:durableId="265DF590" w16cex:dateUtc="2022-06-22T19:09:00Z"/>
  <w16cex:commentExtensible w16cex:durableId="263A5303" w16cex:dateUtc="2022-04-04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32A7CC" w16cid:durableId="263A5302"/>
  <w16cid:commentId w16cid:paraId="7690EC18" w16cid:durableId="263A54A6"/>
  <w16cid:commentId w16cid:paraId="469F3C54" w16cid:durableId="263A5505"/>
  <w16cid:commentId w16cid:paraId="2B13899C" w16cid:durableId="263A5585"/>
  <w16cid:commentId w16cid:paraId="7D762EA7" w16cid:durableId="263A56E5"/>
  <w16cid:commentId w16cid:paraId="523BBFB7" w16cid:durableId="263A5713"/>
  <w16cid:commentId w16cid:paraId="3D37D286" w16cid:durableId="3DAF5C1C"/>
  <w16cid:commentId w16cid:paraId="0442CEBD" w16cid:durableId="263F56AA"/>
  <w16cid:commentId w16cid:paraId="5D3D8217" w16cid:durableId="263A5746"/>
  <w16cid:commentId w16cid:paraId="327A6892" w16cid:durableId="263A5770"/>
  <w16cid:commentId w16cid:paraId="3414B08F" w16cid:durableId="263A57B2"/>
  <w16cid:commentId w16cid:paraId="7BEA2D0F" w16cid:durableId="21A81356"/>
  <w16cid:commentId w16cid:paraId="799B7B25" w16cid:durableId="263A62C2"/>
  <w16cid:commentId w16cid:paraId="6F40E688" w16cid:durableId="265DF4DD"/>
  <w16cid:commentId w16cid:paraId="7877519D" w16cid:durableId="263A62DC"/>
  <w16cid:commentId w16cid:paraId="76DEE83F" w16cid:durableId="265DF590"/>
  <w16cid:commentId w16cid:paraId="2B0186B8" w16cid:durableId="263A53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59F60" w14:textId="77777777" w:rsidR="00B77DF8" w:rsidRDefault="00B77DF8" w:rsidP="009379F4">
      <w:pPr>
        <w:spacing w:after="0" w:line="240" w:lineRule="auto"/>
      </w:pPr>
      <w:r>
        <w:separator/>
      </w:r>
    </w:p>
  </w:endnote>
  <w:endnote w:type="continuationSeparator" w:id="0">
    <w:p w14:paraId="03EEA604" w14:textId="77777777" w:rsidR="00B77DF8" w:rsidRDefault="00B77DF8" w:rsidP="00937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708218"/>
      <w:docPartObj>
        <w:docPartGallery w:val="Page Numbers (Bottom of Page)"/>
        <w:docPartUnique/>
      </w:docPartObj>
    </w:sdtPr>
    <w:sdtEndPr>
      <w:rPr>
        <w:noProof/>
      </w:rPr>
    </w:sdtEndPr>
    <w:sdtContent>
      <w:p w14:paraId="08796B50" w14:textId="55E7F4D1" w:rsidR="00C470EE" w:rsidRDefault="00C470EE">
        <w:pPr>
          <w:pStyle w:val="Footer"/>
          <w:jc w:val="right"/>
        </w:pPr>
        <w:r>
          <w:fldChar w:fldCharType="begin"/>
        </w:r>
        <w:r>
          <w:instrText xml:space="preserve"> PAGE   \* MERGEFORMAT </w:instrText>
        </w:r>
        <w:r>
          <w:fldChar w:fldCharType="separate"/>
        </w:r>
        <w:r w:rsidR="001109F9">
          <w:rPr>
            <w:noProof/>
          </w:rPr>
          <w:t>16</w:t>
        </w:r>
        <w:r>
          <w:rPr>
            <w:noProof/>
          </w:rPr>
          <w:fldChar w:fldCharType="end"/>
        </w:r>
      </w:p>
    </w:sdtContent>
  </w:sdt>
  <w:p w14:paraId="3D70E39B" w14:textId="77777777" w:rsidR="00C470EE" w:rsidRDefault="00C470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D675F" w14:textId="77777777" w:rsidR="00B77DF8" w:rsidRDefault="00B77DF8" w:rsidP="009379F4">
      <w:pPr>
        <w:spacing w:after="0" w:line="240" w:lineRule="auto"/>
      </w:pPr>
      <w:r>
        <w:separator/>
      </w:r>
    </w:p>
  </w:footnote>
  <w:footnote w:type="continuationSeparator" w:id="0">
    <w:p w14:paraId="77E7F785" w14:textId="77777777" w:rsidR="00B77DF8" w:rsidRDefault="00B77DF8" w:rsidP="00937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147F1"/>
    <w:multiLevelType w:val="hybridMultilevel"/>
    <w:tmpl w:val="8A66DF1A"/>
    <w:lvl w:ilvl="0" w:tplc="4AE46888">
      <w:start w:val="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C40A0"/>
    <w:multiLevelType w:val="hybridMultilevel"/>
    <w:tmpl w:val="D526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E9"/>
    <w:rsid w:val="00000A88"/>
    <w:rsid w:val="00000B0B"/>
    <w:rsid w:val="00005227"/>
    <w:rsid w:val="00006353"/>
    <w:rsid w:val="000068BE"/>
    <w:rsid w:val="0001284B"/>
    <w:rsid w:val="00015B54"/>
    <w:rsid w:val="00020D9D"/>
    <w:rsid w:val="00022263"/>
    <w:rsid w:val="000234FF"/>
    <w:rsid w:val="0002545A"/>
    <w:rsid w:val="00025E20"/>
    <w:rsid w:val="0003087A"/>
    <w:rsid w:val="00030EB0"/>
    <w:rsid w:val="0003174F"/>
    <w:rsid w:val="00031A92"/>
    <w:rsid w:val="0003269B"/>
    <w:rsid w:val="00034B80"/>
    <w:rsid w:val="00035FFB"/>
    <w:rsid w:val="00042268"/>
    <w:rsid w:val="00042760"/>
    <w:rsid w:val="00043425"/>
    <w:rsid w:val="000434B4"/>
    <w:rsid w:val="00044530"/>
    <w:rsid w:val="00044A28"/>
    <w:rsid w:val="00046C20"/>
    <w:rsid w:val="00047EA9"/>
    <w:rsid w:val="00051F31"/>
    <w:rsid w:val="00052872"/>
    <w:rsid w:val="0005479B"/>
    <w:rsid w:val="00055C64"/>
    <w:rsid w:val="00060354"/>
    <w:rsid w:val="000619B3"/>
    <w:rsid w:val="00061DAF"/>
    <w:rsid w:val="0006357C"/>
    <w:rsid w:val="0006383E"/>
    <w:rsid w:val="00063C94"/>
    <w:rsid w:val="00064749"/>
    <w:rsid w:val="00064D7F"/>
    <w:rsid w:val="00065183"/>
    <w:rsid w:val="000658FB"/>
    <w:rsid w:val="000664B4"/>
    <w:rsid w:val="00066F2E"/>
    <w:rsid w:val="00073B85"/>
    <w:rsid w:val="00080BE3"/>
    <w:rsid w:val="00080EC5"/>
    <w:rsid w:val="00081DB0"/>
    <w:rsid w:val="0008258D"/>
    <w:rsid w:val="00082EF9"/>
    <w:rsid w:val="00083791"/>
    <w:rsid w:val="0008394A"/>
    <w:rsid w:val="00084FFC"/>
    <w:rsid w:val="0009205C"/>
    <w:rsid w:val="00092DFF"/>
    <w:rsid w:val="00096D71"/>
    <w:rsid w:val="000A1607"/>
    <w:rsid w:val="000A30A8"/>
    <w:rsid w:val="000A3C74"/>
    <w:rsid w:val="000A4F18"/>
    <w:rsid w:val="000A52EC"/>
    <w:rsid w:val="000A5B0E"/>
    <w:rsid w:val="000A5B76"/>
    <w:rsid w:val="000B2790"/>
    <w:rsid w:val="000B2C0E"/>
    <w:rsid w:val="000B3891"/>
    <w:rsid w:val="000B5065"/>
    <w:rsid w:val="000B6F76"/>
    <w:rsid w:val="000B7F12"/>
    <w:rsid w:val="000C0A8C"/>
    <w:rsid w:val="000C3019"/>
    <w:rsid w:val="000C372B"/>
    <w:rsid w:val="000C4805"/>
    <w:rsid w:val="000C5064"/>
    <w:rsid w:val="000D1A02"/>
    <w:rsid w:val="000D1F40"/>
    <w:rsid w:val="000D35BD"/>
    <w:rsid w:val="000D3BEB"/>
    <w:rsid w:val="000D5188"/>
    <w:rsid w:val="000D58DC"/>
    <w:rsid w:val="000D600C"/>
    <w:rsid w:val="000E1BE0"/>
    <w:rsid w:val="000E30A4"/>
    <w:rsid w:val="000E346C"/>
    <w:rsid w:val="000E3E07"/>
    <w:rsid w:val="000F062A"/>
    <w:rsid w:val="000F4499"/>
    <w:rsid w:val="000F687F"/>
    <w:rsid w:val="00101D63"/>
    <w:rsid w:val="00104ACA"/>
    <w:rsid w:val="00104AD8"/>
    <w:rsid w:val="001055A0"/>
    <w:rsid w:val="001058A2"/>
    <w:rsid w:val="0010768B"/>
    <w:rsid w:val="001109F9"/>
    <w:rsid w:val="00111141"/>
    <w:rsid w:val="001131AC"/>
    <w:rsid w:val="00113ED8"/>
    <w:rsid w:val="00114DC6"/>
    <w:rsid w:val="001153E3"/>
    <w:rsid w:val="001160F2"/>
    <w:rsid w:val="00116BEA"/>
    <w:rsid w:val="0012295B"/>
    <w:rsid w:val="00122AE2"/>
    <w:rsid w:val="0012354D"/>
    <w:rsid w:val="001238E1"/>
    <w:rsid w:val="00123D5C"/>
    <w:rsid w:val="00123FD2"/>
    <w:rsid w:val="00127141"/>
    <w:rsid w:val="00127477"/>
    <w:rsid w:val="00127D2B"/>
    <w:rsid w:val="00131B82"/>
    <w:rsid w:val="00131FA8"/>
    <w:rsid w:val="00133CF1"/>
    <w:rsid w:val="00137063"/>
    <w:rsid w:val="00137759"/>
    <w:rsid w:val="00137DFF"/>
    <w:rsid w:val="001402B7"/>
    <w:rsid w:val="001417E7"/>
    <w:rsid w:val="0014462B"/>
    <w:rsid w:val="001451B2"/>
    <w:rsid w:val="001456BA"/>
    <w:rsid w:val="001463F0"/>
    <w:rsid w:val="00150D04"/>
    <w:rsid w:val="001530F7"/>
    <w:rsid w:val="001535B2"/>
    <w:rsid w:val="00155208"/>
    <w:rsid w:val="00155375"/>
    <w:rsid w:val="00155394"/>
    <w:rsid w:val="00155EA8"/>
    <w:rsid w:val="00156022"/>
    <w:rsid w:val="00161A72"/>
    <w:rsid w:val="001628AD"/>
    <w:rsid w:val="00164190"/>
    <w:rsid w:val="001654BA"/>
    <w:rsid w:val="00165C71"/>
    <w:rsid w:val="00165CFB"/>
    <w:rsid w:val="00173E27"/>
    <w:rsid w:val="001755A8"/>
    <w:rsid w:val="00177B31"/>
    <w:rsid w:val="00181F25"/>
    <w:rsid w:val="00181F52"/>
    <w:rsid w:val="0018219C"/>
    <w:rsid w:val="0018664D"/>
    <w:rsid w:val="001866BB"/>
    <w:rsid w:val="001908C0"/>
    <w:rsid w:val="001910F6"/>
    <w:rsid w:val="001960EA"/>
    <w:rsid w:val="0019636C"/>
    <w:rsid w:val="001A0A49"/>
    <w:rsid w:val="001A1D07"/>
    <w:rsid w:val="001A4471"/>
    <w:rsid w:val="001A4AF5"/>
    <w:rsid w:val="001A5869"/>
    <w:rsid w:val="001B1D71"/>
    <w:rsid w:val="001B23A3"/>
    <w:rsid w:val="001B24EA"/>
    <w:rsid w:val="001B6291"/>
    <w:rsid w:val="001B76FE"/>
    <w:rsid w:val="001C024E"/>
    <w:rsid w:val="001C04A4"/>
    <w:rsid w:val="001C0D4F"/>
    <w:rsid w:val="001C410C"/>
    <w:rsid w:val="001C5511"/>
    <w:rsid w:val="001C689E"/>
    <w:rsid w:val="001C7090"/>
    <w:rsid w:val="001D124F"/>
    <w:rsid w:val="001D125A"/>
    <w:rsid w:val="001D1EC6"/>
    <w:rsid w:val="001D3166"/>
    <w:rsid w:val="001D3564"/>
    <w:rsid w:val="001D377D"/>
    <w:rsid w:val="001D4441"/>
    <w:rsid w:val="001E0BC6"/>
    <w:rsid w:val="001E1199"/>
    <w:rsid w:val="001E29AF"/>
    <w:rsid w:val="001E5A90"/>
    <w:rsid w:val="001E5D3F"/>
    <w:rsid w:val="001E60DB"/>
    <w:rsid w:val="001E67E9"/>
    <w:rsid w:val="001E7636"/>
    <w:rsid w:val="001E7875"/>
    <w:rsid w:val="001F2773"/>
    <w:rsid w:val="001F3196"/>
    <w:rsid w:val="001F52F9"/>
    <w:rsid w:val="001F66C7"/>
    <w:rsid w:val="00202FEC"/>
    <w:rsid w:val="00206EC4"/>
    <w:rsid w:val="00207DA0"/>
    <w:rsid w:val="00207E01"/>
    <w:rsid w:val="002122A6"/>
    <w:rsid w:val="002131D2"/>
    <w:rsid w:val="0021436E"/>
    <w:rsid w:val="00225329"/>
    <w:rsid w:val="00225F71"/>
    <w:rsid w:val="00231EEF"/>
    <w:rsid w:val="00232766"/>
    <w:rsid w:val="002404AD"/>
    <w:rsid w:val="0024057F"/>
    <w:rsid w:val="00241524"/>
    <w:rsid w:val="00241532"/>
    <w:rsid w:val="0024209B"/>
    <w:rsid w:val="00243BC8"/>
    <w:rsid w:val="00245BB3"/>
    <w:rsid w:val="0024643D"/>
    <w:rsid w:val="00246973"/>
    <w:rsid w:val="002508DE"/>
    <w:rsid w:val="00251093"/>
    <w:rsid w:val="00253D5A"/>
    <w:rsid w:val="002608E2"/>
    <w:rsid w:val="002615B5"/>
    <w:rsid w:val="00262AB5"/>
    <w:rsid w:val="00262BA9"/>
    <w:rsid w:val="0026393A"/>
    <w:rsid w:val="0026753B"/>
    <w:rsid w:val="002710EA"/>
    <w:rsid w:val="00271D18"/>
    <w:rsid w:val="00273B34"/>
    <w:rsid w:val="00274155"/>
    <w:rsid w:val="002757E3"/>
    <w:rsid w:val="00277193"/>
    <w:rsid w:val="00277C41"/>
    <w:rsid w:val="00280D3C"/>
    <w:rsid w:val="00284083"/>
    <w:rsid w:val="00284BD8"/>
    <w:rsid w:val="00285129"/>
    <w:rsid w:val="002853DB"/>
    <w:rsid w:val="002904DF"/>
    <w:rsid w:val="002909FF"/>
    <w:rsid w:val="00290F8D"/>
    <w:rsid w:val="002910AA"/>
    <w:rsid w:val="002928C7"/>
    <w:rsid w:val="00292996"/>
    <w:rsid w:val="00293DB2"/>
    <w:rsid w:val="002952B5"/>
    <w:rsid w:val="002965B4"/>
    <w:rsid w:val="0029735A"/>
    <w:rsid w:val="002A204B"/>
    <w:rsid w:val="002A2163"/>
    <w:rsid w:val="002A5B8F"/>
    <w:rsid w:val="002A67DC"/>
    <w:rsid w:val="002A6E6D"/>
    <w:rsid w:val="002A7F1A"/>
    <w:rsid w:val="002B1D33"/>
    <w:rsid w:val="002B6B95"/>
    <w:rsid w:val="002C3E24"/>
    <w:rsid w:val="002C4507"/>
    <w:rsid w:val="002C4FE9"/>
    <w:rsid w:val="002C60A0"/>
    <w:rsid w:val="002C6E12"/>
    <w:rsid w:val="002C7CC5"/>
    <w:rsid w:val="002D05A8"/>
    <w:rsid w:val="002D06B8"/>
    <w:rsid w:val="002D1085"/>
    <w:rsid w:val="002D2150"/>
    <w:rsid w:val="002D21E5"/>
    <w:rsid w:val="002D3498"/>
    <w:rsid w:val="002D3F6A"/>
    <w:rsid w:val="002D5CA0"/>
    <w:rsid w:val="002D6DF2"/>
    <w:rsid w:val="002D74A8"/>
    <w:rsid w:val="002E1E3E"/>
    <w:rsid w:val="002E28E0"/>
    <w:rsid w:val="002E5A6E"/>
    <w:rsid w:val="002E6A3C"/>
    <w:rsid w:val="002E6BED"/>
    <w:rsid w:val="002F0497"/>
    <w:rsid w:val="002F0ABD"/>
    <w:rsid w:val="002F0FA3"/>
    <w:rsid w:val="002F12C5"/>
    <w:rsid w:val="002F154C"/>
    <w:rsid w:val="002F26BE"/>
    <w:rsid w:val="002F3281"/>
    <w:rsid w:val="002F42A1"/>
    <w:rsid w:val="002F6636"/>
    <w:rsid w:val="002F69DE"/>
    <w:rsid w:val="002F7D8D"/>
    <w:rsid w:val="0030010B"/>
    <w:rsid w:val="0030088A"/>
    <w:rsid w:val="0030229F"/>
    <w:rsid w:val="00302EB9"/>
    <w:rsid w:val="00303AEF"/>
    <w:rsid w:val="00304164"/>
    <w:rsid w:val="0030497D"/>
    <w:rsid w:val="00305A73"/>
    <w:rsid w:val="003072A6"/>
    <w:rsid w:val="00310AB9"/>
    <w:rsid w:val="0031151E"/>
    <w:rsid w:val="003122C2"/>
    <w:rsid w:val="0031464D"/>
    <w:rsid w:val="00315992"/>
    <w:rsid w:val="00315AC1"/>
    <w:rsid w:val="00316ED6"/>
    <w:rsid w:val="003215B6"/>
    <w:rsid w:val="003237A3"/>
    <w:rsid w:val="0032606C"/>
    <w:rsid w:val="00327248"/>
    <w:rsid w:val="003277C2"/>
    <w:rsid w:val="00327EE9"/>
    <w:rsid w:val="00330B1F"/>
    <w:rsid w:val="00330D68"/>
    <w:rsid w:val="00331510"/>
    <w:rsid w:val="00332123"/>
    <w:rsid w:val="0033444B"/>
    <w:rsid w:val="00337B1C"/>
    <w:rsid w:val="00341AB2"/>
    <w:rsid w:val="00344C39"/>
    <w:rsid w:val="003456D2"/>
    <w:rsid w:val="003458C3"/>
    <w:rsid w:val="00351100"/>
    <w:rsid w:val="003513D8"/>
    <w:rsid w:val="00352C08"/>
    <w:rsid w:val="00353FCC"/>
    <w:rsid w:val="00355A47"/>
    <w:rsid w:val="00355F3F"/>
    <w:rsid w:val="0035679C"/>
    <w:rsid w:val="003613C9"/>
    <w:rsid w:val="00363622"/>
    <w:rsid w:val="00363DFC"/>
    <w:rsid w:val="003642EA"/>
    <w:rsid w:val="0036451D"/>
    <w:rsid w:val="00365D84"/>
    <w:rsid w:val="003672BE"/>
    <w:rsid w:val="00372197"/>
    <w:rsid w:val="00380BAD"/>
    <w:rsid w:val="00382029"/>
    <w:rsid w:val="00383B90"/>
    <w:rsid w:val="00384013"/>
    <w:rsid w:val="00384F04"/>
    <w:rsid w:val="0038611B"/>
    <w:rsid w:val="00387AB5"/>
    <w:rsid w:val="0039012A"/>
    <w:rsid w:val="003910CF"/>
    <w:rsid w:val="003931D4"/>
    <w:rsid w:val="00396212"/>
    <w:rsid w:val="00396800"/>
    <w:rsid w:val="003A1D9B"/>
    <w:rsid w:val="003A44B4"/>
    <w:rsid w:val="003A4C0B"/>
    <w:rsid w:val="003A6574"/>
    <w:rsid w:val="003A6E63"/>
    <w:rsid w:val="003A6E95"/>
    <w:rsid w:val="003B3C79"/>
    <w:rsid w:val="003B3EAC"/>
    <w:rsid w:val="003B3F6D"/>
    <w:rsid w:val="003B40DE"/>
    <w:rsid w:val="003B50D3"/>
    <w:rsid w:val="003B6190"/>
    <w:rsid w:val="003B6968"/>
    <w:rsid w:val="003B7B8C"/>
    <w:rsid w:val="003B7E26"/>
    <w:rsid w:val="003C1178"/>
    <w:rsid w:val="003C2A64"/>
    <w:rsid w:val="003C2E4C"/>
    <w:rsid w:val="003C40E3"/>
    <w:rsid w:val="003C4793"/>
    <w:rsid w:val="003C5669"/>
    <w:rsid w:val="003C6A97"/>
    <w:rsid w:val="003C6EAD"/>
    <w:rsid w:val="003C71D4"/>
    <w:rsid w:val="003C7A42"/>
    <w:rsid w:val="003C7E2F"/>
    <w:rsid w:val="003D2622"/>
    <w:rsid w:val="003D2CAA"/>
    <w:rsid w:val="003D4A22"/>
    <w:rsid w:val="003E3B90"/>
    <w:rsid w:val="003E4266"/>
    <w:rsid w:val="003E5F2E"/>
    <w:rsid w:val="003E6ACB"/>
    <w:rsid w:val="003F3657"/>
    <w:rsid w:val="003F3D4C"/>
    <w:rsid w:val="003F4336"/>
    <w:rsid w:val="003F5F63"/>
    <w:rsid w:val="00402BB1"/>
    <w:rsid w:val="00402FEA"/>
    <w:rsid w:val="00404F5A"/>
    <w:rsid w:val="0040608C"/>
    <w:rsid w:val="004120CF"/>
    <w:rsid w:val="00412E1C"/>
    <w:rsid w:val="00412EAE"/>
    <w:rsid w:val="00415783"/>
    <w:rsid w:val="0041679E"/>
    <w:rsid w:val="00417688"/>
    <w:rsid w:val="004179CC"/>
    <w:rsid w:val="00417C84"/>
    <w:rsid w:val="00417DE0"/>
    <w:rsid w:val="00420B6F"/>
    <w:rsid w:val="00423C90"/>
    <w:rsid w:val="004261DD"/>
    <w:rsid w:val="00426F4A"/>
    <w:rsid w:val="0043114D"/>
    <w:rsid w:val="004331A0"/>
    <w:rsid w:val="004363EE"/>
    <w:rsid w:val="0043736B"/>
    <w:rsid w:val="00437EB5"/>
    <w:rsid w:val="0044120C"/>
    <w:rsid w:val="004417B4"/>
    <w:rsid w:val="00441C39"/>
    <w:rsid w:val="00443E44"/>
    <w:rsid w:val="004450DB"/>
    <w:rsid w:val="004517A6"/>
    <w:rsid w:val="004568FD"/>
    <w:rsid w:val="004575AA"/>
    <w:rsid w:val="0045795E"/>
    <w:rsid w:val="00457963"/>
    <w:rsid w:val="00462857"/>
    <w:rsid w:val="00464108"/>
    <w:rsid w:val="00465C83"/>
    <w:rsid w:val="00466055"/>
    <w:rsid w:val="004660AB"/>
    <w:rsid w:val="004667C4"/>
    <w:rsid w:val="00466D4E"/>
    <w:rsid w:val="0047200C"/>
    <w:rsid w:val="004744EB"/>
    <w:rsid w:val="00476240"/>
    <w:rsid w:val="00476AC6"/>
    <w:rsid w:val="0047734A"/>
    <w:rsid w:val="00477B2B"/>
    <w:rsid w:val="00481946"/>
    <w:rsid w:val="00481B38"/>
    <w:rsid w:val="00485B9B"/>
    <w:rsid w:val="00485E94"/>
    <w:rsid w:val="004871F7"/>
    <w:rsid w:val="00490ABD"/>
    <w:rsid w:val="004934FC"/>
    <w:rsid w:val="004948AF"/>
    <w:rsid w:val="00495615"/>
    <w:rsid w:val="004A2995"/>
    <w:rsid w:val="004A3F87"/>
    <w:rsid w:val="004A4AE1"/>
    <w:rsid w:val="004A63BA"/>
    <w:rsid w:val="004A67F3"/>
    <w:rsid w:val="004A6DF1"/>
    <w:rsid w:val="004A7D7C"/>
    <w:rsid w:val="004B3AD4"/>
    <w:rsid w:val="004B6BFF"/>
    <w:rsid w:val="004C01E9"/>
    <w:rsid w:val="004C19B5"/>
    <w:rsid w:val="004C260C"/>
    <w:rsid w:val="004C40EC"/>
    <w:rsid w:val="004D0363"/>
    <w:rsid w:val="004D2ED8"/>
    <w:rsid w:val="004D4058"/>
    <w:rsid w:val="004D60CA"/>
    <w:rsid w:val="004E18E4"/>
    <w:rsid w:val="004E244F"/>
    <w:rsid w:val="004E299E"/>
    <w:rsid w:val="004E4B45"/>
    <w:rsid w:val="004E62CF"/>
    <w:rsid w:val="004F1067"/>
    <w:rsid w:val="004F1687"/>
    <w:rsid w:val="004F2F0A"/>
    <w:rsid w:val="004F43A7"/>
    <w:rsid w:val="004F44A2"/>
    <w:rsid w:val="004F492C"/>
    <w:rsid w:val="004F55E1"/>
    <w:rsid w:val="004F5A27"/>
    <w:rsid w:val="004F5BAC"/>
    <w:rsid w:val="004F6754"/>
    <w:rsid w:val="004F76F8"/>
    <w:rsid w:val="00500387"/>
    <w:rsid w:val="00500A72"/>
    <w:rsid w:val="00501002"/>
    <w:rsid w:val="0050232D"/>
    <w:rsid w:val="005026C4"/>
    <w:rsid w:val="00502C9B"/>
    <w:rsid w:val="00503280"/>
    <w:rsid w:val="00504759"/>
    <w:rsid w:val="0050482D"/>
    <w:rsid w:val="00504F4C"/>
    <w:rsid w:val="005056B3"/>
    <w:rsid w:val="0050594C"/>
    <w:rsid w:val="0051057E"/>
    <w:rsid w:val="005122A6"/>
    <w:rsid w:val="005127AE"/>
    <w:rsid w:val="00512812"/>
    <w:rsid w:val="00513C05"/>
    <w:rsid w:val="00513CED"/>
    <w:rsid w:val="00514F64"/>
    <w:rsid w:val="005161A2"/>
    <w:rsid w:val="00516977"/>
    <w:rsid w:val="00517052"/>
    <w:rsid w:val="00517657"/>
    <w:rsid w:val="00517C78"/>
    <w:rsid w:val="00517CFD"/>
    <w:rsid w:val="0052071E"/>
    <w:rsid w:val="00520DD1"/>
    <w:rsid w:val="00521CF4"/>
    <w:rsid w:val="00522772"/>
    <w:rsid w:val="00524C1C"/>
    <w:rsid w:val="00526783"/>
    <w:rsid w:val="00526DB2"/>
    <w:rsid w:val="005274CF"/>
    <w:rsid w:val="00530929"/>
    <w:rsid w:val="00532F24"/>
    <w:rsid w:val="00533CDB"/>
    <w:rsid w:val="00533DFA"/>
    <w:rsid w:val="00535758"/>
    <w:rsid w:val="00535E30"/>
    <w:rsid w:val="00535E68"/>
    <w:rsid w:val="00536E1C"/>
    <w:rsid w:val="00537072"/>
    <w:rsid w:val="00537146"/>
    <w:rsid w:val="005405EA"/>
    <w:rsid w:val="005419CB"/>
    <w:rsid w:val="00542202"/>
    <w:rsid w:val="005429E2"/>
    <w:rsid w:val="0054386A"/>
    <w:rsid w:val="00544F92"/>
    <w:rsid w:val="0054580D"/>
    <w:rsid w:val="005470FE"/>
    <w:rsid w:val="005505C8"/>
    <w:rsid w:val="005509E1"/>
    <w:rsid w:val="0055105B"/>
    <w:rsid w:val="00551192"/>
    <w:rsid w:val="00554161"/>
    <w:rsid w:val="00554FD3"/>
    <w:rsid w:val="00556E9A"/>
    <w:rsid w:val="0055767C"/>
    <w:rsid w:val="00560313"/>
    <w:rsid w:val="00563968"/>
    <w:rsid w:val="00563F5A"/>
    <w:rsid w:val="005642F4"/>
    <w:rsid w:val="00564F26"/>
    <w:rsid w:val="005655A0"/>
    <w:rsid w:val="00565A4F"/>
    <w:rsid w:val="00571588"/>
    <w:rsid w:val="005755D8"/>
    <w:rsid w:val="0057691D"/>
    <w:rsid w:val="00576C77"/>
    <w:rsid w:val="00582A53"/>
    <w:rsid w:val="0058306E"/>
    <w:rsid w:val="00583F54"/>
    <w:rsid w:val="005872B8"/>
    <w:rsid w:val="00587865"/>
    <w:rsid w:val="00587932"/>
    <w:rsid w:val="00590721"/>
    <w:rsid w:val="00590A57"/>
    <w:rsid w:val="00591359"/>
    <w:rsid w:val="005918F5"/>
    <w:rsid w:val="00591D2E"/>
    <w:rsid w:val="0059272D"/>
    <w:rsid w:val="00592D5B"/>
    <w:rsid w:val="005936B7"/>
    <w:rsid w:val="005A2670"/>
    <w:rsid w:val="005A4665"/>
    <w:rsid w:val="005A58AE"/>
    <w:rsid w:val="005A5A3E"/>
    <w:rsid w:val="005B0C25"/>
    <w:rsid w:val="005B1737"/>
    <w:rsid w:val="005B18AB"/>
    <w:rsid w:val="005B19C2"/>
    <w:rsid w:val="005B2C1F"/>
    <w:rsid w:val="005B38F1"/>
    <w:rsid w:val="005B3A4F"/>
    <w:rsid w:val="005C17D7"/>
    <w:rsid w:val="005C5B10"/>
    <w:rsid w:val="005C5CA0"/>
    <w:rsid w:val="005C6761"/>
    <w:rsid w:val="005C6ABF"/>
    <w:rsid w:val="005C7643"/>
    <w:rsid w:val="005D031E"/>
    <w:rsid w:val="005D0351"/>
    <w:rsid w:val="005D2757"/>
    <w:rsid w:val="005D2AB9"/>
    <w:rsid w:val="005D3CD4"/>
    <w:rsid w:val="005D4F75"/>
    <w:rsid w:val="005D5F8E"/>
    <w:rsid w:val="005D7A9E"/>
    <w:rsid w:val="005E0493"/>
    <w:rsid w:val="005E1044"/>
    <w:rsid w:val="005E345E"/>
    <w:rsid w:val="005E3DD8"/>
    <w:rsid w:val="005E67BE"/>
    <w:rsid w:val="005F066D"/>
    <w:rsid w:val="005F0A8A"/>
    <w:rsid w:val="005F24AE"/>
    <w:rsid w:val="005F2C60"/>
    <w:rsid w:val="005F4011"/>
    <w:rsid w:val="005F46BC"/>
    <w:rsid w:val="005F564D"/>
    <w:rsid w:val="005F59E0"/>
    <w:rsid w:val="005F77DB"/>
    <w:rsid w:val="0060176B"/>
    <w:rsid w:val="00604742"/>
    <w:rsid w:val="00607B24"/>
    <w:rsid w:val="00607C18"/>
    <w:rsid w:val="00610501"/>
    <w:rsid w:val="00610A56"/>
    <w:rsid w:val="006127C8"/>
    <w:rsid w:val="00613A82"/>
    <w:rsid w:val="00616825"/>
    <w:rsid w:val="00621955"/>
    <w:rsid w:val="00622AA9"/>
    <w:rsid w:val="00623FD3"/>
    <w:rsid w:val="00624D8C"/>
    <w:rsid w:val="00624E80"/>
    <w:rsid w:val="0063214E"/>
    <w:rsid w:val="006324C7"/>
    <w:rsid w:val="00632518"/>
    <w:rsid w:val="00633EEA"/>
    <w:rsid w:val="00636EB5"/>
    <w:rsid w:val="00640E2B"/>
    <w:rsid w:val="00643DF0"/>
    <w:rsid w:val="00643F3B"/>
    <w:rsid w:val="006452A5"/>
    <w:rsid w:val="00647C99"/>
    <w:rsid w:val="0065116F"/>
    <w:rsid w:val="00651894"/>
    <w:rsid w:val="0065273A"/>
    <w:rsid w:val="00653DA0"/>
    <w:rsid w:val="00657779"/>
    <w:rsid w:val="006577E6"/>
    <w:rsid w:val="00657CAF"/>
    <w:rsid w:val="00660775"/>
    <w:rsid w:val="0066331A"/>
    <w:rsid w:val="00664101"/>
    <w:rsid w:val="0066665B"/>
    <w:rsid w:val="00667245"/>
    <w:rsid w:val="00667883"/>
    <w:rsid w:val="006707C4"/>
    <w:rsid w:val="00671839"/>
    <w:rsid w:val="00671C65"/>
    <w:rsid w:val="00673DBB"/>
    <w:rsid w:val="00674A45"/>
    <w:rsid w:val="00674EDB"/>
    <w:rsid w:val="00676406"/>
    <w:rsid w:val="00676CB3"/>
    <w:rsid w:val="00677B2B"/>
    <w:rsid w:val="00677BDB"/>
    <w:rsid w:val="00681DE2"/>
    <w:rsid w:val="00682615"/>
    <w:rsid w:val="00682DF0"/>
    <w:rsid w:val="00682E0C"/>
    <w:rsid w:val="00682EEC"/>
    <w:rsid w:val="006855DC"/>
    <w:rsid w:val="00685859"/>
    <w:rsid w:val="006858B7"/>
    <w:rsid w:val="00685962"/>
    <w:rsid w:val="006916A4"/>
    <w:rsid w:val="00692607"/>
    <w:rsid w:val="006929EB"/>
    <w:rsid w:val="00693E1C"/>
    <w:rsid w:val="006944C9"/>
    <w:rsid w:val="006959AC"/>
    <w:rsid w:val="006A159F"/>
    <w:rsid w:val="006A2CA5"/>
    <w:rsid w:val="006A2D72"/>
    <w:rsid w:val="006A34C4"/>
    <w:rsid w:val="006B34B9"/>
    <w:rsid w:val="006B3632"/>
    <w:rsid w:val="006B41C8"/>
    <w:rsid w:val="006B42EC"/>
    <w:rsid w:val="006B492F"/>
    <w:rsid w:val="006B63DC"/>
    <w:rsid w:val="006B77ED"/>
    <w:rsid w:val="006C041D"/>
    <w:rsid w:val="006C173D"/>
    <w:rsid w:val="006C1AC8"/>
    <w:rsid w:val="006C36DD"/>
    <w:rsid w:val="006D0410"/>
    <w:rsid w:val="006D0543"/>
    <w:rsid w:val="006D0C55"/>
    <w:rsid w:val="006D1162"/>
    <w:rsid w:val="006D140A"/>
    <w:rsid w:val="006D29DF"/>
    <w:rsid w:val="006D4A30"/>
    <w:rsid w:val="006D6892"/>
    <w:rsid w:val="006D7DDB"/>
    <w:rsid w:val="006E0AEB"/>
    <w:rsid w:val="006E48C1"/>
    <w:rsid w:val="006E5D1E"/>
    <w:rsid w:val="006E6505"/>
    <w:rsid w:val="006F0330"/>
    <w:rsid w:val="006F098B"/>
    <w:rsid w:val="006F38A1"/>
    <w:rsid w:val="006F47BD"/>
    <w:rsid w:val="006F7E84"/>
    <w:rsid w:val="007003ED"/>
    <w:rsid w:val="00701DAE"/>
    <w:rsid w:val="007040E0"/>
    <w:rsid w:val="00704258"/>
    <w:rsid w:val="00704DC9"/>
    <w:rsid w:val="00705D4E"/>
    <w:rsid w:val="00706BFD"/>
    <w:rsid w:val="007071D8"/>
    <w:rsid w:val="00707B85"/>
    <w:rsid w:val="00710C43"/>
    <w:rsid w:val="00713DBB"/>
    <w:rsid w:val="00714E50"/>
    <w:rsid w:val="007163CB"/>
    <w:rsid w:val="007223FC"/>
    <w:rsid w:val="00723046"/>
    <w:rsid w:val="00723B67"/>
    <w:rsid w:val="007264C3"/>
    <w:rsid w:val="007265CB"/>
    <w:rsid w:val="0072661F"/>
    <w:rsid w:val="007270D0"/>
    <w:rsid w:val="00727140"/>
    <w:rsid w:val="0072759B"/>
    <w:rsid w:val="007327CA"/>
    <w:rsid w:val="00732F73"/>
    <w:rsid w:val="007330B8"/>
    <w:rsid w:val="00734021"/>
    <w:rsid w:val="0073548C"/>
    <w:rsid w:val="0073752C"/>
    <w:rsid w:val="00740C14"/>
    <w:rsid w:val="00741AD7"/>
    <w:rsid w:val="00741B2D"/>
    <w:rsid w:val="00746010"/>
    <w:rsid w:val="0074670D"/>
    <w:rsid w:val="007501FE"/>
    <w:rsid w:val="007504D5"/>
    <w:rsid w:val="007516D6"/>
    <w:rsid w:val="00751BCE"/>
    <w:rsid w:val="007537C3"/>
    <w:rsid w:val="0075622C"/>
    <w:rsid w:val="00757605"/>
    <w:rsid w:val="00763CFB"/>
    <w:rsid w:val="00765DF2"/>
    <w:rsid w:val="00766235"/>
    <w:rsid w:val="00766FC9"/>
    <w:rsid w:val="0076790F"/>
    <w:rsid w:val="00767D72"/>
    <w:rsid w:val="00770A73"/>
    <w:rsid w:val="00772F70"/>
    <w:rsid w:val="00774BAE"/>
    <w:rsid w:val="00775A62"/>
    <w:rsid w:val="007769D3"/>
    <w:rsid w:val="007771D0"/>
    <w:rsid w:val="007834F3"/>
    <w:rsid w:val="00785699"/>
    <w:rsid w:val="0079050E"/>
    <w:rsid w:val="007938CA"/>
    <w:rsid w:val="0079551C"/>
    <w:rsid w:val="007A0050"/>
    <w:rsid w:val="007A1A80"/>
    <w:rsid w:val="007A2E40"/>
    <w:rsid w:val="007A388C"/>
    <w:rsid w:val="007A3F83"/>
    <w:rsid w:val="007A4295"/>
    <w:rsid w:val="007A429C"/>
    <w:rsid w:val="007A5004"/>
    <w:rsid w:val="007A56D2"/>
    <w:rsid w:val="007A57A0"/>
    <w:rsid w:val="007A58E3"/>
    <w:rsid w:val="007B03BE"/>
    <w:rsid w:val="007B0F0F"/>
    <w:rsid w:val="007B2FA4"/>
    <w:rsid w:val="007B5650"/>
    <w:rsid w:val="007C0009"/>
    <w:rsid w:val="007C20E1"/>
    <w:rsid w:val="007C2CE5"/>
    <w:rsid w:val="007C4170"/>
    <w:rsid w:val="007C540E"/>
    <w:rsid w:val="007C625D"/>
    <w:rsid w:val="007D00A2"/>
    <w:rsid w:val="007D43FC"/>
    <w:rsid w:val="007D5823"/>
    <w:rsid w:val="007D5D24"/>
    <w:rsid w:val="007E2B33"/>
    <w:rsid w:val="007E4B04"/>
    <w:rsid w:val="007E6D27"/>
    <w:rsid w:val="007E79F6"/>
    <w:rsid w:val="007F02ED"/>
    <w:rsid w:val="007F2776"/>
    <w:rsid w:val="007F36D7"/>
    <w:rsid w:val="007F403E"/>
    <w:rsid w:val="007F6638"/>
    <w:rsid w:val="007F7925"/>
    <w:rsid w:val="00800770"/>
    <w:rsid w:val="00800D85"/>
    <w:rsid w:val="00801C95"/>
    <w:rsid w:val="00802EEF"/>
    <w:rsid w:val="00803118"/>
    <w:rsid w:val="00803538"/>
    <w:rsid w:val="00805F5D"/>
    <w:rsid w:val="008060F0"/>
    <w:rsid w:val="00806DC2"/>
    <w:rsid w:val="008108FF"/>
    <w:rsid w:val="00812F2D"/>
    <w:rsid w:val="00817E88"/>
    <w:rsid w:val="00822519"/>
    <w:rsid w:val="00822BF3"/>
    <w:rsid w:val="008232ED"/>
    <w:rsid w:val="0082519C"/>
    <w:rsid w:val="00826698"/>
    <w:rsid w:val="00826AED"/>
    <w:rsid w:val="00827CAF"/>
    <w:rsid w:val="00827F57"/>
    <w:rsid w:val="00830445"/>
    <w:rsid w:val="00830AB1"/>
    <w:rsid w:val="008315D6"/>
    <w:rsid w:val="008335FB"/>
    <w:rsid w:val="00833647"/>
    <w:rsid w:val="00835645"/>
    <w:rsid w:val="0083671D"/>
    <w:rsid w:val="00840974"/>
    <w:rsid w:val="008415DF"/>
    <w:rsid w:val="008415E5"/>
    <w:rsid w:val="00841EB2"/>
    <w:rsid w:val="008427FE"/>
    <w:rsid w:val="00842E83"/>
    <w:rsid w:val="00843937"/>
    <w:rsid w:val="00845E57"/>
    <w:rsid w:val="00850E24"/>
    <w:rsid w:val="00850EE7"/>
    <w:rsid w:val="00851D47"/>
    <w:rsid w:val="00853C57"/>
    <w:rsid w:val="00854CFD"/>
    <w:rsid w:val="008555A8"/>
    <w:rsid w:val="00855C0D"/>
    <w:rsid w:val="00855FB4"/>
    <w:rsid w:val="0085660A"/>
    <w:rsid w:val="0086024F"/>
    <w:rsid w:val="008617AC"/>
    <w:rsid w:val="00862C2C"/>
    <w:rsid w:val="00863155"/>
    <w:rsid w:val="00865E28"/>
    <w:rsid w:val="008675C1"/>
    <w:rsid w:val="008703BF"/>
    <w:rsid w:val="00871597"/>
    <w:rsid w:val="00871AB4"/>
    <w:rsid w:val="00872008"/>
    <w:rsid w:val="008727E4"/>
    <w:rsid w:val="00874CF8"/>
    <w:rsid w:val="00875E31"/>
    <w:rsid w:val="008768B7"/>
    <w:rsid w:val="008809EA"/>
    <w:rsid w:val="00880C7D"/>
    <w:rsid w:val="00881299"/>
    <w:rsid w:val="0088327A"/>
    <w:rsid w:val="00884610"/>
    <w:rsid w:val="00884796"/>
    <w:rsid w:val="00884917"/>
    <w:rsid w:val="00884CF5"/>
    <w:rsid w:val="00885EA9"/>
    <w:rsid w:val="00887281"/>
    <w:rsid w:val="00887412"/>
    <w:rsid w:val="00892B5E"/>
    <w:rsid w:val="0089345F"/>
    <w:rsid w:val="008943A3"/>
    <w:rsid w:val="008953EF"/>
    <w:rsid w:val="008959B6"/>
    <w:rsid w:val="00896233"/>
    <w:rsid w:val="0089678E"/>
    <w:rsid w:val="00896E21"/>
    <w:rsid w:val="008A092E"/>
    <w:rsid w:val="008A3D03"/>
    <w:rsid w:val="008A3EBD"/>
    <w:rsid w:val="008A4303"/>
    <w:rsid w:val="008A5266"/>
    <w:rsid w:val="008A6D53"/>
    <w:rsid w:val="008A6F4C"/>
    <w:rsid w:val="008B24A5"/>
    <w:rsid w:val="008B2833"/>
    <w:rsid w:val="008B2E96"/>
    <w:rsid w:val="008B3D33"/>
    <w:rsid w:val="008B426B"/>
    <w:rsid w:val="008B4DA2"/>
    <w:rsid w:val="008B55FE"/>
    <w:rsid w:val="008B65F5"/>
    <w:rsid w:val="008B75C4"/>
    <w:rsid w:val="008B791A"/>
    <w:rsid w:val="008B7FB1"/>
    <w:rsid w:val="008C0690"/>
    <w:rsid w:val="008C0B4D"/>
    <w:rsid w:val="008C2150"/>
    <w:rsid w:val="008C3373"/>
    <w:rsid w:val="008C4B2C"/>
    <w:rsid w:val="008C62AB"/>
    <w:rsid w:val="008C74D8"/>
    <w:rsid w:val="008C7DB0"/>
    <w:rsid w:val="008D228C"/>
    <w:rsid w:val="008D2D0A"/>
    <w:rsid w:val="008D3355"/>
    <w:rsid w:val="008D46D7"/>
    <w:rsid w:val="008D4907"/>
    <w:rsid w:val="008D491D"/>
    <w:rsid w:val="008D4DFB"/>
    <w:rsid w:val="008D5BD7"/>
    <w:rsid w:val="008D7596"/>
    <w:rsid w:val="008E01A9"/>
    <w:rsid w:val="008E054E"/>
    <w:rsid w:val="008E243C"/>
    <w:rsid w:val="008E2552"/>
    <w:rsid w:val="008E697B"/>
    <w:rsid w:val="008E6E4A"/>
    <w:rsid w:val="008F55F3"/>
    <w:rsid w:val="008F57A4"/>
    <w:rsid w:val="008F74BF"/>
    <w:rsid w:val="00902D69"/>
    <w:rsid w:val="009044CB"/>
    <w:rsid w:val="009062F1"/>
    <w:rsid w:val="00907555"/>
    <w:rsid w:val="00910172"/>
    <w:rsid w:val="00911CB1"/>
    <w:rsid w:val="00911CC4"/>
    <w:rsid w:val="009143A4"/>
    <w:rsid w:val="00920247"/>
    <w:rsid w:val="00920650"/>
    <w:rsid w:val="00920BE7"/>
    <w:rsid w:val="00921747"/>
    <w:rsid w:val="00924E4E"/>
    <w:rsid w:val="00927C5E"/>
    <w:rsid w:val="00931739"/>
    <w:rsid w:val="00931AFC"/>
    <w:rsid w:val="00931FC8"/>
    <w:rsid w:val="009367C4"/>
    <w:rsid w:val="00936A03"/>
    <w:rsid w:val="009379F4"/>
    <w:rsid w:val="00940A8B"/>
    <w:rsid w:val="00941AA5"/>
    <w:rsid w:val="00944898"/>
    <w:rsid w:val="00944CBC"/>
    <w:rsid w:val="0094507A"/>
    <w:rsid w:val="00945E4D"/>
    <w:rsid w:val="00950279"/>
    <w:rsid w:val="009502F4"/>
    <w:rsid w:val="00950B8A"/>
    <w:rsid w:val="00951FB8"/>
    <w:rsid w:val="00953C84"/>
    <w:rsid w:val="009544DE"/>
    <w:rsid w:val="0095475E"/>
    <w:rsid w:val="00955D2D"/>
    <w:rsid w:val="0095725C"/>
    <w:rsid w:val="00957774"/>
    <w:rsid w:val="00957E05"/>
    <w:rsid w:val="0096075C"/>
    <w:rsid w:val="00962773"/>
    <w:rsid w:val="00963D57"/>
    <w:rsid w:val="009654F0"/>
    <w:rsid w:val="00967F0E"/>
    <w:rsid w:val="00970F40"/>
    <w:rsid w:val="00971284"/>
    <w:rsid w:val="0097257A"/>
    <w:rsid w:val="009738BE"/>
    <w:rsid w:val="00974556"/>
    <w:rsid w:val="00975E32"/>
    <w:rsid w:val="0097608B"/>
    <w:rsid w:val="00977AEC"/>
    <w:rsid w:val="0098109E"/>
    <w:rsid w:val="009815A3"/>
    <w:rsid w:val="00981831"/>
    <w:rsid w:val="00981B06"/>
    <w:rsid w:val="00984ED2"/>
    <w:rsid w:val="0098683F"/>
    <w:rsid w:val="009876E8"/>
    <w:rsid w:val="009901E3"/>
    <w:rsid w:val="00991C54"/>
    <w:rsid w:val="00991CCD"/>
    <w:rsid w:val="00991FA1"/>
    <w:rsid w:val="00992C94"/>
    <w:rsid w:val="00994D81"/>
    <w:rsid w:val="00996BA0"/>
    <w:rsid w:val="0099764F"/>
    <w:rsid w:val="009A0828"/>
    <w:rsid w:val="009A0B2A"/>
    <w:rsid w:val="009A357B"/>
    <w:rsid w:val="009A5062"/>
    <w:rsid w:val="009B0473"/>
    <w:rsid w:val="009B123C"/>
    <w:rsid w:val="009B1EEA"/>
    <w:rsid w:val="009B1F01"/>
    <w:rsid w:val="009B245A"/>
    <w:rsid w:val="009B2BE1"/>
    <w:rsid w:val="009B3B34"/>
    <w:rsid w:val="009B63E9"/>
    <w:rsid w:val="009B67AC"/>
    <w:rsid w:val="009B6DF5"/>
    <w:rsid w:val="009B7CB5"/>
    <w:rsid w:val="009C15B2"/>
    <w:rsid w:val="009C2993"/>
    <w:rsid w:val="009C44C8"/>
    <w:rsid w:val="009C527C"/>
    <w:rsid w:val="009C57EB"/>
    <w:rsid w:val="009C6A72"/>
    <w:rsid w:val="009C7397"/>
    <w:rsid w:val="009D1C1D"/>
    <w:rsid w:val="009D2D99"/>
    <w:rsid w:val="009D5220"/>
    <w:rsid w:val="009D56A5"/>
    <w:rsid w:val="009D64F7"/>
    <w:rsid w:val="009D69C4"/>
    <w:rsid w:val="009D74C8"/>
    <w:rsid w:val="009E1653"/>
    <w:rsid w:val="009E228C"/>
    <w:rsid w:val="009E437F"/>
    <w:rsid w:val="009E455D"/>
    <w:rsid w:val="009E46DD"/>
    <w:rsid w:val="009E552C"/>
    <w:rsid w:val="009E5D77"/>
    <w:rsid w:val="009E6567"/>
    <w:rsid w:val="009F0A27"/>
    <w:rsid w:val="009F15EA"/>
    <w:rsid w:val="009F2D74"/>
    <w:rsid w:val="009F7C3C"/>
    <w:rsid w:val="009F7FB6"/>
    <w:rsid w:val="00A00A4D"/>
    <w:rsid w:val="00A0397E"/>
    <w:rsid w:val="00A04989"/>
    <w:rsid w:val="00A07655"/>
    <w:rsid w:val="00A07D2E"/>
    <w:rsid w:val="00A108B9"/>
    <w:rsid w:val="00A11E91"/>
    <w:rsid w:val="00A12A22"/>
    <w:rsid w:val="00A13236"/>
    <w:rsid w:val="00A14257"/>
    <w:rsid w:val="00A14681"/>
    <w:rsid w:val="00A15DB1"/>
    <w:rsid w:val="00A16864"/>
    <w:rsid w:val="00A17D8B"/>
    <w:rsid w:val="00A2196F"/>
    <w:rsid w:val="00A23064"/>
    <w:rsid w:val="00A23A73"/>
    <w:rsid w:val="00A244CC"/>
    <w:rsid w:val="00A260B2"/>
    <w:rsid w:val="00A264A9"/>
    <w:rsid w:val="00A27A2F"/>
    <w:rsid w:val="00A27BF1"/>
    <w:rsid w:val="00A34AE3"/>
    <w:rsid w:val="00A34FC0"/>
    <w:rsid w:val="00A35AFC"/>
    <w:rsid w:val="00A36771"/>
    <w:rsid w:val="00A367C4"/>
    <w:rsid w:val="00A41785"/>
    <w:rsid w:val="00A4750E"/>
    <w:rsid w:val="00A478DB"/>
    <w:rsid w:val="00A51050"/>
    <w:rsid w:val="00A511DA"/>
    <w:rsid w:val="00A51999"/>
    <w:rsid w:val="00A52B31"/>
    <w:rsid w:val="00A54D56"/>
    <w:rsid w:val="00A619C0"/>
    <w:rsid w:val="00A620D9"/>
    <w:rsid w:val="00A62232"/>
    <w:rsid w:val="00A65718"/>
    <w:rsid w:val="00A66080"/>
    <w:rsid w:val="00A7137F"/>
    <w:rsid w:val="00A7230A"/>
    <w:rsid w:val="00A725F0"/>
    <w:rsid w:val="00A7393A"/>
    <w:rsid w:val="00A74BBD"/>
    <w:rsid w:val="00A750F9"/>
    <w:rsid w:val="00A75754"/>
    <w:rsid w:val="00A77260"/>
    <w:rsid w:val="00A82DA5"/>
    <w:rsid w:val="00A838FE"/>
    <w:rsid w:val="00A84205"/>
    <w:rsid w:val="00A86604"/>
    <w:rsid w:val="00A874C3"/>
    <w:rsid w:val="00A907E6"/>
    <w:rsid w:val="00A916C0"/>
    <w:rsid w:val="00A9311F"/>
    <w:rsid w:val="00A96EA4"/>
    <w:rsid w:val="00A96FC3"/>
    <w:rsid w:val="00A9766D"/>
    <w:rsid w:val="00AA0416"/>
    <w:rsid w:val="00AA11EC"/>
    <w:rsid w:val="00AA2224"/>
    <w:rsid w:val="00AA4134"/>
    <w:rsid w:val="00AA54C5"/>
    <w:rsid w:val="00AB09AB"/>
    <w:rsid w:val="00AB0A5A"/>
    <w:rsid w:val="00AB144D"/>
    <w:rsid w:val="00AB3FB7"/>
    <w:rsid w:val="00AB549B"/>
    <w:rsid w:val="00AC5330"/>
    <w:rsid w:val="00AD66E1"/>
    <w:rsid w:val="00AE0733"/>
    <w:rsid w:val="00AE09D8"/>
    <w:rsid w:val="00AE187B"/>
    <w:rsid w:val="00AE33B4"/>
    <w:rsid w:val="00AE3FC4"/>
    <w:rsid w:val="00AE5DD8"/>
    <w:rsid w:val="00AE6910"/>
    <w:rsid w:val="00AE6DA2"/>
    <w:rsid w:val="00AF1292"/>
    <w:rsid w:val="00AF154E"/>
    <w:rsid w:val="00AF28E2"/>
    <w:rsid w:val="00AF3D65"/>
    <w:rsid w:val="00AF3E94"/>
    <w:rsid w:val="00AF44FE"/>
    <w:rsid w:val="00AF4FB7"/>
    <w:rsid w:val="00AF5C45"/>
    <w:rsid w:val="00AF72EB"/>
    <w:rsid w:val="00B00666"/>
    <w:rsid w:val="00B00990"/>
    <w:rsid w:val="00B01C06"/>
    <w:rsid w:val="00B0325C"/>
    <w:rsid w:val="00B03A5B"/>
    <w:rsid w:val="00B06428"/>
    <w:rsid w:val="00B078B1"/>
    <w:rsid w:val="00B11F94"/>
    <w:rsid w:val="00B12BD1"/>
    <w:rsid w:val="00B13AE9"/>
    <w:rsid w:val="00B14478"/>
    <w:rsid w:val="00B167F5"/>
    <w:rsid w:val="00B17529"/>
    <w:rsid w:val="00B2104A"/>
    <w:rsid w:val="00B242E1"/>
    <w:rsid w:val="00B24D93"/>
    <w:rsid w:val="00B24DF9"/>
    <w:rsid w:val="00B255D8"/>
    <w:rsid w:val="00B307BE"/>
    <w:rsid w:val="00B307C0"/>
    <w:rsid w:val="00B339A3"/>
    <w:rsid w:val="00B36A5E"/>
    <w:rsid w:val="00B403CB"/>
    <w:rsid w:val="00B420F7"/>
    <w:rsid w:val="00B427F0"/>
    <w:rsid w:val="00B4693A"/>
    <w:rsid w:val="00B51518"/>
    <w:rsid w:val="00B51994"/>
    <w:rsid w:val="00B51C4A"/>
    <w:rsid w:val="00B526FD"/>
    <w:rsid w:val="00B5390E"/>
    <w:rsid w:val="00B54BDE"/>
    <w:rsid w:val="00B55260"/>
    <w:rsid w:val="00B61F71"/>
    <w:rsid w:val="00B62002"/>
    <w:rsid w:val="00B638BB"/>
    <w:rsid w:val="00B639A9"/>
    <w:rsid w:val="00B646E7"/>
    <w:rsid w:val="00B65F78"/>
    <w:rsid w:val="00B67FB5"/>
    <w:rsid w:val="00B70A58"/>
    <w:rsid w:val="00B71E6B"/>
    <w:rsid w:val="00B72ADD"/>
    <w:rsid w:val="00B73605"/>
    <w:rsid w:val="00B73A11"/>
    <w:rsid w:val="00B74470"/>
    <w:rsid w:val="00B7684E"/>
    <w:rsid w:val="00B76998"/>
    <w:rsid w:val="00B77DF8"/>
    <w:rsid w:val="00B81193"/>
    <w:rsid w:val="00B8591D"/>
    <w:rsid w:val="00B86E23"/>
    <w:rsid w:val="00B905E3"/>
    <w:rsid w:val="00B91436"/>
    <w:rsid w:val="00B91F10"/>
    <w:rsid w:val="00B9410C"/>
    <w:rsid w:val="00B95D99"/>
    <w:rsid w:val="00B9602D"/>
    <w:rsid w:val="00B96855"/>
    <w:rsid w:val="00B97B63"/>
    <w:rsid w:val="00BA05D0"/>
    <w:rsid w:val="00BA0D90"/>
    <w:rsid w:val="00BA47AC"/>
    <w:rsid w:val="00BA623A"/>
    <w:rsid w:val="00BB0572"/>
    <w:rsid w:val="00BB0D5D"/>
    <w:rsid w:val="00BB4480"/>
    <w:rsid w:val="00BB52F4"/>
    <w:rsid w:val="00BB6965"/>
    <w:rsid w:val="00BC2A96"/>
    <w:rsid w:val="00BC3740"/>
    <w:rsid w:val="00BC4BCC"/>
    <w:rsid w:val="00BC56EA"/>
    <w:rsid w:val="00BC6294"/>
    <w:rsid w:val="00BC75FB"/>
    <w:rsid w:val="00BC7D19"/>
    <w:rsid w:val="00BD049C"/>
    <w:rsid w:val="00BD4986"/>
    <w:rsid w:val="00BD70ED"/>
    <w:rsid w:val="00BD7938"/>
    <w:rsid w:val="00BE0152"/>
    <w:rsid w:val="00BE1CA4"/>
    <w:rsid w:val="00BE22D1"/>
    <w:rsid w:val="00BE48BC"/>
    <w:rsid w:val="00BF41FF"/>
    <w:rsid w:val="00BF52B8"/>
    <w:rsid w:val="00BF5FBB"/>
    <w:rsid w:val="00BF624D"/>
    <w:rsid w:val="00BF6EB9"/>
    <w:rsid w:val="00BF6F1B"/>
    <w:rsid w:val="00C013F4"/>
    <w:rsid w:val="00C01D6B"/>
    <w:rsid w:val="00C03C32"/>
    <w:rsid w:val="00C04D5E"/>
    <w:rsid w:val="00C06EB6"/>
    <w:rsid w:val="00C1034F"/>
    <w:rsid w:val="00C10F7E"/>
    <w:rsid w:val="00C1154B"/>
    <w:rsid w:val="00C11C00"/>
    <w:rsid w:val="00C12CA3"/>
    <w:rsid w:val="00C132A4"/>
    <w:rsid w:val="00C15151"/>
    <w:rsid w:val="00C15980"/>
    <w:rsid w:val="00C2179F"/>
    <w:rsid w:val="00C22C46"/>
    <w:rsid w:val="00C23058"/>
    <w:rsid w:val="00C23E8D"/>
    <w:rsid w:val="00C24CBC"/>
    <w:rsid w:val="00C25925"/>
    <w:rsid w:val="00C26AC9"/>
    <w:rsid w:val="00C277D0"/>
    <w:rsid w:val="00C27901"/>
    <w:rsid w:val="00C30264"/>
    <w:rsid w:val="00C30388"/>
    <w:rsid w:val="00C3240D"/>
    <w:rsid w:val="00C32AE1"/>
    <w:rsid w:val="00C33A3B"/>
    <w:rsid w:val="00C33CC6"/>
    <w:rsid w:val="00C33E49"/>
    <w:rsid w:val="00C354E0"/>
    <w:rsid w:val="00C4147E"/>
    <w:rsid w:val="00C41F9D"/>
    <w:rsid w:val="00C427A2"/>
    <w:rsid w:val="00C459BE"/>
    <w:rsid w:val="00C46703"/>
    <w:rsid w:val="00C470EE"/>
    <w:rsid w:val="00C50B43"/>
    <w:rsid w:val="00C53842"/>
    <w:rsid w:val="00C54630"/>
    <w:rsid w:val="00C54D26"/>
    <w:rsid w:val="00C5555C"/>
    <w:rsid w:val="00C60AC4"/>
    <w:rsid w:val="00C60C71"/>
    <w:rsid w:val="00C64870"/>
    <w:rsid w:val="00C6589B"/>
    <w:rsid w:val="00C674D1"/>
    <w:rsid w:val="00C7034F"/>
    <w:rsid w:val="00C710A2"/>
    <w:rsid w:val="00C71686"/>
    <w:rsid w:val="00C7176B"/>
    <w:rsid w:val="00C71B05"/>
    <w:rsid w:val="00C726D0"/>
    <w:rsid w:val="00C736DC"/>
    <w:rsid w:val="00C737EF"/>
    <w:rsid w:val="00C744CD"/>
    <w:rsid w:val="00C75D05"/>
    <w:rsid w:val="00C76D67"/>
    <w:rsid w:val="00C85561"/>
    <w:rsid w:val="00C85848"/>
    <w:rsid w:val="00C86C37"/>
    <w:rsid w:val="00C874F3"/>
    <w:rsid w:val="00C93834"/>
    <w:rsid w:val="00C9431E"/>
    <w:rsid w:val="00C95515"/>
    <w:rsid w:val="00C95665"/>
    <w:rsid w:val="00CA0D42"/>
    <w:rsid w:val="00CA1C9B"/>
    <w:rsid w:val="00CA2541"/>
    <w:rsid w:val="00CA292F"/>
    <w:rsid w:val="00CA314A"/>
    <w:rsid w:val="00CA5922"/>
    <w:rsid w:val="00CA6BAD"/>
    <w:rsid w:val="00CA7B09"/>
    <w:rsid w:val="00CB0ABF"/>
    <w:rsid w:val="00CB12F4"/>
    <w:rsid w:val="00CB1384"/>
    <w:rsid w:val="00CB16DF"/>
    <w:rsid w:val="00CB1B33"/>
    <w:rsid w:val="00CB22AA"/>
    <w:rsid w:val="00CB4A1E"/>
    <w:rsid w:val="00CB533D"/>
    <w:rsid w:val="00CB56FE"/>
    <w:rsid w:val="00CB5FF8"/>
    <w:rsid w:val="00CC0C2A"/>
    <w:rsid w:val="00CC2131"/>
    <w:rsid w:val="00CD3B40"/>
    <w:rsid w:val="00CD6EED"/>
    <w:rsid w:val="00CD723D"/>
    <w:rsid w:val="00CE1632"/>
    <w:rsid w:val="00CE2B44"/>
    <w:rsid w:val="00CE2FAC"/>
    <w:rsid w:val="00CE37EE"/>
    <w:rsid w:val="00CE52C6"/>
    <w:rsid w:val="00CE55BC"/>
    <w:rsid w:val="00CE5DC4"/>
    <w:rsid w:val="00CE6935"/>
    <w:rsid w:val="00CF0BA1"/>
    <w:rsid w:val="00CF255E"/>
    <w:rsid w:val="00CF27A7"/>
    <w:rsid w:val="00CF3832"/>
    <w:rsid w:val="00CF535C"/>
    <w:rsid w:val="00CF6373"/>
    <w:rsid w:val="00CF6590"/>
    <w:rsid w:val="00CF69CD"/>
    <w:rsid w:val="00CF7A35"/>
    <w:rsid w:val="00D00A16"/>
    <w:rsid w:val="00D0479F"/>
    <w:rsid w:val="00D06D04"/>
    <w:rsid w:val="00D06F70"/>
    <w:rsid w:val="00D07CE2"/>
    <w:rsid w:val="00D10EB1"/>
    <w:rsid w:val="00D150F5"/>
    <w:rsid w:val="00D15106"/>
    <w:rsid w:val="00D15A12"/>
    <w:rsid w:val="00D16871"/>
    <w:rsid w:val="00D16ADF"/>
    <w:rsid w:val="00D1793A"/>
    <w:rsid w:val="00D20964"/>
    <w:rsid w:val="00D25D61"/>
    <w:rsid w:val="00D31F7C"/>
    <w:rsid w:val="00D32327"/>
    <w:rsid w:val="00D32EB5"/>
    <w:rsid w:val="00D357B0"/>
    <w:rsid w:val="00D35F01"/>
    <w:rsid w:val="00D40EBD"/>
    <w:rsid w:val="00D41019"/>
    <w:rsid w:val="00D4104F"/>
    <w:rsid w:val="00D44A16"/>
    <w:rsid w:val="00D466BF"/>
    <w:rsid w:val="00D52ADB"/>
    <w:rsid w:val="00D54E9C"/>
    <w:rsid w:val="00D5735E"/>
    <w:rsid w:val="00D61364"/>
    <w:rsid w:val="00D63C39"/>
    <w:rsid w:val="00D63E71"/>
    <w:rsid w:val="00D64014"/>
    <w:rsid w:val="00D6406E"/>
    <w:rsid w:val="00D6575C"/>
    <w:rsid w:val="00D65E0A"/>
    <w:rsid w:val="00D71020"/>
    <w:rsid w:val="00D7458C"/>
    <w:rsid w:val="00D777A6"/>
    <w:rsid w:val="00D779D6"/>
    <w:rsid w:val="00D77E51"/>
    <w:rsid w:val="00D81437"/>
    <w:rsid w:val="00D83E28"/>
    <w:rsid w:val="00D8421C"/>
    <w:rsid w:val="00D8424D"/>
    <w:rsid w:val="00D84DE5"/>
    <w:rsid w:val="00D853B5"/>
    <w:rsid w:val="00D86070"/>
    <w:rsid w:val="00D90B61"/>
    <w:rsid w:val="00D91577"/>
    <w:rsid w:val="00D92314"/>
    <w:rsid w:val="00D93A33"/>
    <w:rsid w:val="00D94A1F"/>
    <w:rsid w:val="00D9504C"/>
    <w:rsid w:val="00D965AE"/>
    <w:rsid w:val="00D966FB"/>
    <w:rsid w:val="00D96AE2"/>
    <w:rsid w:val="00D96C3F"/>
    <w:rsid w:val="00D974DC"/>
    <w:rsid w:val="00DA1A37"/>
    <w:rsid w:val="00DA1A57"/>
    <w:rsid w:val="00DA4EBB"/>
    <w:rsid w:val="00DA7FE1"/>
    <w:rsid w:val="00DB0415"/>
    <w:rsid w:val="00DB0866"/>
    <w:rsid w:val="00DB281B"/>
    <w:rsid w:val="00DB2B51"/>
    <w:rsid w:val="00DB3C3E"/>
    <w:rsid w:val="00DB4CB7"/>
    <w:rsid w:val="00DB5827"/>
    <w:rsid w:val="00DB630A"/>
    <w:rsid w:val="00DB641E"/>
    <w:rsid w:val="00DC0296"/>
    <w:rsid w:val="00DC3CF9"/>
    <w:rsid w:val="00DC7012"/>
    <w:rsid w:val="00DC78D7"/>
    <w:rsid w:val="00DD39F7"/>
    <w:rsid w:val="00DD57AC"/>
    <w:rsid w:val="00DD5A4A"/>
    <w:rsid w:val="00DD5B88"/>
    <w:rsid w:val="00DD6E0E"/>
    <w:rsid w:val="00DD7B41"/>
    <w:rsid w:val="00DE1E16"/>
    <w:rsid w:val="00DE28FE"/>
    <w:rsid w:val="00DE42ED"/>
    <w:rsid w:val="00DE46C4"/>
    <w:rsid w:val="00DE5A34"/>
    <w:rsid w:val="00DE5BF5"/>
    <w:rsid w:val="00DE79FD"/>
    <w:rsid w:val="00DE7FD5"/>
    <w:rsid w:val="00DF0206"/>
    <w:rsid w:val="00DF0509"/>
    <w:rsid w:val="00DF069B"/>
    <w:rsid w:val="00DF2145"/>
    <w:rsid w:val="00DF2672"/>
    <w:rsid w:val="00DF3FFC"/>
    <w:rsid w:val="00DF4C07"/>
    <w:rsid w:val="00DF6993"/>
    <w:rsid w:val="00DF7181"/>
    <w:rsid w:val="00E0264C"/>
    <w:rsid w:val="00E02F17"/>
    <w:rsid w:val="00E034D8"/>
    <w:rsid w:val="00E036E6"/>
    <w:rsid w:val="00E03A5D"/>
    <w:rsid w:val="00E04B3D"/>
    <w:rsid w:val="00E05BFE"/>
    <w:rsid w:val="00E0761E"/>
    <w:rsid w:val="00E16831"/>
    <w:rsid w:val="00E16AEE"/>
    <w:rsid w:val="00E21197"/>
    <w:rsid w:val="00E223A0"/>
    <w:rsid w:val="00E240CE"/>
    <w:rsid w:val="00E245F3"/>
    <w:rsid w:val="00E250C3"/>
    <w:rsid w:val="00E27135"/>
    <w:rsid w:val="00E27AD0"/>
    <w:rsid w:val="00E30D68"/>
    <w:rsid w:val="00E3302C"/>
    <w:rsid w:val="00E33757"/>
    <w:rsid w:val="00E34DFC"/>
    <w:rsid w:val="00E369D8"/>
    <w:rsid w:val="00E37AF0"/>
    <w:rsid w:val="00E42C5C"/>
    <w:rsid w:val="00E42EF9"/>
    <w:rsid w:val="00E44FF4"/>
    <w:rsid w:val="00E50017"/>
    <w:rsid w:val="00E56D14"/>
    <w:rsid w:val="00E57C26"/>
    <w:rsid w:val="00E6422C"/>
    <w:rsid w:val="00E67CC7"/>
    <w:rsid w:val="00E67D23"/>
    <w:rsid w:val="00E709B1"/>
    <w:rsid w:val="00E72089"/>
    <w:rsid w:val="00E73C75"/>
    <w:rsid w:val="00E760B4"/>
    <w:rsid w:val="00E764FC"/>
    <w:rsid w:val="00E8336C"/>
    <w:rsid w:val="00E861A8"/>
    <w:rsid w:val="00E8629B"/>
    <w:rsid w:val="00E87574"/>
    <w:rsid w:val="00E903C3"/>
    <w:rsid w:val="00E94BE8"/>
    <w:rsid w:val="00EA155D"/>
    <w:rsid w:val="00EA1696"/>
    <w:rsid w:val="00EA3E2C"/>
    <w:rsid w:val="00EA4FF0"/>
    <w:rsid w:val="00EA58A3"/>
    <w:rsid w:val="00EA7030"/>
    <w:rsid w:val="00EB0D43"/>
    <w:rsid w:val="00EB2280"/>
    <w:rsid w:val="00EB44CD"/>
    <w:rsid w:val="00EB5A4B"/>
    <w:rsid w:val="00EB653E"/>
    <w:rsid w:val="00EC36DA"/>
    <w:rsid w:val="00EC4FDD"/>
    <w:rsid w:val="00EC6A52"/>
    <w:rsid w:val="00EC6A77"/>
    <w:rsid w:val="00EC7B34"/>
    <w:rsid w:val="00EC7C52"/>
    <w:rsid w:val="00ED0523"/>
    <w:rsid w:val="00ED0C85"/>
    <w:rsid w:val="00ED18DE"/>
    <w:rsid w:val="00ED522E"/>
    <w:rsid w:val="00ED7143"/>
    <w:rsid w:val="00EE00C4"/>
    <w:rsid w:val="00EE031C"/>
    <w:rsid w:val="00EE20A1"/>
    <w:rsid w:val="00EE450B"/>
    <w:rsid w:val="00EE4A1C"/>
    <w:rsid w:val="00EE4D16"/>
    <w:rsid w:val="00EE6E50"/>
    <w:rsid w:val="00EE7DDB"/>
    <w:rsid w:val="00EF1A2E"/>
    <w:rsid w:val="00EF230B"/>
    <w:rsid w:val="00EF25DF"/>
    <w:rsid w:val="00EF39A5"/>
    <w:rsid w:val="00EF4C47"/>
    <w:rsid w:val="00EF5B70"/>
    <w:rsid w:val="00EF60DA"/>
    <w:rsid w:val="00EF79D8"/>
    <w:rsid w:val="00F05264"/>
    <w:rsid w:val="00F05548"/>
    <w:rsid w:val="00F05E53"/>
    <w:rsid w:val="00F06823"/>
    <w:rsid w:val="00F1081B"/>
    <w:rsid w:val="00F1240E"/>
    <w:rsid w:val="00F13BB6"/>
    <w:rsid w:val="00F14943"/>
    <w:rsid w:val="00F16ABB"/>
    <w:rsid w:val="00F17FEF"/>
    <w:rsid w:val="00F2081E"/>
    <w:rsid w:val="00F20842"/>
    <w:rsid w:val="00F211CC"/>
    <w:rsid w:val="00F2160B"/>
    <w:rsid w:val="00F21E86"/>
    <w:rsid w:val="00F22BDA"/>
    <w:rsid w:val="00F30D5B"/>
    <w:rsid w:val="00F3189F"/>
    <w:rsid w:val="00F34887"/>
    <w:rsid w:val="00F34EDF"/>
    <w:rsid w:val="00F4115A"/>
    <w:rsid w:val="00F41CD3"/>
    <w:rsid w:val="00F4598A"/>
    <w:rsid w:val="00F45B8E"/>
    <w:rsid w:val="00F45F82"/>
    <w:rsid w:val="00F511F3"/>
    <w:rsid w:val="00F5216C"/>
    <w:rsid w:val="00F5386A"/>
    <w:rsid w:val="00F608FC"/>
    <w:rsid w:val="00F611C2"/>
    <w:rsid w:val="00F6166A"/>
    <w:rsid w:val="00F61E40"/>
    <w:rsid w:val="00F61F37"/>
    <w:rsid w:val="00F62CAF"/>
    <w:rsid w:val="00F65A99"/>
    <w:rsid w:val="00F65FED"/>
    <w:rsid w:val="00F66CBD"/>
    <w:rsid w:val="00F6754B"/>
    <w:rsid w:val="00F67DF7"/>
    <w:rsid w:val="00F702FC"/>
    <w:rsid w:val="00F70436"/>
    <w:rsid w:val="00F70A86"/>
    <w:rsid w:val="00F7126B"/>
    <w:rsid w:val="00F726F8"/>
    <w:rsid w:val="00F73E4F"/>
    <w:rsid w:val="00F74E4A"/>
    <w:rsid w:val="00F75457"/>
    <w:rsid w:val="00F76210"/>
    <w:rsid w:val="00F77928"/>
    <w:rsid w:val="00F77C12"/>
    <w:rsid w:val="00F83D57"/>
    <w:rsid w:val="00F84DA5"/>
    <w:rsid w:val="00F862ED"/>
    <w:rsid w:val="00F86B6F"/>
    <w:rsid w:val="00F87523"/>
    <w:rsid w:val="00F91531"/>
    <w:rsid w:val="00F92D7D"/>
    <w:rsid w:val="00F96747"/>
    <w:rsid w:val="00F96F0D"/>
    <w:rsid w:val="00FA1653"/>
    <w:rsid w:val="00FA37BD"/>
    <w:rsid w:val="00FA39C0"/>
    <w:rsid w:val="00FA61E7"/>
    <w:rsid w:val="00FA63B4"/>
    <w:rsid w:val="00FA6FC1"/>
    <w:rsid w:val="00FA71B4"/>
    <w:rsid w:val="00FB0952"/>
    <w:rsid w:val="00FB167F"/>
    <w:rsid w:val="00FB2073"/>
    <w:rsid w:val="00FB4939"/>
    <w:rsid w:val="00FB6CED"/>
    <w:rsid w:val="00FB769F"/>
    <w:rsid w:val="00FC1B44"/>
    <w:rsid w:val="00FC32EF"/>
    <w:rsid w:val="00FC3FF5"/>
    <w:rsid w:val="00FC57B0"/>
    <w:rsid w:val="00FC71B7"/>
    <w:rsid w:val="00FC7284"/>
    <w:rsid w:val="00FC7EAF"/>
    <w:rsid w:val="00FD05C6"/>
    <w:rsid w:val="00FD09B2"/>
    <w:rsid w:val="00FD0A86"/>
    <w:rsid w:val="00FD244D"/>
    <w:rsid w:val="00FD39F0"/>
    <w:rsid w:val="00FD4080"/>
    <w:rsid w:val="00FD50D7"/>
    <w:rsid w:val="00FD76A2"/>
    <w:rsid w:val="00FD7974"/>
    <w:rsid w:val="00FE2EB0"/>
    <w:rsid w:val="00FE39D8"/>
    <w:rsid w:val="00FE4D6F"/>
    <w:rsid w:val="00FE5885"/>
    <w:rsid w:val="00FE611C"/>
    <w:rsid w:val="00FE651A"/>
    <w:rsid w:val="00FF0630"/>
    <w:rsid w:val="00FF0837"/>
    <w:rsid w:val="00FF4A6F"/>
    <w:rsid w:val="00FF4E33"/>
    <w:rsid w:val="00FF6D1A"/>
    <w:rsid w:val="00FF73D1"/>
    <w:rsid w:val="00FF7DD9"/>
    <w:rsid w:val="2563215A"/>
    <w:rsid w:val="3A2FF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73D0"/>
  <w15:chartTrackingRefBased/>
  <w15:docId w15:val="{667DF7DD-9EDB-42D9-86F9-59F14D2F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E63"/>
    <w:rPr>
      <w:rFonts w:ascii="Segoe UI" w:hAnsi="Segoe UI" w:cs="Segoe UI"/>
      <w:sz w:val="18"/>
      <w:szCs w:val="18"/>
    </w:rPr>
  </w:style>
  <w:style w:type="character" w:styleId="CommentReference">
    <w:name w:val="annotation reference"/>
    <w:basedOn w:val="DefaultParagraphFont"/>
    <w:uiPriority w:val="99"/>
    <w:semiHidden/>
    <w:unhideWhenUsed/>
    <w:rsid w:val="007834F3"/>
    <w:rPr>
      <w:sz w:val="16"/>
      <w:szCs w:val="16"/>
    </w:rPr>
  </w:style>
  <w:style w:type="paragraph" w:styleId="CommentText">
    <w:name w:val="annotation text"/>
    <w:basedOn w:val="Normal"/>
    <w:link w:val="CommentTextChar"/>
    <w:uiPriority w:val="99"/>
    <w:unhideWhenUsed/>
    <w:rsid w:val="007834F3"/>
    <w:pPr>
      <w:spacing w:line="240" w:lineRule="auto"/>
    </w:pPr>
    <w:rPr>
      <w:sz w:val="20"/>
      <w:szCs w:val="20"/>
    </w:rPr>
  </w:style>
  <w:style w:type="character" w:customStyle="1" w:styleId="CommentTextChar">
    <w:name w:val="Comment Text Char"/>
    <w:basedOn w:val="DefaultParagraphFont"/>
    <w:link w:val="CommentText"/>
    <w:uiPriority w:val="99"/>
    <w:rsid w:val="007834F3"/>
    <w:rPr>
      <w:sz w:val="20"/>
      <w:szCs w:val="20"/>
    </w:rPr>
  </w:style>
  <w:style w:type="paragraph" w:styleId="CommentSubject">
    <w:name w:val="annotation subject"/>
    <w:basedOn w:val="CommentText"/>
    <w:next w:val="CommentText"/>
    <w:link w:val="CommentSubjectChar"/>
    <w:uiPriority w:val="99"/>
    <w:semiHidden/>
    <w:unhideWhenUsed/>
    <w:rsid w:val="007834F3"/>
    <w:rPr>
      <w:b/>
      <w:bCs/>
    </w:rPr>
  </w:style>
  <w:style w:type="character" w:customStyle="1" w:styleId="CommentSubjectChar">
    <w:name w:val="Comment Subject Char"/>
    <w:basedOn w:val="CommentTextChar"/>
    <w:link w:val="CommentSubject"/>
    <w:uiPriority w:val="99"/>
    <w:semiHidden/>
    <w:rsid w:val="007834F3"/>
    <w:rPr>
      <w:b/>
      <w:bCs/>
      <w:sz w:val="20"/>
      <w:szCs w:val="20"/>
    </w:rPr>
  </w:style>
  <w:style w:type="table" w:styleId="TableGrid">
    <w:name w:val="Table Grid"/>
    <w:basedOn w:val="TableNormal"/>
    <w:uiPriority w:val="39"/>
    <w:rsid w:val="000C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55D"/>
    <w:rPr>
      <w:color w:val="0563C1" w:themeColor="hyperlink"/>
      <w:u w:val="single"/>
    </w:rPr>
  </w:style>
  <w:style w:type="table" w:customStyle="1" w:styleId="TableGrid3">
    <w:name w:val="Table Grid3"/>
    <w:basedOn w:val="TableNormal"/>
    <w:next w:val="TableGrid"/>
    <w:uiPriority w:val="39"/>
    <w:rsid w:val="0070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
    <w:name w:val="orcid-id-https"/>
    <w:basedOn w:val="DefaultParagraphFont"/>
    <w:rsid w:val="00FE39D8"/>
  </w:style>
  <w:style w:type="paragraph" w:styleId="ListParagraph">
    <w:name w:val="List Paragraph"/>
    <w:basedOn w:val="Normal"/>
    <w:uiPriority w:val="34"/>
    <w:qFormat/>
    <w:rsid w:val="004B3AD4"/>
    <w:pPr>
      <w:ind w:left="720"/>
      <w:contextualSpacing/>
    </w:pPr>
  </w:style>
  <w:style w:type="paragraph" w:styleId="Header">
    <w:name w:val="header"/>
    <w:basedOn w:val="Normal"/>
    <w:link w:val="HeaderChar"/>
    <w:uiPriority w:val="99"/>
    <w:unhideWhenUsed/>
    <w:rsid w:val="00937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9F4"/>
  </w:style>
  <w:style w:type="paragraph" w:styleId="Footer">
    <w:name w:val="footer"/>
    <w:basedOn w:val="Normal"/>
    <w:link w:val="FooterChar"/>
    <w:uiPriority w:val="99"/>
    <w:unhideWhenUsed/>
    <w:rsid w:val="00937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9F4"/>
  </w:style>
  <w:style w:type="character" w:customStyle="1" w:styleId="docsum-authors">
    <w:name w:val="docsum-authors"/>
    <w:basedOn w:val="DefaultParagraphFont"/>
    <w:rsid w:val="00FB2073"/>
  </w:style>
  <w:style w:type="character" w:customStyle="1" w:styleId="docsum-journal-citation">
    <w:name w:val="docsum-journal-citation"/>
    <w:basedOn w:val="DefaultParagraphFont"/>
    <w:rsid w:val="00FB2073"/>
  </w:style>
  <w:style w:type="paragraph" w:styleId="Revision">
    <w:name w:val="Revision"/>
    <w:hidden/>
    <w:uiPriority w:val="99"/>
    <w:semiHidden/>
    <w:rsid w:val="00B9602D"/>
    <w:pPr>
      <w:spacing w:after="0" w:line="240" w:lineRule="auto"/>
    </w:pPr>
  </w:style>
  <w:style w:type="character" w:customStyle="1" w:styleId="citation-doi">
    <w:name w:val="citation-doi"/>
    <w:basedOn w:val="DefaultParagraphFont"/>
    <w:rsid w:val="0009205C"/>
  </w:style>
  <w:style w:type="character" w:customStyle="1" w:styleId="secondary-date">
    <w:name w:val="secondary-date"/>
    <w:basedOn w:val="DefaultParagraphFont"/>
    <w:rsid w:val="0009205C"/>
  </w:style>
  <w:style w:type="character" w:customStyle="1" w:styleId="normaltextrun">
    <w:name w:val="normaltextrun"/>
    <w:basedOn w:val="DefaultParagraphFont"/>
    <w:rsid w:val="00592D5B"/>
  </w:style>
  <w:style w:type="character" w:customStyle="1" w:styleId="eop">
    <w:name w:val="eop"/>
    <w:basedOn w:val="DefaultParagraphFont"/>
    <w:rsid w:val="00DD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3084">
      <w:bodyDiv w:val="1"/>
      <w:marLeft w:val="0"/>
      <w:marRight w:val="0"/>
      <w:marTop w:val="0"/>
      <w:marBottom w:val="0"/>
      <w:divBdr>
        <w:top w:val="none" w:sz="0" w:space="0" w:color="auto"/>
        <w:left w:val="none" w:sz="0" w:space="0" w:color="auto"/>
        <w:bottom w:val="none" w:sz="0" w:space="0" w:color="auto"/>
        <w:right w:val="none" w:sz="0" w:space="0" w:color="auto"/>
      </w:divBdr>
    </w:div>
    <w:div w:id="247161253">
      <w:bodyDiv w:val="1"/>
      <w:marLeft w:val="0"/>
      <w:marRight w:val="0"/>
      <w:marTop w:val="0"/>
      <w:marBottom w:val="0"/>
      <w:divBdr>
        <w:top w:val="none" w:sz="0" w:space="0" w:color="auto"/>
        <w:left w:val="none" w:sz="0" w:space="0" w:color="auto"/>
        <w:bottom w:val="none" w:sz="0" w:space="0" w:color="auto"/>
        <w:right w:val="none" w:sz="0" w:space="0" w:color="auto"/>
      </w:divBdr>
    </w:div>
    <w:div w:id="737048180">
      <w:bodyDiv w:val="1"/>
      <w:marLeft w:val="0"/>
      <w:marRight w:val="0"/>
      <w:marTop w:val="0"/>
      <w:marBottom w:val="0"/>
      <w:divBdr>
        <w:top w:val="none" w:sz="0" w:space="0" w:color="auto"/>
        <w:left w:val="none" w:sz="0" w:space="0" w:color="auto"/>
        <w:bottom w:val="none" w:sz="0" w:space="0" w:color="auto"/>
        <w:right w:val="none" w:sz="0" w:space="0" w:color="auto"/>
      </w:divBdr>
      <w:divsChild>
        <w:div w:id="926768496">
          <w:marLeft w:val="0"/>
          <w:marRight w:val="0"/>
          <w:marTop w:val="0"/>
          <w:marBottom w:val="0"/>
          <w:divBdr>
            <w:top w:val="none" w:sz="0" w:space="0" w:color="auto"/>
            <w:left w:val="none" w:sz="0" w:space="0" w:color="auto"/>
            <w:bottom w:val="none" w:sz="0" w:space="0" w:color="auto"/>
            <w:right w:val="none" w:sz="0" w:space="0" w:color="auto"/>
          </w:divBdr>
        </w:div>
        <w:div w:id="638418389">
          <w:marLeft w:val="0"/>
          <w:marRight w:val="0"/>
          <w:marTop w:val="0"/>
          <w:marBottom w:val="0"/>
          <w:divBdr>
            <w:top w:val="none" w:sz="0" w:space="0" w:color="auto"/>
            <w:left w:val="none" w:sz="0" w:space="0" w:color="auto"/>
            <w:bottom w:val="none" w:sz="0" w:space="0" w:color="auto"/>
            <w:right w:val="none" w:sz="0" w:space="0" w:color="auto"/>
          </w:divBdr>
        </w:div>
        <w:div w:id="114252794">
          <w:marLeft w:val="0"/>
          <w:marRight w:val="0"/>
          <w:marTop w:val="0"/>
          <w:marBottom w:val="0"/>
          <w:divBdr>
            <w:top w:val="none" w:sz="0" w:space="0" w:color="auto"/>
            <w:left w:val="none" w:sz="0" w:space="0" w:color="auto"/>
            <w:bottom w:val="none" w:sz="0" w:space="0" w:color="auto"/>
            <w:right w:val="none" w:sz="0" w:space="0" w:color="auto"/>
          </w:divBdr>
        </w:div>
      </w:divsChild>
    </w:div>
    <w:div w:id="893736557">
      <w:bodyDiv w:val="1"/>
      <w:marLeft w:val="0"/>
      <w:marRight w:val="0"/>
      <w:marTop w:val="0"/>
      <w:marBottom w:val="0"/>
      <w:divBdr>
        <w:top w:val="none" w:sz="0" w:space="0" w:color="auto"/>
        <w:left w:val="none" w:sz="0" w:space="0" w:color="auto"/>
        <w:bottom w:val="none" w:sz="0" w:space="0" w:color="auto"/>
        <w:right w:val="none" w:sz="0" w:space="0" w:color="auto"/>
      </w:divBdr>
      <w:divsChild>
        <w:div w:id="698236363">
          <w:marLeft w:val="0"/>
          <w:marRight w:val="0"/>
          <w:marTop w:val="0"/>
          <w:marBottom w:val="75"/>
          <w:divBdr>
            <w:top w:val="none" w:sz="0" w:space="0" w:color="auto"/>
            <w:left w:val="none" w:sz="0" w:space="0" w:color="auto"/>
            <w:bottom w:val="none" w:sz="0" w:space="0" w:color="auto"/>
            <w:right w:val="none" w:sz="0" w:space="0" w:color="auto"/>
          </w:divBdr>
        </w:div>
        <w:div w:id="699866943">
          <w:marLeft w:val="0"/>
          <w:marRight w:val="0"/>
          <w:marTop w:val="0"/>
          <w:marBottom w:val="75"/>
          <w:divBdr>
            <w:top w:val="none" w:sz="0" w:space="0" w:color="auto"/>
            <w:left w:val="none" w:sz="0" w:space="0" w:color="auto"/>
            <w:bottom w:val="none" w:sz="0" w:space="0" w:color="auto"/>
            <w:right w:val="none" w:sz="0" w:space="0" w:color="auto"/>
          </w:divBdr>
        </w:div>
      </w:divsChild>
    </w:div>
    <w:div w:id="1214267674">
      <w:bodyDiv w:val="1"/>
      <w:marLeft w:val="0"/>
      <w:marRight w:val="0"/>
      <w:marTop w:val="0"/>
      <w:marBottom w:val="0"/>
      <w:divBdr>
        <w:top w:val="none" w:sz="0" w:space="0" w:color="auto"/>
        <w:left w:val="none" w:sz="0" w:space="0" w:color="auto"/>
        <w:bottom w:val="none" w:sz="0" w:space="0" w:color="auto"/>
        <w:right w:val="none" w:sz="0" w:space="0" w:color="auto"/>
      </w:divBdr>
      <w:divsChild>
        <w:div w:id="618293531">
          <w:marLeft w:val="0"/>
          <w:marRight w:val="0"/>
          <w:marTop w:val="0"/>
          <w:marBottom w:val="0"/>
          <w:divBdr>
            <w:top w:val="none" w:sz="0" w:space="0" w:color="auto"/>
            <w:left w:val="none" w:sz="0" w:space="0" w:color="auto"/>
            <w:bottom w:val="none" w:sz="0" w:space="0" w:color="auto"/>
            <w:right w:val="none" w:sz="0" w:space="0" w:color="auto"/>
          </w:divBdr>
        </w:div>
      </w:divsChild>
    </w:div>
    <w:div w:id="1841889765">
      <w:bodyDiv w:val="1"/>
      <w:marLeft w:val="0"/>
      <w:marRight w:val="0"/>
      <w:marTop w:val="0"/>
      <w:marBottom w:val="0"/>
      <w:divBdr>
        <w:top w:val="none" w:sz="0" w:space="0" w:color="auto"/>
        <w:left w:val="none" w:sz="0" w:space="0" w:color="auto"/>
        <w:bottom w:val="none" w:sz="0" w:space="0" w:color="auto"/>
        <w:right w:val="none" w:sz="0" w:space="0" w:color="auto"/>
      </w:divBdr>
    </w:div>
    <w:div w:id="193929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atson@keele.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statistics/english-indices-of-deprivation-2010" TargetMode="External"/><Relationship Id="rId4" Type="http://schemas.openxmlformats.org/officeDocument/2006/relationships/settings" Target="settings.xml"/><Relationship Id="rId9" Type="http://schemas.openxmlformats.org/officeDocument/2006/relationships/hyperlink" Target="mailto:medicine.datasharing@kee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DFEA3-7636-4126-83FC-1F76F8F8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7344</Words>
  <Characters>41865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Watson</dc:creator>
  <cp:keywords/>
  <dc:description/>
  <cp:lastModifiedBy>Lorraine Watson</cp:lastModifiedBy>
  <cp:revision>8</cp:revision>
  <cp:lastPrinted>2022-05-24T13:50:00Z</cp:lastPrinted>
  <dcterms:created xsi:type="dcterms:W3CDTF">2022-11-15T16:09:00Z</dcterms:created>
  <dcterms:modified xsi:type="dcterms:W3CDTF">2022-11-15T17:52:00Z</dcterms:modified>
</cp:coreProperties>
</file>