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CB" w:rsidRDefault="00197CCB" w:rsidP="00AE281B">
      <w:pPr>
        <w:spacing w:line="480" w:lineRule="auto"/>
        <w:jc w:val="center"/>
      </w:pPr>
      <w:r>
        <w:t>P</w:t>
      </w:r>
      <w:r w:rsidR="00274DEB">
        <w:t>eritoneal Inflammation Precedes</w:t>
      </w:r>
      <w:r>
        <w:t xml:space="preserve"> Encapsulating Peritoneal Sclerosis: Results from the GLOBAL Fluid Study</w:t>
      </w:r>
    </w:p>
    <w:p w:rsidR="00197CCB" w:rsidRDefault="00197CCB" w:rsidP="00AE281B">
      <w:pPr>
        <w:spacing w:line="480" w:lineRule="auto"/>
        <w:jc w:val="center"/>
        <w:rPr>
          <w:vertAlign w:val="superscript"/>
        </w:rPr>
      </w:pPr>
      <w:r>
        <w:t>M. Lambie</w:t>
      </w:r>
      <w:r w:rsidRPr="00AF1D5E">
        <w:rPr>
          <w:vertAlign w:val="superscript"/>
        </w:rPr>
        <w:t>†</w:t>
      </w:r>
      <w:r>
        <w:t>, J. Chess</w:t>
      </w:r>
      <w:r w:rsidRPr="001353F7">
        <w:rPr>
          <w:vertAlign w:val="superscript"/>
        </w:rPr>
        <w:t>§</w:t>
      </w:r>
      <w:proofErr w:type="gramStart"/>
      <w:r>
        <w:rPr>
          <w:vertAlign w:val="superscript"/>
        </w:rPr>
        <w:t>,‡</w:t>
      </w:r>
      <w:proofErr w:type="gramEnd"/>
      <w:r>
        <w:t>, A. Summers*, P Williams</w:t>
      </w:r>
      <w:r>
        <w:rPr>
          <w:rFonts w:ascii="MS Reference Sans Serif" w:hAnsi="MS Reference Sans Serif" w:cs="Arial"/>
          <w:vertAlign w:val="superscript"/>
          <w:lang w:val="en-US" w:eastAsia="en-GB"/>
        </w:rPr>
        <w:t>‖‖</w:t>
      </w:r>
      <w:r>
        <w:t xml:space="preserve">, </w:t>
      </w:r>
      <w:smartTag w:uri="urn:schemas-microsoft-com:office:smarttags" w:element="place">
        <w:r>
          <w:t>N. Topley</w:t>
        </w:r>
      </w:smartTag>
      <w:r>
        <w:rPr>
          <w:vertAlign w:val="superscript"/>
        </w:rPr>
        <w:t>‡</w:t>
      </w:r>
      <w:r>
        <w:t>, S. J. Davies</w:t>
      </w:r>
      <w:r w:rsidRPr="00AF1D5E">
        <w:rPr>
          <w:vertAlign w:val="superscript"/>
        </w:rPr>
        <w:t>†</w:t>
      </w:r>
    </w:p>
    <w:p w:rsidR="00197CCB" w:rsidRPr="001353F7" w:rsidRDefault="00197CCB" w:rsidP="00AE281B">
      <w:pPr>
        <w:spacing w:line="480" w:lineRule="auto"/>
        <w:jc w:val="center"/>
      </w:pPr>
      <w:r w:rsidRPr="001353F7">
        <w:t>on behalf of the Global Fluid Study Investigators.</w:t>
      </w:r>
    </w:p>
    <w:p w:rsidR="00197CCB" w:rsidRPr="00343926" w:rsidRDefault="00197CCB" w:rsidP="00AE281B">
      <w:pPr>
        <w:spacing w:line="480" w:lineRule="auto"/>
        <w:jc w:val="center"/>
        <w:rPr>
          <w:vertAlign w:val="superscript"/>
        </w:rPr>
      </w:pPr>
    </w:p>
    <w:p w:rsidR="00197CCB" w:rsidRPr="001353F7" w:rsidRDefault="00197CCB" w:rsidP="00AE281B">
      <w:pPr>
        <w:spacing w:after="0" w:line="480" w:lineRule="auto"/>
        <w:jc w:val="center"/>
      </w:pPr>
      <w:r w:rsidRPr="00AF1D5E">
        <w:rPr>
          <w:vertAlign w:val="superscript"/>
        </w:rPr>
        <w:t>†</w:t>
      </w:r>
      <w:r w:rsidRPr="001353F7">
        <w:t xml:space="preserve">Department of Nephrology, University Hospitals of North Staffordshire, Stoke on </w:t>
      </w:r>
      <w:smartTag w:uri="urn:schemas-microsoft-com:office:smarttags" w:element="City">
        <w:smartTag w:uri="urn:schemas-microsoft-com:office:smarttags" w:element="place">
          <w:smartTag w:uri="urn:schemas-microsoft-com:office:smarttags" w:element="City">
            <w:r w:rsidRPr="001353F7">
              <w:t>Trent</w:t>
            </w:r>
          </w:smartTag>
          <w:r>
            <w:t>,</w:t>
          </w:r>
          <w:r w:rsidRPr="001353F7">
            <w:t xml:space="preserve"> </w:t>
          </w:r>
          <w:smartTag w:uri="urn:schemas-microsoft-com:office:smarttags" w:element="country-region">
            <w:r w:rsidRPr="001353F7">
              <w:t>UK</w:t>
            </w:r>
          </w:smartTag>
        </w:smartTag>
      </w:smartTag>
    </w:p>
    <w:p w:rsidR="00197CCB" w:rsidRPr="001353F7" w:rsidRDefault="00197CCB" w:rsidP="00AE281B">
      <w:pPr>
        <w:spacing w:after="0" w:line="480" w:lineRule="auto"/>
        <w:jc w:val="center"/>
      </w:pPr>
      <w:r>
        <w:rPr>
          <w:vertAlign w:val="superscript"/>
        </w:rPr>
        <w:t>‡</w:t>
      </w:r>
      <w:smartTag w:uri="urn:schemas-microsoft-com:office:smarttags" w:element="PlaceType">
        <w:r w:rsidRPr="001353F7">
          <w:t>Institute</w:t>
        </w:r>
      </w:smartTag>
      <w:r w:rsidRPr="001353F7">
        <w:t xml:space="preserve"> of </w:t>
      </w:r>
      <w:smartTag w:uri="urn:schemas-microsoft-com:office:smarttags" w:element="PlaceName">
        <w:r w:rsidRPr="001353F7">
          <w:t>Nephrology</w:t>
        </w:r>
      </w:smartTag>
      <w:r w:rsidRPr="001353F7">
        <w:t xml:space="preserve">, </w:t>
      </w:r>
      <w:smartTag w:uri="urn:schemas-microsoft-com:office:smarttags" w:element="PlaceName">
        <w:r w:rsidRPr="001353F7">
          <w:t>Cardiff</w:t>
        </w:r>
      </w:smartTag>
      <w:r w:rsidRPr="001353F7">
        <w:t xml:space="preserve"> </w:t>
      </w:r>
      <w:smartTag w:uri="urn:schemas-microsoft-com:office:smarttags" w:element="PlaceType">
        <w:r w:rsidRPr="001353F7">
          <w:t>University</w:t>
        </w:r>
      </w:smartTag>
      <w:r w:rsidRPr="001353F7">
        <w:t xml:space="preserve"> </w:t>
      </w:r>
      <w:smartTag w:uri="urn:schemas-microsoft-com:office:smarttags" w:element="PlaceType">
        <w:r w:rsidRPr="001353F7">
          <w:t>School</w:t>
        </w:r>
      </w:smartTag>
      <w:r w:rsidRPr="001353F7">
        <w:t xml:space="preserve"> of Medicine, </w:t>
      </w:r>
      <w:smartTag w:uri="urn:schemas-microsoft-com:office:smarttags" w:element="PlaceName">
        <w:r w:rsidRPr="001353F7">
          <w:t>Heath</w:t>
        </w:r>
      </w:smartTag>
      <w:r w:rsidRPr="001353F7">
        <w:t xml:space="preserve"> </w:t>
      </w:r>
      <w:smartTag w:uri="urn:schemas-microsoft-com:office:smarttags" w:element="PlaceType">
        <w:r w:rsidRPr="001353F7">
          <w:t>Park</w:t>
        </w:r>
      </w:smartTag>
      <w:r w:rsidRPr="001353F7">
        <w:t xml:space="preserve">, </w:t>
      </w:r>
      <w:smartTag w:uri="urn:schemas-microsoft-com:office:smarttags" w:element="City">
        <w:smartTag w:uri="urn:schemas-microsoft-com:office:smarttags" w:element="place">
          <w:smartTag w:uri="urn:schemas-microsoft-com:office:smarttags" w:element="City">
            <w:r w:rsidRPr="001353F7">
              <w:t>Cardiff</w:t>
            </w:r>
          </w:smartTag>
          <w:r w:rsidRPr="001353F7">
            <w:t xml:space="preserve">, </w:t>
          </w:r>
          <w:smartTag w:uri="urn:schemas-microsoft-com:office:smarttags" w:element="country-region">
            <w:r w:rsidRPr="001353F7">
              <w:t>UK</w:t>
            </w:r>
          </w:smartTag>
        </w:smartTag>
      </w:smartTag>
      <w:r w:rsidRPr="001353F7">
        <w:t xml:space="preserve"> </w:t>
      </w:r>
    </w:p>
    <w:p w:rsidR="00197CCB" w:rsidRPr="001353F7" w:rsidRDefault="00197CCB" w:rsidP="00AE281B">
      <w:pPr>
        <w:spacing w:after="0" w:line="480" w:lineRule="auto"/>
        <w:jc w:val="center"/>
        <w:rPr>
          <w:rFonts w:cs="Arial"/>
          <w:lang w:val="en-US" w:eastAsia="en-GB"/>
        </w:rPr>
      </w:pPr>
      <w:smartTag w:uri="urn:schemas-microsoft-com:office:smarttags" w:element="PlaceName">
        <w:smartTag w:uri="urn:schemas-microsoft-com:office:smarttags" w:element="place">
          <w:smartTag w:uri="urn:schemas-microsoft-com:office:smarttags" w:element="PlaceName">
            <w:r>
              <w:rPr>
                <w:rFonts w:ascii="MS Reference Sans Serif" w:hAnsi="MS Reference Sans Serif" w:cs="Arial"/>
                <w:vertAlign w:val="superscript"/>
                <w:lang w:val="en-US" w:eastAsia="en-GB"/>
              </w:rPr>
              <w:t>‖‖</w:t>
            </w:r>
            <w:r w:rsidRPr="001353F7">
              <w:rPr>
                <w:rFonts w:cs="Tahoma"/>
                <w:bCs/>
                <w:lang w:val="en-US" w:eastAsia="en-GB"/>
              </w:rPr>
              <w:t>Ipswich</w:t>
            </w:r>
          </w:smartTag>
          <w:r w:rsidRPr="001353F7">
            <w:rPr>
              <w:rFonts w:cs="Tahoma"/>
              <w:bCs/>
              <w:lang w:val="en-US" w:eastAsia="en-GB"/>
            </w:rPr>
            <w:t xml:space="preserve"> </w:t>
          </w:r>
          <w:smartTag w:uri="urn:schemas-microsoft-com:office:smarttags" w:element="PlaceType">
            <w:r w:rsidRPr="001353F7">
              <w:rPr>
                <w:rFonts w:cs="Tahoma"/>
                <w:bCs/>
                <w:lang w:val="en-US" w:eastAsia="en-GB"/>
              </w:rPr>
              <w:t>Hospital</w:t>
            </w:r>
          </w:smartTag>
          <w:r w:rsidRPr="001353F7">
            <w:rPr>
              <w:rFonts w:cs="Tahoma"/>
              <w:bCs/>
              <w:lang w:val="en-US" w:eastAsia="en-GB"/>
            </w:rPr>
            <w:t xml:space="preserve"> </w:t>
          </w:r>
          <w:smartTag w:uri="urn:schemas-microsoft-com:office:smarttags" w:element="PlaceName">
            <w:r w:rsidRPr="001353F7">
              <w:rPr>
                <w:rFonts w:cs="Tahoma"/>
                <w:bCs/>
                <w:lang w:val="en-US" w:eastAsia="en-GB"/>
              </w:rPr>
              <w:t>NHS</w:t>
            </w:r>
          </w:smartTag>
          <w:r w:rsidRPr="001353F7">
            <w:rPr>
              <w:rFonts w:cs="Tahoma"/>
              <w:bCs/>
              <w:lang w:val="en-US" w:eastAsia="en-GB"/>
            </w:rPr>
            <w:t xml:space="preserve"> </w:t>
          </w:r>
          <w:smartTag w:uri="urn:schemas-microsoft-com:office:smarttags" w:element="PlaceName">
            <w:r w:rsidRPr="001353F7">
              <w:rPr>
                <w:rFonts w:cs="Tahoma"/>
                <w:bCs/>
                <w:lang w:val="en-US" w:eastAsia="en-GB"/>
              </w:rPr>
              <w:t>Trust</w:t>
            </w:r>
          </w:smartTag>
          <w:r w:rsidRPr="001353F7">
            <w:rPr>
              <w:rFonts w:cs="Tahoma"/>
              <w:bCs/>
              <w:lang w:val="en-US" w:eastAsia="en-GB"/>
            </w:rPr>
            <w:t xml:space="preserve"> </w:t>
          </w:r>
          <w:smartTag w:uri="urn:schemas-microsoft-com:office:smarttags" w:element="PlaceName">
            <w:r>
              <w:rPr>
                <w:rFonts w:cs="Arial"/>
                <w:lang w:val="en-US" w:eastAsia="en-GB"/>
              </w:rPr>
              <w:t>Ipswich</w:t>
            </w:r>
          </w:smartTag>
          <w:r>
            <w:rPr>
              <w:rFonts w:cs="Arial"/>
              <w:lang w:val="en-US" w:eastAsia="en-GB"/>
            </w:rPr>
            <w:t xml:space="preserve"> </w:t>
          </w:r>
          <w:smartTag w:uri="urn:schemas-microsoft-com:office:smarttags" w:element="PlaceType">
            <w:r>
              <w:rPr>
                <w:rFonts w:cs="Arial"/>
                <w:lang w:val="en-US" w:eastAsia="en-GB"/>
              </w:rPr>
              <w:t>Hospital</w:t>
            </w:r>
          </w:smartTag>
        </w:smartTag>
      </w:smartTag>
      <w:r>
        <w:rPr>
          <w:rFonts w:cs="Arial"/>
          <w:lang w:val="en-US" w:eastAsia="en-GB"/>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cs="Arial"/>
                  <w:lang w:val="en-US" w:eastAsia="en-GB"/>
                </w:rPr>
                <w:t>Heath Road</w:t>
              </w:r>
            </w:smartTag>
          </w:smartTag>
          <w:r>
            <w:rPr>
              <w:rFonts w:cs="Arial"/>
              <w:lang w:val="en-US" w:eastAsia="en-GB"/>
            </w:rPr>
            <w:t xml:space="preserve">, </w:t>
          </w:r>
          <w:smartTag w:uri="urn:schemas-microsoft-com:office:smarttags" w:element="City">
            <w:r w:rsidRPr="001353F7">
              <w:rPr>
                <w:rFonts w:cs="Arial"/>
                <w:lang w:val="en-US" w:eastAsia="en-GB"/>
              </w:rPr>
              <w:t>Ipswich</w:t>
            </w:r>
          </w:smartTag>
          <w:r w:rsidRPr="001353F7">
            <w:rPr>
              <w:rFonts w:cs="Arial"/>
              <w:lang w:val="en-US" w:eastAsia="en-GB"/>
            </w:rPr>
            <w:t xml:space="preserve">, </w:t>
          </w:r>
          <w:smartTag w:uri="urn:schemas-microsoft-com:office:smarttags" w:element="country-region">
            <w:r w:rsidRPr="001353F7">
              <w:rPr>
                <w:rFonts w:cs="Arial"/>
                <w:lang w:val="en-US" w:eastAsia="en-GB"/>
              </w:rPr>
              <w:t>UK</w:t>
            </w:r>
          </w:smartTag>
        </w:smartTag>
      </w:smartTag>
    </w:p>
    <w:p w:rsidR="00197CCB" w:rsidRDefault="00197CCB" w:rsidP="00AE281B">
      <w:pPr>
        <w:widowControl w:val="0"/>
        <w:autoSpaceDE w:val="0"/>
        <w:autoSpaceDN w:val="0"/>
        <w:adjustRightInd w:val="0"/>
        <w:spacing w:after="0" w:line="480" w:lineRule="auto"/>
        <w:jc w:val="center"/>
      </w:pPr>
      <w:r w:rsidRPr="001353F7">
        <w:rPr>
          <w:vertAlign w:val="superscript"/>
        </w:rPr>
        <w:t>§</w:t>
      </w:r>
      <w:r w:rsidRPr="001353F7">
        <w:t xml:space="preserve">Renal Unit, </w:t>
      </w:r>
      <w:proofErr w:type="spellStart"/>
      <w:smartTag w:uri="urn:schemas-microsoft-com:office:smarttags" w:element="PlaceName">
        <w:r w:rsidRPr="001353F7">
          <w:t>Morriston</w:t>
        </w:r>
      </w:smartTag>
      <w:proofErr w:type="spellEnd"/>
      <w:r w:rsidRPr="001353F7">
        <w:t xml:space="preserve"> </w:t>
      </w:r>
      <w:smartTag w:uri="urn:schemas-microsoft-com:office:smarttags" w:element="PlaceType">
        <w:r w:rsidRPr="001353F7">
          <w:t>Hospital</w:t>
        </w:r>
      </w:smartTag>
      <w:r w:rsidRPr="001353F7">
        <w:t xml:space="preserve">, </w:t>
      </w:r>
      <w:smartTag w:uri="urn:schemas-microsoft-com:office:smarttags" w:element="City">
        <w:smartTag w:uri="urn:schemas-microsoft-com:office:smarttags" w:element="place">
          <w:smartTag w:uri="urn:schemas-microsoft-com:office:smarttags" w:element="City">
            <w:r w:rsidRPr="001353F7">
              <w:t>Swansea</w:t>
            </w:r>
          </w:smartTag>
          <w:r w:rsidRPr="001353F7">
            <w:t xml:space="preserve">, </w:t>
          </w:r>
          <w:smartTag w:uri="urn:schemas-microsoft-com:office:smarttags" w:element="country-region">
            <w:r w:rsidRPr="001353F7">
              <w:t>UK</w:t>
            </w:r>
          </w:smartTag>
        </w:smartTag>
      </w:smartTag>
    </w:p>
    <w:p w:rsidR="00197CCB" w:rsidRPr="001353F7" w:rsidRDefault="00197CCB" w:rsidP="00AE281B">
      <w:pPr>
        <w:widowControl w:val="0"/>
        <w:autoSpaceDE w:val="0"/>
        <w:autoSpaceDN w:val="0"/>
        <w:adjustRightInd w:val="0"/>
        <w:spacing w:after="0" w:line="480" w:lineRule="auto"/>
        <w:jc w:val="center"/>
        <w:rPr>
          <w:rFonts w:cs="Arial"/>
          <w:sz w:val="24"/>
          <w:szCs w:val="24"/>
          <w:lang w:val="en-US" w:eastAsia="en-GB"/>
        </w:rPr>
      </w:pPr>
      <w:r>
        <w:t xml:space="preserve">* Manchester Institute of Nephrology and Transplantation, </w:t>
      </w:r>
      <w:smartTag w:uri="urn:schemas-microsoft-com:office:smarttags" w:element="City">
        <w:r>
          <w:t>Manchester</w:t>
        </w:r>
      </w:smartTag>
      <w:r>
        <w:t xml:space="preserve"> Royal </w:t>
      </w:r>
      <w:smartTag w:uri="urn:schemas-microsoft-com:office:smarttags" w:element="City">
        <w:smartTag w:uri="urn:schemas-microsoft-com:office:smarttags" w:element="place">
          <w:smartTag w:uri="urn:schemas-microsoft-com:office:smarttags" w:element="City">
            <w:r>
              <w:t>Infirmary</w:t>
            </w:r>
          </w:smartTag>
          <w:r>
            <w:t xml:space="preserve">, </w:t>
          </w:r>
          <w:smartTag w:uri="urn:schemas-microsoft-com:office:smarttags" w:element="country-region">
            <w:r>
              <w:t>UK</w:t>
            </w:r>
          </w:smartTag>
        </w:smartTag>
      </w:smartTag>
    </w:p>
    <w:p w:rsidR="00197CCB" w:rsidRPr="001353F7" w:rsidRDefault="00197CCB" w:rsidP="00AE281B">
      <w:pPr>
        <w:widowControl w:val="0"/>
        <w:autoSpaceDE w:val="0"/>
        <w:autoSpaceDN w:val="0"/>
        <w:adjustRightInd w:val="0"/>
        <w:spacing w:after="0" w:line="480" w:lineRule="auto"/>
        <w:jc w:val="center"/>
        <w:rPr>
          <w:rFonts w:cs="Verdana"/>
          <w:lang w:val="en-US" w:eastAsia="en-GB"/>
        </w:rPr>
      </w:pPr>
    </w:p>
    <w:p w:rsidR="00197CCB" w:rsidRDefault="00197CCB" w:rsidP="00AE281B">
      <w:pPr>
        <w:spacing w:line="480" w:lineRule="auto"/>
        <w:rPr>
          <w:rFonts w:ascii="MS Reference Sans Serif" w:hAnsi="MS Reference Sans Serif"/>
          <w:vertAlign w:val="superscript"/>
        </w:rPr>
      </w:pPr>
    </w:p>
    <w:p w:rsidR="00197CCB" w:rsidRPr="001353F7" w:rsidRDefault="00197CCB" w:rsidP="00AE281B">
      <w:pPr>
        <w:spacing w:line="480" w:lineRule="auto"/>
      </w:pPr>
      <w:r w:rsidRPr="004603C0">
        <w:rPr>
          <w:rFonts w:ascii="MS Reference Sans Serif" w:hAnsi="MS Reference Sans Serif"/>
          <w:vertAlign w:val="superscript"/>
        </w:rPr>
        <w:t>*</w:t>
      </w:r>
      <w:r w:rsidRPr="001353F7">
        <w:t>NT and SJD contributed equally to this work.</w:t>
      </w:r>
    </w:p>
    <w:p w:rsidR="00197CCB" w:rsidRDefault="00197CCB" w:rsidP="00AE281B">
      <w:pPr>
        <w:spacing w:line="480" w:lineRule="auto"/>
        <w:rPr>
          <w:rFonts w:cs="Tahoma"/>
          <w:b/>
          <w:bCs/>
        </w:rPr>
      </w:pPr>
    </w:p>
    <w:p w:rsidR="00197CCB" w:rsidRPr="00482EBA" w:rsidRDefault="00197CCB" w:rsidP="00AE281B">
      <w:pPr>
        <w:spacing w:line="480" w:lineRule="auto"/>
        <w:rPr>
          <w:rFonts w:cs="Tahoma"/>
          <w:b/>
          <w:bCs/>
        </w:rPr>
      </w:pPr>
      <w:r w:rsidRPr="00482EBA">
        <w:rPr>
          <w:rFonts w:cs="Tahoma"/>
          <w:b/>
          <w:bCs/>
        </w:rPr>
        <w:t>Correspondence address:</w:t>
      </w:r>
    </w:p>
    <w:p w:rsidR="00197CCB" w:rsidRDefault="00197CCB" w:rsidP="00AE281B">
      <w:pPr>
        <w:spacing w:after="0" w:line="480" w:lineRule="auto"/>
        <w:rPr>
          <w:rFonts w:cs="Tahoma"/>
        </w:rPr>
      </w:pPr>
      <w:r>
        <w:rPr>
          <w:rFonts w:cs="Tahoma"/>
        </w:rPr>
        <w:t>Professor Simon Davies</w:t>
      </w:r>
    </w:p>
    <w:p w:rsidR="00197CCB" w:rsidRDefault="00197CCB" w:rsidP="00AE281B">
      <w:pPr>
        <w:spacing w:after="0" w:line="480" w:lineRule="auto"/>
        <w:rPr>
          <w:rFonts w:cs="Tahoma"/>
        </w:rPr>
      </w:pPr>
      <w:r>
        <w:rPr>
          <w:rFonts w:cs="Tahoma"/>
        </w:rPr>
        <w:t xml:space="preserve">Department of Nephrology, University </w:t>
      </w:r>
      <w:smartTag w:uri="urn:schemas-microsoft-com:office:smarttags" w:element="PlaceType">
        <w:smartTag w:uri="urn:schemas-microsoft-com:office:smarttags" w:element="place">
          <w:smartTag w:uri="urn:schemas-microsoft-com:office:smarttags" w:element="PlaceType">
            <w:r>
              <w:rPr>
                <w:rFonts w:cs="Tahoma"/>
              </w:rPr>
              <w:t>Hospital</w:t>
            </w:r>
          </w:smartTag>
          <w:r>
            <w:rPr>
              <w:rFonts w:cs="Tahoma"/>
            </w:rPr>
            <w:t xml:space="preserve"> of </w:t>
          </w:r>
          <w:smartTag w:uri="urn:schemas-microsoft-com:office:smarttags" w:element="PlaceName">
            <w:r>
              <w:rPr>
                <w:rFonts w:cs="Tahoma"/>
              </w:rPr>
              <w:t>North Staffordshire</w:t>
            </w:r>
          </w:smartTag>
        </w:smartTag>
      </w:smartTag>
      <w:r>
        <w:rPr>
          <w:rFonts w:cs="Tahoma"/>
        </w:rPr>
        <w:t xml:space="preserve">,  </w:t>
      </w:r>
    </w:p>
    <w:p w:rsidR="00197CCB" w:rsidRDefault="00197CCB" w:rsidP="00AE281B">
      <w:pPr>
        <w:spacing w:after="0" w:line="480" w:lineRule="auto"/>
        <w:rPr>
          <w:rFonts w:cs="Tahoma"/>
        </w:rPr>
      </w:pPr>
      <w:r>
        <w:rPr>
          <w:rFonts w:cs="Tahoma"/>
        </w:rPr>
        <w:t xml:space="preserve">Royal Infirmary, </w:t>
      </w:r>
      <w:smartTag w:uri="urn:schemas-microsoft-com:office:smarttags" w:element="address">
        <w:smartTag w:uri="urn:schemas-microsoft-com:office:smarttags" w:element="Street">
          <w:r>
            <w:rPr>
              <w:rFonts w:cs="Tahoma"/>
            </w:rPr>
            <w:t>Princess Road</w:t>
          </w:r>
        </w:smartTag>
      </w:smartTag>
      <w:r>
        <w:rPr>
          <w:rFonts w:cs="Tahoma"/>
        </w:rPr>
        <w:t xml:space="preserve">, Stoke on Trent, </w:t>
      </w:r>
      <w:smartTag w:uri="urn:schemas-microsoft-com:office:smarttags" w:element="City">
        <w:smartTag w:uri="urn:schemas-microsoft-com:office:smarttags" w:element="place">
          <w:smartTag w:uri="urn:schemas-microsoft-com:office:smarttags" w:element="City">
            <w:r>
              <w:rPr>
                <w:rFonts w:cs="Tahoma"/>
              </w:rPr>
              <w:t>Staffordshire</w:t>
            </w:r>
          </w:smartTag>
          <w:r>
            <w:rPr>
              <w:rFonts w:cs="Tahoma"/>
            </w:rPr>
            <w:t xml:space="preserve">, </w:t>
          </w:r>
          <w:smartTag w:uri="urn:schemas-microsoft-com:office:smarttags" w:element="PostalCode">
            <w:r>
              <w:rPr>
                <w:rFonts w:cs="Tahoma"/>
              </w:rPr>
              <w:t>ST4 7LN</w:t>
            </w:r>
          </w:smartTag>
        </w:smartTag>
      </w:smartTag>
    </w:p>
    <w:p w:rsidR="00197CCB" w:rsidRDefault="00197CCB" w:rsidP="00AE281B">
      <w:pPr>
        <w:spacing w:after="0" w:line="480" w:lineRule="auto"/>
        <w:rPr>
          <w:rFonts w:cs="Tahoma"/>
        </w:rPr>
      </w:pPr>
      <w:smartTag w:uri="urn:schemas-microsoft-com:office:smarttags" w:element="country-region">
        <w:smartTag w:uri="urn:schemas-microsoft-com:office:smarttags" w:element="place">
          <w:r>
            <w:rPr>
              <w:rFonts w:cs="Tahoma"/>
            </w:rPr>
            <w:t>United Kingdom</w:t>
          </w:r>
        </w:smartTag>
      </w:smartTag>
    </w:p>
    <w:p w:rsidR="00197CCB" w:rsidRDefault="00197CCB" w:rsidP="00AE281B">
      <w:pPr>
        <w:spacing w:after="0" w:line="480" w:lineRule="auto"/>
      </w:pPr>
      <w:r>
        <w:rPr>
          <w:rFonts w:cs="Tahoma"/>
        </w:rPr>
        <w:t xml:space="preserve">Email: </w:t>
      </w:r>
      <w:hyperlink r:id="rId8" w:history="1">
        <w:r w:rsidRPr="00185568">
          <w:rPr>
            <w:rStyle w:val="Hyperlink"/>
            <w:rFonts w:cs="Tahoma"/>
          </w:rPr>
          <w:t>mailto:simondavies1@compuserve.com</w:t>
        </w:r>
      </w:hyperlink>
    </w:p>
    <w:p w:rsidR="00197CCB" w:rsidRDefault="00197CCB" w:rsidP="00AE281B">
      <w:pPr>
        <w:spacing w:line="480" w:lineRule="auto"/>
        <w:jc w:val="center"/>
      </w:pPr>
    </w:p>
    <w:p w:rsidR="00197CCB" w:rsidRPr="00C3656C" w:rsidRDefault="00197CCB" w:rsidP="00AE281B">
      <w:pPr>
        <w:widowControl w:val="0"/>
        <w:autoSpaceDE w:val="0"/>
        <w:autoSpaceDN w:val="0"/>
        <w:adjustRightInd w:val="0"/>
        <w:spacing w:after="0" w:line="480" w:lineRule="auto"/>
        <w:rPr>
          <w:rFonts w:cs="Helvetica"/>
          <w:lang w:val="en-US" w:eastAsia="en-GB"/>
        </w:rPr>
      </w:pPr>
      <w:r w:rsidRPr="00E02BB4">
        <w:rPr>
          <w:rFonts w:cs="Helvetica"/>
          <w:lang w:val="en-US" w:eastAsia="en-GB"/>
        </w:rPr>
        <w:t>Professor Nicholas Topley </w:t>
      </w:r>
    </w:p>
    <w:p w:rsidR="00197CCB" w:rsidRDefault="00197CCB" w:rsidP="00AE281B">
      <w:pPr>
        <w:widowControl w:val="0"/>
        <w:autoSpaceDE w:val="0"/>
        <w:autoSpaceDN w:val="0"/>
        <w:adjustRightInd w:val="0"/>
        <w:spacing w:after="0" w:line="480" w:lineRule="auto"/>
        <w:rPr>
          <w:rFonts w:cs="Helvetica"/>
          <w:lang w:val="en-US" w:eastAsia="en-GB"/>
        </w:rPr>
      </w:pPr>
      <w:r>
        <w:rPr>
          <w:rFonts w:cs="Helvetica"/>
          <w:lang w:val="en-US" w:eastAsia="en-GB"/>
        </w:rPr>
        <w:t xml:space="preserve">Section of Nephrology, </w:t>
      </w:r>
    </w:p>
    <w:p w:rsidR="00197CCB" w:rsidRPr="00C3656C" w:rsidRDefault="00197CCB" w:rsidP="00AE281B">
      <w:pPr>
        <w:widowControl w:val="0"/>
        <w:autoSpaceDE w:val="0"/>
        <w:autoSpaceDN w:val="0"/>
        <w:adjustRightInd w:val="0"/>
        <w:spacing w:after="0" w:line="480" w:lineRule="auto"/>
        <w:rPr>
          <w:rFonts w:cs="Helvetica"/>
          <w:lang w:val="en-US" w:eastAsia="en-GB"/>
        </w:rPr>
      </w:pPr>
      <w:r>
        <w:rPr>
          <w:rFonts w:cs="Helvetica"/>
          <w:lang w:val="en-US" w:eastAsia="en-GB"/>
        </w:rPr>
        <w:lastRenderedPageBreak/>
        <w:t>Institute of Molecular and Experimental Medicine,</w:t>
      </w:r>
    </w:p>
    <w:p w:rsidR="00197CCB" w:rsidRPr="00C3656C" w:rsidRDefault="00197CCB" w:rsidP="00AE281B">
      <w:pPr>
        <w:widowControl w:val="0"/>
        <w:autoSpaceDE w:val="0"/>
        <w:autoSpaceDN w:val="0"/>
        <w:adjustRightInd w:val="0"/>
        <w:spacing w:after="0" w:line="480" w:lineRule="auto"/>
        <w:rPr>
          <w:rFonts w:cs="Helvetica"/>
          <w:lang w:val="en-US" w:eastAsia="en-GB"/>
        </w:rPr>
      </w:pPr>
      <w:smartTag w:uri="urn:schemas-microsoft-com:office:smarttags" w:element="PlaceName">
        <w:smartTag w:uri="urn:schemas-microsoft-com:office:smarttags" w:element="place">
          <w:smartTag w:uri="urn:schemas-microsoft-com:office:smarttags" w:element="PlaceName">
            <w:r w:rsidRPr="00E02BB4">
              <w:rPr>
                <w:rFonts w:cs="Helvetica"/>
                <w:lang w:val="en-US" w:eastAsia="en-GB"/>
              </w:rPr>
              <w:t>Cardiff</w:t>
            </w:r>
          </w:smartTag>
          <w:r w:rsidRPr="00E02BB4">
            <w:rPr>
              <w:rFonts w:cs="Helvetica"/>
              <w:lang w:val="en-US" w:eastAsia="en-GB"/>
            </w:rPr>
            <w:t xml:space="preserve"> </w:t>
          </w:r>
          <w:smartTag w:uri="urn:schemas-microsoft-com:office:smarttags" w:element="PlaceType">
            <w:r w:rsidRPr="00E02BB4">
              <w:rPr>
                <w:rFonts w:cs="Helvetica"/>
                <w:lang w:val="en-US" w:eastAsia="en-GB"/>
              </w:rPr>
              <w:t>University</w:t>
            </w:r>
          </w:smartTag>
          <w:r w:rsidRPr="00E02BB4">
            <w:rPr>
              <w:rFonts w:cs="Helvetica"/>
              <w:lang w:val="en-US" w:eastAsia="en-GB"/>
            </w:rPr>
            <w:t> </w:t>
          </w:r>
          <w:smartTag w:uri="urn:schemas-microsoft-com:office:smarttags" w:element="PlaceType">
            <w:r w:rsidRPr="00E02BB4">
              <w:rPr>
                <w:rFonts w:cs="Helvetica"/>
                <w:lang w:val="en-US" w:eastAsia="en-GB"/>
              </w:rPr>
              <w:t>School</w:t>
            </w:r>
          </w:smartTag>
        </w:smartTag>
      </w:smartTag>
      <w:r w:rsidRPr="00E02BB4">
        <w:rPr>
          <w:rFonts w:cs="Helvetica"/>
          <w:lang w:val="en-US" w:eastAsia="en-GB"/>
        </w:rPr>
        <w:t xml:space="preserve"> of Medicine </w:t>
      </w:r>
    </w:p>
    <w:p w:rsidR="00197CCB" w:rsidRPr="00C3656C" w:rsidRDefault="00197CCB" w:rsidP="00AE281B">
      <w:pPr>
        <w:widowControl w:val="0"/>
        <w:autoSpaceDE w:val="0"/>
        <w:autoSpaceDN w:val="0"/>
        <w:adjustRightInd w:val="0"/>
        <w:spacing w:after="0" w:line="480" w:lineRule="auto"/>
        <w:rPr>
          <w:rFonts w:cs="Helvetica"/>
          <w:lang w:val="en-US" w:eastAsia="en-GB"/>
        </w:rPr>
      </w:pPr>
      <w:smartTag w:uri="urn:schemas-microsoft-com:office:smarttags" w:element="PlaceName">
        <w:smartTag w:uri="urn:schemas-microsoft-com:office:smarttags" w:element="place">
          <w:smartTag w:uri="urn:schemas-microsoft-com:office:smarttags" w:element="PlaceName">
            <w:r w:rsidRPr="00E02BB4">
              <w:rPr>
                <w:rFonts w:cs="Helvetica"/>
                <w:lang w:val="en-US" w:eastAsia="en-GB"/>
              </w:rPr>
              <w:t>Heath</w:t>
            </w:r>
          </w:smartTag>
          <w:r w:rsidRPr="00E02BB4">
            <w:rPr>
              <w:rFonts w:cs="Helvetica"/>
              <w:lang w:val="en-US" w:eastAsia="en-GB"/>
            </w:rPr>
            <w:t xml:space="preserve"> </w:t>
          </w:r>
          <w:smartTag w:uri="urn:schemas-microsoft-com:office:smarttags" w:element="PlaceType">
            <w:r w:rsidRPr="00E02BB4">
              <w:rPr>
                <w:rFonts w:cs="Helvetica"/>
                <w:lang w:val="en-US" w:eastAsia="en-GB"/>
              </w:rPr>
              <w:t>Park</w:t>
            </w:r>
          </w:smartTag>
        </w:smartTag>
      </w:smartTag>
      <w:r w:rsidRPr="00E02BB4">
        <w:rPr>
          <w:rFonts w:cs="Helvetica"/>
          <w:lang w:val="en-US" w:eastAsia="en-GB"/>
        </w:rPr>
        <w:t> </w:t>
      </w:r>
    </w:p>
    <w:p w:rsidR="00197CCB" w:rsidRPr="00407584" w:rsidRDefault="00197CCB" w:rsidP="00AE281B">
      <w:pPr>
        <w:widowControl w:val="0"/>
        <w:autoSpaceDE w:val="0"/>
        <w:autoSpaceDN w:val="0"/>
        <w:adjustRightInd w:val="0"/>
        <w:spacing w:after="0" w:line="480" w:lineRule="auto"/>
        <w:rPr>
          <w:rFonts w:cs="Helvetica"/>
          <w:sz w:val="24"/>
          <w:szCs w:val="24"/>
          <w:lang w:val="en-US" w:eastAsia="en-GB"/>
        </w:rPr>
      </w:pPr>
      <w:smartTag w:uri="urn:schemas-microsoft-com:office:smarttags" w:element="City">
        <w:smartTag w:uri="urn:schemas-microsoft-com:office:smarttags" w:element="place">
          <w:r w:rsidRPr="00407584">
            <w:rPr>
              <w:rFonts w:cs="Helvetica"/>
              <w:sz w:val="24"/>
              <w:szCs w:val="24"/>
              <w:lang w:val="en-US" w:eastAsia="en-GB"/>
            </w:rPr>
            <w:t>Cardiff</w:t>
          </w:r>
        </w:smartTag>
      </w:smartTag>
      <w:r w:rsidRPr="00407584">
        <w:rPr>
          <w:rFonts w:cs="Helvetica"/>
          <w:sz w:val="24"/>
          <w:szCs w:val="24"/>
          <w:lang w:val="en-US" w:eastAsia="en-GB"/>
        </w:rPr>
        <w:t> </w:t>
      </w:r>
    </w:p>
    <w:p w:rsidR="00197CCB" w:rsidRPr="00407584" w:rsidRDefault="00197CCB" w:rsidP="00AE281B">
      <w:pPr>
        <w:widowControl w:val="0"/>
        <w:autoSpaceDE w:val="0"/>
        <w:autoSpaceDN w:val="0"/>
        <w:adjustRightInd w:val="0"/>
        <w:spacing w:after="0" w:line="480" w:lineRule="auto"/>
        <w:rPr>
          <w:rFonts w:cs="Helvetica"/>
          <w:sz w:val="24"/>
          <w:szCs w:val="24"/>
          <w:lang w:val="en-US" w:eastAsia="en-GB"/>
        </w:rPr>
      </w:pPr>
      <w:r w:rsidRPr="00407584">
        <w:rPr>
          <w:rFonts w:cs="Calibri"/>
          <w:sz w:val="24"/>
          <w:szCs w:val="24"/>
          <w:lang w:val="en-US"/>
        </w:rPr>
        <w:t>CF14 4XN</w:t>
      </w:r>
      <w:r w:rsidRPr="00407584" w:rsidDel="00810D67">
        <w:rPr>
          <w:rFonts w:cs="Helvetica"/>
          <w:sz w:val="24"/>
          <w:szCs w:val="24"/>
          <w:lang w:val="en-US" w:eastAsia="en-GB"/>
        </w:rPr>
        <w:t xml:space="preserve"> </w:t>
      </w:r>
    </w:p>
    <w:p w:rsidR="00197CCB" w:rsidRPr="00C3656C" w:rsidRDefault="00197CCB" w:rsidP="00AE281B">
      <w:pPr>
        <w:widowControl w:val="0"/>
        <w:autoSpaceDE w:val="0"/>
        <w:autoSpaceDN w:val="0"/>
        <w:adjustRightInd w:val="0"/>
        <w:spacing w:after="0" w:line="480" w:lineRule="auto"/>
        <w:rPr>
          <w:rFonts w:cs="Helvetica"/>
          <w:lang w:val="en-US" w:eastAsia="en-GB"/>
        </w:rPr>
      </w:pPr>
      <w:r>
        <w:rPr>
          <w:rFonts w:cs="Helvetica"/>
          <w:lang w:val="en-US" w:eastAsia="en-GB"/>
        </w:rPr>
        <w:t xml:space="preserve">E-mail: </w:t>
      </w:r>
      <w:hyperlink r:id="rId9" w:history="1">
        <w:r w:rsidRPr="00185568">
          <w:rPr>
            <w:rStyle w:val="Hyperlink"/>
            <w:rFonts w:cs="Helvetica"/>
            <w:lang w:val="en-US" w:eastAsia="en-GB"/>
          </w:rPr>
          <w:t>mailto:topley@cf.ac.uk</w:t>
        </w:r>
      </w:hyperlink>
    </w:p>
    <w:p w:rsidR="00197CCB" w:rsidRDefault="00197CCB" w:rsidP="00AE281B">
      <w:pPr>
        <w:spacing w:line="480" w:lineRule="auto"/>
      </w:pPr>
    </w:p>
    <w:p w:rsidR="00197CCB" w:rsidRPr="00E93034" w:rsidRDefault="00197CCB" w:rsidP="00AE281B">
      <w:pPr>
        <w:spacing w:line="480" w:lineRule="auto"/>
        <w:rPr>
          <w:b/>
        </w:rPr>
      </w:pPr>
      <w:r>
        <w:rPr>
          <w:b/>
        </w:rPr>
        <w:t>Running title:</w:t>
      </w:r>
      <w:r w:rsidR="00DC1E59">
        <w:rPr>
          <w:b/>
        </w:rPr>
        <w:t xml:space="preserve"> </w:t>
      </w:r>
      <w:r>
        <w:rPr>
          <w:b/>
        </w:rPr>
        <w:t>Inflammation</w:t>
      </w:r>
      <w:r w:rsidR="00DC1E59">
        <w:rPr>
          <w:b/>
        </w:rPr>
        <w:t xml:space="preserve"> in EPS</w:t>
      </w:r>
    </w:p>
    <w:p w:rsidR="00197CCB" w:rsidRDefault="00197CCB" w:rsidP="00AE281B">
      <w:pPr>
        <w:spacing w:line="480" w:lineRule="auto"/>
        <w:rPr>
          <w:b/>
        </w:rPr>
      </w:pPr>
      <w:r>
        <w:rPr>
          <w:b/>
        </w:rPr>
        <w:t>Abstract Word Count: 263</w:t>
      </w:r>
    </w:p>
    <w:p w:rsidR="00197CCB" w:rsidRDefault="00DC1E59" w:rsidP="00AE281B">
      <w:pPr>
        <w:spacing w:line="480" w:lineRule="auto"/>
        <w:rPr>
          <w:b/>
        </w:rPr>
      </w:pPr>
      <w:r>
        <w:rPr>
          <w:b/>
        </w:rPr>
        <w:t>Body of Text Word Count: 2441</w:t>
      </w:r>
    </w:p>
    <w:p w:rsidR="00197CCB" w:rsidRDefault="00197CCB" w:rsidP="00AE281B">
      <w:pPr>
        <w:spacing w:line="480" w:lineRule="auto"/>
        <w:rPr>
          <w:b/>
        </w:rPr>
      </w:pPr>
    </w:p>
    <w:p w:rsidR="00197CCB" w:rsidRDefault="00197CCB" w:rsidP="00AE281B">
      <w:pPr>
        <w:spacing w:line="480" w:lineRule="auto"/>
        <w:rPr>
          <w:b/>
        </w:rPr>
      </w:pPr>
      <w:r>
        <w:rPr>
          <w:b/>
        </w:rPr>
        <w:br w:type="page"/>
      </w:r>
    </w:p>
    <w:p w:rsidR="00197CCB" w:rsidRDefault="00197CCB" w:rsidP="00F34C14">
      <w:pPr>
        <w:spacing w:line="480" w:lineRule="auto"/>
        <w:rPr>
          <w:b/>
        </w:rPr>
      </w:pPr>
      <w:r>
        <w:rPr>
          <w:b/>
        </w:rPr>
        <w:lastRenderedPageBreak/>
        <w:t>Abstract</w:t>
      </w:r>
    </w:p>
    <w:p w:rsidR="00197CCB" w:rsidRPr="00E034B0" w:rsidRDefault="00197CCB" w:rsidP="00E034B0">
      <w:pPr>
        <w:spacing w:after="0" w:line="480" w:lineRule="auto"/>
        <w:rPr>
          <w:rFonts w:cs="Arial"/>
          <w:lang w:eastAsia="en-GB"/>
        </w:rPr>
      </w:pPr>
      <w:r w:rsidRPr="00E034B0">
        <w:rPr>
          <w:rFonts w:cs="Arial"/>
          <w:b/>
          <w:lang w:eastAsia="en-GB"/>
        </w:rPr>
        <w:t>Background</w:t>
      </w:r>
      <w:r w:rsidRPr="00E034B0">
        <w:rPr>
          <w:b/>
        </w:rPr>
        <w:t>:</w:t>
      </w:r>
      <w:r w:rsidRPr="00E034B0">
        <w:rPr>
          <w:rFonts w:cs="Arial"/>
          <w:lang w:val="en-US" w:eastAsia="en-GB"/>
        </w:rPr>
        <w:t xml:space="preserve"> </w:t>
      </w:r>
      <w:r w:rsidRPr="00E034B0">
        <w:t>E</w:t>
      </w:r>
      <w:r w:rsidR="0012696D">
        <w:t xml:space="preserve">ncapsulating </w:t>
      </w:r>
      <w:r w:rsidRPr="00E034B0">
        <w:t>P</w:t>
      </w:r>
      <w:r w:rsidR="0012696D">
        <w:t xml:space="preserve">eritoneal </w:t>
      </w:r>
      <w:r w:rsidRPr="00E034B0">
        <w:t>S</w:t>
      </w:r>
      <w:r w:rsidR="0012696D">
        <w:t>clerosis (EPS)</w:t>
      </w:r>
      <w:r w:rsidRPr="00E034B0">
        <w:t xml:space="preserve"> is an uncommon condition, strongly associated with a long duration of </w:t>
      </w:r>
      <w:r w:rsidR="0012696D">
        <w:t>peritoneal dialysis (</w:t>
      </w:r>
      <w:r w:rsidRPr="00E034B0">
        <w:t>PD</w:t>
      </w:r>
      <w:r w:rsidR="0012696D">
        <w:t>)</w:t>
      </w:r>
      <w:r w:rsidRPr="00E034B0">
        <w:t xml:space="preserve"> </w:t>
      </w:r>
      <w:r w:rsidR="00070708">
        <w:t>itself</w:t>
      </w:r>
      <w:r w:rsidRPr="00E034B0">
        <w:t xml:space="preserve"> associated with increased fibrosis in the peritoneal membrane. The peritoneal membrane is inflamed during PD, and inflammation is often associated with fibrosis. We hypothesised that patients who subsequently develop EPS </w:t>
      </w:r>
      <w:r>
        <w:t xml:space="preserve">might </w:t>
      </w:r>
      <w:r w:rsidRPr="00E034B0">
        <w:t xml:space="preserve">have a more inflamed peritoneal membrane during PD. </w:t>
      </w:r>
    </w:p>
    <w:p w:rsidR="00197CCB" w:rsidRDefault="00BF3380" w:rsidP="00E034B0">
      <w:pPr>
        <w:spacing w:after="0" w:line="480" w:lineRule="auto"/>
      </w:pPr>
      <w:r>
        <w:rPr>
          <w:rFonts w:cs="Arial"/>
          <w:b/>
          <w:lang w:eastAsia="en-GB"/>
        </w:rPr>
        <w:t>M</w:t>
      </w:r>
      <w:r w:rsidR="005A6DBC">
        <w:rPr>
          <w:rFonts w:cs="Arial"/>
          <w:b/>
          <w:lang w:eastAsia="en-GB"/>
        </w:rPr>
        <w:t>ethods</w:t>
      </w:r>
      <w:r w:rsidR="00197CCB">
        <w:rPr>
          <w:rFonts w:cs="Arial"/>
          <w:b/>
          <w:lang w:eastAsia="en-GB"/>
        </w:rPr>
        <w:t xml:space="preserve">: </w:t>
      </w:r>
      <w:r w:rsidR="00197CCB" w:rsidRPr="00E034B0">
        <w:t xml:space="preserve">We performed a nested, case control study, identifying all EPS cases in the UK </w:t>
      </w:r>
      <w:r w:rsidR="00197CCB">
        <w:t>arm</w:t>
      </w:r>
      <w:r w:rsidR="00197CCB" w:rsidRPr="00E034B0">
        <w:t xml:space="preserve"> of the Global Fluid Study and matching them </w:t>
      </w:r>
      <w:r w:rsidR="00070708">
        <w:t>by</w:t>
      </w:r>
      <w:r w:rsidR="00070708" w:rsidRPr="00E034B0">
        <w:t xml:space="preserve"> </w:t>
      </w:r>
      <w:r w:rsidR="00197CCB" w:rsidRPr="00E034B0">
        <w:t xml:space="preserve">centre and duration of PD with 2 to 3 controls. Dialysate and plasma samples taken during repeated peritoneal equilibration tests prior to </w:t>
      </w:r>
      <w:r w:rsidR="00197CCB">
        <w:t>cessation of</w:t>
      </w:r>
      <w:r w:rsidR="00197CCB" w:rsidRPr="00E034B0">
        <w:t xml:space="preserve"> PD from cases and controls</w:t>
      </w:r>
      <w:r w:rsidR="00197CCB">
        <w:t>. Samples</w:t>
      </w:r>
      <w:r w:rsidR="00197CCB" w:rsidRPr="00E034B0">
        <w:t xml:space="preserve"> were assayed by electrochemiluminescence</w:t>
      </w:r>
      <w:r w:rsidR="00197CCB">
        <w:t xml:space="preserve"> immunoassay</w:t>
      </w:r>
      <w:r w:rsidR="00197CCB" w:rsidRPr="00E034B0">
        <w:t xml:space="preserve"> for IL-1β, TNF-α, IFN-γ and IL-6. Results were</w:t>
      </w:r>
      <w:r w:rsidR="00197CCB">
        <w:t xml:space="preserve"> analysed by linear mixed models adjusted for age and time on PD. </w:t>
      </w:r>
    </w:p>
    <w:p w:rsidR="00197CCB" w:rsidRPr="00E034B0" w:rsidRDefault="00197CCB" w:rsidP="00E034B0">
      <w:pPr>
        <w:spacing w:line="480" w:lineRule="auto"/>
        <w:rPr>
          <w:b/>
        </w:rPr>
      </w:pPr>
      <w:bookmarkStart w:id="0" w:name="_Toc402705982"/>
      <w:r w:rsidRPr="00F34C14">
        <w:rPr>
          <w:b/>
        </w:rPr>
        <w:t>Results</w:t>
      </w:r>
      <w:bookmarkEnd w:id="0"/>
      <w:r>
        <w:rPr>
          <w:b/>
        </w:rPr>
        <w:t xml:space="preserve">: </w:t>
      </w:r>
      <w:r>
        <w:t>11 EPS cases were matched with 26 controls. Dialysate TNF-α, (0.64, 95% CI 0.23, 1.05), and IL-6 (0.79, 95% CI 0.03, 1.56), were significantly higher in EPS cases, whilst IL-1β (1.06, 95% CI -0.11, 2.23), and IFN-γ (0.62, 95% CI -0.06, 1.29), showed a similar trend. Only IL-6 was significantly higher in the plasma, (0.42, 95% CI 0.07, 0.78). Solute transport was not significantly different between cases and controls but did increase in both groups with duration of PD.</w:t>
      </w:r>
    </w:p>
    <w:p w:rsidR="00197CCB" w:rsidRPr="00E034B0" w:rsidRDefault="00197CCB" w:rsidP="00E034B0">
      <w:pPr>
        <w:spacing w:line="480" w:lineRule="auto"/>
        <w:rPr>
          <w:b/>
        </w:rPr>
      </w:pPr>
      <w:r>
        <w:rPr>
          <w:b/>
        </w:rPr>
        <w:t>Conclusion</w:t>
      </w:r>
      <w:r w:rsidR="004621F4">
        <w:rPr>
          <w:b/>
        </w:rPr>
        <w:t>s</w:t>
      </w:r>
      <w:r>
        <w:rPr>
          <w:b/>
        </w:rPr>
        <w:t xml:space="preserve">: </w:t>
      </w:r>
      <w:r>
        <w:t xml:space="preserve">The peritoneal </w:t>
      </w:r>
      <w:r w:rsidR="0012696D">
        <w:t>cavity has higher levels of inflammatory cytokines</w:t>
      </w:r>
      <w:r>
        <w:t xml:space="preserve"> during PD in patients who sub</w:t>
      </w:r>
      <w:r w:rsidR="00382C02">
        <w:t xml:space="preserve">sequently develop EPS, but </w:t>
      </w:r>
      <w:r w:rsidR="00A81B7F">
        <w:t xml:space="preserve">neither </w:t>
      </w:r>
      <w:r>
        <w:t>inflammat</w:t>
      </w:r>
      <w:r w:rsidR="00A81B7F">
        <w:t>ory cytokines</w:t>
      </w:r>
      <w:r>
        <w:t xml:space="preserve"> </w:t>
      </w:r>
      <w:r w:rsidR="00A81B7F">
        <w:t xml:space="preserve">nor </w:t>
      </w:r>
      <w:r>
        <w:t>peritoneal solute transport</w:t>
      </w:r>
      <w:r w:rsidR="00A81B7F">
        <w:t xml:space="preserve"> clearly </w:t>
      </w:r>
      <w:r w:rsidR="001E2E64">
        <w:t>discriminate</w:t>
      </w:r>
      <w:r w:rsidR="00A81B7F">
        <w:t xml:space="preserve"> EPS cases</w:t>
      </w:r>
      <w:r>
        <w:t>. Increased systemic inflammation is also evident and is probably driven by increased peritoneal inflammation.</w:t>
      </w:r>
    </w:p>
    <w:p w:rsidR="00197CCB" w:rsidRDefault="00197CCB">
      <w:pPr>
        <w:rPr>
          <w:b/>
        </w:rPr>
      </w:pPr>
      <w:bookmarkStart w:id="1" w:name="_Toc402705984"/>
      <w:r>
        <w:rPr>
          <w:b/>
        </w:rPr>
        <w:br w:type="page"/>
      </w:r>
    </w:p>
    <w:p w:rsidR="00A65D66" w:rsidRPr="00A65D66" w:rsidRDefault="00A65D66" w:rsidP="00F34C14">
      <w:pPr>
        <w:rPr>
          <w:b/>
        </w:rPr>
      </w:pPr>
      <w:r w:rsidRPr="00A65D66">
        <w:rPr>
          <w:b/>
        </w:rPr>
        <w:lastRenderedPageBreak/>
        <w:t>Keywords</w:t>
      </w:r>
    </w:p>
    <w:p w:rsidR="00A65D66" w:rsidRDefault="00A65D66" w:rsidP="00F34C14">
      <w:r w:rsidRPr="00A65D66">
        <w:t>Peri</w:t>
      </w:r>
      <w:r>
        <w:t>toneal Dialysis</w:t>
      </w:r>
    </w:p>
    <w:p w:rsidR="00A65D66" w:rsidRDefault="00A65D66" w:rsidP="00F34C14">
      <w:r>
        <w:t>Peritoneal Membrane</w:t>
      </w:r>
    </w:p>
    <w:p w:rsidR="00A65D66" w:rsidRDefault="00A65D66" w:rsidP="00F34C14">
      <w:r>
        <w:t>Chronic Inflammation</w:t>
      </w:r>
    </w:p>
    <w:p w:rsidR="00A65D66" w:rsidRDefault="00A65D66" w:rsidP="00F34C14">
      <w:r>
        <w:t>Encapsulating Peritoneal Sclerosis</w:t>
      </w:r>
    </w:p>
    <w:p w:rsidR="00A65D66" w:rsidRDefault="00A65D66" w:rsidP="00F34C14"/>
    <w:p w:rsidR="00A65D66" w:rsidRDefault="00A65D66" w:rsidP="00F34C14">
      <w:pPr>
        <w:rPr>
          <w:b/>
        </w:rPr>
      </w:pPr>
      <w:r>
        <w:rPr>
          <w:b/>
        </w:rPr>
        <w:t>Short Summary</w:t>
      </w:r>
    </w:p>
    <w:p w:rsidR="00A65D66" w:rsidRPr="00A65D66" w:rsidRDefault="00A65D66" w:rsidP="00F34C14">
      <w:r w:rsidRPr="00A65D66">
        <w:t xml:space="preserve">Using </w:t>
      </w:r>
      <w:r>
        <w:t>a nested, case-control study of the GLOBAL Fluid Study, we studied inflammatory cytokines in dialysate effluent and plasma in EPS and controls. EPS cases had higher levels of effluent cytokines (both IL-6 and TNF-α with a similar trend for IFN-γ and IL-1β) and plasma IL-6. This suggests that peritoneal inflammation drives membrane fibrosis and subsequent risk of EPS.</w:t>
      </w:r>
    </w:p>
    <w:p w:rsidR="00A65D66" w:rsidRDefault="00A65D66">
      <w:pPr>
        <w:spacing w:after="0" w:line="240" w:lineRule="auto"/>
        <w:rPr>
          <w:b/>
        </w:rPr>
      </w:pPr>
      <w:r>
        <w:rPr>
          <w:b/>
        </w:rPr>
        <w:br w:type="page"/>
      </w:r>
    </w:p>
    <w:p w:rsidR="00197CCB" w:rsidRPr="00F34C14" w:rsidRDefault="00197CCB" w:rsidP="00F34C14">
      <w:pPr>
        <w:rPr>
          <w:b/>
        </w:rPr>
      </w:pPr>
      <w:r w:rsidRPr="00F34C14">
        <w:rPr>
          <w:b/>
        </w:rPr>
        <w:lastRenderedPageBreak/>
        <w:t>Introduction</w:t>
      </w:r>
      <w:bookmarkEnd w:id="1"/>
    </w:p>
    <w:p w:rsidR="00004554" w:rsidRDefault="00197CCB" w:rsidP="00004554">
      <w:pPr>
        <w:spacing w:afterLines="200" w:after="480" w:line="480" w:lineRule="auto"/>
      </w:pPr>
      <w:r>
        <w:t xml:space="preserve">EPS is an uncommon but serious condition, primarily associated with a prolonged duration of PD. It is characterised by marked fibrosis ‘cocooning’ the gut, leading to functional impairment with malnutrition and obstruction. Histological studies have confirmed that after diagnosis there is a significant intra-peritoneal inflammatory component in EPS patients. </w:t>
      </w:r>
      <w:r w:rsidR="005E389A">
        <w:fldChar w:fldCharType="begin"/>
      </w:r>
      <w:r>
        <w:instrText xml:space="preserve"> ADDIN ZOTERO_ITEM CSL_CITATION {"citationID":"21h3c5rb9k","properties":{"formattedCitation":"{\\rtf \\super 1\\nosupersub{}}","plainCitation":"1"},"citationItems":[{"id":546,"uris":["http://zotero.org/users/1533369/items/XRJD4UEZ"],"uri":["http://zotero.org/users/1533369/items/XRJD4UEZ"],"itemData":{"id":546,"type":"article-journal","title":"Transcriptional patterns in peritoneal tissue of encapsulating peritoneal sclerosis, a complication of chronic peritoneal dialysis","container-title":"PloS one","page":"e56389","volume":"8","issue":"2","source":"NCBI PubMed","abstract":"Encapsulating peritoneal sclerosis (EPS) is a devastating complication of peritoneal dialysis (PD), characterized by marked inflammation and severe fibrosis of the peritoneum, and associated with high morbidity and mortality. EPS can occur years after termination of PD and, in severe cases, leads to intestinal obstruction and ileus requiring surgical intervention. Despite ongoing research, the pathogenesis of EPS remains unclear. We performed a global transcriptome analysis of peritoneal tissue specimens from EPS patients, PD patients without EPS, and uremic patients without history of PD or EPS (Uremic). Unsupervised and supervised bioinformatics analysis revealed distinct transcriptional patterns that discriminated these three clinical groups. The analysis identified a signature of 219 genes expressed differentially in EPS as compared to PD and Uremic groups. Canonical pathway analysis of differentially expressed genes showed enrichment in several pathways, including antigen presentation, dendritic cell maturation, B cell development, chemokine signaling and humoral and cellular immunity (P value&lt;0.05). Further interactive network analysis depicted effects of EPS-associated genes on networks linked to inflammation, immunological response, and cell proliferation. Gene expression changes were confirmed by qRT-PCR for a subset of the differentially expressed genes. EPS patient tissues exhibited elevated expression of genes encoding sulfatase1, thrombospondin 1, fibronectin 1 and alpha smooth muscle actin, among many others, while in EPS and PD tissues mRNAs encoding leptin and retinol-binding protein 4 were markedly down-regulated, compared to Uremic group patients. Immunolocalization of Collagen 1 alpha 1 revealed that Col1a1 protein was predominantly expressed in the submesothelial compact zone of EPS patient peritoneal samples, whereas PD patient peritoneal samples exhibited homogenous Col1a1 staining throughout the tissue samples. The results are compatible with the hypothesis that encapsulating peritoneal sclerosis is a distinct pathological process from the simple peritoneal fibrosis that accompanies all PD treatment.","DOI":"10.1371/journal.pone.0056389","ISSN":"1932-6203","note":"PMID: 23418565","journalAbbreviation":"PLoS ONE","language":"eng","author":[{"family":"Reimold","given":"Fabian R"},{"family":"Braun","given":"Niko"},{"family":"Zsengellér","given":"Zsuzsanna K"},{"family":"Stillman","given":"Isaac E"},{"family":"Karumanchi","given":"S Ananth"},{"family":"Toka","given":"Hakan R"},{"family":"Latus","given":"Joerg"},{"family":"Fritz","given":"Peter"},{"family":"Biegger","given":"Dagmar"},{"family":"Segerer","given":"Stephan"},{"family":"Alscher","given":"M Dominik"},{"family":"Bhasin","given":"Manoj K"},{"family":"Alper","given":"Seth L"}],"issued":{"date-parts":[["2013"]]},"PMID":"23418565"}}],"schema":"https://github.com/citation-style-language/schema/raw/master/csl-citation.json"} </w:instrText>
      </w:r>
      <w:r w:rsidR="005E389A">
        <w:fldChar w:fldCharType="separate"/>
      </w:r>
      <w:r w:rsidRPr="004F471A">
        <w:rPr>
          <w:szCs w:val="24"/>
          <w:vertAlign w:val="superscript"/>
        </w:rPr>
        <w:t>1</w:t>
      </w:r>
      <w:r w:rsidR="005E389A">
        <w:fldChar w:fldCharType="end"/>
      </w:r>
      <w:r>
        <w:t xml:space="preserve"> PD induces intra-peritoneal inflammation during routine PD </w:t>
      </w:r>
      <w:r w:rsidR="005E389A">
        <w:fldChar w:fldCharType="begin"/>
      </w:r>
      <w:r w:rsidR="005A6DBC">
        <w:instrText xml:space="preserve"> ADDIN ZOTERO_ITEM CSL_CITATION {"citationID":"mlicsnrbu","properties":{"formattedCitation":"{\\rtf \\super 2\\uc0\\u8211{}5\\nosupersub{}}","plainCitation":"2–5"},"citationItems":[{"id":342,"uris":["http://zotero.org/users/1533369/items/KZCEPRKV"],"uri":["http://zotero.org/users/1533369/items/KZCEPRKV"],"itemData":{"id":342,"type":"article-journal","title":"Independent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Investigators"}],"issued":{"date-parts":[["2013",9,5]]},"PMID":"24009237"}},{"id":1261,"uris":["http://zotero.org/users/1533369/items/U2QE358A"],"uri":["http://zotero.org/users/1533369/items/U2QE358A"],"itemData":{"id":1261,"type":"article-journal","title":"Peritoneal dialysis fluid induces change of mononuclear phagocyte proportions","container-title":"Kidney International","page":"20-26","volume":"36","issue":"1","source":"NCBI PubMed","abstract":"Peritoneal macrophages from uninfected continuous ambulatory peritoneal dialysis (CAPD) patients in general show two different, endogenous peroxidase activity (PA) patterns: exudate and negative. This suggests, in accordance with the animal model, that these macrophages are changed proportionately in CAPD patients. This chronic change may be caused by mechanical stimulation alone (massage) or the composition of the dialysis fluid used. Therefore in the rat model both physiological saline and commercial dialysis fluid were intraperitoneally (i.p.) administrated. Our results on the PA-pattern of peritoneal macrophages do indicate that a single i.p. administration of commercial dialysis fluid induced an acute exudate, especially when compared with the minor saline effect. These results are confirmed by the percentage of macrophages positive for a differentiation antigen recognized by the monoclonal antibody ED2. In addition the percentage of Fc-receptor positive peritoneal cells is more enhanced after i.p. injection of dialysis fluid when compared with the saline effect. These findings strongly suggest that the dialysis fluid used in peritoneal dialysis patients is the inducer of exudate peritoneal macrophages in these patients.","ISSN":"0085-2538","note":"PMID: 2681926","journalAbbreviation":"Kidney Int.","language":"eng","author":[{"family":"Bos","given":"H. J."},{"family":"Meyer","given":"F."},{"family":"Veld","given":"J. C.","non-dropping-particle":"de"},{"family":"Beelen","given":"R. H."}],"issued":{"date-parts":[["1989",7]]},"PMID":"2681926"}},{"id":1259,"uris":["http://zotero.org/users/1533369/items/P4C5ACVK"],"uri":["http://zotero.org/users/1533369/items/P4C5ACVK"],"itemData":{"id":1259,"type":"article-journal","title":"Immuno-effector characteristics of peritoneal cells during CAPD treatment: a longitudinal study","container-title":"Kidney International","page":"641-648","volume":"43","issue":"3","source":"NCBI PubMed","abstract":"Peritoneal cells (PC) from 75 patients were immuno-phenotypically and functionally characterized during the first year of CAPD treatment (PCcapd) and compared to PC obtained by laparoscopy of healthy women (control peritoneal cells). Patients were divided, according to their peritonitis incidence (PI), into a high PI (HPI) and a low PI group (LPI). The yield of PCcapd decreased significantly over the year. The differential cell count and immunophenotype of PCcapd remained unchanged in the LPI group, but the percentage of macrophages decreased over the year in the HPI group. Macrophages in the PCcapd, when compared to control peritoneal cells, had a less mature phenotype as measured by RFD7 expression but a higher Fc-receptor expression. The PCcapd showed a higher percentage of B cells, CD4 positive T cells and activated T cells bearing HLA-DR/DQ when compared to the control peritoneal cells. Over the year a decrease in chemotactic activity of the PCcapd towards 10(-8) M N-formylmethionyl-leucyl-phenylalanine and dialysis effluent was observed in LPI patients but not in HPI patients. After one year of treatment, a significantly higher percentage of phagocytosing macrophages in the PCcapd of HPI patients was found when compared to LPI patients. During the year there was an increase of immunophagocytosis of PCcapd independent of PI. In conclusion, the CAPD peritoneal cellular immune system showed signs of both immaturity and activation. The decrease in the yield and in the chemotactic activity of PCcapd suggests an adaptation to the chronic stimulus of the dialysis fluid.(ABSTRACT TRUNCATED AT 250 WORDS)","ISSN":"0085-2538","note":"PMID: 8455363","shortTitle":"Immuno-effector characteristics of peritoneal cells during CAPD treatment","journalAbbreviation":"Kidney Int.","language":"eng","author":[{"family":"Betjes","given":"M. G."},{"family":"Tuk","given":"C. W."},{"family":"Struijk","given":"D. G."},{"family":"Krediet","given":"R. T."},{"family":"Arisz","given":"L."},{"family":"Hoefsmit","given":"E. C."},{"family":"Beelen","given":"R. H."}],"issued":{"date-parts":[["1993",3]]},"PMID":"8455363"}},{"id":110,"uris":["http://zotero.org/users/1533369/items/8EBK868X"],"uri":["http://zotero.org/users/1533369/items/8EBK868X"],"itemData":{"id":110,"type":"article-journal","title":"Peritoneal macrophage infiltration is correlated with baseline peritoneal solute transport rate in peritoneal dialysis patients","container-title":"Nephrology, dialysis, transplantation: official publication of the European Dialysis and Transplant Association - European Renal Association","page":"2322-2332","volume":"26","issue":"7","source":"NCBI PubMed","abstract":"BACKGROUND: High baseline peritoneal solute transport rate is reportedly associated with reduced patient and technique survival in continuous peritoneal dialysis (PD) patients. However, the determinants of baseline peritoneal solute transport rate remain uncertain. The aim of this study was to investigate the relationship between peritoneal local inflammation, angiogenesis and systemic inflammation and baseline peritoneal permeability.\nMETHODS: Peritoneal biopsy specimens from 42 pre-dialysis uraemic patients and 11 control individuals were investigated. Immunohistochemistry for CD68-positive macrophages, chymase- and tryptase-positive mast cells, interleukin-6 (IL-6)-positive cells, CD3-positive T cells, CD20-positive B cells, neutrophils and CD31- and pathologische anatomie Leiden-endothelium (PAL-E)-positive blood vessels in the peritoneum was performed. Baseline dialysate-to-plasma ratio for creatinine (D/P Cr) was determined within 6 months of PD induction. Clinical and laboratory parameters were measured at the time of peritoneal biopsy. Factors associated with peritoneal permeability were assessed by multiple linear regression analysis.\nRESULTS: Pre-dialysis uraemic peritoneum showed infiltration by CD68-positive macrophages, and mast cells, as compared with controls. Baseline D/P Cr was correlated with density of CD68-positive macrophages (P &lt; 0.001), IL-6-positive cells (P &lt; 0.001), CD31-positive (P &lt; 0.05) and PAL-E-positive blood vessels (P &lt; 0.05) and serum albumin (P &lt; 0.05). However, baseline peritoneal permeability was not correlated with infiltration by mast cells, B cells, T cells, neutrophils, serum C-reactive protein or other clinical factors. On multiple linear regression analysis, the number of CD68-positive macrophages in peritoneum was an independent predictor for baseline peritoneal permeability (P = 0.009).\nCONCLUSIONS: Peritoneal macrophage infiltration is predominant in uraemic patients and is an important factor in predicting baseline peritoneal permeability.","DOI":"10.1093/ndt/gfq702","ISSN":"1460-2385","note":"PMID: 21098014","journalAbbreviation":"Nephrol. Dial. Transplant.","language":"eng","author":[{"family":"Sawai","given":"Akiho"},{"family":"Ito","given":"Yasuhiko"},{"family":"Mizuno","given":"Masashi"},{"family":"Suzuki","given":"Yasuhiro"},{"family":"Toda","given":"Susumu"},{"family":"Ito","given":"Isao"},{"family":"Hattori","given":"Ryohei"},{"family":"Matsukawa","given":"Yoshihisa"},{"family":"Gotoh","given":"Momokazu"},{"family":"Takei","given":"Yoshifumi"},{"family":"Yuzawa","given":"Yukio"},{"family":"Matsuo","given":"Seiichi"}],"issued":{"date-parts":[["2011",7]]},"PMID":"21098014"}}],"schema":"https://github.com/citation-style-language/schema/raw/master/csl-citation.json"} </w:instrText>
      </w:r>
      <w:r w:rsidR="005E389A">
        <w:fldChar w:fldCharType="separate"/>
      </w:r>
      <w:r w:rsidRPr="004F471A">
        <w:rPr>
          <w:szCs w:val="24"/>
          <w:vertAlign w:val="superscript"/>
        </w:rPr>
        <w:t>2–5</w:t>
      </w:r>
      <w:r w:rsidR="005E389A">
        <w:fldChar w:fldCharType="end"/>
      </w:r>
      <w:r>
        <w:t xml:space="preserve"> but it is not certain if this inflammatory response is greater in those patients who subsequently develop EPS. </w:t>
      </w:r>
    </w:p>
    <w:p w:rsidR="00197CCB" w:rsidRDefault="00004554" w:rsidP="00004554">
      <w:pPr>
        <w:spacing w:afterLines="200" w:after="480" w:line="480" w:lineRule="auto"/>
      </w:pPr>
      <w:r>
        <w:t xml:space="preserve">Increased fibrosis manifesting as a decreased osmotic conductance to glucose is an established risk marker for EPS </w:t>
      </w:r>
      <w:r>
        <w:fldChar w:fldCharType="begin"/>
      </w:r>
      <w:r>
        <w:instrText xml:space="preserve"> ADDIN ZOTERO_ITEM CSL_CITATION {"citationID":"DyE2PqKo","properties":{"formattedCitation":"{\\rtf \\super 20\\uc0\\u8211{}22\\nosupersub{}}","plainCitation":"20–22"},"citationItems":[{"id":558,"uris":["http://zotero.org/users/1533369/items/ZBA6QR4M"],"uri":["http://zotero.org/users/1533369/items/ZBA6QR4M"],"itemData":{"id":558,"type":"article-journal","title":"The peritoneal osmotic conductance is low well before the diagnosis of encapsulating peritoneal sclerosis is made","container-title":"Kidney international","page":"611-618","volume":"78","issue":"6","source":"NCBI PubMed","abstract":"Encapsulating peritoneal sclerosis (EPS) is a serious condition whose frequency is increasing the longer the duration of peritoneal dialysis. To identify prognostic indicators of EPS, we studied here longitudinal changes in peritoneal membrane function of patients who later developed this complication. We identified all patients with an unequivocal diagnosis of EPS who began their peritoneal dialysis in our unit over a 20-year period and matched each of them for dialysis duration and age with four control patients who completed their dialysis. The dialysate/plasma creatinine ratio increased with time in both groups but was significantly higher in the patients with EPS only at the time their dialysis was discontinued. The ultrafiltration capacity was significantly worse for at least 2 years before stopping dialysis, diverging further at the time dialysis ceased, suggesting reduced osmotic conductance in the EPS patients. Both the glucose exposure rate for the 5 years preceding stoppage of dialysis and exposure to the osmotic agent icodextrin were significantly higher. Residual renal function was less in the EPS group, but there was no significant difference in the rates of peritonitis compared to the control group. The 24 h peritoneal protein clearance was not significantly different in EPS patients, possibly due to a greater fibrous matrix. Thus, our study shows that regular peritoneal membrane function tests can identify most patients at high risk of developing EPS before its occurrence.","DOI":"10.1038/ki.2010.186","ISSN":"1523-1755","note":"PMID: 20571473","journalAbbreviation":"Kidney Int.","language":"eng","author":[{"family":"Lambie","given":"Mark L"},{"family":"John","given":"Biju"},{"family":"Mushahar","given":"Lily"},{"family":"Huckvale","given":"Christopher"},{"family":"Davies","given":"Simon J"}],"issued":{"date-parts":[["2010",9]]},"PMID":"20571473"}},{"id":65,"uris":["http://zotero.org/users/1533369/items/5SZQINHB"],"uri":["http://zotero.org/users/1533369/items/5SZQINHB"],"itemData":{"id":65,"type":"article-journal","title":"The time course of peritoneal transport parameters in peritoneal dialysis patients who develop encapsulating peritoneal sclerosis","container-title":"Nephrology, dialysis, transplantation: official publication of the European Dialysis and Transplant Association - European Renal Association","page":"291-298","volume":"26","issue":"1","source":"NCBI PubMed","abstract":"BACKGROUND: Encapsulating peritoneal sclerosis (EPS) is a severe complication of peritoneal dialysis (PD). The first aim was to analyse the risk of EPS in patients who had developed ultrafiltration failure (UFF). The second aim was to identify specific peritoneal transport alterations that distinguish patients with UFF from patients who will develop EPS.\nMETHODS: All patients of this study were treated with PD between July 1995 and December 2008 in the Academic Medical Center, Amsterdam, the Netherlands. Risk analysis: all PD patients who developed UFF after at least 2 years of PD. Peritoneal transport analysis: all patients who had PD for at least 55 months were included: 12 EPS patients, 21 patients with UFF and 26 patients with normal ultrafiltration (UF). The peritoneal function was measured yearly with a standard peritoneal permeability analysis. UFF was defined as net UF &lt; 400 mL after a 4-h dwell with a 3.86% dialysis solution.\nRESULTS: Risk analysis: Of the 48 UFF patients, 10 eventually developed EPS. Fifty percent of the patients who continued PD for more than 3 years after the establishment of UFF developed EPS. Peritoneal function analysis: No differences were present for the time courses of solute transport and fluid transport between the EPS and the UFF groups. Overall, the EPS and normal UF groups had lower values for the effective lymphatic absorption rate (ELAR) than the UFF group.\nCONCLUSIONS: The risk of EPS increases with continuation of PD while UFF is present. Transport characteristics are similar between EPS patients and UFF patients without this complication. A constantly low ELAR may distinguish the EPS patients from those with UFF only.","DOI":"10.1093/ndt/gfq343","ISSN":"1460-2385","note":"PMID: 20566569","journalAbbreviation":"Nephrol. Dial. Transplant.","language":"eng","author":[{"family":"Sampimon","given":"Denise E"},{"family":"Coester","given":"Annemieke M"},{"family":"Struijk","given":"Dirk G"},{"family":"Krediet","given":"Raymond T"}],"issued":{"date-parts":[["2011",1]]},"PMID":"20566569"}},{"id":1277,"uris":["http://zotero.org/users/1533369/items/64CNMZC5"],"uri":["http://zotero.org/users/1533369/items/64CNMZC5"],"itemData":{"id":1277,"type":"article-journal","title":"Interstitial Fibrosis Restricts Osmotic Water Transport in Encapsulating Peritoneal Sclerosis","container-title":"Journal of the American Society of Nephrology: JASN","source":"NCBI PubMed","abstract":"Encapsulating peritoneal sclerosis (EPS) is a rare but severe complication of peritoneal dialysis (PD) characterized by extensive fibrosis of the peritoneum. Changes in peritoneal water transport may precede EPS, but the mechanisms and potential predictive value of that transport defect are unknown. Among 234 patients with ESRD who initiated PD at our institution over a 20-year period, 7 subsequently developed EPS. We evaluated changes in peritoneal transport over time on PD in these 7 patients and in 28 matched controls using 3.86% glucose peritoneal equilibration tests. Compared with long-term PD controls, patients with EPS showed early loss of ultrafiltration capacity and sodium sieving before the onset of overt EPS. Multivariate analysis revealed that loss of sodium sieving was the most powerful predictor of EPS. Compared with long-term PD control and uremic peritoneum, EPS peritoneum showed thicker submesothelial fibrosis, with increased collagen density and a greater amount of thick collagen fibers. Reduced osmotic conductance strongly correlated with the degree of peritoneal fibrosis, but not with vasculopathy. Peritoneal fibrosis was paralleled by an excessive upregulation of vascular endothelial growth factor and endothelial nitric oxide synthase, but the expression of endothelial aquaporin-1 water channels was unaltered. Our findings suggest that an early and disproportionate reduction in osmotic conductance during the course of PD is an independent predictor of EPS. This functional change is linked to specific alterations of the collagen matrix in the peritoneal membrane of patients with EPS, thereby validating the serial three-pore membrane/fiber matrix and distributed models of peritoneal transport.","DOI":"10.1681/ASN.2014090939","ISSN":"1533-3450","note":"PMID: 25636412","journalAbbreviation":"J. Am. Soc. Nephrol.","language":"ENG","author":[{"family":"Morelle","given":"Johann"},{"family":"Sow","given":"Amadou"},{"family":"Hautem","given":"Nicolas"},{"family":"Bouzin","given":"Caroline"},{"family":"Crott","given":"Ralph"},{"family":"Devuyst","given":"Olivier"},{"family":"Goffin","given":"Eric"}],"issued":{"date-parts":[["2015",1,30]]},"PMID":"25636412"}}],"schema":"https://github.com/citation-style-language/schema/raw/master/csl-citation.json"} </w:instrText>
      </w:r>
      <w:r>
        <w:fldChar w:fldCharType="separate"/>
      </w:r>
      <w:r w:rsidRPr="005A0F6E">
        <w:rPr>
          <w:szCs w:val="24"/>
          <w:vertAlign w:val="superscript"/>
        </w:rPr>
        <w:t>20–22</w:t>
      </w:r>
      <w:r>
        <w:fldChar w:fldCharType="end"/>
      </w:r>
      <w:r>
        <w:t xml:space="preserve">. There is strong evidence that inflammation drives fibrosis in a wide variety of pathologies, and animal models of PD suggest that IL-6 signalling in recurrent inflammation is key. </w:t>
      </w:r>
      <w:r>
        <w:fldChar w:fldCharType="begin"/>
      </w:r>
      <w:r>
        <w:instrText xml:space="preserve"> ADDIN ZOTERO_ITEM CSL_CITATION {"citationID":"2k09a90o7h","properties":{"formattedCitation":"{\\rtf \\super 23\\nosupersub{}}","plainCitation":"23"},"citationItems":[{"id":1275,"uris":["http://zotero.org/users/1533369/items/W84SFJXI"],"uri":["http://zotero.org/users/1533369/items/W84SFJXI"],"itemData":{"id":1275,"type":"article-journal","title":"Interleukin-6 Signaling Drives Fibrosis in Unresolved Inflammation","container-title":"Immunity","page":"40-50","volume":"40","issue":"1","source":"PubMed Central","abstract":"Fibrosis in response to tissue damage or persistent inflammation is a pathological hallmark of many chronic degenerative diseases. By using a model of acute peritoneal inflammation, we have examined how repeated inflammatory activation promotes fibrotic tissue injury. In this context, fibrosis was strictly dependent on interleukin-6 (IL-6). Repeat inflammation induced IL-6-mediated T helper 1 (Th1) cell effector commitment and the emergence of STAT1 (signal transducer and activator of transcription-1) activity within the peritoneal membrane. Fibrosis was not observed in mice lacking interferon-γ (IFN-γ), STAT1, or RAG-1. Here, IFN-γ and STAT1 signaling disrupted the turnover of extracellular matrix by metalloproteases. Whereas IL-6-deficient mice resisted fibrosis, transfer of polarized Th1 cells or inhibition of MMP activity reversed this outcome. Thus, IL-6 causes compromised tissue repair by shifting acute inflammation into a more chronic profibrotic state through induction of Th1 cell responses as a consequence of recurrent inflammation., \n          \n            \n              •\n              Repeated acute resolving inflammation leads to excessive tissue damage\n            \n            \n              •\n              IL-6 regulates profibrotic IFN-γ-secreting T cells\n            \n            \n              •\n              IFN-γ increases detrimental STAT1 signaling in stromal tissue\n            \n            \n              •\n              STAT1 activity alters homeostatic control of extracellular matrix to promote fibrosis","DOI":"10.1016/j.immuni.2013.10.022","ISSN":"1074-7613","note":"PMID: 24412616\nPMCID: PMC3919204","journalAbbreviation":"Immunity","author":[{"family":"Fielding","given":"Ceri A."},{"family":"Jones","given":"Gareth W."},{"family":"McLoughlin","given":"Rachel M."},{"family":"McLeod","given":"Louise"},{"family":"Hammond","given":"Victoria J."},{"family":"Uceda","given":"Javier"},{"family":"Williams","given":"Anwen S."},{"family":"Lambie","given":"Mark"},{"family":"Foster","given":"Thomas L."},{"family":"Liao","given":"Chia-Te"},{"family":"Rice","given":"Christopher M."},{"family":"Greenhill","given":"Claire J."},{"family":"Colmont","given":"Chantal S."},{"family":"Hams","given":"Emily"},{"family":"Coles","given":"Barbara"},{"family":"Kift-Morgan","given":"Ann"},{"family":"Newton","given":"Zarabeth"},{"family":"Craig","given":"Katherine J."},{"family":"Williams","given":"John D."},{"family":"Williams","given":"Geraint T."},{"family":"Davies","given":"Simon J."},{"family":"Humphreys","given":"Ian R."},{"family":"O’Donnell","given":"Valerie B."},{"family":"Taylor","given":"Philip R."},{"family":"Jenkins","given":"Brendan J."},{"family":"Topley","given":"Nicholas"},{"family":"Jones","given":"Simon A."}],"issued":{"date-parts":[["2014",1,16]]},"PMID":"24412616","PMCID":"PMC3919204"}}],"schema":"https://github.com/citation-style-language/schema/raw/master/csl-citation.json"} </w:instrText>
      </w:r>
      <w:r>
        <w:fldChar w:fldCharType="separate"/>
      </w:r>
      <w:r w:rsidRPr="005A0F6E">
        <w:rPr>
          <w:szCs w:val="24"/>
          <w:vertAlign w:val="superscript"/>
        </w:rPr>
        <w:t>23</w:t>
      </w:r>
      <w:r>
        <w:fldChar w:fldCharType="end"/>
      </w:r>
      <w:r>
        <w:t xml:space="preserve"> This suggests that the risk of EPS is likely associated with an inflammation-induced fibrotic response. Our recent data from proteomic analysis of EPS prone patients supports the notion that ongoing inflammation and extracellular matrix turnover are critical processes in its development (data not shown).</w:t>
      </w:r>
    </w:p>
    <w:p w:rsidR="00197CCB" w:rsidRDefault="00197CCB" w:rsidP="00F34C14">
      <w:pPr>
        <w:spacing w:line="480" w:lineRule="auto"/>
      </w:pPr>
      <w:r>
        <w:t xml:space="preserve">It is also now clear that increased intra-peritoneal inflammation is a strong predictor of PSTR as evidenced by higher levels of IL-6. </w:t>
      </w:r>
      <w:r w:rsidR="005E389A">
        <w:fldChar w:fldCharType="begin"/>
      </w:r>
      <w:r w:rsidR="00500FFC">
        <w:instrText xml:space="preserve"> ADDIN ZOTERO_ITEM CSL_CITATION {"citationID":"EFHZgiQV","properties":{"formattedCitation":"{\\rtf \\super 2,6\\uc0\\u8211{}8\\nosupersub{}}","plainCitation":"2,6–8"},"citationItems":[{"id":342,"uris":["http://zotero.org/users/1533369/items/KZCEPRKV"],"uri":["http://zotero.org/users/1533369/items/KZCEPRKV"],"itemData":{"id":342,"type":"article-journal","title":"Independent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Investigators"}],"issued":{"date-parts":[["2013",9,5]]},"PMID":"24009237"}},{"id":345,"uris":["http://zotero.org/users/1533369/items/M59EB87N"],"uri":["http://zotero.org/users/1533369/items/M59EB87N"],"itemData":{"id":345,"type":"article-journal","title":"Systemic and intraperitoneal interleukin-6 system during the first year of peritoneal dialysis","container-title":"Peritoneal dialysis international: journal of the International Society for Peritoneal Dialysis","page":"53-63","volume":"26","issue":"1","source":"NCBI PubMed","abstract":"OBJECTIVE: To investigate if intraperitoneal and systemic interleukin-6 (IL-6) and soluble IL-6 receptor (sIL-6R) are related to each other and to peritoneal solute transport rate (PSTR).\nDESIGN: Longitudinal study in retrospectively selected patients.\nSETTING: Peritoneal dialysis (PD) unit of a university-based hospital.\nPATIENTS AND METHODS: 31 PD patients on treatment with conventional glucose-based solutions participated in a longitudinal study. IL-6 and sIL-6R were measured in plasma and overnight effluent, both at baseline and after 12 +/- 2 months on PD. C-reactive protein (CRP) and serum albumin were used as surrogate markers of inflammation. PSTR of small solutes was evaluated using the dialysate-to-plasma ratio (D/P) of creatinine after a 4-hour dwell; PSTR of large solutes was evaluated using the 24-hour D/P ratio of albumin.\nRESULTS: D/P creat increased over time (0.67 +/- 0.15 vs 0.80 +/- 0.11, p &lt; 0.0001) and correlated to D/P albumin only at the baseline evaluation. Patients with plasma IL-6 &gt; or = median had higher (p &lt; 0.005) D/P creat at baseline [0.74 (0.62 - 0.87)] compared to patients with IL-6 &lt; median [0.57 (0.47 - 0.66)]. Dialysate IL-6 at baseline was also higher (p &lt; 0.05) in patients with plasma IL-6 &gt; or = median [24.7 (16.5 - 38.5) pg/mL] compared to patients with IL-6 &lt; median [14.1 (10 - 25.7) pg/mL]. Neither CRP nor albumin changed over time on PD, although they were closely linked to plasma IL-6 levels. A strong positive correlation was found between D/P creat and dialysate IL-6 (rho = 0.77, p &lt; 0.0001) at baseline, but not at 1 year. In contrast, there was a significant correlation between D/P creat and dialysate sIL-6R (rho = 0.39, p &lt; 0.05) at 1 year, but not at baseline. At 1 year, 17 patients with increasing PSTR had higher increases in dialysate IL-6 (28 +/- 26 vs -21 +/- 78 pg/mL, p &lt; 0.05) and levels of dialysate sIL-6R (693 +/- 392 vs 394 +/- 274 pg/mL, p = 0.05) compared to patients with stable PSTR (n = 11). Patients who had peritonitis presented higher baseline serum IL-6 concentration (6.8 +/- 1.0 pg/mL) compared with patients without peritonitis (4.0 +/- 0.6 pg/mL, p &lt; 0.05). Finally, both at baseline and after 1 year, there were significant correlations between plasma and dialysate IL-6 (rho = 0.46, p &lt; 0.05, and rho = 0.40, p &lt; 0.05) respectively.\nCONCLUSIONS: These findings indicate that, (1) intraperitoneal and systemic inflammation increase in PD patients during the first year of therapy; (2) intraperitoneal and systemic inflammation may be interrelated and the IL-6 system may be the link; (3) the IL-6 system (both intraperitoneal and systemic) is associated with PSTR, particularly in the early phase of PD treatment, in which small and large solute transport are linked. Signs of a transition between acute and chronic inflammation were observed in the follow-up evaluation. Inflammation may, at least in part, be responsible for the development of a high PSTR, and this could be one reason for the high mortality in patients with high PSTR.","ISSN":"0896-8608","note":"PMID: 16538876","journalAbbreviation":"Perit Dial Int","language":"eng","author":[{"family":"Pecoits-Filho","given":"Roberto"},{"family":"Carvalho","given":"Maria João"},{"family":"Stenvinkel","given":"Peter"},{"family":"Lindholm","given":"Bengt"},{"family":"Heimbürger","given":"Olof"}],"issued":{"date-parts":[["2006",2]]},"PMID":"16538876"}},{"id":386,"uris":["http://zotero.org/users/1533369/items/P66QA2Z6"],"uri":["http://zotero.org/users/1533369/items/P66QA2Z6"],"itemData":{"id":386,"type":"article-journal","title":"Intra-peritoneal interleukin-6 system is a potent determinant of the baseline peritoneal solute transport in incident peritoneal dialysis patients","container-title":"Nephrology, dialysis, transplantation: official publication of the European Dialysis and Transplant Association - European Renal Association","page":"1639-1646","volume":"25","issue":"5","source":"NCBI PubMed","abstract":"BACKGROUND: Interleukin-6 (IL-6) is a key player in modulating inflammation. IL-6 and soluble IL-6 receptor (sIL-6R) complex induces the synthesis and secretion of various chemokines, adhesion molecules and angiogenic molecules. We hypothesized that the baseline peritoneal solute transport rate (PSTR) early after commencing peritoneal dialysis (PD) may depend largely on the IL-6/sIL-6R system. We also hypothesized that the dialysate concentrations of IL-6/sIL-6R could be closely related to local inflammation or angiogenesis in the peritoneal cavity.\nMETHODS: Fifty incident patients with a modified peritoneal equilibration test result within 3 months after commencing PD and without a previous history of peritonitis were enrolled. Clinical parameters such as age, sex, comorbid disease, body mass index, residual renal function and C-reactive protein were assessed. Serum and dialysate markers including CA125, IL-6, sIL-6R, monocyte chemoattractant protein-1 (MCP-1), vascular endothelial growth factor (VEGF) and angiopoietin-2 (Ang-2) were measured and correlated with PSTR.\nRESULTS: Dialysate concentrations of IL-6 (r = 0.576, P &lt; 0.001), MCP-1 (r = 0.408, P = 0.003) and Ang-2 (r = 0.408, P = 0.003) correlated with mass transfer area coefficient for creatinine (MTAC(cr)), respectively. Dialysate appearance rate (AR) of albumin correlated with dialysate concentrations of CA125 (r = 0.751, P &lt; 0.001), IL-6 (r = 0.303, P = 0.039), sIL-6R (r = 0.497, P &lt; 0.001), MCP-1 (r = 0.488, P &lt; 0.001), VEGF (r = 0.443, P = 0.004) and Ang-2 (r = 0.488, P &lt; 0.001). Neither MTAC(cr) nor AR of albumin was associated with systemic markers. Multivariate analysis showed that MTAC(cr) is independently associated with dialysate IL-6 and serum albumin. It also showed that AR of albumin is independently predicted by dialysate sIL-6R. Dialysate IL-6 correlated with dialysate concentrations of CA125 MCP-1, VEGF and Ang-2.\nCONCLUSION: Our study from incident PD patients suggested that (i) dialysate the IL-6 system is a potent determinant of baseline PSTR and (ii) elevation of IL-6 in the dialysate is associated with up-regulation of intra-peritoneal inflammatory and angiogenic molecules.","DOI":"10.1093/ndt/gfp670","ISSN":"1460-2385","note":"PMID: 20061317","journalAbbreviation":"Nephrol. Dial. Transplant.","language":"eng","author":[{"family":"Oh","given":"Kook-Hwan"},{"family":"Jung","given":"Ji Yong"},{"family":"Yoon","given":"Myeong Ok"},{"family":"Song","given":"Aeran"},{"family":"Lee","given":"Hajeong"},{"family":"Ro","given":"Han"},{"family":"Hwang","given":"Young-Hwan"},{"family":"Kim","given":"Dong Ki"},{"family":"Margetts","given":"Peter"},{"family":"Ahn","given":"Curie"}],"issued":{"date-parts":[["2010",5]]},"PMID":"20061317"}},{"id":207,"uris":["http://zotero.org/users/1533369/items/DFZBZ5T8"],"uri":["http://zotero.org/users/1533369/items/DFZBZ5T8"],"itemData":{"id":207,"type":"article-journal","title":"Impact of systemic and local peritoneal inflammation on peritoneal solute transport rate in new peritoneal dialysis patients: a 1-year prospective study","container-title":"Nephrology, dialysis, transplantation: official publication of the European Dialysis and Transplant Association - European Renal Association","page":"1964-1973","volume":"25","issue":"6","source":"NCBI PubMed","abstract":"BACKGROUND: The association between peritoneal solute transport rates (PSTRs) and inflammatory markers in patients on peritoneal dialysis (PD) is still under investigation. We aimed to elucidate their relationship during the first year on PD.\nMETHODS: We performed a prospective observational study with 187 incident PD patients who were treated with either biocompatible solution (BCS) or conventional solution (CS). Peritoneal dialysate effluent (PDE) and blood samples for the markers and the calculation of mass transfer area coefficient of creatinine (MTAC) were performed at 1, 6 and 12 months after commencing PD.\nRESULTS: Of the 187 enrolled patients, 110 completed a 1-year study protocol. All PDE markers [interleukin-6 (IL-6), transforming growth factor-beta (TGF-beta), TGF-beta-induced gene-h3 (beta ig-h3), vascular endothelial growth factor (VEGF)] except CA125 increased over time, whereas PSTRs, high-sensitivity C-reactive protein (hs-CRP) and serum IL-6 levels did not change. Serum albumin and log PDE appearance rates (ARs) of IL-6, TGF-beta and CA125 predicted MTAC. The Delta value (12-month minus 1-month) of PDE AR of IL-6 was correlated with those of all other PDE markers. Both 12-month IL-6 and Delta IL-6 ARs in PDE were highest in the upper Delta MTAC tertile. PSTRs in the CS group, unlike BCS, had a tendency to increase over time, demonstrating a time-by-group interaction. Solution type and MTAC were not associated with patient and technique survival.\nCONCLUSIONS: The change in PSTR during the first year of PD is related to PDE IL-6 AR, which may represent intraperitoneal inflammation; however, there does not seem to be a close association between PSTR and the degree of systemic inflammation.","DOI":"10.1093/ndt/gfp767","ISSN":"1460-2385","note":"PMID: 20100731","shortTitle":"Impact of systemic and local peritoneal inflammation on peritoneal solute transport rate in new peritoneal dialysis patients","journalAbbreviation":"Nephrol. Dial. Transplant.","language":"eng","author":[{"family":"Cho","given":"Ji-Hyung"},{"family":"Hur","given":"In-Kyong"},{"family":"Kim","given":"Chan-Duck"},{"family":"Park","given":"Sun-Hee"},{"family":"Ryu","given":"Hye-Myung"},{"family":"Yook","given":"Ju-Min"},{"family":"Choi","given":"Ji-Young"},{"family":"Choi","given":"Hee-Jung"},{"family":"Choi","given":"Hyuk-Joon"},{"family":"Park","given":"Jong-Won"},{"family":"Do","given":"Jun-Young"},{"family":"Kim","given":"Yong-Lim"}],"issued":{"date-parts":[["2010",6]]},"PMID":"20100731"}}],"schema":"https://github.com/citation-style-language/schema/raw/master/csl-citation.json"} </w:instrText>
      </w:r>
      <w:r w:rsidR="005E389A">
        <w:fldChar w:fldCharType="separate"/>
      </w:r>
      <w:r w:rsidRPr="004F471A">
        <w:rPr>
          <w:szCs w:val="24"/>
          <w:vertAlign w:val="superscript"/>
        </w:rPr>
        <w:t>2,6–8</w:t>
      </w:r>
      <w:r w:rsidR="005E389A">
        <w:fldChar w:fldCharType="end"/>
      </w:r>
      <w:r>
        <w:t xml:space="preserve"> Faster solute transport in patients who develop EPS is a consistent finding in most case series published </w:t>
      </w:r>
      <w:r w:rsidR="005E389A">
        <w:fldChar w:fldCharType="begin"/>
      </w:r>
      <w:r w:rsidR="00500FFC">
        <w:instrText xml:space="preserve"> ADDIN ZOTERO_ITEM CSL_CITATION {"citationID":"6qsFcS9l","properties":{"formattedCitation":"{\\rtf \\super 9\\uc0\\u8211{}11\\nosupersub{}}","plainCitation":"9–11"},"citationItems":[{"id":497,"uris":["http://zotero.org/users/1533369/items/URTPNCU6"],"uri":["http://zotero.org/users/1533369/items/URTPNCU6"],"itemData":{"id":497,"type":"article-journal","title":"High-transport membrane is a risk factor for encapsulating peritoneal sclerosis developing after long-term continuous ambulatory peritoneal dialysis treatment","container-title":"Advances in peritoneal dialysis. Conference on Peritoneal Dialysis","page":"131-134","volume":"18","source":"NCBI PubMed","abstract":"Increased peritoneal function has been suggested to be a risk factor for developing encapsulating peritoneal sclerosis (EPS); however, clinical evidence is scarce. The present study aimed to clarify the specific character of peritoneal function in patients who developed EPS after withdrawal from peritoneal dialysis (PD). We studied 12 patients who developed EPS after PD withdrawal [(EPS group) mean PD duration: 109 months; mean period of EPS development: 7.0 months after withdrawal] and 128 patients who did not develop EPS (non EPS group). All 140 patients were withdrawn from continuous ambulatory peritoneal dialysis (CAPD) and were observed for the following 24 months. Based on the records of the annual peritoneal equilibration tests (PETs), we analyzed (1) the patients' dialysate-to-plasma (D/P) creatinine at various durations on PD, and (2) the accumulative appearance incidence of high-transport (HT) state of peritoneal membrane. The mean D/P creatinine in EPS group was significantly higher than that in the non EPS group in the course of PD from the 6th to the 10th year. The accumulative incidence of HT was significantly higher in the EPS group than in the non EPS group, indicating early development of HT membrane in EPS group. Early development of increased D/P creatinine, classified as HT state, was observed during certain periods on PD in patients who developed EPS after PD withdrawal. That finding may indicate that HT state of peritoneal membrane is an early marker for EPS, and that the PET is useful to detect patients at high risk of EPS.","ISSN":"1197-8554","note":"PMID: 12402604","journalAbbreviation":"Adv Perit Dial","language":"eng","author":[{"family":"Yamamoto","given":"Ryo"},{"family":"Nakayama","given":"Masaaki"},{"family":"Hasegawa","given":"Toshio"},{"family":"Miwako","given":"Numata"},{"family":"Yamamoto","given":"Hiroyasu"},{"family":"Yokoyami","given":"Keitaro"},{"family":"Ikeda","given":"Masato"},{"family":"Kato","given":"Naohiko"},{"family":"Hayakawa","given":"Hiroshi"},{"family":"Takahashi","given":"Hajime"},{"family":"Otsuka","given":"Yasushi"},{"family":"Kawaguchi","given":"Yoshindo"},{"family":"Hosoya","given":"Tastuo"}],"issued":{"date-parts":[["2002"]]},"PMID":"12402604"}},{"id":224,"uris":["http://zotero.org/users/1533369/items/EFWZD9G7"],"uri":["http://zotero.org/users/1533369/items/EFWZD9G7"],"itemData":{"id":224,"type":"article-journal","title":"Risk factors associated with encapsulating peritoneal sclerosis in Dutch EPS study","container-title":"Peritoneal dialysis international: journal of the International Society for Peritoneal Dialysis","page":"269-278","volume":"31","issue":"3","source":"NCBI PubMed","abstract":"OBJECTIVE: Encapsulating peritoneal sclerosis (EPS) is a serious complication of peritoneal dialysis (PD) with a multifactorial pathophysiology and possible increasing incidence. The aim of the present study was to evaluate the independent associations of PD duration, age, dialysis fluids, and kidney transplantation with EPS.\nMETHODS: A multicenter case-control study was performed in the Netherlands from 1 January 1996 until 1 July 2007. The population comprised 63 patients with EPS and 126 control patients. Control patients were selected from the national registry and were matched for date of PD start. Associations were analyzed using a log linear regression model. Primary outcome was appearance of EPS.\nRESULTS: Compared with control patients, patients with EPS were younger at the start of PD (34.7 ± 15.4 years vs. 51.5 ± 14.7 years, p &lt; 0.0001). The cumulative period on PD was longer in EPS patients than in control patients (78.7 ± 37.8 months vs. 32.8 ± 24 months, p &lt; 0.0001), and the cumulative period on icodextrin was also longer in EPS patients (32.7 ± 23.3 months vs. 18.1 ± 15.7 months, p = 0.006). Compared with control patients, more EPS patients underwent kidney transplantation (47 vs. 59, p &lt; 0.0001). With regard to the period after transplantation, the yearly probability of EPS increased in the year after transplantation to 7.5% from 1.75%. In multivariate regression analysis, cumulative PD duration, age at PD start, transplantation, time from last transplantation to EPS, calendar time, time on icodextrin, and ultrafiltration failure were independently associated with EPS. Transfer from PD to hemodialysis for reasons other than suspected EPS could not be identified as a risk factor for EPS.\nCONCLUSIONS: Duration of PD, age at PD start, kidney transplantation, time since last transplantation, ultrafiltration failure, and time on icodextrin were associated with a higher risk of EPS.","DOI":"10.3747/pdi.2010.00167","ISSN":"1718-4304","note":"PMID: 21454391","journalAbbreviation":"Perit Dial Int","language":"eng","author":[{"family":"Korte","given":"Mario R"},{"family":"Sampimon","given":"Denise E"},{"family":"Lingsma","given":"Hester F"},{"family":"Fieren","given":"Marien W"},{"family":"Looman","given":"Caspar W N"},{"family":"Zietse","given":"Robert"},{"family":"Weimar","given":"Willem"},{"family":"Betjes","given":"Michiel G H"},{"literal":"Dutch Multicenter EPS Study"}],"issued":{"date-parts":[["2011",6]]},"PMID":"21454391"}},{"id":34,"uris":["http://zotero.org/users/1533369/items/48AZQUVE"],"uri":["http://zotero.org/users/1533369/items/48AZQUVE"],"itemData":{"id":34,"type":"article-journal","title":"Recommendations on the management of encapsulating peritoneal sclerosis in Japan, 2005: diagnosis, predictive markers, treatment, and preventive measures","container-title":"Peritoneal dialysis international: journal of the International Society for Peritoneal Dialysis","page":"S83-95","volume":"25 Suppl 4","source":"NCBI PubMed","abstract":"This comprehensive update on the management of encapsulating peritoneal sclerosis incorporates insights gained from recently published findings and the accumulated experience of the authors. Aspects covered include diagnosis, risk factors and predictive markers, treatment, and prevention, including criteria for withdrawal from peritoneal dialysis.","ISSN":"0896-8608","note":"PMID: 16300277","shortTitle":"Recommendations on the management of encapsulating peritoneal sclerosis in Japan, 2005","journalAbbreviation":"Perit Dial Int","language":"eng","author":[{"family":"Kawaguchi","given":"Yoshindo"},{"family":"Saito","given":"Akira"},{"family":"Kawanishi","given":"Hideki"},{"family":"Nakayama","given":"Masaaki"},{"family":"Miyazaki","given":"Masanobu"},{"family":"Nakamoto","given":"Hidetomo"},{"family":"Tranaeus","given":"Anders"}],"issued":{"date-parts":[["2005",4]]},"PMID":"16300277"}}],"schema":"https://github.com/citation-style-language/schema/raw/master/csl-citation.json"} </w:instrText>
      </w:r>
      <w:r w:rsidR="005E389A">
        <w:fldChar w:fldCharType="separate"/>
      </w:r>
      <w:r w:rsidRPr="004F471A">
        <w:rPr>
          <w:szCs w:val="24"/>
          <w:vertAlign w:val="superscript"/>
        </w:rPr>
        <w:t>9–11</w:t>
      </w:r>
      <w:r w:rsidR="005E389A">
        <w:fldChar w:fldCharType="end"/>
      </w:r>
      <w:r>
        <w:t xml:space="preserve"> which suggests increased inflammation but neoangiogenesis could also contribute to this difference. Two case-control studies have shown that dialysate effluent IL-6 was significantly higher in the EPS group, one at </w:t>
      </w:r>
      <w:r w:rsidR="001E2E64">
        <w:t xml:space="preserve">two </w:t>
      </w:r>
      <w:r>
        <w:t xml:space="preserve">years prior to EPS diagnosis but not at other time points measured, the other at </w:t>
      </w:r>
      <w:r w:rsidR="001E2E64">
        <w:t xml:space="preserve">one </w:t>
      </w:r>
      <w:r>
        <w:t xml:space="preserve">year prior. </w:t>
      </w:r>
      <w:r w:rsidR="005E389A">
        <w:fldChar w:fldCharType="begin"/>
      </w:r>
      <w:r w:rsidR="005A6DBC">
        <w:instrText xml:space="preserve"> ADDIN ZOTERO_ITEM CSL_CITATION {"citationID":"ruQ2Kqli","properties":{"formattedCitation":"{\\rtf \\super 12,13\\nosupersub{}}","plainCitation":"12,13"},"citationItems":[{"id":198,"uris":["http://zotero.org/users/1533369/items/D64XCH4Z"],"uri":["http://zotero.org/users/1533369/items/D64XCH4Z"],"itemData":{"id":198,"type":"article-journal","title":"Early diagnostic markers for encapsulating peritoneal sclerosis: a case-control study","container-title":"Peritoneal dialysis international: journal of the International Society for Peritoneal Dialysis","page":"163-169","volume":"30","issue":"2","source":"NCBI PubMed","abstract":"OBJECTIVE: Encapsulating peritoneal sclerosis (EPS) is a severe complication of long-term peritoneal dialysis (PD). The aim of this study was to investigate whether dialysate levels of cancer antigen-125 (CA125), K(+), interleukin (IL)-6, and vascular endothelial growth factor (VEGF) are early diagnostic markers of EPS. Therefore, we analyzed the time courses of the above described dialysate markers in EPS patients and controls.\nMETHODS: Dialysate and serum samples of 11 EPS patients and 31 control patients, all treated with PD for at least 57 months, were longitudinally collected during standard peritoneal permeability analyses. CA125 and IL-6 were measured in dialysate only, K(+) and VEGF were measured in both dialysate and serum. CA125 and IL-6 are expressed as appearance rates (AR). The linear mixed model was used to analyze the time courses. Sensitivity and specificity were calculated based on the results of the last 2 time points.\nRESULTS: No differences in the time courses of the different markers were present between the groups. For K(+) and VEGF attributed to local production, no differences between the groups were found. However, AR-CA125 was lower during the last 3 years prior to EPS (p &lt; 0.05) and AR-IL-6 tended to be higher 2 years prior to EPS (p = 0.09). The combination of AR-CA125 &lt; 33 U/min and AR-IL-6 &gt; 350 pg/min had a sensitivity of 70% and a specificity of 89% for the development of EPS.\nCONCLUSIONS: Compared to controls, AR-CA125 showed lower values and AR-IL-6 tended to be higher during the last years prior to the diagnosis of EPS. The sensitivity and specificity of the combination of CA125 and IL-6 indicate their potential use for an early diagnosis of EPS.","DOI":"10.3747/pdi.2009.00022","ISSN":"1718-4304","note":"PMID: 20124195","shortTitle":"Early diagnostic markers for encapsulating peritoneal sclerosis","journalAbbreviation":"Perit Dial Int","language":"eng","author":[{"family":"Sampimon","given":"Denise E"},{"family":"Korte","given":"Mario R"},{"family":"Barreto","given":"Deirisa Lopes"},{"family":"Vlijm","given":"Anniek"},{"family":"Waart","given":"Rudy","non-dropping-particle":"de"},{"family":"Struijk","given":"Dirk G"},{"family":"Krediet","given":"Raymond T"}],"issued":{"date-parts":[["2010",4]]},"PMID":"20124195"}},{"id":1257,"uris":["http://zotero.org/users/1533369/items/QXIVI7GR"],"uri":["http://zotero.org/users/1533369/items/QXIVI7GR"],"itemData":{"id":1257,"type":"article-journal","title":"Dialysate cytokine levels do not predict encapsulating peritoneal sclerosis","container-title":"Peritoneal Dialysis International: Journal of the International Society for Peritoneal Dialysis","page":"594-604","volume":"34","issue":"6","source":"NCBI PubMed","abstract":"BACKGROUND: Encapsulating peritoneal sclerosis (EPS) is a rare but devastating complication of long-term peritoneal dialysis (PD). There is no well-validated method for predicting which patients will develop the condition, although known risk factors include long duration of PD, high glucose exposure and lack of residual renal function. We have investigated whether dialysate cytokines (MCP-1 (monocyte chemotactic protein-1), CCL18 (pulmonary and activation-regulated cytokine, PARC), IL-6 (interleukin-6), CCL15 (leukotactin) and angiogenin) could be used to predict the onset of EPS more effectively than known clinical risk factors.\nMETHODS: Samples of dialysate and clinical data were prospectively collected from 151 patients at the West London Renal center between 2003 and 2010. Dialysate cytokine levels were measured using the enzyme-linked immunoabsorbant assay (ELISA) technique. Encapsulating peritoneal sclerosis subsequently developed in 17 patients during a follow-up period of 27 - 113 months. Cytokines found at higher levels in dialysate of pre-EPS patients were investigated as candidate predictors of EPS using logistic regression analysis.\nRESULTS: Dialysate IL-6, MCP-1 and CCL15 were significantly higher in patients who subsequently developed EPS; however, a logistic regression model using dialysate cytokines to predict EPS was no better than a model using well-recognized clinical markers (length of time on PD and membrane transport status).\nCONCLUSIONS: Although MCP-1, IL-6 and CCL15 were found at higher levels in the dialysate of patients who subsequently developed EPS, dialysate levels of these cytokines do not improve prediction of future EPS above a model using known clinical risk factors.","DOI":"10.3747/pdi.2012.00305","ISSN":"1718-4304","note":"PMID: 24584593 \nPMCID: PMC4164403","journalAbbreviation":"Perit Dial Int","language":"eng","author":[{"family":"Goodlad","given":"Catriona"},{"family":"Tam","given":"Frederick W. K."},{"family":"Ahmad","given":"Sohail"},{"family":"Bhangal","given":"Gurjeet"},{"family":"North","given":"Bernard V."},{"family":"Brown","given":"Edwina A."}],"issued":{"date-parts":[["2014",10]]},"PMID":"24584593","PMCID":"PMC4164403"}}],"schema":"https://github.com/citation-style-language/schema/raw/master/csl-citation.json"} </w:instrText>
      </w:r>
      <w:r w:rsidR="005E389A">
        <w:fldChar w:fldCharType="separate"/>
      </w:r>
      <w:r w:rsidRPr="004F471A">
        <w:rPr>
          <w:szCs w:val="24"/>
          <w:vertAlign w:val="superscript"/>
        </w:rPr>
        <w:t>12,13</w:t>
      </w:r>
      <w:r w:rsidR="005E389A">
        <w:fldChar w:fldCharType="end"/>
      </w:r>
      <w:r>
        <w:t xml:space="preserve"> </w:t>
      </w:r>
    </w:p>
    <w:p w:rsidR="00197CCB" w:rsidRDefault="00197CCB" w:rsidP="00F34C14">
      <w:pPr>
        <w:spacing w:line="480" w:lineRule="auto"/>
      </w:pPr>
      <w:r>
        <w:t xml:space="preserve">EPS is also associated with an increase in systemic inflammatory markers both before and after diagnosis </w:t>
      </w:r>
      <w:r w:rsidR="005E389A">
        <w:fldChar w:fldCharType="begin"/>
      </w:r>
      <w:r>
        <w:instrText xml:space="preserve"> ADDIN ZOTERO_ITEM CSL_CITATION {"citationID":"1885mpp22q","properties":{"formattedCitation":"{\\rtf \\super 14\\nosupersub{}}","plainCitation":"14"},"citationItems":[{"id":503,"uris":["http://zotero.org/users/1533369/items/V265RQGX"],"uri":["http://zotero.org/users/1533369/items/V265RQGX"],"itemData":{"id":503,"type":"article-journal","title":"Lower mortality and inflammation from post-transplantation encapsulating peritoneal sclerosis compared to the classical form","container-title":"American journal of nephrology","page":"223-230","volume":"37","issue":"3","source":"NCBI PubMed","abstract":"BACKGROUND: Encapsulating peritoneal sclerosis (EPS) may occur after kidney transplantation (post-transplantation EPS) or may be diagnosed during or after peritoneal dialysis treatment (classical EPS). The aim of the present study was to investigate to what extent both EPS entities differ in clinical presentation, radiological findings, outcome, and the systemic inflammatory response, as measured by plasma C-reactive protein (CRP) levels both prior to and after EPS diagnosis.\nMETHODS: We performed a retrospective analysis of 15 post-transplantation EPS and 19 classical EPS patients who were diagnosed at seven hospitals in the Netherlands between January 1, 2000, and January 1, 2011.\nRESULTS: There were no inter-group differences in age, duration of peritoneal dialysis, clinical presentation, or radiology findings at diagnosis. Post-transplantation patients had experienced a lower number of peritonitis episodes per patient-year (0.2 (0.0-0.4) vs. 0.7 (0.3-1.2), p = 0.01) with a longer interval between the last peritonitis and EPS diagnosis (18.1 (4.6-34.3) vs. 4.4 (0.89-13.78) months, p = 0.01). Post-transplantation EPS patients showed a remarkably lower mortality rate (40.0 vs. 84.2%, p &lt; 0.05). In both groups a pattern of elevated CRP values was observed, increasing within the year before EPS diagnosis. In the post-transplantation group the median CRP level at diagnosis was lower (56.0 vs. 144.50 mg/l, p &lt; 0.05) than in the classical EPS group.\nCONCLUSION: Post-transplantation EPS has a similar clinical presentation as classical EPS but with a lower systemic inflammatory response and better outcome.","DOI":"10.1159/000348267","ISSN":"1421-9670","note":"PMID: 23467015","journalAbbreviation":"Am. J. Nephrol.","language":"eng","author":[{"family":"Habib","given":"Sayed M"},{"family":"Korte","given":"Mario R"},{"family":"Betjes","given":"Michiel G H"}],"issued":{"date-parts":[["2013"]]},"PMID":"23467015"}}],"schema":"https://github.com/citation-style-language/schema/raw/master/csl-citation.json"} </w:instrText>
      </w:r>
      <w:r w:rsidR="005E389A">
        <w:fldChar w:fldCharType="separate"/>
      </w:r>
      <w:r w:rsidRPr="004F471A">
        <w:rPr>
          <w:szCs w:val="24"/>
          <w:vertAlign w:val="superscript"/>
        </w:rPr>
        <w:t>14</w:t>
      </w:r>
      <w:r w:rsidR="005E389A">
        <w:fldChar w:fldCharType="end"/>
      </w:r>
      <w:r>
        <w:t xml:space="preserve"> but how this relates to intra-peritoneal inflammation is unclear. As the </w:t>
      </w:r>
      <w:r w:rsidR="0012696D">
        <w:t xml:space="preserve">Global Fluid Study </w:t>
      </w:r>
      <w:r>
        <w:t>collected dialysate and plasma samples on large numbers of routine PD patients, including prevalent patients with a prolonged duration of PD, we sought to explore the roles of intra-</w:t>
      </w:r>
      <w:r>
        <w:lastRenderedPageBreak/>
        <w:t>peritoneal and systemic inflammation prior to the onset of EPS.</w:t>
      </w:r>
      <w:r w:rsidR="00BE2DDE">
        <w:t xml:space="preserve"> We specifically examined IL-6, TNF-α, IFN-γ and IL-1β as these are cytokines that play a dominant role in the acute inflammatory response.</w:t>
      </w:r>
    </w:p>
    <w:p w:rsidR="00197CCB" w:rsidRDefault="00197CCB" w:rsidP="00F34C14">
      <w:pPr>
        <w:spacing w:line="480" w:lineRule="auto"/>
      </w:pPr>
    </w:p>
    <w:p w:rsidR="00197CCB" w:rsidRDefault="00197CCB" w:rsidP="00F34C14">
      <w:pPr>
        <w:spacing w:line="480" w:lineRule="auto"/>
      </w:pPr>
      <w:r>
        <w:t xml:space="preserve"> </w:t>
      </w:r>
    </w:p>
    <w:p w:rsidR="00197CCB" w:rsidRDefault="00197CCB" w:rsidP="00F34C14">
      <w:pPr>
        <w:spacing w:after="0" w:line="480" w:lineRule="auto"/>
        <w:rPr>
          <w:rFonts w:ascii="Cambria" w:hAnsi="Cambria"/>
          <w:b/>
          <w:bCs/>
          <w:sz w:val="26"/>
          <w:szCs w:val="26"/>
        </w:rPr>
      </w:pPr>
      <w:r>
        <w:br w:type="page"/>
      </w:r>
    </w:p>
    <w:p w:rsidR="00197CCB" w:rsidRPr="00F34C14" w:rsidRDefault="00197CCB" w:rsidP="00F34C14">
      <w:pPr>
        <w:rPr>
          <w:rFonts w:ascii="Cambria" w:hAnsi="Cambria"/>
          <w:b/>
          <w:bCs/>
          <w:sz w:val="26"/>
          <w:szCs w:val="26"/>
        </w:rPr>
      </w:pPr>
      <w:bookmarkStart w:id="2" w:name="_Toc402705985"/>
      <w:r w:rsidRPr="00F34C14">
        <w:rPr>
          <w:b/>
        </w:rPr>
        <w:lastRenderedPageBreak/>
        <w:t>Methods and Materials</w:t>
      </w:r>
      <w:bookmarkEnd w:id="2"/>
    </w:p>
    <w:p w:rsidR="00197CCB" w:rsidRDefault="00197CCB" w:rsidP="00F34C14">
      <w:pPr>
        <w:spacing w:line="480" w:lineRule="auto"/>
        <w:rPr>
          <w:i/>
          <w:lang w:val="en-US"/>
        </w:rPr>
      </w:pPr>
      <w:r>
        <w:rPr>
          <w:i/>
        </w:rPr>
        <w:t>Study design</w:t>
      </w:r>
    </w:p>
    <w:p w:rsidR="00197CCB" w:rsidRDefault="00197CCB" w:rsidP="00F34C14">
      <w:pPr>
        <w:spacing w:line="480" w:lineRule="auto"/>
      </w:pPr>
      <w:r>
        <w:t xml:space="preserve">This is a matched, nested, case-control study. The parent study has been described in detail elsewhere </w:t>
      </w:r>
      <w:r w:rsidR="005E389A">
        <w:fldChar w:fldCharType="begin"/>
      </w:r>
      <w:r w:rsidR="00500FFC">
        <w:instrText xml:space="preserve"> ADDIN ZOTERO_ITEM CSL_CITATION {"citationID":"0HQvTFuX","properties":{"formattedCitation":"{\\rtf \\super 2\\nosupersub{}}","plainCitation":"2"},"citationItems":[{"id":342,"uris":["http://zotero.org/users/1533369/items/KZCEPRKV"],"uri":["http://zotero.org/users/1533369/items/KZCEPRKV"],"itemData":{"id":342,"type":"article-journal","title":"Independent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Investigators"}],"issued":{"date-parts":[["2013",9,5]]},"PMID":"24009237"}}],"schema":"https://github.com/citation-style-language/schema/raw/master/csl-citation.json"} </w:instrText>
      </w:r>
      <w:r w:rsidR="005E389A">
        <w:fldChar w:fldCharType="separate"/>
      </w:r>
      <w:r w:rsidRPr="004F471A">
        <w:rPr>
          <w:szCs w:val="24"/>
          <w:vertAlign w:val="superscript"/>
        </w:rPr>
        <w:t>2</w:t>
      </w:r>
      <w:r w:rsidR="005E389A">
        <w:fldChar w:fldCharType="end"/>
      </w:r>
      <w:r>
        <w:rPr>
          <w:b/>
          <w:vertAlign w:val="superscript"/>
        </w:rPr>
        <w:t xml:space="preserve"> </w:t>
      </w:r>
      <w:r>
        <w:t>but in brief, the Global Fluid Study is an international, multicentre, prospective cohort study of incident and prevalent patients commenced in 2002. Eligible patients were any PD patients over the age of 16 providing informed consent. Incident patients were defined as first data collection time point within the first 90 days of PD. Follow up was censored in December 2011. Ten centres were included in the primary analysis, and for this analysis the 5 UK centres were selected for identification of all patients who developed EPS</w:t>
      </w:r>
      <w:r w:rsidR="0059613D">
        <w:t xml:space="preserve"> diagnosed according to the I</w:t>
      </w:r>
      <w:r w:rsidR="0012696D">
        <w:t xml:space="preserve">nternational </w:t>
      </w:r>
      <w:r w:rsidR="0059613D">
        <w:t>S</w:t>
      </w:r>
      <w:r w:rsidR="0012696D">
        <w:t xml:space="preserve">ociety of </w:t>
      </w:r>
      <w:r w:rsidR="0059613D">
        <w:t>P</w:t>
      </w:r>
      <w:r w:rsidR="0012696D">
        <w:t xml:space="preserve">eritoneal </w:t>
      </w:r>
      <w:r w:rsidR="0059613D">
        <w:t>D</w:t>
      </w:r>
      <w:r w:rsidR="0012696D">
        <w:t>ialysis</w:t>
      </w:r>
      <w:r w:rsidR="0059613D">
        <w:t xml:space="preserve"> diagnostic recommendations</w:t>
      </w:r>
      <w:r w:rsidR="00F847C0">
        <w:t xml:space="preserve"> (symptoms of gastro-intestinal dysfunction with radiological and/or surgical evidence)</w:t>
      </w:r>
      <w:r>
        <w:t>.</w:t>
      </w:r>
      <w:r w:rsidR="0059613D">
        <w:t xml:space="preserve"> </w:t>
      </w:r>
      <w:r w:rsidR="005E389A">
        <w:fldChar w:fldCharType="begin"/>
      </w:r>
      <w:r w:rsidR="0059613D">
        <w:instrText xml:space="preserve"> ADDIN ZOTERO_ITEM CSL_CITATION {"citationID":"jsdf7g670","properties":{"formattedCitation":"{\\rtf \\super 15\\nosupersub{}}","plainCitation":"15"},"citationItems":[{"id":30,"uris":["http://zotero.org/users/1533369/items/3Z4A8QPS"],"uri":["http://zotero.org/users/1533369/items/3Z4A8QPS"],"itemData":{"id":30,"type":"article-journal","title":"Encapsulating peritoneal sclerosis: definition, etiology, diagnosis, and treatment. International Society for Peritoneal Dialysis Ad Hoc Committee on Ultrafiltration Management in Peritoneal Dialysis","container-title":"Peritoneal dialysis international: journal of the International Society for Peritoneal Dialysis","page":"S43-55","volume":"20 Suppl 4","source":"NCBI PubMed","abstract":"Current definitions of encapsulating peritoneal sclerosis are practical and clinically relevant. It is important to adhere to a more uniform use of the proper terminology, and it is the recommendation of the authors that EPS be adopted as the more appropriate term. The best literal definition of EPS is based on clinical-pathologic criteria. Differentiation of EPS from the general category of ultrafiltration failure is required. Further, better appreciation of the diverse pathways that can lead to the same final common clinical-pathologic picture should not be overshadowed by the requirement of uniform terminology. Incidence and prevalence of the syndrome have been defined in some large populations and a few single-center experiences. The former show an incidence of less than 1%, while higher percentages are reported in the latter. The reported increased incidence with duration on therapy requires validation. The epidemiology of the syndrome offers limited insight into its pathogenesis. A list of factors, both dialysis-related and non dialysis-related. has been accumulated. Except in a few categories where agents are clearly related to the development of EPS, the majority of the listed factors for dialysis-related BPS remain, at best, associations and at worst, simple conjecture. The same limitations that plague the issue of etiology apply in the area of pathogenesis. More basic, focused work is required. The diagnosis of EPS remains based on clinical suspicion confirmed with, primarily, radiologic findings. Pathologic confirmation is obtained in cases that come to surgery for management or for catheter removal. Radiologic studies are precise enough for confirmation, but none have been evaluated for early diagnosis for possible early intervention or prevention. Studies based on transport characteristics or effluent dialysate constituents are not useful for EPS. At present, there are no reliable predictive tests for BPS that can be used in individual patients. Therapy of BPS is based on anecdotal evidence. The possible variable etiologies and probable distinct pathways leading to the syndrome may make a uniform therapeutic approach unlikely. Further, the limited number of cases and the sporadic pattern of occurrences make therapeutic trials not readily feasible. This is distinct from the case of ultrafiltration failure, where significant advances in mechanism elucidation and rationale-based interventions have been made.","ISSN":"0896-8608","note":"PMID: 11098928","shortTitle":"Encapsulating peritoneal sclerosis","journalAbbreviation":"Perit Dial Int","language":"eng","author":[{"family":"Kawaguchi","given":"Y"},{"family":"Kawanishi","given":"H"},{"family":"Mujais","given":"S"},{"family":"Topley","given":"N"},{"family":"Oreopoulos","given":"D G"}],"issued":{"date-parts":[["2000"]]},"PMID":"11098928"}}],"schema":"https://github.com/citation-style-language/schema/raw/master/csl-citation.json"} </w:instrText>
      </w:r>
      <w:r w:rsidR="005E389A">
        <w:fldChar w:fldCharType="separate"/>
      </w:r>
      <w:r w:rsidR="0059613D" w:rsidRPr="0059613D">
        <w:rPr>
          <w:szCs w:val="24"/>
          <w:vertAlign w:val="superscript"/>
        </w:rPr>
        <w:t>15</w:t>
      </w:r>
      <w:r w:rsidR="005E389A">
        <w:fldChar w:fldCharType="end"/>
      </w:r>
      <w:r>
        <w:t>These cases were then assigned 2 to 3 controls who had finished PD and not developed EPS, matched by centre and duration of completed PD episode.</w:t>
      </w:r>
    </w:p>
    <w:p w:rsidR="00197CCB" w:rsidRDefault="00197CCB" w:rsidP="00F34C14">
      <w:pPr>
        <w:spacing w:line="480" w:lineRule="auto"/>
        <w:rPr>
          <w:i/>
        </w:rPr>
      </w:pPr>
      <w:r>
        <w:rPr>
          <w:i/>
        </w:rPr>
        <w:t>Data collection</w:t>
      </w:r>
    </w:p>
    <w:p w:rsidR="00197CCB" w:rsidRDefault="00197CCB" w:rsidP="00F34C14">
      <w:pPr>
        <w:spacing w:line="480" w:lineRule="auto"/>
      </w:pPr>
      <w:r>
        <w:t>All clinical data was recorded on a custom built database (PDDB). Demography was recorded and comorbidity was assessed with the va</w:t>
      </w:r>
      <w:r w:rsidR="00DC1E59">
        <w:t>lidated Stoke comorbidity index</w:t>
      </w:r>
      <w:r>
        <w:t>.</w:t>
      </w:r>
      <w:r w:rsidR="005E389A">
        <w:fldChar w:fldCharType="begin"/>
      </w:r>
      <w:r w:rsidR="0059613D">
        <w:instrText xml:space="preserve"> ADDIN ZOTERO_ITEM CSL_CITATION {"citationID":"u3or788qk","properties":{"formattedCitation":"{\\rtf \\super 16\\nosupersub{}}","plainCitation":"16"},"citationItems":[{"id":206,"uris":["http://zotero.org/users/1533369/items/DDKBN9P9"],"uri":["http://zotero.org/users/1533369/items/DDKBN9P9"],"itemData":{"id":206,"type":"article-journal","title":"Quantifying comorbidity in peritoneal dialysis patients and its relationship to other predictors of survival","container-title":"Nephrology, dialysis, transplantation: official publication of the European Dialysis and Transplant Association - European Renal Association","page":"1085-1092","volume":"17","issue":"6","source":"NCBI PubMed","abstract":"BACKGROUND: Comorbidity is the single most important determinant of outcome in patients on renal replacement therapy. The aims of this study were to evaluate a semi-quantitative approach to comorbidity scoring in predicting survival of patients commencing peritoneal dialysis (PD), and to establish the interaction between this and other known predictors of patient outcome, in particular membrane function, residual renal function (RRF) and plasma albumin.\nMETHODS: Comorbidity was recorded in a prospective, single centre cohort study of 303 patients commencing on PD. Using seven disease domains, chosen to reflect the dominance of cardiovascular morbidity in the end-stage renal failure population, comorbidity was graded as '0' when absent, '1' when one or two, and '2' when three or more conditions were present. The Wright comorbidity index, which includes age within the scoring method, was also evaluated. RRF, plasma albumin and peritoneal solute transport were measured every 6 months. Patients were censored at death.\nRESULTS: Median survival according to grade of comorbidity was 105, 42 and 29 months, respectively (P&lt;0.0001), with good separation of the actuarial survival curves. Using Cox regression, the addition of age and the grade of comorbidity to Kt/V(urea), solute transport and plasma albumin increased the predictive power of the model. All were independent predictors of outcome with the exception of albumin. The Wright comorbidity index also enhanced the Cox model, although was not as powerful as when age and comorbidity were considered independently. At baseline, RRF was not different according to comorbidity unless diabetes was considered separately. Diabetics started with higher RRF, but after 6 months on PD this was the same as non-diabetic patients. Otherwise, initial rate of decline of RRF was similar across the comorbid grades, although the impact of higher drop-out due to earlier loss in patients with more comorbidity may have disguised earlier loss in these patients. Peritoneal solute transport tended to be higher in patients with increased comorbidity at baseline, chi(2) 13.8, P=0.032, and this was sustained with time on treatment.\nCONCLUSION: Comorbidity has a quantitative effect on survival that is independent of age, RRF and membrane function in PD patients. Comorbidity also appears to be associated with increased solute transport at the start of treatment, which is sustained. With the exception of diabetes, grade of comorbidity does not have a profound effect on loss of RRF.","ISSN":"0931-0509","note":"PMID: 12032201","journalAbbreviation":"Nephrol. Dial. Transplant.","language":"eng","author":[{"family":"Davies","given":"Simon J"},{"family":"Phillips","given":"Louise"},{"family":"Naish","given":"Patrick F"},{"family":"Russell","given":"Gavin I"}],"issued":{"date-parts":[["2002",6]]},"PMID":"12032201"}}],"schema":"https://github.com/citation-style-language/schema/raw/master/csl-citation.json"} </w:instrText>
      </w:r>
      <w:r w:rsidR="005E389A">
        <w:fldChar w:fldCharType="separate"/>
      </w:r>
      <w:r w:rsidR="0059613D" w:rsidRPr="0059613D">
        <w:rPr>
          <w:szCs w:val="24"/>
          <w:vertAlign w:val="superscript"/>
        </w:rPr>
        <w:t>16</w:t>
      </w:r>
      <w:r w:rsidR="005E389A">
        <w:fldChar w:fldCharType="end"/>
      </w:r>
      <w:r>
        <w:t xml:space="preserve"> Routine blood tests, including albumin, were performed locally and, if necessary, converted into the same units</w:t>
      </w:r>
      <w:r w:rsidR="00DC1E59">
        <w:t xml:space="preserve">. </w:t>
      </w:r>
      <w:r>
        <w:t xml:space="preserve">All samples of dialysate and plasma from the cases and controls were assayed for TNF-α, IFN-γ, IL-1β and IL-6 by electrochemiluminescence immunoassay (Pro-Inflammatory I 4-plex from </w:t>
      </w:r>
      <w:proofErr w:type="spellStart"/>
      <w:r>
        <w:t>Meso</w:t>
      </w:r>
      <w:proofErr w:type="spellEnd"/>
      <w:r>
        <w:t>-Scale Discovery, Gaithersburg, MD).</w:t>
      </w:r>
    </w:p>
    <w:p w:rsidR="00197CCB" w:rsidRDefault="00197CCB" w:rsidP="00F34C14">
      <w:pPr>
        <w:spacing w:line="480" w:lineRule="auto"/>
      </w:pPr>
      <w:r>
        <w:t>PD related measurements included residual renal function, dialysis regime and dose, and peritoneal membrane function using the peritoneal equilibration test (solute transport rate: dialysate to plasma creatinine ratio (PSTR) and net</w:t>
      </w:r>
      <w:r w:rsidR="0012696D">
        <w:t xml:space="preserve"> ultrafiltration</w:t>
      </w:r>
      <w:r>
        <w:t xml:space="preserve"> </w:t>
      </w:r>
      <w:r w:rsidR="0012696D">
        <w:t>(</w:t>
      </w:r>
      <w:r>
        <w:t>UF</w:t>
      </w:r>
      <w:r w:rsidR="0012696D">
        <w:t>)</w:t>
      </w:r>
      <w:r>
        <w:t xml:space="preserve"> capacity at 4 hours with 2.27% or 3.86% glucose). </w:t>
      </w:r>
    </w:p>
    <w:p w:rsidR="00197CCB" w:rsidRDefault="00A9631F" w:rsidP="00F34C14">
      <w:pPr>
        <w:spacing w:line="480" w:lineRule="auto"/>
        <w:rPr>
          <w:i/>
        </w:rPr>
      </w:pPr>
      <w:r>
        <w:rPr>
          <w:i/>
        </w:rPr>
        <w:t>D</w:t>
      </w:r>
      <w:r w:rsidR="00197CCB">
        <w:rPr>
          <w:i/>
        </w:rPr>
        <w:t xml:space="preserve">ialysate </w:t>
      </w:r>
      <w:r>
        <w:rPr>
          <w:i/>
        </w:rPr>
        <w:t>results</w:t>
      </w:r>
    </w:p>
    <w:p w:rsidR="00197CCB" w:rsidRDefault="00A9631F" w:rsidP="00F34C14">
      <w:pPr>
        <w:spacing w:line="480" w:lineRule="auto"/>
      </w:pPr>
      <w:r>
        <w:lastRenderedPageBreak/>
        <w:t xml:space="preserve">All dialysate samples were 4 hour samples so no correction was made for length of dwell. A previous study found a slight benefit in using concentrations over appearance rates when assessing the effect of dialysate cytokines so concentrations were used. </w:t>
      </w:r>
      <w:r>
        <w:fldChar w:fldCharType="begin"/>
      </w:r>
      <w:r>
        <w:instrText xml:space="preserve"> ADDIN ZOTERO_ITEM CSL_CITATION {"citationID":"21enpi6eio","properties":{"formattedCitation":"{\\rtf \\super 2\\nosupersub{}}","plainCitation":"2"},"citationItems":[{"id":342,"uris":["http://zotero.org/users/1533369/items/KZCEPRKV"],"uri":["http://zotero.org/users/1533369/items/KZCEPRKV"],"itemData":{"id":342,"type":"article-journal","title":"Independent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Investigators"}],"issued":{"date-parts":[["2013",9,5]]},"PMID":"24009237"}}],"schema":"https://github.com/citation-style-language/schema/raw/master/csl-citation.json"} </w:instrText>
      </w:r>
      <w:r>
        <w:fldChar w:fldCharType="separate"/>
      </w:r>
      <w:r w:rsidRPr="00A9631F">
        <w:rPr>
          <w:szCs w:val="24"/>
          <w:vertAlign w:val="superscript"/>
        </w:rPr>
        <w:t>2</w:t>
      </w:r>
      <w:r>
        <w:fldChar w:fldCharType="end"/>
      </w:r>
      <w:r w:rsidR="001A4CE2">
        <w:t xml:space="preserve"> No correction was made for possible changes in hydraulic permeability as a significant effect of solute drag would cause non-linear changes over time, but this has not been found, </w:t>
      </w:r>
      <w:r w:rsidR="001A4CE2">
        <w:fldChar w:fldCharType="begin"/>
      </w:r>
      <w:r w:rsidR="005A6DBC">
        <w:instrText xml:space="preserve"> ADDIN ZOTERO_ITEM CSL_CITATION {"citationID":"h58t26d3j","properties":{"formattedCitation":"{\\rtf \\super 17\\nosupersub{}}","plainCitation":"17"},"citationItems":[{"id":293,"uris":["http://zotero.org/users/1533369/items/INHGTX2S"],"uri":["http://zotero.org/users/1533369/items/INHGTX2S"],"itemData":{"id":293,"type":"article-journal","title":"Variability of effluent cancer antigen 125 and interleukin-6 determination in peritoneal dialysis patients","container-title":"Nephrology, dialysis, transplantation: official publication of the European Dialysis and Transplant Association - European Renal Association","page":"3739-3744","volume":"26","issue":"11","source":"NCBI PubMed","abstract":"BACKGROUND: Cancer antigen (CA) 125 is a glycoprotein that provides data on the state of the peritoneal membrane in peritoneal dialysis (PD). Interleukin-6 (IL-6) acts as a mediator in acute-phase responses. The study evaluated the usefulness of CA125 and IL-6 in random effluent samples, by assessing their variability in individual patients during clinical practice at the outpatient department.\nMETHODS: This longitudinal prospective study was conducted from 2007 till 2009. Participants included 52 stable PD patients aged ≥ 18 years. Effluent samples were obtained during regular outpatient visits and appearance rates (ARs) were calculated. Inter- and intra-individual variability was determined by the coefficient of variation (CV). A linear mixed model was used to analyse time courses. Furthermore, release patterns of these effluent markers were studied.\nRESULTS: CA125-AR of short-term patients (≤ 24 months) ranged from 39.2 to 766.7 U/min and IL-6-AR from 15.5 to 220.0 pg/min. Long-term patients (≥ 25 months) had a CA125-AR of 7.3-1534.0 U/min and IL-6-AR of 6.9-956.4 pg/min. Overall, CV(intra) was 15% in effluent CA125-AR and 28% in IL-6-AR. Intermediate sampling during a 4-h dwell showed a linear increase of CA125 and IL-6 effluent concentrations. The trend of CA125-AR was different (P = 0.001) between short- and long-term patients. A negative relationship was found between CA125 (r = -0.44, P = 0.02) and PD duration.\nCONCLUSIONS: The clinical relevance of effluent CA125 determinations from an unstandardized dwell during every outpatient visit is reasonable, as judged from the CV(intra). The inferior CV(intra) values of ARs as compared to effluent values indicate that ARs should only be calculated under standardized conditions. A single IL-6 measurement, as a predictor of outcome, should be interpreted cautiously.","DOI":"10.1093/ndt/gfr170","ISSN":"1460-2385","note":"PMID: 21498425","journalAbbreviation":"Nephrol. Dial. Transplant.","language":"eng","author":[{"family":"Lopes Barreto","given":"Deirisa"},{"family":"Coester","given":"Annemieke M"},{"family":"Noordzij","given":"Marlies"},{"family":"Smit","given":"Watske"},{"family":"Struijk","given":"Dirk G"},{"family":"Rogers","given":"Susan"},{"family":"Waart","given":"Dirk R","non-dropping-particle":"de"},{"family":"Krediet","given":"Raymond T"}],"issued":{"date-parts":[["2011",11]]},"PMID":"21498425"}}],"schema":"https://github.com/citation-style-language/schema/raw/master/csl-citation.json"} </w:instrText>
      </w:r>
      <w:r w:rsidR="001A4CE2">
        <w:fldChar w:fldCharType="separate"/>
      </w:r>
      <w:r w:rsidR="001A4CE2" w:rsidRPr="001A4CE2">
        <w:rPr>
          <w:szCs w:val="24"/>
          <w:vertAlign w:val="superscript"/>
        </w:rPr>
        <w:t>17</w:t>
      </w:r>
      <w:r w:rsidR="001A4CE2">
        <w:fldChar w:fldCharType="end"/>
      </w:r>
      <w:r>
        <w:t xml:space="preserve"> </w:t>
      </w:r>
      <w:r w:rsidR="00FD4B02">
        <w:t>plus</w:t>
      </w:r>
      <w:r w:rsidR="001A4CE2">
        <w:t xml:space="preserve"> any effect would be trivial</w:t>
      </w:r>
      <w:r w:rsidR="00FD4B02">
        <w:t>,</w:t>
      </w:r>
      <w:r w:rsidR="001A4CE2">
        <w:t xml:space="preserve"> </w:t>
      </w:r>
      <w:r w:rsidR="00FD4B02">
        <w:t xml:space="preserve">in particular </w:t>
      </w:r>
      <w:r w:rsidR="001A4CE2">
        <w:t xml:space="preserve">for IL-6. </w:t>
      </w:r>
      <w:r>
        <w:t>For predicted cytokine concentrations based on molecular radius</w:t>
      </w:r>
      <w:r w:rsidRPr="00A9631F">
        <w:t xml:space="preserve"> </w:t>
      </w:r>
      <w:r>
        <w:t>as calculated from molecular weight, and assuming diffusion only</w:t>
      </w:r>
      <w:r w:rsidDel="00A9631F">
        <w:t xml:space="preserve"> </w:t>
      </w:r>
      <w:r>
        <w:t>w</w:t>
      </w:r>
      <w:r w:rsidR="00197CCB">
        <w:t xml:space="preserve">e used the 3 pore model. </w:t>
      </w:r>
      <w:r w:rsidR="005E389A">
        <w:fldChar w:fldCharType="begin"/>
      </w:r>
      <w:r w:rsidR="001A4CE2">
        <w:instrText xml:space="preserve"> ADDIN ZOTERO_ITEM CSL_CITATION {"citationID":"qua2BXyq","properties":{"formattedCitation":"{\\rtf \\super 18\\nosupersub{}}","plainCitation":"18"},"citationItems":[{"id":351,"uris":["http://zotero.org/users/1533369/items/MB2HJN9G"],"uri":["http://zotero.org/users/1533369/items/MB2HJN9G"],"itemData":{"id":351,"type":"article-journal","title":"A phenomenological interpretation of the variation in dialysate volume with dwell time in CAPD","container-title":"Kidney international","page":"465-472","volume":"38","issue":"3","source":"NCBI PubMed","abstract":"Intraperitoneal fluid volume (IPV) changes versus time were followed in patients undergoing continuous ambulatory peritoneal dialysis (CAPD) using a simple volume recovery method. In each patient dialysates containing 1.36 and 3.86 percent glucose as an osmotic agent were investigated. The patients' IPV versus time data were fitted to a function determined by four \"arbitrary\" coefficients, from which both the initial ultrafiltration (UF) rate immediately following intraperitoneal (i.p.) fluid instillation and the \"final\" peritoneal-to-blood fluid absorption rate could be assessed. The peritoneal osmotic conductance to glucose, that is, the peritoneal ultrafiltration coefficient (Kf), times the peritoneal osmotic reflection coefficient to glucose (sigma g), Kf sigma g, was determined using two related approaches. Kf sigma g is a major determinant of the transperitoneal volume exchange, and it was calculated to be 3.54 +/- 0.85 (+/- SE) and 3.81 +/- 0.52 microliters/min/mm Hg, respectively, depending on the assumption employed. Kf sigma g was further analysed according to a three-pore model of membrane permeability to determine the possible range of Kf and sigma g compatible with a peritoneal small solute sieving coefficient (phi) ranging from 0.3 to 0.61. According to these calculations both Kf and sigma g ranged from 0.043 to 0.081 (ml/min/mm Hg and dimensionless, respectively). The maximal peritoneal lymph flow (L) realistic according to this analysis, and compatible with a measured total peritoneal-to-blood fluid absorption rate of 1.25 +/- 0.14 ml/min, was 0.75 ml/min, the most plausible values, however, falling between 0.3 to 0.5 ml/min.","ISSN":"0085-2538","note":"PMID: 2232489","journalAbbreviation":"Kidney Int.","language":"eng","author":[{"family":"Stelin","given":"G"},{"family":"Rippe","given":"B"}],"issued":{"date-parts":[["1990",9]]},"PMID":"2232489"}}],"schema":"https://github.com/citation-style-language/schema/raw/master/csl-citation.json"} </w:instrText>
      </w:r>
      <w:r w:rsidR="005E389A">
        <w:fldChar w:fldCharType="separate"/>
      </w:r>
      <w:r w:rsidR="001A4CE2" w:rsidRPr="001A4CE2">
        <w:rPr>
          <w:szCs w:val="24"/>
          <w:vertAlign w:val="superscript"/>
        </w:rPr>
        <w:t>18</w:t>
      </w:r>
      <w:r w:rsidR="005E389A">
        <w:fldChar w:fldCharType="end"/>
      </w:r>
    </w:p>
    <w:p w:rsidR="00197CCB" w:rsidRDefault="00197CCB" w:rsidP="00F34C14">
      <w:pPr>
        <w:spacing w:line="480" w:lineRule="auto"/>
        <w:rPr>
          <w:i/>
        </w:rPr>
      </w:pPr>
      <w:r>
        <w:rPr>
          <w:i/>
        </w:rPr>
        <w:t>Statistical analysis</w:t>
      </w:r>
    </w:p>
    <w:p w:rsidR="00197CCB" w:rsidRDefault="00197CCB" w:rsidP="00F34C14">
      <w:pPr>
        <w:spacing w:line="480" w:lineRule="auto"/>
      </w:pPr>
      <w:r>
        <w:t>Missing data, ranging from 0 to 4.8% for different variables, were considered missing at random and complete case analysis was used. Descriptive data was compared with chi-squared tests, t-tests or Mann-Whitney U tests depending on whether variables were categorical or continuous variables, and if continuous, whether they were normally distributed or not.</w:t>
      </w:r>
    </w:p>
    <w:p w:rsidR="00197CCB" w:rsidRDefault="00197CCB" w:rsidP="00F34C14">
      <w:pPr>
        <w:spacing w:line="480" w:lineRule="auto"/>
      </w:pPr>
      <w:r>
        <w:t xml:space="preserve">Multivariable, 3-level, random intercept linear mixed models, accounting for measurements (level 1) clustering within person (level 2) and clustering within case-control groups (level 3), were used to explore determinants of log-transformed cytokine levels. Normal probability distributions were checked for level 1 residuals. Because IL-1β had a highly skewed distribution, a logistic model was used with IL-1β concentrations as a binary variable (detectable/undetectable). </w:t>
      </w:r>
      <w:r w:rsidR="001E2E64">
        <w:t>In addition to development of EPS, m</w:t>
      </w:r>
      <w:r>
        <w:t xml:space="preserve">odels included age, as it is known to affect inflammatory cytokine concentrations and time from sample acquisition to the end of the PD episode to account for temporal changes. </w:t>
      </w:r>
      <w:r w:rsidR="0012696D">
        <w:t xml:space="preserve">A sensitivity analysis using time from PD start instead was performed but this made no difference to interpretation of the results. </w:t>
      </w:r>
      <w:r w:rsidR="003A6698">
        <w:t>To avoid over-fitting, f</w:t>
      </w:r>
      <w:r>
        <w:t xml:space="preserve">urther covariates were not </w:t>
      </w:r>
      <w:r w:rsidR="003A6698">
        <w:t xml:space="preserve">added </w:t>
      </w:r>
      <w:r>
        <w:t>as models included 3 residuals and 3 covariates with a limited number of samples</w:t>
      </w:r>
      <w:r w:rsidR="001E2E64">
        <w:t>,</w:t>
      </w:r>
      <w:r>
        <w:t xml:space="preserve"> although 2-way interactions were tested for. Significance testing was by the Wald test and the Iterative Generalised Least Squares method was used for coefficient estimation. All values on the graph for </w:t>
      </w:r>
      <w:r>
        <w:lastRenderedPageBreak/>
        <w:t>dialysate TNF concentration are +0.1 to allow a logarithmic scale (i.e. 0.1 = 0)</w:t>
      </w:r>
      <w:r w:rsidR="0090780E">
        <w:t>. Intra-class correlation coefficients</w:t>
      </w:r>
      <w:r w:rsidR="00BD6632">
        <w:t xml:space="preserve"> (ICC)</w:t>
      </w:r>
      <w:r w:rsidR="0090780E">
        <w:t xml:space="preserve"> were post-estimation commands from random-intercept/no covariate models.</w:t>
      </w:r>
    </w:p>
    <w:p w:rsidR="00197CCB" w:rsidRDefault="00197CCB" w:rsidP="00F34C14">
      <w:pPr>
        <w:spacing w:line="480" w:lineRule="auto"/>
      </w:pPr>
      <w:r>
        <w:t xml:space="preserve">MLWin 2.26 </w:t>
      </w:r>
      <w:r w:rsidR="005E389A">
        <w:fldChar w:fldCharType="begin"/>
      </w:r>
      <w:r w:rsidR="001A4CE2">
        <w:instrText xml:space="preserve"> ADDIN ZOTERO_ITEM CSL_CITATION {"citationID":"2gqhv4n4v1","properties":{"formattedCitation":"{\\rtf \\super 19\\nosupersub{}}","plainCitation":"19"},"citationItems":[{"id":365,"uris":["http://zotero.org/users/1533369/items/MRDW4HED"],"uri":["http://zotero.org/users/1533369/items/MRDW4HED"],"itemData":{"id":365,"type":"webpage","title":"Bristol University | Centre for Multilevel Modelling | Referencing the MLwiN software and manuals","abstract":"Referencing the MLwiN software and manuals","URL":"http://www.bristol.ac.uk/cmm/software/mlwin/refs.html","note":"Referencing the MLwiN software and manuals","author":[{"family":"Bristol","given":"University of"}],"accessed":{"date-parts":[["2013",10,24]]}}}],"schema":"https://github.com/citation-style-language/schema/raw/master/csl-citation.json"} </w:instrText>
      </w:r>
      <w:r w:rsidR="005E389A">
        <w:fldChar w:fldCharType="separate"/>
      </w:r>
      <w:r w:rsidR="001A4CE2" w:rsidRPr="001A4CE2">
        <w:rPr>
          <w:szCs w:val="24"/>
          <w:vertAlign w:val="superscript"/>
        </w:rPr>
        <w:t>19</w:t>
      </w:r>
      <w:r w:rsidR="005E389A">
        <w:fldChar w:fldCharType="end"/>
      </w:r>
      <w:r>
        <w:rPr>
          <w:vertAlign w:val="superscript"/>
        </w:rPr>
        <w:t xml:space="preserve"> </w:t>
      </w:r>
      <w:r>
        <w:t>was used via runmlwin for multilevel regression and StataIC 12 (</w:t>
      </w:r>
      <w:proofErr w:type="spellStart"/>
      <w:r>
        <w:t>StataCorp</w:t>
      </w:r>
      <w:proofErr w:type="spellEnd"/>
      <w:r>
        <w:t xml:space="preserve"> LP, College Station, TX) for the other calculations.</w:t>
      </w:r>
    </w:p>
    <w:p w:rsidR="00197CCB" w:rsidRDefault="00197CCB" w:rsidP="00F34C14">
      <w:pPr>
        <w:spacing w:after="0" w:line="480" w:lineRule="auto"/>
        <w:rPr>
          <w:rFonts w:ascii="Cambria" w:hAnsi="Cambria"/>
          <w:b/>
          <w:bCs/>
          <w:sz w:val="26"/>
          <w:szCs w:val="26"/>
        </w:rPr>
      </w:pPr>
      <w:r>
        <w:br w:type="page"/>
      </w:r>
    </w:p>
    <w:p w:rsidR="00197CCB" w:rsidRDefault="00197CCB" w:rsidP="00F34C14">
      <w:pPr>
        <w:rPr>
          <w:b/>
        </w:rPr>
      </w:pPr>
      <w:bookmarkStart w:id="3" w:name="_Toc402705986"/>
      <w:r w:rsidRPr="00F34C14">
        <w:rPr>
          <w:b/>
        </w:rPr>
        <w:lastRenderedPageBreak/>
        <w:t>Results</w:t>
      </w:r>
      <w:bookmarkEnd w:id="3"/>
    </w:p>
    <w:p w:rsidR="00CB6685" w:rsidRPr="00F91599" w:rsidRDefault="00CB6685" w:rsidP="00F34C14">
      <w:pPr>
        <w:rPr>
          <w:rFonts w:ascii="Cambria" w:hAnsi="Cambria"/>
          <w:bCs/>
          <w:i/>
          <w:sz w:val="26"/>
          <w:szCs w:val="26"/>
        </w:rPr>
      </w:pPr>
      <w:r w:rsidRPr="00F91599">
        <w:rPr>
          <w:i/>
        </w:rPr>
        <w:t>Patient Characteristics</w:t>
      </w:r>
    </w:p>
    <w:p w:rsidR="00197CCB" w:rsidRDefault="00197CCB" w:rsidP="00AD0E73">
      <w:pPr>
        <w:spacing w:line="480" w:lineRule="auto"/>
      </w:pPr>
      <w:r>
        <w:t xml:space="preserve">Demographic and basic clinical details are shown in Table 1. </w:t>
      </w:r>
      <w:r w:rsidR="002753AA">
        <w:t xml:space="preserve">3 EPS patients were diagnosed </w:t>
      </w:r>
      <w:r w:rsidR="00F847C0">
        <w:t xml:space="preserve">during </w:t>
      </w:r>
      <w:r w:rsidR="002753AA">
        <w:t xml:space="preserve">PD, and the remaining 8 cases </w:t>
      </w:r>
      <w:r w:rsidR="00F847C0">
        <w:t xml:space="preserve">were diagnosed a median of 7.9 months (range 1.2 to 18.4 months) after stopping PD. </w:t>
      </w:r>
      <w:r>
        <w:t>The EPS group had 41 samples and the control group had 106 samples. There were potentially clinically relevant</w:t>
      </w:r>
      <w:r w:rsidR="0012696D">
        <w:t xml:space="preserve"> differences</w:t>
      </w:r>
      <w:r w:rsidR="003A6698">
        <w:t xml:space="preserve"> that were not statistically different</w:t>
      </w:r>
      <w:r w:rsidR="0012696D">
        <w:t xml:space="preserve"> in</w:t>
      </w:r>
      <w:r>
        <w:t xml:space="preserve"> age, residual renal function and PSTR at the time of first sample acquisition in the EPS group.  </w:t>
      </w:r>
      <w:r w:rsidR="005F1C3B">
        <w:t>34.6% of controls and 18.2% of cases</w:t>
      </w:r>
      <w:r>
        <w:t xml:space="preserve"> </w:t>
      </w:r>
      <w:r w:rsidR="005F1C3B">
        <w:t>had diabetes</w:t>
      </w:r>
      <w:r w:rsidR="00B33AE8">
        <w:t>, with similar overall co-morbidity levels and number of peritonitis episodes.</w:t>
      </w:r>
      <w:r w:rsidR="002B2B88">
        <w:t xml:space="preserve"> More EPS cases stopped PD due to UF failure than controls, consistent with previous findings. </w:t>
      </w:r>
      <w:r w:rsidR="005E389A">
        <w:fldChar w:fldCharType="begin"/>
      </w:r>
      <w:r w:rsidR="001A4CE2">
        <w:instrText xml:space="preserve"> ADDIN ZOTERO_ITEM CSL_CITATION {"citationID":"1v65i815b5","properties":{"formattedCitation":"{\\rtf \\super 20,21\\nosupersub{}}","plainCitation":"20,21"},"citationItems":[{"id":558,"uris":["http://zotero.org/users/1533369/items/ZBA6QR4M"],"uri":["http://zotero.org/users/1533369/items/ZBA6QR4M"],"itemData":{"id":558,"type":"article-journal","title":"The peritoneal osmotic conductance is low well before the diagnosis of encapsulating peritoneal sclerosis is made","container-title":"Kidney international","page":"611-618","volume":"78","issue":"6","source":"NCBI PubMed","abstract":"Encapsulating peritoneal sclerosis (EPS) is a serious condition whose frequency is increasing the longer the duration of peritoneal dialysis. To identify prognostic indicators of EPS, we studied here longitudinal changes in peritoneal membrane function of patients who later developed this complication. We identified all patients with an unequivocal diagnosis of EPS who began their peritoneal dialysis in our unit over a 20-year period and matched each of them for dialysis duration and age with four control patients who completed their dialysis. The dialysate/plasma creatinine ratio increased with time in both groups but was significantly higher in the patients with EPS only at the time their dialysis was discontinued. The ultrafiltration capacity was significantly worse for at least 2 years before stopping dialysis, diverging further at the time dialysis ceased, suggesting reduced osmotic conductance in the EPS patients. Both the glucose exposure rate for the 5 years preceding stoppage of dialysis and exposure to the osmotic agent icodextrin were significantly higher. Residual renal function was less in the EPS group, but there was no significant difference in the rates of peritonitis compared to the control group. The 24 h peritoneal protein clearance was not significantly different in EPS patients, possibly due to a greater fibrous matrix. Thus, our study shows that regular peritoneal membrane function tests can identify most patients at high risk of developing EPS before its occurrence.","DOI":"10.1038/ki.2010.186","ISSN":"1523-1755","note":"PMID: 20571473","journalAbbreviation":"Kidney Int.","language":"eng","author":[{"family":"Lambie","given":"Mark L"},{"family":"John","given":"Biju"},{"family":"Mushahar","given":"Lily"},{"family":"Huckvale","given":"Christopher"},{"family":"Davies","given":"Simon J"}],"issued":{"date-parts":[["2010",9]]},"PMID":"20571473"}},{"id":65,"uris":["http://zotero.org/users/1533369/items/5SZQINHB"],"uri":["http://zotero.org/users/1533369/items/5SZQINHB"],"itemData":{"id":65,"type":"article-journal","title":"The time course of peritoneal transport parameters in peritoneal dialysis patients who develop encapsulating peritoneal sclerosis","container-title":"Nephrology, dialysis, transplantation: official publication of the European Dialysis and Transplant Association - European Renal Association","page":"291-298","volume":"26","issue":"1","source":"NCBI PubMed","abstract":"BACKGROUND: Encapsulating peritoneal sclerosis (EPS) is a severe complication of peritoneal dialysis (PD). The first aim was to analyse the risk of EPS in patients who had developed ultrafiltration failure (UFF). The second aim was to identify specific peritoneal transport alterations that distinguish patients with UFF from patients who will develop EPS.\nMETHODS: All patients of this study were treated with PD between July 1995 and December 2008 in the Academic Medical Center, Amsterdam, the Netherlands. Risk analysis: all PD patients who developed UFF after at least 2 years of PD. Peritoneal transport analysis: all patients who had PD for at least 55 months were included: 12 EPS patients, 21 patients with UFF and 26 patients with normal ultrafiltration (UF). The peritoneal function was measured yearly with a standard peritoneal permeability analysis. UFF was defined as net UF &lt; 400 mL after a 4-h dwell with a 3.86% dialysis solution.\nRESULTS: Risk analysis: Of the 48 UFF patients, 10 eventually developed EPS. Fifty percent of the patients who continued PD for more than 3 years after the establishment of UFF developed EPS. Peritoneal function analysis: No differences were present for the time courses of solute transport and fluid transport between the EPS and the UFF groups. Overall, the EPS and normal UF groups had lower values for the effective lymphatic absorption rate (ELAR) than the UFF group.\nCONCLUSIONS: The risk of EPS increases with continuation of PD while UFF is present. Transport characteristics are similar between EPS patients and UFF patients without this complication. A constantly low ELAR may distinguish the EPS patients from those with UFF only.","DOI":"10.1093/ndt/gfq343","ISSN":"1460-2385","note":"PMID: 20566569","journalAbbreviation":"Nephrol. Dial. Transplant.","language":"eng","author":[{"family":"Sampimon","given":"Denise E"},{"family":"Coester","given":"Annemieke M"},{"family":"Struijk","given":"Dirk G"},{"family":"Krediet","given":"Raymond T"}],"issued":{"date-parts":[["2011",1]]},"PMID":"20566569"}}],"schema":"https://github.com/citation-style-language/schema/raw/master/csl-citation.json"} </w:instrText>
      </w:r>
      <w:r w:rsidR="005E389A">
        <w:fldChar w:fldCharType="separate"/>
      </w:r>
      <w:r w:rsidR="001A4CE2" w:rsidRPr="001A4CE2">
        <w:rPr>
          <w:szCs w:val="24"/>
          <w:vertAlign w:val="superscript"/>
        </w:rPr>
        <w:t>20,21</w:t>
      </w:r>
      <w:r w:rsidR="005E389A">
        <w:fldChar w:fldCharType="end"/>
      </w:r>
    </w:p>
    <w:p w:rsidR="00CB6685" w:rsidRPr="00F91599" w:rsidRDefault="00FA5CE2" w:rsidP="00AD0E73">
      <w:pPr>
        <w:spacing w:line="480" w:lineRule="auto"/>
        <w:rPr>
          <w:i/>
        </w:rPr>
      </w:pPr>
      <w:r>
        <w:rPr>
          <w:i/>
        </w:rPr>
        <w:t>Differences between EPS and controls</w:t>
      </w:r>
    </w:p>
    <w:p w:rsidR="00197CCB" w:rsidRDefault="00197CCB" w:rsidP="00F34C14">
      <w:pPr>
        <w:spacing w:line="480" w:lineRule="auto"/>
      </w:pPr>
      <w:r>
        <w:t>Determinants of dialysate and plasma cytokine concentrations are shown in Table 2. All dialysate cytokine concentrations tended to be higher in EPS cases but the difference was only statistically significant for IL-6 and TNF-α. Of the plasma cytokines, only IL-6 was significantly higher in EPS cases although the average difference was only 0.42 log</w:t>
      </w:r>
      <w:r>
        <w:rPr>
          <w:vertAlign w:val="subscript"/>
        </w:rPr>
        <w:t>10</w:t>
      </w:r>
      <w:r>
        <w:t xml:space="preserve"> concentrations, compared to 0.79 log</w:t>
      </w:r>
      <w:r>
        <w:rPr>
          <w:vertAlign w:val="subscript"/>
        </w:rPr>
        <w:t>10</w:t>
      </w:r>
      <w:r>
        <w:t xml:space="preserve"> concentrations in dialysate IL-6. </w:t>
      </w:r>
      <w:r w:rsidR="00BD6632">
        <w:t xml:space="preserve">PSTR did not differ between cases and controls, even </w:t>
      </w:r>
      <w:r w:rsidR="00BD6632">
        <w:t>if just the D/P Cr at the time of the last sample was compared (EPS 0.820, Control 0.818, p=0.98).</w:t>
      </w:r>
      <w:r w:rsidR="00836C3D">
        <w:t xml:space="preserve">  In a sensitivity analysis, cytokine models were run with PSTR as a covariate but this made no significant difference to the results.</w:t>
      </w:r>
    </w:p>
    <w:p w:rsidR="00BD6632" w:rsidRPr="00F91599" w:rsidRDefault="00FA5CE2" w:rsidP="00F34C14">
      <w:pPr>
        <w:spacing w:line="480" w:lineRule="auto"/>
        <w:rPr>
          <w:i/>
        </w:rPr>
      </w:pPr>
      <w:r>
        <w:rPr>
          <w:i/>
        </w:rPr>
        <w:t>Other determinants of cytokines and solute transport</w:t>
      </w:r>
    </w:p>
    <w:p w:rsidR="00197CCB" w:rsidRDefault="00FA5CE2" w:rsidP="000F5719">
      <w:pPr>
        <w:spacing w:line="480" w:lineRule="auto"/>
      </w:pPr>
      <w:r>
        <w:t xml:space="preserve">Age was associated with higher plasma cytokines except for IL-1β but out of the dialysate cytokines it was only associated with TNF-α. </w:t>
      </w:r>
      <w:r w:rsidR="00197CCB">
        <w:t>PSTR rose with time (Figure 1)</w:t>
      </w:r>
      <w:r>
        <w:t>,</w:t>
      </w:r>
      <w:r w:rsidR="00197CCB">
        <w:t xml:space="preserve"> </w:t>
      </w:r>
      <w:r>
        <w:t>as did</w:t>
      </w:r>
      <w:r w:rsidR="00BD6632">
        <w:t xml:space="preserve"> dialysate and plasma IL-6 as well as plasma IFN-γ.</w:t>
      </w:r>
      <w:r>
        <w:t xml:space="preserve"> </w:t>
      </w:r>
      <w:r w:rsidR="00BD6632">
        <w:t>A sensitivity analysis substituting time from PD start to sample acquisition for time from sample acquisition to stopping PD made no tangible difference to the results.</w:t>
      </w:r>
      <w:r w:rsidR="00BD6632">
        <w:t xml:space="preserve"> </w:t>
      </w:r>
      <w:r w:rsidR="00197CCB">
        <w:t xml:space="preserve">There were no significant interactions between EPS status, age and time to PD finish although the power to </w:t>
      </w:r>
      <w:r w:rsidR="00197CCB">
        <w:lastRenderedPageBreak/>
        <w:t>detect them would have been weak.</w:t>
      </w:r>
      <w:r w:rsidR="0056130C">
        <w:t xml:space="preserve"> </w:t>
      </w:r>
      <w:r>
        <w:t xml:space="preserve">Dialysate cytokines had ICC’s between 0.039 and 0.046, whilst plasma cytokines had ICC’s between 0.095 and 0.41 and PSTR had a value of 0.59. </w:t>
      </w:r>
    </w:p>
    <w:p w:rsidR="0056130C" w:rsidRPr="00F91599" w:rsidRDefault="0056130C" w:rsidP="00AD0E73">
      <w:pPr>
        <w:spacing w:line="480" w:lineRule="auto"/>
        <w:rPr>
          <w:i/>
        </w:rPr>
      </w:pPr>
      <w:r>
        <w:rPr>
          <w:i/>
        </w:rPr>
        <w:t>Dialysate/plasma interactions</w:t>
      </w:r>
    </w:p>
    <w:p w:rsidR="00197CCB" w:rsidRPr="00AD0E73" w:rsidRDefault="0056130C" w:rsidP="00AD0E73">
      <w:pPr>
        <w:spacing w:line="480" w:lineRule="auto"/>
      </w:pPr>
      <w:r>
        <w:t xml:space="preserve">In view of the possible link between dialysate and plasma IL-6 over time, we plotted the dialysate/plasma ratio (Figure 3), which showed no apparent change. A univariable, multilevel regression model for dialysate to plasma IL-6 ratios confirmed that time had no effect (coefficient 0.98, 95% CI -2.65 to 4.60, p=0.6) on this. </w:t>
      </w:r>
      <w:r w:rsidR="00197CCB">
        <w:t xml:space="preserve">34.4% of dialysate samples had a concentration of TNF-α greater than predicted by diffusion according to the 3 pore model, assuming plasma TNF-α exists as a </w:t>
      </w:r>
      <w:proofErr w:type="spellStart"/>
      <w:r w:rsidR="00197CCB">
        <w:t>homotrimer</w:t>
      </w:r>
      <w:proofErr w:type="spellEnd"/>
      <w:r w:rsidR="00197CCB">
        <w:t>. If plasma TNF-α was assumed to be monomeric the proportion was 31.9%. The dialysate TNF-α results are demonstrated in Figure 4.</w:t>
      </w:r>
      <w:r w:rsidR="00197CCB">
        <w:br w:type="page"/>
      </w:r>
    </w:p>
    <w:p w:rsidR="00197CCB" w:rsidRPr="00F34C14" w:rsidRDefault="00197CCB" w:rsidP="00F34C14">
      <w:pPr>
        <w:rPr>
          <w:rFonts w:ascii="Cambria" w:hAnsi="Cambria"/>
          <w:b/>
          <w:bCs/>
          <w:sz w:val="26"/>
          <w:szCs w:val="26"/>
        </w:rPr>
      </w:pPr>
      <w:bookmarkStart w:id="4" w:name="_Toc402705987"/>
      <w:r w:rsidRPr="00F34C14">
        <w:rPr>
          <w:b/>
        </w:rPr>
        <w:lastRenderedPageBreak/>
        <w:t>Discussion</w:t>
      </w:r>
      <w:bookmarkEnd w:id="4"/>
    </w:p>
    <w:p w:rsidR="00197CCB" w:rsidRDefault="00197CCB" w:rsidP="00B80802">
      <w:pPr>
        <w:spacing w:afterLines="200" w:after="480" w:line="480" w:lineRule="auto"/>
      </w:pPr>
      <w:r>
        <w:t xml:space="preserve">We have demonstrated that intra-peritoneal inflammation, compared to controls who do not develop EPS, </w:t>
      </w:r>
      <w:r w:rsidR="0012696D">
        <w:t xml:space="preserve">appears to be </w:t>
      </w:r>
      <w:r>
        <w:t xml:space="preserve">increased for several years prior to EPS and this difference in intra-peritoneal inflammation is more readily apparent than the associated difference in PSTR. </w:t>
      </w:r>
      <w:r w:rsidR="003A6698">
        <w:t xml:space="preserve">However the considerable overlap between the groups precludes use as a prognostic discriminator. </w:t>
      </w:r>
      <w:r>
        <w:t>There is also an increase in plasma IL-6 levels, although the magnitude of this difference is less marked, and none of the other plasma cytokines are elevated.</w:t>
      </w:r>
    </w:p>
    <w:p w:rsidR="005A4F19" w:rsidRDefault="00197CCB" w:rsidP="004A4FEB">
      <w:pPr>
        <w:spacing w:afterLines="200" w:after="480" w:line="480" w:lineRule="auto"/>
      </w:pPr>
      <w:r>
        <w:t xml:space="preserve">We have replicated </w:t>
      </w:r>
      <w:r w:rsidR="003A6698">
        <w:t>two</w:t>
      </w:r>
      <w:r w:rsidR="005A4F19">
        <w:t xml:space="preserve"> </w:t>
      </w:r>
      <w:r>
        <w:t xml:space="preserve">previous findings of raised dialysate effluent IL-6 in patients who subsequently develop EPS. </w:t>
      </w:r>
      <w:r w:rsidR="005E389A">
        <w:fldChar w:fldCharType="begin"/>
      </w:r>
      <w:r w:rsidR="005A6DBC">
        <w:instrText xml:space="preserve"> ADDIN ZOTERO_ITEM CSL_CITATION {"citationID":"d1ns8XIR","properties":{"formattedCitation":"{\\rtf \\super 12,13\\nosupersub{}}","plainCitation":"12,13"},"citationItems":[{"id":198,"uris":["http://zotero.org/users/1533369/items/D64XCH4Z"],"uri":["http://zotero.org/users/1533369/items/D64XCH4Z"],"itemData":{"id":198,"type":"article-journal","title":"Early diagnostic markers for encapsulating peritoneal sclerosis: a case-control study","container-title":"Peritoneal dialysis international: journal of the International Society for Peritoneal Dialysis","page":"163-169","volume":"30","issue":"2","source":"NCBI PubMed","abstract":"OBJECTIVE: Encapsulating peritoneal sclerosis (EPS) is a severe complication of long-term peritoneal dialysis (PD). The aim of this study was to investigate whether dialysate levels of cancer antigen-125 (CA125), K(+), interleukin (IL)-6, and vascular endothelial growth factor (VEGF) are early diagnostic markers of EPS. Therefore, we analyzed the time courses of the above described dialysate markers in EPS patients and controls.\nMETHODS: Dialysate and serum samples of 11 EPS patients and 31 control patients, all treated with PD for at least 57 months, were longitudinally collected during standard peritoneal permeability analyses. CA125 and IL-6 were measured in dialysate only, K(+) and VEGF were measured in both dialysate and serum. CA125 and IL-6 are expressed as appearance rates (AR). The linear mixed model was used to analyze the time courses. Sensitivity and specificity were calculated based on the results of the last 2 time points.\nRESULTS: No differences in the time courses of the different markers were present between the groups. For K(+) and VEGF attributed to local production, no differences between the groups were found. However, AR-CA125 was lower during the last 3 years prior to EPS (p &lt; 0.05) and AR-IL-6 tended to be higher 2 years prior to EPS (p = 0.09). The combination of AR-CA125 &lt; 33 U/min and AR-IL-6 &gt; 350 pg/min had a sensitivity of 70% and a specificity of 89% for the development of EPS.\nCONCLUSIONS: Compared to controls, AR-CA125 showed lower values and AR-IL-6 tended to be higher during the last years prior to the diagnosis of EPS. The sensitivity and specificity of the combination of CA125 and IL-6 indicate their potential use for an early diagnosis of EPS.","DOI":"10.3747/pdi.2009.00022","ISSN":"1718-4304","note":"PMID: 20124195","shortTitle":"Early diagnostic markers for encapsulating peritoneal sclerosis","journalAbbreviation":"Perit Dial Int","language":"eng","author":[{"family":"Sampimon","given":"Denise E"},{"family":"Korte","given":"Mario R"},{"family":"Barreto","given":"Deirisa Lopes"},{"family":"Vlijm","given":"Anniek"},{"family":"Waart","given":"Rudy","non-dropping-particle":"de"},{"family":"Struijk","given":"Dirk G"},{"family":"Krediet","given":"Raymond T"}],"issued":{"date-parts":[["2010",4]]},"PMID":"20124195"}},{"id":1257,"uris":["http://zotero.org/users/1533369/items/QXIVI7GR"],"uri":["http://zotero.org/users/1533369/items/QXIVI7GR"],"itemData":{"id":1257,"type":"article-journal","title":"Dialysate cytokine levels do not predict encapsulating peritoneal sclerosis","container-title":"Peritoneal Dialysis International: Journal of the International Society for Peritoneal Dialysis","page":"594-604","volume":"34","issue":"6","source":"NCBI PubMed","abstract":"BACKGROUND: Encapsulating peritoneal sclerosis (EPS) is a rare but devastating complication of long-term peritoneal dialysis (PD). There is no well-validated method for predicting which patients will develop the condition, although known risk factors include long duration of PD, high glucose exposure and lack of residual renal function. We have investigated whether dialysate cytokines (MCP-1 (monocyte chemotactic protein-1), CCL18 (pulmonary and activation-regulated cytokine, PARC), IL-6 (interleukin-6), CCL15 (leukotactin) and angiogenin) could be used to predict the onset of EPS more effectively than known clinical risk factors.\nMETHODS: Samples of dialysate and clinical data were prospectively collected from 151 patients at the West London Renal center between 2003 and 2010. Dialysate cytokine levels were measured using the enzyme-linked immunoabsorbant assay (ELISA) technique. Encapsulating peritoneal sclerosis subsequently developed in 17 patients during a follow-up period of 27 - 113 months. Cytokines found at higher levels in dialysate of pre-EPS patients were investigated as candidate predictors of EPS using logistic regression analysis.\nRESULTS: Dialysate IL-6, MCP-1 and CCL15 were significantly higher in patients who subsequently developed EPS; however, a logistic regression model using dialysate cytokines to predict EPS was no better than a model using well-recognized clinical markers (length of time on PD and membrane transport status).\nCONCLUSIONS: Although MCP-1, IL-6 and CCL15 were found at higher levels in the dialysate of patients who subsequently developed EPS, dialysate levels of these cytokines do not improve prediction of future EPS above a model using known clinical risk factors.","DOI":"10.3747/pdi.2012.00305","ISSN":"1718-4304","note":"PMID: 24584593 \nPMCID: PMC4164403","journalAbbreviation":"Perit Dial Int","language":"eng","author":[{"family":"Goodlad","given":"Catriona"},{"family":"Tam","given":"Frederick W. K."},{"family":"Ahmad","given":"Sohail"},{"family":"Bhangal","given":"Gurjeet"},{"family":"North","given":"Bernard V."},{"family":"Brown","given":"Edwina A."}],"issued":{"date-parts":[["2014",10]]},"PMID":"24584593","PMCID":"PMC4164403"}}],"schema":"https://github.com/citation-style-language/schema/raw/master/csl-citation.json"} </w:instrText>
      </w:r>
      <w:r w:rsidR="005E389A">
        <w:fldChar w:fldCharType="separate"/>
      </w:r>
      <w:r w:rsidRPr="004F471A">
        <w:rPr>
          <w:szCs w:val="24"/>
          <w:vertAlign w:val="superscript"/>
        </w:rPr>
        <w:t>12,13</w:t>
      </w:r>
      <w:r w:rsidR="005E389A">
        <w:fldChar w:fldCharType="end"/>
      </w:r>
      <w:r>
        <w:t xml:space="preserve"> </w:t>
      </w:r>
      <w:r w:rsidR="003A6698">
        <w:t xml:space="preserve">These </w:t>
      </w:r>
      <w:r>
        <w:t xml:space="preserve">previous studies found a difference at </w:t>
      </w:r>
      <w:r w:rsidR="007507FB">
        <w:t xml:space="preserve">two </w:t>
      </w:r>
      <w:r>
        <w:t xml:space="preserve">and </w:t>
      </w:r>
      <w:r w:rsidR="007507FB">
        <w:t xml:space="preserve">one </w:t>
      </w:r>
      <w:r>
        <w:t xml:space="preserve">year prior to EPS/PD end respectively, but our study has extended this by looking at samples up to 6 years prior to EPS/PD. Whether IL-6 in isolation represents inflammation is unclear but the finding </w:t>
      </w:r>
      <w:r w:rsidR="0012696D">
        <w:t xml:space="preserve">of greater </w:t>
      </w:r>
      <w:r>
        <w:t xml:space="preserve">dialysate TNF-α strengthens the notion of ongoing inflammatory activity. IFN-γ and IL-1β levels, whilst not meeting the pre-defined threshold for significance, showed a tendency to higher levels in patients who subsequently developed EPS. </w:t>
      </w:r>
      <w:proofErr w:type="spellStart"/>
      <w:r>
        <w:t>Goodlad</w:t>
      </w:r>
      <w:proofErr w:type="spellEnd"/>
      <w:r>
        <w:t xml:space="preserve"> et al also found dialysate MCP-1 to be significantly higher in EPS patients strengthening the link with ongoing inflammation. The peritoneum is known to be inflamed during peritoneal dialysis, </w:t>
      </w:r>
      <w:r w:rsidR="005E389A">
        <w:fldChar w:fldCharType="begin"/>
      </w:r>
      <w:r w:rsidR="005A6DBC">
        <w:instrText xml:space="preserve"> ADDIN ZOTERO_ITEM CSL_CITATION {"citationID":"Y5y3P0CQ","properties":{"formattedCitation":"{\\rtf \\super 2\\uc0\\u8211{}5\\nosupersub{}}","plainCitation":"2–5"},"citationItems":[{"id":342,"uris":["http://zotero.org/users/1533369/items/KZCEPRKV"],"uri":["http://zotero.org/users/1533369/items/KZCEPRKV"],"itemData":{"id":342,"type":"article-journal","title":"Independent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Investigators"}],"issued":{"date-parts":[["2013",9,5]]},"PMID":"24009237"}},{"id":110,"uris":["http://zotero.org/users/1533369/items/8EBK868X"],"uri":["http://zotero.org/users/1533369/items/8EBK868X"],"itemData":{"id":110,"type":"article-journal","title":"Peritoneal macrophage infiltration is correlated with baseline peritoneal solute transport rate in peritoneal dialysis patients","container-title":"Nephrology, dialysis, transplantation: official publication of the European Dialysis and Transplant Association - European Renal Association","page":"2322-2332","volume":"26","issue":"7","source":"NCBI PubMed","abstract":"BACKGROUND: High baseline peritoneal solute transport rate is reportedly associated with reduced patient and technique survival in continuous peritoneal dialysis (PD) patients. However, the determinants of baseline peritoneal solute transport rate remain uncertain. The aim of this study was to investigate the relationship between peritoneal local inflammation, angiogenesis and systemic inflammation and baseline peritoneal permeability.\nMETHODS: Peritoneal biopsy specimens from 42 pre-dialysis uraemic patients and 11 control individuals were investigated. Immunohistochemistry for CD68-positive macrophages, chymase- and tryptase-positive mast cells, interleukin-6 (IL-6)-positive cells, CD3-positive T cells, CD20-positive B cells, neutrophils and CD31- and pathologische anatomie Leiden-endothelium (PAL-E)-positive blood vessels in the peritoneum was performed. Baseline dialysate-to-plasma ratio for creatinine (D/P Cr) was determined within 6 months of PD induction. Clinical and laboratory parameters were measured at the time of peritoneal biopsy. Factors associated with peritoneal permeability were assessed by multiple linear regression analysis.\nRESULTS: Pre-dialysis uraemic peritoneum showed infiltration by CD68-positive macrophages, and mast cells, as compared with controls. Baseline D/P Cr was correlated with density of CD68-positive macrophages (P &lt; 0.001), IL-6-positive cells (P &lt; 0.001), CD31-positive (P &lt; 0.05) and PAL-E-positive blood vessels (P &lt; 0.05) and serum albumin (P &lt; 0.05). However, baseline peritoneal permeability was not correlated with infiltration by mast cells, B cells, T cells, neutrophils, serum C-reactive protein or other clinical factors. On multiple linear regression analysis, the number of CD68-positive macrophages in peritoneum was an independent predictor for baseline peritoneal permeability (P = 0.009).\nCONCLUSIONS: Peritoneal macrophage infiltration is predominant in uraemic patients and is an important factor in predicting baseline peritoneal permeability.","DOI":"10.1093/ndt/gfq702","ISSN":"1460-2385","note":"PMID: 21098014","journalAbbreviation":"Nephrol. Dial. Transplant.","language":"eng","author":[{"family":"Sawai","given":"Akiho"},{"family":"Ito","given":"Yasuhiko"},{"family":"Mizuno","given":"Masashi"},{"family":"Suzuki","given":"Yasuhiro"},{"family":"Toda","given":"Susumu"},{"family":"Ito","given":"Isao"},{"family":"Hattori","given":"Ryohei"},{"family":"Matsukawa","given":"Yoshihisa"},{"family":"Gotoh","given":"Momokazu"},{"family":"Takei","given":"Yoshifumi"},{"family":"Yuzawa","given":"Yukio"},{"family":"Matsuo","given":"Seiichi"}],"issued":{"date-parts":[["2011",7]]},"PMID":"21098014"}},{"id":1261,"uris":["http://zotero.org/users/1533369/items/U2QE358A"],"uri":["http://zotero.org/users/1533369/items/U2QE358A"],"itemData":{"id":1261,"type":"article-journal","title":"Peritoneal dialysis fluid induces change of mononuclear phagocyte proportions","container-title":"Kidney International","page":"20-26","volume":"36","issue":"1","source":"NCBI PubMed","abstract":"Peritoneal macrophages from uninfected continuous ambulatory peritoneal dialysis (CAPD) patients in general show two different, endogenous peroxidase activity (PA) patterns: exudate and negative. This suggests, in accordance with the animal model, that these macrophages are changed proportionately in CAPD patients. This chronic change may be caused by mechanical stimulation alone (massage) or the composition of the dialysis fluid used. Therefore in the rat model both physiological saline and commercial dialysis fluid were intraperitoneally (i.p.) administrated. Our results on the PA-pattern of peritoneal macrophages do indicate that a single i.p. administration of commercial dialysis fluid induced an acute exudate, especially when compared with the minor saline effect. These results are confirmed by the percentage of macrophages positive for a differentiation antigen recognized by the monoclonal antibody ED2. In addition the percentage of Fc-receptor positive peritoneal cells is more enhanced after i.p. injection of dialysis fluid when compared with the saline effect. These findings strongly suggest that the dialysis fluid used in peritoneal dialysis patients is the inducer of exudate peritoneal macrophages in these patients.","ISSN":"0085-2538","note":"PMID: 2681926","journalAbbreviation":"Kidney Int.","language":"eng","author":[{"family":"Bos","given":"H. J."},{"family":"Meyer","given":"F."},{"family":"Veld","given":"J. C.","non-dropping-particle":"de"},{"family":"Beelen","given":"R. H."}],"issued":{"date-parts":[["1989",7]]},"PMID":"2681926"}},{"id":1259,"uris":["http://zotero.org/users/1533369/items/P4C5ACVK"],"uri":["http://zotero.org/users/1533369/items/P4C5ACVK"],"itemData":{"id":1259,"type":"article-journal","title":"Immuno-effector characteristics of peritoneal cells during CAPD treatment: a longitudinal study","container-title":"Kidney International","page":"641-648","volume":"43","issue":"3","source":"NCBI PubMed","abstract":"Peritoneal cells (PC) from 75 patients were immuno-phenotypically and functionally characterized during the first year of CAPD treatment (PCcapd) and compared to PC obtained by laparoscopy of healthy women (control peritoneal cells). Patients were divided, according to their peritonitis incidence (PI), into a high PI (HPI) and a low PI group (LPI). The yield of PCcapd decreased significantly over the year. The differential cell count and immunophenotype of PCcapd remained unchanged in the LPI group, but the percentage of macrophages decreased over the year in the HPI group. Macrophages in the PCcapd, when compared to control peritoneal cells, had a less mature phenotype as measured by RFD7 expression but a higher Fc-receptor expression. The PCcapd showed a higher percentage of B cells, CD4 positive T cells and activated T cells bearing HLA-DR/DQ when compared to the control peritoneal cells. Over the year a decrease in chemotactic activity of the PCcapd towards 10(-8) M N-formylmethionyl-leucyl-phenylalanine and dialysis effluent was observed in LPI patients but not in HPI patients. After one year of treatment, a significantly higher percentage of phagocytosing macrophages in the PCcapd of HPI patients was found when compared to LPI patients. During the year there was an increase of immunophagocytosis of PCcapd independent of PI. In conclusion, the CAPD peritoneal cellular immune system showed signs of both immaturity and activation. The decrease in the yield and in the chemotactic activity of PCcapd suggests an adaptation to the chronic stimulus of the dialysis fluid.(ABSTRACT TRUNCATED AT 250 WORDS)","ISSN":"0085-2538","note":"PMID: 8455363","shortTitle":"Immuno-effector characteristics of peritoneal cells during CAPD treatment","journalAbbreviation":"Kidney Int.","language":"eng","author":[{"family":"Betjes","given":"M. G."},{"family":"Tuk","given":"C. W."},{"family":"Struijk","given":"D. G."},{"family":"Krediet","given":"R. T."},{"family":"Arisz","given":"L."},{"family":"Hoefsmit","given":"E. C."},{"family":"Beelen","given":"R. H."}],"issued":{"date-parts":[["1993",3]]},"PMID":"8455363"}}],"schema":"https://github.com/citation-style-language/schema/raw/master/csl-citation.json"} </w:instrText>
      </w:r>
      <w:r w:rsidR="005E389A">
        <w:fldChar w:fldCharType="separate"/>
      </w:r>
      <w:r w:rsidRPr="004F471A">
        <w:rPr>
          <w:szCs w:val="24"/>
          <w:vertAlign w:val="superscript"/>
        </w:rPr>
        <w:t>2–5</w:t>
      </w:r>
      <w:r w:rsidR="005E389A">
        <w:fldChar w:fldCharType="end"/>
      </w:r>
      <w:r>
        <w:t xml:space="preserve"> and with this consistent pattern of higher dialysate inflammatory cytokines in patients who develop EPS, increased local inflammation appears to contribute to the risk of EPS development. </w:t>
      </w:r>
      <w:r w:rsidR="00366FED">
        <w:t xml:space="preserve">The EPS patients </w:t>
      </w:r>
      <w:r w:rsidR="007507FB">
        <w:t>may also</w:t>
      </w:r>
      <w:r w:rsidR="00366FED">
        <w:t xml:space="preserve"> differ from the control group in residual renal function</w:t>
      </w:r>
      <w:r w:rsidR="007507FB">
        <w:t>,</w:t>
      </w:r>
      <w:r w:rsidR="00366FED">
        <w:t xml:space="preserve"> dialysate glucose exposure and </w:t>
      </w:r>
      <w:r w:rsidR="007507FB">
        <w:t xml:space="preserve">use of </w:t>
      </w:r>
      <w:r w:rsidR="00366FED">
        <w:t xml:space="preserve">Icodextrin, </w:t>
      </w:r>
      <w:r w:rsidR="007507FB">
        <w:t>all potential</w:t>
      </w:r>
      <w:r w:rsidR="00366FED">
        <w:t xml:space="preserve"> pathways driving increased inflammation.</w:t>
      </w:r>
    </w:p>
    <w:p w:rsidR="00197CCB" w:rsidRDefault="00197CCB">
      <w:pPr>
        <w:spacing w:afterLines="200" w:after="480" w:line="480" w:lineRule="auto"/>
        <w:jc w:val="both"/>
      </w:pPr>
      <w:r>
        <w:t xml:space="preserve">The clearest difference in cytokine levels was for dialysate TNF-α. Any biomarker predictive of EPS </w:t>
      </w:r>
      <w:r w:rsidR="0012696D">
        <w:t>should</w:t>
      </w:r>
      <w:r>
        <w:t xml:space="preserve"> reflect local pathophysiology and therefore will be produced locally however previous studies of dialysate TNF-α have found low levels compatible with diffusion from the systemic circulation. </w:t>
      </w:r>
      <w:r w:rsidR="005E389A">
        <w:fldChar w:fldCharType="begin"/>
      </w:r>
      <w:r w:rsidR="005A0F6E">
        <w:instrText xml:space="preserve"> ADDIN ZOTERO_ITEM CSL_CITATION {"citationID":"1hgili2usl","properties":{"formattedCitation":"{\\rtf \\super 2,24\\nosupersub{}}","plainCitation":"2,24"},"citationItems":[{"id":375,"uris":["http://zotero.org/users/1533369/items/NE42PUA9"],"uri":["http://zotero.org/users/1533369/items/NE42PUA9"],"itemData":{"id":375,"type":"article-journal","title":"Appearance of tumor necrosis factor-alpha and soluble TNF-receptors I and II in peritoneal effluent of CAPD","container-title":"Kidney international","page":"1422-1430","volume":"46","issue":"5","source":"NCBI PubMed","abstract":"Dialysate and serum concentrations of tumor necrosis factor-alpha (TNF-alpha), soluble TNF-receptor I (sTNFRI) and soluble TNF-receptor II (sTNFRII) were measured during stable and infectious CAPD to determine whether these mediators are released intraperitoneally or derived from the circulation. Dialysate/serum ratios were compared to those of various marker proteins for peritoneal transport and to interleukin-6 (IL-6), which is locally produced. Peritoneal immunoreactive TNF-alpha could be detected in 19 of 20 stable CAPD patients after a night dwell, but only occasionally and in lower concentrations during and after a standard four-hour peritoneal permeability test. Both sTNFRs highly exceeded TNF-alpha dialysate concentrations. In case of peritonitis a median 16-fold increase in dialysate TNF-alpha occurred on the first day, which declined towards control values during a longitudinal follow-up of eight consecutive days. sTNFRI and sTNFRII in dialysate increased three- to fourfold. Their peaks, however, appeared on the second peritonitis day. Bioactive TNF-alpha was only detected when immunoreactive levels exceeded 1000 pg/ml. Serum values of all variables were not altered during infection; sTNFRs exceeded TNF-alpha 300- to 400-fold. During stable CAPD indirect evidence was obtained for transperitoneal transport from plasma to dialysate of TNF-alpha (molecular wt 17 kD), sTNFRI (55 kD) and sTNFRII (75 kD). Dialysate/serum (D/S) ratios were higher, the lower the molecular weight; they were related to D/S ratios of those marker proteins with the nearest molecular weight; D/S ratios were unrelated to the intraperitoneally produced IL-6. Furthermore, the observed D/S ratios were as expected theoretically for their molecular weights.(ABSTRACT TRUNCATED AT 250 WORDS)","ISSN":"0085-2538","note":"PMID: 7853803","journalAbbreviation":"Kidney Int.","language":"eng","author":[{"family":"Zemel","given":"D"},{"family":"Imholz","given":"A L"},{"family":"Waart","given":"D R","non-dropping-particle":"de"},{"family":"Dinkla","given":"C"},{"family":"Struijk","given":"D G"},{"family":"Krediet","given":"R T"}],"issued":{"date-parts":[["1994",11]]},"PMID":"7853803"}},{"id":342,"uris":["http://zotero.org/users/1533369/items/KZCEPRKV"],"uri":["http://zotero.org/users/1533369/items/KZCEPRKV"],"itemData":{"id":342,"type":"article-journal","title":"Independent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Investigators"}],"issued":{"date-parts":[["2013",9,5]]},"PMID":"24009237"}}],"schema":"https://github.com/citation-style-language/schema/raw/master/csl-citation.json"} </w:instrText>
      </w:r>
      <w:r w:rsidR="005E389A">
        <w:fldChar w:fldCharType="separate"/>
      </w:r>
      <w:r w:rsidR="005A0F6E" w:rsidRPr="005A0F6E">
        <w:rPr>
          <w:szCs w:val="24"/>
          <w:vertAlign w:val="superscript"/>
        </w:rPr>
        <w:t>2,24</w:t>
      </w:r>
      <w:r w:rsidR="005E389A">
        <w:fldChar w:fldCharType="end"/>
      </w:r>
      <w:r>
        <w:t xml:space="preserve"> </w:t>
      </w:r>
      <w:r w:rsidR="00AE6E16">
        <w:t xml:space="preserve">We found over 30% of </w:t>
      </w:r>
      <w:r w:rsidR="005A6DBC">
        <w:t>dialysate</w:t>
      </w:r>
      <w:r w:rsidR="00AE6E16">
        <w:t xml:space="preserve"> samples had levels higher than compatible with diffusion, whether </w:t>
      </w:r>
      <w:r w:rsidR="00AE6E16">
        <w:lastRenderedPageBreak/>
        <w:t xml:space="preserve">monomeric or heterotrimeric forms were used in the calculation, </w:t>
      </w:r>
      <w:r w:rsidR="005A6DBC">
        <w:t>strongly suggesting local production</w:t>
      </w:r>
      <w:r>
        <w:t xml:space="preserve">. </w:t>
      </w:r>
      <w:r w:rsidR="005A6DBC">
        <w:t xml:space="preserve">Dialysate </w:t>
      </w:r>
      <w:r>
        <w:t xml:space="preserve">TNF-α has previously been shown to correlate with other </w:t>
      </w:r>
      <w:r w:rsidR="005A6DBC">
        <w:t xml:space="preserve">locally produced </w:t>
      </w:r>
      <w:r>
        <w:t>cytokine levels.</w:t>
      </w:r>
      <w:r w:rsidR="005E389A">
        <w:fldChar w:fldCharType="begin"/>
      </w:r>
      <w:r w:rsidR="00500FFC">
        <w:instrText xml:space="preserve"> ADDIN ZOTERO_ITEM CSL_CITATION {"citationID":"2fqdo1qrs5","properties":{"formattedCitation":"{\\rtf \\super 2\\nosupersub{}}","plainCitation":"2"},"citationItems":[{"id":342,"uris":["http://zotero.org/users/1533369/items/KZCEPRKV"],"uri":["http://zotero.org/users/1533369/items/KZCEPRKV"],"itemData":{"id":342,"type":"article-journal","title":"Independent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Investigators"}],"issued":{"date-parts":[["2013",9,5]]},"PMID":"24009237"}}],"schema":"https://github.com/citation-style-language/schema/raw/master/csl-citation.json"} </w:instrText>
      </w:r>
      <w:r w:rsidR="005E389A">
        <w:fldChar w:fldCharType="separate"/>
      </w:r>
      <w:r w:rsidRPr="004F471A">
        <w:rPr>
          <w:szCs w:val="24"/>
          <w:vertAlign w:val="superscript"/>
        </w:rPr>
        <w:t>2</w:t>
      </w:r>
      <w:r w:rsidR="005E389A">
        <w:fldChar w:fldCharType="end"/>
      </w:r>
      <w:r>
        <w:t xml:space="preserve"> These data would be compatible with intra-peritoneal TNF-α being part of </w:t>
      </w:r>
      <w:r w:rsidR="005A6DBC">
        <w:t xml:space="preserve">a </w:t>
      </w:r>
      <w:r>
        <w:t>pro-fibrotic milieu but whether TNF-α is associated with fibrosis in the peritoneum is not clear</w:t>
      </w:r>
      <w:r w:rsidR="005A6DBC">
        <w:t xml:space="preserve"> in the existing literature</w:t>
      </w:r>
      <w:r>
        <w:t xml:space="preserve">. </w:t>
      </w:r>
      <w:r w:rsidR="005E389A">
        <w:fldChar w:fldCharType="begin"/>
      </w:r>
      <w:r w:rsidR="005A0F6E">
        <w:instrText xml:space="preserve"> ADDIN ZOTERO_ITEM CSL_CITATION {"citationID":"Lb4MntqS","properties":{"formattedCitation":"{\\rtf \\super 25,23,26\\nosupersub{}}","plainCitation":"25,23,26"},"citationItems":[{"id":59,"uris":["http://zotero.org/users/1533369/items/5J87IE6A"],"uri":["http://zotero.org/users/1533369/items/5J87IE6A"],"itemData":{"id":59,"type":"article-journal","title":"Inflammatory cytokines, angiogenesis, and fibrosis in the rat peritoneum","container-title":"The American journal of pathology","page":"2285-2294","volume":"160","issue":"6","source":"NCBI PubMed","abstract":"Peritonitis, a common complication of peritoneal dialysis, is followed by acute changes in the function of the peritoneum. The role of inflammatory cytokines in these processes is not clearly identified. We used adenoviral-mediated gene transfer to transiently overexpress interleukin (IL)-1 beta (AdIL-1 beta) or tumor necrosis factor (TNF)-alpha (AdTNF-alpha) in the rat peritoneum then used a modified equilibrium test to study the histological and functional changes. Overexpression of IL-1 beta or TNF-alpha led to an acute inflammatory response. Both inflammatory cytokines induced an early expression of the angiogenic cytokine, vascular endothelial growth factor, along with increased expression of the profibrotic cytokine, transforming growth factor-beta1, along with fibronectin expression and collagen deposition in peritoneal tissues. Both inflammatory cytokines induced angiogenesis, increased solute permeability, and ultrafiltration dysfunction at earlier time points. Changes in structure and function seen in AdTNF-alpha-treated animals returned to normal by 21 days after infection, whereas AdIL-1 beta-treated animals had persistently increased vasculature with submesothelial thickening and fibrosis. This was associated with up-regulation TIMP-1. TNF-alpha or IL-1 beta both induce acute changes in the peritoneum that mimic those seen in peritoneal dialysis patients who experience an episode of peritonitis. These functional changes were associated with early angiogenesis that resolved rapidly after exposure to TNF-alpha. IL-1 beta exposure, however, led to a different response with sustained vascularization and fibrosis. IL-1 beta inhibition may be a therapeutic goal in acute peritonitis to prevent peritoneal damage.","DOI":"10.1016/S0002-9440(10)61176-5","ISSN":"0002-9440","note":"PMID: 12057931","journalAbbreviation":"Am. J. Pathol.","language":"eng","author":[{"family":"Margetts","given":"Peter J"},{"family":"Kolb","given":"Martin"},{"family":"Yu","given":"Lisa"},{"family":"Hoff","given":"Catherine M"},{"family":"Holmes","given":"Clifford J"},{"family":"Anthony","given":"Daniel C"},{"family":"Gauldie","given":"Jack"}],"issued":{"date-parts":[["2002",6]]},"PMID":"12057931"}},{"id":1275,"uris":["http://zotero.org/users/1533369/items/W84SFJXI"],"uri":["http://zotero.org/users/1533369/items/W84SFJXI"],"itemData":{"id":1275,"type":"article-journal","title":"Interleukin-6 Signaling Drives Fibrosis in Unresolved Inflammation","container-title":"Immunity","page":"40-50","volume":"40","issue":"1","source":"PubMed Central","abstract":"Fibrosis in response to tissue damage or persistent inflammation is a pathological hallmark of many chronic degenerative diseases. By using a model of acute peritoneal inflammation, we have examined how repeated inflammatory activation promotes fibrotic tissue injury. In this context, fibrosis was strictly dependent on interleukin-6 (IL-6). Repeat inflammation induced IL-6-mediated T helper 1 (Th1) cell effector commitment and the emergence of STAT1 (signal transducer and activator of transcription-1) activity within the peritoneal membrane. Fibrosis was not observed in mice lacking interferon-γ (IFN-γ), STAT1, or RAG-1. Here, IFN-γ and STAT1 signaling disrupted the turnover of extracellular matrix by metalloproteases. Whereas IL-6-deficient mice resisted fibrosis, transfer of polarized Th1 cells or inhibition of MMP activity reversed this outcome. Thus, IL-6 causes compromised tissue repair by shifting acute inflammation into a more chronic profibrotic state through induction of Th1 cell responses as a consequence of recurrent inflammation., \n          \n            \n              •\n              Repeated acute resolving inflammation leads to excessive tissue damage\n            \n            \n              •\n              IL-6 regulates profibrotic IFN-γ-secreting T cells\n            \n            \n              •\n              IFN-γ increases detrimental STAT1 signaling in stromal tissue\n            \n            \n              •\n              STAT1 activity alters homeostatic control of extracellular matrix to promote fibrosis","DOI":"10.1016/j.immuni.2013.10.022","ISSN":"1074-7613","note":"PMID: 24412616\nPMCID: PMC3919204","journalAbbreviation":"Immunity","author":[{"family":"Fielding","given":"Ceri A."},{"family":"Jones","given":"Gareth W."},{"family":"McLoughlin","given":"Rachel M."},{"family":"McLeod","given":"Louise"},{"family":"Hammond","given":"Victoria J."},{"family":"Uceda","given":"Javier"},{"family":"Williams","given":"Anwen S."},{"family":"Lambie","given":"Mark"},{"family":"Foster","given":"Thomas L."},{"family":"Liao","given":"Chia-Te"},{"family":"Rice","given":"Christopher M."},{"family":"Greenhill","given":"Claire J."},{"family":"Colmont","given":"Chantal S."},{"family":"Hams","given":"Emily"},{"family":"Coles","given":"Barbara"},{"family":"Kift-Morgan","given":"Ann"},{"family":"Newton","given":"Zarabeth"},{"family":"Craig","given":"Katherine J."},{"family":"Williams","given":"John D."},{"family":"Williams","given":"Geraint T."},{"family":"Davies","given":"Simon J."},{"family":"Humphreys","given":"Ian R."},{"family":"O’Donnell","given":"Valerie B."},{"family":"Taylor","given":"Philip R."},{"family":"Jenkins","given":"Brendan J."},{"family":"Topley","given":"Nicholas"},{"family":"Jones","given":"Simon A."}],"issued":{"date-parts":[["2014",1,16]]},"PMID":"24412616","PMCID":"PMC3919204"}},{"id":259,"uris":["http://zotero.org/users/1533369/items/GESE9XXI"],"uri":["http://zotero.org/users/1533369/items/GESE9XXI"],"itemData":{"id":259,"type":"article-journal","title":"The controversial role of tumor necrosis factor alpha in fibrotic diseases","container-title":"Arthritis and rheumatism","page":"2228-2235","volume":"58","issue":"8","source":"NCBI PubMed","DOI":"10.1002/art.23645","ISSN":"0004-3591","note":"PMID: 18668576","journalAbbreviation":"Arthritis Rheum.","language":"eng","author":[{"family":"Distler","given":"Jörg H W"},{"family":"Schett","given":"Georg"},{"family":"Gay","given":"Steffen"},{"family":"Distler","given":"Oliver"}],"issued":{"date-parts":[["2008",8]]},"PMID":"18668576"}}],"schema":"https://github.com/citation-style-language/schema/raw/master/csl-citation.json"} </w:instrText>
      </w:r>
      <w:r w:rsidR="005E389A">
        <w:fldChar w:fldCharType="separate"/>
      </w:r>
      <w:r w:rsidR="005A0F6E" w:rsidRPr="005A0F6E">
        <w:rPr>
          <w:szCs w:val="24"/>
          <w:vertAlign w:val="superscript"/>
        </w:rPr>
        <w:t>25,23,26</w:t>
      </w:r>
      <w:r w:rsidR="005E389A">
        <w:fldChar w:fldCharType="end"/>
      </w:r>
      <w:r>
        <w:t xml:space="preserve"> </w:t>
      </w:r>
    </w:p>
    <w:p w:rsidR="00197CCB" w:rsidRDefault="00197CCB">
      <w:pPr>
        <w:spacing w:afterLines="200" w:after="480" w:line="480" w:lineRule="auto"/>
        <w:jc w:val="both"/>
      </w:pPr>
      <w:r>
        <w:t xml:space="preserve">One of the unexpected findings was the lack of difference in solute transport which is frequently reported as a risk for EPS. A rise in solute transport with long term PD, as we have replicated in this study, is well recognised </w:t>
      </w:r>
      <w:r w:rsidR="005E389A">
        <w:fldChar w:fldCharType="begin"/>
      </w:r>
      <w:r w:rsidR="005A0F6E">
        <w:instrText xml:space="preserve"> ADDIN ZOTERO_ITEM CSL_CITATION {"citationID":"1vac7jvb2i","properties":{"formattedCitation":"{\\rtf \\super 27\\nosupersub{}}","plainCitation":"27"},"citationItems":[{"id":200,"uris":["http://zotero.org/users/1533369/items/D9PZ7DC7"],"uri":["http://zotero.org/users/1533369/items/D9PZ7DC7"],"itemData":{"id":200,"type":"article-journal","title":"Longitudinal changes in peritoneal kinetics: the effects of peritoneal dialysis and peritonitis","container-title":"Nephrology, dialysis, transplantation: official publication of the European Dialysis and Transplant Association - European Renal Association","page":"498-506","volume":"11","issue":"3","source":"NCBI PubMed","abstract":"BACKGROUND: Peritoneal infection and poor ultrafiltration continue to be the major causes of treatment failure in CAPD. The combined effects of peritonitis and the continuous exposure to dialysis fluid remain the most likely candidates affecting the peritoneum in the long term. The purpose of this study was to observe the effects of peritonitis and dialysis on longitudinal peritoneal function.\nMETHODS: The peritoneal equilibration test (PET) was utilized to quantify longitudinal changes in low-molecular-weight solute transfer (D/P(creat)) and ultrafiltration (UF) in 233 patients treated with CAPD. Of these, 166 represented an unselected cohort (Group 1) studied prospectively from commencing treatment for up to 54 months, and 67 were selected patients (Group 2) with PET data available at commencement of the study, having been on dialysis for a minimum of 18 months. PETs were performed either 6-monthly or following peritonitis episodes.\nRESULTS: Data on the short-term effect of peritonitis kinetics were pooled for groups 1 and 2. Single, isolated episodes (n = 86) had no significant effect on D/P(creat) or UF, whereas recurrences or clusters of infection (n = 70) caused increases in D/P(creat) and reductions in UF, the significance of which increased with the number of episodes. There were significant correlations between both changes in D/P(creat) and UF with the cumulative dialysate leukocyte count, regardless of infecting organism, suggesting that intensity of peritoneal inflammation is also important. Those organisms associated with greater change in peritoneal kinetics, e.g. S. aureus, Pseudomonas, also had the highest neutrophil counts. The longitudinal changes in peritoneal kinetics were analysed for patients in group 1 only. There was a highly significant increase in D/P(creat) after 6 months treatment; this increased further with time on treatment, reaching further significance at 42 and 48 months. There was an associated reduction in UF. In view of the short-term effects of peritonitis on kinetics group 1 was further subdivided into patients who were either peritonitis free or only experienced isolated infections, group 1a, and those that had multiple infection episodes, group 1b. Treatment drop-out, due to death or technical failure occurred at double the rate in group 1b, who also had significantly higher D/P(creat) and lower UF at 1, 6, 12, 18 and 24 months of treatment. Group 1a subsequently caught up, however, indicating that peritonitis is not the only factor influencing long-term changes in peritoneal kinetics.\nCONCLUSIONS: These data suggest that solute transfer increases and UF declines with time on peritoneal dialysis. This process is exacerbated and accelerated by peritonitis, and appears to be proportional to the degree of associated inflammation and number of infections in close proximity.","ISSN":"0931-0509","note":"PMID: 8671821","shortTitle":"Longitudinal changes in peritoneal kinetics","journalAbbreviation":"Nephrol. Dial. Transplant.","language":"eng","author":[{"family":"Davies","given":"S J"},{"family":"Bryan","given":"J"},{"family":"Phillips","given":"L"},{"family":"Russell","given":"G I"}],"issued":{"date-parts":[["1996",3]]},"PMID":"8671821"}}],"schema":"https://github.com/citation-style-language/schema/raw/master/csl-citation.json"} </w:instrText>
      </w:r>
      <w:r w:rsidR="005E389A">
        <w:fldChar w:fldCharType="separate"/>
      </w:r>
      <w:r w:rsidR="005A0F6E" w:rsidRPr="005A0F6E">
        <w:rPr>
          <w:szCs w:val="24"/>
          <w:vertAlign w:val="superscript"/>
        </w:rPr>
        <w:t>27</w:t>
      </w:r>
      <w:r w:rsidR="005E389A">
        <w:fldChar w:fldCharType="end"/>
      </w:r>
      <w:r>
        <w:t xml:space="preserve"> so </w:t>
      </w:r>
      <w:r w:rsidR="005A0F6E">
        <w:t xml:space="preserve">fully </w:t>
      </w:r>
      <w:r>
        <w:t xml:space="preserve">controlling for time is crucial </w:t>
      </w:r>
      <w:r w:rsidR="005A0F6E">
        <w:t xml:space="preserve">in EPS studies but </w:t>
      </w:r>
      <w:r>
        <w:t xml:space="preserve">most reports have not </w:t>
      </w:r>
      <w:r w:rsidR="005A0F6E">
        <w:t>quite managed this</w:t>
      </w:r>
      <w:r>
        <w:t xml:space="preserve">. </w:t>
      </w:r>
      <w:r w:rsidR="005E389A">
        <w:fldChar w:fldCharType="begin"/>
      </w:r>
      <w:r w:rsidR="001A4CE2">
        <w:instrText xml:space="preserve"> ADDIN ZOTERO_ITEM CSL_CITATION {"citationID":"fzecbDDx","properties":{"formattedCitation":"{\\rtf \\super 9,10,21\\nosupersub{}}","plainCitation":"9,10,21"},"citationItems":[{"id":497,"uris":["http://zotero.org/users/1533369/items/URTPNCU6"],"uri":["http://zotero.org/users/1533369/items/URTPNCU6"],"itemData":{"id":497,"type":"article-journal","title":"High-transport membrane is a risk factor for encapsulating peritoneal sclerosis developing after long-term continuous ambulatory peritoneal dialysis treatment","container-title":"Advances in peritoneal dialysis. Conference on Peritoneal Dialysis","page":"131-134","volume":"18","source":"NCBI PubMed","abstract":"Increased peritoneal function has been suggested to be a risk factor for developing encapsulating peritoneal sclerosis (EPS); however, clinical evidence is scarce. The present study aimed to clarify the specific character of peritoneal function in patients who developed EPS after withdrawal from peritoneal dialysis (PD). We studied 12 patients who developed EPS after PD withdrawal [(EPS group) mean PD duration: 109 months; mean period of EPS development: 7.0 months after withdrawal] and 128 patients who did not develop EPS (non EPS group). All 140 patients were withdrawn from continuous ambulatory peritoneal dialysis (CAPD) and were observed for the following 24 months. Based on the records of the annual peritoneal equilibration tests (PETs), we analyzed (1) the patients' dialysate-to-plasma (D/P) creatinine at various durations on PD, and (2) the accumulative appearance incidence of high-transport (HT) state of peritoneal membrane. The mean D/P creatinine in EPS group was significantly higher than that in the non EPS group in the course of PD from the 6th to the 10th year. The accumulative incidence of HT was significantly higher in the EPS group than in the non EPS group, indicating early development of HT membrane in EPS group. Early development of increased D/P creatinine, classified as HT state, was observed during certain periods on PD in patients who developed EPS after PD withdrawal. That finding may indicate that HT state of peritoneal membrane is an early marker for EPS, and that the PET is useful to detect patients at high risk of EPS.","ISSN":"1197-8554","note":"PMID: 12402604","journalAbbreviation":"Adv Perit Dial","language":"eng","author":[{"family":"Yamamoto","given":"Ryo"},{"family":"Nakayama","given":"Masaaki"},{"family":"Hasegawa","given":"Toshio"},{"family":"Miwako","given":"Numata"},{"family":"Yamamoto","given":"Hiroyasu"},{"family":"Yokoyami","given":"Keitaro"},{"family":"Ikeda","given":"Masato"},{"family":"Kato","given":"Naohiko"},{"family":"Hayakawa","given":"Hiroshi"},{"family":"Takahashi","given":"Hajime"},{"family":"Otsuka","given":"Yasushi"},{"family":"Kawaguchi","given":"Yoshindo"},{"family":"Hosoya","given":"Tastuo"}],"issued":{"date-parts":[["2002"]]},"PMID":"12402604"}},{"id":224,"uris":["http://zotero.org/users/1533369/items/EFWZD9G7"],"uri":["http://zotero.org/users/1533369/items/EFWZD9G7"],"itemData":{"id":224,"type":"article-journal","title":"Risk factors associated with encapsulating peritoneal sclerosis in Dutch EPS study","container-title":"Peritoneal dialysis international: journal of the International Society for Peritoneal Dialysis","page":"269-278","volume":"31","issue":"3","source":"NCBI PubMed","abstract":"OBJECTIVE: Encapsulating peritoneal sclerosis (EPS) is a serious complication of peritoneal dialysis (PD) with a multifactorial pathophysiology and possible increasing incidence. The aim of the present study was to evaluate the independent associations of PD duration, age, dialysis fluids, and kidney transplantation with EPS.\nMETHODS: A multicenter case-control study was performed in the Netherlands from 1 January 1996 until 1 July 2007. The population comprised 63 patients with EPS and 126 control patients. Control patients were selected from the national registry and were matched for date of PD start. Associations were analyzed using a log linear regression model. Primary outcome was appearance of EPS.\nRESULTS: Compared with control patients, patients with EPS were younger at the start of PD (34.7 ± 15.4 years vs. 51.5 ± 14.7 years, p &lt; 0.0001). The cumulative period on PD was longer in EPS patients than in control patients (78.7 ± 37.8 months vs. 32.8 ± 24 months, p &lt; 0.0001), and the cumulative period on icodextrin was also longer in EPS patients (32.7 ± 23.3 months vs. 18.1 ± 15.7 months, p = 0.006). Compared with control patients, more EPS patients underwent kidney transplantation (47 vs. 59, p &lt; 0.0001). With regard to the period after transplantation, the yearly probability of EPS increased in the year after transplantation to 7.5% from 1.75%. In multivariate regression analysis, cumulative PD duration, age at PD start, transplantation, time from last transplantation to EPS, calendar time, time on icodextrin, and ultrafiltration failure were independently associated with EPS. Transfer from PD to hemodialysis for reasons other than suspected EPS could not be identified as a risk factor for EPS.\nCONCLUSIONS: Duration of PD, age at PD start, kidney transplantation, time since last transplantation, ultrafiltration failure, and time on icodextrin were associated with a higher risk of EPS.","DOI":"10.3747/pdi.2010.00167","ISSN":"1718-4304","note":"PMID: 21454391","journalAbbreviation":"Perit Dial Int","language":"eng","author":[{"family":"Korte","given":"Mario R"},{"family":"Sampimon","given":"Denise E"},{"family":"Lingsma","given":"Hester F"},{"family":"Fieren","given":"Marien W"},{"family":"Looman","given":"Caspar W N"},{"family":"Zietse","given":"Robert"},{"family":"Weimar","given":"Willem"},{"family":"Betjes","given":"Michiel G H"},{"literal":"Dutch Multicenter EPS Study"}],"issued":{"date-parts":[["2011",6]]},"PMID":"21454391"}},{"id":65,"uris":["http://zotero.org/users/1533369/items/5SZQINHB"],"uri":["http://zotero.org/users/1533369/items/5SZQINHB"],"itemData":{"id":65,"type":"article-journal","title":"The time course of peritoneal transport parameters in peritoneal dialysis patients who develop encapsulating peritoneal sclerosis","container-title":"Nephrology, dialysis, transplantation: official publication of the European Dialysis and Transplant Association - European Renal Association","page":"291-298","volume":"26","issue":"1","source":"NCBI PubMed","abstract":"BACKGROUND: Encapsulating peritoneal sclerosis (EPS) is a severe complication of peritoneal dialysis (PD). The first aim was to analyse the risk of EPS in patients who had developed ultrafiltration failure (UFF). The second aim was to identify specific peritoneal transport alterations that distinguish patients with UFF from patients who will develop EPS.\nMETHODS: All patients of this study were treated with PD between July 1995 and December 2008 in the Academic Medical Center, Amsterdam, the Netherlands. Risk analysis: all PD patients who developed UFF after at least 2 years of PD. Peritoneal transport analysis: all patients who had PD for at least 55 months were included: 12 EPS patients, 21 patients with UFF and 26 patients with normal ultrafiltration (UF). The peritoneal function was measured yearly with a standard peritoneal permeability analysis. UFF was defined as net UF &lt; 400 mL after a 4-h dwell with a 3.86% dialysis solution.\nRESULTS: Risk analysis: Of the 48 UFF patients, 10 eventually developed EPS. Fifty percent of the patients who continued PD for more than 3 years after the establishment of UFF developed EPS. Peritoneal function analysis: No differences were present for the time courses of solute transport and fluid transport between the EPS and the UFF groups. Overall, the EPS and normal UF groups had lower values for the effective lymphatic absorption rate (ELAR) than the UFF group.\nCONCLUSIONS: The risk of EPS increases with continuation of PD while UFF is present. Transport characteristics are similar between EPS patients and UFF patients without this complication. A constantly low ELAR may distinguish the EPS patients from those with UFF only.","DOI":"10.1093/ndt/gfq343","ISSN":"1460-2385","note":"PMID: 20566569","journalAbbreviation":"Nephrol. Dial. Transplant.","language":"eng","author":[{"family":"Sampimon","given":"Denise E"},{"family":"Coester","given":"Annemieke M"},{"family":"Struijk","given":"Dirk G"},{"family":"Krediet","given":"Raymond T"}],"issued":{"date-parts":[["2011",1]]},"PMID":"20566569"}}],"schema":"https://github.com/citation-style-language/schema/raw/master/csl-citation.json"} </w:instrText>
      </w:r>
      <w:r w:rsidR="005E389A">
        <w:fldChar w:fldCharType="separate"/>
      </w:r>
      <w:r w:rsidR="001A4CE2" w:rsidRPr="001A4CE2">
        <w:rPr>
          <w:szCs w:val="24"/>
          <w:vertAlign w:val="superscript"/>
        </w:rPr>
        <w:t>9,10,21</w:t>
      </w:r>
      <w:r w:rsidR="005E389A">
        <w:fldChar w:fldCharType="end"/>
      </w:r>
      <w:r>
        <w:t xml:space="preserve"> Our study has fully adjusted for time on PD, and found no </w:t>
      </w:r>
      <w:r w:rsidR="005A4F19">
        <w:t xml:space="preserve">clinically significant </w:t>
      </w:r>
      <w:r>
        <w:t xml:space="preserve">difference in solute transport between EPS patients and controls, suggesting that this is not a good method for identifying patients at high risk of EPS. This is similar to a previous study where no </w:t>
      </w:r>
      <w:r w:rsidR="005A4F19">
        <w:t xml:space="preserve">clinically significant </w:t>
      </w:r>
      <w:r>
        <w:t xml:space="preserve">difference in solute transport was found until the last year of PD, although that study of 9 EPS patients included 6 from this study. </w:t>
      </w:r>
      <w:r w:rsidR="005E389A">
        <w:fldChar w:fldCharType="begin"/>
      </w:r>
      <w:r w:rsidR="001A4CE2">
        <w:instrText xml:space="preserve"> ADDIN ZOTERO_ITEM CSL_CITATION {"citationID":"u10pccb5t","properties":{"formattedCitation":"{\\rtf \\super 20\\nosupersub{}}","plainCitation":"20"},"citationItems":[{"id":558,"uris":["http://zotero.org/users/1533369/items/ZBA6QR4M"],"uri":["http://zotero.org/users/1533369/items/ZBA6QR4M"],"itemData":{"id":558,"type":"article-journal","title":"The peritoneal osmotic conductance is low well before the diagnosis of encapsulating peritoneal sclerosis is made","container-title":"Kidney international","page":"611-618","volume":"78","issue":"6","source":"NCBI PubMed","abstract":"Encapsulating peritoneal sclerosis (EPS) is a serious condition whose frequency is increasing the longer the duration of peritoneal dialysis. To identify prognostic indicators of EPS, we studied here longitudinal changes in peritoneal membrane function of patients who later developed this complication. We identified all patients with an unequivocal diagnosis of EPS who began their peritoneal dialysis in our unit over a 20-year period and matched each of them for dialysis duration and age with four control patients who completed their dialysis. The dialysate/plasma creatinine ratio increased with time in both groups but was significantly higher in the patients with EPS only at the time their dialysis was discontinued. The ultrafiltration capacity was significantly worse for at least 2 years before stopping dialysis, diverging further at the time dialysis ceased, suggesting reduced osmotic conductance in the EPS patients. Both the glucose exposure rate for the 5 years preceding stoppage of dialysis and exposure to the osmotic agent icodextrin were significantly higher. Residual renal function was less in the EPS group, but there was no significant difference in the rates of peritonitis compared to the control group. The 24 h peritoneal protein clearance was not significantly different in EPS patients, possibly due to a greater fibrous matrix. Thus, our study shows that regular peritoneal membrane function tests can identify most patients at high risk of developing EPS before its occurrence.","DOI":"10.1038/ki.2010.186","ISSN":"1523-1755","note":"PMID: 20571473","journalAbbreviation":"Kidney Int.","language":"eng","author":[{"family":"Lambie","given":"Mark L"},{"family":"John","given":"Biju"},{"family":"Mushahar","given":"Lily"},{"family":"Huckvale","given":"Christopher"},{"family":"Davies","given":"Simon J"}],"issued":{"date-parts":[["2010",9]]},"PMID":"20571473"}}],"schema":"https://github.com/citation-style-language/schema/raw/master/csl-citation.json"} </w:instrText>
      </w:r>
      <w:r w:rsidR="005E389A">
        <w:fldChar w:fldCharType="separate"/>
      </w:r>
      <w:r w:rsidR="001A4CE2" w:rsidRPr="001A4CE2">
        <w:rPr>
          <w:szCs w:val="24"/>
          <w:vertAlign w:val="superscript"/>
        </w:rPr>
        <w:t>20</w:t>
      </w:r>
      <w:r w:rsidR="005E389A">
        <w:fldChar w:fldCharType="end"/>
      </w:r>
      <w:r>
        <w:t xml:space="preserve"> The analysis presented here modelled all measures over 6 years prior to stopping PD, and with this strategy, testing for a divergence shortly before stopping PD would require a significantly larger sample to detect a difference. One recent study that matched accurately for time on PD also found a difference one year prior to stopping PD, </w:t>
      </w:r>
      <w:r w:rsidR="005E389A">
        <w:fldChar w:fldCharType="begin"/>
      </w:r>
      <w:r>
        <w:instrText xml:space="preserve"> ADDIN ZOTERO_ITEM CSL_CITATION {"citationID":"2g3b5sago0","properties":{"formattedCitation":"{\\rtf \\super 13\\nosupersub{}}","plainCitation":"13"},"citationItems":[{"id":1257,"uris":["http://zotero.org/users/1533369/items/QXIVI7GR"],"uri":["http://zotero.org/users/1533369/items/QXIVI7GR"],"itemData":{"id":1257,"type":"article-journal","title":"Dialysate cytokine levels do not predict encapsulating peritoneal sclerosis","container-title":"Peritoneal Dialysis International: Journal of the International Society for Peritoneal Dialysis","page":"594-604","volume":"34","issue":"6","source":"NCBI PubMed","abstract":"BACKGROUND: Encapsulating peritoneal sclerosis (EPS) is a rare but devastating complication of long-term peritoneal dialysis (PD). There is no well-validated method for predicting which patients will develop the condition, although known risk factors include long duration of PD, high glucose exposure and lack of residual renal function. We have investigated whether dialysate cytokines (MCP-1 (monocyte chemotactic protein-1), CCL18 (pulmonary and activation-regulated cytokine, PARC), IL-6 (interleukin-6), CCL15 (leukotactin) and angiogenin) could be used to predict the onset of EPS more effectively than known clinical risk factors.\nMETHODS: Samples of dialysate and clinical data were prospectively collected from 151 patients at the West London Renal center between 2003 and 2010. Dialysate cytokine levels were measured using the enzyme-linked immunoabsorbant assay (ELISA) technique. Encapsulating peritoneal sclerosis subsequently developed in 17 patients during a follow-up period of 27 - 113 months. Cytokines found at higher levels in dialysate of pre-EPS patients were investigated as candidate predictors of EPS using logistic regression analysis.\nRESULTS: Dialysate IL-6, MCP-1 and CCL15 were significantly higher in patients who subsequently developed EPS; however, a logistic regression model using dialysate cytokines to predict EPS was no better than a model using well-recognized clinical markers (length of time on PD and membrane transport status).\nCONCLUSIONS: Although MCP-1, IL-6 and CCL15 were found at higher levels in the dialysate of patients who subsequently developed EPS, dialysate levels of these cytokines do not improve prediction of future EPS above a model using known clinical risk factors.","DOI":"10.3747/pdi.2012.00305","ISSN":"1718-4304","note":"PMID: 24584593 \nPMCID: PMC4164403","journalAbbreviation":"Perit Dial Int","language":"eng","author":[{"family":"Goodlad","given":"Catriona"},{"family":"Tam","given":"Frederick W. K."},{"family":"Ahmad","given":"Sohail"},{"family":"Bhangal","given":"Gurjeet"},{"family":"North","given":"Bernard V."},{"family":"Brown","given":"Edwina A."}],"issued":{"date-parts":[["2014",10]]},"PMID":"24584593","PMCID":"PMC4164403"}}],"schema":"https://github.com/citation-style-language/schema/raw/master/csl-citation.json"} </w:instrText>
      </w:r>
      <w:r w:rsidR="005E389A">
        <w:fldChar w:fldCharType="separate"/>
      </w:r>
      <w:r w:rsidRPr="004F471A">
        <w:rPr>
          <w:szCs w:val="24"/>
          <w:vertAlign w:val="superscript"/>
        </w:rPr>
        <w:t>13</w:t>
      </w:r>
      <w:r w:rsidR="005E389A">
        <w:fldChar w:fldCharType="end"/>
      </w:r>
      <w:r>
        <w:t xml:space="preserve"> raising the possibility that </w:t>
      </w:r>
      <w:r w:rsidR="005A4F19">
        <w:t xml:space="preserve">clinically significant </w:t>
      </w:r>
      <w:r>
        <w:t>differences may occur close to the development of EPS.</w:t>
      </w:r>
    </w:p>
    <w:p w:rsidR="00197CCB" w:rsidRDefault="00197CCB">
      <w:pPr>
        <w:spacing w:afterLines="200" w:after="480" w:line="480" w:lineRule="auto"/>
        <w:jc w:val="both"/>
      </w:pPr>
      <w:r>
        <w:t xml:space="preserve">Solute transport is closely linked with inflammation through local IL-6 </w:t>
      </w:r>
      <w:r w:rsidR="005E389A">
        <w:fldChar w:fldCharType="begin"/>
      </w:r>
      <w:r w:rsidR="00500FFC">
        <w:instrText xml:space="preserve"> ADDIN ZOTERO_ITEM CSL_CITATION {"citationID":"2iuclpj4ic","properties":{"formattedCitation":"{\\rtf \\super 2\\nosupersub{}}","plainCitation":"2"},"citationItems":[{"id":342,"uris":["http://zotero.org/users/1533369/items/KZCEPRKV"],"uri":["http://zotero.org/users/1533369/items/KZCEPRKV"],"itemData":{"id":342,"type":"article-journal","title":"Independent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Investigators"}],"issued":{"date-parts":[["2013",9,5]]},"PMID":"24009237"}}],"schema":"https://github.com/citation-style-language/schema/raw/master/csl-citation.json"} </w:instrText>
      </w:r>
      <w:r w:rsidR="005E389A">
        <w:fldChar w:fldCharType="separate"/>
      </w:r>
      <w:r w:rsidRPr="004F471A">
        <w:rPr>
          <w:szCs w:val="24"/>
          <w:vertAlign w:val="superscript"/>
        </w:rPr>
        <w:t>2</w:t>
      </w:r>
      <w:r w:rsidR="005E389A">
        <w:fldChar w:fldCharType="end"/>
      </w:r>
      <w:r>
        <w:t xml:space="preserve"> so a difference in solute transport might have been expected given the dialysate IL-6 findings. That we didn’t find a clear separation probably reflects </w:t>
      </w:r>
      <w:r w:rsidR="00171983">
        <w:t xml:space="preserve">two issues. Firstly, </w:t>
      </w:r>
      <w:r>
        <w:t>the</w:t>
      </w:r>
      <w:r w:rsidR="00171983">
        <w:t>re is</w:t>
      </w:r>
      <w:r>
        <w:t xml:space="preserve"> marked overlap in dialysate IL-6 values, with no clear boundary distinguishing EPS from non-EPS patients.</w:t>
      </w:r>
      <w:r w:rsidR="00171983">
        <w:t xml:space="preserve"> Secondly, whilst dialysate IL-6 is the strongest known predictor of PSTR, it explains only a </w:t>
      </w:r>
      <w:r w:rsidR="00A9631F">
        <w:t>modest</w:t>
      </w:r>
      <w:r w:rsidR="00171983">
        <w:t xml:space="preserve"> amount of the variance.</w:t>
      </w:r>
      <w:r>
        <w:t xml:space="preserve"> </w:t>
      </w:r>
      <w:r w:rsidR="00171983">
        <w:t>U</w:t>
      </w:r>
      <w:r>
        <w:t xml:space="preserve">sing the analysis from Lambie et al </w:t>
      </w:r>
      <w:r w:rsidR="005E389A">
        <w:fldChar w:fldCharType="begin"/>
      </w:r>
      <w:r w:rsidR="00500FFC">
        <w:instrText xml:space="preserve"> ADDIN ZOTERO_ITEM CSL_CITATION {"citationID":"bsit3kc0b","properties":{"formattedCitation":"{\\rtf \\super 2\\nosupersub{}}","plainCitation":"2"},"citationItems":[{"id":342,"uris":["http://zotero.org/users/1533369/items/KZCEPRKV"],"uri":["http://zotero.org/users/1533369/items/KZCEPRKV"],"itemData":{"id":342,"type":"article-journal","title":"Independent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Investigators"}],"issued":{"date-parts":[["2013",9,5]]},"PMID":"24009237"}}],"schema":"https://github.com/citation-style-language/schema/raw/master/csl-citation.json"} </w:instrText>
      </w:r>
      <w:r w:rsidR="005E389A">
        <w:fldChar w:fldCharType="separate"/>
      </w:r>
      <w:r w:rsidRPr="004F471A">
        <w:rPr>
          <w:szCs w:val="24"/>
          <w:vertAlign w:val="superscript"/>
        </w:rPr>
        <w:t>2</w:t>
      </w:r>
      <w:r w:rsidR="005E389A">
        <w:fldChar w:fldCharType="end"/>
      </w:r>
      <w:r>
        <w:t xml:space="preserve"> the predicted difference in D/P Cr for the difference in dialysate IL-6 </w:t>
      </w:r>
      <w:r w:rsidR="00171983">
        <w:t xml:space="preserve">observed in this study </w:t>
      </w:r>
      <w:r>
        <w:t>is only 0.07, a value clearly within the confidence intervals for the estimated D/P Cr difference here.</w:t>
      </w:r>
      <w:r w:rsidR="005A4F19">
        <w:t xml:space="preserve"> Although there appeared to be a slight discrepancy, a striking finding was the </w:t>
      </w:r>
      <w:r w:rsidR="005A4F19">
        <w:lastRenderedPageBreak/>
        <w:t>increase with time in both dialysate IL-6 and PSTR, s</w:t>
      </w:r>
      <w:r w:rsidR="00F80927">
        <w:t xml:space="preserve">uggesting that dialysate IL-6 is </w:t>
      </w:r>
      <w:r w:rsidR="003A1DA7">
        <w:t xml:space="preserve">a </w:t>
      </w:r>
      <w:r w:rsidR="00F80927">
        <w:t>major determinant of long term increases in PSTR.</w:t>
      </w:r>
    </w:p>
    <w:p w:rsidR="00197CCB" w:rsidRDefault="00197CCB">
      <w:pPr>
        <w:spacing w:afterLines="200" w:after="480" w:line="480" w:lineRule="auto"/>
      </w:pPr>
      <w:r>
        <w:t xml:space="preserve">We also showed no difference in plasma inflammatory cytokines with the exception of plasma IL-6. Previous studies of systemic inflammatory markers have only examined CRP, showing either no difference </w:t>
      </w:r>
      <w:r w:rsidR="005E389A">
        <w:fldChar w:fldCharType="begin"/>
      </w:r>
      <w:r w:rsidR="005A0F6E">
        <w:instrText xml:space="preserve"> ADDIN ZOTERO_ITEM CSL_CITATION {"citationID":"nbtkv9d60","properties":{"formattedCitation":"{\\rtf \\super 28\\nosupersub{}}","plainCitation":"28"},"citationItems":[{"id":394,"uris":["http://zotero.org/users/1533369/items/PFA3BCTZ"],"uri":["http://zotero.org/users/1533369/items/PFA3BCTZ"],"itemData":{"id":394,"type":"article-journal","title":"Serum beta2 microglobulin (beta2MG) level is a potential predictor for encapsulating peritoneal sclerosis (EPS) in peritoneal dialysis patients","container-title":"Clinical nephrology","page":"121-126","volume":"69","issue":"2","source":"NCBI PubMed","abstract":"BACKGROUND: Encapsulating peritoneal sclerosis (EPS) is a serious complication in patients undergoing continuous ambulatory peritoneal dialysis (CAPD) or automated peritoneal dialysis (APD). The aim of this study was to find a predictor for EPS.\nMETHODS: Patients with EPS who were detected by a historical cohort study using clinical data of 219 CAPD patients at our hospital. We recruited 25 patients with EPS who were compared with the patients without EPS who were matched for age and dialysis period as controls. Differences between the two groups (non-EPS group and EPS group) with respect to age, gender, primary disease, dialysis period, serum urea nitrogen, serum creatinine, beta2MG, CRP and PET (peritoneal equilibration test) category (determined by the peritoneal function testing) were analyzed.\nRESULTS: According to multiple regression analysis, a high beta2MG level was an independent risk factor for EPS (odds ratio 1.162, 95% confidence interval 1.026 - 1.317, p = 0.018). Other clinical markers did not show positive significance. A ROC (receiver operating characteristic) curve was prepared to evaluate the suitability of I(2)2MG measurement as a screening test. The sensitivity was 64% and the specificity was 80% when a beta2MG level of 37.0 mg/dl was taken as the cut-off value. The odds ratio for occurrence of EPS was 8.8 when beta2MG level was in the range of 35 - 40 mg/dl, 13.5 when I(2)2MG level was &gt; 40 mg/dl and 1 when beta2MG level was &lt; 30 mg/dl.\nCONCLUSION: These findings suggest that beta2MG is useful as a screening test for the onset of EPS, and that beta2MG and accumulation of middle-molecular uremic substances may be related to the pathophysiology of EPS.","ISSN":"0301-0430","note":"PMID: 18218305","journalAbbreviation":"Clin. Nephrol.","language":"eng","author":[{"family":"Yokoyama","given":"K"},{"family":"Yoshida","given":"H"},{"family":"Matsuo","given":"N"},{"family":"Maruyama","given":"Y"},{"family":"Kawamura","given":"Y"},{"family":"Yamamoto","given":"R"},{"family":"Hanaoka","given":"K"},{"family":"Ikeda","given":"M"},{"family":"Yamamoto","given":"H"},{"family":"Nakayama","given":"M"},{"family":"Kawaguchi","given":"Y"},{"family":"Hosoya","given":"T"}],"issued":{"date-parts":[["2008",2]]},"PMID":"18218305"}}],"schema":"https://github.com/citation-style-language/schema/raw/master/csl-citation.json"} </w:instrText>
      </w:r>
      <w:r w:rsidR="005E389A">
        <w:fldChar w:fldCharType="separate"/>
      </w:r>
      <w:r w:rsidR="005A0F6E" w:rsidRPr="005A0F6E">
        <w:rPr>
          <w:szCs w:val="24"/>
          <w:vertAlign w:val="superscript"/>
        </w:rPr>
        <w:t>28</w:t>
      </w:r>
      <w:r w:rsidR="005E389A">
        <w:fldChar w:fldCharType="end"/>
      </w:r>
      <w:r>
        <w:t xml:space="preserve"> or a difference one year prior to diagnosis </w:t>
      </w:r>
      <w:r w:rsidR="005E389A">
        <w:fldChar w:fldCharType="begin"/>
      </w:r>
      <w:r>
        <w:instrText xml:space="preserve"> ADDIN ZOTERO_ITEM CSL_CITATION {"citationID":"mijhnaern","properties":{"formattedCitation":"{\\rtf \\super 14\\nosupersub{}}","plainCitation":"14"},"citationItems":[{"id":503,"uris":["http://zotero.org/users/1533369/items/V265RQGX"],"uri":["http://zotero.org/users/1533369/items/V265RQGX"],"itemData":{"id":503,"type":"article-journal","title":"Lower mortality and inflammation from post-transplantation encapsulating peritoneal sclerosis compared to the classical form","container-title":"American journal of nephrology","page":"223-230","volume":"37","issue":"3","source":"NCBI PubMed","abstract":"BACKGROUND: Encapsulating peritoneal sclerosis (EPS) may occur after kidney transplantation (post-transplantation EPS) or may be diagnosed during or after peritoneal dialysis treatment (classical EPS). The aim of the present study was to investigate to what extent both EPS entities differ in clinical presentation, radiological findings, outcome, and the systemic inflammatory response, as measured by plasma C-reactive protein (CRP) levels both prior to and after EPS diagnosis.\nMETHODS: We performed a retrospective analysis of 15 post-transplantation EPS and 19 classical EPS patients who were diagnosed at seven hospitals in the Netherlands between January 1, 2000, and January 1, 2011.\nRESULTS: There were no inter-group differences in age, duration of peritoneal dialysis, clinical presentation, or radiology findings at diagnosis. Post-transplantation patients had experienced a lower number of peritonitis episodes per patient-year (0.2 (0.0-0.4) vs. 0.7 (0.3-1.2), p = 0.01) with a longer interval between the last peritonitis and EPS diagnosis (18.1 (4.6-34.3) vs. 4.4 (0.89-13.78) months, p = 0.01). Post-transplantation EPS patients showed a remarkably lower mortality rate (40.0 vs. 84.2%, p &lt; 0.05). In both groups a pattern of elevated CRP values was observed, increasing within the year before EPS diagnosis. In the post-transplantation group the median CRP level at diagnosis was lower (56.0 vs. 144.50 mg/l, p &lt; 0.05) than in the classical EPS group.\nCONCLUSION: Post-transplantation EPS has a similar clinical presentation as classical EPS but with a lower systemic inflammatory response and better outcome.","DOI":"10.1159/000348267","ISSN":"1421-9670","note":"PMID: 23467015","journalAbbreviation":"Am. J. Nephrol.","language":"eng","author":[{"family":"Habib","given":"Sayed M"},{"family":"Korte","given":"Mario R"},{"family":"Betjes","given":"Michiel G H"}],"issued":{"date-parts":[["2013"]]},"PMID":"23467015"}}],"schema":"https://github.com/citation-style-language/schema/raw/master/csl-citation.json"} </w:instrText>
      </w:r>
      <w:r w:rsidR="005E389A">
        <w:fldChar w:fldCharType="separate"/>
      </w:r>
      <w:r w:rsidRPr="004F471A">
        <w:rPr>
          <w:szCs w:val="24"/>
          <w:vertAlign w:val="superscript"/>
        </w:rPr>
        <w:t>14</w:t>
      </w:r>
      <w:r w:rsidR="005E389A">
        <w:fldChar w:fldCharType="end"/>
      </w:r>
      <w:r>
        <w:t>. We have therefore extended this by showing changes evident systemically well before the diagnosis of EPS is made. One of the striking findings was a change with time in inflammatory cytokines but this was only evident for dialysate and plasma IL-6 and IFN-γ. The simplest explanation would be that the same change is driving these changes, suggesting that either local processes affect systemic inflammation or vice versa. There is a sharp diffusion gradient from dialysate to plasma for IL-6, not present for most inflammatory cytokines. Furthermore, the diffusion gradient does not change with time, strongly suggesting a coupling of the rise in dialysate and plasma IL-6. The most likely explanation of these findings is that dialysate IL-6 diffuses into the circulation causing an increase in systemic inflammation, hence the more inflamed peritoneum of EPS patients, both before and after diagnosis</w:t>
      </w:r>
      <w:r w:rsidR="00004554">
        <w:t>, drives systemic inflammation.</w:t>
      </w:r>
    </w:p>
    <w:p w:rsidR="00500FFC" w:rsidRDefault="00500FFC">
      <w:pPr>
        <w:spacing w:afterLines="200" w:after="480" w:line="480" w:lineRule="auto"/>
        <w:jc w:val="both"/>
      </w:pPr>
      <w:r>
        <w:t xml:space="preserve">One of the primary reasons for this study was to seek biomarkers which might be able to identify patients likely to develop EPS before it becomes inevitable. None of the markers examined here showed significant promise in that regard. The </w:t>
      </w:r>
      <w:r w:rsidR="0090780E">
        <w:t xml:space="preserve">dialysate cytokines </w:t>
      </w:r>
      <w:r>
        <w:t xml:space="preserve">(Figures 1, 2 and 4) show marked overlap in values </w:t>
      </w:r>
      <w:r w:rsidR="00A4131F">
        <w:t xml:space="preserve">between cases and controls, </w:t>
      </w:r>
      <w:r>
        <w:t>high intra-individual variability</w:t>
      </w:r>
      <w:r w:rsidR="0090780E">
        <w:t xml:space="preserve"> and little between-person variance (i.e. ICC’s)</w:t>
      </w:r>
      <w:r>
        <w:t xml:space="preserve">, </w:t>
      </w:r>
      <w:r w:rsidR="0090780E">
        <w:t xml:space="preserve">similarly to </w:t>
      </w:r>
      <w:r>
        <w:t>previously</w:t>
      </w:r>
      <w:r w:rsidR="0090780E">
        <w:t xml:space="preserve"> results</w:t>
      </w:r>
      <w:r w:rsidR="00A4131F">
        <w:t>.</w:t>
      </w:r>
      <w:r>
        <w:t xml:space="preserve"> </w:t>
      </w:r>
      <w:r w:rsidR="005E389A">
        <w:fldChar w:fldCharType="begin"/>
      </w:r>
      <w:r w:rsidR="005A6DBC">
        <w:instrText xml:space="preserve"> ADDIN ZOTERO_ITEM CSL_CITATION {"citationID":"13ckqvl940","properties":{"formattedCitation":"{\\rtf \\super 17\\nosupersub{}}","plainCitation":"17"},"citationItems":[{"id":293,"uris":["http://zotero.org/users/1533369/items/INHGTX2S"],"uri":["http://zotero.org/users/1533369/items/INHGTX2S"],"itemData":{"id":293,"type":"article-journal","title":"Variability of effluent cancer antigen 125 and interleukin-6 determination in peritoneal dialysis patients","container-title":"Nephrology, dialysis, transplantation: official publication of the European Dialysis and Transplant Association - European Renal Association","page":"3739-3744","volume":"26","issue":"11","source":"NCBI PubMed","abstract":"BACKGROUND: Cancer antigen (CA) 125 is a glycoprotein that provides data on the state of the peritoneal membrane in peritoneal dialysis (PD). Interleukin-6 (IL-6) acts as a mediator in acute-phase responses. The study evaluated the usefulness of CA125 and IL-6 in random effluent samples, by assessing their variability in individual patients during clinical practice at the outpatient department.\nMETHODS: This longitudinal prospective study was conducted from 2007 till 2009. Participants included 52 stable PD patients aged ≥ 18 years. Effluent samples were obtained during regular outpatient visits and appearance rates (ARs) were calculated. Inter- and intra-individual variability was determined by the coefficient of variation (CV). A linear mixed model was used to analyse time courses. Furthermore, release patterns of these effluent markers were studied.\nRESULTS: CA125-AR of short-term patients (≤ 24 months) ranged from 39.2 to 766.7 U/min and IL-6-AR from 15.5 to 220.0 pg/min. Long-term patients (≥ 25 months) had a CA125-AR of 7.3-1534.0 U/min and IL-6-AR of 6.9-956.4 pg/min. Overall, CV(intra) was 15% in effluent CA125-AR and 28% in IL-6-AR. Intermediate sampling during a 4-h dwell showed a linear increase of CA125 and IL-6 effluent concentrations. The trend of CA125-AR was different (P = 0.001) between short- and long-term patients. A negative relationship was found between CA125 (r = -0.44, P = 0.02) and PD duration.\nCONCLUSIONS: The clinical relevance of effluent CA125 determinations from an unstandardized dwell during every outpatient visit is reasonable, as judged from the CV(intra). The inferior CV(intra) values of ARs as compared to effluent values indicate that ARs should only be calculated under standardized conditions. A single IL-6 measurement, as a predictor of outcome, should be interpreted cautiously.","DOI":"10.1093/ndt/gfr170","ISSN":"1460-2385","note":"PMID: 21498425","journalAbbreviation":"Nephrol. Dial. Transplant.","language":"eng","author":[{"family":"Lopes Barreto","given":"Deirisa"},{"family":"Coester","given":"Annemieke M"},{"family":"Noordzij","given":"Marlies"},{"family":"Smit","given":"Watske"},{"family":"Struijk","given":"Dirk G"},{"family":"Rogers","given":"Susan"},{"family":"Waart","given":"Dirk R","non-dropping-particle":"de"},{"family":"Krediet","given":"Raymond T"}],"issued":{"date-parts":[["2011",11]]},"PMID":"21498425"}}],"schema":"https://github.com/citation-style-language/schema/raw/master/csl-citation.json"} </w:instrText>
      </w:r>
      <w:r w:rsidR="005E389A">
        <w:fldChar w:fldCharType="separate"/>
      </w:r>
      <w:r w:rsidR="001A4CE2" w:rsidRPr="001A4CE2">
        <w:rPr>
          <w:szCs w:val="24"/>
          <w:vertAlign w:val="superscript"/>
        </w:rPr>
        <w:t>17</w:t>
      </w:r>
      <w:r w:rsidR="005E389A">
        <w:fldChar w:fldCharType="end"/>
      </w:r>
      <w:r>
        <w:t xml:space="preserve"> </w:t>
      </w:r>
      <w:r w:rsidR="00A4131F">
        <w:t xml:space="preserve">This </w:t>
      </w:r>
      <w:r w:rsidR="00A9192A">
        <w:t>suggest</w:t>
      </w:r>
      <w:r w:rsidR="00A4131F">
        <w:t>s</w:t>
      </w:r>
      <w:r w:rsidR="00A9192A">
        <w:t xml:space="preserve"> that any cut-off value would likely lead to different conclusions regarding EPS risk after repeated sampling of the same patient. </w:t>
      </w:r>
      <w:r w:rsidR="0012696D">
        <w:t>Indeed, close inspection of the spaghetti plots (actual values in figures 2 and 4) suggests that the difference in mean values between cases and controls may be because almost none</w:t>
      </w:r>
      <w:r w:rsidR="00525990">
        <w:t xml:space="preserve"> of the</w:t>
      </w:r>
      <w:r w:rsidR="0012696D">
        <w:t xml:space="preserve"> EPS cases had low levels of inflammatory cyto</w:t>
      </w:r>
      <w:r w:rsidR="00525990">
        <w:t>kines rather than EPS cases having</w:t>
      </w:r>
      <w:r w:rsidR="0012696D">
        <w:t xml:space="preserve"> abnormally high levels. </w:t>
      </w:r>
      <w:r>
        <w:t xml:space="preserve">The </w:t>
      </w:r>
      <w:r>
        <w:lastRenderedPageBreak/>
        <w:t xml:space="preserve">length of PD exposure has been shown to be a major risk factor for EPS, </w:t>
      </w:r>
      <w:r w:rsidR="00A4131F">
        <w:t xml:space="preserve">so </w:t>
      </w:r>
      <w:r>
        <w:t xml:space="preserve">it is likely that any minor differences in PSTR and dialysate IL-6 will add little extra predictive power to the duration of PD. As PSTR rises with the duration of PD, some of the larger differences in </w:t>
      </w:r>
      <w:r w:rsidR="00621A3A">
        <w:t>P</w:t>
      </w:r>
      <w:r>
        <w:t>STR found in previous studies are likely to be due to failing to fully adjust for the duration of PD.</w:t>
      </w:r>
    </w:p>
    <w:p w:rsidR="00197CCB" w:rsidRDefault="00197CCB">
      <w:pPr>
        <w:spacing w:afterLines="200" w:after="480" w:line="480" w:lineRule="auto"/>
      </w:pPr>
      <w:r>
        <w:t xml:space="preserve">Limitations of this study include a relatively small number of EPS cases, although it is an uncommon condition so this still represents the largest collection of dialysate effluent samples pre-diagnosis allowing us to adjust for confounding by time more robustly than previous studies. As an observational study, cause and effect cannot be proven so it is not definite that inflammation is pathophysiologically involved in driving EPS. </w:t>
      </w:r>
      <w:r w:rsidR="00AF3F02">
        <w:t>As with all EPS studies, another limitation is the potential variability in interpretation of diagnostic guidelines.</w:t>
      </w:r>
      <w:r w:rsidR="0012696D">
        <w:t xml:space="preserve"> To conclusively demonstrate increased inflammation in the peritoneal membrane other evidence such as histology would be necessary although previous studies of dialysate cytokines have correlated well with published histology reports.</w:t>
      </w:r>
      <w:r w:rsidR="005A6DBC">
        <w:t xml:space="preserve"> </w:t>
      </w:r>
      <w:r w:rsidR="005A6DBC">
        <w:fldChar w:fldCharType="begin"/>
      </w:r>
      <w:r w:rsidR="005A6DBC">
        <w:instrText xml:space="preserve"> ADDIN ZOTERO_ITEM CSL_CITATION {"citationID":"25ofvalko0","properties":{"formattedCitation":"{\\rtf \\super 1,2,5\\nosupersub{}}","plainCitation":"1,2,5"},"citationItems":[{"id":110,"uris":["http://zotero.org/users/1533369/items/8EBK868X"],"uri":["http://zotero.org/users/1533369/items/8EBK868X"],"itemData":{"id":110,"type":"article-journal","title":"Peritoneal macrophage infiltration is correlated with baseline peritoneal solute transport rate in peritoneal dialysis patients","container-title":"Nephrology, dialysis, transplantation: official publication of the European Dialysis and Transplant Association - European Renal Association","page":"2322-2332","volume":"26","issue":"7","source":"NCBI PubMed","abstract":"BACKGROUND: High baseline peritoneal solute transport rate is reportedly associated with reduced patient and technique survival in continuous peritoneal dialysis (PD) patients. However, the determinants of baseline peritoneal solute transport rate remain uncertain. The aim of this study was to investigate the relationship between peritoneal local inflammation, angiogenesis and systemic inflammation and baseline peritoneal permeability.\nMETHODS: Peritoneal biopsy specimens from 42 pre-dialysis uraemic patients and 11 control individuals were investigated. Immunohistochemistry for CD68-positive macrophages, chymase- and tryptase-positive mast cells, interleukin-6 (IL-6)-positive cells, CD3-positive T cells, CD20-positive B cells, neutrophils and CD31- and pathologische anatomie Leiden-endothelium (PAL-E)-positive blood vessels in the peritoneum was performed. Baseline dialysate-to-plasma ratio for creatinine (D/P Cr) was determined within 6 months of PD induction. Clinical and laboratory parameters were measured at the time of peritoneal biopsy. Factors associated with peritoneal permeability were assessed by multiple linear regression analysis.\nRESULTS: Pre-dialysis uraemic peritoneum showed infiltration by CD68-positive macrophages, and mast cells, as compared with controls. Baseline D/P Cr was correlated with density of CD68-positive macrophages (P &lt; 0.001), IL-6-positive cells (P &lt; 0.001), CD31-positive (P &lt; 0.05) and PAL-E-positive blood vessels (P &lt; 0.05) and serum albumin (P &lt; 0.05). However, baseline peritoneal permeability was not correlated with infiltration by mast cells, B cells, T cells, neutrophils, serum C-reactive protein or other clinical factors. On multiple linear regression analysis, the number of CD68-positive macrophages in peritoneum was an independent predictor for baseline peritoneal permeability (P = 0.009).\nCONCLUSIONS: Peritoneal macrophage infiltration is predominant in uraemic patients and is an important factor in predicting baseline peritoneal permeability.","DOI":"10.1093/ndt/gfq702","ISSN":"1460-2385","note":"PMID: 21098014","journalAbbreviation":"Nephrol. Dial. Transplant.","language":"eng","author":[{"family":"Sawai","given":"Akiho"},{"family":"Ito","given":"Yasuhiko"},{"family":"Mizuno","given":"Masashi"},{"family":"Suzuki","given":"Yasuhiro"},{"family":"Toda","given":"Susumu"},{"family":"Ito","given":"Isao"},{"family":"Hattori","given":"Ryohei"},{"family":"Matsukawa","given":"Yoshihisa"},{"family":"Gotoh","given":"Momokazu"},{"family":"Takei","given":"Yoshifumi"},{"family":"Yuzawa","given":"Yukio"},{"family":"Matsuo","given":"Seiichi"}],"issued":{"date-parts":[["2011",7]]},"PMID":"21098014"}},{"id":342,"uris":["http://zotero.org/users/1533369/items/KZCEPRKV"],"uri":["http://zotero.org/users/1533369/items/KZCEPRKV"],"itemData":{"id":342,"type":"article-journal","title":"Independent Effects of Systemic and Peritoneal Inflammation on Peritoneal Dialysis Survival","container-title":"Journal of the American Society of Nephrology: JASN","source":"NCBI PubMed","abstract":"Systemic inflammation, as evidenced by elevated inflammatory cytokines, is a feature of advanced renal failure and predicts worse survival. Dialysate IL-6 concentrations associate with variability in peritoneal small solute transport rate (PSTR), which has also been linked to patient survival. Here, we determined the link between systemic and intraperitoneal inflammation with regards to peritoneal membrane function and patient survival as part of the Global Fluid Study, a multinational, multicenter, prospective, combined incident and prevalent cohort study (n=959 patients) with up to 8 years of follow-up. Data collected included patient demographic characteristics, comorbidity, modality, dialysis prescription, and peritoneal membrane function. Dialysate and plasma cytokines were measured by electrochemiluminescence. A total of 426 survival endpoints occurred in 559 incident and 358 prevalent patients from 10 centers in Korea, Canada, and the United Kingdom. On patient entry to the study, systemic and intraperitoneal cytokine networks were dissociated, with evidence of local cytokine production within the peritoneum. After adjustment for multiple covariates, systemic inflammation was associated with age and comorbidity and independently predicted patient survival in both incident and prevalent cohorts. In contrast, intraperitoneal inflammation was the most important determinant of PSTR but did not affect survival. In prevalent patients, the relationship between local inflammation and membrane function persisted but did not account for an increased mortality associated with faster PSTR. These data suggest that systemic and local intraperitoneal inflammation reflect distinct processes and consequences in patients treated with peritoneal dialysis, so their prevention may require different therapeutic approaches; the significance of intraperitoneal inflammation requires further elucidation.","DOI":"10.1681/ASN.2013030314","ISSN":"1533-3450","note":"PMID: 24009237","journalAbbreviation":"J. Am. Soc. Nephrol.","language":"ENG","author":[{"family":"Lambie","given":"Mark"},{"family":"Chess","given":"James"},{"family":"Donovan","given":"Kieron L"},{"family":"Kim","given":"Yong Lim"},{"family":"Do","given":"Jun Young"},{"family":"Lee","given":"Hi Bahl"},{"family":"Noh","given":"Hyunjin"},{"family":"Williams","given":"Paul F"},{"family":"Williams","given":"Andrew J"},{"family":"Davison","given":"Sara"},{"family":"Dorval","given":"Marc"},{"family":"Summers","given":"Angela"},{"family":"Williams","given":"John D"},{"family":"Bankart","given":"John"},{"family":"Davies","given":"Simon J"},{"family":"Topley","given":"Nicholas"},{"literal":"on behalf of the Global Fluid Study Investigators"}],"issued":{"date-parts":[["2013",9,5]]},"PMID":"24009237"}},{"id":546,"uris":["http://zotero.org/users/1533369/items/XRJD4UEZ"],"uri":["http://zotero.org/users/1533369/items/XRJD4UEZ"],"itemData":{"id":546,"type":"article-journal","title":"Transcriptional patterns in peritoneal tissue of encapsulating peritoneal sclerosis, a complication of chronic peritoneal dialysis","container-title":"PloS one","page":"e56389","volume":"8","issue":"2","source":"NCBI PubMed","abstract":"Encapsulating peritoneal sclerosis (EPS) is a devastating complication of peritoneal dialysis (PD), characterized by marked inflammation and severe fibrosis of the peritoneum, and associated with high morbidity and mortality. EPS can occur years after termination of PD and, in severe cases, leads to intestinal obstruction and ileus requiring surgical intervention. Despite ongoing research, the pathogenesis of EPS remains unclear. We performed a global transcriptome analysis of peritoneal tissue specimens from EPS patients, PD patients without EPS, and uremic patients without history of PD or EPS (Uremic). Unsupervised and supervised bioinformatics analysis revealed distinct transcriptional patterns that discriminated these three clinical groups. The analysis identified a signature of 219 genes expressed differentially in EPS as compared to PD and Uremic groups. Canonical pathway analysis of differentially expressed genes showed enrichment in several pathways, including antigen presentation, dendritic cell maturation, B cell development, chemokine signaling and humoral and cellular immunity (P value&lt;0.05). Further interactive network analysis depicted effects of EPS-associated genes on networks linked to inflammation, immunological response, and cell proliferation. Gene expression changes were confirmed by qRT-PCR for a subset of the differentially expressed genes. EPS patient tissues exhibited elevated expression of genes encoding sulfatase1, thrombospondin 1, fibronectin 1 and alpha smooth muscle actin, among many others, while in EPS and PD tissues mRNAs encoding leptin and retinol-binding protein 4 were markedly down-regulated, compared to Uremic group patients. Immunolocalization of Collagen 1 alpha 1 revealed that Col1a1 protein was predominantly expressed in the submesothelial compact zone of EPS patient peritoneal samples, whereas PD patient peritoneal samples exhibited homogenous Col1a1 staining throughout the tissue samples. The results are compatible with the hypothesis that encapsulating peritoneal sclerosis is a distinct pathological process from the simple peritoneal fibrosis that accompanies all PD treatment.","DOI":"10.1371/journal.pone.0056389","ISSN":"1932-6203","note":"PMID: 23418565","journalAbbreviation":"PLoS ONE","language":"eng","author":[{"family":"Reimold","given":"Fabian R"},{"family":"Braun","given":"Niko"},{"family":"Zsengellér","given":"Zsuzsanna K"},{"family":"Stillman","given":"Isaac E"},{"family":"Karumanchi","given":"S Ananth"},{"family":"Toka","given":"Hakan R"},{"family":"Latus","given":"Joerg"},{"family":"Fritz","given":"Peter"},{"family":"Biegger","given":"Dagmar"},{"family":"Segerer","given":"Stephan"},{"family":"Alscher","given":"M Dominik"},{"family":"Bhasin","given":"Manoj K"},{"family":"Alper","given":"Seth L"}],"issued":{"date-parts":[["2013"]]},"PMID":"23418565"}}],"schema":"https://github.com/citation-style-language/schema/raw/master/csl-citation.json"} </w:instrText>
      </w:r>
      <w:r w:rsidR="005A6DBC">
        <w:fldChar w:fldCharType="separate"/>
      </w:r>
      <w:r w:rsidR="005A6DBC" w:rsidRPr="005A6DBC">
        <w:rPr>
          <w:szCs w:val="24"/>
          <w:vertAlign w:val="superscript"/>
        </w:rPr>
        <w:t>1,2,5</w:t>
      </w:r>
      <w:r w:rsidR="005A6DBC">
        <w:fldChar w:fldCharType="end"/>
      </w:r>
    </w:p>
    <w:p w:rsidR="00197CCB" w:rsidRDefault="00197CCB">
      <w:pPr>
        <w:spacing w:afterLines="200" w:after="480" w:line="480" w:lineRule="auto"/>
      </w:pPr>
      <w:r>
        <w:t>In conclusion, peritoneal membranes are more inflamed</w:t>
      </w:r>
      <w:r w:rsidRPr="00AD0E73">
        <w:t xml:space="preserve"> </w:t>
      </w:r>
      <w:r>
        <w:t>in patients with subsequent EPS, whilst any difference in peritoneal transport rate was too small to detect. There is probable ‘</w:t>
      </w:r>
      <w:proofErr w:type="spellStart"/>
      <w:r>
        <w:t>spillover</w:t>
      </w:r>
      <w:proofErr w:type="spellEnd"/>
      <w:r>
        <w:t>’ of inflammation into the systemic circulation with increased plasma IL-6 in EPS patients but none of these differences are sufficient to be used as prognostic tools in isolation.</w:t>
      </w:r>
    </w:p>
    <w:p w:rsidR="00197CCB" w:rsidRDefault="00197CCB">
      <w:pPr>
        <w:rPr>
          <w:rFonts w:cs="Arial"/>
          <w:lang w:val="en-US" w:eastAsia="en-GB"/>
        </w:rPr>
      </w:pPr>
      <w:r>
        <w:rPr>
          <w:rFonts w:cs="Arial"/>
          <w:lang w:val="en-US" w:eastAsia="en-GB"/>
        </w:rPr>
        <w:br w:type="page"/>
      </w:r>
    </w:p>
    <w:p w:rsidR="00197CCB" w:rsidRDefault="00197CCB">
      <w:pPr>
        <w:rPr>
          <w:rFonts w:cs="Arial"/>
          <w:b/>
          <w:lang w:val="en-US" w:eastAsia="en-GB"/>
        </w:rPr>
      </w:pPr>
      <w:r>
        <w:rPr>
          <w:rFonts w:cs="Arial"/>
          <w:b/>
          <w:lang w:val="en-US" w:eastAsia="en-GB"/>
        </w:rPr>
        <w:lastRenderedPageBreak/>
        <w:t>Disclosures</w:t>
      </w:r>
    </w:p>
    <w:p w:rsidR="00197CCB" w:rsidRDefault="00197CCB" w:rsidP="00EB427C">
      <w:pPr>
        <w:spacing w:line="360" w:lineRule="auto"/>
      </w:pPr>
      <w:r>
        <w:t>M. Lambie currently receives research funding from Baxter Healthcare.</w:t>
      </w:r>
    </w:p>
    <w:p w:rsidR="00197CCB" w:rsidRDefault="00197CCB" w:rsidP="00EB427C">
      <w:pPr>
        <w:spacing w:line="360" w:lineRule="auto"/>
      </w:pPr>
      <w:r>
        <w:t xml:space="preserve">A.J. Williams, A. Summers, P. Williams and J. Chess have no competing interests to declare. </w:t>
      </w:r>
    </w:p>
    <w:p w:rsidR="00197CCB" w:rsidRDefault="00197CCB" w:rsidP="00EB427C">
      <w:pPr>
        <w:spacing w:line="360" w:lineRule="auto"/>
      </w:pPr>
      <w:proofErr w:type="spellStart"/>
      <w:r>
        <w:t>S.J.Davies</w:t>
      </w:r>
      <w:proofErr w:type="spellEnd"/>
      <w:r>
        <w:t xml:space="preserve"> currently receives research funding and honoraria from Baxter Healthcare and Fresenius AG.</w:t>
      </w:r>
    </w:p>
    <w:p w:rsidR="00197CCB" w:rsidRDefault="00197CCB" w:rsidP="00EB427C">
      <w:pPr>
        <w:spacing w:line="360" w:lineRule="auto"/>
      </w:pPr>
      <w:r>
        <w:t>N. Topley has in the past received honoraria and speaker fees from Baxter Healthcare and Fresenius AG.</w:t>
      </w:r>
    </w:p>
    <w:p w:rsidR="00317BB6" w:rsidRDefault="00317BB6" w:rsidP="00EB427C">
      <w:pPr>
        <w:spacing w:line="360" w:lineRule="auto"/>
      </w:pPr>
    </w:p>
    <w:p w:rsidR="00317BB6" w:rsidRPr="00317BB6" w:rsidRDefault="00317BB6" w:rsidP="00EB427C">
      <w:pPr>
        <w:spacing w:line="360" w:lineRule="auto"/>
        <w:rPr>
          <w:b/>
        </w:rPr>
      </w:pPr>
      <w:r>
        <w:rPr>
          <w:b/>
        </w:rPr>
        <w:t>Declaration</w:t>
      </w:r>
    </w:p>
    <w:p w:rsidR="00317BB6" w:rsidRPr="003C6FDA" w:rsidRDefault="00317BB6" w:rsidP="00EB427C">
      <w:pPr>
        <w:spacing w:line="360" w:lineRule="auto"/>
      </w:pPr>
      <w:r>
        <w:rPr>
          <w:rStyle w:val="pagecontents"/>
        </w:rPr>
        <w:t>The results presented in this paper have not been published previously in whole or part, except in abstract format.</w:t>
      </w:r>
    </w:p>
    <w:p w:rsidR="00197CCB" w:rsidRDefault="00197CCB">
      <w:pPr>
        <w:rPr>
          <w:rFonts w:cs="Arial"/>
          <w:b/>
          <w:lang w:val="en-US" w:eastAsia="en-GB"/>
        </w:rPr>
      </w:pPr>
    </w:p>
    <w:p w:rsidR="00197CCB" w:rsidRDefault="00197CCB">
      <w:pPr>
        <w:rPr>
          <w:rFonts w:cs="Arial"/>
          <w:b/>
          <w:lang w:val="en-US" w:eastAsia="en-GB"/>
        </w:rPr>
      </w:pPr>
      <w:r>
        <w:rPr>
          <w:rFonts w:cs="Arial"/>
          <w:b/>
          <w:lang w:val="en-US" w:eastAsia="en-GB"/>
        </w:rPr>
        <w:br w:type="page"/>
      </w:r>
    </w:p>
    <w:p w:rsidR="00197CCB" w:rsidRDefault="00197CCB">
      <w:pPr>
        <w:rPr>
          <w:rFonts w:cs="Arial"/>
          <w:b/>
          <w:lang w:val="en-US" w:eastAsia="en-GB"/>
        </w:rPr>
      </w:pPr>
      <w:r>
        <w:rPr>
          <w:rFonts w:cs="Arial"/>
          <w:b/>
          <w:lang w:val="en-US" w:eastAsia="en-GB"/>
        </w:rPr>
        <w:lastRenderedPageBreak/>
        <w:t>Acknowledgements</w:t>
      </w:r>
    </w:p>
    <w:p w:rsidR="00197CCB" w:rsidRDefault="00197CCB" w:rsidP="00CF7845">
      <w:pPr>
        <w:widowControl w:val="0"/>
        <w:autoSpaceDE w:val="0"/>
        <w:autoSpaceDN w:val="0"/>
        <w:adjustRightInd w:val="0"/>
        <w:spacing w:after="0" w:line="360" w:lineRule="auto"/>
        <w:rPr>
          <w:rFonts w:ascii="Times New Roman" w:hAnsi="Times New Roman"/>
          <w:sz w:val="32"/>
          <w:szCs w:val="32"/>
          <w:lang w:val="en-US" w:eastAsia="en-GB"/>
        </w:rPr>
      </w:pPr>
      <w:r w:rsidRPr="00D36E74">
        <w:t>Infrastructure support for the establishment of the GLOBAL fluid study was provided as unrestricted educational grants from Baxter Healthcare Renal Division and the International Society for Peritoneal Dialysis. This study was officially endorsed by the ISPD (www.ispd.org) and by the British Renal Society (BRS) (</w:t>
      </w:r>
      <w:hyperlink r:id="rId10" w:history="1">
        <w:r w:rsidRPr="00D36E74">
          <w:rPr>
            <w:rStyle w:val="Hyperlink"/>
          </w:rPr>
          <w:t>www.britishrenal.org</w:t>
        </w:r>
      </w:hyperlink>
      <w:r w:rsidRPr="00D36E74">
        <w:t>). The authors would like to acknowledge the support of Anna-Clare Smith</w:t>
      </w:r>
      <w:r>
        <w:t>, Kathryn Craig, Maureen Fallon</w:t>
      </w:r>
      <w:r w:rsidRPr="00967926">
        <w:t xml:space="preserve"> and Charlotte James</w:t>
      </w:r>
      <w:r w:rsidRPr="00D36E74">
        <w:t xml:space="preserve"> i</w:t>
      </w:r>
      <w:r>
        <w:t>n</w:t>
      </w:r>
      <w:r w:rsidRPr="00D36E74">
        <w:t xml:space="preserve"> the </w:t>
      </w:r>
      <w:r w:rsidRPr="00967926">
        <w:t>co-ordination</w:t>
      </w:r>
      <w:r w:rsidRPr="00D36E74">
        <w:t xml:space="preserve"> of th</w:t>
      </w:r>
      <w:r>
        <w:t>e GLOBAL</w:t>
      </w:r>
      <w:r w:rsidRPr="00D36E74">
        <w:t xml:space="preserve"> study and the following </w:t>
      </w:r>
      <w:r w:rsidRPr="00967926">
        <w:t>clinical</w:t>
      </w:r>
      <w:r w:rsidRPr="00D36E74">
        <w:t xml:space="preserve"> staff in the centres </w:t>
      </w:r>
      <w:r w:rsidRPr="006D26FE">
        <w:t xml:space="preserve">in co-ordination of sample and clinical data collection; </w:t>
      </w:r>
      <w:r w:rsidRPr="006D26FE">
        <w:rPr>
          <w:rFonts w:cs="Calibri"/>
          <w:lang w:val="en-US" w:eastAsia="en-GB"/>
        </w:rPr>
        <w:t xml:space="preserve">Hilary Huxtable SRN., </w:t>
      </w:r>
      <w:r w:rsidRPr="006D26FE">
        <w:t xml:space="preserve">Renal Unit, </w:t>
      </w:r>
      <w:proofErr w:type="spellStart"/>
      <w:r w:rsidRPr="006D26FE">
        <w:t>Morriston</w:t>
      </w:r>
      <w:proofErr w:type="spellEnd"/>
      <w:r w:rsidRPr="006D26FE">
        <w:t xml:space="preserve"> Hospital, Swansea, UK;</w:t>
      </w:r>
      <w:r w:rsidRPr="006D26FE">
        <w:rPr>
          <w:lang w:val="en-US" w:eastAsia="en-GB"/>
        </w:rPr>
        <w:t xml:space="preserve"> </w:t>
      </w:r>
      <w:r w:rsidRPr="006D26FE">
        <w:rPr>
          <w:rFonts w:cs="Tahoma"/>
          <w:bCs/>
          <w:lang w:val="en-US" w:eastAsia="en-GB"/>
        </w:rPr>
        <w:t>Gill Gilbert RGN BSc (Hons), Ipswich Hospital NHS Trust; Catherine Jones RGN and Jane Hollis RGN BSc (Hons), Cambridge University Hospitals NHS Foundation Trust;</w:t>
      </w:r>
      <w:r w:rsidRPr="006D26FE">
        <w:rPr>
          <w:rFonts w:ascii="Tahoma" w:hAnsi="Tahoma" w:cs="Tahoma"/>
          <w:b/>
          <w:bCs/>
          <w:sz w:val="26"/>
          <w:szCs w:val="26"/>
          <w:lang w:val="en-US" w:eastAsia="en-GB"/>
        </w:rPr>
        <w:t xml:space="preserve"> </w:t>
      </w:r>
      <w:r>
        <w:rPr>
          <w:rFonts w:cs="Cambria"/>
          <w:lang w:val="en-US" w:eastAsia="en-GB"/>
        </w:rPr>
        <w:t>Helen Capper RGN and PD nursing staff, University Hospitals of North Midlands.</w:t>
      </w:r>
    </w:p>
    <w:p w:rsidR="00197CCB" w:rsidRPr="002F28BD" w:rsidRDefault="00197CCB" w:rsidP="00EB427C">
      <w:pPr>
        <w:spacing w:line="360" w:lineRule="auto"/>
      </w:pPr>
    </w:p>
    <w:p w:rsidR="00197CCB" w:rsidRDefault="00197CCB" w:rsidP="00EB427C">
      <w:pPr>
        <w:spacing w:line="360" w:lineRule="auto"/>
      </w:pPr>
    </w:p>
    <w:p w:rsidR="00197CCB" w:rsidRDefault="00197CCB">
      <w:pPr>
        <w:rPr>
          <w:rFonts w:cs="Arial"/>
          <w:b/>
          <w:lang w:val="en-US" w:eastAsia="en-GB"/>
        </w:rPr>
      </w:pPr>
      <w:r>
        <w:rPr>
          <w:rFonts w:cs="Arial"/>
          <w:b/>
          <w:lang w:val="en-US" w:eastAsia="en-GB"/>
        </w:rPr>
        <w:br w:type="page"/>
      </w:r>
    </w:p>
    <w:p w:rsidR="00197CCB" w:rsidRDefault="00197CCB" w:rsidP="00AE281B">
      <w:pPr>
        <w:widowControl w:val="0"/>
        <w:autoSpaceDE w:val="0"/>
        <w:autoSpaceDN w:val="0"/>
        <w:adjustRightInd w:val="0"/>
        <w:spacing w:after="0" w:line="480" w:lineRule="auto"/>
        <w:rPr>
          <w:rFonts w:cs="Arial"/>
          <w:b/>
          <w:lang w:val="en-US" w:eastAsia="en-GB"/>
        </w:rPr>
      </w:pPr>
      <w:r>
        <w:rPr>
          <w:rFonts w:cs="Arial"/>
          <w:b/>
          <w:lang w:val="en-US" w:eastAsia="en-GB"/>
        </w:rPr>
        <w:lastRenderedPageBreak/>
        <w:t>References</w:t>
      </w:r>
    </w:p>
    <w:p w:rsidR="005A0F6E" w:rsidRPr="005A0F6E" w:rsidRDefault="005E389A" w:rsidP="005A0F6E">
      <w:pPr>
        <w:pStyle w:val="Bibliography"/>
      </w:pPr>
      <w:r>
        <w:rPr>
          <w:rFonts w:cs="Arial"/>
          <w:b/>
          <w:lang w:val="en-US" w:eastAsia="en-GB"/>
        </w:rPr>
        <w:fldChar w:fldCharType="begin"/>
      </w:r>
      <w:r w:rsidR="00913367">
        <w:rPr>
          <w:rFonts w:cs="Arial"/>
          <w:b/>
          <w:lang w:val="en-US" w:eastAsia="en-GB"/>
        </w:rPr>
        <w:instrText xml:space="preserve"> ADDIN ZOTERO_BIBL {"custom":[]} CSL_BIBLIOGRAPHY </w:instrText>
      </w:r>
      <w:r>
        <w:rPr>
          <w:rFonts w:cs="Arial"/>
          <w:b/>
          <w:lang w:val="en-US" w:eastAsia="en-GB"/>
        </w:rPr>
        <w:fldChar w:fldCharType="separate"/>
      </w:r>
      <w:r w:rsidR="005A0F6E" w:rsidRPr="005A0F6E">
        <w:t xml:space="preserve">1. </w:t>
      </w:r>
      <w:r w:rsidR="005A0F6E" w:rsidRPr="005A0F6E">
        <w:tab/>
        <w:t xml:space="preserve">Reimold FR, Braun N, Zsengellér ZK, Stillman IE, Karumanchi SA, Toka HR, Latus J, Fritz P, Biegger D, Segerer S, Alscher MD, Bhasin MK, Alper SL: Transcriptional patterns in peritoneal tissue of encapsulating peritoneal sclerosis, a complication of chronic peritoneal dialysis. </w:t>
      </w:r>
      <w:r w:rsidR="005A0F6E" w:rsidRPr="005A0F6E">
        <w:rPr>
          <w:i/>
          <w:iCs/>
        </w:rPr>
        <w:t>PloS One</w:t>
      </w:r>
      <w:r w:rsidR="005A0F6E" w:rsidRPr="005A0F6E">
        <w:t xml:space="preserve"> 8: e56389, 2013</w:t>
      </w:r>
    </w:p>
    <w:p w:rsidR="005A0F6E" w:rsidRPr="005A0F6E" w:rsidRDefault="005A0F6E" w:rsidP="005A0F6E">
      <w:pPr>
        <w:pStyle w:val="Bibliography"/>
      </w:pPr>
      <w:r w:rsidRPr="005A0F6E">
        <w:t xml:space="preserve">2. </w:t>
      </w:r>
      <w:r w:rsidRPr="005A0F6E">
        <w:tab/>
        <w:t xml:space="preserve">Lambie M, Chess J, Donovan KL, Kim YL, Do JY, Lee HB, Noh H, Williams PF, Williams AJ, Davison S, Dorval M, Summers A, Williams JD, Bankart J, Davies SJ, Topley N, on behalf of the Global Fluid Study Investigators: Independent Effects of Systemic and Peritoneal Inflammation on Peritoneal Dialysis Survival. </w:t>
      </w:r>
      <w:r w:rsidRPr="005A0F6E">
        <w:rPr>
          <w:i/>
          <w:iCs/>
        </w:rPr>
        <w:t>J. Am. Soc. Nephrol. JASN</w:t>
      </w:r>
      <w:r w:rsidRPr="005A0F6E">
        <w:t xml:space="preserve"> 2013</w:t>
      </w:r>
    </w:p>
    <w:p w:rsidR="005A0F6E" w:rsidRPr="005A0F6E" w:rsidRDefault="005A0F6E" w:rsidP="005A0F6E">
      <w:pPr>
        <w:pStyle w:val="Bibliography"/>
      </w:pPr>
      <w:r w:rsidRPr="005A0F6E">
        <w:t xml:space="preserve">3. </w:t>
      </w:r>
      <w:r w:rsidRPr="005A0F6E">
        <w:tab/>
        <w:t xml:space="preserve">Bos HJ, Meyer F, de Veld JC, Beelen RH: Peritoneal dialysis fluid induces change of mononuclear phagocyte proportions. </w:t>
      </w:r>
      <w:r w:rsidRPr="005A0F6E">
        <w:rPr>
          <w:i/>
          <w:iCs/>
        </w:rPr>
        <w:t>Kidney Int.</w:t>
      </w:r>
      <w:r w:rsidRPr="005A0F6E">
        <w:t xml:space="preserve"> 36: 20–26, 1989</w:t>
      </w:r>
    </w:p>
    <w:p w:rsidR="005A0F6E" w:rsidRPr="005A0F6E" w:rsidRDefault="005A0F6E" w:rsidP="005A0F6E">
      <w:pPr>
        <w:pStyle w:val="Bibliography"/>
      </w:pPr>
      <w:r w:rsidRPr="005A0F6E">
        <w:t xml:space="preserve">4. </w:t>
      </w:r>
      <w:r w:rsidRPr="005A0F6E">
        <w:tab/>
        <w:t xml:space="preserve">Betjes MG, Tuk CW, Struijk DG, Krediet RT, Arisz L, Hoefsmit EC, Beelen RH: Immuno-effector characteristics of peritoneal cells during CAPD treatment: a longitudinal study. </w:t>
      </w:r>
      <w:r w:rsidRPr="005A0F6E">
        <w:rPr>
          <w:i/>
          <w:iCs/>
        </w:rPr>
        <w:t>Kidney Int.</w:t>
      </w:r>
      <w:r w:rsidRPr="005A0F6E">
        <w:t xml:space="preserve"> 43: 641–648, 1993</w:t>
      </w:r>
    </w:p>
    <w:p w:rsidR="005A0F6E" w:rsidRPr="005A0F6E" w:rsidRDefault="005A0F6E" w:rsidP="005A0F6E">
      <w:pPr>
        <w:pStyle w:val="Bibliography"/>
      </w:pPr>
      <w:r w:rsidRPr="005A0F6E">
        <w:t xml:space="preserve">5. </w:t>
      </w:r>
      <w:r w:rsidRPr="005A0F6E">
        <w:tab/>
        <w:t xml:space="preserve">Sawai A, Ito Y, Mizuno M, Suzuki Y, Toda S, Ito I, Hattori R, Matsukawa Y, Gotoh M, Takei Y, Yuzawa Y, Matsuo S: Peritoneal macrophage infiltration is correlated with baseline peritoneal solute transport rate in peritoneal dialysis patients. </w:t>
      </w:r>
      <w:r w:rsidRPr="005A0F6E">
        <w:rPr>
          <w:i/>
          <w:iCs/>
        </w:rPr>
        <w:t>Nephrol. Dial. Transplant. Off. Publ. Eur. Dial. Transpl. Assoc. - Eur. Ren. Assoc.</w:t>
      </w:r>
      <w:r w:rsidRPr="005A0F6E">
        <w:t xml:space="preserve"> 26: 2322–2332, 2011</w:t>
      </w:r>
    </w:p>
    <w:p w:rsidR="005A0F6E" w:rsidRPr="005A0F6E" w:rsidRDefault="005A0F6E" w:rsidP="005A0F6E">
      <w:pPr>
        <w:pStyle w:val="Bibliography"/>
      </w:pPr>
      <w:r w:rsidRPr="005A0F6E">
        <w:t xml:space="preserve">6. </w:t>
      </w:r>
      <w:r w:rsidRPr="005A0F6E">
        <w:tab/>
        <w:t xml:space="preserve">Pecoits-Filho R, Carvalho MJ, Stenvinkel P, Lindholm B, Heimbürger O: Systemic and intraperitoneal interleukin-6 system during the first year of peritoneal dialysis. </w:t>
      </w:r>
      <w:r w:rsidRPr="005A0F6E">
        <w:rPr>
          <w:i/>
          <w:iCs/>
        </w:rPr>
        <w:t>Perit. Dial. Int. J. Int. Soc. Perit. Dial.</w:t>
      </w:r>
      <w:r w:rsidRPr="005A0F6E">
        <w:t xml:space="preserve"> 26: 53–63, 2006</w:t>
      </w:r>
    </w:p>
    <w:p w:rsidR="005A0F6E" w:rsidRPr="005A0F6E" w:rsidRDefault="005A0F6E" w:rsidP="005A0F6E">
      <w:pPr>
        <w:pStyle w:val="Bibliography"/>
      </w:pPr>
      <w:r w:rsidRPr="005A0F6E">
        <w:t xml:space="preserve">7. </w:t>
      </w:r>
      <w:r w:rsidRPr="005A0F6E">
        <w:tab/>
        <w:t xml:space="preserve">Oh K-H, Jung JY, Yoon MO, Song A, Lee H, Ro H, Hwang Y-H, Kim DK, Margetts P, Ahn C: Intra-peritoneal interleukin-6 system is a potent determinant of the baseline peritoneal solute transport in incident peritoneal dialysis patients. </w:t>
      </w:r>
      <w:r w:rsidRPr="005A0F6E">
        <w:rPr>
          <w:i/>
          <w:iCs/>
        </w:rPr>
        <w:t>Nephrol. Dial. Transplant. Off. Publ. Eur. Dial. Transpl. Assoc. - Eur. Ren. Assoc.</w:t>
      </w:r>
      <w:r w:rsidRPr="005A0F6E">
        <w:t xml:space="preserve"> 25: 1639–1646, 2010</w:t>
      </w:r>
    </w:p>
    <w:p w:rsidR="005A0F6E" w:rsidRPr="005A0F6E" w:rsidRDefault="005A0F6E" w:rsidP="005A0F6E">
      <w:pPr>
        <w:pStyle w:val="Bibliography"/>
      </w:pPr>
      <w:r w:rsidRPr="005A0F6E">
        <w:t xml:space="preserve">8. </w:t>
      </w:r>
      <w:r w:rsidRPr="005A0F6E">
        <w:tab/>
        <w:t xml:space="preserve">Cho J-H, Hur I-K, Kim C-D, Park S-H, Ryu H-M, Yook J-M, Choi J-Y, Choi H-J, Choi H-J, Park J-W, Do J-Y, Kim Y-L: Impact of systemic and local peritoneal inflammation on peritoneal solute transport rate in new peritoneal dialysis patients: a 1-year prospective study. </w:t>
      </w:r>
      <w:r w:rsidRPr="005A0F6E">
        <w:rPr>
          <w:i/>
          <w:iCs/>
        </w:rPr>
        <w:t>Nephrol. Dial. Transplant. Off. Publ. Eur. Dial. Transpl. Assoc. - Eur. Ren. Assoc.</w:t>
      </w:r>
      <w:r w:rsidRPr="005A0F6E">
        <w:t xml:space="preserve"> 25: 1964–1973, 2010</w:t>
      </w:r>
    </w:p>
    <w:p w:rsidR="005A0F6E" w:rsidRPr="005A0F6E" w:rsidRDefault="005A0F6E" w:rsidP="005A0F6E">
      <w:pPr>
        <w:pStyle w:val="Bibliography"/>
      </w:pPr>
      <w:r w:rsidRPr="005A0F6E">
        <w:t xml:space="preserve">9. </w:t>
      </w:r>
      <w:r w:rsidRPr="005A0F6E">
        <w:tab/>
        <w:t xml:space="preserve">Yamamoto R, Nakayama M, Hasegawa T, Miwako N, Yamamoto H, Yokoyami K, Ikeda M, Kato N, Hayakawa H, Takahashi H, Otsuka Y, Kawaguchi Y, Hosoya T: High-transport membrane is a risk factor for encapsulating peritoneal sclerosis developing after long-term continuous ambulatory peritoneal dialysis treatment. </w:t>
      </w:r>
      <w:r w:rsidRPr="005A0F6E">
        <w:rPr>
          <w:i/>
          <w:iCs/>
        </w:rPr>
        <w:t>Adv. Perit. Dial. Conf. Perit. Dial.</w:t>
      </w:r>
      <w:r w:rsidRPr="005A0F6E">
        <w:t xml:space="preserve"> 18: 131–134, 2002</w:t>
      </w:r>
    </w:p>
    <w:p w:rsidR="005A0F6E" w:rsidRPr="005A0F6E" w:rsidRDefault="005A0F6E" w:rsidP="005A0F6E">
      <w:pPr>
        <w:pStyle w:val="Bibliography"/>
      </w:pPr>
      <w:r w:rsidRPr="005A0F6E">
        <w:t xml:space="preserve">10. </w:t>
      </w:r>
      <w:r w:rsidRPr="005A0F6E">
        <w:tab/>
        <w:t xml:space="preserve">Korte MR, Sampimon DE, Lingsma HF, Fieren MW, Looman CWN, Zietse R, Weimar W, Betjes MGH, Dutch Multicenter EPS Study: Risk factors associated with encapsulating peritoneal sclerosis in Dutch EPS study. </w:t>
      </w:r>
      <w:r w:rsidRPr="005A0F6E">
        <w:rPr>
          <w:i/>
          <w:iCs/>
        </w:rPr>
        <w:t>Perit. Dial. Int. J. Int. Soc. Perit. Dial.</w:t>
      </w:r>
      <w:r w:rsidRPr="005A0F6E">
        <w:t xml:space="preserve"> 31: 269–278, 2011</w:t>
      </w:r>
    </w:p>
    <w:p w:rsidR="005A0F6E" w:rsidRPr="005A0F6E" w:rsidRDefault="005A0F6E" w:rsidP="005A0F6E">
      <w:pPr>
        <w:pStyle w:val="Bibliography"/>
      </w:pPr>
      <w:r w:rsidRPr="005A0F6E">
        <w:t xml:space="preserve">11. </w:t>
      </w:r>
      <w:r w:rsidRPr="005A0F6E">
        <w:tab/>
        <w:t xml:space="preserve">Kawaguchi Y, Saito A, Kawanishi H, Nakayama M, Miyazaki M, Nakamoto H, Tranaeus A: Recommendations on the management of encapsulating peritoneal sclerosis in Japan, 2005: diagnosis, predictive markers, treatment, and preventive measures. </w:t>
      </w:r>
      <w:r w:rsidRPr="005A0F6E">
        <w:rPr>
          <w:i/>
          <w:iCs/>
        </w:rPr>
        <w:t>Perit. Dial. Int. J. Int. Soc. Perit. Dial.</w:t>
      </w:r>
      <w:r w:rsidRPr="005A0F6E">
        <w:t xml:space="preserve"> 25 Suppl 4: S83–95, 2005</w:t>
      </w:r>
    </w:p>
    <w:p w:rsidR="005A0F6E" w:rsidRPr="005A0F6E" w:rsidRDefault="005A0F6E" w:rsidP="005A0F6E">
      <w:pPr>
        <w:pStyle w:val="Bibliography"/>
      </w:pPr>
      <w:r w:rsidRPr="005A0F6E">
        <w:lastRenderedPageBreak/>
        <w:t xml:space="preserve">12. </w:t>
      </w:r>
      <w:r w:rsidRPr="005A0F6E">
        <w:tab/>
        <w:t xml:space="preserve">Sampimon DE, Korte MR, Barreto DL, Vlijm A, de Waart R, Struijk DG, Krediet RT: Early diagnostic markers for encapsulating peritoneal sclerosis: a case-control study. </w:t>
      </w:r>
      <w:r w:rsidRPr="005A0F6E">
        <w:rPr>
          <w:i/>
          <w:iCs/>
        </w:rPr>
        <w:t>Perit. Dial. Int. J. Int. Soc. Perit. Dial.</w:t>
      </w:r>
      <w:r w:rsidRPr="005A0F6E">
        <w:t xml:space="preserve"> 30: 163–169, 2010</w:t>
      </w:r>
    </w:p>
    <w:p w:rsidR="005A0F6E" w:rsidRPr="005A0F6E" w:rsidRDefault="005A0F6E" w:rsidP="005A0F6E">
      <w:pPr>
        <w:pStyle w:val="Bibliography"/>
      </w:pPr>
      <w:r w:rsidRPr="005A0F6E">
        <w:t xml:space="preserve">13. </w:t>
      </w:r>
      <w:r w:rsidRPr="005A0F6E">
        <w:tab/>
        <w:t xml:space="preserve">Goodlad C, Tam FWK, Ahmad S, Bhangal G, North BV, Brown EA: Dialysate cytokine levels do not predict encapsulating peritoneal sclerosis. </w:t>
      </w:r>
      <w:r w:rsidRPr="005A0F6E">
        <w:rPr>
          <w:i/>
          <w:iCs/>
        </w:rPr>
        <w:t>Perit. Dial. Int. J. Int. Soc. Perit. Dial.</w:t>
      </w:r>
      <w:r w:rsidRPr="005A0F6E">
        <w:t xml:space="preserve"> 34: 594–604, 2014</w:t>
      </w:r>
    </w:p>
    <w:p w:rsidR="005A0F6E" w:rsidRPr="005A0F6E" w:rsidRDefault="005A0F6E" w:rsidP="005A0F6E">
      <w:pPr>
        <w:pStyle w:val="Bibliography"/>
      </w:pPr>
      <w:r w:rsidRPr="005A0F6E">
        <w:t xml:space="preserve">14. </w:t>
      </w:r>
      <w:r w:rsidRPr="005A0F6E">
        <w:tab/>
        <w:t xml:space="preserve">Habib SM, Korte MR, Betjes MGH: Lower mortality and inflammation from post-transplantation encapsulating peritoneal sclerosis compared to the classical form. </w:t>
      </w:r>
      <w:r w:rsidRPr="005A0F6E">
        <w:rPr>
          <w:i/>
          <w:iCs/>
        </w:rPr>
        <w:t>Am. J. Nephrol.</w:t>
      </w:r>
      <w:r w:rsidRPr="005A0F6E">
        <w:t xml:space="preserve"> 37: 223–230, 2013</w:t>
      </w:r>
    </w:p>
    <w:p w:rsidR="005A0F6E" w:rsidRPr="005A0F6E" w:rsidRDefault="005A0F6E" w:rsidP="005A0F6E">
      <w:pPr>
        <w:pStyle w:val="Bibliography"/>
      </w:pPr>
      <w:r w:rsidRPr="005A0F6E">
        <w:t xml:space="preserve">15. </w:t>
      </w:r>
      <w:r w:rsidRPr="005A0F6E">
        <w:tab/>
        <w:t xml:space="preserve">Kawaguchi Y, Kawanishi H, Mujais S, Topley N, Oreopoulos DG: Encapsulating peritoneal sclerosis: definition, etiology, diagnosis, and treatment. International Society for Peritoneal Dialysis Ad Hoc Committee on Ultrafiltration Management in Peritoneal Dialysis. </w:t>
      </w:r>
      <w:r w:rsidRPr="005A0F6E">
        <w:rPr>
          <w:i/>
          <w:iCs/>
        </w:rPr>
        <w:t>Perit. Dial. Int. J. Int. Soc. Perit. Dial.</w:t>
      </w:r>
      <w:r w:rsidRPr="005A0F6E">
        <w:t xml:space="preserve"> 20 Suppl 4: S43–55, 2000</w:t>
      </w:r>
    </w:p>
    <w:p w:rsidR="005A0F6E" w:rsidRPr="005A0F6E" w:rsidRDefault="005A0F6E" w:rsidP="005A0F6E">
      <w:pPr>
        <w:pStyle w:val="Bibliography"/>
      </w:pPr>
      <w:r w:rsidRPr="005A0F6E">
        <w:t xml:space="preserve">16. </w:t>
      </w:r>
      <w:r w:rsidRPr="005A0F6E">
        <w:tab/>
        <w:t xml:space="preserve">Davies SJ, Phillips L, Naish PF, Russell GI: Quantifying comorbidity in peritoneal dialysis patients and its relationship to other predictors of survival. </w:t>
      </w:r>
      <w:r w:rsidRPr="005A0F6E">
        <w:rPr>
          <w:i/>
          <w:iCs/>
        </w:rPr>
        <w:t>Nephrol. Dial. Transplant. Off. Publ. Eur. Dial. Transpl. Assoc. - Eur. Ren. Assoc.</w:t>
      </w:r>
      <w:r w:rsidRPr="005A0F6E">
        <w:t xml:space="preserve"> 17: 1085–1092, 2002</w:t>
      </w:r>
    </w:p>
    <w:p w:rsidR="005A0F6E" w:rsidRPr="005A0F6E" w:rsidRDefault="005A0F6E" w:rsidP="005A0F6E">
      <w:pPr>
        <w:pStyle w:val="Bibliography"/>
      </w:pPr>
      <w:r w:rsidRPr="005A0F6E">
        <w:t xml:space="preserve">17. </w:t>
      </w:r>
      <w:r w:rsidRPr="005A0F6E">
        <w:tab/>
        <w:t xml:space="preserve">Lopes Barreto D, Coester AM, Noordzij M, Smit W, Struijk DG, Rogers S, de Waart DR, Krediet RT: Variability of effluent cancer antigen 125 and interleukin-6 determination in peritoneal dialysis patients. </w:t>
      </w:r>
      <w:r w:rsidRPr="005A0F6E">
        <w:rPr>
          <w:i/>
          <w:iCs/>
        </w:rPr>
        <w:t>Nephrol. Dial. Transplant. Off. Publ. Eur. Dial. Transpl. Assoc. - Eur. Ren. Assoc.</w:t>
      </w:r>
      <w:r w:rsidRPr="005A0F6E">
        <w:t xml:space="preserve"> 26: 3739–3744, 2011</w:t>
      </w:r>
    </w:p>
    <w:p w:rsidR="005A0F6E" w:rsidRPr="005A0F6E" w:rsidRDefault="005A0F6E" w:rsidP="005A0F6E">
      <w:pPr>
        <w:pStyle w:val="Bibliography"/>
      </w:pPr>
      <w:r w:rsidRPr="005A0F6E">
        <w:t xml:space="preserve">18. </w:t>
      </w:r>
      <w:r w:rsidRPr="005A0F6E">
        <w:tab/>
        <w:t xml:space="preserve">Stelin G, Rippe B: A phenomenological interpretation of the variation in dialysate volume with dwell time in CAPD. </w:t>
      </w:r>
      <w:r w:rsidRPr="005A0F6E">
        <w:rPr>
          <w:i/>
          <w:iCs/>
        </w:rPr>
        <w:t>Kidney Int.</w:t>
      </w:r>
      <w:r w:rsidRPr="005A0F6E">
        <w:t xml:space="preserve"> 38: 465–472, 1990</w:t>
      </w:r>
    </w:p>
    <w:p w:rsidR="005A0F6E" w:rsidRPr="005A0F6E" w:rsidRDefault="005A0F6E" w:rsidP="005A0F6E">
      <w:pPr>
        <w:pStyle w:val="Bibliography"/>
      </w:pPr>
      <w:r w:rsidRPr="005A0F6E">
        <w:t xml:space="preserve">19. </w:t>
      </w:r>
      <w:r w:rsidRPr="005A0F6E">
        <w:tab/>
        <w:t>Bristol U of: Bristol University | Centre for Multilevel Modelling | Referencing the MLwiN software and manuals [Internet]. Available from: http://www.bristol.ac.uk/cmm/software/mlwin/refs.html [cited 2013 Oct 24]</w:t>
      </w:r>
    </w:p>
    <w:p w:rsidR="005A0F6E" w:rsidRPr="005A0F6E" w:rsidRDefault="005A0F6E" w:rsidP="005A0F6E">
      <w:pPr>
        <w:pStyle w:val="Bibliography"/>
      </w:pPr>
      <w:r w:rsidRPr="005A0F6E">
        <w:t xml:space="preserve">20. </w:t>
      </w:r>
      <w:r w:rsidRPr="005A0F6E">
        <w:tab/>
        <w:t xml:space="preserve">Lambie ML, John B, Mushahar L, Huckvale C, Davies SJ: The peritoneal osmotic conductance is low well before the diagnosis of encapsulating peritoneal sclerosis is made. </w:t>
      </w:r>
      <w:r w:rsidRPr="005A0F6E">
        <w:rPr>
          <w:i/>
          <w:iCs/>
        </w:rPr>
        <w:t>Kidney Int.</w:t>
      </w:r>
      <w:r w:rsidRPr="005A0F6E">
        <w:t xml:space="preserve"> 78: 611–618, 2010</w:t>
      </w:r>
    </w:p>
    <w:p w:rsidR="005A0F6E" w:rsidRPr="005A0F6E" w:rsidRDefault="005A0F6E" w:rsidP="005A0F6E">
      <w:pPr>
        <w:pStyle w:val="Bibliography"/>
      </w:pPr>
      <w:r w:rsidRPr="005A0F6E">
        <w:t xml:space="preserve">21. </w:t>
      </w:r>
      <w:r w:rsidRPr="005A0F6E">
        <w:tab/>
        <w:t xml:space="preserve">Sampimon DE, Coester AM, Struijk DG, Krediet RT: The time course of peritoneal transport parameters in peritoneal dialysis patients who develop encapsulating peritoneal sclerosis. </w:t>
      </w:r>
      <w:r w:rsidRPr="005A0F6E">
        <w:rPr>
          <w:i/>
          <w:iCs/>
        </w:rPr>
        <w:t>Nephrol. Dial. Transplant. Off. Publ. Eur. Dial. Transpl. Assoc. - Eur. Ren. Assoc.</w:t>
      </w:r>
      <w:r w:rsidRPr="005A0F6E">
        <w:t xml:space="preserve"> 26: 291–298, 2011</w:t>
      </w:r>
    </w:p>
    <w:p w:rsidR="005A0F6E" w:rsidRPr="005A0F6E" w:rsidRDefault="005A0F6E" w:rsidP="005A0F6E">
      <w:pPr>
        <w:pStyle w:val="Bibliography"/>
      </w:pPr>
      <w:r w:rsidRPr="005A0F6E">
        <w:t xml:space="preserve">22. </w:t>
      </w:r>
      <w:r w:rsidRPr="005A0F6E">
        <w:tab/>
        <w:t xml:space="preserve">Morelle J, Sow A, Hautem N, Bouzin C, Crott R, Devuyst O, Goffin E: Interstitial Fibrosis Restricts Osmotic Water Transport in Encapsulating Peritoneal Sclerosis. </w:t>
      </w:r>
      <w:r w:rsidRPr="005A0F6E">
        <w:rPr>
          <w:i/>
          <w:iCs/>
        </w:rPr>
        <w:t>J. Am. Soc. Nephrol. JASN</w:t>
      </w:r>
      <w:r w:rsidRPr="005A0F6E">
        <w:t xml:space="preserve"> 2015</w:t>
      </w:r>
    </w:p>
    <w:p w:rsidR="005A0F6E" w:rsidRPr="005A0F6E" w:rsidRDefault="005A0F6E" w:rsidP="005A0F6E">
      <w:pPr>
        <w:pStyle w:val="Bibliography"/>
      </w:pPr>
      <w:r w:rsidRPr="005A0F6E">
        <w:t xml:space="preserve">23. </w:t>
      </w:r>
      <w:r w:rsidRPr="005A0F6E">
        <w:tab/>
        <w:t xml:space="preserve">Fielding CA, Jones GW, McLoughlin RM, McLeod L, Hammond VJ, Uceda J, Williams AS, Lambie M, Foster TL, Liao C-T, Rice CM, Greenhill CJ, Colmont CS, Hams E, Coles B, Kift-Morgan A, Newton Z, Craig KJ, Williams JD, Williams GT, Davies SJ, Humphreys IR, O’Donnell VB, Taylor PR, Jenkins BJ, Topley N, Jones SA: Interleukin-6 Signaling Drives Fibrosis in Unresolved Inflammation. </w:t>
      </w:r>
      <w:r w:rsidRPr="005A0F6E">
        <w:rPr>
          <w:i/>
          <w:iCs/>
        </w:rPr>
        <w:t>Immunity</w:t>
      </w:r>
      <w:r w:rsidRPr="005A0F6E">
        <w:t xml:space="preserve"> 40: 40–50, 2014</w:t>
      </w:r>
    </w:p>
    <w:p w:rsidR="005A0F6E" w:rsidRPr="005A0F6E" w:rsidRDefault="005A0F6E" w:rsidP="005A0F6E">
      <w:pPr>
        <w:pStyle w:val="Bibliography"/>
      </w:pPr>
      <w:r w:rsidRPr="005A0F6E">
        <w:lastRenderedPageBreak/>
        <w:t xml:space="preserve">24. </w:t>
      </w:r>
      <w:r w:rsidRPr="005A0F6E">
        <w:tab/>
        <w:t xml:space="preserve">Zemel D, Imholz AL, de Waart DR, Dinkla C, Struijk DG, Krediet RT: Appearance of tumor necrosis factor-alpha and soluble TNF-receptors I and II in peritoneal effluent of CAPD. </w:t>
      </w:r>
      <w:r w:rsidRPr="005A0F6E">
        <w:rPr>
          <w:i/>
          <w:iCs/>
        </w:rPr>
        <w:t>Kidney Int.</w:t>
      </w:r>
      <w:r w:rsidRPr="005A0F6E">
        <w:t xml:space="preserve"> 46: 1422–1430, 1994</w:t>
      </w:r>
    </w:p>
    <w:p w:rsidR="005A0F6E" w:rsidRPr="005A0F6E" w:rsidRDefault="005A0F6E" w:rsidP="005A0F6E">
      <w:pPr>
        <w:pStyle w:val="Bibliography"/>
      </w:pPr>
      <w:r w:rsidRPr="005A0F6E">
        <w:t xml:space="preserve">25. </w:t>
      </w:r>
      <w:r w:rsidRPr="005A0F6E">
        <w:tab/>
        <w:t xml:space="preserve">Margetts PJ, Kolb M, Yu L, Hoff CM, Holmes CJ, Anthony DC, Gauldie J: Inflammatory cytokines, angiogenesis, and fibrosis in the rat peritoneum. </w:t>
      </w:r>
      <w:r w:rsidRPr="005A0F6E">
        <w:rPr>
          <w:i/>
          <w:iCs/>
        </w:rPr>
        <w:t>Am. J. Pathol.</w:t>
      </w:r>
      <w:r w:rsidRPr="005A0F6E">
        <w:t xml:space="preserve"> 160: 2285–2294, 2002</w:t>
      </w:r>
    </w:p>
    <w:p w:rsidR="005A0F6E" w:rsidRPr="005A0F6E" w:rsidRDefault="005A0F6E" w:rsidP="005A0F6E">
      <w:pPr>
        <w:pStyle w:val="Bibliography"/>
      </w:pPr>
      <w:r w:rsidRPr="005A0F6E">
        <w:t xml:space="preserve">26. </w:t>
      </w:r>
      <w:r w:rsidRPr="005A0F6E">
        <w:tab/>
        <w:t xml:space="preserve">Distler JHW, Schett G, Gay S, Distler O: The controversial role of tumor necrosis factor alpha in fibrotic diseases. </w:t>
      </w:r>
      <w:r w:rsidRPr="005A0F6E">
        <w:rPr>
          <w:i/>
          <w:iCs/>
        </w:rPr>
        <w:t>Arthritis Rheum.</w:t>
      </w:r>
      <w:r w:rsidRPr="005A0F6E">
        <w:t xml:space="preserve"> 58: 2228–2235, 2008</w:t>
      </w:r>
    </w:p>
    <w:p w:rsidR="005A0F6E" w:rsidRPr="005A0F6E" w:rsidRDefault="005A0F6E" w:rsidP="005A0F6E">
      <w:pPr>
        <w:pStyle w:val="Bibliography"/>
      </w:pPr>
      <w:r w:rsidRPr="005A0F6E">
        <w:t xml:space="preserve">27. </w:t>
      </w:r>
      <w:r w:rsidRPr="005A0F6E">
        <w:tab/>
        <w:t xml:space="preserve">Davies SJ, Bryan J, Phillips L, Russell GI: Longitudinal changes in peritoneal kinetics: the effects of peritoneal dialysis and peritonitis. </w:t>
      </w:r>
      <w:r w:rsidRPr="005A0F6E">
        <w:rPr>
          <w:i/>
          <w:iCs/>
        </w:rPr>
        <w:t>Nephrol. Dial. Transplant. Off. Publ. Eur. Dial. Transpl. Assoc. - Eur. Ren. Assoc.</w:t>
      </w:r>
      <w:r w:rsidRPr="005A0F6E">
        <w:t xml:space="preserve"> 11: 498–506, 1996</w:t>
      </w:r>
    </w:p>
    <w:p w:rsidR="005A0F6E" w:rsidRPr="005A0F6E" w:rsidRDefault="005A0F6E" w:rsidP="005A0F6E">
      <w:pPr>
        <w:pStyle w:val="Bibliography"/>
      </w:pPr>
      <w:r w:rsidRPr="005A0F6E">
        <w:t xml:space="preserve">28. </w:t>
      </w:r>
      <w:r w:rsidRPr="005A0F6E">
        <w:tab/>
        <w:t xml:space="preserve">Yokoyama K, Yoshida H, Matsuo N, Maruyama Y, Kawamura Y, Yamamoto R, Hanaoka K, Ikeda M, Yamamoto H, Nakayama M, Kawaguchi Y, Hosoya T: Serum beta2 microglobulin (beta2MG) level is a potential predictor for encapsulating peritoneal sclerosis (EPS) in peritoneal dialysis patients. </w:t>
      </w:r>
      <w:r w:rsidRPr="005A0F6E">
        <w:rPr>
          <w:i/>
          <w:iCs/>
        </w:rPr>
        <w:t>Clin. Nephrol.</w:t>
      </w:r>
      <w:r w:rsidRPr="005A0F6E">
        <w:t xml:space="preserve"> 69: 121–126, 2008</w:t>
      </w:r>
    </w:p>
    <w:p w:rsidR="00197CCB" w:rsidRDefault="005E389A" w:rsidP="00AE281B">
      <w:pPr>
        <w:widowControl w:val="0"/>
        <w:autoSpaceDE w:val="0"/>
        <w:autoSpaceDN w:val="0"/>
        <w:adjustRightInd w:val="0"/>
        <w:spacing w:after="0" w:line="480" w:lineRule="auto"/>
        <w:rPr>
          <w:rFonts w:cs="Arial"/>
          <w:b/>
          <w:lang w:val="en-US" w:eastAsia="en-GB"/>
        </w:rPr>
      </w:pPr>
      <w:r>
        <w:rPr>
          <w:rFonts w:cs="Arial"/>
          <w:b/>
          <w:lang w:val="en-US" w:eastAsia="en-GB"/>
        </w:rPr>
        <w:fldChar w:fldCharType="end"/>
      </w:r>
    </w:p>
    <w:p w:rsidR="00197CCB" w:rsidRDefault="00197CCB">
      <w:pPr>
        <w:rPr>
          <w:rFonts w:cs="Arial"/>
          <w:b/>
          <w:lang w:val="en-US" w:eastAsia="en-GB"/>
        </w:rPr>
      </w:pPr>
      <w:r>
        <w:rPr>
          <w:rFonts w:cs="Arial"/>
          <w:b/>
          <w:lang w:val="en-US" w:eastAsia="en-GB"/>
        </w:rPr>
        <w:br w:type="page"/>
      </w:r>
    </w:p>
    <w:p w:rsidR="00197CCB" w:rsidRDefault="00197CCB" w:rsidP="00AE281B">
      <w:pPr>
        <w:widowControl w:val="0"/>
        <w:autoSpaceDE w:val="0"/>
        <w:autoSpaceDN w:val="0"/>
        <w:adjustRightInd w:val="0"/>
        <w:spacing w:after="0" w:line="480" w:lineRule="auto"/>
        <w:rPr>
          <w:rFonts w:cs="Arial"/>
          <w:b/>
          <w:lang w:val="en-US" w:eastAsia="en-GB"/>
        </w:rPr>
      </w:pPr>
      <w:r>
        <w:rPr>
          <w:rFonts w:cs="Arial"/>
          <w:b/>
          <w:lang w:val="en-US" w:eastAsia="en-GB"/>
        </w:rPr>
        <w:lastRenderedPageBreak/>
        <w:t>Tables</w:t>
      </w:r>
    </w:p>
    <w:p w:rsidR="00197CCB" w:rsidRDefault="00197CCB" w:rsidP="00E034B0">
      <w:pPr>
        <w:pStyle w:val="Caption"/>
        <w:keepNext/>
        <w:rPr>
          <w:color w:val="auto"/>
          <w:sz w:val="20"/>
        </w:rPr>
      </w:pPr>
      <w:bookmarkStart w:id="5" w:name="_Ref370391267"/>
      <w:bookmarkStart w:id="6" w:name="_Toc402708424"/>
      <w:bookmarkStart w:id="7" w:name="_Ref370391258"/>
      <w:r>
        <w:rPr>
          <w:color w:val="auto"/>
          <w:sz w:val="20"/>
        </w:rPr>
        <w:t xml:space="preserve">Table </w:t>
      </w:r>
      <w:bookmarkEnd w:id="5"/>
      <w:r>
        <w:rPr>
          <w:color w:val="auto"/>
        </w:rPr>
        <w:t xml:space="preserve">1: </w:t>
      </w:r>
      <w:r>
        <w:rPr>
          <w:color w:val="auto"/>
          <w:sz w:val="20"/>
        </w:rPr>
        <w:t>Descriptive Data for Cases and Controls</w:t>
      </w:r>
      <w:bookmarkEnd w:id="6"/>
      <w:bookmarkEnd w:id="7"/>
    </w:p>
    <w:tbl>
      <w:tblPr>
        <w:tblW w:w="7958" w:type="dxa"/>
        <w:tblInd w:w="93" w:type="dxa"/>
        <w:tblLook w:val="00A0" w:firstRow="1" w:lastRow="0" w:firstColumn="1" w:lastColumn="0" w:noHBand="0" w:noVBand="0"/>
      </w:tblPr>
      <w:tblGrid>
        <w:gridCol w:w="1149"/>
        <w:gridCol w:w="3119"/>
        <w:gridCol w:w="1910"/>
        <w:gridCol w:w="1780"/>
      </w:tblGrid>
      <w:tr w:rsidR="007901A3" w:rsidRPr="001513BB" w:rsidTr="00343EE9">
        <w:trPr>
          <w:trHeight w:val="308"/>
        </w:trPr>
        <w:tc>
          <w:tcPr>
            <w:tcW w:w="1149" w:type="dxa"/>
            <w:tcBorders>
              <w:top w:val="single" w:sz="4" w:space="0" w:color="auto"/>
              <w:left w:val="nil"/>
              <w:bottom w:val="single" w:sz="4" w:space="0" w:color="auto"/>
              <w:right w:val="nil"/>
            </w:tcBorders>
            <w:noWrap/>
            <w:vAlign w:val="center"/>
          </w:tcPr>
          <w:p w:rsidR="007901A3" w:rsidRPr="001513BB" w:rsidRDefault="007901A3" w:rsidP="00B47136">
            <w:pPr>
              <w:rPr>
                <w:sz w:val="20"/>
              </w:rPr>
            </w:pPr>
          </w:p>
        </w:tc>
        <w:tc>
          <w:tcPr>
            <w:tcW w:w="3119" w:type="dxa"/>
            <w:tcBorders>
              <w:top w:val="single" w:sz="4" w:space="0" w:color="auto"/>
              <w:left w:val="nil"/>
              <w:bottom w:val="single" w:sz="4" w:space="0" w:color="auto"/>
              <w:right w:val="nil"/>
            </w:tcBorders>
            <w:noWrap/>
            <w:vAlign w:val="center"/>
          </w:tcPr>
          <w:p w:rsidR="007901A3" w:rsidRPr="001513BB" w:rsidRDefault="007901A3" w:rsidP="00B47136">
            <w:pPr>
              <w:spacing w:after="0" w:line="240" w:lineRule="auto"/>
              <w:rPr>
                <w:sz w:val="20"/>
                <w:szCs w:val="20"/>
                <w:lang w:eastAsia="en-GB"/>
              </w:rPr>
            </w:pPr>
          </w:p>
        </w:tc>
        <w:tc>
          <w:tcPr>
            <w:tcW w:w="1910" w:type="dxa"/>
            <w:tcBorders>
              <w:top w:val="single" w:sz="4" w:space="0" w:color="auto"/>
              <w:left w:val="nil"/>
              <w:bottom w:val="single" w:sz="4" w:space="0" w:color="auto"/>
              <w:right w:val="nil"/>
            </w:tcBorders>
            <w:noWrap/>
            <w:vAlign w:val="center"/>
          </w:tcPr>
          <w:p w:rsidR="007901A3" w:rsidRPr="001513BB" w:rsidRDefault="007901A3" w:rsidP="00B47136">
            <w:pPr>
              <w:spacing w:after="0" w:line="240" w:lineRule="auto"/>
              <w:jc w:val="center"/>
              <w:rPr>
                <w:b/>
                <w:lang w:eastAsia="en-GB"/>
              </w:rPr>
            </w:pPr>
            <w:r w:rsidRPr="001513BB">
              <w:rPr>
                <w:b/>
                <w:lang w:eastAsia="en-GB"/>
              </w:rPr>
              <w:t>EPS (11)</w:t>
            </w:r>
          </w:p>
        </w:tc>
        <w:tc>
          <w:tcPr>
            <w:tcW w:w="1780" w:type="dxa"/>
            <w:tcBorders>
              <w:top w:val="single" w:sz="4" w:space="0" w:color="auto"/>
              <w:left w:val="nil"/>
              <w:bottom w:val="single" w:sz="4" w:space="0" w:color="auto"/>
              <w:right w:val="nil"/>
            </w:tcBorders>
            <w:noWrap/>
            <w:vAlign w:val="center"/>
          </w:tcPr>
          <w:p w:rsidR="007901A3" w:rsidRPr="001513BB" w:rsidRDefault="007901A3" w:rsidP="00B47136">
            <w:pPr>
              <w:spacing w:after="0" w:line="240" w:lineRule="auto"/>
              <w:jc w:val="center"/>
              <w:rPr>
                <w:b/>
                <w:lang w:eastAsia="en-GB"/>
              </w:rPr>
            </w:pPr>
            <w:r w:rsidRPr="001513BB">
              <w:rPr>
                <w:b/>
                <w:lang w:eastAsia="en-GB"/>
              </w:rPr>
              <w:t>Control (26)</w:t>
            </w:r>
          </w:p>
        </w:tc>
      </w:tr>
      <w:tr w:rsidR="007901A3" w:rsidRPr="001513BB" w:rsidTr="00343EE9">
        <w:trPr>
          <w:trHeight w:val="308"/>
        </w:trPr>
        <w:tc>
          <w:tcPr>
            <w:tcW w:w="1149" w:type="dxa"/>
            <w:vMerge w:val="restart"/>
            <w:tcBorders>
              <w:top w:val="single" w:sz="4" w:space="0" w:color="auto"/>
              <w:left w:val="nil"/>
              <w:bottom w:val="single" w:sz="4" w:space="0" w:color="auto"/>
              <w:right w:val="nil"/>
            </w:tcBorders>
            <w:noWrap/>
            <w:vAlign w:val="center"/>
          </w:tcPr>
          <w:p w:rsidR="007901A3" w:rsidRPr="001513BB" w:rsidRDefault="007901A3" w:rsidP="00B47136">
            <w:pPr>
              <w:spacing w:after="0" w:line="240" w:lineRule="auto"/>
              <w:jc w:val="center"/>
              <w:rPr>
                <w:b/>
                <w:lang w:eastAsia="en-GB"/>
              </w:rPr>
            </w:pPr>
            <w:r w:rsidRPr="001513BB">
              <w:rPr>
                <w:b/>
                <w:lang w:eastAsia="en-GB"/>
              </w:rPr>
              <w:t>Time Invariant</w:t>
            </w:r>
          </w:p>
        </w:tc>
        <w:tc>
          <w:tcPr>
            <w:tcW w:w="3119" w:type="dxa"/>
            <w:tcBorders>
              <w:top w:val="single" w:sz="4" w:space="0" w:color="auto"/>
              <w:left w:val="nil"/>
              <w:bottom w:val="nil"/>
              <w:right w:val="nil"/>
            </w:tcBorders>
            <w:noWrap/>
            <w:vAlign w:val="center"/>
          </w:tcPr>
          <w:p w:rsidR="007901A3" w:rsidRPr="001513BB" w:rsidRDefault="007901A3" w:rsidP="00B47136">
            <w:pPr>
              <w:spacing w:after="0" w:line="240" w:lineRule="auto"/>
              <w:jc w:val="center"/>
              <w:rPr>
                <w:b/>
                <w:lang w:eastAsia="en-GB"/>
              </w:rPr>
            </w:pPr>
            <w:r w:rsidRPr="001513BB">
              <w:rPr>
                <w:b/>
                <w:lang w:eastAsia="en-GB"/>
              </w:rPr>
              <w:t>Age</w:t>
            </w:r>
            <w:r w:rsidR="0012696D">
              <w:rPr>
                <w:b/>
                <w:lang w:eastAsia="en-GB"/>
              </w:rPr>
              <w:t xml:space="preserve"> (years)</w:t>
            </w:r>
          </w:p>
        </w:tc>
        <w:tc>
          <w:tcPr>
            <w:tcW w:w="1910" w:type="dxa"/>
            <w:tcBorders>
              <w:top w:val="single" w:sz="4" w:space="0" w:color="auto"/>
              <w:left w:val="nil"/>
              <w:bottom w:val="nil"/>
              <w:right w:val="nil"/>
            </w:tcBorders>
            <w:noWrap/>
            <w:vAlign w:val="center"/>
          </w:tcPr>
          <w:p w:rsidR="007901A3" w:rsidRPr="001513BB" w:rsidRDefault="007901A3" w:rsidP="00B47136">
            <w:pPr>
              <w:spacing w:after="0" w:line="240" w:lineRule="auto"/>
              <w:jc w:val="center"/>
              <w:rPr>
                <w:lang w:eastAsia="en-GB"/>
              </w:rPr>
            </w:pPr>
            <w:r w:rsidRPr="001513BB">
              <w:rPr>
                <w:lang w:eastAsia="en-GB"/>
              </w:rPr>
              <w:t>53.6 (15.5)</w:t>
            </w:r>
          </w:p>
        </w:tc>
        <w:tc>
          <w:tcPr>
            <w:tcW w:w="1780" w:type="dxa"/>
            <w:tcBorders>
              <w:top w:val="single" w:sz="4" w:space="0" w:color="auto"/>
              <w:left w:val="nil"/>
              <w:bottom w:val="nil"/>
              <w:right w:val="nil"/>
            </w:tcBorders>
            <w:noWrap/>
            <w:vAlign w:val="center"/>
          </w:tcPr>
          <w:p w:rsidR="007901A3" w:rsidRPr="001513BB" w:rsidRDefault="007901A3" w:rsidP="00B47136">
            <w:pPr>
              <w:spacing w:after="0" w:line="240" w:lineRule="auto"/>
              <w:jc w:val="center"/>
              <w:rPr>
                <w:lang w:eastAsia="en-GB"/>
              </w:rPr>
            </w:pPr>
            <w:r w:rsidRPr="001513BB">
              <w:rPr>
                <w:lang w:eastAsia="en-GB"/>
              </w:rPr>
              <w:t>63.0 (14.8)</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Male Gender</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50%</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57.5%</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Comorbidity (Low/Intermediate/High)</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45.5/54.5/0%</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32.0/48.0/20.0%</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Completed PD Episode (months)</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69.0 (35.4)</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69.9 (34.4)</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Default="007901A3" w:rsidP="00B47136">
            <w:pPr>
              <w:spacing w:after="0" w:line="240" w:lineRule="auto"/>
              <w:jc w:val="center"/>
              <w:rPr>
                <w:b/>
                <w:lang w:eastAsia="en-GB"/>
              </w:rPr>
            </w:pPr>
            <w:r w:rsidRPr="001513BB">
              <w:rPr>
                <w:b/>
                <w:lang w:eastAsia="en-GB"/>
              </w:rPr>
              <w:t>Number of Samples</w:t>
            </w:r>
          </w:p>
          <w:p w:rsidR="007901A3" w:rsidRPr="001513BB" w:rsidRDefault="007901A3" w:rsidP="00B47136">
            <w:pPr>
              <w:spacing w:after="0" w:line="240" w:lineRule="auto"/>
              <w:jc w:val="center"/>
              <w:rPr>
                <w:b/>
                <w:lang w:eastAsia="en-GB"/>
              </w:rPr>
            </w:pPr>
            <w:r>
              <w:rPr>
                <w:b/>
                <w:lang w:eastAsia="en-GB"/>
              </w:rPr>
              <w:t>Total peritonitis episodes</w:t>
            </w:r>
          </w:p>
        </w:tc>
        <w:tc>
          <w:tcPr>
            <w:tcW w:w="1910" w:type="dxa"/>
            <w:noWrap/>
            <w:vAlign w:val="center"/>
          </w:tcPr>
          <w:p w:rsidR="007901A3" w:rsidRDefault="007901A3" w:rsidP="00B47136">
            <w:pPr>
              <w:spacing w:after="0" w:line="240" w:lineRule="auto"/>
              <w:jc w:val="center"/>
              <w:rPr>
                <w:lang w:eastAsia="en-GB"/>
              </w:rPr>
            </w:pPr>
            <w:r w:rsidRPr="001513BB">
              <w:rPr>
                <w:lang w:eastAsia="en-GB"/>
              </w:rPr>
              <w:t>4 (1-7)</w:t>
            </w:r>
          </w:p>
          <w:p w:rsidR="007901A3" w:rsidRPr="001513BB" w:rsidRDefault="007901A3" w:rsidP="00B47136">
            <w:pPr>
              <w:spacing w:after="0" w:line="240" w:lineRule="auto"/>
              <w:jc w:val="center"/>
              <w:rPr>
                <w:lang w:eastAsia="en-GB"/>
              </w:rPr>
            </w:pPr>
            <w:r>
              <w:rPr>
                <w:lang w:eastAsia="en-GB"/>
              </w:rPr>
              <w:t>3 (1-4)</w:t>
            </w:r>
          </w:p>
        </w:tc>
        <w:tc>
          <w:tcPr>
            <w:tcW w:w="1780" w:type="dxa"/>
            <w:noWrap/>
            <w:vAlign w:val="center"/>
          </w:tcPr>
          <w:p w:rsidR="007901A3" w:rsidRDefault="007901A3" w:rsidP="00B47136">
            <w:pPr>
              <w:spacing w:after="0" w:line="240" w:lineRule="auto"/>
              <w:jc w:val="center"/>
              <w:rPr>
                <w:lang w:eastAsia="en-GB"/>
              </w:rPr>
            </w:pPr>
            <w:r w:rsidRPr="001513BB">
              <w:rPr>
                <w:lang w:eastAsia="en-GB"/>
              </w:rPr>
              <w:t>4 (2-6)</w:t>
            </w:r>
          </w:p>
          <w:p w:rsidR="007901A3" w:rsidRPr="001513BB" w:rsidRDefault="007901A3" w:rsidP="00B47136">
            <w:pPr>
              <w:spacing w:after="0" w:line="240" w:lineRule="auto"/>
              <w:jc w:val="center"/>
              <w:rPr>
                <w:lang w:eastAsia="en-GB"/>
              </w:rPr>
            </w:pPr>
            <w:r>
              <w:rPr>
                <w:lang w:eastAsia="en-GB"/>
              </w:rPr>
              <w:t>3 (1-7)</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tcBorders>
              <w:top w:val="nil"/>
              <w:left w:val="nil"/>
              <w:bottom w:val="single" w:sz="4" w:space="0" w:color="auto"/>
              <w:right w:val="nil"/>
            </w:tcBorders>
            <w:noWrap/>
            <w:vAlign w:val="center"/>
          </w:tcPr>
          <w:p w:rsidR="007901A3" w:rsidRPr="001513BB" w:rsidRDefault="007901A3" w:rsidP="00B47136">
            <w:pPr>
              <w:spacing w:after="0" w:line="240" w:lineRule="auto"/>
              <w:jc w:val="center"/>
              <w:rPr>
                <w:b/>
                <w:lang w:eastAsia="en-GB"/>
              </w:rPr>
            </w:pPr>
            <w:r w:rsidRPr="001513BB">
              <w:rPr>
                <w:b/>
                <w:lang w:eastAsia="en-GB"/>
              </w:rPr>
              <w:t>Reason for stopping PD</w:t>
            </w:r>
          </w:p>
          <w:p w:rsidR="007901A3" w:rsidRDefault="007901A3" w:rsidP="00B47136">
            <w:pPr>
              <w:pStyle w:val="ListParagraph"/>
              <w:numPr>
                <w:ilvl w:val="0"/>
                <w:numId w:val="4"/>
              </w:numPr>
              <w:spacing w:after="0" w:line="240" w:lineRule="auto"/>
              <w:jc w:val="center"/>
              <w:rPr>
                <w:b/>
                <w:lang w:eastAsia="en-GB"/>
              </w:rPr>
            </w:pPr>
            <w:r>
              <w:rPr>
                <w:b/>
                <w:lang w:eastAsia="en-GB"/>
              </w:rPr>
              <w:t>Transplant</w:t>
            </w:r>
          </w:p>
          <w:p w:rsidR="007901A3" w:rsidRDefault="007901A3" w:rsidP="00B47136">
            <w:pPr>
              <w:pStyle w:val="ListParagraph"/>
              <w:numPr>
                <w:ilvl w:val="0"/>
                <w:numId w:val="4"/>
              </w:numPr>
              <w:spacing w:after="0" w:line="240" w:lineRule="auto"/>
              <w:jc w:val="center"/>
              <w:rPr>
                <w:b/>
                <w:lang w:eastAsia="en-GB"/>
              </w:rPr>
            </w:pPr>
            <w:r>
              <w:rPr>
                <w:b/>
                <w:lang w:eastAsia="en-GB"/>
              </w:rPr>
              <w:t>Peritonitis</w:t>
            </w:r>
          </w:p>
          <w:p w:rsidR="007901A3" w:rsidRDefault="007901A3" w:rsidP="00B47136">
            <w:pPr>
              <w:pStyle w:val="ListParagraph"/>
              <w:numPr>
                <w:ilvl w:val="0"/>
                <w:numId w:val="4"/>
              </w:numPr>
              <w:spacing w:after="0" w:line="240" w:lineRule="auto"/>
              <w:jc w:val="center"/>
              <w:rPr>
                <w:b/>
                <w:lang w:eastAsia="en-GB"/>
              </w:rPr>
            </w:pPr>
            <w:r>
              <w:rPr>
                <w:b/>
                <w:lang w:eastAsia="en-GB"/>
              </w:rPr>
              <w:t>Other technique failure</w:t>
            </w:r>
          </w:p>
          <w:p w:rsidR="007901A3" w:rsidRDefault="007901A3" w:rsidP="00B47136">
            <w:pPr>
              <w:pStyle w:val="ListParagraph"/>
              <w:numPr>
                <w:ilvl w:val="0"/>
                <w:numId w:val="4"/>
              </w:numPr>
              <w:spacing w:after="0" w:line="240" w:lineRule="auto"/>
              <w:jc w:val="center"/>
              <w:rPr>
                <w:b/>
                <w:lang w:eastAsia="en-GB"/>
              </w:rPr>
            </w:pPr>
            <w:r>
              <w:rPr>
                <w:b/>
                <w:lang w:eastAsia="en-GB"/>
              </w:rPr>
              <w:t>Death</w:t>
            </w:r>
          </w:p>
          <w:p w:rsidR="007901A3" w:rsidRDefault="007901A3" w:rsidP="00B47136">
            <w:pPr>
              <w:pStyle w:val="ListParagraph"/>
              <w:numPr>
                <w:ilvl w:val="0"/>
                <w:numId w:val="4"/>
              </w:numPr>
              <w:spacing w:after="0" w:line="240" w:lineRule="auto"/>
              <w:jc w:val="center"/>
              <w:rPr>
                <w:b/>
                <w:lang w:eastAsia="en-GB"/>
              </w:rPr>
            </w:pPr>
            <w:r>
              <w:rPr>
                <w:b/>
                <w:lang w:eastAsia="en-GB"/>
              </w:rPr>
              <w:t>Exit site infection</w:t>
            </w:r>
          </w:p>
          <w:p w:rsidR="007901A3" w:rsidRDefault="007901A3" w:rsidP="00B47136">
            <w:pPr>
              <w:pStyle w:val="ListParagraph"/>
              <w:numPr>
                <w:ilvl w:val="0"/>
                <w:numId w:val="4"/>
              </w:numPr>
              <w:spacing w:after="0" w:line="240" w:lineRule="auto"/>
              <w:jc w:val="center"/>
              <w:rPr>
                <w:b/>
                <w:lang w:eastAsia="en-GB"/>
              </w:rPr>
            </w:pPr>
            <w:r>
              <w:rPr>
                <w:b/>
                <w:lang w:eastAsia="en-GB"/>
              </w:rPr>
              <w:t>EPS</w:t>
            </w:r>
          </w:p>
          <w:p w:rsidR="007901A3" w:rsidRDefault="007901A3" w:rsidP="00B47136">
            <w:pPr>
              <w:pStyle w:val="ListParagraph"/>
              <w:numPr>
                <w:ilvl w:val="0"/>
                <w:numId w:val="4"/>
              </w:numPr>
              <w:spacing w:after="0" w:line="240" w:lineRule="auto"/>
              <w:jc w:val="center"/>
              <w:rPr>
                <w:b/>
                <w:lang w:eastAsia="en-GB"/>
              </w:rPr>
            </w:pPr>
            <w:r>
              <w:rPr>
                <w:b/>
                <w:lang w:eastAsia="en-GB"/>
              </w:rPr>
              <w:t>UF Failure</w:t>
            </w:r>
          </w:p>
          <w:p w:rsidR="007901A3" w:rsidRDefault="007901A3" w:rsidP="00B47136">
            <w:pPr>
              <w:pStyle w:val="ListParagraph"/>
              <w:numPr>
                <w:ilvl w:val="0"/>
                <w:numId w:val="4"/>
              </w:numPr>
              <w:spacing w:after="0" w:line="240" w:lineRule="auto"/>
              <w:jc w:val="center"/>
              <w:rPr>
                <w:b/>
                <w:lang w:eastAsia="en-GB"/>
              </w:rPr>
            </w:pPr>
            <w:r>
              <w:rPr>
                <w:b/>
                <w:lang w:eastAsia="en-GB"/>
              </w:rPr>
              <w:t>Patient choice</w:t>
            </w:r>
          </w:p>
        </w:tc>
        <w:tc>
          <w:tcPr>
            <w:tcW w:w="1910" w:type="dxa"/>
            <w:tcBorders>
              <w:top w:val="nil"/>
              <w:left w:val="nil"/>
              <w:bottom w:val="single" w:sz="4" w:space="0" w:color="auto"/>
              <w:right w:val="nil"/>
            </w:tcBorders>
            <w:noWrap/>
            <w:vAlign w:val="center"/>
          </w:tcPr>
          <w:p w:rsidR="007901A3" w:rsidRPr="001513BB" w:rsidRDefault="007901A3" w:rsidP="00B47136">
            <w:pPr>
              <w:spacing w:after="0" w:line="240" w:lineRule="auto"/>
              <w:jc w:val="center"/>
              <w:rPr>
                <w:lang w:eastAsia="en-GB"/>
              </w:rPr>
            </w:pPr>
          </w:p>
          <w:p w:rsidR="007901A3" w:rsidRPr="001513BB" w:rsidRDefault="007901A3" w:rsidP="00B47136">
            <w:pPr>
              <w:spacing w:after="0" w:line="240" w:lineRule="auto"/>
              <w:jc w:val="center"/>
              <w:rPr>
                <w:lang w:eastAsia="en-GB"/>
              </w:rPr>
            </w:pPr>
            <w:r w:rsidRPr="001513BB">
              <w:rPr>
                <w:lang w:eastAsia="en-GB"/>
              </w:rPr>
              <w:t>18%</w:t>
            </w:r>
          </w:p>
          <w:p w:rsidR="007901A3" w:rsidRPr="001513BB" w:rsidRDefault="007901A3" w:rsidP="00B47136">
            <w:pPr>
              <w:spacing w:after="0" w:line="240" w:lineRule="auto"/>
              <w:jc w:val="center"/>
              <w:rPr>
                <w:lang w:eastAsia="en-GB"/>
              </w:rPr>
            </w:pPr>
            <w:r w:rsidRPr="001513BB">
              <w:rPr>
                <w:lang w:eastAsia="en-GB"/>
              </w:rPr>
              <w:t>0</w:t>
            </w:r>
          </w:p>
          <w:p w:rsidR="007901A3" w:rsidRPr="001513BB" w:rsidRDefault="007901A3" w:rsidP="00B47136">
            <w:pPr>
              <w:spacing w:after="0" w:line="240" w:lineRule="auto"/>
              <w:jc w:val="center"/>
              <w:rPr>
                <w:lang w:eastAsia="en-GB"/>
              </w:rPr>
            </w:pPr>
            <w:r w:rsidRPr="001513BB">
              <w:rPr>
                <w:lang w:eastAsia="en-GB"/>
              </w:rPr>
              <w:t>18%</w:t>
            </w:r>
          </w:p>
          <w:p w:rsidR="007901A3" w:rsidRPr="001513BB" w:rsidRDefault="007901A3" w:rsidP="00B47136">
            <w:pPr>
              <w:spacing w:after="0" w:line="240" w:lineRule="auto"/>
              <w:jc w:val="center"/>
              <w:rPr>
                <w:lang w:eastAsia="en-GB"/>
              </w:rPr>
            </w:pPr>
            <w:r w:rsidRPr="001513BB">
              <w:rPr>
                <w:lang w:eastAsia="en-GB"/>
              </w:rPr>
              <w:t>0</w:t>
            </w:r>
          </w:p>
          <w:p w:rsidR="007901A3" w:rsidRPr="001513BB" w:rsidRDefault="007901A3" w:rsidP="00B47136">
            <w:pPr>
              <w:spacing w:after="0" w:line="240" w:lineRule="auto"/>
              <w:jc w:val="center"/>
              <w:rPr>
                <w:lang w:eastAsia="en-GB"/>
              </w:rPr>
            </w:pPr>
            <w:r w:rsidRPr="001513BB">
              <w:rPr>
                <w:lang w:eastAsia="en-GB"/>
              </w:rPr>
              <w:t>0</w:t>
            </w:r>
          </w:p>
          <w:p w:rsidR="007901A3" w:rsidRPr="001513BB" w:rsidRDefault="007901A3" w:rsidP="00B47136">
            <w:pPr>
              <w:spacing w:after="0" w:line="240" w:lineRule="auto"/>
              <w:jc w:val="center"/>
              <w:rPr>
                <w:lang w:eastAsia="en-GB"/>
              </w:rPr>
            </w:pPr>
            <w:r w:rsidRPr="001513BB">
              <w:rPr>
                <w:lang w:eastAsia="en-GB"/>
              </w:rPr>
              <w:t>36%</w:t>
            </w:r>
          </w:p>
          <w:p w:rsidR="007901A3" w:rsidRPr="001513BB" w:rsidRDefault="007901A3" w:rsidP="00B47136">
            <w:pPr>
              <w:spacing w:after="0" w:line="240" w:lineRule="auto"/>
              <w:jc w:val="center"/>
              <w:rPr>
                <w:lang w:eastAsia="en-GB"/>
              </w:rPr>
            </w:pPr>
            <w:r w:rsidRPr="001513BB">
              <w:rPr>
                <w:lang w:eastAsia="en-GB"/>
              </w:rPr>
              <w:t>18%</w:t>
            </w:r>
          </w:p>
          <w:p w:rsidR="007901A3" w:rsidRPr="001513BB" w:rsidRDefault="007901A3" w:rsidP="00B47136">
            <w:pPr>
              <w:spacing w:after="0" w:line="240" w:lineRule="auto"/>
              <w:jc w:val="center"/>
              <w:rPr>
                <w:lang w:eastAsia="en-GB"/>
              </w:rPr>
            </w:pPr>
            <w:r w:rsidRPr="001513BB">
              <w:rPr>
                <w:lang w:eastAsia="en-GB"/>
              </w:rPr>
              <w:t>9%</w:t>
            </w:r>
          </w:p>
        </w:tc>
        <w:tc>
          <w:tcPr>
            <w:tcW w:w="1780" w:type="dxa"/>
            <w:tcBorders>
              <w:top w:val="nil"/>
              <w:left w:val="nil"/>
              <w:bottom w:val="single" w:sz="4" w:space="0" w:color="auto"/>
              <w:right w:val="nil"/>
            </w:tcBorders>
            <w:noWrap/>
            <w:vAlign w:val="center"/>
          </w:tcPr>
          <w:p w:rsidR="007901A3" w:rsidRPr="001513BB" w:rsidRDefault="007901A3" w:rsidP="00B47136">
            <w:pPr>
              <w:spacing w:after="0" w:line="240" w:lineRule="auto"/>
              <w:jc w:val="center"/>
              <w:rPr>
                <w:lang w:eastAsia="en-GB"/>
              </w:rPr>
            </w:pPr>
          </w:p>
          <w:p w:rsidR="007901A3" w:rsidRPr="001513BB" w:rsidRDefault="007901A3" w:rsidP="00B47136">
            <w:pPr>
              <w:spacing w:after="0" w:line="240" w:lineRule="auto"/>
              <w:jc w:val="center"/>
              <w:rPr>
                <w:lang w:eastAsia="en-GB"/>
              </w:rPr>
            </w:pPr>
            <w:r w:rsidRPr="001513BB">
              <w:rPr>
                <w:lang w:eastAsia="en-GB"/>
              </w:rPr>
              <w:t>35%</w:t>
            </w:r>
          </w:p>
          <w:p w:rsidR="007901A3" w:rsidRPr="001513BB" w:rsidRDefault="007901A3" w:rsidP="00B47136">
            <w:pPr>
              <w:spacing w:after="0" w:line="240" w:lineRule="auto"/>
              <w:jc w:val="center"/>
              <w:rPr>
                <w:lang w:eastAsia="en-GB"/>
              </w:rPr>
            </w:pPr>
            <w:r w:rsidRPr="001513BB">
              <w:rPr>
                <w:lang w:eastAsia="en-GB"/>
              </w:rPr>
              <w:t>30%</w:t>
            </w:r>
          </w:p>
          <w:p w:rsidR="007901A3" w:rsidRPr="001513BB" w:rsidRDefault="007901A3" w:rsidP="00B47136">
            <w:pPr>
              <w:spacing w:after="0" w:line="240" w:lineRule="auto"/>
              <w:jc w:val="center"/>
              <w:rPr>
                <w:lang w:eastAsia="en-GB"/>
              </w:rPr>
            </w:pPr>
            <w:r w:rsidRPr="001513BB">
              <w:rPr>
                <w:lang w:eastAsia="en-GB"/>
              </w:rPr>
              <w:t>17%</w:t>
            </w:r>
          </w:p>
          <w:p w:rsidR="007901A3" w:rsidRPr="001513BB" w:rsidRDefault="007901A3" w:rsidP="00B47136">
            <w:pPr>
              <w:spacing w:after="0" w:line="240" w:lineRule="auto"/>
              <w:jc w:val="center"/>
              <w:rPr>
                <w:lang w:eastAsia="en-GB"/>
              </w:rPr>
            </w:pPr>
            <w:r w:rsidRPr="001513BB">
              <w:rPr>
                <w:lang w:eastAsia="en-GB"/>
              </w:rPr>
              <w:t>13%</w:t>
            </w:r>
          </w:p>
          <w:p w:rsidR="007901A3" w:rsidRPr="001513BB" w:rsidRDefault="007901A3" w:rsidP="00B47136">
            <w:pPr>
              <w:spacing w:after="0" w:line="240" w:lineRule="auto"/>
              <w:jc w:val="center"/>
              <w:rPr>
                <w:lang w:eastAsia="en-GB"/>
              </w:rPr>
            </w:pPr>
            <w:r w:rsidRPr="001513BB">
              <w:rPr>
                <w:lang w:eastAsia="en-GB"/>
              </w:rPr>
              <w:t>4%</w:t>
            </w:r>
          </w:p>
          <w:p w:rsidR="007901A3" w:rsidRPr="001513BB" w:rsidRDefault="007901A3" w:rsidP="00B47136">
            <w:pPr>
              <w:spacing w:after="0" w:line="240" w:lineRule="auto"/>
              <w:jc w:val="center"/>
              <w:rPr>
                <w:lang w:eastAsia="en-GB"/>
              </w:rPr>
            </w:pPr>
            <w:r w:rsidRPr="001513BB">
              <w:rPr>
                <w:lang w:eastAsia="en-GB"/>
              </w:rPr>
              <w:t>0</w:t>
            </w:r>
          </w:p>
          <w:p w:rsidR="007901A3" w:rsidRPr="001513BB" w:rsidRDefault="007901A3" w:rsidP="00B47136">
            <w:pPr>
              <w:spacing w:after="0" w:line="240" w:lineRule="auto"/>
              <w:jc w:val="center"/>
              <w:rPr>
                <w:lang w:eastAsia="en-GB"/>
              </w:rPr>
            </w:pPr>
            <w:r w:rsidRPr="001513BB">
              <w:rPr>
                <w:lang w:eastAsia="en-GB"/>
              </w:rPr>
              <w:t>0</w:t>
            </w:r>
          </w:p>
          <w:p w:rsidR="007901A3" w:rsidRPr="001513BB" w:rsidRDefault="007901A3" w:rsidP="00B47136">
            <w:pPr>
              <w:spacing w:after="0" w:line="240" w:lineRule="auto"/>
              <w:jc w:val="center"/>
              <w:rPr>
                <w:lang w:eastAsia="en-GB"/>
              </w:rPr>
            </w:pPr>
            <w:r w:rsidRPr="001513BB">
              <w:rPr>
                <w:lang w:eastAsia="en-GB"/>
              </w:rPr>
              <w:t>0</w:t>
            </w:r>
          </w:p>
        </w:tc>
      </w:tr>
      <w:tr w:rsidR="007901A3" w:rsidRPr="001513BB" w:rsidTr="00343EE9">
        <w:trPr>
          <w:trHeight w:val="308"/>
        </w:trPr>
        <w:tc>
          <w:tcPr>
            <w:tcW w:w="1149" w:type="dxa"/>
            <w:vMerge w:val="restart"/>
            <w:tcBorders>
              <w:top w:val="single" w:sz="4" w:space="0" w:color="auto"/>
              <w:left w:val="nil"/>
              <w:bottom w:val="single" w:sz="4" w:space="0" w:color="auto"/>
              <w:right w:val="nil"/>
            </w:tcBorders>
            <w:noWrap/>
            <w:vAlign w:val="center"/>
          </w:tcPr>
          <w:p w:rsidR="007901A3" w:rsidRPr="001513BB" w:rsidRDefault="007901A3" w:rsidP="00B47136">
            <w:pPr>
              <w:spacing w:after="0" w:line="240" w:lineRule="auto"/>
              <w:jc w:val="center"/>
              <w:rPr>
                <w:b/>
                <w:lang w:eastAsia="en-GB"/>
              </w:rPr>
            </w:pPr>
            <w:r w:rsidRPr="001513BB">
              <w:rPr>
                <w:b/>
                <w:lang w:eastAsia="en-GB"/>
              </w:rPr>
              <w:t>At First Sample</w:t>
            </w:r>
          </w:p>
        </w:tc>
        <w:tc>
          <w:tcPr>
            <w:tcW w:w="3119" w:type="dxa"/>
            <w:tcBorders>
              <w:top w:val="single" w:sz="4" w:space="0" w:color="auto"/>
              <w:left w:val="nil"/>
              <w:right w:val="nil"/>
            </w:tcBorders>
            <w:noWrap/>
            <w:vAlign w:val="center"/>
          </w:tcPr>
          <w:p w:rsidR="007901A3" w:rsidRPr="001513BB" w:rsidRDefault="007901A3" w:rsidP="00B47136">
            <w:pPr>
              <w:spacing w:after="0" w:line="240" w:lineRule="auto"/>
              <w:jc w:val="center"/>
              <w:rPr>
                <w:b/>
                <w:lang w:eastAsia="en-GB"/>
              </w:rPr>
            </w:pPr>
            <w:r w:rsidRPr="001513BB">
              <w:rPr>
                <w:b/>
                <w:lang w:eastAsia="en-GB"/>
              </w:rPr>
              <w:t xml:space="preserve">Months </w:t>
            </w:r>
            <w:r>
              <w:rPr>
                <w:b/>
                <w:lang w:eastAsia="en-GB"/>
              </w:rPr>
              <w:t>Unt</w:t>
            </w:r>
            <w:r w:rsidRPr="001513BB">
              <w:rPr>
                <w:b/>
                <w:lang w:eastAsia="en-GB"/>
              </w:rPr>
              <w:t>il PD End</w:t>
            </w:r>
          </w:p>
        </w:tc>
        <w:tc>
          <w:tcPr>
            <w:tcW w:w="1910" w:type="dxa"/>
            <w:tcBorders>
              <w:top w:val="single" w:sz="4" w:space="0" w:color="auto"/>
              <w:left w:val="nil"/>
              <w:right w:val="nil"/>
            </w:tcBorders>
            <w:noWrap/>
            <w:vAlign w:val="center"/>
          </w:tcPr>
          <w:p w:rsidR="007901A3" w:rsidRPr="001513BB" w:rsidRDefault="007901A3" w:rsidP="00B47136">
            <w:pPr>
              <w:spacing w:after="0" w:line="240" w:lineRule="auto"/>
              <w:jc w:val="center"/>
              <w:rPr>
                <w:lang w:eastAsia="en-GB"/>
              </w:rPr>
            </w:pPr>
            <w:r w:rsidRPr="001513BB">
              <w:rPr>
                <w:lang w:eastAsia="en-GB"/>
              </w:rPr>
              <w:t>33.2 (21.8)</w:t>
            </w:r>
          </w:p>
        </w:tc>
        <w:tc>
          <w:tcPr>
            <w:tcW w:w="1780" w:type="dxa"/>
            <w:tcBorders>
              <w:top w:val="single" w:sz="4" w:space="0" w:color="auto"/>
              <w:left w:val="nil"/>
              <w:right w:val="nil"/>
            </w:tcBorders>
            <w:noWrap/>
            <w:vAlign w:val="center"/>
          </w:tcPr>
          <w:p w:rsidR="007901A3" w:rsidRPr="001513BB" w:rsidRDefault="007901A3" w:rsidP="00B47136">
            <w:pPr>
              <w:spacing w:after="0" w:line="240" w:lineRule="auto"/>
              <w:jc w:val="center"/>
              <w:rPr>
                <w:lang w:eastAsia="en-GB"/>
              </w:rPr>
            </w:pPr>
            <w:r w:rsidRPr="001513BB">
              <w:rPr>
                <w:lang w:eastAsia="en-GB"/>
              </w:rPr>
              <w:t>31.7 (18.9)</w:t>
            </w:r>
          </w:p>
        </w:tc>
      </w:tr>
      <w:tr w:rsidR="007901A3" w:rsidRPr="001513BB" w:rsidTr="00343EE9">
        <w:trPr>
          <w:trHeight w:val="308"/>
        </w:trPr>
        <w:tc>
          <w:tcPr>
            <w:tcW w:w="1149" w:type="dxa"/>
            <w:vMerge/>
            <w:tcBorders>
              <w:top w:val="single" w:sz="4" w:space="0" w:color="auto"/>
              <w:left w:val="nil"/>
              <w:bottom w:val="single" w:sz="4" w:space="0" w:color="auto"/>
              <w:right w:val="nil"/>
            </w:tcBorders>
            <w:noWrap/>
            <w:vAlign w:val="center"/>
          </w:tcPr>
          <w:p w:rsidR="007901A3" w:rsidRPr="001513BB" w:rsidRDefault="007901A3" w:rsidP="00B47136">
            <w:pPr>
              <w:spacing w:after="0" w:line="240" w:lineRule="auto"/>
              <w:jc w:val="center"/>
              <w:rPr>
                <w:b/>
                <w:lang w:eastAsia="en-GB"/>
              </w:rPr>
            </w:pPr>
          </w:p>
        </w:tc>
        <w:tc>
          <w:tcPr>
            <w:tcW w:w="3119" w:type="dxa"/>
            <w:tcBorders>
              <w:left w:val="nil"/>
              <w:bottom w:val="nil"/>
              <w:right w:val="nil"/>
            </w:tcBorders>
            <w:noWrap/>
            <w:vAlign w:val="center"/>
          </w:tcPr>
          <w:p w:rsidR="007901A3" w:rsidRPr="001513BB" w:rsidRDefault="007901A3" w:rsidP="00B47136">
            <w:pPr>
              <w:spacing w:after="0" w:line="240" w:lineRule="auto"/>
              <w:jc w:val="center"/>
              <w:rPr>
                <w:b/>
                <w:lang w:eastAsia="en-GB"/>
              </w:rPr>
            </w:pPr>
            <w:r>
              <w:rPr>
                <w:b/>
                <w:lang w:eastAsia="en-GB"/>
              </w:rPr>
              <w:t>Months Since PD Start</w:t>
            </w:r>
          </w:p>
        </w:tc>
        <w:tc>
          <w:tcPr>
            <w:tcW w:w="1910" w:type="dxa"/>
            <w:tcBorders>
              <w:left w:val="nil"/>
              <w:bottom w:val="nil"/>
              <w:right w:val="nil"/>
            </w:tcBorders>
            <w:noWrap/>
            <w:vAlign w:val="center"/>
          </w:tcPr>
          <w:p w:rsidR="007901A3" w:rsidRPr="001513BB" w:rsidRDefault="00CF7DDB" w:rsidP="00CF7DDB">
            <w:pPr>
              <w:spacing w:after="0" w:line="240" w:lineRule="auto"/>
              <w:jc w:val="center"/>
              <w:rPr>
                <w:lang w:eastAsia="en-GB"/>
              </w:rPr>
            </w:pPr>
            <w:r>
              <w:rPr>
                <w:lang w:eastAsia="en-GB"/>
              </w:rPr>
              <w:t>35.7</w:t>
            </w:r>
            <w:r w:rsidR="009C75EA">
              <w:rPr>
                <w:lang w:eastAsia="en-GB"/>
              </w:rPr>
              <w:t xml:space="preserve"> (</w:t>
            </w:r>
            <w:r>
              <w:rPr>
                <w:lang w:eastAsia="en-GB"/>
              </w:rPr>
              <w:t>40.1</w:t>
            </w:r>
            <w:r w:rsidR="009C75EA">
              <w:rPr>
                <w:lang w:eastAsia="en-GB"/>
              </w:rPr>
              <w:t>)</w:t>
            </w:r>
          </w:p>
        </w:tc>
        <w:tc>
          <w:tcPr>
            <w:tcW w:w="1780" w:type="dxa"/>
            <w:tcBorders>
              <w:left w:val="nil"/>
              <w:bottom w:val="nil"/>
              <w:right w:val="nil"/>
            </w:tcBorders>
            <w:noWrap/>
            <w:vAlign w:val="center"/>
          </w:tcPr>
          <w:p w:rsidR="007901A3" w:rsidRPr="001513BB" w:rsidRDefault="00CF7DDB" w:rsidP="00CF7DDB">
            <w:pPr>
              <w:spacing w:after="0" w:line="240" w:lineRule="auto"/>
              <w:jc w:val="center"/>
              <w:rPr>
                <w:lang w:eastAsia="en-GB"/>
              </w:rPr>
            </w:pPr>
            <w:r>
              <w:rPr>
                <w:lang w:eastAsia="en-GB"/>
              </w:rPr>
              <w:t>36.9</w:t>
            </w:r>
            <w:r w:rsidR="009C75EA">
              <w:rPr>
                <w:lang w:eastAsia="en-GB"/>
              </w:rPr>
              <w:t xml:space="preserve"> (</w:t>
            </w:r>
            <w:r>
              <w:rPr>
                <w:lang w:eastAsia="en-GB"/>
              </w:rPr>
              <w:t>40.3</w:t>
            </w:r>
            <w:r w:rsidR="00966917">
              <w:rPr>
                <w:lang w:eastAsia="en-GB"/>
              </w:rPr>
              <w:t>)</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Urine volume (mls)</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501 (0-987)</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838 (169-1432)</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Icodextrin Usage</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45.5%</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28.0%</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Dialysate Glucose Exposure</w:t>
            </w:r>
            <w:r w:rsidR="0012696D">
              <w:rPr>
                <w:b/>
                <w:lang w:eastAsia="en-GB"/>
              </w:rPr>
              <w:t xml:space="preserve"> (g/day)</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165.0 (74.9)</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138.9 (42.6)</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APD usage</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18.2%</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20.0%</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Dialysate IL-6</w:t>
            </w:r>
            <w:r w:rsidR="0012696D">
              <w:rPr>
                <w:b/>
                <w:lang w:eastAsia="en-GB"/>
              </w:rPr>
              <w:t xml:space="preserve"> (</w:t>
            </w:r>
            <w:proofErr w:type="spellStart"/>
            <w:r w:rsidR="0012696D">
              <w:rPr>
                <w:b/>
                <w:lang w:eastAsia="en-GB"/>
              </w:rPr>
              <w:t>pg</w:t>
            </w:r>
            <w:proofErr w:type="spellEnd"/>
            <w:r w:rsidR="0012696D">
              <w:rPr>
                <w:b/>
                <w:lang w:eastAsia="en-GB"/>
              </w:rPr>
              <w:t>/ml)</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10.67 (8.04-21.53)</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6.05 (1.54-14.89)</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Plasma IL-6</w:t>
            </w:r>
            <w:r w:rsidR="0012696D">
              <w:rPr>
                <w:b/>
                <w:lang w:eastAsia="en-GB"/>
              </w:rPr>
              <w:t xml:space="preserve"> (</w:t>
            </w:r>
            <w:proofErr w:type="spellStart"/>
            <w:r w:rsidR="0012696D">
              <w:rPr>
                <w:b/>
                <w:lang w:eastAsia="en-GB"/>
              </w:rPr>
              <w:t>pg</w:t>
            </w:r>
            <w:proofErr w:type="spellEnd"/>
            <w:r w:rsidR="0012696D">
              <w:rPr>
                <w:b/>
                <w:lang w:eastAsia="en-GB"/>
              </w:rPr>
              <w:t>/ml)</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0.95 (0.85-1.76)</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1.30 (0.71-2.63)</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Serum Albumin</w:t>
            </w:r>
            <w:r w:rsidR="0012696D">
              <w:rPr>
                <w:b/>
                <w:lang w:eastAsia="en-GB"/>
              </w:rPr>
              <w:t xml:space="preserve"> (g/l)</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37.3 (5.0)</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36.8 (5.8)</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noWrap/>
            <w:vAlign w:val="center"/>
          </w:tcPr>
          <w:p w:rsidR="007901A3" w:rsidRPr="001513BB" w:rsidRDefault="007901A3" w:rsidP="00B47136">
            <w:pPr>
              <w:spacing w:after="0" w:line="240" w:lineRule="auto"/>
              <w:jc w:val="center"/>
              <w:rPr>
                <w:b/>
                <w:lang w:eastAsia="en-GB"/>
              </w:rPr>
            </w:pPr>
            <w:r w:rsidRPr="001513BB">
              <w:rPr>
                <w:b/>
                <w:lang w:eastAsia="en-GB"/>
              </w:rPr>
              <w:t>D/P Cr</w:t>
            </w:r>
          </w:p>
        </w:tc>
        <w:tc>
          <w:tcPr>
            <w:tcW w:w="1910" w:type="dxa"/>
            <w:noWrap/>
            <w:vAlign w:val="center"/>
          </w:tcPr>
          <w:p w:rsidR="007901A3" w:rsidRPr="001513BB" w:rsidRDefault="007901A3" w:rsidP="00B47136">
            <w:pPr>
              <w:spacing w:after="0" w:line="240" w:lineRule="auto"/>
              <w:jc w:val="center"/>
              <w:rPr>
                <w:lang w:eastAsia="en-GB"/>
              </w:rPr>
            </w:pPr>
            <w:r w:rsidRPr="001513BB">
              <w:rPr>
                <w:lang w:eastAsia="en-GB"/>
              </w:rPr>
              <w:t>0.81 (0.15)</w:t>
            </w:r>
          </w:p>
        </w:tc>
        <w:tc>
          <w:tcPr>
            <w:tcW w:w="1780" w:type="dxa"/>
            <w:noWrap/>
            <w:vAlign w:val="center"/>
          </w:tcPr>
          <w:p w:rsidR="007901A3" w:rsidRPr="001513BB" w:rsidRDefault="007901A3" w:rsidP="00B47136">
            <w:pPr>
              <w:spacing w:after="0" w:line="240" w:lineRule="auto"/>
              <w:jc w:val="center"/>
              <w:rPr>
                <w:lang w:eastAsia="en-GB"/>
              </w:rPr>
            </w:pPr>
            <w:r w:rsidRPr="001513BB">
              <w:rPr>
                <w:lang w:eastAsia="en-GB"/>
              </w:rPr>
              <w:t>0.72 (0.16)</w:t>
            </w:r>
          </w:p>
        </w:tc>
      </w:tr>
      <w:tr w:rsidR="007901A3" w:rsidRPr="001513BB" w:rsidTr="00343EE9">
        <w:trPr>
          <w:trHeight w:val="308"/>
        </w:trPr>
        <w:tc>
          <w:tcPr>
            <w:tcW w:w="0" w:type="auto"/>
            <w:vMerge/>
            <w:tcBorders>
              <w:top w:val="single" w:sz="4" w:space="0" w:color="auto"/>
              <w:left w:val="nil"/>
              <w:bottom w:val="single" w:sz="4" w:space="0" w:color="auto"/>
              <w:right w:val="nil"/>
            </w:tcBorders>
            <w:vAlign w:val="center"/>
          </w:tcPr>
          <w:p w:rsidR="007901A3" w:rsidRPr="001513BB" w:rsidRDefault="007901A3" w:rsidP="00B47136">
            <w:pPr>
              <w:spacing w:after="0" w:line="240" w:lineRule="auto"/>
              <w:rPr>
                <w:b/>
                <w:lang w:eastAsia="en-GB"/>
              </w:rPr>
            </w:pPr>
          </w:p>
        </w:tc>
        <w:tc>
          <w:tcPr>
            <w:tcW w:w="3119" w:type="dxa"/>
            <w:tcBorders>
              <w:top w:val="nil"/>
              <w:left w:val="nil"/>
              <w:bottom w:val="single" w:sz="4" w:space="0" w:color="auto"/>
              <w:right w:val="nil"/>
            </w:tcBorders>
            <w:noWrap/>
            <w:vAlign w:val="center"/>
          </w:tcPr>
          <w:p w:rsidR="007901A3" w:rsidRPr="001513BB" w:rsidRDefault="007901A3" w:rsidP="00B47136">
            <w:pPr>
              <w:spacing w:after="0" w:line="240" w:lineRule="auto"/>
              <w:jc w:val="center"/>
              <w:rPr>
                <w:b/>
                <w:lang w:eastAsia="en-GB"/>
              </w:rPr>
            </w:pPr>
            <w:r w:rsidRPr="001513BB">
              <w:rPr>
                <w:b/>
                <w:lang w:eastAsia="en-GB"/>
              </w:rPr>
              <w:t>Blood Pressure</w:t>
            </w:r>
            <w:r w:rsidR="0012696D">
              <w:rPr>
                <w:b/>
                <w:lang w:eastAsia="en-GB"/>
              </w:rPr>
              <w:t xml:space="preserve"> (mmHg)</w:t>
            </w:r>
          </w:p>
        </w:tc>
        <w:tc>
          <w:tcPr>
            <w:tcW w:w="1910" w:type="dxa"/>
            <w:tcBorders>
              <w:top w:val="nil"/>
              <w:left w:val="nil"/>
              <w:bottom w:val="single" w:sz="4" w:space="0" w:color="auto"/>
              <w:right w:val="nil"/>
            </w:tcBorders>
            <w:noWrap/>
            <w:vAlign w:val="center"/>
          </w:tcPr>
          <w:p w:rsidR="007901A3" w:rsidRPr="001513BB" w:rsidRDefault="007901A3" w:rsidP="00B47136">
            <w:pPr>
              <w:spacing w:after="0" w:line="240" w:lineRule="auto"/>
              <w:jc w:val="center"/>
              <w:rPr>
                <w:lang w:eastAsia="en-GB"/>
              </w:rPr>
            </w:pPr>
            <w:r w:rsidRPr="001513BB">
              <w:rPr>
                <w:lang w:eastAsia="en-GB"/>
              </w:rPr>
              <w:t>142/83 (24/16)</w:t>
            </w:r>
          </w:p>
        </w:tc>
        <w:tc>
          <w:tcPr>
            <w:tcW w:w="1780" w:type="dxa"/>
            <w:tcBorders>
              <w:top w:val="nil"/>
              <w:left w:val="nil"/>
              <w:bottom w:val="single" w:sz="4" w:space="0" w:color="auto"/>
              <w:right w:val="nil"/>
            </w:tcBorders>
            <w:noWrap/>
            <w:vAlign w:val="center"/>
          </w:tcPr>
          <w:p w:rsidR="007901A3" w:rsidRPr="001513BB" w:rsidRDefault="007901A3" w:rsidP="00B47136">
            <w:pPr>
              <w:spacing w:after="0" w:line="240" w:lineRule="auto"/>
              <w:jc w:val="center"/>
              <w:rPr>
                <w:lang w:eastAsia="en-GB"/>
              </w:rPr>
            </w:pPr>
            <w:r w:rsidRPr="001513BB">
              <w:rPr>
                <w:lang w:eastAsia="en-GB"/>
              </w:rPr>
              <w:t>146/83 (26/11)</w:t>
            </w:r>
          </w:p>
        </w:tc>
      </w:tr>
    </w:tbl>
    <w:p w:rsidR="00197CCB" w:rsidRDefault="00197CCB" w:rsidP="00E034B0">
      <w:r>
        <w:t xml:space="preserve">Figures are </w:t>
      </w:r>
      <w:r w:rsidR="00966917">
        <w:t>percentages</w:t>
      </w:r>
      <w:r>
        <w:t>, mean (SD) or median (IQR) depending on variable type and skewness.</w:t>
      </w:r>
    </w:p>
    <w:p w:rsidR="00197CCB" w:rsidRDefault="00197CCB" w:rsidP="00AE281B">
      <w:pPr>
        <w:widowControl w:val="0"/>
        <w:autoSpaceDE w:val="0"/>
        <w:autoSpaceDN w:val="0"/>
        <w:adjustRightInd w:val="0"/>
        <w:spacing w:after="0" w:line="480" w:lineRule="auto"/>
        <w:rPr>
          <w:rFonts w:cs="Arial"/>
          <w:b/>
          <w:lang w:val="en-US" w:eastAsia="en-GB"/>
        </w:rPr>
      </w:pPr>
    </w:p>
    <w:p w:rsidR="00197CCB" w:rsidRDefault="00197CCB">
      <w:pPr>
        <w:rPr>
          <w:b/>
          <w:bCs/>
          <w:sz w:val="20"/>
          <w:szCs w:val="18"/>
          <w:lang w:val="en-US"/>
        </w:rPr>
      </w:pPr>
      <w:bookmarkStart w:id="8" w:name="_Ref370398267"/>
      <w:bookmarkStart w:id="9" w:name="_Toc402708425"/>
      <w:r>
        <w:rPr>
          <w:sz w:val="20"/>
        </w:rPr>
        <w:br w:type="page"/>
      </w:r>
      <w:bookmarkStart w:id="10" w:name="_GoBack"/>
      <w:bookmarkEnd w:id="10"/>
    </w:p>
    <w:p w:rsidR="00197CCB" w:rsidRDefault="00197CCB" w:rsidP="00E034B0">
      <w:pPr>
        <w:pStyle w:val="Caption"/>
        <w:keepNext/>
        <w:rPr>
          <w:color w:val="auto"/>
          <w:sz w:val="20"/>
        </w:rPr>
      </w:pPr>
      <w:r>
        <w:rPr>
          <w:color w:val="auto"/>
          <w:sz w:val="20"/>
        </w:rPr>
        <w:lastRenderedPageBreak/>
        <w:t>Table</w:t>
      </w:r>
      <w:bookmarkEnd w:id="8"/>
      <w:r>
        <w:t xml:space="preserve"> </w:t>
      </w:r>
      <w:r w:rsidRPr="00B05B92">
        <w:rPr>
          <w:color w:val="auto"/>
        </w:rPr>
        <w:t>2</w:t>
      </w:r>
      <w:r>
        <w:rPr>
          <w:color w:val="auto"/>
          <w:sz w:val="20"/>
        </w:rPr>
        <w:t>: Determinants of Inflammatory Cytokine Levels by EPS Status</w:t>
      </w:r>
      <w:bookmarkEnd w:id="9"/>
    </w:p>
    <w:tbl>
      <w:tblPr>
        <w:tblW w:w="9264" w:type="dxa"/>
        <w:tblInd w:w="93" w:type="dxa"/>
        <w:tblLook w:val="00A0" w:firstRow="1" w:lastRow="0" w:firstColumn="1" w:lastColumn="0" w:noHBand="0" w:noVBand="0"/>
      </w:tblPr>
      <w:tblGrid>
        <w:gridCol w:w="1028"/>
        <w:gridCol w:w="791"/>
        <w:gridCol w:w="1621"/>
        <w:gridCol w:w="712"/>
        <w:gridCol w:w="1888"/>
        <w:gridCol w:w="712"/>
        <w:gridCol w:w="1889"/>
        <w:gridCol w:w="772"/>
      </w:tblGrid>
      <w:tr w:rsidR="00197CCB" w:rsidRPr="001513BB" w:rsidTr="00B47136">
        <w:trPr>
          <w:trHeight w:val="519"/>
        </w:trPr>
        <w:tc>
          <w:tcPr>
            <w:tcW w:w="1771" w:type="dxa"/>
            <w:gridSpan w:val="2"/>
            <w:vMerge w:val="restart"/>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lang w:eastAsia="en-GB"/>
              </w:rPr>
            </w:pPr>
            <w:r w:rsidRPr="001513BB">
              <w:rPr>
                <w:b/>
                <w:lang w:eastAsia="en-GB"/>
              </w:rPr>
              <w:t>Dependent Variable</w:t>
            </w:r>
          </w:p>
        </w:tc>
        <w:tc>
          <w:tcPr>
            <w:tcW w:w="2300" w:type="dxa"/>
            <w:gridSpan w:val="2"/>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lang w:eastAsia="en-GB"/>
              </w:rPr>
            </w:pPr>
            <w:r w:rsidRPr="001513BB">
              <w:rPr>
                <w:b/>
                <w:lang w:eastAsia="en-GB"/>
              </w:rPr>
              <w:t>EPS</w:t>
            </w:r>
          </w:p>
        </w:tc>
        <w:tc>
          <w:tcPr>
            <w:tcW w:w="2567" w:type="dxa"/>
            <w:gridSpan w:val="2"/>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lang w:eastAsia="en-GB"/>
              </w:rPr>
            </w:pPr>
            <w:r w:rsidRPr="001513BB">
              <w:rPr>
                <w:b/>
                <w:lang w:eastAsia="en-GB"/>
              </w:rPr>
              <w:t>Age</w:t>
            </w:r>
          </w:p>
        </w:tc>
        <w:tc>
          <w:tcPr>
            <w:tcW w:w="2626" w:type="dxa"/>
            <w:gridSpan w:val="2"/>
            <w:tcBorders>
              <w:top w:val="single" w:sz="4" w:space="0" w:color="auto"/>
              <w:left w:val="nil"/>
              <w:bottom w:val="single" w:sz="4" w:space="0" w:color="auto"/>
              <w:right w:val="nil"/>
            </w:tcBorders>
            <w:noWrap/>
            <w:vAlign w:val="center"/>
          </w:tcPr>
          <w:p w:rsidR="00197CCB" w:rsidRPr="001513BB" w:rsidRDefault="00197CCB" w:rsidP="00B80802">
            <w:pPr>
              <w:spacing w:after="0" w:line="240" w:lineRule="auto"/>
              <w:jc w:val="center"/>
              <w:rPr>
                <w:b/>
                <w:lang w:eastAsia="en-GB"/>
              </w:rPr>
            </w:pPr>
            <w:r w:rsidRPr="001513BB">
              <w:rPr>
                <w:b/>
                <w:lang w:eastAsia="en-GB"/>
              </w:rPr>
              <w:t xml:space="preserve">Time </w:t>
            </w:r>
            <w:r w:rsidR="00B80802">
              <w:rPr>
                <w:b/>
                <w:lang w:eastAsia="en-GB"/>
              </w:rPr>
              <w:t>until</w:t>
            </w:r>
            <w:r w:rsidR="00B80802" w:rsidRPr="001513BB">
              <w:rPr>
                <w:b/>
                <w:lang w:eastAsia="en-GB"/>
              </w:rPr>
              <w:t xml:space="preserve"> </w:t>
            </w:r>
            <w:r w:rsidRPr="001513BB">
              <w:rPr>
                <w:b/>
                <w:lang w:eastAsia="en-GB"/>
              </w:rPr>
              <w:t>PD End</w:t>
            </w:r>
          </w:p>
        </w:tc>
      </w:tr>
      <w:tr w:rsidR="00197CCB" w:rsidRPr="001513BB" w:rsidTr="00B47136">
        <w:trPr>
          <w:trHeight w:val="519"/>
        </w:trPr>
        <w:tc>
          <w:tcPr>
            <w:tcW w:w="0" w:type="auto"/>
            <w:gridSpan w:val="2"/>
            <w:vMerge/>
            <w:tcBorders>
              <w:top w:val="single" w:sz="4" w:space="0" w:color="auto"/>
              <w:left w:val="nil"/>
              <w:bottom w:val="single" w:sz="4" w:space="0" w:color="auto"/>
              <w:right w:val="nil"/>
            </w:tcBorders>
            <w:vAlign w:val="center"/>
          </w:tcPr>
          <w:p w:rsidR="00197CCB" w:rsidRPr="001513BB" w:rsidRDefault="00197CCB" w:rsidP="00B47136">
            <w:pPr>
              <w:spacing w:after="0" w:line="240" w:lineRule="auto"/>
              <w:rPr>
                <w:b/>
                <w:lang w:eastAsia="en-GB"/>
              </w:rPr>
            </w:pPr>
          </w:p>
        </w:tc>
        <w:tc>
          <w:tcPr>
            <w:tcW w:w="1621"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lang w:eastAsia="en-GB"/>
              </w:rPr>
            </w:pPr>
            <w:r w:rsidRPr="001513BB">
              <w:rPr>
                <w:b/>
                <w:lang w:eastAsia="en-GB"/>
              </w:rPr>
              <w:t>Coefficient (95% CI)</w:t>
            </w:r>
          </w:p>
        </w:tc>
        <w:tc>
          <w:tcPr>
            <w:tcW w:w="678"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lang w:eastAsia="en-GB"/>
              </w:rPr>
            </w:pPr>
            <w:r w:rsidRPr="001513BB">
              <w:rPr>
                <w:b/>
                <w:lang w:eastAsia="en-GB"/>
              </w:rPr>
              <w:t>p value</w:t>
            </w:r>
          </w:p>
        </w:tc>
        <w:tc>
          <w:tcPr>
            <w:tcW w:w="1888"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lang w:eastAsia="en-GB"/>
              </w:rPr>
            </w:pPr>
            <w:r w:rsidRPr="001513BB">
              <w:rPr>
                <w:b/>
                <w:lang w:eastAsia="en-GB"/>
              </w:rPr>
              <w:t>Coefficient</w:t>
            </w:r>
          </w:p>
          <w:p w:rsidR="00197CCB" w:rsidRPr="001513BB" w:rsidRDefault="00197CCB" w:rsidP="00B47136">
            <w:pPr>
              <w:spacing w:after="0" w:line="240" w:lineRule="auto"/>
              <w:jc w:val="center"/>
              <w:rPr>
                <w:b/>
                <w:lang w:eastAsia="en-GB"/>
              </w:rPr>
            </w:pPr>
            <w:r w:rsidRPr="001513BB">
              <w:rPr>
                <w:b/>
                <w:lang w:eastAsia="en-GB"/>
              </w:rPr>
              <w:t>(95% CI)</w:t>
            </w:r>
          </w:p>
        </w:tc>
        <w:tc>
          <w:tcPr>
            <w:tcW w:w="678"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lang w:eastAsia="en-GB"/>
              </w:rPr>
            </w:pPr>
            <w:r w:rsidRPr="001513BB">
              <w:rPr>
                <w:b/>
                <w:lang w:eastAsia="en-GB"/>
              </w:rPr>
              <w:t>p value</w:t>
            </w:r>
          </w:p>
        </w:tc>
        <w:tc>
          <w:tcPr>
            <w:tcW w:w="1889"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lang w:eastAsia="en-GB"/>
              </w:rPr>
            </w:pPr>
            <w:r w:rsidRPr="001513BB">
              <w:rPr>
                <w:b/>
                <w:lang w:eastAsia="en-GB"/>
              </w:rPr>
              <w:t>Coefficient</w:t>
            </w:r>
          </w:p>
          <w:p w:rsidR="00197CCB" w:rsidRPr="001513BB" w:rsidRDefault="00197CCB" w:rsidP="00B47136">
            <w:pPr>
              <w:spacing w:after="0" w:line="240" w:lineRule="auto"/>
              <w:jc w:val="center"/>
              <w:rPr>
                <w:b/>
                <w:lang w:eastAsia="en-GB"/>
              </w:rPr>
            </w:pPr>
            <w:r w:rsidRPr="001513BB">
              <w:rPr>
                <w:b/>
                <w:lang w:eastAsia="en-GB"/>
              </w:rPr>
              <w:t>(95% CI)</w:t>
            </w:r>
          </w:p>
        </w:tc>
        <w:tc>
          <w:tcPr>
            <w:tcW w:w="736"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lang w:eastAsia="en-GB"/>
              </w:rPr>
            </w:pPr>
            <w:r w:rsidRPr="001513BB">
              <w:rPr>
                <w:b/>
                <w:lang w:eastAsia="en-GB"/>
              </w:rPr>
              <w:t>p value</w:t>
            </w:r>
          </w:p>
        </w:tc>
      </w:tr>
      <w:tr w:rsidR="00197CCB" w:rsidRPr="001513BB" w:rsidTr="00B47136">
        <w:trPr>
          <w:trHeight w:val="519"/>
        </w:trPr>
        <w:tc>
          <w:tcPr>
            <w:tcW w:w="980" w:type="dxa"/>
            <w:vMerge w:val="restart"/>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Dialysate</w:t>
            </w:r>
          </w:p>
        </w:tc>
        <w:tc>
          <w:tcPr>
            <w:tcW w:w="791"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IL-6</w:t>
            </w:r>
          </w:p>
        </w:tc>
        <w:tc>
          <w:tcPr>
            <w:tcW w:w="1621"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0.79  (0.03, 1.56)*</w:t>
            </w:r>
          </w:p>
        </w:tc>
        <w:tc>
          <w:tcPr>
            <w:tcW w:w="678"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0.043</w:t>
            </w:r>
          </w:p>
        </w:tc>
        <w:tc>
          <w:tcPr>
            <w:tcW w:w="1888"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0.009 (-0.014, 0.033)</w:t>
            </w:r>
          </w:p>
        </w:tc>
        <w:tc>
          <w:tcPr>
            <w:tcW w:w="678"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0.43</w:t>
            </w:r>
          </w:p>
        </w:tc>
        <w:tc>
          <w:tcPr>
            <w:tcW w:w="1889"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0.27 (0.13, 0.42)*</w:t>
            </w:r>
          </w:p>
        </w:tc>
        <w:tc>
          <w:tcPr>
            <w:tcW w:w="736"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&lt;0.001</w:t>
            </w:r>
          </w:p>
        </w:tc>
      </w:tr>
      <w:tr w:rsidR="00197CCB" w:rsidRPr="001513BB" w:rsidTr="00B47136">
        <w:trPr>
          <w:trHeight w:val="519"/>
        </w:trPr>
        <w:tc>
          <w:tcPr>
            <w:tcW w:w="0" w:type="auto"/>
            <w:vMerge/>
            <w:tcBorders>
              <w:top w:val="single" w:sz="4" w:space="0" w:color="auto"/>
              <w:left w:val="nil"/>
              <w:bottom w:val="single" w:sz="4" w:space="0" w:color="auto"/>
              <w:right w:val="nil"/>
            </w:tcBorders>
            <w:vAlign w:val="center"/>
          </w:tcPr>
          <w:p w:rsidR="00197CCB" w:rsidRPr="001513BB" w:rsidRDefault="00197CCB" w:rsidP="00B47136">
            <w:pPr>
              <w:spacing w:after="0" w:line="240" w:lineRule="auto"/>
              <w:rPr>
                <w:b/>
                <w:sz w:val="20"/>
                <w:lang w:eastAsia="en-GB"/>
              </w:rPr>
            </w:pPr>
          </w:p>
        </w:tc>
        <w:tc>
          <w:tcPr>
            <w:tcW w:w="791" w:type="dxa"/>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IL-1β</w:t>
            </w:r>
          </w:p>
        </w:tc>
        <w:tc>
          <w:tcPr>
            <w:tcW w:w="1621"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1.06 (-0.11, 2.23)</w:t>
            </w:r>
          </w:p>
        </w:tc>
        <w:tc>
          <w:tcPr>
            <w:tcW w:w="67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0.075</w:t>
            </w:r>
          </w:p>
        </w:tc>
        <w:tc>
          <w:tcPr>
            <w:tcW w:w="188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0.022 (-0.012, 0.056)</w:t>
            </w:r>
          </w:p>
        </w:tc>
        <w:tc>
          <w:tcPr>
            <w:tcW w:w="67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0.20</w:t>
            </w:r>
          </w:p>
        </w:tc>
        <w:tc>
          <w:tcPr>
            <w:tcW w:w="1889"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0.19 (-0.08, 0.47)</w:t>
            </w:r>
          </w:p>
        </w:tc>
        <w:tc>
          <w:tcPr>
            <w:tcW w:w="736"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0.17</w:t>
            </w:r>
          </w:p>
        </w:tc>
      </w:tr>
      <w:tr w:rsidR="00197CCB" w:rsidRPr="001513BB" w:rsidTr="00B47136">
        <w:trPr>
          <w:trHeight w:val="519"/>
        </w:trPr>
        <w:tc>
          <w:tcPr>
            <w:tcW w:w="0" w:type="auto"/>
            <w:vMerge/>
            <w:tcBorders>
              <w:top w:val="single" w:sz="4" w:space="0" w:color="auto"/>
              <w:left w:val="nil"/>
              <w:bottom w:val="single" w:sz="4" w:space="0" w:color="auto"/>
              <w:right w:val="nil"/>
            </w:tcBorders>
            <w:vAlign w:val="center"/>
          </w:tcPr>
          <w:p w:rsidR="00197CCB" w:rsidRPr="001513BB" w:rsidRDefault="00197CCB" w:rsidP="00B47136">
            <w:pPr>
              <w:spacing w:after="0" w:line="240" w:lineRule="auto"/>
              <w:rPr>
                <w:b/>
                <w:sz w:val="20"/>
                <w:lang w:eastAsia="en-GB"/>
              </w:rPr>
            </w:pPr>
          </w:p>
        </w:tc>
        <w:tc>
          <w:tcPr>
            <w:tcW w:w="791" w:type="dxa"/>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IFN-γ</w:t>
            </w:r>
          </w:p>
        </w:tc>
        <w:tc>
          <w:tcPr>
            <w:tcW w:w="1621"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0.62 (-0.06, 1.29)</w:t>
            </w:r>
          </w:p>
        </w:tc>
        <w:tc>
          <w:tcPr>
            <w:tcW w:w="67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0.073</w:t>
            </w:r>
          </w:p>
        </w:tc>
        <w:tc>
          <w:tcPr>
            <w:tcW w:w="188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0.016 (-0.005, 0.036)</w:t>
            </w:r>
          </w:p>
        </w:tc>
        <w:tc>
          <w:tcPr>
            <w:tcW w:w="67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0.14</w:t>
            </w:r>
          </w:p>
        </w:tc>
        <w:tc>
          <w:tcPr>
            <w:tcW w:w="1889"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0.085 (-0.045, 0.215)</w:t>
            </w:r>
          </w:p>
        </w:tc>
        <w:tc>
          <w:tcPr>
            <w:tcW w:w="736"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0.20</w:t>
            </w:r>
          </w:p>
        </w:tc>
      </w:tr>
      <w:tr w:rsidR="00197CCB" w:rsidRPr="001513BB" w:rsidTr="00B47136">
        <w:trPr>
          <w:trHeight w:val="519"/>
        </w:trPr>
        <w:tc>
          <w:tcPr>
            <w:tcW w:w="0" w:type="auto"/>
            <w:vMerge/>
            <w:tcBorders>
              <w:top w:val="single" w:sz="4" w:space="0" w:color="auto"/>
              <w:left w:val="nil"/>
              <w:bottom w:val="single" w:sz="4" w:space="0" w:color="auto"/>
              <w:right w:val="nil"/>
            </w:tcBorders>
            <w:vAlign w:val="center"/>
          </w:tcPr>
          <w:p w:rsidR="00197CCB" w:rsidRPr="001513BB" w:rsidRDefault="00197CCB" w:rsidP="00B47136">
            <w:pPr>
              <w:spacing w:after="0" w:line="240" w:lineRule="auto"/>
              <w:rPr>
                <w:b/>
                <w:sz w:val="20"/>
                <w:lang w:eastAsia="en-GB"/>
              </w:rPr>
            </w:pPr>
          </w:p>
        </w:tc>
        <w:tc>
          <w:tcPr>
            <w:tcW w:w="791"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TNF-α</w:t>
            </w:r>
          </w:p>
        </w:tc>
        <w:tc>
          <w:tcPr>
            <w:tcW w:w="1621"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0.64 (0.23, 1.05)*</w:t>
            </w:r>
          </w:p>
        </w:tc>
        <w:tc>
          <w:tcPr>
            <w:tcW w:w="678"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0.002</w:t>
            </w:r>
          </w:p>
        </w:tc>
        <w:tc>
          <w:tcPr>
            <w:tcW w:w="1888"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0.019 (0.007, 0.031)*</w:t>
            </w:r>
          </w:p>
        </w:tc>
        <w:tc>
          <w:tcPr>
            <w:tcW w:w="678"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0.001</w:t>
            </w:r>
          </w:p>
        </w:tc>
        <w:tc>
          <w:tcPr>
            <w:tcW w:w="1889"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0.048 (-0.026, 0.123)</w:t>
            </w:r>
          </w:p>
        </w:tc>
        <w:tc>
          <w:tcPr>
            <w:tcW w:w="736"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0.20</w:t>
            </w:r>
          </w:p>
        </w:tc>
      </w:tr>
      <w:tr w:rsidR="00197CCB" w:rsidRPr="001513BB" w:rsidTr="00B47136">
        <w:trPr>
          <w:trHeight w:val="519"/>
        </w:trPr>
        <w:tc>
          <w:tcPr>
            <w:tcW w:w="980" w:type="dxa"/>
            <w:vMerge w:val="restart"/>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Plasma</w:t>
            </w:r>
          </w:p>
        </w:tc>
        <w:tc>
          <w:tcPr>
            <w:tcW w:w="791"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IL-6</w:t>
            </w:r>
          </w:p>
        </w:tc>
        <w:tc>
          <w:tcPr>
            <w:tcW w:w="1621"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0.42 (0.07, 0.78)*</w:t>
            </w:r>
          </w:p>
        </w:tc>
        <w:tc>
          <w:tcPr>
            <w:tcW w:w="678"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0.020</w:t>
            </w:r>
          </w:p>
        </w:tc>
        <w:tc>
          <w:tcPr>
            <w:tcW w:w="1888"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0.016 (0.005, 0.026)*</w:t>
            </w:r>
          </w:p>
        </w:tc>
        <w:tc>
          <w:tcPr>
            <w:tcW w:w="678"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0.003</w:t>
            </w:r>
          </w:p>
        </w:tc>
        <w:tc>
          <w:tcPr>
            <w:tcW w:w="1889"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0.13 (0.05, 0.21)*</w:t>
            </w:r>
          </w:p>
        </w:tc>
        <w:tc>
          <w:tcPr>
            <w:tcW w:w="736" w:type="dxa"/>
            <w:tcBorders>
              <w:top w:val="single" w:sz="4" w:space="0" w:color="auto"/>
              <w:left w:val="nil"/>
              <w:bottom w:val="nil"/>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0.001</w:t>
            </w:r>
          </w:p>
        </w:tc>
      </w:tr>
      <w:tr w:rsidR="00197CCB" w:rsidRPr="001513BB" w:rsidTr="00B47136">
        <w:trPr>
          <w:trHeight w:val="519"/>
        </w:trPr>
        <w:tc>
          <w:tcPr>
            <w:tcW w:w="0" w:type="auto"/>
            <w:vMerge/>
            <w:tcBorders>
              <w:top w:val="single" w:sz="4" w:space="0" w:color="auto"/>
              <w:left w:val="nil"/>
              <w:bottom w:val="single" w:sz="4" w:space="0" w:color="auto"/>
              <w:right w:val="nil"/>
            </w:tcBorders>
            <w:vAlign w:val="center"/>
          </w:tcPr>
          <w:p w:rsidR="00197CCB" w:rsidRPr="001513BB" w:rsidRDefault="00197CCB" w:rsidP="00B47136">
            <w:pPr>
              <w:spacing w:after="0" w:line="240" w:lineRule="auto"/>
              <w:rPr>
                <w:b/>
                <w:sz w:val="20"/>
                <w:lang w:eastAsia="en-GB"/>
              </w:rPr>
            </w:pPr>
          </w:p>
        </w:tc>
        <w:tc>
          <w:tcPr>
            <w:tcW w:w="791" w:type="dxa"/>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IL-1β</w:t>
            </w:r>
          </w:p>
        </w:tc>
        <w:tc>
          <w:tcPr>
            <w:tcW w:w="1621"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0.66 (-0.65, 1.97)</w:t>
            </w:r>
          </w:p>
        </w:tc>
        <w:tc>
          <w:tcPr>
            <w:tcW w:w="67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0.33</w:t>
            </w:r>
          </w:p>
        </w:tc>
        <w:tc>
          <w:tcPr>
            <w:tcW w:w="188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-0.023 (-0.064, 0.017)</w:t>
            </w:r>
          </w:p>
        </w:tc>
        <w:tc>
          <w:tcPr>
            <w:tcW w:w="67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0.26</w:t>
            </w:r>
          </w:p>
        </w:tc>
        <w:tc>
          <w:tcPr>
            <w:tcW w:w="1889"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-0.21 (-0.55, 0.13)</w:t>
            </w:r>
          </w:p>
        </w:tc>
        <w:tc>
          <w:tcPr>
            <w:tcW w:w="736"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0.23</w:t>
            </w:r>
          </w:p>
        </w:tc>
      </w:tr>
      <w:tr w:rsidR="00197CCB" w:rsidRPr="001513BB" w:rsidTr="00B47136">
        <w:trPr>
          <w:trHeight w:val="519"/>
        </w:trPr>
        <w:tc>
          <w:tcPr>
            <w:tcW w:w="0" w:type="auto"/>
            <w:vMerge/>
            <w:tcBorders>
              <w:top w:val="single" w:sz="4" w:space="0" w:color="auto"/>
              <w:left w:val="nil"/>
              <w:bottom w:val="single" w:sz="4" w:space="0" w:color="auto"/>
              <w:right w:val="nil"/>
            </w:tcBorders>
            <w:vAlign w:val="center"/>
          </w:tcPr>
          <w:p w:rsidR="00197CCB" w:rsidRPr="001513BB" w:rsidRDefault="00197CCB" w:rsidP="00B47136">
            <w:pPr>
              <w:spacing w:after="0" w:line="240" w:lineRule="auto"/>
              <w:rPr>
                <w:b/>
                <w:sz w:val="20"/>
                <w:lang w:eastAsia="en-GB"/>
              </w:rPr>
            </w:pPr>
          </w:p>
        </w:tc>
        <w:tc>
          <w:tcPr>
            <w:tcW w:w="791" w:type="dxa"/>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IFN-γ</w:t>
            </w:r>
          </w:p>
        </w:tc>
        <w:tc>
          <w:tcPr>
            <w:tcW w:w="1621"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-0.30 (-0.69, 0.09)</w:t>
            </w:r>
          </w:p>
        </w:tc>
        <w:tc>
          <w:tcPr>
            <w:tcW w:w="67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0.14</w:t>
            </w:r>
          </w:p>
        </w:tc>
        <w:tc>
          <w:tcPr>
            <w:tcW w:w="188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0.014 (0.001, 0.027)*</w:t>
            </w:r>
          </w:p>
        </w:tc>
        <w:tc>
          <w:tcPr>
            <w:tcW w:w="678"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0.036</w:t>
            </w:r>
          </w:p>
        </w:tc>
        <w:tc>
          <w:tcPr>
            <w:tcW w:w="1889"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0.12 (0.02, 0.22)*</w:t>
            </w:r>
          </w:p>
        </w:tc>
        <w:tc>
          <w:tcPr>
            <w:tcW w:w="736" w:type="dxa"/>
            <w:noWrap/>
            <w:vAlign w:val="center"/>
          </w:tcPr>
          <w:p w:rsidR="00197CCB" w:rsidRPr="001513BB" w:rsidRDefault="00197CCB" w:rsidP="00B47136">
            <w:pPr>
              <w:spacing w:after="0" w:line="240" w:lineRule="auto"/>
              <w:jc w:val="center"/>
              <w:rPr>
                <w:sz w:val="20"/>
                <w:lang w:eastAsia="en-GB"/>
              </w:rPr>
            </w:pPr>
            <w:r w:rsidRPr="001513BB">
              <w:rPr>
                <w:sz w:val="20"/>
                <w:lang w:eastAsia="en-GB"/>
              </w:rPr>
              <w:t>0.017</w:t>
            </w:r>
          </w:p>
        </w:tc>
      </w:tr>
      <w:tr w:rsidR="00197CCB" w:rsidRPr="001513BB" w:rsidTr="00B47136">
        <w:trPr>
          <w:trHeight w:val="519"/>
        </w:trPr>
        <w:tc>
          <w:tcPr>
            <w:tcW w:w="0" w:type="auto"/>
            <w:vMerge/>
            <w:tcBorders>
              <w:top w:val="single" w:sz="4" w:space="0" w:color="auto"/>
              <w:left w:val="nil"/>
              <w:bottom w:val="single" w:sz="4" w:space="0" w:color="auto"/>
              <w:right w:val="nil"/>
            </w:tcBorders>
            <w:vAlign w:val="center"/>
          </w:tcPr>
          <w:p w:rsidR="00197CCB" w:rsidRPr="001513BB" w:rsidRDefault="00197CCB" w:rsidP="00B47136">
            <w:pPr>
              <w:spacing w:after="0" w:line="240" w:lineRule="auto"/>
              <w:rPr>
                <w:b/>
                <w:sz w:val="20"/>
                <w:lang w:eastAsia="en-GB"/>
              </w:rPr>
            </w:pPr>
          </w:p>
        </w:tc>
        <w:tc>
          <w:tcPr>
            <w:tcW w:w="791"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TNF-α</w:t>
            </w:r>
          </w:p>
        </w:tc>
        <w:tc>
          <w:tcPr>
            <w:tcW w:w="1621"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0.13 (-0.13, 0.39)</w:t>
            </w:r>
          </w:p>
        </w:tc>
        <w:tc>
          <w:tcPr>
            <w:tcW w:w="678"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0.31</w:t>
            </w:r>
          </w:p>
        </w:tc>
        <w:tc>
          <w:tcPr>
            <w:tcW w:w="1888"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0.010 (0.002, 0.017)*</w:t>
            </w:r>
          </w:p>
        </w:tc>
        <w:tc>
          <w:tcPr>
            <w:tcW w:w="678"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0.011</w:t>
            </w:r>
          </w:p>
        </w:tc>
        <w:tc>
          <w:tcPr>
            <w:tcW w:w="1889"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0.45 (-0.007, 0.098)</w:t>
            </w:r>
          </w:p>
        </w:tc>
        <w:tc>
          <w:tcPr>
            <w:tcW w:w="736" w:type="dxa"/>
            <w:tcBorders>
              <w:top w:val="nil"/>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0.090</w:t>
            </w:r>
          </w:p>
        </w:tc>
      </w:tr>
      <w:tr w:rsidR="00197CCB" w:rsidRPr="001513BB" w:rsidTr="00B47136">
        <w:trPr>
          <w:trHeight w:val="519"/>
        </w:trPr>
        <w:tc>
          <w:tcPr>
            <w:tcW w:w="980"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Solute Transport</w:t>
            </w:r>
          </w:p>
        </w:tc>
        <w:tc>
          <w:tcPr>
            <w:tcW w:w="791"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b/>
                <w:sz w:val="20"/>
                <w:lang w:eastAsia="en-GB"/>
              </w:rPr>
            </w:pPr>
            <w:r w:rsidRPr="001513BB">
              <w:rPr>
                <w:b/>
                <w:sz w:val="20"/>
                <w:lang w:eastAsia="en-GB"/>
              </w:rPr>
              <w:t>D/P Cr</w:t>
            </w:r>
          </w:p>
        </w:tc>
        <w:tc>
          <w:tcPr>
            <w:tcW w:w="1621"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0.024</w:t>
            </w:r>
          </w:p>
          <w:p w:rsidR="00197CCB" w:rsidRPr="001513BB" w:rsidRDefault="00197CCB" w:rsidP="00B47136">
            <w:pPr>
              <w:spacing w:after="0" w:line="240" w:lineRule="auto"/>
              <w:jc w:val="center"/>
              <w:rPr>
                <w:sz w:val="20"/>
                <w:lang w:eastAsia="en-GB"/>
              </w:rPr>
            </w:pPr>
            <w:r w:rsidRPr="001513BB">
              <w:rPr>
                <w:sz w:val="20"/>
                <w:lang w:eastAsia="en-GB"/>
              </w:rPr>
              <w:t>(-0.054, 0.102)</w:t>
            </w:r>
          </w:p>
        </w:tc>
        <w:tc>
          <w:tcPr>
            <w:tcW w:w="678"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0.55</w:t>
            </w:r>
          </w:p>
        </w:tc>
        <w:tc>
          <w:tcPr>
            <w:tcW w:w="1888"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-0.0017</w:t>
            </w:r>
          </w:p>
          <w:p w:rsidR="00197CCB" w:rsidRPr="001513BB" w:rsidRDefault="00197CCB" w:rsidP="00B47136">
            <w:pPr>
              <w:spacing w:after="0" w:line="240" w:lineRule="auto"/>
              <w:jc w:val="center"/>
              <w:rPr>
                <w:sz w:val="20"/>
                <w:lang w:eastAsia="en-GB"/>
              </w:rPr>
            </w:pPr>
            <w:r w:rsidRPr="001513BB">
              <w:rPr>
                <w:sz w:val="20"/>
                <w:lang w:eastAsia="en-GB"/>
              </w:rPr>
              <w:t>(-0.0039, 0.0006)</w:t>
            </w:r>
          </w:p>
        </w:tc>
        <w:tc>
          <w:tcPr>
            <w:tcW w:w="678"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0.14</w:t>
            </w:r>
          </w:p>
        </w:tc>
        <w:tc>
          <w:tcPr>
            <w:tcW w:w="1889"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 xml:space="preserve">0.035 </w:t>
            </w:r>
          </w:p>
          <w:p w:rsidR="00197CCB" w:rsidRPr="001513BB" w:rsidRDefault="00197CCB" w:rsidP="00B47136">
            <w:pPr>
              <w:spacing w:after="0" w:line="240" w:lineRule="auto"/>
              <w:jc w:val="center"/>
              <w:rPr>
                <w:sz w:val="20"/>
                <w:lang w:eastAsia="en-GB"/>
              </w:rPr>
            </w:pPr>
            <w:r w:rsidRPr="001513BB">
              <w:rPr>
                <w:sz w:val="20"/>
                <w:lang w:eastAsia="en-GB"/>
              </w:rPr>
              <w:t>(0.023, 0.047) *</w:t>
            </w:r>
          </w:p>
        </w:tc>
        <w:tc>
          <w:tcPr>
            <w:tcW w:w="736" w:type="dxa"/>
            <w:tcBorders>
              <w:top w:val="single" w:sz="4" w:space="0" w:color="auto"/>
              <w:left w:val="nil"/>
              <w:bottom w:val="single" w:sz="4" w:space="0" w:color="auto"/>
              <w:right w:val="nil"/>
            </w:tcBorders>
            <w:noWrap/>
            <w:vAlign w:val="center"/>
          </w:tcPr>
          <w:p w:rsidR="00197CCB" w:rsidRPr="001513BB" w:rsidRDefault="00197CCB" w:rsidP="00B47136">
            <w:pPr>
              <w:spacing w:after="0" w:line="240" w:lineRule="auto"/>
              <w:jc w:val="center"/>
              <w:rPr>
                <w:sz w:val="20"/>
                <w:lang w:eastAsia="en-GB"/>
              </w:rPr>
            </w:pPr>
            <w:r w:rsidRPr="001513BB">
              <w:rPr>
                <w:sz w:val="20"/>
                <w:lang w:eastAsia="en-GB"/>
              </w:rPr>
              <w:t>&lt;0.001</w:t>
            </w:r>
          </w:p>
        </w:tc>
      </w:tr>
    </w:tbl>
    <w:p w:rsidR="00197CCB" w:rsidRDefault="00197CCB" w:rsidP="00E034B0">
      <w:pPr>
        <w:spacing w:line="480" w:lineRule="auto"/>
      </w:pPr>
      <w:r>
        <w:t xml:space="preserve"> *p&lt;0.05. Results from models with continuous dependent variables (log transformed if cytokine) except for dialysate and plasma IL-1 models which were logistic models for detectable vs undetectable.</w:t>
      </w:r>
      <w:r w:rsidR="0012696D">
        <w:t xml:space="preserve"> Values for all cytokines other than IL-1 were </w:t>
      </w:r>
      <w:proofErr w:type="spellStart"/>
      <w:r w:rsidR="0012696D">
        <w:t>pg</w:t>
      </w:r>
      <w:proofErr w:type="spellEnd"/>
      <w:r w:rsidR="0012696D">
        <w:t>/ml.</w:t>
      </w:r>
    </w:p>
    <w:p w:rsidR="00197CCB" w:rsidRDefault="00197CCB" w:rsidP="00AE281B">
      <w:pPr>
        <w:widowControl w:val="0"/>
        <w:autoSpaceDE w:val="0"/>
        <w:autoSpaceDN w:val="0"/>
        <w:adjustRightInd w:val="0"/>
        <w:spacing w:after="0" w:line="480" w:lineRule="auto"/>
        <w:rPr>
          <w:rFonts w:cs="Arial"/>
          <w:b/>
          <w:lang w:val="en-US" w:eastAsia="en-GB"/>
        </w:rPr>
      </w:pPr>
    </w:p>
    <w:p w:rsidR="00197CCB" w:rsidRDefault="00197CCB">
      <w:pPr>
        <w:rPr>
          <w:rFonts w:cs="Arial"/>
          <w:b/>
          <w:lang w:val="en-US" w:eastAsia="en-GB"/>
        </w:rPr>
      </w:pPr>
      <w:r>
        <w:rPr>
          <w:rFonts w:cs="Arial"/>
          <w:b/>
          <w:lang w:val="en-US" w:eastAsia="en-GB"/>
        </w:rPr>
        <w:br w:type="page"/>
      </w:r>
    </w:p>
    <w:p w:rsidR="00197CCB" w:rsidRDefault="00197CCB" w:rsidP="00AE281B">
      <w:pPr>
        <w:widowControl w:val="0"/>
        <w:autoSpaceDE w:val="0"/>
        <w:autoSpaceDN w:val="0"/>
        <w:adjustRightInd w:val="0"/>
        <w:spacing w:after="0" w:line="480" w:lineRule="auto"/>
        <w:rPr>
          <w:rFonts w:cs="Arial"/>
          <w:b/>
          <w:lang w:val="en-US" w:eastAsia="en-GB"/>
        </w:rPr>
      </w:pPr>
      <w:r w:rsidRPr="00B029E2">
        <w:rPr>
          <w:rFonts w:cs="Arial"/>
          <w:b/>
          <w:lang w:val="en-US" w:eastAsia="en-GB"/>
        </w:rPr>
        <w:lastRenderedPageBreak/>
        <w:t>Figures</w:t>
      </w:r>
      <w:r>
        <w:rPr>
          <w:rFonts w:cs="Arial"/>
          <w:b/>
          <w:lang w:val="en-US" w:eastAsia="en-GB"/>
        </w:rPr>
        <w:t xml:space="preserve"> and Legends</w:t>
      </w:r>
    </w:p>
    <w:p w:rsidR="00197CCB" w:rsidRDefault="00197CCB" w:rsidP="00E034B0">
      <w:pPr>
        <w:pStyle w:val="Caption"/>
        <w:keepNext/>
        <w:rPr>
          <w:color w:val="auto"/>
          <w:sz w:val="20"/>
        </w:rPr>
      </w:pPr>
      <w:bookmarkStart w:id="11" w:name="_Ref370398823"/>
      <w:bookmarkStart w:id="12" w:name="_Toc402723590"/>
      <w:bookmarkStart w:id="13" w:name="_Ref370398814"/>
      <w:bookmarkStart w:id="14" w:name="_Ref377051811"/>
      <w:bookmarkStart w:id="15" w:name="_Ref377051805"/>
      <w:bookmarkStart w:id="16" w:name="_Toc402723593"/>
      <w:r>
        <w:rPr>
          <w:color w:val="auto"/>
          <w:sz w:val="20"/>
        </w:rPr>
        <w:t>Figure</w:t>
      </w:r>
      <w:bookmarkEnd w:id="11"/>
      <w:r>
        <w:t xml:space="preserve"> </w:t>
      </w:r>
      <w:r w:rsidRPr="00B05B92">
        <w:rPr>
          <w:color w:val="auto"/>
        </w:rPr>
        <w:t>1</w:t>
      </w:r>
      <w:r>
        <w:rPr>
          <w:color w:val="auto"/>
          <w:sz w:val="20"/>
        </w:rPr>
        <w:t>: Peritoneal Solute Transport Rate With Time to PD Finish By EPS Status</w:t>
      </w:r>
      <w:bookmarkEnd w:id="12"/>
      <w:bookmarkEnd w:id="13"/>
    </w:p>
    <w:p w:rsidR="004A4FEB" w:rsidRDefault="0012696D" w:rsidP="00023CB5">
      <w:r>
        <w:rPr>
          <w:lang w:val="en-US"/>
        </w:rPr>
        <w:t>The top row of graphs represent the predicted values of D/P Cr for EPS cases and controls from the multilevel model with a mean value of age. The bottom row shows spaghetti plots of the actual values of D/P Cr with lines denoting values from individual patients.</w:t>
      </w:r>
    </w:p>
    <w:p w:rsidR="0012696D" w:rsidRDefault="0012696D" w:rsidP="0012696D">
      <w:pPr>
        <w:rPr>
          <w:lang w:val="en-US"/>
        </w:rPr>
      </w:pPr>
    </w:p>
    <w:p w:rsidR="004A4FEB" w:rsidRDefault="0012696D" w:rsidP="00023CB5">
      <w:r w:rsidRPr="0012696D">
        <w:rPr>
          <w:b/>
          <w:sz w:val="20"/>
        </w:rPr>
        <w:t>Figure</w:t>
      </w:r>
      <w:r w:rsidRPr="0012696D">
        <w:rPr>
          <w:b/>
        </w:rPr>
        <w:t xml:space="preserve"> 2</w:t>
      </w:r>
      <w:r w:rsidRPr="0012696D">
        <w:rPr>
          <w:b/>
          <w:sz w:val="20"/>
        </w:rPr>
        <w:t>: Dialysate IL-6 With Time to PD Finish By EPS Status</w:t>
      </w:r>
    </w:p>
    <w:p w:rsidR="004A4FEB" w:rsidRDefault="0012696D" w:rsidP="00023CB5">
      <w:r>
        <w:rPr>
          <w:lang w:val="en-US"/>
        </w:rPr>
        <w:t>The top row of graphs represent the predicted values of dialysate IL-6 concentration for EPS cases and controls from the multilevel model with a mean value of age. The bottom row shows spaghetti plots of the actual values of dialysate IL-6 with lines denoting values from individual patients. All graphs have a natural log scale on the y-axis.</w:t>
      </w:r>
    </w:p>
    <w:p w:rsidR="004A4FEB" w:rsidRPr="00023CB5" w:rsidRDefault="004A4FEB" w:rsidP="00023CB5"/>
    <w:p w:rsidR="0012696D" w:rsidRDefault="0012696D" w:rsidP="0012696D">
      <w:pPr>
        <w:pStyle w:val="Caption"/>
        <w:keepNext/>
        <w:rPr>
          <w:color w:val="auto"/>
          <w:sz w:val="20"/>
        </w:rPr>
      </w:pPr>
      <w:r>
        <w:rPr>
          <w:color w:val="auto"/>
          <w:sz w:val="20"/>
        </w:rPr>
        <w:t>Figure</w:t>
      </w:r>
      <w:r>
        <w:t xml:space="preserve"> </w:t>
      </w:r>
      <w:r>
        <w:rPr>
          <w:color w:val="auto"/>
        </w:rPr>
        <w:t>3</w:t>
      </w:r>
      <w:r>
        <w:rPr>
          <w:color w:val="auto"/>
          <w:sz w:val="20"/>
        </w:rPr>
        <w:t>: Dialysate to Plasma IL-6 Ratio With Time to PD Finish By EPS Status</w:t>
      </w:r>
    </w:p>
    <w:p w:rsidR="0012696D" w:rsidRDefault="0012696D">
      <w:pPr>
        <w:spacing w:after="0" w:line="240" w:lineRule="auto"/>
        <w:rPr>
          <w:lang w:val="en-US"/>
        </w:rPr>
      </w:pPr>
      <w:r>
        <w:rPr>
          <w:lang w:val="en-US"/>
        </w:rPr>
        <w:t>Spaghetti plots of the actual values of the ratio of dialysate to plasma IL-6 concentrations with lines denoting values from individual patients.</w:t>
      </w:r>
    </w:p>
    <w:p w:rsidR="0012696D" w:rsidRDefault="0012696D">
      <w:pPr>
        <w:spacing w:after="0" w:line="240" w:lineRule="auto"/>
        <w:rPr>
          <w:lang w:val="en-US"/>
        </w:rPr>
      </w:pPr>
    </w:p>
    <w:p w:rsidR="0012696D" w:rsidRDefault="0012696D">
      <w:pPr>
        <w:spacing w:after="0" w:line="240" w:lineRule="auto"/>
        <w:rPr>
          <w:lang w:val="en-US"/>
        </w:rPr>
      </w:pPr>
    </w:p>
    <w:p w:rsidR="0012696D" w:rsidRPr="00661B56" w:rsidRDefault="0012696D" w:rsidP="0012696D">
      <w:pPr>
        <w:pStyle w:val="Caption"/>
        <w:keepNext/>
        <w:rPr>
          <w:color w:val="auto"/>
          <w:sz w:val="20"/>
        </w:rPr>
      </w:pPr>
      <w:r w:rsidRPr="00661B56">
        <w:rPr>
          <w:color w:val="auto"/>
          <w:sz w:val="20"/>
        </w:rPr>
        <w:t>Figure</w:t>
      </w:r>
      <w:r>
        <w:rPr>
          <w:color w:val="auto"/>
          <w:sz w:val="20"/>
        </w:rPr>
        <w:t xml:space="preserve"> 4</w:t>
      </w:r>
      <w:r w:rsidRPr="00661B56">
        <w:rPr>
          <w:color w:val="auto"/>
          <w:sz w:val="20"/>
        </w:rPr>
        <w:t>: Dialysate TNF-α With Time to PD Finish By EPS Status</w:t>
      </w:r>
    </w:p>
    <w:p w:rsidR="004A4FEB" w:rsidRDefault="0012696D" w:rsidP="00023CB5">
      <w:r>
        <w:rPr>
          <w:lang w:val="en-US"/>
        </w:rPr>
        <w:t>The top row of graphs represent the predicted values of dialysate TNF-α concentration for EPS cases and controls from the multilevel model with a mean value of age. The bottom row shows spaghetti plots of the actual values of dialysate TNF-α with lines denoting values from individual patients. All graphs have a natural log scale on the y-axis.</w:t>
      </w:r>
    </w:p>
    <w:p w:rsidR="0012696D" w:rsidRDefault="0012696D">
      <w:pPr>
        <w:spacing w:after="0" w:line="240" w:lineRule="auto"/>
      </w:pPr>
      <w:r>
        <w:br w:type="page"/>
      </w:r>
    </w:p>
    <w:p w:rsidR="0012696D" w:rsidRDefault="0012696D" w:rsidP="00E034B0">
      <w:r>
        <w:lastRenderedPageBreak/>
        <w:t>Figure 1</w:t>
      </w:r>
    </w:p>
    <w:p w:rsidR="00197CCB" w:rsidRDefault="004A4FEB" w:rsidP="00E034B0">
      <w:r>
        <w:rPr>
          <w:noProof/>
          <w:lang w:eastAsia="en-GB"/>
        </w:rPr>
        <w:drawing>
          <wp:inline distT="0" distB="0" distL="0" distR="0">
            <wp:extent cx="5118100" cy="374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8100" cy="3740150"/>
                    </a:xfrm>
                    <a:prstGeom prst="rect">
                      <a:avLst/>
                    </a:prstGeom>
                    <a:noFill/>
                    <a:ln>
                      <a:noFill/>
                    </a:ln>
                  </pic:spPr>
                </pic:pic>
              </a:graphicData>
            </a:graphic>
          </wp:inline>
        </w:drawing>
      </w:r>
    </w:p>
    <w:p w:rsidR="00197CCB" w:rsidRDefault="00197CCB" w:rsidP="00E034B0">
      <w:pPr>
        <w:pStyle w:val="Caption"/>
        <w:keepNext/>
        <w:rPr>
          <w:color w:val="auto"/>
          <w:sz w:val="20"/>
        </w:rPr>
      </w:pPr>
    </w:p>
    <w:p w:rsidR="00197CCB" w:rsidRDefault="00197CCB">
      <w:pPr>
        <w:rPr>
          <w:b/>
          <w:bCs/>
          <w:sz w:val="20"/>
          <w:szCs w:val="18"/>
          <w:lang w:val="en-US"/>
        </w:rPr>
      </w:pPr>
      <w:bookmarkStart w:id="17" w:name="_Ref370399347"/>
      <w:bookmarkStart w:id="18" w:name="_Toc402723591"/>
      <w:r>
        <w:rPr>
          <w:sz w:val="20"/>
        </w:rPr>
        <w:br w:type="page"/>
      </w:r>
    </w:p>
    <w:bookmarkEnd w:id="17"/>
    <w:bookmarkEnd w:id="18"/>
    <w:p w:rsidR="00197CCB" w:rsidRDefault="0012696D" w:rsidP="00E034B0">
      <w:pPr>
        <w:pStyle w:val="Caption"/>
        <w:keepNext/>
        <w:rPr>
          <w:color w:val="auto"/>
          <w:sz w:val="20"/>
        </w:rPr>
      </w:pPr>
      <w:r>
        <w:rPr>
          <w:color w:val="auto"/>
          <w:sz w:val="20"/>
        </w:rPr>
        <w:lastRenderedPageBreak/>
        <w:t>Figure 2</w:t>
      </w:r>
    </w:p>
    <w:p w:rsidR="00197CCB" w:rsidRDefault="004A4FEB" w:rsidP="00E034B0">
      <w:r>
        <w:rPr>
          <w:noProof/>
          <w:lang w:eastAsia="en-GB"/>
        </w:rPr>
        <w:drawing>
          <wp:inline distT="0" distB="0" distL="0" distR="0">
            <wp:extent cx="5118100" cy="374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8100" cy="3740150"/>
                    </a:xfrm>
                    <a:prstGeom prst="rect">
                      <a:avLst/>
                    </a:prstGeom>
                    <a:noFill/>
                    <a:ln>
                      <a:noFill/>
                    </a:ln>
                  </pic:spPr>
                </pic:pic>
              </a:graphicData>
            </a:graphic>
          </wp:inline>
        </w:drawing>
      </w:r>
    </w:p>
    <w:p w:rsidR="00197CCB" w:rsidRDefault="00197CCB">
      <w:pPr>
        <w:rPr>
          <w:b/>
          <w:bCs/>
          <w:sz w:val="20"/>
          <w:szCs w:val="18"/>
          <w:lang w:val="en-US"/>
        </w:rPr>
      </w:pPr>
      <w:bookmarkStart w:id="19" w:name="_Ref370399262"/>
      <w:bookmarkStart w:id="20" w:name="_Toc402723592"/>
      <w:r>
        <w:rPr>
          <w:sz w:val="20"/>
        </w:rPr>
        <w:br w:type="page"/>
      </w:r>
    </w:p>
    <w:bookmarkEnd w:id="19"/>
    <w:bookmarkEnd w:id="20"/>
    <w:p w:rsidR="0012696D" w:rsidRDefault="0012696D" w:rsidP="00E034B0">
      <w:r>
        <w:lastRenderedPageBreak/>
        <w:t>Figure 3</w:t>
      </w:r>
    </w:p>
    <w:p w:rsidR="00197CCB" w:rsidRDefault="0012696D" w:rsidP="00E034B0">
      <w:r w:rsidRPr="0012696D">
        <w:rPr>
          <w:noProof/>
          <w:lang w:eastAsia="en-GB"/>
        </w:rPr>
        <w:drawing>
          <wp:inline distT="0" distB="0" distL="0" distR="0">
            <wp:extent cx="5118100" cy="374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100" cy="3740150"/>
                    </a:xfrm>
                    <a:prstGeom prst="rect">
                      <a:avLst/>
                    </a:prstGeom>
                    <a:noFill/>
                    <a:ln>
                      <a:noFill/>
                    </a:ln>
                  </pic:spPr>
                </pic:pic>
              </a:graphicData>
            </a:graphic>
          </wp:inline>
        </w:drawing>
      </w:r>
    </w:p>
    <w:p w:rsidR="00197CCB" w:rsidRDefault="00197CCB" w:rsidP="00E034B0">
      <w:pPr>
        <w:pStyle w:val="Caption"/>
        <w:keepNext/>
        <w:rPr>
          <w:color w:val="auto"/>
          <w:sz w:val="20"/>
        </w:rPr>
      </w:pPr>
    </w:p>
    <w:p w:rsidR="00197CCB" w:rsidRDefault="00197CCB" w:rsidP="00E034B0">
      <w:pPr>
        <w:pStyle w:val="Caption"/>
        <w:keepNext/>
        <w:rPr>
          <w:color w:val="auto"/>
          <w:sz w:val="20"/>
        </w:rPr>
      </w:pPr>
    </w:p>
    <w:p w:rsidR="00197CCB" w:rsidRDefault="00197CCB" w:rsidP="00E034B0">
      <w:pPr>
        <w:pStyle w:val="Caption"/>
        <w:keepNext/>
        <w:rPr>
          <w:color w:val="auto"/>
          <w:sz w:val="20"/>
        </w:rPr>
      </w:pPr>
    </w:p>
    <w:p w:rsidR="00197CCB" w:rsidRDefault="00197CCB" w:rsidP="00E034B0">
      <w:pPr>
        <w:pStyle w:val="Caption"/>
        <w:keepNext/>
        <w:rPr>
          <w:color w:val="auto"/>
          <w:sz w:val="20"/>
        </w:rPr>
      </w:pPr>
    </w:p>
    <w:p w:rsidR="00197CCB" w:rsidRDefault="00197CCB" w:rsidP="00E034B0">
      <w:pPr>
        <w:pStyle w:val="Caption"/>
        <w:keepNext/>
        <w:rPr>
          <w:color w:val="auto"/>
          <w:sz w:val="20"/>
        </w:rPr>
      </w:pPr>
    </w:p>
    <w:p w:rsidR="00197CCB" w:rsidRDefault="00197CCB">
      <w:pPr>
        <w:rPr>
          <w:b/>
          <w:bCs/>
          <w:sz w:val="20"/>
          <w:szCs w:val="18"/>
          <w:lang w:val="en-US"/>
        </w:rPr>
      </w:pPr>
      <w:r>
        <w:rPr>
          <w:sz w:val="20"/>
        </w:rPr>
        <w:br w:type="page"/>
      </w:r>
    </w:p>
    <w:bookmarkEnd w:id="14"/>
    <w:bookmarkEnd w:id="15"/>
    <w:bookmarkEnd w:id="16"/>
    <w:p w:rsidR="0012696D" w:rsidRDefault="0012696D" w:rsidP="00E034B0">
      <w:pPr>
        <w:spacing w:line="480" w:lineRule="auto"/>
      </w:pPr>
      <w:r>
        <w:lastRenderedPageBreak/>
        <w:t>Figure 4</w:t>
      </w:r>
    </w:p>
    <w:p w:rsidR="00197CCB" w:rsidRPr="00296A87" w:rsidRDefault="004A4FEB" w:rsidP="00E034B0">
      <w:pPr>
        <w:spacing w:line="480" w:lineRule="auto"/>
      </w:pPr>
      <w:r>
        <w:rPr>
          <w:noProof/>
          <w:lang w:eastAsia="en-GB"/>
        </w:rPr>
        <w:drawing>
          <wp:inline distT="0" distB="0" distL="0" distR="0">
            <wp:extent cx="5118100" cy="374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8100" cy="3740150"/>
                    </a:xfrm>
                    <a:prstGeom prst="rect">
                      <a:avLst/>
                    </a:prstGeom>
                    <a:noFill/>
                    <a:ln>
                      <a:noFill/>
                    </a:ln>
                  </pic:spPr>
                </pic:pic>
              </a:graphicData>
            </a:graphic>
          </wp:inline>
        </w:drawing>
      </w:r>
    </w:p>
    <w:p w:rsidR="00197CCB" w:rsidRDefault="00197CCB" w:rsidP="00AE281B">
      <w:pPr>
        <w:widowControl w:val="0"/>
        <w:autoSpaceDE w:val="0"/>
        <w:autoSpaceDN w:val="0"/>
        <w:adjustRightInd w:val="0"/>
        <w:spacing w:after="0" w:line="480" w:lineRule="auto"/>
        <w:rPr>
          <w:rFonts w:cs="Arial"/>
          <w:b/>
          <w:lang w:val="en-US" w:eastAsia="en-GB"/>
        </w:rPr>
      </w:pPr>
    </w:p>
    <w:p w:rsidR="00197CCB" w:rsidRDefault="00197CCB" w:rsidP="00AE281B">
      <w:pPr>
        <w:widowControl w:val="0"/>
        <w:autoSpaceDE w:val="0"/>
        <w:autoSpaceDN w:val="0"/>
        <w:adjustRightInd w:val="0"/>
        <w:spacing w:after="0" w:line="480" w:lineRule="auto"/>
        <w:rPr>
          <w:rFonts w:cs="Arial"/>
          <w:b/>
          <w:lang w:val="en-US" w:eastAsia="en-GB"/>
        </w:rPr>
      </w:pPr>
    </w:p>
    <w:p w:rsidR="00197CCB" w:rsidRDefault="00197CCB">
      <w:pPr>
        <w:rPr>
          <w:rFonts w:cs="Arial"/>
          <w:b/>
          <w:lang w:val="en-US" w:eastAsia="en-GB"/>
        </w:rPr>
      </w:pPr>
    </w:p>
    <w:sectPr w:rsidR="00197CCB" w:rsidSect="00F34C14">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48" w:rsidRDefault="004E6848" w:rsidP="004F471A">
      <w:pPr>
        <w:spacing w:after="0" w:line="240" w:lineRule="auto"/>
      </w:pPr>
      <w:r>
        <w:separator/>
      </w:r>
    </w:p>
  </w:endnote>
  <w:endnote w:type="continuationSeparator" w:id="0">
    <w:p w:rsidR="004E6848" w:rsidRDefault="004E6848" w:rsidP="004F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281420"/>
      <w:docPartObj>
        <w:docPartGallery w:val="Page Numbers (Bottom of Page)"/>
        <w:docPartUnique/>
      </w:docPartObj>
    </w:sdtPr>
    <w:sdtEndPr>
      <w:rPr>
        <w:noProof/>
      </w:rPr>
    </w:sdtEndPr>
    <w:sdtContent>
      <w:p w:rsidR="00004554" w:rsidRDefault="00004554">
        <w:pPr>
          <w:pStyle w:val="Footer"/>
          <w:jc w:val="center"/>
        </w:pPr>
        <w:r>
          <w:fldChar w:fldCharType="begin"/>
        </w:r>
        <w:r>
          <w:instrText xml:space="preserve"> PAGE   \* MERGEFORMAT </w:instrText>
        </w:r>
        <w:r>
          <w:fldChar w:fldCharType="separate"/>
        </w:r>
        <w:r w:rsidR="00F91599">
          <w:rPr>
            <w:noProof/>
          </w:rPr>
          <w:t>25</w:t>
        </w:r>
        <w:r>
          <w:rPr>
            <w:noProof/>
          </w:rPr>
          <w:fldChar w:fldCharType="end"/>
        </w:r>
      </w:p>
    </w:sdtContent>
  </w:sdt>
  <w:p w:rsidR="00004554" w:rsidRDefault="00004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48" w:rsidRDefault="004E6848" w:rsidP="004F471A">
      <w:pPr>
        <w:spacing w:after="0" w:line="240" w:lineRule="auto"/>
      </w:pPr>
      <w:r>
        <w:separator/>
      </w:r>
    </w:p>
  </w:footnote>
  <w:footnote w:type="continuationSeparator" w:id="0">
    <w:p w:rsidR="004E6848" w:rsidRDefault="004E6848" w:rsidP="004F4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731A"/>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46656428"/>
    <w:multiLevelType w:val="hybridMultilevel"/>
    <w:tmpl w:val="21D8AA62"/>
    <w:lvl w:ilvl="0" w:tplc="05AE4950">
      <w:start w:val="1"/>
      <w:numFmt w:val="bullet"/>
      <w:lvlText w:val="•"/>
      <w:lvlJc w:val="left"/>
      <w:pPr>
        <w:tabs>
          <w:tab w:val="num" w:pos="720"/>
        </w:tabs>
        <w:ind w:left="720" w:hanging="360"/>
      </w:pPr>
      <w:rPr>
        <w:rFonts w:ascii="Arial" w:hAnsi="Arial" w:hint="default"/>
      </w:rPr>
    </w:lvl>
    <w:lvl w:ilvl="1" w:tplc="E2F46230" w:tentative="1">
      <w:start w:val="1"/>
      <w:numFmt w:val="bullet"/>
      <w:lvlText w:val="•"/>
      <w:lvlJc w:val="left"/>
      <w:pPr>
        <w:tabs>
          <w:tab w:val="num" w:pos="1440"/>
        </w:tabs>
        <w:ind w:left="1440" w:hanging="360"/>
      </w:pPr>
      <w:rPr>
        <w:rFonts w:ascii="Arial" w:hAnsi="Arial" w:hint="default"/>
      </w:rPr>
    </w:lvl>
    <w:lvl w:ilvl="2" w:tplc="628A9E0A" w:tentative="1">
      <w:start w:val="1"/>
      <w:numFmt w:val="bullet"/>
      <w:lvlText w:val="•"/>
      <w:lvlJc w:val="left"/>
      <w:pPr>
        <w:tabs>
          <w:tab w:val="num" w:pos="2160"/>
        </w:tabs>
        <w:ind w:left="2160" w:hanging="360"/>
      </w:pPr>
      <w:rPr>
        <w:rFonts w:ascii="Arial" w:hAnsi="Arial" w:hint="default"/>
      </w:rPr>
    </w:lvl>
    <w:lvl w:ilvl="3" w:tplc="8A2ADB1A" w:tentative="1">
      <w:start w:val="1"/>
      <w:numFmt w:val="bullet"/>
      <w:lvlText w:val="•"/>
      <w:lvlJc w:val="left"/>
      <w:pPr>
        <w:tabs>
          <w:tab w:val="num" w:pos="2880"/>
        </w:tabs>
        <w:ind w:left="2880" w:hanging="360"/>
      </w:pPr>
      <w:rPr>
        <w:rFonts w:ascii="Arial" w:hAnsi="Arial" w:hint="default"/>
      </w:rPr>
    </w:lvl>
    <w:lvl w:ilvl="4" w:tplc="2A487330" w:tentative="1">
      <w:start w:val="1"/>
      <w:numFmt w:val="bullet"/>
      <w:lvlText w:val="•"/>
      <w:lvlJc w:val="left"/>
      <w:pPr>
        <w:tabs>
          <w:tab w:val="num" w:pos="3600"/>
        </w:tabs>
        <w:ind w:left="3600" w:hanging="360"/>
      </w:pPr>
      <w:rPr>
        <w:rFonts w:ascii="Arial" w:hAnsi="Arial" w:hint="default"/>
      </w:rPr>
    </w:lvl>
    <w:lvl w:ilvl="5" w:tplc="540EEED0" w:tentative="1">
      <w:start w:val="1"/>
      <w:numFmt w:val="bullet"/>
      <w:lvlText w:val="•"/>
      <w:lvlJc w:val="left"/>
      <w:pPr>
        <w:tabs>
          <w:tab w:val="num" w:pos="4320"/>
        </w:tabs>
        <w:ind w:left="4320" w:hanging="360"/>
      </w:pPr>
      <w:rPr>
        <w:rFonts w:ascii="Arial" w:hAnsi="Arial" w:hint="default"/>
      </w:rPr>
    </w:lvl>
    <w:lvl w:ilvl="6" w:tplc="686A05FC" w:tentative="1">
      <w:start w:val="1"/>
      <w:numFmt w:val="bullet"/>
      <w:lvlText w:val="•"/>
      <w:lvlJc w:val="left"/>
      <w:pPr>
        <w:tabs>
          <w:tab w:val="num" w:pos="5040"/>
        </w:tabs>
        <w:ind w:left="5040" w:hanging="360"/>
      </w:pPr>
      <w:rPr>
        <w:rFonts w:ascii="Arial" w:hAnsi="Arial" w:hint="default"/>
      </w:rPr>
    </w:lvl>
    <w:lvl w:ilvl="7" w:tplc="E9C60D5C" w:tentative="1">
      <w:start w:val="1"/>
      <w:numFmt w:val="bullet"/>
      <w:lvlText w:val="•"/>
      <w:lvlJc w:val="left"/>
      <w:pPr>
        <w:tabs>
          <w:tab w:val="num" w:pos="5760"/>
        </w:tabs>
        <w:ind w:left="5760" w:hanging="360"/>
      </w:pPr>
      <w:rPr>
        <w:rFonts w:ascii="Arial" w:hAnsi="Arial" w:hint="default"/>
      </w:rPr>
    </w:lvl>
    <w:lvl w:ilvl="8" w:tplc="F9C801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8752C52"/>
    <w:multiLevelType w:val="hybridMultilevel"/>
    <w:tmpl w:val="82822CDC"/>
    <w:lvl w:ilvl="0" w:tplc="7E72414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D14B29"/>
    <w:multiLevelType w:val="hybridMultilevel"/>
    <w:tmpl w:val="AA24BD0A"/>
    <w:lvl w:ilvl="0" w:tplc="75107AB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BA"/>
    <w:rsid w:val="000043C7"/>
    <w:rsid w:val="00004554"/>
    <w:rsid w:val="00020C48"/>
    <w:rsid w:val="00023274"/>
    <w:rsid w:val="00023CB5"/>
    <w:rsid w:val="000277BD"/>
    <w:rsid w:val="00035E17"/>
    <w:rsid w:val="00040719"/>
    <w:rsid w:val="00040A63"/>
    <w:rsid w:val="00043F3F"/>
    <w:rsid w:val="0005659A"/>
    <w:rsid w:val="00066783"/>
    <w:rsid w:val="00070708"/>
    <w:rsid w:val="0009692A"/>
    <w:rsid w:val="000A5AAC"/>
    <w:rsid w:val="000C491D"/>
    <w:rsid w:val="000C6F4F"/>
    <w:rsid w:val="000D3C35"/>
    <w:rsid w:val="000E0CBD"/>
    <w:rsid w:val="000E0FEB"/>
    <w:rsid w:val="000F1AE3"/>
    <w:rsid w:val="000F5719"/>
    <w:rsid w:val="001078A6"/>
    <w:rsid w:val="001117D7"/>
    <w:rsid w:val="00114917"/>
    <w:rsid w:val="00117BFC"/>
    <w:rsid w:val="00125956"/>
    <w:rsid w:val="00126135"/>
    <w:rsid w:val="0012696D"/>
    <w:rsid w:val="001310B7"/>
    <w:rsid w:val="00134FBD"/>
    <w:rsid w:val="001353F7"/>
    <w:rsid w:val="00135BFA"/>
    <w:rsid w:val="001361A6"/>
    <w:rsid w:val="0014337A"/>
    <w:rsid w:val="001433A0"/>
    <w:rsid w:val="001513BB"/>
    <w:rsid w:val="00171983"/>
    <w:rsid w:val="0017317C"/>
    <w:rsid w:val="001758EA"/>
    <w:rsid w:val="00183841"/>
    <w:rsid w:val="00185568"/>
    <w:rsid w:val="00193CDC"/>
    <w:rsid w:val="00196F1A"/>
    <w:rsid w:val="00197CCB"/>
    <w:rsid w:val="001A0BC5"/>
    <w:rsid w:val="001A3A5A"/>
    <w:rsid w:val="001A4CE2"/>
    <w:rsid w:val="001A7E83"/>
    <w:rsid w:val="001B291B"/>
    <w:rsid w:val="001E2E64"/>
    <w:rsid w:val="0020587E"/>
    <w:rsid w:val="002124BA"/>
    <w:rsid w:val="00216CEB"/>
    <w:rsid w:val="00227AC0"/>
    <w:rsid w:val="0023691A"/>
    <w:rsid w:val="00256980"/>
    <w:rsid w:val="00260340"/>
    <w:rsid w:val="0027242F"/>
    <w:rsid w:val="00272CD9"/>
    <w:rsid w:val="0027448A"/>
    <w:rsid w:val="00274DEB"/>
    <w:rsid w:val="002753AA"/>
    <w:rsid w:val="00277EAC"/>
    <w:rsid w:val="002931E8"/>
    <w:rsid w:val="00293A20"/>
    <w:rsid w:val="0029513C"/>
    <w:rsid w:val="0029572A"/>
    <w:rsid w:val="0029692D"/>
    <w:rsid w:val="00296A87"/>
    <w:rsid w:val="002A4F4D"/>
    <w:rsid w:val="002A70FB"/>
    <w:rsid w:val="002B2B88"/>
    <w:rsid w:val="002C6FED"/>
    <w:rsid w:val="002E0984"/>
    <w:rsid w:val="002E3470"/>
    <w:rsid w:val="002E6A7A"/>
    <w:rsid w:val="002E6B58"/>
    <w:rsid w:val="002F28BD"/>
    <w:rsid w:val="00301691"/>
    <w:rsid w:val="0030746C"/>
    <w:rsid w:val="003109FC"/>
    <w:rsid w:val="00317BB6"/>
    <w:rsid w:val="003200C0"/>
    <w:rsid w:val="00327028"/>
    <w:rsid w:val="00333766"/>
    <w:rsid w:val="0034123E"/>
    <w:rsid w:val="00343926"/>
    <w:rsid w:val="00343EE9"/>
    <w:rsid w:val="003505A7"/>
    <w:rsid w:val="003542C2"/>
    <w:rsid w:val="00355F4D"/>
    <w:rsid w:val="003571AA"/>
    <w:rsid w:val="00361E67"/>
    <w:rsid w:val="00362991"/>
    <w:rsid w:val="00363770"/>
    <w:rsid w:val="00366FED"/>
    <w:rsid w:val="0037662F"/>
    <w:rsid w:val="00376F8D"/>
    <w:rsid w:val="00382AA9"/>
    <w:rsid w:val="00382C02"/>
    <w:rsid w:val="00384F7E"/>
    <w:rsid w:val="00397598"/>
    <w:rsid w:val="003A1748"/>
    <w:rsid w:val="003A1DA7"/>
    <w:rsid w:val="003A26BD"/>
    <w:rsid w:val="003A6698"/>
    <w:rsid w:val="003C2304"/>
    <w:rsid w:val="003C48C8"/>
    <w:rsid w:val="003C6F97"/>
    <w:rsid w:val="003C6FDA"/>
    <w:rsid w:val="003D3B40"/>
    <w:rsid w:val="003D689B"/>
    <w:rsid w:val="003E18F5"/>
    <w:rsid w:val="003F27D9"/>
    <w:rsid w:val="00407584"/>
    <w:rsid w:val="00420C53"/>
    <w:rsid w:val="00421123"/>
    <w:rsid w:val="00427FC0"/>
    <w:rsid w:val="00437E63"/>
    <w:rsid w:val="0044091B"/>
    <w:rsid w:val="00443421"/>
    <w:rsid w:val="00444FA3"/>
    <w:rsid w:val="004603C0"/>
    <w:rsid w:val="00461F94"/>
    <w:rsid w:val="004621F4"/>
    <w:rsid w:val="004757A6"/>
    <w:rsid w:val="00482EBA"/>
    <w:rsid w:val="004850A7"/>
    <w:rsid w:val="004A4FEB"/>
    <w:rsid w:val="004B5A31"/>
    <w:rsid w:val="004C4D1B"/>
    <w:rsid w:val="004C740B"/>
    <w:rsid w:val="004D263E"/>
    <w:rsid w:val="004E358C"/>
    <w:rsid w:val="004E6848"/>
    <w:rsid w:val="004F471A"/>
    <w:rsid w:val="004F4FFE"/>
    <w:rsid w:val="00500FFC"/>
    <w:rsid w:val="00503855"/>
    <w:rsid w:val="00512C78"/>
    <w:rsid w:val="00521310"/>
    <w:rsid w:val="00522FD2"/>
    <w:rsid w:val="00525990"/>
    <w:rsid w:val="00527F6B"/>
    <w:rsid w:val="005321BF"/>
    <w:rsid w:val="00537803"/>
    <w:rsid w:val="0056130C"/>
    <w:rsid w:val="005642BF"/>
    <w:rsid w:val="00567736"/>
    <w:rsid w:val="00570615"/>
    <w:rsid w:val="00575874"/>
    <w:rsid w:val="00583831"/>
    <w:rsid w:val="0059613D"/>
    <w:rsid w:val="005A0F6E"/>
    <w:rsid w:val="005A2D04"/>
    <w:rsid w:val="005A4F19"/>
    <w:rsid w:val="005A5FA2"/>
    <w:rsid w:val="005A6DBC"/>
    <w:rsid w:val="005C7742"/>
    <w:rsid w:val="005D1B08"/>
    <w:rsid w:val="005E02C3"/>
    <w:rsid w:val="005E389A"/>
    <w:rsid w:val="005E47CD"/>
    <w:rsid w:val="005F0A73"/>
    <w:rsid w:val="005F1C3B"/>
    <w:rsid w:val="005F34BE"/>
    <w:rsid w:val="005F37CB"/>
    <w:rsid w:val="006027D6"/>
    <w:rsid w:val="00603306"/>
    <w:rsid w:val="00606376"/>
    <w:rsid w:val="00620B8D"/>
    <w:rsid w:val="00621A3A"/>
    <w:rsid w:val="00634254"/>
    <w:rsid w:val="00644F02"/>
    <w:rsid w:val="00646A6A"/>
    <w:rsid w:val="00661B56"/>
    <w:rsid w:val="006821BB"/>
    <w:rsid w:val="00684E25"/>
    <w:rsid w:val="00690EEB"/>
    <w:rsid w:val="00691BA9"/>
    <w:rsid w:val="00695861"/>
    <w:rsid w:val="006A45A9"/>
    <w:rsid w:val="006A7309"/>
    <w:rsid w:val="006B3568"/>
    <w:rsid w:val="006D26FE"/>
    <w:rsid w:val="006E0B6A"/>
    <w:rsid w:val="006E1221"/>
    <w:rsid w:val="006E23D9"/>
    <w:rsid w:val="006E432A"/>
    <w:rsid w:val="006F2D78"/>
    <w:rsid w:val="00700799"/>
    <w:rsid w:val="00713177"/>
    <w:rsid w:val="007143C3"/>
    <w:rsid w:val="007166C5"/>
    <w:rsid w:val="00717A46"/>
    <w:rsid w:val="007228A5"/>
    <w:rsid w:val="00724F29"/>
    <w:rsid w:val="00725F4D"/>
    <w:rsid w:val="00733FE8"/>
    <w:rsid w:val="00737496"/>
    <w:rsid w:val="007507FB"/>
    <w:rsid w:val="00754E04"/>
    <w:rsid w:val="007571CC"/>
    <w:rsid w:val="00760CB5"/>
    <w:rsid w:val="00761865"/>
    <w:rsid w:val="007638B2"/>
    <w:rsid w:val="00781930"/>
    <w:rsid w:val="00783209"/>
    <w:rsid w:val="007847DE"/>
    <w:rsid w:val="007901A3"/>
    <w:rsid w:val="00796CEF"/>
    <w:rsid w:val="007A6015"/>
    <w:rsid w:val="007B1E44"/>
    <w:rsid w:val="007B53DB"/>
    <w:rsid w:val="007C00A3"/>
    <w:rsid w:val="007D3045"/>
    <w:rsid w:val="007D586C"/>
    <w:rsid w:val="007D7DAD"/>
    <w:rsid w:val="007E6D67"/>
    <w:rsid w:val="007F2E99"/>
    <w:rsid w:val="00807FCC"/>
    <w:rsid w:val="00810173"/>
    <w:rsid w:val="00810D67"/>
    <w:rsid w:val="00836C3D"/>
    <w:rsid w:val="0084111A"/>
    <w:rsid w:val="008466A9"/>
    <w:rsid w:val="0086462B"/>
    <w:rsid w:val="00873605"/>
    <w:rsid w:val="008772FA"/>
    <w:rsid w:val="0088131C"/>
    <w:rsid w:val="00897074"/>
    <w:rsid w:val="008C2F51"/>
    <w:rsid w:val="008E4873"/>
    <w:rsid w:val="008E62EA"/>
    <w:rsid w:val="008F1ABC"/>
    <w:rsid w:val="0090011A"/>
    <w:rsid w:val="00903F2B"/>
    <w:rsid w:val="0090780E"/>
    <w:rsid w:val="00910CA0"/>
    <w:rsid w:val="00913367"/>
    <w:rsid w:val="00920E32"/>
    <w:rsid w:val="009376FC"/>
    <w:rsid w:val="00944B85"/>
    <w:rsid w:val="00945114"/>
    <w:rsid w:val="0095495F"/>
    <w:rsid w:val="00966917"/>
    <w:rsid w:val="00967926"/>
    <w:rsid w:val="0097414F"/>
    <w:rsid w:val="009760AB"/>
    <w:rsid w:val="00977F88"/>
    <w:rsid w:val="00992944"/>
    <w:rsid w:val="009949A7"/>
    <w:rsid w:val="009A12BA"/>
    <w:rsid w:val="009A5ACA"/>
    <w:rsid w:val="009A6310"/>
    <w:rsid w:val="009B1325"/>
    <w:rsid w:val="009B4031"/>
    <w:rsid w:val="009B4170"/>
    <w:rsid w:val="009C5930"/>
    <w:rsid w:val="009C75EA"/>
    <w:rsid w:val="009D1359"/>
    <w:rsid w:val="009D6B8A"/>
    <w:rsid w:val="009E33CC"/>
    <w:rsid w:val="009F1820"/>
    <w:rsid w:val="009F72FF"/>
    <w:rsid w:val="00A13066"/>
    <w:rsid w:val="00A254D6"/>
    <w:rsid w:val="00A326D5"/>
    <w:rsid w:val="00A32C87"/>
    <w:rsid w:val="00A34860"/>
    <w:rsid w:val="00A4131F"/>
    <w:rsid w:val="00A65D66"/>
    <w:rsid w:val="00A7231F"/>
    <w:rsid w:val="00A77101"/>
    <w:rsid w:val="00A778BC"/>
    <w:rsid w:val="00A77F4A"/>
    <w:rsid w:val="00A81B7F"/>
    <w:rsid w:val="00A81BDC"/>
    <w:rsid w:val="00A86865"/>
    <w:rsid w:val="00A90479"/>
    <w:rsid w:val="00A9192A"/>
    <w:rsid w:val="00A9631F"/>
    <w:rsid w:val="00A975C3"/>
    <w:rsid w:val="00A97B6D"/>
    <w:rsid w:val="00A97C57"/>
    <w:rsid w:val="00AA1C4F"/>
    <w:rsid w:val="00AA61DB"/>
    <w:rsid w:val="00AD0E73"/>
    <w:rsid w:val="00AD7858"/>
    <w:rsid w:val="00AD7C74"/>
    <w:rsid w:val="00AE04C8"/>
    <w:rsid w:val="00AE281B"/>
    <w:rsid w:val="00AE6E16"/>
    <w:rsid w:val="00AF1D5E"/>
    <w:rsid w:val="00AF1E74"/>
    <w:rsid w:val="00AF3F02"/>
    <w:rsid w:val="00AF5846"/>
    <w:rsid w:val="00B029E2"/>
    <w:rsid w:val="00B05B92"/>
    <w:rsid w:val="00B202BE"/>
    <w:rsid w:val="00B21680"/>
    <w:rsid w:val="00B27995"/>
    <w:rsid w:val="00B33AE8"/>
    <w:rsid w:val="00B37DC6"/>
    <w:rsid w:val="00B47136"/>
    <w:rsid w:val="00B54558"/>
    <w:rsid w:val="00B5526E"/>
    <w:rsid w:val="00B71A18"/>
    <w:rsid w:val="00B72A19"/>
    <w:rsid w:val="00B770C8"/>
    <w:rsid w:val="00B80802"/>
    <w:rsid w:val="00B86F65"/>
    <w:rsid w:val="00B95969"/>
    <w:rsid w:val="00BA0983"/>
    <w:rsid w:val="00BA0F93"/>
    <w:rsid w:val="00BA1E96"/>
    <w:rsid w:val="00BA4FBE"/>
    <w:rsid w:val="00BA50CF"/>
    <w:rsid w:val="00BA787E"/>
    <w:rsid w:val="00BB60B2"/>
    <w:rsid w:val="00BC0C49"/>
    <w:rsid w:val="00BC5B52"/>
    <w:rsid w:val="00BD05BD"/>
    <w:rsid w:val="00BD55AE"/>
    <w:rsid w:val="00BD6632"/>
    <w:rsid w:val="00BE097F"/>
    <w:rsid w:val="00BE2DDE"/>
    <w:rsid w:val="00BE701C"/>
    <w:rsid w:val="00BF077D"/>
    <w:rsid w:val="00BF1411"/>
    <w:rsid w:val="00BF3380"/>
    <w:rsid w:val="00BF3476"/>
    <w:rsid w:val="00BF6683"/>
    <w:rsid w:val="00C22A58"/>
    <w:rsid w:val="00C250C0"/>
    <w:rsid w:val="00C33AC1"/>
    <w:rsid w:val="00C33C7D"/>
    <w:rsid w:val="00C35E6F"/>
    <w:rsid w:val="00C3656C"/>
    <w:rsid w:val="00C370BB"/>
    <w:rsid w:val="00C376DB"/>
    <w:rsid w:val="00C74D80"/>
    <w:rsid w:val="00C853B3"/>
    <w:rsid w:val="00C937DA"/>
    <w:rsid w:val="00CB4449"/>
    <w:rsid w:val="00CB45E6"/>
    <w:rsid w:val="00CB6685"/>
    <w:rsid w:val="00CC1163"/>
    <w:rsid w:val="00CD3575"/>
    <w:rsid w:val="00CE2B7B"/>
    <w:rsid w:val="00CE6CE6"/>
    <w:rsid w:val="00CF7845"/>
    <w:rsid w:val="00CF7DDB"/>
    <w:rsid w:val="00D2485D"/>
    <w:rsid w:val="00D27A3D"/>
    <w:rsid w:val="00D300C8"/>
    <w:rsid w:val="00D36E74"/>
    <w:rsid w:val="00D50217"/>
    <w:rsid w:val="00D52E91"/>
    <w:rsid w:val="00D548A7"/>
    <w:rsid w:val="00D62552"/>
    <w:rsid w:val="00D62A9C"/>
    <w:rsid w:val="00D631A1"/>
    <w:rsid w:val="00D6478D"/>
    <w:rsid w:val="00D66797"/>
    <w:rsid w:val="00D73225"/>
    <w:rsid w:val="00D8072C"/>
    <w:rsid w:val="00D80B2E"/>
    <w:rsid w:val="00D8408B"/>
    <w:rsid w:val="00D86572"/>
    <w:rsid w:val="00DA2ED2"/>
    <w:rsid w:val="00DA5DAA"/>
    <w:rsid w:val="00DA5FF5"/>
    <w:rsid w:val="00DB0889"/>
    <w:rsid w:val="00DC1E59"/>
    <w:rsid w:val="00DC3E6E"/>
    <w:rsid w:val="00DE03EC"/>
    <w:rsid w:val="00DF2961"/>
    <w:rsid w:val="00DF7CAE"/>
    <w:rsid w:val="00E02BB4"/>
    <w:rsid w:val="00E034B0"/>
    <w:rsid w:val="00E07627"/>
    <w:rsid w:val="00E11F63"/>
    <w:rsid w:val="00E205AF"/>
    <w:rsid w:val="00E30D09"/>
    <w:rsid w:val="00E45044"/>
    <w:rsid w:val="00E46A2C"/>
    <w:rsid w:val="00E51F9A"/>
    <w:rsid w:val="00E64D89"/>
    <w:rsid w:val="00E73B95"/>
    <w:rsid w:val="00E83ED1"/>
    <w:rsid w:val="00E90160"/>
    <w:rsid w:val="00E901AA"/>
    <w:rsid w:val="00E93034"/>
    <w:rsid w:val="00E93E9E"/>
    <w:rsid w:val="00E9609B"/>
    <w:rsid w:val="00EA6C75"/>
    <w:rsid w:val="00EB2048"/>
    <w:rsid w:val="00EB427C"/>
    <w:rsid w:val="00EC0A5E"/>
    <w:rsid w:val="00ED0776"/>
    <w:rsid w:val="00EF06CD"/>
    <w:rsid w:val="00F04D0A"/>
    <w:rsid w:val="00F07A46"/>
    <w:rsid w:val="00F2260B"/>
    <w:rsid w:val="00F34C14"/>
    <w:rsid w:val="00F44A72"/>
    <w:rsid w:val="00F47914"/>
    <w:rsid w:val="00F57F25"/>
    <w:rsid w:val="00F60B07"/>
    <w:rsid w:val="00F63382"/>
    <w:rsid w:val="00F70EE3"/>
    <w:rsid w:val="00F7790F"/>
    <w:rsid w:val="00F80927"/>
    <w:rsid w:val="00F8173C"/>
    <w:rsid w:val="00F847C0"/>
    <w:rsid w:val="00F85329"/>
    <w:rsid w:val="00F90956"/>
    <w:rsid w:val="00F914CB"/>
    <w:rsid w:val="00F91599"/>
    <w:rsid w:val="00FA5CE2"/>
    <w:rsid w:val="00FB0F3A"/>
    <w:rsid w:val="00FD1DE3"/>
    <w:rsid w:val="00FD4B02"/>
    <w:rsid w:val="00FF1FCE"/>
    <w:rsid w:val="00FF6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7D81C73-3715-485F-9D08-FED30A76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A19"/>
    <w:pPr>
      <w:spacing w:after="200" w:line="276" w:lineRule="auto"/>
    </w:pPr>
    <w:rPr>
      <w:lang w:eastAsia="en-US"/>
    </w:rPr>
  </w:style>
  <w:style w:type="paragraph" w:styleId="Heading1">
    <w:name w:val="heading 1"/>
    <w:basedOn w:val="Normal"/>
    <w:next w:val="Normal"/>
    <w:link w:val="Heading1Char"/>
    <w:uiPriority w:val="99"/>
    <w:qFormat/>
    <w:rsid w:val="00F34C14"/>
    <w:pPr>
      <w:numPr>
        <w:numId w:val="3"/>
      </w:numPr>
      <w:spacing w:before="480" w:after="0"/>
      <w:contextualSpacing/>
      <w:outlineLvl w:val="0"/>
    </w:pPr>
    <w:rPr>
      <w:rFonts w:ascii="Cambria" w:eastAsia="Times New Roman" w:hAnsi="Cambria"/>
      <w:b/>
      <w:bCs/>
      <w:sz w:val="28"/>
      <w:szCs w:val="28"/>
      <w:lang w:val="en-US"/>
    </w:rPr>
  </w:style>
  <w:style w:type="paragraph" w:styleId="Heading2">
    <w:name w:val="heading 2"/>
    <w:basedOn w:val="Normal"/>
    <w:next w:val="Normal"/>
    <w:link w:val="Heading2Char"/>
    <w:uiPriority w:val="99"/>
    <w:qFormat/>
    <w:rsid w:val="00F34C14"/>
    <w:pPr>
      <w:numPr>
        <w:ilvl w:val="1"/>
        <w:numId w:val="3"/>
      </w:numPr>
      <w:spacing w:before="200" w:after="0"/>
      <w:outlineLvl w:val="1"/>
    </w:pPr>
    <w:rPr>
      <w:rFonts w:ascii="Cambria" w:eastAsia="Times New Roman" w:hAnsi="Cambria"/>
      <w:b/>
      <w:bCs/>
      <w:sz w:val="26"/>
      <w:szCs w:val="26"/>
      <w:lang w:val="en-US"/>
    </w:rPr>
  </w:style>
  <w:style w:type="paragraph" w:styleId="Heading3">
    <w:name w:val="heading 3"/>
    <w:basedOn w:val="Normal"/>
    <w:next w:val="Normal"/>
    <w:link w:val="Heading3Char"/>
    <w:uiPriority w:val="99"/>
    <w:qFormat/>
    <w:rsid w:val="00F34C14"/>
    <w:pPr>
      <w:numPr>
        <w:ilvl w:val="2"/>
        <w:numId w:val="3"/>
      </w:numPr>
      <w:spacing w:before="200" w:after="0" w:line="268" w:lineRule="auto"/>
      <w:outlineLvl w:val="2"/>
    </w:pPr>
    <w:rPr>
      <w:rFonts w:ascii="Cambria" w:eastAsia="Times New Roman" w:hAnsi="Cambria"/>
      <w:b/>
      <w:bCs/>
      <w:lang w:val="en-US"/>
    </w:rPr>
  </w:style>
  <w:style w:type="paragraph" w:styleId="Heading4">
    <w:name w:val="heading 4"/>
    <w:basedOn w:val="Normal"/>
    <w:next w:val="Normal"/>
    <w:link w:val="Heading4Char"/>
    <w:uiPriority w:val="99"/>
    <w:qFormat/>
    <w:rsid w:val="00F34C14"/>
    <w:pPr>
      <w:numPr>
        <w:ilvl w:val="3"/>
        <w:numId w:val="3"/>
      </w:numPr>
      <w:spacing w:before="200" w:after="0"/>
      <w:outlineLvl w:val="3"/>
    </w:pPr>
    <w:rPr>
      <w:rFonts w:ascii="Cambria" w:eastAsia="Times New Roman" w:hAnsi="Cambria"/>
      <w:b/>
      <w:bCs/>
      <w:i/>
      <w:iCs/>
      <w:lang w:val="en-US"/>
    </w:rPr>
  </w:style>
  <w:style w:type="paragraph" w:styleId="Heading5">
    <w:name w:val="heading 5"/>
    <w:basedOn w:val="Normal"/>
    <w:next w:val="Normal"/>
    <w:link w:val="Heading5Char"/>
    <w:uiPriority w:val="99"/>
    <w:qFormat/>
    <w:rsid w:val="00F34C14"/>
    <w:pPr>
      <w:numPr>
        <w:ilvl w:val="4"/>
        <w:numId w:val="3"/>
      </w:numPr>
      <w:spacing w:before="200" w:after="0"/>
      <w:outlineLvl w:val="4"/>
    </w:pPr>
    <w:rPr>
      <w:rFonts w:ascii="Cambria" w:eastAsia="Times New Roman" w:hAnsi="Cambria"/>
      <w:b/>
      <w:bCs/>
      <w:color w:val="7F7F7F"/>
      <w:lang w:val="en-US"/>
    </w:rPr>
  </w:style>
  <w:style w:type="paragraph" w:styleId="Heading6">
    <w:name w:val="heading 6"/>
    <w:basedOn w:val="Normal"/>
    <w:next w:val="Normal"/>
    <w:link w:val="Heading6Char"/>
    <w:uiPriority w:val="99"/>
    <w:qFormat/>
    <w:rsid w:val="00F34C14"/>
    <w:pPr>
      <w:numPr>
        <w:ilvl w:val="5"/>
        <w:numId w:val="3"/>
      </w:numPr>
      <w:spacing w:after="0" w:line="268" w:lineRule="auto"/>
      <w:outlineLvl w:val="5"/>
    </w:pPr>
    <w:rPr>
      <w:rFonts w:ascii="Cambria" w:eastAsia="Times New Roman" w:hAnsi="Cambria"/>
      <w:b/>
      <w:bCs/>
      <w:i/>
      <w:iCs/>
      <w:color w:val="7F7F7F"/>
      <w:lang w:val="en-US"/>
    </w:rPr>
  </w:style>
  <w:style w:type="paragraph" w:styleId="Heading7">
    <w:name w:val="heading 7"/>
    <w:basedOn w:val="Normal"/>
    <w:next w:val="Normal"/>
    <w:link w:val="Heading7Char"/>
    <w:uiPriority w:val="99"/>
    <w:qFormat/>
    <w:rsid w:val="00F34C14"/>
    <w:pPr>
      <w:numPr>
        <w:ilvl w:val="6"/>
        <w:numId w:val="3"/>
      </w:numPr>
      <w:spacing w:after="0"/>
      <w:outlineLvl w:val="6"/>
    </w:pPr>
    <w:rPr>
      <w:rFonts w:ascii="Cambria" w:eastAsia="Times New Roman" w:hAnsi="Cambria"/>
      <w:i/>
      <w:iCs/>
      <w:lang w:val="en-US"/>
    </w:rPr>
  </w:style>
  <w:style w:type="paragraph" w:styleId="Heading8">
    <w:name w:val="heading 8"/>
    <w:basedOn w:val="Normal"/>
    <w:next w:val="Normal"/>
    <w:link w:val="Heading8Char"/>
    <w:uiPriority w:val="99"/>
    <w:qFormat/>
    <w:rsid w:val="00F34C14"/>
    <w:pPr>
      <w:numPr>
        <w:ilvl w:val="7"/>
        <w:numId w:val="3"/>
      </w:numPr>
      <w:spacing w:after="0"/>
      <w:outlineLvl w:val="7"/>
    </w:pPr>
    <w:rPr>
      <w:rFonts w:ascii="Cambria" w:eastAsia="Times New Roman" w:hAnsi="Cambria"/>
      <w:sz w:val="20"/>
      <w:szCs w:val="20"/>
      <w:lang w:val="en-US"/>
    </w:rPr>
  </w:style>
  <w:style w:type="paragraph" w:styleId="Heading9">
    <w:name w:val="heading 9"/>
    <w:basedOn w:val="Normal"/>
    <w:next w:val="Normal"/>
    <w:link w:val="Heading9Char"/>
    <w:uiPriority w:val="99"/>
    <w:qFormat/>
    <w:rsid w:val="00F34C14"/>
    <w:pPr>
      <w:numPr>
        <w:ilvl w:val="8"/>
        <w:numId w:val="3"/>
      </w:numPr>
      <w:spacing w:after="0"/>
      <w:outlineLvl w:val="8"/>
    </w:pPr>
    <w:rPr>
      <w:rFonts w:ascii="Cambria" w:eastAsia="Times New Roman" w:hAnsi="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C14"/>
    <w:rPr>
      <w:rFonts w:ascii="Cambria" w:hAnsi="Cambria" w:cs="Times New Roman"/>
      <w:b/>
      <w:bCs/>
      <w:sz w:val="28"/>
      <w:szCs w:val="28"/>
      <w:lang w:val="en-US"/>
    </w:rPr>
  </w:style>
  <w:style w:type="character" w:customStyle="1" w:styleId="Heading2Char">
    <w:name w:val="Heading 2 Char"/>
    <w:basedOn w:val="DefaultParagraphFont"/>
    <w:link w:val="Heading2"/>
    <w:uiPriority w:val="99"/>
    <w:semiHidden/>
    <w:locked/>
    <w:rsid w:val="00F34C14"/>
    <w:rPr>
      <w:rFonts w:ascii="Cambria" w:hAnsi="Cambria" w:cs="Times New Roman"/>
      <w:b/>
      <w:bCs/>
      <w:sz w:val="26"/>
      <w:szCs w:val="26"/>
      <w:lang w:val="en-US"/>
    </w:rPr>
  </w:style>
  <w:style w:type="character" w:customStyle="1" w:styleId="Heading3Char">
    <w:name w:val="Heading 3 Char"/>
    <w:basedOn w:val="DefaultParagraphFont"/>
    <w:link w:val="Heading3"/>
    <w:uiPriority w:val="99"/>
    <w:semiHidden/>
    <w:locked/>
    <w:rsid w:val="00F34C14"/>
    <w:rPr>
      <w:rFonts w:ascii="Cambria" w:hAnsi="Cambria" w:cs="Times New Roman"/>
      <w:b/>
      <w:bCs/>
      <w:lang w:val="en-US"/>
    </w:rPr>
  </w:style>
  <w:style w:type="character" w:customStyle="1" w:styleId="Heading4Char">
    <w:name w:val="Heading 4 Char"/>
    <w:basedOn w:val="DefaultParagraphFont"/>
    <w:link w:val="Heading4"/>
    <w:uiPriority w:val="99"/>
    <w:semiHidden/>
    <w:locked/>
    <w:rsid w:val="00F34C14"/>
    <w:rPr>
      <w:rFonts w:ascii="Cambria" w:hAnsi="Cambria" w:cs="Times New Roman"/>
      <w:b/>
      <w:bCs/>
      <w:i/>
      <w:iCs/>
      <w:lang w:val="en-US"/>
    </w:rPr>
  </w:style>
  <w:style w:type="character" w:customStyle="1" w:styleId="Heading5Char">
    <w:name w:val="Heading 5 Char"/>
    <w:basedOn w:val="DefaultParagraphFont"/>
    <w:link w:val="Heading5"/>
    <w:uiPriority w:val="99"/>
    <w:semiHidden/>
    <w:locked/>
    <w:rsid w:val="00F34C14"/>
    <w:rPr>
      <w:rFonts w:ascii="Cambria" w:hAnsi="Cambria" w:cs="Times New Roman"/>
      <w:b/>
      <w:bCs/>
      <w:color w:val="7F7F7F"/>
      <w:lang w:val="en-US"/>
    </w:rPr>
  </w:style>
  <w:style w:type="character" w:customStyle="1" w:styleId="Heading6Char">
    <w:name w:val="Heading 6 Char"/>
    <w:basedOn w:val="DefaultParagraphFont"/>
    <w:link w:val="Heading6"/>
    <w:uiPriority w:val="99"/>
    <w:semiHidden/>
    <w:locked/>
    <w:rsid w:val="00F34C14"/>
    <w:rPr>
      <w:rFonts w:ascii="Cambria" w:hAnsi="Cambria" w:cs="Times New Roman"/>
      <w:b/>
      <w:bCs/>
      <w:i/>
      <w:iCs/>
      <w:color w:val="7F7F7F"/>
      <w:lang w:val="en-US"/>
    </w:rPr>
  </w:style>
  <w:style w:type="character" w:customStyle="1" w:styleId="Heading7Char">
    <w:name w:val="Heading 7 Char"/>
    <w:basedOn w:val="DefaultParagraphFont"/>
    <w:link w:val="Heading7"/>
    <w:uiPriority w:val="99"/>
    <w:semiHidden/>
    <w:locked/>
    <w:rsid w:val="00F34C14"/>
    <w:rPr>
      <w:rFonts w:ascii="Cambria" w:hAnsi="Cambria" w:cs="Times New Roman"/>
      <w:i/>
      <w:iCs/>
      <w:lang w:val="en-US"/>
    </w:rPr>
  </w:style>
  <w:style w:type="character" w:customStyle="1" w:styleId="Heading8Char">
    <w:name w:val="Heading 8 Char"/>
    <w:basedOn w:val="DefaultParagraphFont"/>
    <w:link w:val="Heading8"/>
    <w:uiPriority w:val="99"/>
    <w:semiHidden/>
    <w:locked/>
    <w:rsid w:val="00F34C14"/>
    <w:rPr>
      <w:rFonts w:ascii="Cambria" w:hAnsi="Cambria" w:cs="Times New Roman"/>
      <w:sz w:val="20"/>
      <w:szCs w:val="20"/>
      <w:lang w:val="en-US"/>
    </w:rPr>
  </w:style>
  <w:style w:type="character" w:customStyle="1" w:styleId="Heading9Char">
    <w:name w:val="Heading 9 Char"/>
    <w:basedOn w:val="DefaultParagraphFont"/>
    <w:link w:val="Heading9"/>
    <w:uiPriority w:val="99"/>
    <w:semiHidden/>
    <w:locked/>
    <w:rsid w:val="00F34C14"/>
    <w:rPr>
      <w:rFonts w:ascii="Cambria" w:hAnsi="Cambria" w:cs="Times New Roman"/>
      <w:i/>
      <w:iCs/>
      <w:spacing w:val="5"/>
      <w:sz w:val="20"/>
      <w:szCs w:val="20"/>
      <w:lang w:val="en-US"/>
    </w:rPr>
  </w:style>
  <w:style w:type="character" w:styleId="Hyperlink">
    <w:name w:val="Hyperlink"/>
    <w:basedOn w:val="DefaultParagraphFont"/>
    <w:uiPriority w:val="99"/>
    <w:rsid w:val="00482EBA"/>
    <w:rPr>
      <w:rFonts w:cs="Times New Roman"/>
      <w:color w:val="0000FF"/>
      <w:u w:val="single"/>
    </w:rPr>
  </w:style>
  <w:style w:type="paragraph" w:styleId="ListParagraph">
    <w:name w:val="List Paragraph"/>
    <w:basedOn w:val="Normal"/>
    <w:uiPriority w:val="99"/>
    <w:qFormat/>
    <w:rsid w:val="00482EBA"/>
    <w:pPr>
      <w:ind w:left="720"/>
      <w:contextualSpacing/>
    </w:pPr>
  </w:style>
  <w:style w:type="paragraph" w:styleId="BalloonText">
    <w:name w:val="Balloon Text"/>
    <w:basedOn w:val="Normal"/>
    <w:link w:val="BalloonTextChar"/>
    <w:uiPriority w:val="99"/>
    <w:semiHidden/>
    <w:rsid w:val="00D63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31A1"/>
    <w:rPr>
      <w:rFonts w:ascii="Tahoma" w:hAnsi="Tahoma" w:cs="Tahoma"/>
      <w:sz w:val="16"/>
      <w:szCs w:val="16"/>
    </w:rPr>
  </w:style>
  <w:style w:type="character" w:styleId="Emphasis">
    <w:name w:val="Emphasis"/>
    <w:basedOn w:val="DefaultParagraphFont"/>
    <w:uiPriority w:val="99"/>
    <w:qFormat/>
    <w:rsid w:val="005321BF"/>
    <w:rPr>
      <w:rFonts w:cs="Times New Roman"/>
      <w:i/>
      <w:iCs/>
    </w:rPr>
  </w:style>
  <w:style w:type="table" w:styleId="TableGrid">
    <w:name w:val="Table Grid"/>
    <w:basedOn w:val="TableNormal"/>
    <w:uiPriority w:val="99"/>
    <w:rsid w:val="00CE2B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27AC0"/>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9D1359"/>
    <w:rPr>
      <w:rFonts w:cs="Times New Roman"/>
      <w:sz w:val="16"/>
      <w:szCs w:val="16"/>
    </w:rPr>
  </w:style>
  <w:style w:type="paragraph" w:styleId="CommentText">
    <w:name w:val="annotation text"/>
    <w:basedOn w:val="Normal"/>
    <w:link w:val="CommentTextChar"/>
    <w:uiPriority w:val="99"/>
    <w:semiHidden/>
    <w:rsid w:val="009D135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D1359"/>
    <w:rPr>
      <w:rFonts w:cs="Times New Roman"/>
      <w:sz w:val="20"/>
      <w:szCs w:val="20"/>
    </w:rPr>
  </w:style>
  <w:style w:type="paragraph" w:styleId="CommentSubject">
    <w:name w:val="annotation subject"/>
    <w:basedOn w:val="CommentText"/>
    <w:next w:val="CommentText"/>
    <w:link w:val="CommentSubjectChar"/>
    <w:uiPriority w:val="99"/>
    <w:semiHidden/>
    <w:rsid w:val="009D1359"/>
    <w:rPr>
      <w:b/>
      <w:bCs/>
    </w:rPr>
  </w:style>
  <w:style w:type="character" w:customStyle="1" w:styleId="CommentSubjectChar">
    <w:name w:val="Comment Subject Char"/>
    <w:basedOn w:val="CommentTextChar"/>
    <w:link w:val="CommentSubject"/>
    <w:uiPriority w:val="99"/>
    <w:semiHidden/>
    <w:locked/>
    <w:rsid w:val="009D1359"/>
    <w:rPr>
      <w:rFonts w:cs="Times New Roman"/>
      <w:b/>
      <w:bCs/>
      <w:sz w:val="20"/>
      <w:szCs w:val="20"/>
    </w:rPr>
  </w:style>
  <w:style w:type="character" w:styleId="FollowedHyperlink">
    <w:name w:val="FollowedHyperlink"/>
    <w:basedOn w:val="DefaultParagraphFont"/>
    <w:uiPriority w:val="99"/>
    <w:semiHidden/>
    <w:rsid w:val="00185568"/>
    <w:rPr>
      <w:rFonts w:cs="Times New Roman"/>
      <w:color w:val="800080"/>
      <w:u w:val="single"/>
    </w:rPr>
  </w:style>
  <w:style w:type="paragraph" w:styleId="Bibliography">
    <w:name w:val="Bibliography"/>
    <w:basedOn w:val="Normal"/>
    <w:next w:val="Normal"/>
    <w:uiPriority w:val="99"/>
    <w:rsid w:val="0029572A"/>
    <w:pPr>
      <w:tabs>
        <w:tab w:val="left" w:pos="504"/>
      </w:tabs>
      <w:spacing w:after="240" w:line="240" w:lineRule="auto"/>
      <w:ind w:left="504" w:hanging="504"/>
    </w:pPr>
  </w:style>
  <w:style w:type="paragraph" w:styleId="Caption">
    <w:name w:val="caption"/>
    <w:basedOn w:val="Normal"/>
    <w:next w:val="Normal"/>
    <w:uiPriority w:val="99"/>
    <w:qFormat/>
    <w:rsid w:val="00F34C14"/>
    <w:pPr>
      <w:spacing w:line="240" w:lineRule="auto"/>
    </w:pPr>
    <w:rPr>
      <w:rFonts w:eastAsia="Times New Roman"/>
      <w:b/>
      <w:bCs/>
      <w:color w:val="4F81BD"/>
      <w:sz w:val="18"/>
      <w:szCs w:val="18"/>
      <w:lang w:val="en-US"/>
    </w:rPr>
  </w:style>
  <w:style w:type="paragraph" w:styleId="FootnoteText">
    <w:name w:val="footnote text"/>
    <w:basedOn w:val="Normal"/>
    <w:link w:val="FootnoteTextChar"/>
    <w:uiPriority w:val="99"/>
    <w:semiHidden/>
    <w:rsid w:val="004F471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F471A"/>
    <w:rPr>
      <w:rFonts w:cs="Times New Roman"/>
      <w:sz w:val="20"/>
      <w:szCs w:val="20"/>
    </w:rPr>
  </w:style>
  <w:style w:type="character" w:styleId="FootnoteReference">
    <w:name w:val="footnote reference"/>
    <w:basedOn w:val="DefaultParagraphFont"/>
    <w:uiPriority w:val="99"/>
    <w:semiHidden/>
    <w:rsid w:val="004F471A"/>
    <w:rPr>
      <w:rFonts w:cs="Times New Roman"/>
      <w:vertAlign w:val="superscript"/>
    </w:rPr>
  </w:style>
  <w:style w:type="paragraph" w:styleId="Header">
    <w:name w:val="header"/>
    <w:basedOn w:val="Normal"/>
    <w:link w:val="HeaderChar"/>
    <w:uiPriority w:val="99"/>
    <w:unhideWhenUsed/>
    <w:locked/>
    <w:rsid w:val="00A65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D66"/>
    <w:rPr>
      <w:lang w:eastAsia="en-US"/>
    </w:rPr>
  </w:style>
  <w:style w:type="paragraph" w:styleId="Footer">
    <w:name w:val="footer"/>
    <w:basedOn w:val="Normal"/>
    <w:link w:val="FooterChar"/>
    <w:uiPriority w:val="99"/>
    <w:unhideWhenUsed/>
    <w:locked/>
    <w:rsid w:val="00A65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D66"/>
    <w:rPr>
      <w:lang w:eastAsia="en-US"/>
    </w:rPr>
  </w:style>
  <w:style w:type="character" w:customStyle="1" w:styleId="pagecontents">
    <w:name w:val="pagecontents"/>
    <w:basedOn w:val="DefaultParagraphFont"/>
    <w:rsid w:val="0031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1313">
      <w:marLeft w:val="0"/>
      <w:marRight w:val="0"/>
      <w:marTop w:val="0"/>
      <w:marBottom w:val="0"/>
      <w:divBdr>
        <w:top w:val="none" w:sz="0" w:space="0" w:color="auto"/>
        <w:left w:val="none" w:sz="0" w:space="0" w:color="auto"/>
        <w:bottom w:val="none" w:sz="0" w:space="0" w:color="auto"/>
        <w:right w:val="none" w:sz="0" w:space="0" w:color="auto"/>
      </w:divBdr>
      <w:divsChild>
        <w:div w:id="359161311">
          <w:marLeft w:val="547"/>
          <w:marRight w:val="0"/>
          <w:marTop w:val="130"/>
          <w:marBottom w:val="0"/>
          <w:divBdr>
            <w:top w:val="none" w:sz="0" w:space="0" w:color="auto"/>
            <w:left w:val="none" w:sz="0" w:space="0" w:color="auto"/>
            <w:bottom w:val="none" w:sz="0" w:space="0" w:color="auto"/>
            <w:right w:val="none" w:sz="0" w:space="0" w:color="auto"/>
          </w:divBdr>
        </w:div>
        <w:div w:id="359161318">
          <w:marLeft w:val="547"/>
          <w:marRight w:val="0"/>
          <w:marTop w:val="130"/>
          <w:marBottom w:val="0"/>
          <w:divBdr>
            <w:top w:val="none" w:sz="0" w:space="0" w:color="auto"/>
            <w:left w:val="none" w:sz="0" w:space="0" w:color="auto"/>
            <w:bottom w:val="none" w:sz="0" w:space="0" w:color="auto"/>
            <w:right w:val="none" w:sz="0" w:space="0" w:color="auto"/>
          </w:divBdr>
        </w:div>
      </w:divsChild>
    </w:div>
    <w:div w:id="359161315">
      <w:marLeft w:val="0"/>
      <w:marRight w:val="0"/>
      <w:marTop w:val="0"/>
      <w:marBottom w:val="0"/>
      <w:divBdr>
        <w:top w:val="none" w:sz="0" w:space="0" w:color="auto"/>
        <w:left w:val="none" w:sz="0" w:space="0" w:color="auto"/>
        <w:bottom w:val="none" w:sz="0" w:space="0" w:color="auto"/>
        <w:right w:val="none" w:sz="0" w:space="0" w:color="auto"/>
      </w:divBdr>
    </w:div>
    <w:div w:id="359161316">
      <w:marLeft w:val="0"/>
      <w:marRight w:val="0"/>
      <w:marTop w:val="0"/>
      <w:marBottom w:val="0"/>
      <w:divBdr>
        <w:top w:val="none" w:sz="0" w:space="0" w:color="auto"/>
        <w:left w:val="none" w:sz="0" w:space="0" w:color="auto"/>
        <w:bottom w:val="none" w:sz="0" w:space="0" w:color="auto"/>
        <w:right w:val="none" w:sz="0" w:space="0" w:color="auto"/>
      </w:divBdr>
    </w:div>
    <w:div w:id="359161317">
      <w:marLeft w:val="0"/>
      <w:marRight w:val="0"/>
      <w:marTop w:val="0"/>
      <w:marBottom w:val="0"/>
      <w:divBdr>
        <w:top w:val="none" w:sz="0" w:space="0" w:color="auto"/>
        <w:left w:val="none" w:sz="0" w:space="0" w:color="auto"/>
        <w:bottom w:val="none" w:sz="0" w:space="0" w:color="auto"/>
        <w:right w:val="none" w:sz="0" w:space="0" w:color="auto"/>
      </w:divBdr>
    </w:div>
    <w:div w:id="359161319">
      <w:marLeft w:val="0"/>
      <w:marRight w:val="0"/>
      <w:marTop w:val="0"/>
      <w:marBottom w:val="0"/>
      <w:divBdr>
        <w:top w:val="none" w:sz="0" w:space="0" w:color="auto"/>
        <w:left w:val="none" w:sz="0" w:space="0" w:color="auto"/>
        <w:bottom w:val="none" w:sz="0" w:space="0" w:color="auto"/>
        <w:right w:val="none" w:sz="0" w:space="0" w:color="auto"/>
      </w:divBdr>
    </w:div>
    <w:div w:id="359161320">
      <w:marLeft w:val="0"/>
      <w:marRight w:val="0"/>
      <w:marTop w:val="0"/>
      <w:marBottom w:val="0"/>
      <w:divBdr>
        <w:top w:val="none" w:sz="0" w:space="0" w:color="auto"/>
        <w:left w:val="none" w:sz="0" w:space="0" w:color="auto"/>
        <w:bottom w:val="none" w:sz="0" w:space="0" w:color="auto"/>
        <w:right w:val="none" w:sz="0" w:space="0" w:color="auto"/>
      </w:divBdr>
    </w:div>
    <w:div w:id="359161322">
      <w:marLeft w:val="0"/>
      <w:marRight w:val="0"/>
      <w:marTop w:val="0"/>
      <w:marBottom w:val="0"/>
      <w:divBdr>
        <w:top w:val="none" w:sz="0" w:space="0" w:color="auto"/>
        <w:left w:val="none" w:sz="0" w:space="0" w:color="auto"/>
        <w:bottom w:val="none" w:sz="0" w:space="0" w:color="auto"/>
        <w:right w:val="none" w:sz="0" w:space="0" w:color="auto"/>
      </w:divBdr>
      <w:divsChild>
        <w:div w:id="359161312">
          <w:marLeft w:val="0"/>
          <w:marRight w:val="0"/>
          <w:marTop w:val="0"/>
          <w:marBottom w:val="0"/>
          <w:divBdr>
            <w:top w:val="none" w:sz="0" w:space="0" w:color="auto"/>
            <w:left w:val="none" w:sz="0" w:space="0" w:color="auto"/>
            <w:bottom w:val="none" w:sz="0" w:space="0" w:color="auto"/>
            <w:right w:val="none" w:sz="0" w:space="0" w:color="auto"/>
          </w:divBdr>
        </w:div>
        <w:div w:id="359161314">
          <w:marLeft w:val="0"/>
          <w:marRight w:val="0"/>
          <w:marTop w:val="0"/>
          <w:marBottom w:val="0"/>
          <w:divBdr>
            <w:top w:val="none" w:sz="0" w:space="0" w:color="auto"/>
            <w:left w:val="none" w:sz="0" w:space="0" w:color="auto"/>
            <w:bottom w:val="none" w:sz="0" w:space="0" w:color="auto"/>
            <w:right w:val="none" w:sz="0" w:space="0" w:color="auto"/>
          </w:divBdr>
        </w:div>
        <w:div w:id="359161321">
          <w:marLeft w:val="0"/>
          <w:marRight w:val="0"/>
          <w:marTop w:val="0"/>
          <w:marBottom w:val="0"/>
          <w:divBdr>
            <w:top w:val="none" w:sz="0" w:space="0" w:color="auto"/>
            <w:left w:val="none" w:sz="0" w:space="0" w:color="auto"/>
            <w:bottom w:val="none" w:sz="0" w:space="0" w:color="auto"/>
            <w:right w:val="none" w:sz="0" w:space="0" w:color="auto"/>
          </w:divBdr>
        </w:div>
        <w:div w:id="359161324">
          <w:marLeft w:val="0"/>
          <w:marRight w:val="0"/>
          <w:marTop w:val="0"/>
          <w:marBottom w:val="0"/>
          <w:divBdr>
            <w:top w:val="none" w:sz="0" w:space="0" w:color="auto"/>
            <w:left w:val="none" w:sz="0" w:space="0" w:color="auto"/>
            <w:bottom w:val="none" w:sz="0" w:space="0" w:color="auto"/>
            <w:right w:val="none" w:sz="0" w:space="0" w:color="auto"/>
          </w:divBdr>
        </w:div>
        <w:div w:id="359161326">
          <w:marLeft w:val="0"/>
          <w:marRight w:val="0"/>
          <w:marTop w:val="0"/>
          <w:marBottom w:val="0"/>
          <w:divBdr>
            <w:top w:val="none" w:sz="0" w:space="0" w:color="auto"/>
            <w:left w:val="none" w:sz="0" w:space="0" w:color="auto"/>
            <w:bottom w:val="none" w:sz="0" w:space="0" w:color="auto"/>
            <w:right w:val="none" w:sz="0" w:space="0" w:color="auto"/>
          </w:divBdr>
        </w:div>
        <w:div w:id="359161327">
          <w:marLeft w:val="0"/>
          <w:marRight w:val="0"/>
          <w:marTop w:val="0"/>
          <w:marBottom w:val="0"/>
          <w:divBdr>
            <w:top w:val="none" w:sz="0" w:space="0" w:color="auto"/>
            <w:left w:val="none" w:sz="0" w:space="0" w:color="auto"/>
            <w:bottom w:val="none" w:sz="0" w:space="0" w:color="auto"/>
            <w:right w:val="none" w:sz="0" w:space="0" w:color="auto"/>
          </w:divBdr>
        </w:div>
        <w:div w:id="359161329">
          <w:marLeft w:val="0"/>
          <w:marRight w:val="0"/>
          <w:marTop w:val="0"/>
          <w:marBottom w:val="0"/>
          <w:divBdr>
            <w:top w:val="none" w:sz="0" w:space="0" w:color="auto"/>
            <w:left w:val="none" w:sz="0" w:space="0" w:color="auto"/>
            <w:bottom w:val="none" w:sz="0" w:space="0" w:color="auto"/>
            <w:right w:val="none" w:sz="0" w:space="0" w:color="auto"/>
          </w:divBdr>
        </w:div>
      </w:divsChild>
    </w:div>
    <w:div w:id="359161323">
      <w:marLeft w:val="0"/>
      <w:marRight w:val="0"/>
      <w:marTop w:val="0"/>
      <w:marBottom w:val="0"/>
      <w:divBdr>
        <w:top w:val="none" w:sz="0" w:space="0" w:color="auto"/>
        <w:left w:val="none" w:sz="0" w:space="0" w:color="auto"/>
        <w:bottom w:val="none" w:sz="0" w:space="0" w:color="auto"/>
        <w:right w:val="none" w:sz="0" w:space="0" w:color="auto"/>
      </w:divBdr>
    </w:div>
    <w:div w:id="359161325">
      <w:marLeft w:val="0"/>
      <w:marRight w:val="0"/>
      <w:marTop w:val="0"/>
      <w:marBottom w:val="0"/>
      <w:divBdr>
        <w:top w:val="none" w:sz="0" w:space="0" w:color="auto"/>
        <w:left w:val="none" w:sz="0" w:space="0" w:color="auto"/>
        <w:bottom w:val="none" w:sz="0" w:space="0" w:color="auto"/>
        <w:right w:val="none" w:sz="0" w:space="0" w:color="auto"/>
      </w:divBdr>
    </w:div>
    <w:div w:id="359161328">
      <w:marLeft w:val="0"/>
      <w:marRight w:val="0"/>
      <w:marTop w:val="0"/>
      <w:marBottom w:val="0"/>
      <w:divBdr>
        <w:top w:val="none" w:sz="0" w:space="0" w:color="auto"/>
        <w:left w:val="none" w:sz="0" w:space="0" w:color="auto"/>
        <w:bottom w:val="none" w:sz="0" w:space="0" w:color="auto"/>
        <w:right w:val="none" w:sz="0" w:space="0" w:color="auto"/>
      </w:divBdr>
    </w:div>
    <w:div w:id="14620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davies1@compuserve.com"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itishrenal.org" TargetMode="External"/><Relationship Id="rId4" Type="http://schemas.openxmlformats.org/officeDocument/2006/relationships/settings" Target="settings.xml"/><Relationship Id="rId9" Type="http://schemas.openxmlformats.org/officeDocument/2006/relationships/hyperlink" Target="mailto:topley@cf.ac.uk"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8959-EEFA-47D3-A4E7-83F38492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28723</Words>
  <Characters>163726</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Peritoneal Inflammation Preceding Encapsulating Peritoneal Sclerosis: Results from the GLOBAL Fluid Study</vt:lpstr>
    </vt:vector>
  </TitlesOfParts>
  <Company>Hewlett-Packard</Company>
  <LinksUpToDate>false</LinksUpToDate>
  <CharactersWithSpaces>192065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Peritoneal Inflammation Preceding Encapsulating Peritoneal Sclerosis: Results from the GLOBAL Fluid Study</dc:title>
  <dc:creator>Mark</dc:creator>
  <cp:lastModifiedBy>Mark Lambie</cp:lastModifiedBy>
  <cp:revision>3</cp:revision>
  <dcterms:created xsi:type="dcterms:W3CDTF">2015-11-16T00:08:00Z</dcterms:created>
  <dcterms:modified xsi:type="dcterms:W3CDTF">2015-11-16T00:11:00Z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zotero-version="4.0.28.3"&gt;&lt;session id="j6fYBZR6"/&gt;&lt;style id="http://www.zotero.org/styles/journal-of-the-american-society-of-nephrology"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value="0"/&gt;&lt;/prefs&gt;&lt;/data&gt;</vt:lpwstr>
  </property>
</Properties>
</file>