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1705" w14:textId="3322B855" w:rsidR="00564B7B" w:rsidRDefault="006F2FCE" w:rsidP="00E1754A">
      <w:pPr>
        <w:pStyle w:val="Title"/>
      </w:pPr>
      <w:bookmarkStart w:id="0" w:name="_GoBack"/>
      <w:bookmarkEnd w:id="0"/>
      <w:r>
        <w:t>R</w:t>
      </w:r>
      <w:r w:rsidR="00E354BE">
        <w:t xml:space="preserve">elative </w:t>
      </w:r>
      <w:r w:rsidR="006B1CA2">
        <w:t>s</w:t>
      </w:r>
      <w:r w:rsidR="00E354BE">
        <w:t xml:space="preserve">urvival </w:t>
      </w:r>
      <w:r w:rsidR="006B1CA2">
        <w:t>f</w:t>
      </w:r>
      <w:r w:rsidR="00E354BE">
        <w:t xml:space="preserve">ollowing </w:t>
      </w:r>
      <w:r w:rsidR="006B1CA2">
        <w:t>t</w:t>
      </w:r>
      <w:r w:rsidR="00E354BE">
        <w:t xml:space="preserve">ranscatheter </w:t>
      </w:r>
      <w:r w:rsidR="006B1CA2">
        <w:t>a</w:t>
      </w:r>
      <w:r w:rsidR="00E354BE">
        <w:t xml:space="preserve">ortic </w:t>
      </w:r>
      <w:r w:rsidR="006B1CA2">
        <w:t>v</w:t>
      </w:r>
      <w:r w:rsidR="00E354BE">
        <w:t xml:space="preserve">alve </w:t>
      </w:r>
      <w:r w:rsidR="006B1CA2">
        <w:t>i</w:t>
      </w:r>
      <w:r w:rsidR="00E354BE">
        <w:t>mplantation</w:t>
      </w:r>
      <w:r>
        <w:t>: how do TAVI patients fare relative to the general population?</w:t>
      </w:r>
    </w:p>
    <w:p w14:paraId="65A8E1E1" w14:textId="77777777" w:rsidR="00A82479" w:rsidRDefault="00A82479" w:rsidP="00A82479"/>
    <w:p w14:paraId="48E0D508" w14:textId="1F974064" w:rsidR="00A82479" w:rsidRDefault="00A82479" w:rsidP="00430974">
      <w:pPr>
        <w:spacing w:line="276" w:lineRule="auto"/>
      </w:pPr>
      <w:r>
        <w:rPr>
          <w:b/>
        </w:rPr>
        <w:t xml:space="preserve">Short title: </w:t>
      </w:r>
      <w:r>
        <w:rPr>
          <w:szCs w:val="24"/>
        </w:rPr>
        <w:t xml:space="preserve">Martin et al. </w:t>
      </w:r>
      <w:r>
        <w:t>Relative Survival following TAVI</w:t>
      </w:r>
    </w:p>
    <w:p w14:paraId="088E0CA8" w14:textId="77777777" w:rsidR="00087878" w:rsidRDefault="00087878" w:rsidP="00430974">
      <w:pPr>
        <w:spacing w:line="276" w:lineRule="auto"/>
      </w:pPr>
    </w:p>
    <w:p w14:paraId="7FF8085C" w14:textId="021A1CBD" w:rsidR="00CE5E9E" w:rsidRPr="0011507B" w:rsidRDefault="00CE5E9E" w:rsidP="00430974">
      <w:pPr>
        <w:spacing w:line="276" w:lineRule="auto"/>
        <w:rPr>
          <w:vertAlign w:val="superscript"/>
        </w:rPr>
      </w:pPr>
      <w:r w:rsidRPr="0011507B">
        <w:t xml:space="preserve">Glen P. Martin, MSc </w:t>
      </w:r>
      <w:r w:rsidR="00E1754A">
        <w:rPr>
          <w:vertAlign w:val="superscript"/>
        </w:rPr>
        <w:t>a</w:t>
      </w:r>
      <w:r w:rsidRPr="0011507B">
        <w:t>;</w:t>
      </w:r>
      <w:r>
        <w:t xml:space="preserve"> </w:t>
      </w:r>
      <w:r w:rsidRPr="0011507B">
        <w:t xml:space="preserve">Matthew Sperrin, PhD </w:t>
      </w:r>
      <w:r w:rsidR="00E1754A">
        <w:rPr>
          <w:vertAlign w:val="superscript"/>
        </w:rPr>
        <w:t>a</w:t>
      </w:r>
      <w:r>
        <w:t xml:space="preserve">; William Hulme, MSc </w:t>
      </w:r>
      <w:r w:rsidR="00E1754A">
        <w:rPr>
          <w:vertAlign w:val="superscript"/>
        </w:rPr>
        <w:t>a</w:t>
      </w:r>
      <w:r w:rsidRPr="00CE5E9E">
        <w:t>;</w:t>
      </w:r>
      <w:r>
        <w:t xml:space="preserve"> </w:t>
      </w:r>
      <w:r w:rsidR="00AE050A" w:rsidRPr="002B4D27">
        <w:t>Peter F. Ludman</w:t>
      </w:r>
      <w:r w:rsidR="00AE050A">
        <w:t xml:space="preserve">, </w:t>
      </w:r>
      <w:r w:rsidR="00AE050A" w:rsidRPr="00FA3806">
        <w:t>MA, MD, FRCP, FESC</w:t>
      </w:r>
      <w:r w:rsidR="00AE050A" w:rsidRPr="002B4D27">
        <w:t xml:space="preserve"> </w:t>
      </w:r>
      <w:r w:rsidR="00E1754A">
        <w:rPr>
          <w:vertAlign w:val="superscript"/>
        </w:rPr>
        <w:t>b</w:t>
      </w:r>
      <w:r w:rsidR="00043BDC">
        <w:t>;</w:t>
      </w:r>
      <w:r w:rsidR="00AE050A" w:rsidRPr="002B4D27">
        <w:t xml:space="preserve"> Mark A. de Belder</w:t>
      </w:r>
      <w:r w:rsidR="00AE050A">
        <w:t xml:space="preserve">, </w:t>
      </w:r>
      <w:r w:rsidR="00AE050A" w:rsidRPr="00FA3806">
        <w:t>MA, MD, FRCP</w:t>
      </w:r>
      <w:r w:rsidR="00AE050A" w:rsidRPr="002B4D27">
        <w:t xml:space="preserve"> </w:t>
      </w:r>
      <w:r w:rsidR="00E1754A">
        <w:rPr>
          <w:vertAlign w:val="superscript"/>
        </w:rPr>
        <w:t>c</w:t>
      </w:r>
      <w:r w:rsidR="00AE050A">
        <w:t>;</w:t>
      </w:r>
      <w:r w:rsidR="00AE050A" w:rsidRPr="002B4D27">
        <w:t xml:space="preserve"> </w:t>
      </w:r>
      <w:r w:rsidR="00AE050A">
        <w:t>William D.</w:t>
      </w:r>
      <w:r w:rsidR="00AE050A" w:rsidRPr="002B4D27">
        <w:t xml:space="preserve"> Tof</w:t>
      </w:r>
      <w:r w:rsidR="00043BDC">
        <w:t xml:space="preserve">f, MD, FRCP, FESC </w:t>
      </w:r>
      <w:r w:rsidR="00E1754A">
        <w:rPr>
          <w:vertAlign w:val="superscript"/>
        </w:rPr>
        <w:t>d</w:t>
      </w:r>
      <w:r w:rsidR="00043BDC">
        <w:rPr>
          <w:vertAlign w:val="superscript"/>
        </w:rPr>
        <w:t>,</w:t>
      </w:r>
      <w:r w:rsidR="00E1754A">
        <w:rPr>
          <w:vertAlign w:val="superscript"/>
        </w:rPr>
        <w:t>e</w:t>
      </w:r>
      <w:r w:rsidR="00043BDC">
        <w:t>;</w:t>
      </w:r>
      <w:r w:rsidR="00AE050A" w:rsidDel="00AE050A">
        <w:t xml:space="preserve"> </w:t>
      </w:r>
      <w:r>
        <w:rPr>
          <w:bCs/>
          <w:szCs w:val="24"/>
        </w:rPr>
        <w:t>Oras Alabas</w:t>
      </w:r>
      <w:r w:rsidR="004B5799">
        <w:rPr>
          <w:bCs/>
          <w:szCs w:val="24"/>
        </w:rPr>
        <w:t>, PhD</w:t>
      </w:r>
      <w:r>
        <w:rPr>
          <w:bCs/>
          <w:szCs w:val="24"/>
        </w:rPr>
        <w:t xml:space="preserve"> </w:t>
      </w:r>
      <w:r w:rsidR="00E1754A">
        <w:rPr>
          <w:bCs/>
          <w:szCs w:val="24"/>
          <w:vertAlign w:val="superscript"/>
        </w:rPr>
        <w:t>f</w:t>
      </w:r>
      <w:r>
        <w:t>;</w:t>
      </w:r>
      <w:r w:rsidR="006F2FCE">
        <w:t xml:space="preserve"> Neil E. Moat, MBBS, MS</w:t>
      </w:r>
      <w:r w:rsidR="006F2FCE">
        <w:rPr>
          <w:vertAlign w:val="superscript"/>
        </w:rPr>
        <w:t xml:space="preserve"> </w:t>
      </w:r>
      <w:r w:rsidR="00E1754A">
        <w:rPr>
          <w:vertAlign w:val="superscript"/>
        </w:rPr>
        <w:t>g</w:t>
      </w:r>
      <w:r w:rsidR="006F2FCE">
        <w:t>;</w:t>
      </w:r>
      <w:r>
        <w:t xml:space="preserve"> </w:t>
      </w:r>
      <w:r w:rsidR="00AE050A">
        <w:t xml:space="preserve">Sagar </w:t>
      </w:r>
      <w:r w:rsidR="00BC4F9D">
        <w:t>N</w:t>
      </w:r>
      <w:r w:rsidR="00D262DB">
        <w:t>.</w:t>
      </w:r>
      <w:r w:rsidR="00BC4F9D">
        <w:t xml:space="preserve"> </w:t>
      </w:r>
      <w:r w:rsidR="00AE050A">
        <w:t xml:space="preserve">Doshi </w:t>
      </w:r>
      <w:r w:rsidR="00BC4F9D">
        <w:t>BSc MD FRCP</w:t>
      </w:r>
      <w:r w:rsidR="00137C43">
        <w:t xml:space="preserve"> </w:t>
      </w:r>
      <w:r w:rsidR="00E1754A">
        <w:rPr>
          <w:szCs w:val="24"/>
          <w:vertAlign w:val="superscript"/>
        </w:rPr>
        <w:t>b</w:t>
      </w:r>
      <w:r w:rsidR="00AE050A">
        <w:t xml:space="preserve">; </w:t>
      </w:r>
      <w:r w:rsidRPr="0011507B">
        <w:t xml:space="preserve">Iain Buchan, MD, FFPH </w:t>
      </w:r>
      <w:r w:rsidR="00E1754A">
        <w:rPr>
          <w:vertAlign w:val="superscript"/>
        </w:rPr>
        <w:t>a</w:t>
      </w:r>
      <w:r w:rsidRPr="0011507B">
        <w:t xml:space="preserve">; </w:t>
      </w:r>
      <w:r w:rsidR="002B7D06">
        <w:t>John E. Deanfield</w:t>
      </w:r>
      <w:r w:rsidR="002B130B">
        <w:t>, FRCP</w:t>
      </w:r>
      <w:r w:rsidR="002B7D06">
        <w:t xml:space="preserve"> </w:t>
      </w:r>
      <w:r w:rsidR="00E1754A">
        <w:rPr>
          <w:szCs w:val="24"/>
          <w:vertAlign w:val="superscript"/>
        </w:rPr>
        <w:t>h</w:t>
      </w:r>
      <w:r w:rsidR="002B7D06">
        <w:t xml:space="preserve">; </w:t>
      </w:r>
      <w:r w:rsidR="00AE050A">
        <w:t xml:space="preserve">Chris P. Gale, PhD, </w:t>
      </w:r>
      <w:r w:rsidR="00AE050A" w:rsidRPr="00981FBE">
        <w:t>FRCP</w:t>
      </w:r>
      <w:r w:rsidR="00AE050A">
        <w:t xml:space="preserve">, </w:t>
      </w:r>
      <w:r w:rsidR="00AE050A" w:rsidRPr="00981FBE">
        <w:t>FESC</w:t>
      </w:r>
      <w:r w:rsidR="00AE050A">
        <w:t xml:space="preserve"> </w:t>
      </w:r>
      <w:r w:rsidR="00E1754A">
        <w:rPr>
          <w:vertAlign w:val="superscript"/>
        </w:rPr>
        <w:t>f</w:t>
      </w:r>
      <w:r w:rsidR="00AE050A">
        <w:t xml:space="preserve">; </w:t>
      </w:r>
      <w:r w:rsidRPr="0011507B">
        <w:t>Mamas A. Mamas,</w:t>
      </w:r>
      <w:r w:rsidRPr="0011507B">
        <w:rPr>
          <w:rStyle w:val="Heading1Char"/>
          <w:rFonts w:eastAsia="Calibri"/>
          <w:szCs w:val="24"/>
        </w:rPr>
        <w:t xml:space="preserve"> </w:t>
      </w:r>
      <w:r w:rsidRPr="0011507B">
        <w:rPr>
          <w:rStyle w:val="Heading1Char"/>
          <w:rFonts w:eastAsia="Calibri"/>
          <w:b w:val="0"/>
          <w:szCs w:val="24"/>
        </w:rPr>
        <w:t>MA</w:t>
      </w:r>
      <w:r w:rsidRPr="00B77547">
        <w:rPr>
          <w:rStyle w:val="Heading1Char"/>
          <w:rFonts w:eastAsia="Calibri"/>
          <w:b w:val="0"/>
          <w:szCs w:val="24"/>
        </w:rPr>
        <w:t>,</w:t>
      </w:r>
      <w:r w:rsidRPr="0011507B">
        <w:rPr>
          <w:rStyle w:val="Heading1Char"/>
          <w:rFonts w:eastAsia="Calibri"/>
          <w:szCs w:val="24"/>
        </w:rPr>
        <w:t xml:space="preserve"> </w:t>
      </w:r>
      <w:r w:rsidRPr="0011507B">
        <w:rPr>
          <w:rStyle w:val="st"/>
          <w:szCs w:val="24"/>
        </w:rPr>
        <w:t>DPhil, FRCP</w:t>
      </w:r>
      <w:r w:rsidRPr="0011507B">
        <w:t xml:space="preserve"> </w:t>
      </w:r>
      <w:r w:rsidR="00E1754A">
        <w:rPr>
          <w:vertAlign w:val="superscript"/>
        </w:rPr>
        <w:t>a</w:t>
      </w:r>
      <w:r w:rsidR="00DC1AD3">
        <w:rPr>
          <w:vertAlign w:val="superscript"/>
        </w:rPr>
        <w:t>,</w:t>
      </w:r>
      <w:r w:rsidR="00E1754A">
        <w:rPr>
          <w:vertAlign w:val="superscript"/>
        </w:rPr>
        <w:t>i</w:t>
      </w:r>
      <w:r w:rsidR="00D62813">
        <w:t>;</w:t>
      </w:r>
      <w:r w:rsidRPr="0011507B">
        <w:t xml:space="preserve"> </w:t>
      </w:r>
      <w:r w:rsidR="007F0014">
        <w:t>on behalf of the National Institute of Cardiovascular Outcomes Research (NICOR)</w:t>
      </w:r>
    </w:p>
    <w:p w14:paraId="6965A0B0" w14:textId="77777777" w:rsidR="00CE5E9E" w:rsidRDefault="00CE5E9E" w:rsidP="00430974">
      <w:pPr>
        <w:spacing w:line="276" w:lineRule="auto"/>
      </w:pPr>
    </w:p>
    <w:p w14:paraId="7AD27619" w14:textId="66CCEB0E" w:rsidR="00CE5E9E" w:rsidRDefault="00E1754A" w:rsidP="00430974">
      <w:pPr>
        <w:spacing w:line="276" w:lineRule="auto"/>
      </w:pPr>
      <w:r>
        <w:t>a</w:t>
      </w:r>
      <w:r w:rsidR="0019225A">
        <w:t>:</w:t>
      </w:r>
      <w:r w:rsidR="00043BDC">
        <w:t xml:space="preserve"> </w:t>
      </w:r>
      <w:r w:rsidR="000C17D4">
        <w:t>Farr Institute, Faculty of Biology, Medicine and Health, University of Manchester, Manchester Academic Health Science Centre, Manchester, United Kingdom</w:t>
      </w:r>
      <w:r w:rsidR="000C17D4" w:rsidDel="000C17D4">
        <w:t xml:space="preserve"> </w:t>
      </w:r>
    </w:p>
    <w:p w14:paraId="77098814" w14:textId="55219CE1" w:rsidR="00043BDC" w:rsidRDefault="00E1754A" w:rsidP="00430974">
      <w:pPr>
        <w:tabs>
          <w:tab w:val="left" w:pos="4678"/>
        </w:tabs>
        <w:spacing w:line="276" w:lineRule="auto"/>
      </w:pPr>
      <w:r>
        <w:t>b</w:t>
      </w:r>
      <w:r w:rsidR="0019225A">
        <w:t>:</w:t>
      </w:r>
      <w:r w:rsidR="00043BDC">
        <w:t xml:space="preserve"> </w:t>
      </w:r>
      <w:r w:rsidR="00043BDC" w:rsidRPr="00392C92">
        <w:t>Queen Elizabeth Hospital, Birmingham, United Kingdom</w:t>
      </w:r>
    </w:p>
    <w:p w14:paraId="43B64FCA" w14:textId="3D231D9D" w:rsidR="00043BDC" w:rsidRDefault="00E1754A" w:rsidP="00430974">
      <w:pPr>
        <w:tabs>
          <w:tab w:val="left" w:pos="4678"/>
        </w:tabs>
        <w:spacing w:line="276" w:lineRule="auto"/>
      </w:pPr>
      <w:r>
        <w:t>c</w:t>
      </w:r>
      <w:r w:rsidR="0019225A">
        <w:t>:</w:t>
      </w:r>
      <w:r w:rsidR="00043BDC">
        <w:t xml:space="preserve"> </w:t>
      </w:r>
      <w:r w:rsidR="00043BDC" w:rsidRPr="00392C92">
        <w:t>James Cook University Hospital, Middlesbrough, United Kingdom</w:t>
      </w:r>
    </w:p>
    <w:p w14:paraId="441FE135" w14:textId="0B9720C5" w:rsidR="00043BDC" w:rsidRDefault="00E1754A" w:rsidP="00430974">
      <w:pPr>
        <w:spacing w:line="276" w:lineRule="auto"/>
      </w:pPr>
      <w:r>
        <w:t>d</w:t>
      </w:r>
      <w:r w:rsidR="0019225A">
        <w:t>:</w:t>
      </w:r>
      <w:r w:rsidR="00043BDC">
        <w:t xml:space="preserve"> </w:t>
      </w:r>
      <w:r w:rsidR="00043BDC" w:rsidRPr="002B4D27">
        <w:t>Department of Cardiovascular Sciences, University of Leicester, Clinical Sciences Wing, Glenfield General Hospital, Leicester</w:t>
      </w:r>
      <w:r w:rsidR="00043BDC">
        <w:t xml:space="preserve">, </w:t>
      </w:r>
      <w:r w:rsidR="00043BDC" w:rsidRPr="00392C92">
        <w:t>United Kingdom</w:t>
      </w:r>
    </w:p>
    <w:p w14:paraId="160F8C84" w14:textId="3B0DE098" w:rsidR="00043BDC" w:rsidRDefault="00E1754A" w:rsidP="00430974">
      <w:pPr>
        <w:spacing w:line="276" w:lineRule="auto"/>
      </w:pPr>
      <w:r>
        <w:t>e</w:t>
      </w:r>
      <w:r w:rsidR="00043BDC">
        <w:t xml:space="preserve">: </w:t>
      </w:r>
      <w:r w:rsidR="00043BDC" w:rsidRPr="00CD214E">
        <w:t>NIHR Leicester Cardiovascular Biomedical Research Unit, Leicester</w:t>
      </w:r>
      <w:r w:rsidR="00043BDC">
        <w:t xml:space="preserve">, </w:t>
      </w:r>
      <w:r w:rsidR="00043BDC" w:rsidRPr="00392C92">
        <w:t>United Kingdom</w:t>
      </w:r>
      <w:r w:rsidR="00043BDC">
        <w:t xml:space="preserve"> </w:t>
      </w:r>
    </w:p>
    <w:p w14:paraId="6BF89F3A" w14:textId="0F59DC1F" w:rsidR="006F2FCE" w:rsidRDefault="00E1754A" w:rsidP="00430974">
      <w:pPr>
        <w:spacing w:line="276" w:lineRule="auto"/>
        <w:rPr>
          <w:spacing w:val="-4"/>
        </w:rPr>
      </w:pPr>
      <w:r>
        <w:rPr>
          <w:spacing w:val="-4"/>
        </w:rPr>
        <w:t>f</w:t>
      </w:r>
      <w:r w:rsidR="006F2FCE">
        <w:rPr>
          <w:spacing w:val="-4"/>
        </w:rPr>
        <w:t>: Leeds Institute of Cardiovascular and Metabolic Medicine (LICAMM), University of Leeds, Leeds, UK</w:t>
      </w:r>
    </w:p>
    <w:p w14:paraId="2E73E9E1" w14:textId="207FF696" w:rsidR="006F2FCE" w:rsidRPr="006F2FCE" w:rsidRDefault="00E1754A" w:rsidP="00430974">
      <w:pPr>
        <w:spacing w:line="276" w:lineRule="auto"/>
      </w:pPr>
      <w:r>
        <w:t>g</w:t>
      </w:r>
      <w:r w:rsidR="006F2FCE">
        <w:t xml:space="preserve">: </w:t>
      </w:r>
      <w:r w:rsidR="006F2FCE" w:rsidRPr="00D438A2">
        <w:t>Royal Brompton and Harefield Nation</w:t>
      </w:r>
      <w:r w:rsidR="006F2FCE">
        <w:t>al Health Service (NHS) Founda</w:t>
      </w:r>
      <w:r w:rsidR="006F2FCE" w:rsidRPr="00D438A2">
        <w:t>tion Trust, London, United Kingdom</w:t>
      </w:r>
    </w:p>
    <w:p w14:paraId="6D8E6AC2" w14:textId="74086D9D" w:rsidR="002B7D06" w:rsidRDefault="00E1754A" w:rsidP="00430974">
      <w:pPr>
        <w:spacing w:line="276" w:lineRule="auto"/>
        <w:rPr>
          <w:rFonts w:eastAsia="Times New Roman"/>
        </w:rPr>
      </w:pPr>
      <w:r>
        <w:rPr>
          <w:spacing w:val="-4"/>
        </w:rPr>
        <w:t>h</w:t>
      </w:r>
      <w:r w:rsidR="002B7D06">
        <w:rPr>
          <w:spacing w:val="-4"/>
        </w:rPr>
        <w:t xml:space="preserve">: </w:t>
      </w:r>
      <w:r w:rsidR="002B7D06">
        <w:rPr>
          <w:rFonts w:eastAsia="Times New Roman"/>
        </w:rPr>
        <w:t>National Institute for Cardiovascular Outcomes Research, University College London, London, England.</w:t>
      </w:r>
    </w:p>
    <w:p w14:paraId="752C2007" w14:textId="655963D9" w:rsidR="00043BDC" w:rsidRDefault="00E1754A" w:rsidP="00430974">
      <w:pPr>
        <w:spacing w:line="276" w:lineRule="auto"/>
      </w:pPr>
      <w:r>
        <w:rPr>
          <w:spacing w:val="-4"/>
        </w:rPr>
        <w:t>i</w:t>
      </w:r>
      <w:r w:rsidR="00043BDC">
        <w:rPr>
          <w:spacing w:val="-4"/>
        </w:rPr>
        <w:t xml:space="preserve">: </w:t>
      </w:r>
      <w:r w:rsidR="00043BDC" w:rsidRPr="0011507B">
        <w:t xml:space="preserve">Keele Cardiovascular Research Group, </w:t>
      </w:r>
      <w:r w:rsidR="002B7D06">
        <w:t>Institute of Applied Clinical Science</w:t>
      </w:r>
      <w:r w:rsidR="00C83662">
        <w:t xml:space="preserve"> and Centre for Prognosis Research, </w:t>
      </w:r>
      <w:r w:rsidR="00043BDC" w:rsidRPr="0011507B">
        <w:t>Keele University, Stoke-on-Trent, UK</w:t>
      </w:r>
    </w:p>
    <w:p w14:paraId="4502F1BD" w14:textId="77777777" w:rsidR="004B5799" w:rsidRDefault="004B5799" w:rsidP="00430974">
      <w:pPr>
        <w:spacing w:line="276" w:lineRule="auto"/>
        <w:rPr>
          <w:b/>
        </w:rPr>
      </w:pPr>
    </w:p>
    <w:p w14:paraId="2E11C978" w14:textId="1917A8FF" w:rsidR="00087878" w:rsidRPr="00087878" w:rsidRDefault="00087878" w:rsidP="00430974">
      <w:pPr>
        <w:spacing w:line="276" w:lineRule="auto"/>
        <w:rPr>
          <w:b/>
          <w:szCs w:val="24"/>
        </w:rPr>
      </w:pPr>
      <w:r>
        <w:rPr>
          <w:b/>
          <w:szCs w:val="24"/>
        </w:rPr>
        <w:t xml:space="preserve">Journal Subject Code: </w:t>
      </w:r>
      <w:r w:rsidRPr="00087878">
        <w:rPr>
          <w:szCs w:val="24"/>
        </w:rPr>
        <w:t>Aortic Valve Replacement/Transcatheter Aortic Valve Implantation</w:t>
      </w:r>
    </w:p>
    <w:p w14:paraId="7391DCE9" w14:textId="77777777" w:rsidR="00087878" w:rsidRDefault="00087878" w:rsidP="00430974">
      <w:pPr>
        <w:spacing w:line="276" w:lineRule="auto"/>
        <w:rPr>
          <w:b/>
        </w:rPr>
      </w:pPr>
    </w:p>
    <w:p w14:paraId="7B353FCC" w14:textId="21257074" w:rsidR="00CE5E9E" w:rsidRPr="005827F4" w:rsidRDefault="00DA3F2E" w:rsidP="00430974">
      <w:pPr>
        <w:spacing w:after="0" w:line="276" w:lineRule="auto"/>
        <w:rPr>
          <w:b/>
          <w:szCs w:val="24"/>
        </w:rPr>
      </w:pPr>
      <w:r w:rsidRPr="0011507B">
        <w:rPr>
          <w:b/>
        </w:rPr>
        <w:t>Corresponding author</w:t>
      </w:r>
      <w:r w:rsidR="00CE5E9E" w:rsidRPr="005827F4">
        <w:rPr>
          <w:b/>
          <w:szCs w:val="24"/>
        </w:rPr>
        <w:t xml:space="preserve">: </w:t>
      </w:r>
    </w:p>
    <w:p w14:paraId="44DD5D09" w14:textId="77777777" w:rsidR="0046214F" w:rsidRDefault="0046214F" w:rsidP="00430974">
      <w:pPr>
        <w:spacing w:line="276" w:lineRule="auto"/>
      </w:pPr>
      <w:r>
        <w:t>Mamas A. Mamas</w:t>
      </w:r>
    </w:p>
    <w:p w14:paraId="7DDD62D6" w14:textId="0E845547" w:rsidR="00DF7BD2" w:rsidRPr="00FF39C6" w:rsidRDefault="00DF7BD2" w:rsidP="00430974">
      <w:pPr>
        <w:spacing w:after="0" w:line="276" w:lineRule="auto"/>
        <w:rPr>
          <w:szCs w:val="24"/>
        </w:rPr>
      </w:pPr>
      <w:r w:rsidRPr="00FF39C6">
        <w:rPr>
          <w:szCs w:val="24"/>
        </w:rPr>
        <w:t>Professor of Cardiology / Honorary Consultant Cardiologist</w:t>
      </w:r>
    </w:p>
    <w:p w14:paraId="31259B89" w14:textId="77777777" w:rsidR="00DF7BD2" w:rsidRDefault="00DF7BD2" w:rsidP="00430974">
      <w:pPr>
        <w:spacing w:after="0" w:line="276" w:lineRule="auto"/>
        <w:rPr>
          <w:szCs w:val="24"/>
        </w:rPr>
      </w:pPr>
      <w:r w:rsidRPr="00FF39C6">
        <w:rPr>
          <w:szCs w:val="24"/>
        </w:rPr>
        <w:t>Keele Cardiovascular Research Group,</w:t>
      </w:r>
      <w:r>
        <w:rPr>
          <w:szCs w:val="24"/>
        </w:rPr>
        <w:t xml:space="preserve"> </w:t>
      </w:r>
      <w:r>
        <w:t>Guy Hilton Research Centre, Thornburrow Drive, Keele University, Stoke-on-Trent, ST4 7QB, UK</w:t>
      </w:r>
      <w:r w:rsidRPr="00FF39C6">
        <w:rPr>
          <w:szCs w:val="24"/>
        </w:rPr>
        <w:t xml:space="preserve"> </w:t>
      </w:r>
    </w:p>
    <w:p w14:paraId="0EAC2D68" w14:textId="77777777" w:rsidR="00CE5E9E" w:rsidRDefault="0046214F" w:rsidP="00430974">
      <w:pPr>
        <w:spacing w:line="276" w:lineRule="auto"/>
      </w:pPr>
      <w:r>
        <w:t>Email: mamasmamas1@yahoo.co.uk</w:t>
      </w:r>
    </w:p>
    <w:p w14:paraId="7E569837" w14:textId="77777777" w:rsidR="00CE5E9E" w:rsidRDefault="00CE5E9E" w:rsidP="00E1754A">
      <w:pPr>
        <w:spacing w:line="240" w:lineRule="auto"/>
      </w:pPr>
    </w:p>
    <w:p w14:paraId="26909D39" w14:textId="77777777" w:rsidR="00D60C78" w:rsidRDefault="00D60C78" w:rsidP="00E1754A">
      <w:pPr>
        <w:spacing w:line="240" w:lineRule="auto"/>
      </w:pPr>
    </w:p>
    <w:p w14:paraId="6DDFAAB8" w14:textId="77777777" w:rsidR="00D60C78" w:rsidRDefault="00D60C78" w:rsidP="00E1754A">
      <w:pPr>
        <w:spacing w:line="240" w:lineRule="auto"/>
        <w:sectPr w:rsidR="00D60C78" w:rsidSect="006F3663">
          <w:footerReference w:type="default" r:id="rId9"/>
          <w:pgSz w:w="11906" w:h="16838"/>
          <w:pgMar w:top="1440" w:right="1440" w:bottom="1440" w:left="1440" w:header="708" w:footer="708" w:gutter="0"/>
          <w:cols w:space="708"/>
          <w:docGrid w:linePitch="360"/>
        </w:sectPr>
      </w:pPr>
    </w:p>
    <w:p w14:paraId="5B1A60FA" w14:textId="77777777" w:rsidR="00CE5E9E" w:rsidRDefault="00CE5E9E" w:rsidP="00DA3F2E">
      <w:pPr>
        <w:pStyle w:val="Heading1"/>
      </w:pPr>
      <w:r>
        <w:lastRenderedPageBreak/>
        <w:t>Abstract</w:t>
      </w:r>
    </w:p>
    <w:p w14:paraId="474FFE8A" w14:textId="52A5A293" w:rsidR="008F6EB4" w:rsidRDefault="00DF7BD2" w:rsidP="00DA3F2E">
      <w:pPr>
        <w:pStyle w:val="Heading2"/>
      </w:pPr>
      <w:r>
        <w:t>Background</w:t>
      </w:r>
    </w:p>
    <w:p w14:paraId="180D9EA5" w14:textId="6E134A81" w:rsidR="0056220E" w:rsidRDefault="0051533E" w:rsidP="00DA3F2E">
      <w:r>
        <w:t xml:space="preserve">Transcatheter </w:t>
      </w:r>
      <w:r w:rsidR="00935FA6">
        <w:t>a</w:t>
      </w:r>
      <w:r>
        <w:t xml:space="preserve">ortic </w:t>
      </w:r>
      <w:r w:rsidR="00935FA6">
        <w:t>v</w:t>
      </w:r>
      <w:r>
        <w:t>alve</w:t>
      </w:r>
      <w:r w:rsidR="00935FA6">
        <w:t xml:space="preserve"> i</w:t>
      </w:r>
      <w:r>
        <w:t>mplantation (TAVI)</w:t>
      </w:r>
      <w:r w:rsidR="003E7B2A">
        <w:t xml:space="preserve"> </w:t>
      </w:r>
      <w:r w:rsidR="002012B8">
        <w:t xml:space="preserve">is indicated for </w:t>
      </w:r>
      <w:r w:rsidR="0025495F">
        <w:t xml:space="preserve">aortic stenosis </w:t>
      </w:r>
      <w:r w:rsidR="002012B8">
        <w:t xml:space="preserve">patients </w:t>
      </w:r>
      <w:r w:rsidR="003E7B2A">
        <w:t xml:space="preserve">who are </w:t>
      </w:r>
      <w:r w:rsidR="001951D3">
        <w:t>intermediate-</w:t>
      </w:r>
      <w:r>
        <w:t xml:space="preserve">high </w:t>
      </w:r>
      <w:r w:rsidR="003E7B2A">
        <w:t>surgical</w:t>
      </w:r>
      <w:r>
        <w:t xml:space="preserve"> risk</w:t>
      </w:r>
      <w:r w:rsidR="00E26C1B">
        <w:t>. Whil</w:t>
      </w:r>
      <w:r w:rsidR="0070501A">
        <w:t>e</w:t>
      </w:r>
      <w:r w:rsidR="00E26C1B">
        <w:t xml:space="preserve"> all-cause mortality rates following TAVI are established, survival attributable to </w:t>
      </w:r>
      <w:r w:rsidR="00935FA6">
        <w:t>the procedure</w:t>
      </w:r>
      <w:r w:rsidR="00E26C1B">
        <w:t xml:space="preserve"> is </w:t>
      </w:r>
      <w:r w:rsidR="00935FA6">
        <w:t>unclear due to competing causes of mortality</w:t>
      </w:r>
      <w:r w:rsidR="00E26C1B">
        <w:t xml:space="preserve">. </w:t>
      </w:r>
      <w:r w:rsidR="00DF7BD2">
        <w:t>The aim was t</w:t>
      </w:r>
      <w:r w:rsidR="00E26C1B">
        <w:t>o report</w:t>
      </w:r>
      <w:r w:rsidR="00476EFD">
        <w:t xml:space="preserve"> </w:t>
      </w:r>
      <w:r w:rsidR="00F62A41">
        <w:t xml:space="preserve">relative </w:t>
      </w:r>
      <w:r w:rsidR="00476EFD">
        <w:t>survival</w:t>
      </w:r>
      <w:r w:rsidR="00F62A41">
        <w:t xml:space="preserve"> (RS)</w:t>
      </w:r>
      <w:r w:rsidR="00E26C1B">
        <w:t xml:space="preserve"> </w:t>
      </w:r>
      <w:r w:rsidR="00476EFD">
        <w:t>following TAVI</w:t>
      </w:r>
      <w:r w:rsidR="00F75798">
        <w:t>, which accounts</w:t>
      </w:r>
      <w:r w:rsidR="00476EFD">
        <w:t xml:space="preserve"> for </w:t>
      </w:r>
      <w:r w:rsidR="00E26C1B">
        <w:t xml:space="preserve">background </w:t>
      </w:r>
      <w:r w:rsidR="00476EFD">
        <w:t xml:space="preserve">mortality risks </w:t>
      </w:r>
      <w:r w:rsidR="00305390">
        <w:t xml:space="preserve">in </w:t>
      </w:r>
      <w:r w:rsidR="001D58A3">
        <w:t>a matched</w:t>
      </w:r>
      <w:r w:rsidR="00476EFD">
        <w:t xml:space="preserve"> general population. </w:t>
      </w:r>
    </w:p>
    <w:p w14:paraId="393A1430" w14:textId="58591C69" w:rsidR="008F6EB4" w:rsidRDefault="00DF7BD2" w:rsidP="00DA3F2E">
      <w:pPr>
        <w:pStyle w:val="Heading2"/>
      </w:pPr>
      <w:r>
        <w:t>Methods</w:t>
      </w:r>
      <w:r w:rsidR="00BC4108">
        <w:t xml:space="preserve"> and Results</w:t>
      </w:r>
    </w:p>
    <w:p w14:paraId="660BB732" w14:textId="75297992" w:rsidR="009828A4" w:rsidRDefault="008F6EB4" w:rsidP="00DA3F2E">
      <w:r>
        <w:t>National cohort data (n=6420) from the 2007-2014 UK TAVI registry were matched by age, sex</w:t>
      </w:r>
      <w:r w:rsidR="00935FA6">
        <w:t xml:space="preserve"> </w:t>
      </w:r>
      <w:r>
        <w:t xml:space="preserve">and year to mortality rates for England and Wales (population 57.9 million). The Ederer II method </w:t>
      </w:r>
      <w:r w:rsidR="00307FDE">
        <w:t>related</w:t>
      </w:r>
      <w:r>
        <w:t xml:space="preserve"> </w:t>
      </w:r>
      <w:r w:rsidR="00307FDE">
        <w:t xml:space="preserve">observed </w:t>
      </w:r>
      <w:r>
        <w:t xml:space="preserve">patient survival to </w:t>
      </w:r>
      <w:r w:rsidR="0025495F">
        <w:t>that expected from the</w:t>
      </w:r>
      <w:r>
        <w:t xml:space="preserve"> matched general population.</w:t>
      </w:r>
      <w:r w:rsidR="00935FA6">
        <w:t xml:space="preserve"> We modelled </w:t>
      </w:r>
      <w:r>
        <w:t xml:space="preserve">RS </w:t>
      </w:r>
      <w:r w:rsidR="00935FA6">
        <w:t>using</w:t>
      </w:r>
      <w:r>
        <w:t xml:space="preserve"> </w:t>
      </w:r>
      <w:r w:rsidR="00935FA6">
        <w:t>a</w:t>
      </w:r>
      <w:r w:rsidR="007078B7">
        <w:t xml:space="preserve"> </w:t>
      </w:r>
      <w:r w:rsidR="00935FA6">
        <w:t>flexible parametric approach</w:t>
      </w:r>
      <w:r w:rsidR="00007BFE">
        <w:t xml:space="preserve"> that modelled the log cumulative hazard using restricted cubic splines</w:t>
      </w:r>
      <w:r>
        <w:t>.</w:t>
      </w:r>
      <w:r w:rsidR="00BC4108">
        <w:t xml:space="preserve"> </w:t>
      </w:r>
      <w:r w:rsidR="00F11317">
        <w:t xml:space="preserve">Relative survival of the TAVI cohort </w:t>
      </w:r>
      <w:r w:rsidR="009828A4">
        <w:t xml:space="preserve">was </w:t>
      </w:r>
      <w:r w:rsidR="009828A4" w:rsidRPr="009E3763">
        <w:t>95.4%, 90.2%</w:t>
      </w:r>
      <w:r w:rsidR="00544C04">
        <w:t xml:space="preserve"> and </w:t>
      </w:r>
      <w:r w:rsidR="009828A4" w:rsidRPr="009E3763">
        <w:t>83.8% at 30-days, one</w:t>
      </w:r>
      <w:r w:rsidR="004D1AEE">
        <w:t xml:space="preserve"> </w:t>
      </w:r>
      <w:r w:rsidR="009828A4" w:rsidRPr="009E3763">
        <w:t>year</w:t>
      </w:r>
      <w:r w:rsidR="00544C04">
        <w:t xml:space="preserve"> and </w:t>
      </w:r>
      <w:r w:rsidR="009828A4" w:rsidRPr="009E3763">
        <w:t>three</w:t>
      </w:r>
      <w:r w:rsidR="004D1AEE">
        <w:t xml:space="preserve"> </w:t>
      </w:r>
      <w:r w:rsidR="009828A4" w:rsidRPr="009E3763">
        <w:t>year</w:t>
      </w:r>
      <w:r w:rsidR="009828A4">
        <w:t>s</w:t>
      </w:r>
      <w:r w:rsidR="0019059A">
        <w:t>,</w:t>
      </w:r>
      <w:r w:rsidR="009828A4" w:rsidRPr="009E3763">
        <w:t xml:space="preserve"> respectively</w:t>
      </w:r>
      <w:r w:rsidR="009828A4">
        <w:t xml:space="preserve">. By </w:t>
      </w:r>
      <w:r w:rsidR="00F62A41">
        <w:t>one</w:t>
      </w:r>
      <w:r w:rsidR="004809D3">
        <w:t>-</w:t>
      </w:r>
      <w:r w:rsidR="00F62A41">
        <w:t xml:space="preserve">year </w:t>
      </w:r>
      <w:r w:rsidR="00F75798">
        <w:t>follow-up</w:t>
      </w:r>
      <w:r w:rsidR="009828A4">
        <w:t>,</w:t>
      </w:r>
      <w:r w:rsidR="00F75798">
        <w:t xml:space="preserve"> mortality</w:t>
      </w:r>
      <w:r w:rsidR="009828A4">
        <w:t xml:space="preserve"> hazard</w:t>
      </w:r>
      <w:r w:rsidR="00B774A5">
        <w:t>s</w:t>
      </w:r>
      <w:r w:rsidR="009828A4">
        <w:t xml:space="preserve"> in </w:t>
      </w:r>
      <w:r w:rsidR="0088092F">
        <w:t>&gt;</w:t>
      </w:r>
      <w:r w:rsidR="009828A4">
        <w:t>85 age group w</w:t>
      </w:r>
      <w:r w:rsidR="00B774A5">
        <w:t>ere</w:t>
      </w:r>
      <w:r w:rsidR="009828A4">
        <w:t xml:space="preserve"> </w:t>
      </w:r>
      <w:r w:rsidR="00B774A5">
        <w:t xml:space="preserve">not significantly different </w:t>
      </w:r>
      <w:r w:rsidR="009828A4">
        <w:t xml:space="preserve">to </w:t>
      </w:r>
      <w:r w:rsidR="00B774A5">
        <w:t xml:space="preserve">those of </w:t>
      </w:r>
      <w:r w:rsidR="00123F93">
        <w:t xml:space="preserve">the </w:t>
      </w:r>
      <w:r w:rsidR="00F6224B">
        <w:t xml:space="preserve">matched </w:t>
      </w:r>
      <w:r w:rsidR="00123F93">
        <w:t>general population</w:t>
      </w:r>
      <w:r w:rsidR="00F62A41">
        <w:t xml:space="preserve"> and by three year</w:t>
      </w:r>
      <w:r w:rsidR="004D2C76">
        <w:t>s</w:t>
      </w:r>
      <w:r w:rsidR="00F62A41">
        <w:t xml:space="preserve"> </w:t>
      </w:r>
      <w:r w:rsidR="00F75798">
        <w:t>survival</w:t>
      </w:r>
      <w:r w:rsidR="00F62A41">
        <w:t xml:space="preserve"> rates were comparable</w:t>
      </w:r>
      <w:r w:rsidR="00B774A5">
        <w:t>.</w:t>
      </w:r>
      <w:r w:rsidR="00F62A41">
        <w:t xml:space="preserve"> </w:t>
      </w:r>
      <w:r w:rsidR="00CE303F">
        <w:t xml:space="preserve">The flexible parametric RS model indicated that increasing age was associated with significantly less excess hazards after the procedure; </w:t>
      </w:r>
      <w:r w:rsidR="001E23A2">
        <w:t xml:space="preserve">for example, </w:t>
      </w:r>
      <w:r w:rsidR="00CE303F">
        <w:t xml:space="preserve">by </w:t>
      </w:r>
      <w:r w:rsidR="001E23A2">
        <w:t>two-years,</w:t>
      </w:r>
      <w:r w:rsidR="00CE303F">
        <w:t xml:space="preserve"> a </w:t>
      </w:r>
      <w:r w:rsidR="001E23A2">
        <w:t>5-year</w:t>
      </w:r>
      <w:r w:rsidR="00CE303F">
        <w:t xml:space="preserve"> increase in age was associated with 20% lower excess mortality over the general population.</w:t>
      </w:r>
    </w:p>
    <w:p w14:paraId="6A7FE715" w14:textId="4F64DA5C" w:rsidR="00357530" w:rsidRDefault="00357530" w:rsidP="00DA3F2E">
      <w:pPr>
        <w:pStyle w:val="Heading2"/>
      </w:pPr>
      <w:r>
        <w:t>Conclusions</w:t>
      </w:r>
    </w:p>
    <w:p w14:paraId="5DB752BE" w14:textId="42450F0B" w:rsidR="0025495F" w:rsidRDefault="00717DB3" w:rsidP="00DA3F2E">
      <w:r>
        <w:t>RS</w:t>
      </w:r>
      <w:r w:rsidR="003E7B2A">
        <w:t xml:space="preserve"> following </w:t>
      </w:r>
      <w:r w:rsidR="00D75CDB" w:rsidRPr="0051533E">
        <w:t xml:space="preserve">TAVI </w:t>
      </w:r>
      <w:r w:rsidR="003E7B2A">
        <w:t>was</w:t>
      </w:r>
      <w:r w:rsidR="00D75CDB" w:rsidRPr="0051533E">
        <w:t xml:space="preserve"> </w:t>
      </w:r>
      <w:r w:rsidR="0025495F">
        <w:t>high and s</w:t>
      </w:r>
      <w:r>
        <w:t xml:space="preserve">urvival rates in those aged &gt;85 </w:t>
      </w:r>
      <w:r w:rsidR="00AF0873">
        <w:t xml:space="preserve">approximated </w:t>
      </w:r>
      <w:r w:rsidR="0051533E">
        <w:t>th</w:t>
      </w:r>
      <w:r w:rsidR="00F62A41">
        <w:t>ose</w:t>
      </w:r>
      <w:r w:rsidR="0051533E">
        <w:t xml:space="preserve"> </w:t>
      </w:r>
      <w:r w:rsidR="00301468">
        <w:t>of</w:t>
      </w:r>
      <w:r w:rsidR="0051533E">
        <w:t xml:space="preserve"> </w:t>
      </w:r>
      <w:r>
        <w:t>a matched</w:t>
      </w:r>
      <w:r w:rsidR="0051533E">
        <w:t xml:space="preserve"> general population </w:t>
      </w:r>
      <w:r w:rsidR="0051533E" w:rsidRPr="0051533E">
        <w:t xml:space="preserve">within </w:t>
      </w:r>
      <w:r w:rsidR="00E968C8">
        <w:t>three</w:t>
      </w:r>
      <w:r w:rsidR="00CF57E5">
        <w:t xml:space="preserve"> </w:t>
      </w:r>
      <w:r w:rsidR="0051533E" w:rsidRPr="0051533E">
        <w:t>year</w:t>
      </w:r>
      <w:r w:rsidR="00E968C8">
        <w:t>s</w:t>
      </w:r>
      <w:r w:rsidR="00D75CDB" w:rsidRPr="0051533E">
        <w:t>.</w:t>
      </w:r>
      <w:r w:rsidR="00AF0873">
        <w:t xml:space="preserve"> </w:t>
      </w:r>
      <w:r w:rsidR="002A0D03" w:rsidRPr="00EC1E4A">
        <w:t xml:space="preserve">High rates of </w:t>
      </w:r>
      <w:r w:rsidR="002A0D03">
        <w:t>RS</w:t>
      </w:r>
      <w:r w:rsidR="002A0D03" w:rsidRPr="00EC1E4A">
        <w:t xml:space="preserve"> indicate that </w:t>
      </w:r>
      <w:r w:rsidR="002A0D03">
        <w:t>patients selected for TAVI tolerate the risks of the procedure well</w:t>
      </w:r>
      <w:r w:rsidR="0025495F">
        <w:t>.</w:t>
      </w:r>
    </w:p>
    <w:p w14:paraId="73C7423E" w14:textId="31AFEB1B" w:rsidR="00E1754A" w:rsidRDefault="00CE5E9E" w:rsidP="00DA3F2E">
      <w:pPr>
        <w:pStyle w:val="Heading1"/>
      </w:pPr>
      <w:r>
        <w:lastRenderedPageBreak/>
        <w:t>Keywords</w:t>
      </w:r>
    </w:p>
    <w:p w14:paraId="313C18F6" w14:textId="20666B1A" w:rsidR="00CE5E9E" w:rsidRDefault="00357530" w:rsidP="00DA3F2E">
      <w:r w:rsidRPr="00357530">
        <w:t>Aortic</w:t>
      </w:r>
      <w:r>
        <w:t xml:space="preserve"> Stenosis; Relative Survival; Transcat</w:t>
      </w:r>
      <w:r w:rsidR="004A04A3">
        <w:t>heter Aortic Valve Implantation</w:t>
      </w:r>
      <w:r w:rsidR="00D62813">
        <w:t>; Mortality</w:t>
      </w:r>
    </w:p>
    <w:p w14:paraId="7C272483" w14:textId="77777777" w:rsidR="000A7FA4" w:rsidRDefault="000A7FA4" w:rsidP="00643B21">
      <w:pPr>
        <w:pStyle w:val="Heading1"/>
        <w:spacing w:before="0"/>
      </w:pPr>
    </w:p>
    <w:p w14:paraId="03812294" w14:textId="18148C40" w:rsidR="00D60C78" w:rsidRDefault="00FA5D5A" w:rsidP="00643B21">
      <w:pPr>
        <w:pStyle w:val="Heading1"/>
        <w:spacing w:before="0"/>
      </w:pPr>
      <w:r>
        <w:t>Clinical Perspectives</w:t>
      </w:r>
    </w:p>
    <w:p w14:paraId="112310FB" w14:textId="77777777" w:rsidR="008E3C5A" w:rsidRDefault="008E3C5A" w:rsidP="008E3C5A">
      <w:pPr>
        <w:pStyle w:val="Heading2"/>
        <w:spacing w:before="0"/>
      </w:pPr>
      <w:r>
        <w:t>What is new?</w:t>
      </w:r>
    </w:p>
    <w:p w14:paraId="3F6A999D" w14:textId="77777777" w:rsidR="008E3C5A" w:rsidRDefault="008E3C5A" w:rsidP="008E3C5A">
      <w:pPr>
        <w:pStyle w:val="ListParagraph"/>
        <w:numPr>
          <w:ilvl w:val="0"/>
          <w:numId w:val="15"/>
        </w:numPr>
        <w:spacing w:line="480" w:lineRule="auto"/>
      </w:pPr>
      <w:r>
        <w:t>Relative survival (RS) adjusts observed mortality, for mortality rates expected within an age-, sex-, year- and region-matched general population.</w:t>
      </w:r>
    </w:p>
    <w:p w14:paraId="7793F1D3" w14:textId="744DBDFF" w:rsidR="008E3C5A" w:rsidRDefault="000A7FA4" w:rsidP="008E3C5A">
      <w:pPr>
        <w:pStyle w:val="ListParagraph"/>
        <w:numPr>
          <w:ilvl w:val="0"/>
          <w:numId w:val="15"/>
        </w:numPr>
        <w:spacing w:line="480" w:lineRule="auto"/>
      </w:pPr>
      <w:r>
        <w:t>This</w:t>
      </w:r>
      <w:r w:rsidR="008E3C5A">
        <w:t xml:space="preserve"> is the first </w:t>
      </w:r>
      <w:r>
        <w:t xml:space="preserve">study </w:t>
      </w:r>
      <w:r w:rsidR="008E3C5A">
        <w:t xml:space="preserve">to apply RS </w:t>
      </w:r>
      <w:r w:rsidR="002417EB">
        <w:t>in</w:t>
      </w:r>
      <w:r w:rsidR="008E3C5A">
        <w:t xml:space="preserve"> </w:t>
      </w:r>
      <w:r>
        <w:t>transcatheter aortic valve implantation (TAVI)</w:t>
      </w:r>
      <w:r w:rsidR="008E3C5A">
        <w:t xml:space="preserve">, and demonstrates good long-term RS rates in patients </w:t>
      </w:r>
      <w:r>
        <w:t>selected for</w:t>
      </w:r>
      <w:r w:rsidR="008E3C5A">
        <w:t xml:space="preserve"> </w:t>
      </w:r>
      <w:r w:rsidR="002417EB">
        <w:t>the procedure</w:t>
      </w:r>
      <w:r w:rsidR="008E3C5A">
        <w:t>.</w:t>
      </w:r>
    </w:p>
    <w:p w14:paraId="01B12B09" w14:textId="4B055BB3" w:rsidR="008E3C5A" w:rsidRDefault="008E3C5A" w:rsidP="008E3C5A">
      <w:pPr>
        <w:pStyle w:val="ListParagraph"/>
        <w:numPr>
          <w:ilvl w:val="0"/>
          <w:numId w:val="15"/>
        </w:numPr>
        <w:spacing w:line="480" w:lineRule="auto"/>
      </w:pPr>
      <w:r>
        <w:t>RS was particularly high in elderly patients, where their observed mortality hazards returned to that seen in a matched general population by one-year post TAVI.</w:t>
      </w:r>
    </w:p>
    <w:p w14:paraId="62690C2D" w14:textId="78AEFD38" w:rsidR="000A7FA4" w:rsidRDefault="002417EB" w:rsidP="000A7FA4">
      <w:pPr>
        <w:pStyle w:val="ListParagraph"/>
        <w:numPr>
          <w:ilvl w:val="0"/>
          <w:numId w:val="15"/>
        </w:numPr>
        <w:spacing w:line="480" w:lineRule="auto"/>
      </w:pPr>
      <w:r>
        <w:t>H</w:t>
      </w:r>
      <w:r w:rsidR="000A7FA4">
        <w:t>igh RS within elderly TAVI patients indicates that a large proportion of long-term deaths can be accounted for by the underlying mortality risks within the general population.</w:t>
      </w:r>
    </w:p>
    <w:p w14:paraId="04CCA3A8" w14:textId="77777777" w:rsidR="008E3C5A" w:rsidRDefault="008E3C5A" w:rsidP="008E3C5A">
      <w:pPr>
        <w:pStyle w:val="Heading2"/>
      </w:pPr>
      <w:r>
        <w:t>What are the clinical implications?</w:t>
      </w:r>
    </w:p>
    <w:p w14:paraId="39AF1E07" w14:textId="16CE82C9" w:rsidR="008E3C5A" w:rsidRDefault="008E3C5A" w:rsidP="008E3C5A">
      <w:pPr>
        <w:pStyle w:val="ListParagraph"/>
        <w:numPr>
          <w:ilvl w:val="0"/>
          <w:numId w:val="14"/>
        </w:numPr>
        <w:spacing w:line="480" w:lineRule="auto"/>
      </w:pPr>
      <w:r>
        <w:t>Elderly patients with severe aortic stenosis</w:t>
      </w:r>
      <w:r w:rsidR="000006CA">
        <w:t>,</w:t>
      </w:r>
      <w:r>
        <w:t xml:space="preserve"> who are selected to undergo TAVI, tolerate the risks of the procedure well, wh</w:t>
      </w:r>
      <w:r w:rsidR="00CD7FD2">
        <w:t>ich has important implications from</w:t>
      </w:r>
      <w:r>
        <w:t xml:space="preserve"> a resource allocation perspective.</w:t>
      </w:r>
    </w:p>
    <w:p w14:paraId="3F7BCDAE" w14:textId="7D43E77D" w:rsidR="000A7FA4" w:rsidRDefault="000006CA" w:rsidP="008E3C5A">
      <w:pPr>
        <w:pStyle w:val="ListParagraph"/>
        <w:numPr>
          <w:ilvl w:val="0"/>
          <w:numId w:val="14"/>
        </w:numPr>
        <w:spacing w:line="480" w:lineRule="auto"/>
      </w:pPr>
      <w:r>
        <w:t>T</w:t>
      </w:r>
      <w:r w:rsidR="000A7FA4">
        <w:t xml:space="preserve">he </w:t>
      </w:r>
      <w:r>
        <w:t>careful</w:t>
      </w:r>
      <w:r w:rsidR="000A7FA4">
        <w:t xml:space="preserve"> selection </w:t>
      </w:r>
      <w:r w:rsidR="002417EB">
        <w:t xml:space="preserve">applied to </w:t>
      </w:r>
      <w:r w:rsidR="000A7FA4">
        <w:t xml:space="preserve">elderly TAVI candidates appears </w:t>
      </w:r>
      <w:r>
        <w:t>to control procedure related mortality rates</w:t>
      </w:r>
      <w:r w:rsidR="000A7FA4">
        <w:t xml:space="preserve">, </w:t>
      </w:r>
      <w:r>
        <w:t xml:space="preserve">meaning that elderly patients should continue to be considered for TAVI, </w:t>
      </w:r>
      <w:r w:rsidR="000A7FA4">
        <w:t xml:space="preserve">even with the </w:t>
      </w:r>
      <w:r>
        <w:t>potential expansion into lower risk patients.</w:t>
      </w:r>
    </w:p>
    <w:p w14:paraId="12AB7843" w14:textId="6BB1DC58" w:rsidR="00FA5D5A" w:rsidRDefault="00CD7FD2" w:rsidP="00FA5D5A">
      <w:pPr>
        <w:pStyle w:val="ListParagraph"/>
        <w:numPr>
          <w:ilvl w:val="0"/>
          <w:numId w:val="14"/>
        </w:numPr>
        <w:spacing w:line="480" w:lineRule="auto"/>
      </w:pPr>
      <w:r>
        <w:t>Future</w:t>
      </w:r>
      <w:r w:rsidR="008E3C5A">
        <w:t xml:space="preserve"> reporting of mortality rates from national TAVI registries should be presented in the context of the patient population, particularly when comparing rates across countries where underlying expected mortality may vary considerably. </w:t>
      </w:r>
    </w:p>
    <w:p w14:paraId="3E5515D2" w14:textId="77777777" w:rsidR="00FA5D5A" w:rsidRPr="00FA5D5A" w:rsidRDefault="00FA5D5A" w:rsidP="00FA5D5A">
      <w:pPr>
        <w:sectPr w:rsidR="00FA5D5A" w:rsidRPr="00FA5D5A" w:rsidSect="00CB7136">
          <w:pgSz w:w="11906" w:h="16838"/>
          <w:pgMar w:top="1440" w:right="1440" w:bottom="1440" w:left="1440" w:header="708" w:footer="708" w:gutter="0"/>
          <w:cols w:space="708"/>
          <w:docGrid w:linePitch="360"/>
        </w:sectPr>
      </w:pPr>
    </w:p>
    <w:p w14:paraId="69967067" w14:textId="77777777" w:rsidR="008A48F0" w:rsidRDefault="008A48F0" w:rsidP="00E1754A">
      <w:pPr>
        <w:pStyle w:val="Heading1"/>
      </w:pPr>
      <w:r>
        <w:lastRenderedPageBreak/>
        <w:t>Introduction</w:t>
      </w:r>
    </w:p>
    <w:p w14:paraId="32FD9CBD" w14:textId="199EC6D7" w:rsidR="00371061" w:rsidRDefault="00574633" w:rsidP="00E1754A">
      <w:pPr>
        <w:ind w:firstLine="720"/>
      </w:pPr>
      <w:r>
        <w:t xml:space="preserve">Aortic Stenosis (AS) is the most </w:t>
      </w:r>
      <w:r w:rsidR="009C348C">
        <w:t>common</w:t>
      </w:r>
      <w:r>
        <w:t xml:space="preserve"> </w:t>
      </w:r>
      <w:r w:rsidR="00594B15">
        <w:t>valve pathology</w:t>
      </w:r>
      <w:r>
        <w:t xml:space="preserve"> </w:t>
      </w:r>
      <w:r w:rsidR="00594B15">
        <w:t xml:space="preserve">in Europe and North America </w:t>
      </w:r>
      <w:r>
        <w:t>and occurs</w:t>
      </w:r>
      <w:r w:rsidRPr="00C1345E">
        <w:t xml:space="preserve"> </w:t>
      </w:r>
      <w:r w:rsidR="00A844DB">
        <w:t>due to</w:t>
      </w:r>
      <w:r w:rsidR="002F66C0">
        <w:t xml:space="preserve"> an age-</w:t>
      </w:r>
      <w:r w:rsidRPr="00C1345E">
        <w:t>related degeneration and calcification of the aortic valve</w:t>
      </w:r>
      <w:r>
        <w:t xml:space="preserve">. </w:t>
      </w:r>
      <w:r w:rsidR="00BC4F9D">
        <w:t>T</w:t>
      </w:r>
      <w:r>
        <w:t xml:space="preserve">he </w:t>
      </w:r>
      <w:r w:rsidRPr="00C1345E">
        <w:t xml:space="preserve">onset of </w:t>
      </w:r>
      <w:r w:rsidR="00777CF5">
        <w:t xml:space="preserve">AS </w:t>
      </w:r>
      <w:r w:rsidRPr="00C1345E">
        <w:t>symptoms is associated with poor prognosis</w:t>
      </w:r>
      <w:r w:rsidR="00CF57E5">
        <w:t>,</w:t>
      </w:r>
      <w:r w:rsidR="003428D6">
        <w:t xml:space="preserve"> with </w:t>
      </w:r>
      <w:r w:rsidR="003428D6" w:rsidRPr="00C1345E">
        <w:t>a</w:t>
      </w:r>
      <w:r w:rsidR="00594B15">
        <w:t>n</w:t>
      </w:r>
      <w:r w:rsidR="003428D6" w:rsidRPr="00C1345E">
        <w:t xml:space="preserve"> estimated </w:t>
      </w:r>
      <w:r w:rsidR="00594B15">
        <w:t xml:space="preserve">annual </w:t>
      </w:r>
      <w:r w:rsidR="003428D6" w:rsidRPr="00C1345E">
        <w:t xml:space="preserve">mortality rate of 25% </w:t>
      </w:r>
      <w:r w:rsidR="00564B7B">
        <w:fldChar w:fldCharType="begin" w:fldLock="1"/>
      </w:r>
      <w:r w:rsidR="00DA3F2E">
        <w:instrText>ADDIN CSL_CITATION { "citationItems" : [ { "id" : "ITEM-1", "itemData" : { "DOI" : "10.1016/S0140-6736(09)60211-7", "ISBN" : "0140-6736", "ISSN" : "01406736", "PMID" : "19232707", "abstract" : "In developed countries, aortic stenosis is the most prevalent of all valvular heart diseases. A manifestation of ageing, the disorder is becoming more frequent as the average age of the population increases. Symptomatic severe disease is universally fatal if left untreated yet is consistent with a typical lifespan when mechanical relief of the stenosis is provided in a timely fashion. Management of mild disease, severe asymptomatic disease, and far advanced disease, and the effect of new percutaneous treatments, provide both controversy and exciting promise to care of patients with aortic stenosis. We discuss these issues in this Review. ?? 2009 Elsevier Ltd. All rights reserved.", "author" : [ { "dropping-particle" : "", "family" : "Carabello", "given" : "Blase A.", "non-dropping-particle" : "", "parse-names" : false, "suffix" : "" }, { "dropping-particle" : "", "family" : "Paulus", "given" : "Walter J.", "non-dropping-particle" : "", "parse-names" : false, "suffix" : "" } ], "container-title" : "The Lancet", "id" : "ITEM-1", "issued" : { "date-parts" : [ [ "2009" ] ] }, "page" : "956-966", "publisher" : "Elsevier Ltd", "title" : "Aortic stenosis", "type" : "article-journal", "volume" : "373" }, "uris" : [ "http://www.mendeley.com/documents/?uuid=960b8570-ddc6-4490-84be-1ca6a5e4d5d0" ] } ], "mendeley" : { "formattedCitation" : "&lt;sup&gt;1&lt;/sup&gt;", "plainTextFormattedCitation" : "1", "previouslyFormattedCitation" : "(1)" }, "properties" : { "noteIndex" : 0 }, "schema" : "https://github.com/citation-style-language/schema/raw/master/csl-citation.json" }</w:instrText>
      </w:r>
      <w:r w:rsidR="00564B7B">
        <w:fldChar w:fldCharType="separate"/>
      </w:r>
      <w:r w:rsidR="00DA3F2E" w:rsidRPr="00DA3F2E">
        <w:rPr>
          <w:noProof/>
          <w:vertAlign w:val="superscript"/>
        </w:rPr>
        <w:t>1</w:t>
      </w:r>
      <w:r w:rsidR="00564B7B">
        <w:fldChar w:fldCharType="end"/>
      </w:r>
      <w:r w:rsidR="003428D6">
        <w:t>.</w:t>
      </w:r>
      <w:r w:rsidR="008B6856">
        <w:t xml:space="preserve"> </w:t>
      </w:r>
      <w:r w:rsidR="00B2510B">
        <w:t>While</w:t>
      </w:r>
      <w:r w:rsidR="00D75CDB">
        <w:t xml:space="preserve"> surgical valve replacement is the mainstay treatment for AS, </w:t>
      </w:r>
      <w:r w:rsidR="00BD4ECB">
        <w:t xml:space="preserve">randomised controlled trials have </w:t>
      </w:r>
      <w:r w:rsidR="004B511E">
        <w:t>demonstrated</w:t>
      </w:r>
      <w:r w:rsidR="00BD4ECB">
        <w:t xml:space="preserve"> </w:t>
      </w:r>
      <w:r w:rsidR="00B2510B">
        <w:t>the efficacy of</w:t>
      </w:r>
      <w:r w:rsidR="0051533E">
        <w:t xml:space="preserve"> </w:t>
      </w:r>
      <w:r w:rsidR="000847B3">
        <w:t>t</w:t>
      </w:r>
      <w:r w:rsidR="00C92087">
        <w:t xml:space="preserve">ranscatheter </w:t>
      </w:r>
      <w:r w:rsidR="000847B3">
        <w:t>a</w:t>
      </w:r>
      <w:r w:rsidR="00C92087">
        <w:t>ortic</w:t>
      </w:r>
      <w:r w:rsidR="0040194A">
        <w:t xml:space="preserve"> </w:t>
      </w:r>
      <w:r w:rsidR="000847B3">
        <w:t>v</w:t>
      </w:r>
      <w:r w:rsidR="0040194A">
        <w:t xml:space="preserve">alve </w:t>
      </w:r>
      <w:r w:rsidR="000847B3">
        <w:t>i</w:t>
      </w:r>
      <w:r w:rsidR="0040194A">
        <w:t xml:space="preserve">mplantation (TAVI) </w:t>
      </w:r>
      <w:r w:rsidR="00C92087">
        <w:t xml:space="preserve">for symptomatic AS </w:t>
      </w:r>
      <w:r>
        <w:t xml:space="preserve">patients </w:t>
      </w:r>
      <w:r w:rsidR="00D75CDB">
        <w:t>considered to be</w:t>
      </w:r>
      <w:r w:rsidR="00567D71">
        <w:t xml:space="preserve"> at</w:t>
      </w:r>
      <w:r w:rsidR="00BD4ECB">
        <w:t xml:space="preserve"> </w:t>
      </w:r>
      <w:r w:rsidR="00567D71">
        <w:t>intermediate to high</w:t>
      </w:r>
      <w:r w:rsidR="0051533E">
        <w:t xml:space="preserve"> </w:t>
      </w:r>
      <w:r>
        <w:t xml:space="preserve">operative risk </w:t>
      </w:r>
      <w:r w:rsidR="00564B7B">
        <w:fldChar w:fldCharType="begin" w:fldLock="1"/>
      </w:r>
      <w:r w:rsidR="00DA3F2E">
        <w:instrText>ADDIN CSL_CITATION { "citationItems" : [ { "id" : "ITEM-1", "itemData" : { "abstract" : "Background Many patients with severe aortic stenosis and coexisting conditions are not candi- dates for surgical replacement of the aortic valve. Recently, transcatheter aortic-valve implantation (TAVI) has been suggested as a less invasive treatment for high-risk patients with aortic stenosis. Methods We randomly assigned patients with severe aortic stenosis, whom surgeons considered not to be suitable candidates for surgery, to standard therapy (including balloon aortic valvuloplasty) or transfemoral transcatheter implantation of a balloon-expandable bovine pericardial valve. The primary end point was the rate of death from any cause. Results A total of 358 patients with aortic stenosis who were not considered to be suitable can- didates for surgery underwent randomization at 21 centers (17 in the United States). At 1 year, the rate of death from any cause (Kaplan\u2013Meier analysis) was 30.7% with TAVI, as compared with 50.7% with standard therapy (hazard ratio with TAVI, 0.55; 95% confidence interval [CI], 0.40 to 0.74; P&lt;0.001). The rate of the composite end point of death from any cause or repeat hospitalization was 42.5% with TAVI as com- pared with 71.6% with standard therapy (hazard ratio, 0.46; 95% CI, 0.35 to 0.59; P&lt;0.001). Among survivors at 1 year, the rate of cardiac symptoms (New York Heart Association class III or IV) was lower among patients who had undergone TAVI than among those who had received standard therapy (25.2% vs. 58.0%, P&lt;0.001). At 30 days, TAVI, as compared with standard therapy, was associated with a higher incidence of major strokes (5.0% vs. 1.1%, P = 0.06) and major vascular complications (16.2% vs. 1.1%, P&lt;0.001). In the year after TAVI, there was no deterioration in the functioning of the bioprosthetic valve, as assessed by evidence of stenosis or regurgitation on an echocardiogram. Conclusions In patients with severe aortic stenosis who were not suitable candidates for surgery, TAVI, as compared with standard therapy, significantly reduced the rates of death from any cause, the composite end point of death from any cause or repeat hospitalization, and cardiac symptoms, despite the higher incidence of major strokes and major vascular events. (Funded by Edwards Lifesciences; ClinicalTrials.gov number, NCT00530894.)", "author" : [ { "dropping-particle" : "", "family" : "Leon", "given" : "MB", "non-dropping-particle" : "", "parse-names" : false, "suffix" : "" }, { "dropping-particle" : "", "family" : "Smith", "given" : "CR", "non-dropping-particle" : "", "parse-names" : false, "suffix" : "" }, { "dropping-particle" : "", "family" : "Mack", "given" : "Michael",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"Brown", "given" : "David L.", "non-dropping-particle" : "", "parse-names" : false, "suffix" : "" }, { "dropping-particle" : "", "family" : "Block", "given" : "Peter C.", "non-dropping-particle" : "", "parse-names" : false, "suffix" : "" }, { "dropping-particle" : "", "family" : "Guyton", "given" : "Robert A.",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"Douglas", "given" : "Pamela S", "non-dropping-particle" : "", "parse-names" : false, "suffix" : "" }, { "dropping-particle" : "", "family" : "Petersen", "given" : "John",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"ITEM-1", "issue" : "17", "issued" : { "date-parts" : [ [ "2010" ] ] }, "note" : "The major PARTENER trial (cohort B)", "page" : "1597-1607", "title" : "Transcatheter aortic-valve implantation for aortic stenosis in patients who cannot undergo surgery", "type" : "article-journal", "volume" : "363" }, "uris" : [ "http://www.mendeley.com/documents/?uuid=ea252da9-2518-441a-b54b-1e3e54a82f01" ] }, { "id" : "ITEM-2", "itemData" : { "author" : [ { "dropping-particle" : "", "family" : "Smith", "given" : "CR", "non-dropping-particle" : "", "parse-names" : false, "suffix" : "" }, { "dropping-particle" : "", "family" : "Leon", "given" : "MB", "non-dropping-particle" : "", "parse-names" : false, "suffix" : "" }, { "dropping-particle" : "", "family" : "Mack", "given" : "MJ",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"Williams", "given" : "Mathew", "non-dropping-particle" : "", "parse-names" : false, "suffix" : "" }, { "dropping-particle" : "", "family" : "Dewey", "given" : "Todd M", "non-dropping-particle" : "", "parse-names" : false, "suffix" : "" }, { "dropping-particle" : "", "family" : "Kapadia", "given" : "Samir", "non-dropping-particle" : "", "parse-names" : false, "suffix" : "" }, { "dropping-particle" : "", "family" : "Babaliaros", "given" : "Vasilis", "non-dropping-particle" : "", "parse-names" : false, "suffix" : "" }, { "dropping-particle" : "", "family" : "Thourani", "given" : "Vinod H.", "non-dropping-particle" : "", "parse-names" : false, "suffix" : "" }, { "dropping-particle" : "", "family" : "Corso", "given" : "Paul",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"ITEM-2", "issue" : "23", "issued" : { "date-parts" : [ [ "2011" ] ] }, "note" : "PARTNER trial cohort A", "page" : "2187-2198", "title" : "Transcatheter versus surgical aortic-valve replacement in high-risk patients", "type" : "article-journal", "volume" : "364" }, "uris" : [ "http://www.mendeley.com/documents/?uuid=bd4cf296-5ccf-4fdc-8c41-9a0b4133444a" ] }, { "id" : "ITEM-3", "itemData" : { "DOI" : "10.1093/eurheartj/ehs109", "ISSN" : "0195-668X", "PMID" : "22922415", "author" : [ { "dropping-particle" : "", "family" : "Vahanian", "given" : "Alec", "non-dropping-particle" : "", "parse-names" : false, "suffix" : "" }, { "dropping-particle" : "", "family" : "Alfieri", "given" : "Ottavio", "non-dropping-particle" : "", "parse-names" : false, "suffix" : "" }, { "dropping-particle" : "", "family" : "Andreotti", "given" : "Felicita", "non-dropping-particle" : "", "parse-names" : false, "suffix" : "" }, { "dropping-particle" : "", "family" : "Antunes", "given" : "Manuel J", "non-dropping-particle" : "", "parse-names" : false, "suffix" : "" }, { "dropping-particle" : "", "family" : "Baron-Esquivias", "given" : "G.", "non-dropping-particle" : "", "parse-names" : false, "suffix" : "" }, { "dropping-particle" : "", "family" : "Baumgartner", "given" : "Helmut", "non-dropping-particle" : "", "parse-names" : false, "suffix" : "" }, { "dropping-particle" : "", "family" : "Borger", "given" : "Michael Andrew", "non-dropping-particle" : "", "parse-names" : false, "suffix" : "" }, { "dropping-particle" : "", "family" : "Carrel", "given" : "Thierry P", "non-dropping-particle" : "", "parse-names" : false, "suffix" : "" }, { "dropping-particle" : "", "family" : "Bonis", "given" : "Michele", "non-dropping-particle" : "De", "parse-names" : false, "suffix" : "" }, { "dropping-particle" : "", "family" : "Evangelista", "given" : "Arturo", "non-dropping-particle" : "", "parse-names" : false, "suffix" : "" }, { "dropping-particle" : "", "family" : "Falk", "given" : "Volkmar", "non-dropping-particle" : "", "parse-names" : false, "suffix" : "" }, { "dropping-particle" : "", "family" : "Iung", "given" : "Bernard", "non-dropping-particle" : "", "parse-names" : false, "suffix" : "" }, { "dropping-particle" : "", "family" : "Lancellotti", "given" : "Patrizio", "non-dropping-particle" : "", "parse-names" : false, "suffix" : "" }, { "dropping-particle" : "", "family" : "Pierard", "given" : "Luc", "non-dropping-particle" : "", "parse-names" : false, "suffix" : "" }, { "dropping-particle" : "", "family" : "Price", "given" : "Susanna", "non-dropping-particle" : "", "parse-names" : false, "suffix" : "" }, { "dropping-particle" : "", "family" : "Schafers", "given" : "H.-J.", "non-dropping-particle" : "", "parse-names" : false, "suffix" : "" }, { "dropping-particle" : "", "family" : "Schuler", "given" : "Gerhard", "non-dropping-particle" : "", "parse-names" : false, "suffix" : "" }, { "dropping-particle" : "", "family" : "Stepinska", "given" : "Janina", "non-dropping-particle" : "", "parse-names" : false, "suffix" : "" }, { "dropping-particle" : "", "family" : "Swedberg", "given" : "Karl", "non-dropping-particle" : "", "parse-names" : false, "suffix" : "" }, { "dropping-particle" : "", "family" : "Takkenberg", "given" : "Johanna", "non-dropping-particle" : "", "parse-names" : false, "suffix" : "" }, { "dropping-particle" : "", "family" : "Oppell", "given" : "Ulrich Otto", "non-dropping-particle" : "Von", "parse-names" : false, "suffix" : "" }, { "dropping-particle" : "", "family" : "Windecker", "given" : "Stephan", "non-dropping-particle" : "", "parse-names" : false, "suffix" : "" }, { "dropping-particle" : "", "family" : "Zamorano", "given" : "Jose Luis", "non-dropping-particle" : "", "parse-names" : false, "suffix" : "" }, { "dropping-particle" : "", "family" : "Zembala", "given" : "Marian", "non-dropping-particle" : "", "parse-names" : false, "suffix" : "" }, { "dropping-particle" : "", "family" : "Bax", "given" : "J. J.", "non-dropping-particle" : "", "parse-names" : false, "suffix" : "" }, { "dropping-particle" : "", "family" : "Baumgartner", "given" : "Helmut",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"Popescu", "given" : "B. A.", "non-dropping-particle" : "", "parse-names" : false, "suffix" : "" }, { "dropping-particle" : "", "family" : "Segesser", "given" : "L.", "non-dropping-particle" : "Von", "parse-names" : false, "suffix" : "" }, { "dropping-particle" : "", "family" : "Badano", "given" : "L. P.", "non-dropping-particle" : "", "parse-names" : false, "suffix" : "" }, { "dropping-particle" : "", "family" : "Bunc", "given" : "M.", "non-dropping-particle" : "", "parse-names" : false, "suffix" : "" }, { "dropping-particle" : "", "family" : "Claeys", "given" : "M. J.", "non-dropping-particle" : "", "parse-names" : false, "suffix" : "" }, { "dropping-particle" : "", "family" : "Drinkovic", "given" : "N.", "non-dropping-particle" : "", "parse-names" : false, "suffix" : "" }, { "dropping-particle" : "", "family" : "Filippatos", "given" : "G.", "non-dropping-particle" : "", "parse-names" : false, "suffix" : "" }, { "dropping-particle" : "", "family" : "Habib", "given" : "G.", "non-dropping-particle" : "", "parse-names" : false, "suffix" : "" }, { "dropping-particle" : "", "family" : "Kappetein", "given" : "A. P.", "non-dropping-particle" : "", "parse-names" : false, "suffix" : "" }, { "dropping-particle" : "", "family" : "Kassab", "given" : "R.", "non-dropping-particle" : "", "parse-names" : false, "suffix" : "" }, { "dropping-particle" : "", "family" : "Lip", "given" : "G. Y. H.", "non-dropping-particle" : "", "parse-names" : false, "suffix" : "" }, { "dropping-particle" : "", "family" : "Moat", "given" : "N.", "non-dropping-particle" : "", "parse-names" : false, "suffix" : "" }, { "dropping-particle" : "", "family" : "Nickenig", "given" : "G.", "non-dropping-particle" : "", "parse-names" : false, "suffix" : "" }, { "dropping-particle" : "", "family" : "Otto", "given" : "C. M.", "non-dropping-particle" : "", "parse-names" : false, "suffix" : "" }, { "dropping-particle" : "", "family" : "Pepper", "given" : "J.", "non-dropping-particle" : "", "parse-names" : false, "suffix" : "" }, { "dropping-particle" : "", "family" : "Piazza", "given" : "N.", "non-dropping-particle" : "", "parse-names" : false, "suffix" : "" }, { "dropping-particle" : "", "family" : "Pieper", "given" : "P. G.", "non-dropping-particle" : "", "parse-names" : false, "suffix" : "" }, { "dropping-particle" : "", "family" : "Rosenhek", "given" : "R.", "non-dropping-particle" : "", "parse-names" : false, "suffix" : "" }, { "dropping-particle" : "", "family" : "Shuka", "given" : "N.", "non-dropping-particle" : "", "parse-names" : false, "suffix" : "" }, { "dropping-particle" : "", "family" : "Schwammenthal", "given" : "E.", "non-dropping-particle" : "", "parse-names" : false, "suffix" : "" }, { "dropping-particle" : "", "family" : "Schwitter", "given" : "J.", "non-dropping-particle" : "", "parse-names" : false, "suffix" : "" }, { "dropping-particle" : "", "family" : "Mas", "given" : "P. T.", "non-dropping-particle" : "", "parse-names" : false, "suffix" : "" }, { "dropping-particle" : "", "family" : "Trindade", "given" : "P. T.", "non-dropping-particle" : "", "parse-names" : false, "suffix" : "" }, { "dropping-particle" : "", "family" : "Walther", "given" : "T.", "non-dropping-particle" : "", "parse-names" : false, "suffix" : "" } ], "container-title" : "European Heart Journal", "id" : "ITEM-3", "issue" : "19", "issued" : { "date-parts" : [ [ "2012", "10", "1" ] ] }, "page" : "2451-2496", "title" : "Guidelines on the management of valvular heart disease (version 2012): The Joint Task Force on the Management of Valvular Heart Disease of the European Society of Cardiology (ESC) and the European Association for Cardio-Thoracic Surgery (EACTS)", "type" : "article-journal", "volume" : "33" }, "uris" : [ "http://www.mendeley.com/documents/?uuid=023294aa-5a09-4750-bf9b-a95c5ba5488d" ] }, { "id" : "ITEM-4",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"ITEM-4",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"&lt;sup&gt;2\u20135&lt;/sup&gt;", "plainTextFormattedCitation" : "2\u20135", "previouslyFormattedCitation" : "(2\u20135)" }, "properties" : { "noteIndex" : 0 }, "schema" : "https://github.com/citation-style-language/schema/raw/master/csl-citation.json" }</w:instrText>
      </w:r>
      <w:r w:rsidR="00564B7B">
        <w:fldChar w:fldCharType="separate"/>
      </w:r>
      <w:r w:rsidR="00DA3F2E" w:rsidRPr="00DA3F2E">
        <w:rPr>
          <w:noProof/>
          <w:vertAlign w:val="superscript"/>
        </w:rPr>
        <w:t>2–5</w:t>
      </w:r>
      <w:r w:rsidR="00564B7B">
        <w:fldChar w:fldCharType="end"/>
      </w:r>
      <w:r>
        <w:t xml:space="preserve">. </w:t>
      </w:r>
      <w:r w:rsidR="00BD4ECB">
        <w:t>Similarly, s</w:t>
      </w:r>
      <w:r w:rsidR="002E3214">
        <w:t xml:space="preserve">tudies on </w:t>
      </w:r>
      <w:r w:rsidR="008A48F0">
        <w:t xml:space="preserve">several </w:t>
      </w:r>
      <w:r w:rsidR="002E3214">
        <w:t>national TAVI registries have shown favourab</w:t>
      </w:r>
      <w:r w:rsidR="00C23FC1">
        <w:t>le short-</w:t>
      </w:r>
      <w:r w:rsidR="00BD4ECB">
        <w:t xml:space="preserve"> and </w:t>
      </w:r>
      <w:r w:rsidR="00C23FC1">
        <w:t xml:space="preserve">mid-term mortality </w:t>
      </w:r>
      <w:r w:rsidR="00564B7B">
        <w:fldChar w:fldCharType="begin" w:fldLock="1"/>
      </w:r>
      <w:r w:rsidR="00DA3F2E">
        <w:instrText>ADDIN CSL_CITATION { "citationItems" : [ { "id" : "ITEM-1", "itemData" : { "DOI" : "10.1093/eurheartj/ehq261", "ISSN" : "1522-9645", "PMID" : "20843959", "abstract" : "AIMS: Transcatheter aortic valve implantation is a therapeutic alternative for high-surgical-risk patients with severe symptomatic aortic stenosis. Two models of prosthesis are currently commercialized in France, which can be implanted either via a transarterial or a transapical approach. The aim of the study was to evaluate in a national French registry the early safety and efficacy of transcatheter aortic valve replacement (AVR) using either the Edwards SAPIEN\u2122 or CoreValve\u2122 in high-surgical-risk patients with severe aortic stenosis.\n\nMETHODS AND RESULTS: The multicentre national registry was conducted in 16 centres between February 2009 and June 2009, under the authority of the French Societies of Cardiology and Thoracic and Cardio-Vascular Surgery. The primary endpoint was mortality at 1 month. Two hundred and forty-four high-surgical-risk patients (logistic EuroSCORE \u226520%, STS \u226510%, or contra-indication to AVR) were enrolled. Mean age was 82 \u00b1 7 years and 43.9% were female. Edwards SAPIEN and CoreValve were implanted in 68 and 32% of patients, respectively. The approaches used were transarterial (transfemoral: 66%; subclavian: 5%) or transapical in 29%. Device success rate was 98.3% and 30-day mortality was 12.7%. Severe complications included stroke (3.6%), tamponade (2%), acute coronary occlusion (1.2%), and vascular complications (7.3%). Pacemaker was required in 11.8%. At 1 month, 88% of patients were in NYHA class II or less.\n\nCONCLUSION: This prospective registry reflects the real-life experience of transcatheter aortic valve implantation in high-risk elderly patients in France. The early results are satisfactory in terms of feasibility, short-term haemodynamic and functional improvement, and safety. Longer term follow-up will be further assessed.", "author" : [ { "dropping-particle" : "", "family" : "Eltchaninoff", "given" : "H\u00e9l\u00e8ne", "non-dropping-particle" : "", "parse-names" : false, "suffix" : "" }, { "dropping-particle" : "", "family" : "Prat", "given" : "Alain", "non-dropping-particle" : "", "parse-names" : false, "suffix" : "" }, { "dropping-particle" : "", "family" : "Gilard", "given" : "Martine", "non-dropping-particle" : "", "parse-names" : false, "suffix" : "" }, { "dropping-particle" : "", "family" : "Leguerrier", "given" : "Alain", "non-dropping-particle" : "", "parse-names" : false, "suffix" : "" }, { "dropping-particle" : "", "family" : "Blanchard", "given" : "Didier", "non-dropping-particle" : "", "parse-names" : false, "suffix" : "" }, { "dropping-particle" : "", "family" : "Fournial", "given" : "G\u00e9rard", "non-dropping-particle" : "", "parse-names" : false, "suffix" : "" }, { "dropping-particle" : "", "family" : "Iung", "given" : "Bernard", "non-dropping-particle" : "", "parse-names" : false, "suffix" : "" }, { "dropping-particle" : "", "family" : "Donzeau-Gouge", "given" : "Patrick", "non-dropping-particle" : "", "parse-names" : false, "suffix" : "" }, { "dropping-particle" : "", "family" : "Tribouilloy", "given" : "Christophe", "non-dropping-particle" : "", "parse-names" : false, "suffix" : "" }, { "dropping-particle" : "", "family" : "Debrux", "given" : "Jean-Louis", "non-dropping-particle" : "", "parse-names" : false, "suffix" : "" }, { "dropping-particle" : "", "family" : "Pavie", "given" : "Alain", "non-dropping-particle" : "", "parse-names" : false, "suffix" : "" }, { "dropping-particle" : "", "family" : "Gueret", "given" : "Pascal", "non-dropping-particle" : "", "parse-names" : false, "suffix" : "" } ], "container-title" : "European heart journal", "id" : "ITEM-1", "issue" : "2", "issued" : { "date-parts" : [ [ "2011", "1" ] ] }, "note" : "Evaluates the TAVI registry in FRANCE of patients considered at too high risk for conventional SAVR (multi-centre study). 244 patients were included who both had TA and TF approaches. \n\n\n\n\nThe mean age of the patients was 82 with 43% of them being female. \n\n\n\n\nThe one-month mortality was 12.7% (81% of them in the first week).", "page" : "191-7", "title" : "Transcatheter aortic valve implantation: early results of the FRANCE (FRench Aortic National CoreValve and Edwards) registry.", "type" : "article-journal", "volume" : "32" }, "uris" : [ "http://www.mendeley.com/documents/?uuid=b5903ca2-1025-43f7-a5e5-6e6b055d91ea" ] }, { "id" : "ITEM-2", "itemData" : { "DOI" : "10.1016/j.jacc.2011.08.050", "ISSN" : "07351097", "PMID" : "22019110", "abstract" : "OBJECTIVES: The objective was to define the characteristics of a real-world patient population treated with transcatheter aortic valve implantation (TAVI), regardless of technology or access route, and to evaluate their clinical outcome over the mid to long term. BACKGROUND: Although a substantial body of data exists in relation to early clinical outcomes after TAVI, there are few data on outcomes beyond 1 year in any notable number of patients. METHODS: The U.K. TAVI (United Kingdom Transcatheter Aortic Valve Implantation) Registry was established to report outcomes of all TAVI procedures performed within the United Kingdom. Data were collected prospectively on 870 patients undergoing 877 TAVI procedures up until December 31, 2009. Mortality tracking was achieved in 100% of patients with mortality status reported as of December 2010. RESULTS: Survival at 30 days was 92.9%, and it was 78.6% and 73.7% at 1 year and 2 years, respectively. There was a marked attrition in survival between 30 days and 1 year. In a univariate model, survival was significantly adversely affected by renal dysfunction, the presence of coronary artery disease, and a nontransfemoral approach; whereas left ventricular function (ejection fraction &lt;30%), the presence of moderate/severe aortic regurgitation, and chronic obstructive pulmonary disease remained the only independent predictors of mortality in the multivariate model. CONCLUSIONS: Midterm to long-term survival after TAVI was encouraging in this high-risk patient population, although a substantial proportion of patients died within the first year.", "author" : [ { "dropping-particle" : "", "family" : "Moat", "given" : "Neil E", "non-dropping-particle" : "", "parse-names" : false, "suffix" : "" }, { "dropping-particle" : "", "family" : "Ludman", "given" : "Peter", "non-dropping-particle" : "", "parse-names" : false, "suffix" : "" }, { "dropping-particle" : "", "family" : "Belder", "given" : "Mark A", "non-dropping-particle" : "de", "parse-names" : false, "suffix" : "" }, { "dropping-particle" : "", "family" : "Bridgewater", "given" : "Ben", "non-dropping-particle" : "", "parse-names" : false, "suffix" : "" }, { "dropping-particle" : "", "family" : "Cunningham", "given" : "Andrew D", "non-dropping-particle" : "", "parse-names" : false, "suffix" : "" }, { "dropping-particle" : "", "family" : "Young", "given" : "Christopher P", "non-dropping-particle" : "", "parse-names" : false, "suffix" : "" }, { "dropping-particle" : "", "family" : "Thomas", "given" : "Martyn", "non-dropping-particle" : "", "parse-names" : false, "suffix" : "" }, { "dropping-particle" : "", "family" : "Kovac", "given" : "Jan", "non-dropping-particle" : "", "parse-names" : false, "suffix" : "" }, { "dropping-particle" : "", "family" : "Spyt", "given" : "Tom", "non-dropping-particle" : "", "parse-names" : false, "suffix" : "" }, { "dropping-particle" : "", "family" : "MacCarthy", "given" : "Philip A", "non-dropping-particle" : "", "parse-names" : false, "suffix" : "" }, { "dropping-particle" : "", "family" : "Wendler", "given" : "Olaf", "non-dropping-particle" : "", "parse-names" : false, "suffix" : "" }, { "dropping-particle" : "", "family" : "Hildick-Smith", "given" : "David", "non-dropping-particle" : "", "parse-names" : false, "suffix" : "" }, { "dropping-particle" : "", "family" : "Davies", "given" : "Simon W", "non-dropping-particle" : "", "parse-names" : false, "suffix" : "" }, { "dropping-particle" : "", "family" : "Trivedi", "given" : "Uday", "non-dropping-particle" : "", "parse-names" : false, "suffix" : "" }, { "dropping-particle" : "", "family" : "Blackman", "given" : "Daniel J", "non-dropping-particle" : "", "parse-names" : false, "suffix" : "" }, { "dropping-particle" : "", "family" : "Levy", "given" : "Richard D", "non-dropping-particle" : "", "parse-names" : false, "suffix" : "" }, { "dropping-particle" : "", "family" : "Brecker", "given" : "Stephen J.D.", "non-dropping-particle" : "", "parse-names" : false, "suffix" : "" }, { "dropping-particle" : "", "family" : "Baumbach", "given" : "Andreas", "non-dropping-particle" : "", "parse-names" : false, "suffix" : "" }, { "dropping-particle" : "", "family" : "Daniel", "given" : "Tim", "non-dropping-particle" : "", "parse-names" : false, "suffix" : "" }, { "dropping-particle" : "", "family" : "Gray", "given" : "Huon", "non-dropping-particle" : "", "parse-names" : false, "suffix" : "" }, { "dropping-particle" : "", "family" : "Mullen", "given" : "Michael J", "non-dropping-particle" : "", "parse-names" : false, "suffix" : "" } ], "container-title" : "Journal of the American College of Cardiology", "id" : "ITEM-2", "issue" : "20", "issued" : { "date-parts" : [ [ "2011", "11", "8" ] ] }, "note" : "Paper evaluated the mid-long-term outcomes in patients undergoing TAVI.\n\n\n\n\nThe paper examined data similar to that from the BCIS TAVI dataset (possibly the same need to check this?). The short term incidences of complications such as stroke etc. were analysed but only mortality was analysed at a long term follow-up (1/2 years).\n\n\n\n\n\n\n\n\n&amp;quot;Midterm to long-term survival after TAVI was encouraging in this high-risk patient population, although a sub- stantial proportion of patients died within the first year.&amp;quot;", "page" : "2130-2138", "publisher" : "Elsevier Inc.", "title" : "Long-Term Outcomes After Transcatheter Aortic Valve Implantation in High-Risk Patients With Severe Aortic Stenosis", "type" : "article-journal", "volume" : "58" }, "uris" : [ "http://www.mendeley.com/documents/?uuid=1260e0f2-a67f-4229-9ff5-ce9d989c19cc" ] }, { "id" : "ITEM-3", "itemData" : { "DOI" : "10.1093/eurheartj/ehr491", "ISBN" : "0195-668X", "ISSN" : "0195-668X", "PMID" : "22240494", "abstract" : "AIMS: The paucity of evidences about the long-term durability of currently available transcatheter prostheses is one of the main issues of transcatheter aortic valve implantation (TAVI). We sought to assess 3-year clinical and echocardiographic outcomes of patients undergoing TAVI with the third generation CoreValve prosthesis (Medtronic Incorporation, MN, USA). METHODS AND RESULTS: From the Italian CoreValve registry, 181 who underwent TAVI from June 2007 to August 2008 and eligible for 3-year follow-up were analysed. All outcomes were defined according to the Valve Academic Research Consortium. All-cause mortality at 1, 2, and 3 years was 23.6, 30.3, and 34.8%, respectively. Cardiovascular death at 1, 2, and 3 years was 11.2, 12.1, and 13.5%, respectively. The actuarial survival free from a composite of death, major stroke, myocardial infarction, and life-threatening bleeding was 69.6% at 1 year, 63.5% at 2 years, and 59.7% at 3 years. Patients with renal insufficiency had a higher mortality at 3-year follow-up (49.0 vs. 29.2%, P = 0.007); moreover, patients experiencing post-procedural major or life-threatening bleeding had a higher rate of mortality already seen at 30 days (21.6 vs. 2.8%; P &lt; 0.001) and this result was sustained at 3-year follow-up (62.2 vs. 27.7%; P &lt; 0.001). Mean pressure gradients decreased from 52.2 \u00b1 18.1 mmHg (pre-TAVI) to 10.3 \u00b1 3.1 mmHg (1-year post-TAVI) (P &lt; 0.001); aortic valve area increased from 0.6 \u00b1 0.2 cm(2) (pre-TAVI) to 1.8 \u00b1 0.4 cm(2) (1-year post-TAVI); these results remained stable over the 3 years of follow-up. Paravalvular leak was observed in the majority of patients. There were no cases of progression to moderate or severe regurgitation. No cases of structural valve deterioration were observed. CONCLUSION: This multicentre study demonstrates that TAVI with the 18-Fr CoreValve ReValving System is associated with sustained clinical and functional cardiovascular benefits in high-risk patients with symptomatic aortic stenosis up to 3-year follow-up. Non-cardiac causes accounted for the majority of deaths at follow-up.", "author" : [ { "dropping-particle" : "", "family" : "Ussia", "given" : "G. P.", "non-dropping-particle" : "", "parse-names" : false, "suffix" : "" }, { "dropping-particle" : "", "family" : "Barbanti", "given" : "M.", "non-dropping-particle" : "", "parse-names" : false, "suffix" : "" }, { "dropping-particle" : "", "family" : "Petronio", "given" : "A. S.", "non-dropping-particle" : "", "parse-names" : false, "suffix" : "" }, { "dropping-particle" : "", "family" : "Tarantini", "given" : "G.", "non-dropping-particle" : "", "parse-names" : false, "suffix" : "" }, { "dropping-particle" : "", "family" : "Ettori", "given" : "F.", "non-dropping-particle" : "", "parse-names" : false, "suffix" : "" }, { "dropping-particle" : "", "family" : "Colombo", "given" : "A.", "non-dropping-particle" : "", "parse-names" : false, "suffix" : "" }, { "dropping-particle" : "", "family" : "Violini", "given" : "R.", "non-dropping-particle" : "", "parse-names" : false, "suffix" : "" }, { "dropping-particle" : "", "family" : "Ramondo", "given" : "A.", "non-dropping-particle" : "", "parse-names" : false, "suffix" : "" }, { "dropping-particle" : "", "family" : "Santoro", "given" : "G.", "non-dropping-particle" : "", "parse-names" : false, "suffix" : "" }, { "dropping-particle" : "", "family" : "Klugmann", "given" : "S.", "non-dropping-particle" : "", "parse-names" : false, "suffix" : "" }, { "dropping-particle" : "", "family" : "Bedogni", "given" : "F.", "non-dropping-particle" : "", "parse-names" : false, "suffix" : "" }, { "dropping-particle" : "", "family" : "Maisano", "given" : "F.", "non-dropping-particle" : "", "parse-names" : false, "suffix" : "" }, { "dropping-particle" : "", "family" : "Marzocchi", "given" : "A.", "non-dropping-particle" : "", "parse-names" : false, "suffix" : "" }, { "dropping-particle" : "", "family" : "Poli", "given" : "A.", "non-dropping-particle" : "", "parse-names" : false, "suffix" : "" }, { "dropping-particle" : "", "family" : "Carlo", "given" : "M.", "non-dropping-particle" : "De", "parse-names" : false, "suffix" : "" }, { "dropping-particle" : "", "family" : "Napodano", "given" : "M.", "non-dropping-particle" : "", "parse-names" : false, "suffix" : "" }, { "dropping-particle" : "", "family" : "Fiorina", "given" : "C.", "non-dropping-particle" : "", "parse-names" : false, "suffix" : "" }, { "dropping-particle" : "", "family" : "Marco", "given" : "F.", "non-dropping-particle" : "De", "parse-names" : false, "suffix" : "" }, { "dropping-particle" : "", "family" : "Antoniucci", "given" : "D.", "non-dropping-particle" : "", "parse-names" : false, "suffix" : "" }, { "dropping-particle" : "", "family" : "Cillis", "given" : "E.", "non-dropping-particle" : "de", "parse-names" : false, "suffix" : "" }, { "dropping-particle" : "", "family" : "Capodanno", "given" : "D.", "non-dropping-particle" : "", "parse-names" : false, "suffix" : "" }, { "dropping-particle" : "", "family" : "Tamburino", "given" : "C.", "non-dropping-particle" : "", "parse-names" : false, "suffix" : "" } ], "container-title" : "European Heart Journal", "id" : "ITEM-3", "issue" : "8", "issued" : { "date-parts" : [ [ "2012" ] ] }, "page" : "969-976", "title" : "Transcatheter aortic valve implantation: 3-year outcomes of self-expanding CoreValve prosthesis", "type" : "article-journal", "volume" : "33" }, "uris" : [ "http://www.mendeley.com/documents/?uuid=f5a82b79-4c46-40d5-8777-bbe95e069a4c" ] }, { "id" : "ITEM-4", "itemData" : { "DOI" : "10.1161/CIRCULATIONAHA.114.013947", "ISSN" : "0009-7322", "author" : [ { "dropping-particle" : "", "family" : "Ludman", "given" : "Peter F.", "non-dropping-particle" : "", "parse-names" : false, "suffix" : "" }, { "dropping-particle" : "", "family" : "Moat", "given" : "Neil", "non-dropping-particle" : "", "parse-names" : false, "suffix" : "" }, { "dropping-particle" : "", "family" : "Belder", "given" : "Mark A.", "non-dropping-particle" : "de", "parse-names" : false, "suffix" : "" }, { "dropping-particle" : "", "family" : "Blackman", "given" : "Daniel J.", "non-dropping-particle" : "", "parse-names" : false, "suffix" : "" }, { "dropping-particle" : "", "family" : "Duncan", "given" : "Alison", "non-dropping-particle" : "", "parse-names" : false, "suffix" : "" }, { "dropping-particle" : "", "family" : "Banya", "given" : "Winston", "non-dropping-particle" : "", "parse-names" : false, "suffix" : "" }, { "dropping-particle" : "", "family" : "MacCarthy", "given" : "Philip A.", "non-dropping-particle" : "", "parse-names" : false, "suffix" : "" }, { "dropping-particle" : "", "family" : "Cunningham", "given" : "David", "non-dropping-particle" : "", "parse-names" : false, "suffix" : "" }, { "dropping-particle" : "", "family" : "Wendler", "given" : "Olaf", "non-dropping-particle" : "", "parse-names" : false, "suffix" : "" }, { "dropping-particle" : "", "family" : "Marlee", "given" : "Damian", "non-dropping-particle" : "", "parse-names" : false, "suffix" : "" }, { "dropping-particle" : "", "family" : "Hildick-Smith", "given" : "David", "non-dropping-particle" : "", "parse-names" : false, "suffix" : "" }, { "dropping-particle" : "", "family" : "Young", "given" : "Christopher P.", "non-dropping-particle" : "", "parse-names" : false, "suffix" : "" }, { "dropping-particle" : "", "family" : "Kovac", "given" : "Jan", "non-dropping-particle" : "", "parse-names" : false, "suffix" : "" }, { "dropping-particle" : "", "family" : "Uren", "given" : "Neal G.", "non-dropping-particle" : "", "parse-names" : false, "suffix" : "" }, { "dropping-particle" : "", "family" : "Spyt", "given" : "Tomasz", "non-dropping-particle" : "", "parse-names" : false, "suffix" : "" }, { "dropping-particle" : "", "family" : "Trivedi", "given" : "Uday", "non-dropping-particle" : "", "parse-names" : false, "suffix" : "" }, { "dropping-particle" : "", "family" : "Howell", "given" : "Jonathan", "non-dropping-particle" : "", "parse-names" : false, "suffix" : "" }, { "dropping-particle" : "", "family" : "Gray", "given" : "Huon", "non-dropping-particle" : "", "parse-names" : false, "suffix" : "" } ], "container-title" : "Circulation", "id" : "ITEM-4", "issue" : "13", "issued" : { "date-parts" : [ [ "2015", "3", "31" ] ] }, "page" : "1181-1190", "title" : "Transcatheter Aortic Valve Implantation in the UK: Temporal Trends, Predictors of Outcome and 6 Year Follow Up: A Report from the UK TAVI Registry 2007 to 2012", "type" : "article-journal", "volume" : "131" }, "uris" : [ "http://www.mendeley.com/documents/?uuid=374468da-6776-47de-9534-0f0d4baa8ea6" ] } ], "mendeley" : { "formattedCitation" : "&lt;sup&gt;6\u20139&lt;/sup&gt;", "plainTextFormattedCitation" : "6\u20139", "previouslyFormattedCitation" : "(6\u20139)" }, "properties" : { "noteIndex" : 0 }, "schema" : "https://github.com/citation-style-language/schema/raw/master/csl-citation.json" }</w:instrText>
      </w:r>
      <w:r w:rsidR="00564B7B">
        <w:fldChar w:fldCharType="separate"/>
      </w:r>
      <w:r w:rsidR="00DA3F2E" w:rsidRPr="00DA3F2E">
        <w:rPr>
          <w:noProof/>
          <w:vertAlign w:val="superscript"/>
        </w:rPr>
        <w:t>6–9</w:t>
      </w:r>
      <w:r w:rsidR="00564B7B">
        <w:fldChar w:fldCharType="end"/>
      </w:r>
      <w:r w:rsidR="002E3214">
        <w:t xml:space="preserve">. </w:t>
      </w:r>
      <w:r>
        <w:t xml:space="preserve">However, </w:t>
      </w:r>
      <w:r w:rsidR="00371061">
        <w:t xml:space="preserve">since </w:t>
      </w:r>
      <w:r>
        <w:t xml:space="preserve">TAVI </w:t>
      </w:r>
      <w:r w:rsidR="00371061">
        <w:t xml:space="preserve">is recommended in those at high-risk, the </w:t>
      </w:r>
      <w:r>
        <w:t xml:space="preserve">patients </w:t>
      </w:r>
      <w:r w:rsidR="00B973CD">
        <w:t xml:space="preserve">who undergo such a procedure </w:t>
      </w:r>
      <w:r>
        <w:t>are</w:t>
      </w:r>
      <w:r w:rsidR="00371061">
        <w:t xml:space="preserve"> </w:t>
      </w:r>
      <w:r>
        <w:t xml:space="preserve">older and </w:t>
      </w:r>
      <w:r w:rsidR="00371061">
        <w:t xml:space="preserve">have </w:t>
      </w:r>
      <w:r>
        <w:t xml:space="preserve">more </w:t>
      </w:r>
      <w:r w:rsidR="004B511E">
        <w:t>co</w:t>
      </w:r>
      <w:r>
        <w:t>morbid</w:t>
      </w:r>
      <w:r w:rsidR="00371061">
        <w:t xml:space="preserve"> conditions than those undergoing alternative treatment options. Consequently, </w:t>
      </w:r>
      <w:r>
        <w:t xml:space="preserve">the </w:t>
      </w:r>
      <w:r w:rsidR="00B973CD">
        <w:t xml:space="preserve">long-term mortality </w:t>
      </w:r>
      <w:r w:rsidR="00E968C8">
        <w:t xml:space="preserve">profile </w:t>
      </w:r>
      <w:r w:rsidR="00371061">
        <w:t xml:space="preserve">is difficult to assess in </w:t>
      </w:r>
      <w:r w:rsidR="00E968C8">
        <w:t>TAVI</w:t>
      </w:r>
      <w:r w:rsidR="00371061">
        <w:t xml:space="preserve"> </w:t>
      </w:r>
      <w:r w:rsidR="00876E7E">
        <w:t>patients</w:t>
      </w:r>
      <w:r w:rsidR="00371061">
        <w:t xml:space="preserve"> </w:t>
      </w:r>
      <w:r w:rsidR="00876E7E">
        <w:t>since,</w:t>
      </w:r>
      <w:r w:rsidR="008B2B4D">
        <w:t xml:space="preserve"> by virtue of age</w:t>
      </w:r>
      <w:r w:rsidR="003648C0">
        <w:t xml:space="preserve"> and multi-morbidity</w:t>
      </w:r>
      <w:r w:rsidR="008B2B4D">
        <w:t>,</w:t>
      </w:r>
      <w:r w:rsidR="00371061">
        <w:t xml:space="preserve"> their risk of dying from other causes </w:t>
      </w:r>
      <w:r w:rsidR="004E3277">
        <w:t xml:space="preserve">is </w:t>
      </w:r>
      <w:r w:rsidR="00371061">
        <w:t>high.</w:t>
      </w:r>
    </w:p>
    <w:p w14:paraId="4672D2E1" w14:textId="26E7F5B3" w:rsidR="00BD4ECB" w:rsidRDefault="008B6856" w:rsidP="00E1754A">
      <w:pPr>
        <w:ind w:firstLine="720"/>
      </w:pPr>
      <w:r>
        <w:t xml:space="preserve">Administrative data on cause of death could be used to estimate the mortality profile associated with the disease or treatment in question, but such data are often unreliable </w:t>
      </w:r>
      <w:r>
        <w:fldChar w:fldCharType="begin" w:fldLock="1"/>
      </w:r>
      <w:r w:rsidR="00DA3F2E">
        <w:instrText>ADDIN CSL_CITATION { "citationItems" : [ { "id" : "ITEM-1", "itemData" : { "author" : [ { "dropping-particle" : "", "family" : "Maudsley", "given" : "G", "non-dropping-particle" : "", "parse-names" : false, "suffix" : "" }, { "dropping-particle" : "", "family" : "Williams", "given" : "E M I", "non-dropping-particle" : "", "parse-names" : false, "suffix" : "" } ], "container-title" : "Journal of Public Health Medicine", "id" : "ITEM-1", "issue" : "1", "issued" : { "date-parts" : [ [ "1996" ] ] }, "page" : "59-66", "title" : "\u2018Inaccuracy\u2019 in death certification \u2013 where are we now?", "type" : "article-journal", "volume" : "18" }, "uris" : [ "http://www.mendeley.com/documents/?uuid=899d34cb-2855-4b08-b01d-4fa11776a891" ] } ], "mendeley" : { "formattedCitation" : "&lt;sup&gt;10&lt;/sup&gt;", "plainTextFormattedCitation" : "10", "previouslyFormattedCitation" : "(10)" }, "properties" : { "noteIndex" : 0 }, "schema" : "https://github.com/citation-style-language/schema/raw/master/csl-citation.json" }</w:instrText>
      </w:r>
      <w:r>
        <w:fldChar w:fldCharType="separate"/>
      </w:r>
      <w:r w:rsidR="00DA3F2E" w:rsidRPr="00DA3F2E">
        <w:rPr>
          <w:noProof/>
          <w:vertAlign w:val="superscript"/>
        </w:rPr>
        <w:t>10</w:t>
      </w:r>
      <w:r>
        <w:fldChar w:fldCharType="end"/>
      </w:r>
      <w:r>
        <w:t xml:space="preserve">. </w:t>
      </w:r>
      <w:r w:rsidR="009C7E61">
        <w:rPr>
          <w:rFonts w:eastAsia="Times New Roman"/>
        </w:rPr>
        <w:t>An alternative method is relative survival</w:t>
      </w:r>
      <w:r w:rsidR="00BC60AD">
        <w:rPr>
          <w:rFonts w:eastAsia="Times New Roman"/>
        </w:rPr>
        <w:t xml:space="preserve"> (RS)</w:t>
      </w:r>
      <w:r w:rsidR="009C7E61">
        <w:rPr>
          <w:rFonts w:eastAsia="Times New Roman"/>
        </w:rPr>
        <w:t>, which adjusts</w:t>
      </w:r>
      <w:r w:rsidR="00211F07">
        <w:rPr>
          <w:rFonts w:eastAsia="Times New Roman"/>
        </w:rPr>
        <w:t xml:space="preserve"> the </w:t>
      </w:r>
      <w:r w:rsidR="00211F07" w:rsidRPr="00196716">
        <w:rPr>
          <w:rFonts w:eastAsia="Times New Roman"/>
        </w:rPr>
        <w:t>observed mortality</w:t>
      </w:r>
      <w:r w:rsidR="009C7E61" w:rsidRPr="00196716">
        <w:rPr>
          <w:rFonts w:eastAsia="Times New Roman"/>
        </w:rPr>
        <w:t xml:space="preserve"> for </w:t>
      </w:r>
      <w:r w:rsidR="00211F07" w:rsidRPr="00196716">
        <w:rPr>
          <w:rFonts w:eastAsia="Times New Roman"/>
        </w:rPr>
        <w:t>the</w:t>
      </w:r>
      <w:r w:rsidR="00E72F8D">
        <w:rPr>
          <w:rFonts w:eastAsia="Times New Roman"/>
        </w:rPr>
        <w:t xml:space="preserve"> expected</w:t>
      </w:r>
      <w:r w:rsidR="00211F07" w:rsidRPr="00196716">
        <w:rPr>
          <w:rFonts w:eastAsia="Times New Roman"/>
        </w:rPr>
        <w:t xml:space="preserve"> mortality</w:t>
      </w:r>
      <w:r w:rsidR="004B511E" w:rsidRPr="00196716">
        <w:rPr>
          <w:rFonts w:eastAsia="Times New Roman"/>
        </w:rPr>
        <w:t xml:space="preserve"> rates</w:t>
      </w:r>
      <w:r w:rsidR="009C7E61" w:rsidRPr="00196716">
        <w:rPr>
          <w:rFonts w:eastAsia="Times New Roman"/>
        </w:rPr>
        <w:t xml:space="preserve"> </w:t>
      </w:r>
      <w:r w:rsidR="00211F07" w:rsidRPr="00196716">
        <w:rPr>
          <w:rFonts w:eastAsia="Times New Roman"/>
        </w:rPr>
        <w:t>within</w:t>
      </w:r>
      <w:r w:rsidR="009C7E61" w:rsidRPr="00196716">
        <w:rPr>
          <w:rFonts w:eastAsia="Times New Roman"/>
        </w:rPr>
        <w:t xml:space="preserve"> </w:t>
      </w:r>
      <w:r w:rsidR="00865E47" w:rsidRPr="00196716">
        <w:rPr>
          <w:rFonts w:eastAsia="Times New Roman"/>
        </w:rPr>
        <w:t>a</w:t>
      </w:r>
      <w:r w:rsidR="00801D63" w:rsidRPr="00196716">
        <w:rPr>
          <w:rFonts w:eastAsia="Times New Roman"/>
        </w:rPr>
        <w:t xml:space="preserve"> matched</w:t>
      </w:r>
      <w:r w:rsidR="009C7E61" w:rsidRPr="00196716">
        <w:rPr>
          <w:rFonts w:eastAsia="Times New Roman"/>
        </w:rPr>
        <w:t xml:space="preserve"> </w:t>
      </w:r>
      <w:r w:rsidR="00E97930" w:rsidRPr="00196716">
        <w:rPr>
          <w:rFonts w:eastAsia="Times New Roman"/>
        </w:rPr>
        <w:t xml:space="preserve">general </w:t>
      </w:r>
      <w:r w:rsidR="009C7E61" w:rsidRPr="00196716">
        <w:rPr>
          <w:rFonts w:eastAsia="Times New Roman"/>
        </w:rPr>
        <w:t>population</w:t>
      </w:r>
      <w:r w:rsidR="00FE1014" w:rsidRPr="00196716">
        <w:rPr>
          <w:rFonts w:eastAsia="Times New Roman"/>
        </w:rPr>
        <w:t xml:space="preserve"> </w:t>
      </w:r>
      <w:r w:rsidR="00FE1014" w:rsidRPr="00196716">
        <w:rPr>
          <w:rFonts w:eastAsia="Times New Roman"/>
        </w:rPr>
        <w:fldChar w:fldCharType="begin" w:fldLock="1"/>
      </w:r>
      <w:r w:rsidR="00DA3F2E">
        <w:rPr>
          <w:rFonts w:eastAsia="Times New Roman"/>
        </w:rPr>
        <w:instrText>ADDIN CSL_CITATION { "citationItems" : [ { "id" : "ITEM-1", "itemData" : { "ISSN" : "0083-1921", "PMID" : "13889176", "author" : [ { "dropping-particle" : "", "family" : "Ederer", "given" : "F.", "non-dropping-particle" : "", "parse-names" : false, "suffix" : "" }, { "dropping-particle" : "", "family" : "Axtell", "given" : "L. M.", "non-dropping-particle" : "", "parse-names" : false, "suffix" : "" }, { "dropping-particle" : "", "family" : "Cutler", "given" : "S. J.", "non-dropping-particle" : "", "parse-names" : false, "suffix" : "" } ], "container-title" : "National Cancer Institute monograph", "id" : "ITEM-1", "issued" : { "date-parts" : [ [ "1961", "9", "1" ] ] }, "language" : "en", "page" : "101-21", "title" : "The relative survival rate: a statistical methodology.", "type" : "article-journal", "volume" : "6" }, "uris" : [ "http://www.mendeley.com/documents/?uuid=d9dc0fc9-fce8-44c3-906d-f4621e3853c2" ] }, { "id" : "ITEM-2", "itemData" : { "DOI" : "10.1093/ehjqcco/qcv011", "ISSN" : "2058-5225", "author" : [ { "dropping-particle" : "", "family" : "Hall", "given" : "Marlous", "non-dropping-particle" : "", "parse-names" : false, "suffix" : "" }, { "dropping-particle" : "", "family" : "Alabas", "given" : "Oras A.", "non-dropping-particle" : "", "parse-names" : false, "suffix" : "" }, { "dropping-particle" : "", "family" : "Dondo", "given" : "Tatendashe B.", "non-dropping-particle" : "", "parse-names" : false, "suffix" : "" }, { "dropping-particle" : "", "family" : "Jernberg", "given" : "Tomas", "non-dropping-particle" : "", "parse-names" : false, "suffix" : "" }, { "dropping-particle" : "", "family" : "Gale", "given" : "Chris P.", "non-dropping-particle" : "", "parse-names" : false, "suffix" : "" } ], "container-title" : "European Heart Journal - Quality of Care and Clinical Outcomes", "id" : "ITEM-2", "issue" : "2", "issued" : { "date-parts" : [ [ "2015", "11" ] ] }, "page" : "85-91", "title" : "Use of relative survival to evaluate non-ST-elevation myocardial infarction quality of care and clinical outcomes", "type" : "article-journal", "volume" : "1" }, "uris" : [ "http://www.mendeley.com/documents/?uuid=6fb48826-856c-4693-8be1-340def601a22" ] } ], "mendeley" : { "formattedCitation" : "&lt;sup&gt;11,12&lt;/sup&gt;", "plainTextFormattedCitation" : "11,12", "previouslyFormattedCitation" : "(11,12)" }, "properties" : { "noteIndex" : 0 }, "schema" : "https://github.com/citation-style-language/schema/raw/master/csl-citation.json" }</w:instrText>
      </w:r>
      <w:r w:rsidR="00FE1014" w:rsidRPr="00196716">
        <w:rPr>
          <w:rFonts w:eastAsia="Times New Roman"/>
        </w:rPr>
        <w:fldChar w:fldCharType="separate"/>
      </w:r>
      <w:r w:rsidR="00DA3F2E" w:rsidRPr="00DA3F2E">
        <w:rPr>
          <w:rFonts w:eastAsia="Times New Roman"/>
          <w:noProof/>
          <w:vertAlign w:val="superscript"/>
        </w:rPr>
        <w:t>11,12</w:t>
      </w:r>
      <w:r w:rsidR="00FE1014" w:rsidRPr="00196716">
        <w:rPr>
          <w:rFonts w:eastAsia="Times New Roman"/>
        </w:rPr>
        <w:fldChar w:fldCharType="end"/>
      </w:r>
      <w:r w:rsidR="005C050B" w:rsidRPr="00196716">
        <w:t>.</w:t>
      </w:r>
      <w:r w:rsidR="006F45A7">
        <w:t xml:space="preserve"> </w:t>
      </w:r>
      <w:r w:rsidR="006F45A7" w:rsidRPr="00E72F8D">
        <w:t xml:space="preserve">Specifically, overall excess mortality </w:t>
      </w:r>
      <w:r w:rsidR="006F45A7" w:rsidRPr="00E72F8D">
        <w:rPr>
          <w:szCs w:val="24"/>
        </w:rPr>
        <w:t>attributable to the index AS and associated TAVI</w:t>
      </w:r>
      <w:r w:rsidR="006F45A7" w:rsidRPr="00E72F8D">
        <w:t xml:space="preserve"> can be estimated as the difference between observed and expected mortality, which form</w:t>
      </w:r>
      <w:r w:rsidR="000847B3">
        <w:t>s</w:t>
      </w:r>
      <w:r w:rsidR="006F45A7" w:rsidRPr="00E72F8D">
        <w:t xml:space="preserve"> the RS </w:t>
      </w:r>
      <w:r w:rsidR="000847B3">
        <w:t>estimate</w:t>
      </w:r>
      <w:r w:rsidR="006F45A7" w:rsidRPr="00E72F8D">
        <w:t xml:space="preserve">. </w:t>
      </w:r>
      <w:r w:rsidR="005C050B" w:rsidRPr="00196716">
        <w:t>Although</w:t>
      </w:r>
      <w:r w:rsidR="005C050B">
        <w:t xml:space="preserve"> </w:t>
      </w:r>
      <w:r w:rsidR="00BC60AD">
        <w:t>RS</w:t>
      </w:r>
      <w:r w:rsidR="005C050B">
        <w:t xml:space="preserve"> is commonly used </w:t>
      </w:r>
      <w:r w:rsidR="00B973CD">
        <w:t xml:space="preserve">in studies of survival following </w:t>
      </w:r>
      <w:r w:rsidR="00952352">
        <w:t>c</w:t>
      </w:r>
      <w:r w:rsidR="00B973CD">
        <w:t>ancer</w:t>
      </w:r>
      <w:r w:rsidR="00A208A7">
        <w:t xml:space="preserve"> diagnosis</w:t>
      </w:r>
      <w:r w:rsidR="00B973CD">
        <w:t xml:space="preserve"> </w:t>
      </w:r>
      <w:r w:rsidR="00564B7B">
        <w:fldChar w:fldCharType="begin" w:fldLock="1"/>
      </w:r>
      <w:r w:rsidR="00DA3F2E">
        <w:instrText>ADDIN CSL_CITATION { "citationItems" : [ { "id" : "ITEM-1", "itemData" : { "DOI" : "10.1002/sim.1597", "ISBN" : "0277-6715 (Print)\\r0277-6715 (Linking)", "ISSN" : "02776715", "PMID" : "14695639", "abstract" : "Four approaches to estimating a regression model for relative survival using the method of maximum likelihood are described and compared. The underlying model is an additive hazards model where the total hazard is written as the sum of the known baseline hazard and the excess hazard associated with a diagnosis of cancer. The excess hazards are assumed to be constant within pre-specified bands of follow-up. The likelihood can be maximized directly or in the framework of generalized linear models. Minor differences exist due to, for example, the way the data are presented (individual, aggregated or grouped), and in some assumptions (e.g. distributional assumptions). The four approaches are applied to two real data sets and produce very similar estimates even when the assumption of proportional excess hazards is violated. The choice of approach to use in practice can, therefore, be guided by ease of use and availability of software. We recommend using a generalized linear model with a Poisson error structure based on collapsed data using exact survival times. The model can be estimated in any software package that estimates GLMs with user-defined link functions (including SAS, Stata, S-plus, and R) and utilizes the theory of generalized linear models for assessing goodness-of-fit and studying regression diagnostics.", "author" : [ { "dropping-particle" : "", "family" : "Dickman", "given" : "Paul W.", "non-dropping-particle" : "", "parse-names" : false, "suffix" : "" }, { "dropping-particle" : "", "family" : "Sloggett", "given" : "Andy", "non-dropping-particle" : "", "parse-names" : false, "suffix" : "" }, { "dropping-particle" : "", "family" : "Hills", "given" : "Michael", "non-dropping-particle" : "", "parse-names" : false, "suffix" : "" }, { "dropping-particle" : "", "family" : "Hakulinen", "given" : "Timo", "non-dropping-particle" : "", "parse-names" : false, "suffix" : "" } ], "container-title" : "Statistics in Medicine", "id" : "ITEM-1", "issue" : "1", "issued" : { "date-parts" : [ [ "2004" ] ] }, "page" : "51-64", "title" : "Regression models for relative survival", "type" : "article-journal", "volume" : "23" }, "uris" : [ "http://www.mendeley.com/documents/?uuid=d39d5cd3-4cb2-4b98-93f2-a067747bba4b" ] } ], "mendeley" : { "formattedCitation" : "&lt;sup&gt;13&lt;/sup&gt;", "plainTextFormattedCitation" : "13", "previouslyFormattedCitation" : "(13)" }, "properties" : { "noteIndex" : 0 }, "schema" : "https://github.com/citation-style-language/schema/raw/master/csl-citation.json" }</w:instrText>
      </w:r>
      <w:r w:rsidR="00564B7B">
        <w:fldChar w:fldCharType="separate"/>
      </w:r>
      <w:r w:rsidR="00DA3F2E" w:rsidRPr="00DA3F2E">
        <w:rPr>
          <w:noProof/>
          <w:vertAlign w:val="superscript"/>
        </w:rPr>
        <w:t>13</w:t>
      </w:r>
      <w:r w:rsidR="00564B7B">
        <w:fldChar w:fldCharType="end"/>
      </w:r>
      <w:r w:rsidR="005C050B">
        <w:t xml:space="preserve"> </w:t>
      </w:r>
      <w:r w:rsidR="009C7E61">
        <w:t xml:space="preserve">and </w:t>
      </w:r>
      <w:r w:rsidR="00567D71">
        <w:t xml:space="preserve">is </w:t>
      </w:r>
      <w:r w:rsidR="009C7E61">
        <w:t xml:space="preserve">beginning to be used in </w:t>
      </w:r>
      <w:r w:rsidR="00BD4ECB">
        <w:t xml:space="preserve">cardiovascular </w:t>
      </w:r>
      <w:r w:rsidR="009C7E61">
        <w:t>disease</w:t>
      </w:r>
      <w:r w:rsidR="0043367E">
        <w:t xml:space="preserve"> </w:t>
      </w:r>
      <w:r w:rsidR="00564B7B">
        <w:fldChar w:fldCharType="begin" w:fldLock="1"/>
      </w:r>
      <w:r w:rsidR="00DA3F2E">
        <w:instrText>ADDIN CSL_CITATION { "citationItems" : [ { "id" : "ITEM-1", "itemData" : { "DOI" : "10.1136/heartjnl-2015-308739", "ISSN" : "1355-6037", "author" : [ { "dropping-particle" : "", "family" : "Alabas", "given" : "O A", "non-dropping-particle" : "", "parse-names" : false, "suffix" : "" }, { "dropping-particle" : "", "family" : "Brogan", "given" : "R A", "non-dropping-particle" : "", "parse-names" : false, "suffix" : "" }, { "dropping-particle" : "", "family" : "Hall", "given" : "M", "non-dropping-particle" : "", "parse-names" : false, "suffix" : "" }, { "dropping-particle" : "", "family" : "Almudarra", "given" : "S", "non-dropping-particle" : "", "parse-names" : false, "suffix" : "" }, { "dropping-particle" : "", "family" : "Rutherford", "given" : "M J", "non-dropping-particle" : "", "parse-names" : false, "suffix" : "" }, { "dropping-particle" : "", "family" : "Dondo", "given" : "T B", "non-dropping-particle" : "", "parse-names" : false, "suffix" : "" }, { "dropping-particle" : "", "family" : "Feltbower", "given" : "R", "non-dropping-particle" : "", "parse-names" : false, "suffix" : "" }, { "dropping-particle" : "", "family" : "Curzen", "given" : "N", "non-dropping-particle" : "", "parse-names" : false, "suffix" : "" }, { "dropping-particle" : "", "family" : "Belder", "given" : "M", "non-dropping-particle" : "de", "parse-names" : false, "suffix" : "" }, { "dropping-particle" : "", "family" : "Ludman", "given" : "P", "non-dropping-particle" : "", "parse-names" : false, "suffix" : "" }, { "dropping-particle" : "", "family" : "Gale", "given" : "C P", "non-dropping-particle" : "", "parse-names" : false, "suffix" : "" } ], "container-title" : "Heart", "id" : "ITEM-1", "issued" : { "date-parts" : [ [ "2016", "4", "7" ] ] }, "page" : "heartjnl-2015-308739", "title" : "Determinants of excess mortality following unprotected left main stem percutaneous coronary intervention", "type" : "article-journal" }, "uris" : [ "http://www.mendeley.com/documents/?uuid=7a192a03-5969-4a30-9b4a-54776aef7485" ] }, { "id" : "ITEM-2", "itemData" : { "DOI" : "10.1136/jech-2016-207402", "ISSN" : "0143-005X", "abstract" : "Background The long-term excess risk of death associated with diabetes following acute myocardial infarction is unknown. We determined the excess risk of death associated with diabetes among patients with ST-elevation myocardial infarction (STEMI) and non-STEMI (NSTEMI) after adjustment for comorbidity, risk factors and cardiovascular treatments. Methods Nationwide population-based cohort (STEMI n=281 259 and NSTEMI n=422 661) using data from the UK acute myocardial infarction registry, MINAP, between 1 January 2003 and 30 June 2013. Age, sex, calendar year and country-specific mortality rates for the populace of England and Wales (n=56.9 million) were matched to cases of STEMI and NSTEMI. Flexible parametric survival models were used to calculate excess mortality rate ratios (EMRR) after multivariable adjustment. This study is registered at ClinicalTrials.gov (NCT02591576). Results Over 1.94 million person-years follow-up including 120 568 (17.1%) patients with diabetes, there were 187 875 (26.7%) deaths. Overall, unadjusted (all cause) mortality was higher among patients with than without diabetes (35.8% vs 25.3%). After adjustment for age, sex and year of acute myocardial infarction, diabetes was associated with a 72% and 67% excess risk of death following STEMI (EMRR 1.72, 95% CI 1.66 to 1.79) and NSTEMI (1.67, 1.63 to 1.71). Diabetes remained significantly associated with substantial excess mortality despite cumulative adjustment for comorbidity (EMRR 1.52, 95% CI 1.46 to 1.58 vs 1.45, 1.42 to 1.49), risk factors (1.50, 1.44 to 1.57 vs 1.33, 1.30 to 1.36) and cardiovascular treatments (1.56, 1.49 to 1.63 vs 1.39, 1.36 to 1.43). Conclusions At index acute myocardial infarction, diabetes was common and associated with significant long-term excess mortality, over and above the effects of comorbidities, risk factors and cardiovascular treatments.", "author" : [ { "dropping-particle" : "", "family" : "Alabas", "given" : "O A", "non-dropping-particle" : "", "parse-names" : false, "suffix" : "" }, { "dropping-particle" : "", "family" : "Hall", "given" : "M", "non-dropping-particle" : "", "parse-names" : false, "suffix" : "" }, { "dropping-particle" : "", "family" : "Dondo", "given" : "T B", "non-dropping-particle" : "", "parse-names" : false, "suffix" : "" }, { "dropping-particle" : "", "family" : "Rutherford", "given" : "M J", "non-dropping-particle" : "", "parse-names" : false, "suffix" : "" }, { "dropping-particle" : "", "family" : "Timmis", "given" : "A D", "non-dropping-particle" : "", "parse-names" : false, "suffix" : "" }, { "dropping-particle" : "", "family" : "Batin", "given" : "P D", "non-dropping-particle" : "", "parse-names" : false, "suffix" : "" }, { "dropping-particle" : "", "family" : "Deanfield", "given" : "J E", "non-dropping-particle" : "", "parse-names" : false, "suffix" : "" }, { "dropping-particle" : "", "family" : "Hemingway", "given" : "H", "non-dropping-particle" : "", "parse-names" : false, "suffix" : "" }, { "dropping-particle" : "", "family" : "Gale", "given" : "C P", "non-dropping-particle" : "", "parse-names" : false, "suffix" : "" } ], "container-title" : "Journal of Epidemiology and Community Health", "id" : "ITEM-2", "issued" : { "date-parts" : [ [ "2016", "6", "15" ] ] }, "page" : "jech-2016-207402", "title" : "Long-term excess mortality associated with diabetes following acute myocardial infarction: a population-based cohort study", "type" : "article-journal" }, "uris" : [ "http://www.mendeley.com/documents/?uuid=1fa7acba-4892-486e-b3c4-5dc6e5d4b396" ] } ], "mendeley" : { "formattedCitation" : "&lt;sup&gt;14,15&lt;/sup&gt;", "plainTextFormattedCitation" : "14,15", "previouslyFormattedCitation" : "(14,15)" }, "properties" : { "noteIndex" : 0 }, "schema" : "https://github.com/citation-style-language/schema/raw/master/csl-citation.json" }</w:instrText>
      </w:r>
      <w:r w:rsidR="00564B7B">
        <w:fldChar w:fldCharType="separate"/>
      </w:r>
      <w:r w:rsidR="00DA3F2E" w:rsidRPr="00DA3F2E">
        <w:rPr>
          <w:noProof/>
          <w:vertAlign w:val="superscript"/>
        </w:rPr>
        <w:t>14,15</w:t>
      </w:r>
      <w:r w:rsidR="00564B7B">
        <w:fldChar w:fldCharType="end"/>
      </w:r>
      <w:r w:rsidR="0043367E">
        <w:t>,</w:t>
      </w:r>
      <w:r w:rsidR="009C7E61">
        <w:t xml:space="preserve"> </w:t>
      </w:r>
      <w:r w:rsidR="00E97930">
        <w:t xml:space="preserve">to date </w:t>
      </w:r>
      <w:r w:rsidR="005C050B">
        <w:t>such</w:t>
      </w:r>
      <w:r w:rsidR="00794961">
        <w:t xml:space="preserve"> methods have not been used to assess long-term mortality outcomes after TAVI. </w:t>
      </w:r>
    </w:p>
    <w:p w14:paraId="3E10E1DF" w14:textId="5BF2C544" w:rsidR="008A48F0" w:rsidRDefault="004B511E" w:rsidP="00E1754A">
      <w:pPr>
        <w:ind w:firstLine="720"/>
      </w:pPr>
      <w:r>
        <w:t xml:space="preserve">The </w:t>
      </w:r>
      <w:r w:rsidR="002E3214">
        <w:t xml:space="preserve">aim of this study was to investigate the </w:t>
      </w:r>
      <w:r w:rsidR="00516984">
        <w:t>survival</w:t>
      </w:r>
      <w:r w:rsidR="002E3214">
        <w:t xml:space="preserve"> of </w:t>
      </w:r>
      <w:r w:rsidR="002A6073">
        <w:t xml:space="preserve">patients treated by </w:t>
      </w:r>
      <w:r w:rsidR="002E3214">
        <w:t xml:space="preserve">TAVI </w:t>
      </w:r>
      <w:r w:rsidR="007015BF">
        <w:t>in</w:t>
      </w:r>
      <w:r w:rsidR="002E3214">
        <w:t xml:space="preserve"> a national cohort</w:t>
      </w:r>
      <w:r w:rsidR="007663AB">
        <w:t>,</w:t>
      </w:r>
      <w:r w:rsidR="002E3214">
        <w:t xml:space="preserve"> </w:t>
      </w:r>
      <w:r w:rsidR="00516984">
        <w:t>while</w:t>
      </w:r>
      <w:r w:rsidR="00670A5E">
        <w:t xml:space="preserve"> </w:t>
      </w:r>
      <w:r w:rsidR="00EF722C">
        <w:t>adjusting</w:t>
      </w:r>
      <w:r w:rsidR="00FD44A4">
        <w:t xml:space="preserve"> for</w:t>
      </w:r>
      <w:r w:rsidR="004B1C75">
        <w:t xml:space="preserve"> underlying </w:t>
      </w:r>
      <w:r w:rsidR="00516984">
        <w:t xml:space="preserve">expected </w:t>
      </w:r>
      <w:r w:rsidR="004B1C75">
        <w:t>mortality risks</w:t>
      </w:r>
      <w:r w:rsidR="00FD44A4">
        <w:t xml:space="preserve"> within </w:t>
      </w:r>
      <w:r w:rsidR="007138B8">
        <w:t>a matched</w:t>
      </w:r>
      <w:r w:rsidR="007663AB">
        <w:t xml:space="preserve"> general population</w:t>
      </w:r>
      <w:r w:rsidR="002E3214">
        <w:t xml:space="preserve">. </w:t>
      </w:r>
    </w:p>
    <w:p w14:paraId="28B60393" w14:textId="77777777" w:rsidR="00005A84" w:rsidRDefault="00005A84" w:rsidP="00E1754A">
      <w:pPr>
        <w:pStyle w:val="Heading1"/>
      </w:pPr>
      <w:r>
        <w:lastRenderedPageBreak/>
        <w:t>Methods</w:t>
      </w:r>
    </w:p>
    <w:p w14:paraId="69B3F6E4" w14:textId="77777777" w:rsidR="008A48F0" w:rsidRDefault="008A48F0" w:rsidP="00E1754A">
      <w:pPr>
        <w:pStyle w:val="Heading2"/>
      </w:pPr>
      <w:r>
        <w:t>UK TAVI registry</w:t>
      </w:r>
    </w:p>
    <w:p w14:paraId="38137686" w14:textId="4178EAE7" w:rsidR="002E3214" w:rsidRDefault="00C35014" w:rsidP="00E1754A">
      <w:r>
        <w:tab/>
      </w:r>
      <w:r w:rsidR="00305390">
        <w:t>P</w:t>
      </w:r>
      <w:r w:rsidR="002E3214" w:rsidRPr="00CB6F5F">
        <w:t xml:space="preserve">rospective data on </w:t>
      </w:r>
      <w:r w:rsidR="00430974">
        <w:t>all consecutive</w:t>
      </w:r>
      <w:r w:rsidR="00430974" w:rsidRPr="00CB6F5F">
        <w:t xml:space="preserve"> </w:t>
      </w:r>
      <w:r w:rsidR="002E3214" w:rsidRPr="00CB6F5F">
        <w:t>TAVI procedure</w:t>
      </w:r>
      <w:r w:rsidR="00B85139">
        <w:t>s</w:t>
      </w:r>
      <w:r w:rsidR="00DD15F6">
        <w:t xml:space="preserve"> </w:t>
      </w:r>
      <w:r w:rsidR="00305390">
        <w:t xml:space="preserve">in the UK </w:t>
      </w:r>
      <w:r w:rsidR="00B85139">
        <w:t xml:space="preserve">are </w:t>
      </w:r>
      <w:r w:rsidR="00DD15F6">
        <w:t xml:space="preserve">collected </w:t>
      </w:r>
      <w:r w:rsidR="00777CF5">
        <w:t xml:space="preserve">in the UK registry </w:t>
      </w:r>
      <w:r w:rsidR="00DD15F6">
        <w:t xml:space="preserve">through a </w:t>
      </w:r>
      <w:r w:rsidR="00345DF1">
        <w:t>W</w:t>
      </w:r>
      <w:r w:rsidR="00DD15F6">
        <w:t xml:space="preserve">eb-based interface provided by </w:t>
      </w:r>
      <w:r w:rsidR="00502F04">
        <w:t xml:space="preserve">the </w:t>
      </w:r>
      <w:r w:rsidR="00DD15F6" w:rsidRPr="00A323C5">
        <w:t>National Institute of Cardiovascular Outcomes Researc</w:t>
      </w:r>
      <w:r w:rsidR="001B703E">
        <w:t>h</w:t>
      </w:r>
      <w:r w:rsidR="00B85139">
        <w:t xml:space="preserve">, </w:t>
      </w:r>
      <w:r w:rsidR="00934694">
        <w:t>where</w:t>
      </w:r>
      <w:r w:rsidR="00B85139">
        <w:t xml:space="preserve"> in</w:t>
      </w:r>
      <w:r w:rsidR="00804368">
        <w:t xml:space="preserve">dividual </w:t>
      </w:r>
      <w:r w:rsidR="00430974">
        <w:t>TAVI centres are contacted if there are data inconsistencies. Further d</w:t>
      </w:r>
      <w:r w:rsidR="00777CF5">
        <w:t>etails of the registry have been published previously</w:t>
      </w:r>
      <w:r w:rsidR="00DD15F6">
        <w:t xml:space="preserve"> </w:t>
      </w:r>
      <w:r w:rsidR="00564B7B">
        <w:fldChar w:fldCharType="begin" w:fldLock="1"/>
      </w:r>
      <w:r w:rsidR="00DA3F2E">
        <w:instrText>ADDIN CSL_CITATION { "citationItems" : [ { "id" : "ITEM-1", "itemData" : { "DOI" : "10.1136/heartjnl-2012-302534", "ISBN" : "1355-6037", "ISSN" : "1355-6037", "PMID" : "22879533", "abstract" : "This registry was set up to create a comprehensive record of all TAVI procedures performed in the United Kingdom since the introduction of the technique in 2007, to help drive quality improvement and provide data for research. Funding is independent of industry. All hospitals in the UK provide data for every consecutive patient where TAVI was attempted. The dataset includes variables defining patient demographic features, indications, procedural details and outcomes up to the time of hospital discharge. There are variables for follow up at 1 and 3 years assessing symptoms and life status. An updated dataset will be collected from 2013. Mortality is tracked centrally. Data entry is performed by clinical staff and data clerks. No external validation. The data are available for research by application to the UK TAVI Steering Group using a data sharing agreement which can be obtained at NICOR (www.ucl.ac.uk/nicor/).", "author" : [ { "dropping-particle" : "", "family" : "Ludman", "given" : "Peter F.", "non-dropping-particle" : "", "parse-names" : false, "suffix" : "" } ], "container-title" : "Heart", "id" : "ITEM-1", "issue" : "24", "issued" : { "date-parts" : [ [ "2012", "12", "15" ] ] }, "page" : "1787-1789", "title" : "The UK transcatheter aortic valve implantation registry; one of the suite of registries hosted by the National Institute for Cardiovascular Outcomes Research (NICOR)", "type" : "article-journal", "volume" : "98" }, "uris" : [ "http://www.mendeley.com/documents/?uuid=1558cf5d-2e7b-46f4-aab6-f84d7d10181f" ] } ], "mendeley" : { "formattedCitation" : "&lt;sup&gt;16&lt;/sup&gt;", "plainTextFormattedCitation" : "16", "previouslyFormattedCitation" : "(16)" }, "properties" : { "noteIndex" : 0 }, "schema" : "https://github.com/citation-style-language/schema/raw/master/csl-citation.json" }</w:instrText>
      </w:r>
      <w:r w:rsidR="00564B7B">
        <w:fldChar w:fldCharType="separate"/>
      </w:r>
      <w:r w:rsidR="00DA3F2E" w:rsidRPr="00DA3F2E">
        <w:rPr>
          <w:noProof/>
          <w:vertAlign w:val="superscript"/>
        </w:rPr>
        <w:t>16</w:t>
      </w:r>
      <w:r w:rsidR="00564B7B">
        <w:fldChar w:fldCharType="end"/>
      </w:r>
      <w:r w:rsidR="00B85139">
        <w:t>.</w:t>
      </w:r>
      <w:r w:rsidR="00777CF5">
        <w:t xml:space="preserve"> </w:t>
      </w:r>
      <w:r w:rsidR="00B85139">
        <w:t>I</w:t>
      </w:r>
      <w:r w:rsidR="00777CF5">
        <w:t xml:space="preserve">n </w:t>
      </w:r>
      <w:r w:rsidR="00B85139">
        <w:t>summary</w:t>
      </w:r>
      <w:r w:rsidR="00777CF5">
        <w:t xml:space="preserve">, </w:t>
      </w:r>
      <w:r w:rsidR="00C81EA4">
        <w:t>95 variables</w:t>
      </w:r>
      <w:r w:rsidR="00611FED">
        <w:t xml:space="preserve"> are recorded,</w:t>
      </w:r>
      <w:r w:rsidR="00C81EA4">
        <w:t xml:space="preserve"> detailing </w:t>
      </w:r>
      <w:r w:rsidR="00C81EA4" w:rsidRPr="00E8498F">
        <w:t>patient demographic</w:t>
      </w:r>
      <w:r w:rsidR="00C81EA4">
        <w:t>s</w:t>
      </w:r>
      <w:r w:rsidR="00C81EA4" w:rsidRPr="00E8498F">
        <w:t xml:space="preserve">, </w:t>
      </w:r>
      <w:r w:rsidR="00C81EA4">
        <w:t xml:space="preserve">risk factors </w:t>
      </w:r>
      <w:r w:rsidR="00C81EA4" w:rsidRPr="00E8498F">
        <w:t xml:space="preserve">for intervention, </w:t>
      </w:r>
      <w:r w:rsidR="00C81EA4">
        <w:t>procedural details</w:t>
      </w:r>
      <w:r w:rsidR="00C81EA4" w:rsidRPr="00E8498F">
        <w:t xml:space="preserve"> and adverse outcomes</w:t>
      </w:r>
      <w:r w:rsidR="00C81EA4">
        <w:t xml:space="preserve"> </w:t>
      </w:r>
      <w:r w:rsidR="00C81EA4" w:rsidRPr="00E8498F">
        <w:t>up to the time of hospital discharge</w:t>
      </w:r>
      <w:r w:rsidR="00C81EA4">
        <w:t xml:space="preserve">. This study included all </w:t>
      </w:r>
      <w:r w:rsidR="00013CF7">
        <w:t xml:space="preserve">consecutive </w:t>
      </w:r>
      <w:r w:rsidR="00C81EA4">
        <w:t>TAVI procedures conducted between January 2007 and</w:t>
      </w:r>
      <w:r w:rsidR="002E3214" w:rsidRPr="00CB6F5F">
        <w:t xml:space="preserve"> December 201</w:t>
      </w:r>
      <w:r w:rsidR="00B5187F">
        <w:t>4</w:t>
      </w:r>
      <w:r w:rsidR="002E3214" w:rsidRPr="00CB6F5F">
        <w:t xml:space="preserve"> </w:t>
      </w:r>
      <w:r w:rsidR="00AF3E58">
        <w:t xml:space="preserve">across </w:t>
      </w:r>
      <w:r w:rsidR="00B074E0">
        <w:t>the</w:t>
      </w:r>
      <w:r w:rsidR="00AF3E58">
        <w:t xml:space="preserve"> 3</w:t>
      </w:r>
      <w:r w:rsidR="000F3D2D">
        <w:t xml:space="preserve">2 </w:t>
      </w:r>
      <w:r w:rsidR="00AF3E58">
        <w:t>centres running active TAVI programs</w:t>
      </w:r>
      <w:r w:rsidR="000F3D2D">
        <w:t xml:space="preserve"> in England and Wales</w:t>
      </w:r>
      <w:r w:rsidR="002E3214" w:rsidRPr="00E8498F">
        <w:t>.</w:t>
      </w:r>
      <w:r w:rsidR="00146B08">
        <w:t xml:space="preserve"> </w:t>
      </w:r>
    </w:p>
    <w:p w14:paraId="485DE129" w14:textId="7D27A282" w:rsidR="00AF3E58" w:rsidRPr="00AF3E58" w:rsidRDefault="00DD15F6" w:rsidP="00E1754A">
      <w:pPr>
        <w:ind w:firstLine="720"/>
      </w:pPr>
      <w:r>
        <w:t>All-cause mortality was obtained from the Office for National Statistics (ONS) providing the life-status of English and Welsh patients</w:t>
      </w:r>
      <w:r w:rsidR="0019059A">
        <w:t xml:space="preserve">. </w:t>
      </w:r>
      <w:r w:rsidR="00F4077B">
        <w:t xml:space="preserve">Although </w:t>
      </w:r>
      <w:r w:rsidR="00993D6A">
        <w:t>m</w:t>
      </w:r>
      <w:r w:rsidR="00AF3E58">
        <w:t xml:space="preserve">ortality </w:t>
      </w:r>
      <w:r w:rsidR="00894D19">
        <w:t>information</w:t>
      </w:r>
      <w:r w:rsidR="00AF3E58">
        <w:t xml:space="preserve"> was available in the majority of </w:t>
      </w:r>
      <w:r w:rsidR="00993D6A">
        <w:t>cases</w:t>
      </w:r>
      <w:r w:rsidR="00F4077B">
        <w:t xml:space="preserve">, </w:t>
      </w:r>
      <w:r w:rsidR="00D67138">
        <w:t xml:space="preserve">we excluded </w:t>
      </w:r>
      <w:r w:rsidR="00002014">
        <w:t>patients</w:t>
      </w:r>
      <w:r w:rsidR="00E968C8">
        <w:t xml:space="preserve"> with missing life status</w:t>
      </w:r>
      <w:r w:rsidR="00F4077B">
        <w:t xml:space="preserve">. Administrative </w:t>
      </w:r>
      <w:r w:rsidR="00AF3E58">
        <w:t xml:space="preserve">censoring </w:t>
      </w:r>
      <w:r w:rsidR="00F4077B">
        <w:t xml:space="preserve">occurred </w:t>
      </w:r>
      <w:r w:rsidR="00AF3E58">
        <w:t>at the end of follow-up on 31</w:t>
      </w:r>
      <w:r w:rsidR="00AF3E58" w:rsidRPr="00AF3E58">
        <w:rPr>
          <w:vertAlign w:val="superscript"/>
        </w:rPr>
        <w:t>st</w:t>
      </w:r>
      <w:r w:rsidR="00AF3E58">
        <w:t xml:space="preserve"> </w:t>
      </w:r>
      <w:r w:rsidR="00120B9C">
        <w:t>May</w:t>
      </w:r>
      <w:r w:rsidR="00AF3E58">
        <w:t xml:space="preserve"> 2015. All survival times were defined as the number of days between the date of TAVI and </w:t>
      </w:r>
      <w:r w:rsidR="00231636">
        <w:t xml:space="preserve">either the </w:t>
      </w:r>
      <w:r w:rsidR="00AF3E58">
        <w:t>date of death or date of last information regarding follow-up</w:t>
      </w:r>
      <w:r w:rsidR="00804808">
        <w:t>, up t</w:t>
      </w:r>
      <w:r w:rsidR="00123F93">
        <w:t xml:space="preserve">o </w:t>
      </w:r>
      <w:r w:rsidR="00F4077B">
        <w:t xml:space="preserve">a maximum of </w:t>
      </w:r>
      <w:r w:rsidR="00AE5B79">
        <w:t>three</w:t>
      </w:r>
      <w:r w:rsidR="004D1AEE">
        <w:t xml:space="preserve"> </w:t>
      </w:r>
      <w:r w:rsidR="00804808">
        <w:t>years post procedure</w:t>
      </w:r>
      <w:r w:rsidR="00AF3E58">
        <w:t>.</w:t>
      </w:r>
      <w:r w:rsidR="00993D6A">
        <w:t xml:space="preserve"> </w:t>
      </w:r>
    </w:p>
    <w:p w14:paraId="5493C6AC" w14:textId="77777777" w:rsidR="008A48F0" w:rsidRDefault="008A48F0" w:rsidP="00E1754A">
      <w:pPr>
        <w:pStyle w:val="Heading2"/>
      </w:pPr>
      <w:r>
        <w:t>Statistical Analysis</w:t>
      </w:r>
      <w:r w:rsidR="00407A9D">
        <w:t xml:space="preserve"> </w:t>
      </w:r>
    </w:p>
    <w:p w14:paraId="44399A16" w14:textId="42DB0E2F" w:rsidR="007311A4" w:rsidRDefault="0057436F" w:rsidP="00E1754A">
      <w:pPr>
        <w:ind w:firstLine="720"/>
      </w:pPr>
      <w:r>
        <w:t xml:space="preserve">Relative survival </w:t>
      </w:r>
      <w:r w:rsidR="00C57429">
        <w:t>wa</w:t>
      </w:r>
      <w:r w:rsidR="00D67138">
        <w:t>s</w:t>
      </w:r>
      <w:r w:rsidR="00C81EA4">
        <w:t xml:space="preserve"> defined as the observed survival from the TAVI registry divided by </w:t>
      </w:r>
      <w:r w:rsidR="00E874A0">
        <w:t>the expected survival from a matched general population.</w:t>
      </w:r>
      <w:r w:rsidR="00390893">
        <w:t xml:space="preserve"> </w:t>
      </w:r>
      <w:r w:rsidR="00E874A0">
        <w:t>R</w:t>
      </w:r>
      <w:r w:rsidR="00D67138">
        <w:t>elative survival</w:t>
      </w:r>
      <w:r w:rsidR="00E874A0">
        <w:t xml:space="preserve"> </w:t>
      </w:r>
      <w:r w:rsidR="00D67138">
        <w:t>equal to one</w:t>
      </w:r>
      <w:r w:rsidR="00E874A0">
        <w:t xml:space="preserve"> </w:t>
      </w:r>
      <w:r w:rsidR="00D67138">
        <w:t>indicates</w:t>
      </w:r>
      <w:r w:rsidR="00E874A0">
        <w:t xml:space="preserve"> that the observed survival </w:t>
      </w:r>
      <w:r w:rsidR="00D67138">
        <w:t>is</w:t>
      </w:r>
      <w:r w:rsidR="00E874A0">
        <w:t xml:space="preserve"> the same as that </w:t>
      </w:r>
      <w:r w:rsidR="00D67138">
        <w:t>with</w:t>
      </w:r>
      <w:r w:rsidR="00E874A0">
        <w:t>in</w:t>
      </w:r>
      <w:r w:rsidR="00D67138">
        <w:t xml:space="preserve"> the matched general population, while </w:t>
      </w:r>
      <w:r w:rsidR="00E874A0">
        <w:t xml:space="preserve">RS&lt;1 </w:t>
      </w:r>
      <w:r w:rsidR="00D67138">
        <w:t>means</w:t>
      </w:r>
      <w:r w:rsidR="00E874A0">
        <w:t xml:space="preserve"> that the observed survival </w:t>
      </w:r>
      <w:r w:rsidR="00D67138">
        <w:t>is</w:t>
      </w:r>
      <w:r w:rsidR="00E874A0">
        <w:t xml:space="preserve"> worse than that </w:t>
      </w:r>
      <w:r w:rsidR="00EF722C">
        <w:t xml:space="preserve">expected within </w:t>
      </w:r>
      <w:r w:rsidR="00E874A0">
        <w:t xml:space="preserve">the general population. </w:t>
      </w:r>
      <w:r w:rsidR="00D67138">
        <w:t xml:space="preserve">This study used the </w:t>
      </w:r>
      <w:r w:rsidR="00C57429">
        <w:t xml:space="preserve">population </w:t>
      </w:r>
      <w:r w:rsidR="00D67138">
        <w:t xml:space="preserve">life tables provided by </w:t>
      </w:r>
      <w:r w:rsidR="00E874A0">
        <w:t>the ONS</w:t>
      </w:r>
      <w:r w:rsidR="00D67138">
        <w:t xml:space="preserve"> to derive the population-expected survival; such life tables are</w:t>
      </w:r>
      <w:r w:rsidR="00771B72">
        <w:t xml:space="preserve"> </w:t>
      </w:r>
      <w:r w:rsidR="00894D19">
        <w:t xml:space="preserve">stratified </w:t>
      </w:r>
      <w:r w:rsidR="00DD15F6">
        <w:t xml:space="preserve">by age, </w:t>
      </w:r>
      <w:r w:rsidR="00CE1267">
        <w:t>sex</w:t>
      </w:r>
      <w:r w:rsidR="00894D19">
        <w:t xml:space="preserve">, </w:t>
      </w:r>
      <w:r w:rsidR="00DD15F6">
        <w:t>year</w:t>
      </w:r>
      <w:r w:rsidR="00894D19">
        <w:t xml:space="preserve"> and </w:t>
      </w:r>
      <w:r w:rsidR="00002014">
        <w:t>country</w:t>
      </w:r>
      <w:r w:rsidR="00894D19">
        <w:t xml:space="preserve"> (i.e. </w:t>
      </w:r>
      <w:r w:rsidR="00894D19">
        <w:lastRenderedPageBreak/>
        <w:t>different tables for England and Wales)</w:t>
      </w:r>
      <w:r w:rsidR="00DD15F6">
        <w:t>.</w:t>
      </w:r>
      <w:r w:rsidR="00771B72">
        <w:t xml:space="preserve"> </w:t>
      </w:r>
      <w:r w:rsidR="000607EA">
        <w:t>Although</w:t>
      </w:r>
      <w:r w:rsidR="007311A4">
        <w:t xml:space="preserve"> the life table </w:t>
      </w:r>
      <w:r w:rsidR="00D67138">
        <w:t xml:space="preserve">mortality </w:t>
      </w:r>
      <w:r w:rsidR="007311A4">
        <w:t>estimates will include those patients undergoing TAVI, the</w:t>
      </w:r>
      <w:r w:rsidR="000607EA">
        <w:t xml:space="preserve"> </w:t>
      </w:r>
      <w:r w:rsidR="00B94E08">
        <w:t xml:space="preserve">very </w:t>
      </w:r>
      <w:r w:rsidR="000607EA">
        <w:t xml:space="preserve">low prevalence of such procedures undertaken across the general population means </w:t>
      </w:r>
      <w:r w:rsidR="00A6438A">
        <w:t xml:space="preserve">that </w:t>
      </w:r>
      <w:r w:rsidR="000607EA">
        <w:t>the</w:t>
      </w:r>
      <w:r w:rsidR="007311A4">
        <w:t xml:space="preserve"> bias induced by this </w:t>
      </w:r>
      <w:r w:rsidR="000607EA">
        <w:t xml:space="preserve">will be negligible </w:t>
      </w:r>
      <w:r w:rsidR="00564B7B">
        <w:fldChar w:fldCharType="begin" w:fldLock="1"/>
      </w:r>
      <w:r w:rsidR="00DA3F2E">
        <w:instrText>ADDIN CSL_CITATION { "citationItems" : [ { "id" : "ITEM-1", "itemData" : { "ISSN" : "0083-1921", "PMID" : "13889176", "author" : [ { "dropping-particle" : "", "family" : "Ederer", "given" : "F.", "non-dropping-particle" : "", "parse-names" : false, "suffix" : "" }, { "dropping-particle" : "", "family" : "Axtell", "given" : "L. M.", "non-dropping-particle" : "", "parse-names" : false, "suffix" : "" }, { "dropping-particle" : "", "family" : "Cutler", "given" : "S. J.", "non-dropping-particle" : "", "parse-names" : false, "suffix" : "" } ], "container-title" : "National Cancer Institute monograph", "id" : "ITEM-1", "issued" : { "date-parts" : [ [ "1961", "9", "1" ] ] }, "language" : "en", "page" : "101-21", "title" : "The relative survival rate: a statistical methodology.", "type" : "article-journal", "volume" : "6" }, "uris" : [ "http://www.mendeley.com/documents/?uuid=d9dc0fc9-fce8-44c3-906d-f4621e3853c2" ] } ], "mendeley" : { "formattedCitation" : "&lt;sup&gt;11&lt;/sup&gt;", "plainTextFormattedCitation" : "11", "previouslyFormattedCitation" : "(11)" }, "properties" : { "noteIndex" : 0 }, "schema" : "https://github.com/citation-style-language/schema/raw/master/csl-citation.json" }</w:instrText>
      </w:r>
      <w:r w:rsidR="00564B7B">
        <w:fldChar w:fldCharType="separate"/>
      </w:r>
      <w:r w:rsidR="00DA3F2E" w:rsidRPr="00DA3F2E">
        <w:rPr>
          <w:noProof/>
          <w:vertAlign w:val="superscript"/>
        </w:rPr>
        <w:t>11</w:t>
      </w:r>
      <w:r w:rsidR="00564B7B">
        <w:fldChar w:fldCharType="end"/>
      </w:r>
      <w:r w:rsidR="007311A4">
        <w:t>.</w:t>
      </w:r>
      <w:r w:rsidR="00DD15F6">
        <w:t xml:space="preserve"> </w:t>
      </w:r>
      <w:r w:rsidR="007311A4">
        <w:t xml:space="preserve">Further, </w:t>
      </w:r>
      <w:r w:rsidR="00771B72">
        <w:t>while</w:t>
      </w:r>
      <w:r w:rsidR="007311A4">
        <w:t xml:space="preserve"> the </w:t>
      </w:r>
      <w:r w:rsidR="00B86E9E">
        <w:t xml:space="preserve">UK </w:t>
      </w:r>
      <w:r w:rsidR="007311A4">
        <w:t xml:space="preserve">TAVI registry </w:t>
      </w:r>
      <w:r w:rsidR="00771B72">
        <w:t>had time-to-event information censored in 2015,</w:t>
      </w:r>
      <w:r w:rsidR="00E874A0">
        <w:t xml:space="preserve"> the</w:t>
      </w:r>
      <w:r w:rsidR="00771B72">
        <w:t xml:space="preserve"> life tables were only available to 201</w:t>
      </w:r>
      <w:r w:rsidR="00A03A05">
        <w:t>4</w:t>
      </w:r>
      <w:r w:rsidR="00771B72">
        <w:t xml:space="preserve">. Hence, </w:t>
      </w:r>
      <w:r w:rsidR="007311A4">
        <w:t xml:space="preserve">the expected </w:t>
      </w:r>
      <w:r w:rsidR="00A03A05">
        <w:t>population</w:t>
      </w:r>
      <w:r w:rsidR="007015BF">
        <w:t xml:space="preserve"> </w:t>
      </w:r>
      <w:r w:rsidR="00D67138">
        <w:t>mortality</w:t>
      </w:r>
      <w:r w:rsidR="00754B91">
        <w:t xml:space="preserve"> </w:t>
      </w:r>
      <w:r w:rsidR="007311A4">
        <w:t xml:space="preserve">rates for </w:t>
      </w:r>
      <w:r w:rsidR="00771B72">
        <w:t>2015</w:t>
      </w:r>
      <w:r w:rsidR="007311A4">
        <w:t xml:space="preserve"> were </w:t>
      </w:r>
      <w:r w:rsidR="007F572D">
        <w:t xml:space="preserve">assumed </w:t>
      </w:r>
      <w:r w:rsidR="00CE1267">
        <w:t>the</w:t>
      </w:r>
      <w:r w:rsidR="007F572D">
        <w:t xml:space="preserve"> same as those from</w:t>
      </w:r>
      <w:r w:rsidR="007311A4">
        <w:t xml:space="preserve"> 201</w:t>
      </w:r>
      <w:r w:rsidR="00043218">
        <w:t>4</w:t>
      </w:r>
      <w:r w:rsidR="007311A4">
        <w:t>.</w:t>
      </w:r>
      <w:r w:rsidR="006C0BB9">
        <w:t xml:space="preserve"> </w:t>
      </w:r>
      <w:r w:rsidR="00D57450">
        <w:t>We excluded p</w:t>
      </w:r>
      <w:r w:rsidR="004B511E">
        <w:t xml:space="preserve">atients who were missing data on age, sex, year or country, </w:t>
      </w:r>
      <w:r w:rsidR="001C5D0B">
        <w:t xml:space="preserve">which were </w:t>
      </w:r>
      <w:r w:rsidR="004B511E">
        <w:t xml:space="preserve">used </w:t>
      </w:r>
      <w:r w:rsidR="00D57450">
        <w:t>to match to the life tables</w:t>
      </w:r>
      <w:r w:rsidR="001B703E">
        <w:t>.</w:t>
      </w:r>
      <w:r w:rsidR="00DE3F29">
        <w:t xml:space="preserve"> All analyses were conducted in the whole </w:t>
      </w:r>
      <w:r w:rsidR="00516984">
        <w:t xml:space="preserve">TAVI </w:t>
      </w:r>
      <w:r w:rsidR="00DE3F29">
        <w:t>cohort and across the following subgroups: age (&lt;80, 80-85</w:t>
      </w:r>
      <w:r w:rsidR="00B074E0">
        <w:t xml:space="preserve"> and &gt;85 years), procedure year</w:t>
      </w:r>
      <w:r w:rsidR="00DE3F29">
        <w:t xml:space="preserve"> (2007-2010 and 2011-2014) and sex.</w:t>
      </w:r>
    </w:p>
    <w:p w14:paraId="05D11067" w14:textId="6BBC4511" w:rsidR="00390893" w:rsidRDefault="00A2186E" w:rsidP="00E1754A">
      <w:pPr>
        <w:ind w:firstLine="720"/>
      </w:pPr>
      <w:r>
        <w:t xml:space="preserve">The Ederer II method was used to estimate </w:t>
      </w:r>
      <w:r w:rsidR="00BC60AD">
        <w:t>RS</w:t>
      </w:r>
      <w:r w:rsidR="00BA336B">
        <w:t xml:space="preserve"> </w:t>
      </w:r>
      <w:r w:rsidR="00564B7B">
        <w:fldChar w:fldCharType="begin" w:fldLock="1"/>
      </w:r>
      <w:r w:rsidR="00DA3F2E">
        <w:instrText>ADDIN CSL_CITATION { "citationItems" : [ { "id" : "ITEM-1", "itemData" : { "ISSN" : "0083-1921", "PMID" : "13889176", "author" : [ { "dropping-particle" : "", "family" : "Ederer", "given" : "F.", "non-dropping-particle" : "", "parse-names" : false, "suffix" : "" }, { "dropping-particle" : "", "family" : "Axtell", "given" : "L. M.", "non-dropping-particle" : "", "parse-names" : false, "suffix" : "" }, { "dropping-particle" : "", "family" : "Cutler", "given" : "S. J.", "non-dropping-particle" : "", "parse-names" : false, "suffix" : "" } ], "container-title" : "National Cancer Institute monograph", "id" : "ITEM-1", "issued" : { "date-parts" : [ [ "1961", "9", "1" ] ] }, "language" : "en", "page" : "101-21", "title" : "The relative survival rate: a statistical methodology.", "type" : "article-journal", "volume" : "6" }, "uris" : [ "http://www.mendeley.com/documents/?uuid=d9dc0fc9-fce8-44c3-906d-f4621e3853c2" ] } ], "mendeley" : { "formattedCitation" : "&lt;sup&gt;11&lt;/sup&gt;", "plainTextFormattedCitation" : "11", "previouslyFormattedCitation" : "(11)" }, "properties" : { "noteIndex" : 0 }, "schema" : "https://github.com/citation-style-language/schema/raw/master/csl-citation.json" }</w:instrText>
      </w:r>
      <w:r w:rsidR="00564B7B">
        <w:fldChar w:fldCharType="separate"/>
      </w:r>
      <w:r w:rsidR="00DA3F2E" w:rsidRPr="00DA3F2E">
        <w:rPr>
          <w:noProof/>
          <w:vertAlign w:val="superscript"/>
        </w:rPr>
        <w:t>11</w:t>
      </w:r>
      <w:r w:rsidR="00564B7B">
        <w:fldChar w:fldCharType="end"/>
      </w:r>
      <w:r w:rsidR="0077727F">
        <w:t>, from which an estimate of the cumulative excess hazard could be obtained.</w:t>
      </w:r>
      <w:r w:rsidR="00D67138">
        <w:t xml:space="preserve"> A</w:t>
      </w:r>
      <w:r w:rsidR="00E373B8">
        <w:t xml:space="preserve">n increasing (decreasing) </w:t>
      </w:r>
      <w:r w:rsidR="0077727F">
        <w:t xml:space="preserve">cumulative excess hazard </w:t>
      </w:r>
      <w:r w:rsidR="00E874A0">
        <w:t xml:space="preserve">through </w:t>
      </w:r>
      <w:r w:rsidR="00934694">
        <w:t>time</w:t>
      </w:r>
      <w:r w:rsidR="00E373B8">
        <w:t xml:space="preserve"> indicates that </w:t>
      </w:r>
      <w:r w:rsidR="0077727F">
        <w:t xml:space="preserve">the </w:t>
      </w:r>
      <w:r w:rsidR="00E373B8">
        <w:t xml:space="preserve">mortality </w:t>
      </w:r>
      <w:r w:rsidR="007015BF">
        <w:t>hazard</w:t>
      </w:r>
      <w:r w:rsidR="0077727F">
        <w:t xml:space="preserve"> in the TAVI population was </w:t>
      </w:r>
      <w:r w:rsidR="00A618A7">
        <w:t>higher</w:t>
      </w:r>
      <w:r w:rsidR="0077727F">
        <w:t xml:space="preserve"> (</w:t>
      </w:r>
      <w:r w:rsidR="00A618A7">
        <w:t>lower</w:t>
      </w:r>
      <w:r w:rsidR="0077727F">
        <w:t xml:space="preserve">) than </w:t>
      </w:r>
      <w:r w:rsidR="00E373B8">
        <w:t xml:space="preserve">that expected from </w:t>
      </w:r>
      <w:r w:rsidR="0077727F">
        <w:t>the matched general population</w:t>
      </w:r>
      <w:r w:rsidR="00B074E0">
        <w:t xml:space="preserve">. </w:t>
      </w:r>
      <w:r w:rsidR="00BC60AD">
        <w:t xml:space="preserve">Constant cumulative </w:t>
      </w:r>
      <w:r w:rsidR="00BC3CEE">
        <w:t xml:space="preserve">excess </w:t>
      </w:r>
      <w:r w:rsidR="00BC60AD">
        <w:t>hazards</w:t>
      </w:r>
      <w:r w:rsidR="0077727F">
        <w:t xml:space="preserve"> </w:t>
      </w:r>
      <w:r w:rsidR="00A35B4A">
        <w:t>infer</w:t>
      </w:r>
      <w:r w:rsidR="00BC60AD">
        <w:t xml:space="preserve"> that</w:t>
      </w:r>
      <w:r w:rsidR="0077727F">
        <w:t xml:space="preserve"> the </w:t>
      </w:r>
      <w:r w:rsidR="001E673E">
        <w:t xml:space="preserve">observed </w:t>
      </w:r>
      <w:r w:rsidR="00390893">
        <w:t xml:space="preserve">mortality </w:t>
      </w:r>
      <w:r w:rsidR="001E673E">
        <w:t>hazard</w:t>
      </w:r>
      <w:r w:rsidR="0077727F">
        <w:t xml:space="preserve"> </w:t>
      </w:r>
      <w:r w:rsidR="00A618A7">
        <w:t>wa</w:t>
      </w:r>
      <w:r w:rsidR="0077727F">
        <w:t>s</w:t>
      </w:r>
      <w:r w:rsidR="00A618A7">
        <w:t xml:space="preserve"> the same as </w:t>
      </w:r>
      <w:r w:rsidR="00BC3CEE">
        <w:t>that expected from</w:t>
      </w:r>
      <w:r w:rsidR="007F16CE">
        <w:t xml:space="preserve"> </w:t>
      </w:r>
      <w:r w:rsidR="0077727F">
        <w:t xml:space="preserve">the </w:t>
      </w:r>
      <w:r w:rsidR="007015BF">
        <w:t>general population</w:t>
      </w:r>
      <w:r w:rsidR="00D51FCE">
        <w:t xml:space="preserve"> (i.e. </w:t>
      </w:r>
      <w:r w:rsidR="00F65666">
        <w:t xml:space="preserve">observed hazards of </w:t>
      </w:r>
      <w:r w:rsidR="00D51FCE">
        <w:t>mortality “returned to baseline”)</w:t>
      </w:r>
      <w:r w:rsidR="00BC3CEE">
        <w:t xml:space="preserve">; </w:t>
      </w:r>
      <w:r w:rsidR="002801A4">
        <w:t>a</w:t>
      </w:r>
      <w:r w:rsidR="007015BF">
        <w:t xml:space="preserve"> </w:t>
      </w:r>
      <w:r w:rsidR="001E673E">
        <w:t xml:space="preserve">cumulative excess hazard </w:t>
      </w:r>
      <w:r w:rsidR="002801A4">
        <w:t>of</w:t>
      </w:r>
      <w:r w:rsidR="001E673E">
        <w:t xml:space="preserve"> zero</w:t>
      </w:r>
      <w:r w:rsidR="007015BF">
        <w:t xml:space="preserve"> </w:t>
      </w:r>
      <w:r w:rsidR="002801A4">
        <w:t>means</w:t>
      </w:r>
      <w:r w:rsidR="001E673E">
        <w:t xml:space="preserve"> that observed survival </w:t>
      </w:r>
      <w:r w:rsidR="002801A4">
        <w:t>equals the</w:t>
      </w:r>
      <w:r w:rsidR="001E673E">
        <w:t xml:space="preserve"> ex</w:t>
      </w:r>
      <w:r w:rsidR="007015BF">
        <w:t xml:space="preserve">pected survival (i.e. </w:t>
      </w:r>
      <w:r w:rsidR="00BC60AD">
        <w:t>RS equal to</w:t>
      </w:r>
      <w:r w:rsidR="007015BF">
        <w:t xml:space="preserve"> </w:t>
      </w:r>
      <w:r w:rsidR="00215C54">
        <w:t>one</w:t>
      </w:r>
      <w:r w:rsidR="007015BF">
        <w:t>)</w:t>
      </w:r>
      <w:r w:rsidR="001E673E">
        <w:t>.</w:t>
      </w:r>
      <w:r w:rsidR="00BC3CEE">
        <w:t xml:space="preserve"> </w:t>
      </w:r>
    </w:p>
    <w:p w14:paraId="70D92384" w14:textId="67951C88" w:rsidR="00C65BAC" w:rsidRDefault="00215C54" w:rsidP="00E1754A">
      <w:pPr>
        <w:ind w:firstLine="720"/>
      </w:pPr>
      <w:r>
        <w:t>Additionally</w:t>
      </w:r>
      <w:r w:rsidR="00216AA8">
        <w:t>,</w:t>
      </w:r>
      <w:r w:rsidR="00BC3CEE">
        <w:t xml:space="preserve"> we calculated </w:t>
      </w:r>
      <w:r w:rsidR="006D5ECE" w:rsidRPr="00005A84">
        <w:rPr>
          <w:szCs w:val="24"/>
        </w:rPr>
        <w:t xml:space="preserve">expected daily </w:t>
      </w:r>
      <w:r w:rsidR="00957F11">
        <w:rPr>
          <w:szCs w:val="24"/>
        </w:rPr>
        <w:t xml:space="preserve">mortality </w:t>
      </w:r>
      <w:r w:rsidR="006D5ECE" w:rsidRPr="00005A84">
        <w:rPr>
          <w:szCs w:val="24"/>
        </w:rPr>
        <w:t>hazard</w:t>
      </w:r>
      <w:r w:rsidR="000C3FA4">
        <w:rPr>
          <w:szCs w:val="24"/>
        </w:rPr>
        <w:t>s</w:t>
      </w:r>
      <w:r w:rsidR="006D5ECE" w:rsidRPr="00005A84">
        <w:rPr>
          <w:szCs w:val="24"/>
        </w:rPr>
        <w:t xml:space="preserve"> </w:t>
      </w:r>
      <w:r>
        <w:rPr>
          <w:szCs w:val="24"/>
        </w:rPr>
        <w:t>using the life tables</w:t>
      </w:r>
      <w:r w:rsidR="00390893">
        <w:rPr>
          <w:szCs w:val="24"/>
        </w:rPr>
        <w:t>,</w:t>
      </w:r>
      <w:r w:rsidR="00BC3CEE">
        <w:rPr>
          <w:szCs w:val="24"/>
        </w:rPr>
        <w:t xml:space="preserve"> and observed</w:t>
      </w:r>
      <w:r w:rsidR="000E2C1D">
        <w:rPr>
          <w:szCs w:val="24"/>
        </w:rPr>
        <w:t xml:space="preserve"> </w:t>
      </w:r>
      <w:r w:rsidR="00231636">
        <w:rPr>
          <w:szCs w:val="24"/>
        </w:rPr>
        <w:t xml:space="preserve">daily </w:t>
      </w:r>
      <w:r w:rsidR="00957F11">
        <w:rPr>
          <w:szCs w:val="24"/>
        </w:rPr>
        <w:t xml:space="preserve">mortality </w:t>
      </w:r>
      <w:r w:rsidR="000E2C1D">
        <w:rPr>
          <w:szCs w:val="24"/>
        </w:rPr>
        <w:t>hazard</w:t>
      </w:r>
      <w:r w:rsidR="000C3FA4">
        <w:rPr>
          <w:szCs w:val="24"/>
        </w:rPr>
        <w:t>s</w:t>
      </w:r>
      <w:r w:rsidR="000E2C1D">
        <w:rPr>
          <w:szCs w:val="24"/>
        </w:rPr>
        <w:t xml:space="preserve"> </w:t>
      </w:r>
      <w:r w:rsidR="00C65BAC">
        <w:rPr>
          <w:szCs w:val="24"/>
        </w:rPr>
        <w:t xml:space="preserve">using </w:t>
      </w:r>
      <w:r w:rsidR="00C65BAC" w:rsidRPr="00005A84">
        <w:rPr>
          <w:szCs w:val="24"/>
        </w:rPr>
        <w:t xml:space="preserve">the Kaplan-Meier </w:t>
      </w:r>
      <w:r w:rsidR="00C65BAC">
        <w:rPr>
          <w:szCs w:val="24"/>
        </w:rPr>
        <w:t xml:space="preserve">estimate. </w:t>
      </w:r>
      <w:r w:rsidR="00BA336B">
        <w:rPr>
          <w:szCs w:val="24"/>
        </w:rPr>
        <w:t>An estimated</w:t>
      </w:r>
      <w:r w:rsidR="006853BA">
        <w:rPr>
          <w:szCs w:val="24"/>
        </w:rPr>
        <w:t xml:space="preserve"> daily</w:t>
      </w:r>
      <w:r w:rsidR="00BA336B">
        <w:rPr>
          <w:szCs w:val="24"/>
        </w:rPr>
        <w:t xml:space="preserve"> hazard ratio</w:t>
      </w:r>
      <w:r w:rsidR="00031B8D">
        <w:rPr>
          <w:szCs w:val="24"/>
        </w:rPr>
        <w:t xml:space="preserve"> (HR)</w:t>
      </w:r>
      <w:r w:rsidR="00BA336B">
        <w:rPr>
          <w:szCs w:val="24"/>
        </w:rPr>
        <w:t xml:space="preserve"> was </w:t>
      </w:r>
      <w:r w:rsidR="00C60A9E">
        <w:rPr>
          <w:szCs w:val="24"/>
        </w:rPr>
        <w:t xml:space="preserve">then </w:t>
      </w:r>
      <w:r w:rsidR="00BA336B">
        <w:rPr>
          <w:szCs w:val="24"/>
        </w:rPr>
        <w:t>obtained by d</w:t>
      </w:r>
      <w:r w:rsidR="00C65BAC">
        <w:rPr>
          <w:szCs w:val="24"/>
        </w:rPr>
        <w:t>ividing the observed and expected daily hazard rates</w:t>
      </w:r>
      <w:r w:rsidR="00BA336B">
        <w:rPr>
          <w:szCs w:val="24"/>
        </w:rPr>
        <w:t xml:space="preserve"> </w:t>
      </w:r>
      <w:r>
        <w:rPr>
          <w:szCs w:val="24"/>
        </w:rPr>
        <w:t xml:space="preserve">at each follow-up time within the </w:t>
      </w:r>
      <w:r w:rsidR="00C57429">
        <w:rPr>
          <w:szCs w:val="24"/>
        </w:rPr>
        <w:t>first year of the procedure</w:t>
      </w:r>
      <w:r>
        <w:rPr>
          <w:szCs w:val="24"/>
        </w:rPr>
        <w:t>.</w:t>
      </w:r>
      <w:r w:rsidR="00BA336B">
        <w:t xml:space="preserve"> H</w:t>
      </w:r>
      <w:r w:rsidR="00BA336B">
        <w:rPr>
          <w:szCs w:val="24"/>
        </w:rPr>
        <w:t>ere</w:t>
      </w:r>
      <w:r w:rsidR="00C65BAC">
        <w:rPr>
          <w:szCs w:val="24"/>
        </w:rPr>
        <w:t xml:space="preserve">, </w:t>
      </w:r>
      <w:r w:rsidR="00BA336B">
        <w:rPr>
          <w:szCs w:val="24"/>
        </w:rPr>
        <w:t>a</w:t>
      </w:r>
      <w:r w:rsidR="00C65BAC">
        <w:rPr>
          <w:szCs w:val="24"/>
        </w:rPr>
        <w:t xml:space="preserve"> </w:t>
      </w:r>
      <w:r>
        <w:rPr>
          <w:szCs w:val="24"/>
        </w:rPr>
        <w:t xml:space="preserve">daily </w:t>
      </w:r>
      <w:r w:rsidR="00BC3CEE">
        <w:rPr>
          <w:szCs w:val="24"/>
        </w:rPr>
        <w:t xml:space="preserve">HR </w:t>
      </w:r>
      <w:r w:rsidR="00C65BAC">
        <w:rPr>
          <w:szCs w:val="24"/>
        </w:rPr>
        <w:t>of one</w:t>
      </w:r>
      <w:r w:rsidR="00C65BAC">
        <w:t xml:space="preserve"> implies the </w:t>
      </w:r>
      <w:r w:rsidR="007015BF">
        <w:t xml:space="preserve">observed </w:t>
      </w:r>
      <w:r w:rsidR="00D243BD">
        <w:t xml:space="preserve">mortality </w:t>
      </w:r>
      <w:r w:rsidR="00C65BAC">
        <w:t>hazard</w:t>
      </w:r>
      <w:r w:rsidR="00BA336B">
        <w:t>s</w:t>
      </w:r>
      <w:r w:rsidR="00C65BAC">
        <w:t xml:space="preserve"> </w:t>
      </w:r>
      <w:r w:rsidR="006D5ECE">
        <w:t>were</w:t>
      </w:r>
      <w:r w:rsidR="00C65BAC">
        <w:t xml:space="preserve"> the same as </w:t>
      </w:r>
      <w:r w:rsidR="00BA336B">
        <w:t xml:space="preserve">those in the general population, while </w:t>
      </w:r>
      <w:r w:rsidR="00031B8D">
        <w:t>HR</w:t>
      </w:r>
      <w:r w:rsidR="00BA336B">
        <w:t xml:space="preserve">s </w:t>
      </w:r>
      <w:r w:rsidR="003E4615">
        <w:t>less</w:t>
      </w:r>
      <w:r w:rsidR="007015BF">
        <w:t xml:space="preserve"> (greater)</w:t>
      </w:r>
      <w:r w:rsidR="003E4615">
        <w:t xml:space="preserve"> </w:t>
      </w:r>
      <w:r w:rsidR="00BA336B">
        <w:t>than one imply</w:t>
      </w:r>
      <w:r w:rsidR="00C65BAC">
        <w:t xml:space="preserve"> </w:t>
      </w:r>
      <w:r w:rsidR="00D51FCE">
        <w:t xml:space="preserve">that mortality hazards after TAVI were </w:t>
      </w:r>
      <w:r w:rsidR="003E4615">
        <w:t>lower</w:t>
      </w:r>
      <w:r w:rsidR="007015BF">
        <w:t xml:space="preserve"> (higher)</w:t>
      </w:r>
      <w:r w:rsidR="003E4615">
        <w:t xml:space="preserve"> </w:t>
      </w:r>
      <w:r w:rsidR="00D51FCE">
        <w:t xml:space="preserve">than </w:t>
      </w:r>
      <w:r w:rsidR="00BC3CEE">
        <w:t xml:space="preserve">the </w:t>
      </w:r>
      <w:r w:rsidR="00C65BAC">
        <w:t>general population</w:t>
      </w:r>
      <w:r w:rsidR="00957F11">
        <w:t xml:space="preserve"> hazard</w:t>
      </w:r>
      <w:r w:rsidR="00C65BAC">
        <w:t>.</w:t>
      </w:r>
      <w:r w:rsidR="00390893">
        <w:t xml:space="preserve"> A smoother was applied to </w:t>
      </w:r>
      <w:r w:rsidR="00073440">
        <w:t>each of the daily</w:t>
      </w:r>
      <w:r w:rsidR="00390893">
        <w:t xml:space="preserve"> HRs</w:t>
      </w:r>
      <w:r w:rsidR="00073440">
        <w:t xml:space="preserve"> to estimate a trend through time</w:t>
      </w:r>
      <w:r w:rsidR="00390893">
        <w:t xml:space="preserve"> </w:t>
      </w:r>
      <w:r w:rsidR="00390893">
        <w:fldChar w:fldCharType="begin" w:fldLock="1"/>
      </w:r>
      <w:r w:rsidR="00DA3F2E">
        <w:instrText>ADDIN CSL_CITATION { "citationItems" : [ { "id" : "ITEM-1", "itemData" : { "author" : [ { "dropping-particle" : "", "family" : "Cleveland", "given" : "William S.", "non-dropping-particle" : "", "parse-names" : false, "suffix" : "" }, { "dropping-particle" : "", "family" : "Grosse", "given" : "Eric", "non-dropping-particle" : "", "parse-names" : false, "suffix" : "" }, { "dropping-particle" : "", "family" : "Shyu", "given" : "William M.", "non-dropping-particle" : "", "parse-names" : false, "suffix" : "" } ], "container-title" : "Statistical models in S", "id" : "ITEM-1", "issued" : { "date-parts" : [ [ "1992" ] ] }, "page" : "309-376", "publisher" : "Pacific Grove", "title" : "Local regression models", "type" : "article-journal", "volume" : "2" }, "uris" : [ "http://www.mendeley.com/documents/?uuid=d91295bd-87cc-43fb-83a2-75cd5cf23063" ] } ], "mendeley" : { "formattedCitation" : "&lt;sup&gt;17&lt;/sup&gt;", "plainTextFormattedCitation" : "17", "previouslyFormattedCitation" : "(17)" }, "properties" : { "noteIndex" : 0 }, "schema" : "https://github.com/citation-style-language/schema/raw/master/csl-citation.json" }</w:instrText>
      </w:r>
      <w:r w:rsidR="00390893">
        <w:fldChar w:fldCharType="separate"/>
      </w:r>
      <w:r w:rsidR="00DA3F2E" w:rsidRPr="00DA3F2E">
        <w:rPr>
          <w:noProof/>
          <w:vertAlign w:val="superscript"/>
        </w:rPr>
        <w:t>17</w:t>
      </w:r>
      <w:r w:rsidR="00390893">
        <w:fldChar w:fldCharType="end"/>
      </w:r>
      <w:r w:rsidR="00390893">
        <w:t>.</w:t>
      </w:r>
    </w:p>
    <w:p w14:paraId="7C7EDD43" w14:textId="442B357E" w:rsidR="00FC3BF7" w:rsidRDefault="00FC3BF7" w:rsidP="00E1754A">
      <w:pPr>
        <w:ind w:firstLine="720"/>
      </w:pPr>
      <w:r>
        <w:lastRenderedPageBreak/>
        <w:t>An alternative estimation of RS was considered that uses a patient level approach</w:t>
      </w:r>
      <w:r w:rsidR="003A639E">
        <w:t>, which</w:t>
      </w:r>
      <w:r>
        <w:t xml:space="preserve"> has previously been described in detail </w:t>
      </w:r>
      <w:r>
        <w:rPr>
          <w:szCs w:val="24"/>
        </w:rPr>
        <w:fldChar w:fldCharType="begin" w:fldLock="1"/>
      </w:r>
      <w:r>
        <w:rPr>
          <w:szCs w:val="24"/>
        </w:rPr>
        <w:instrText>ADDIN CSL_CITATION { "citationItems" : [ { "id" : "ITEM-1", "itemData" : { "DOI" : "10.1111/j.1467-9876.2005.00473.x", "ISSN" : "00359254", "abstract" : "The ratio between the observed and the expected survival is often used in studies of survival, cancer being the most common example. This ratio is called the relative survival and it is a measure of the net e\ufb00ect of the disease on survival. While the expected survival is, in principle, a simple concept, there are some problems as to calculating it in a way that it controls for heterogeneity in the potential follow-up times and yet remains independent of the observed mortality at the same time. Of the methods proposed the best approach is that of Hakulinen. Still, all these methods focus on group experience, and say nothing about individual values. For example, they do not answer a very natural question \u201cHow long, relatively to the general population, did a certain person live?\u201d We introduce an individual measure of relative survival that provides answers to such and similar questions. But, more importantly, it enables simple and e\ufb00ective modelling of excess risk via regression models. In this presentation we focus on properties of the measure, and the comparison of our regression approach with those of Hakulinen and Tenkanen (1989), and Andersen et al (1985). The main advantage of our approach is that it accounts for the population risk without assuming anything about its relation to the excess risk. Furthermore, in regression models, variables other than those de\ufb01ning population tables can be used. In fact, the method enables usage of all known regression approaches without restrictions, using only standard statistical software. The approach is illustrated using data on survival of patients after acute myocardial infarction.", "author" : [ { "dropping-particle" : "", "family" : "Stare", "given" : "Janez", "non-dropping-particle" : "", "parse-names" : false, "suffix" : "" }, { "dropping-particle" : "", "family" : "Henderson", "given" : "Robin", "non-dropping-particle" : "", "parse-names" : false, "suffix" : "" }, { "dropping-particle" : "", "family" : "Pohar", "given" : "Maja", "non-dropping-particle" : "", "parse-names" : false, "suffix" : "" } ], "container-title" : "Journal of the Royal Statistical Society. Series C: Applied Statistics", "id" : "ITEM-1", "issue" : "1", "issued" : { "date-parts" : [ [ "2005" ] ] }, "page" : "115-126", "title" : "An individual measure of relative survival", "type" : "article-journal", "volume" : "54" }, "uris" : [ "http://www.mendeley.com/documents/?uuid=90132292-fd13-414a-a9ca-3845b9faf359" ] } ], "mendeley" : { "formattedCitation" : "&lt;sup&gt;18&lt;/sup&gt;", "plainTextFormattedCitation" : "18", "previouslyFormattedCitation" : "(18)" }, "properties" : { "noteIndex" : 0 }, "schema" : "https://github.com/citation-style-language/schema/raw/master/csl-citation.json" }</w:instrText>
      </w:r>
      <w:r>
        <w:rPr>
          <w:szCs w:val="24"/>
        </w:rPr>
        <w:fldChar w:fldCharType="separate"/>
      </w:r>
      <w:r w:rsidRPr="00DA3F2E">
        <w:rPr>
          <w:noProof/>
          <w:szCs w:val="24"/>
          <w:vertAlign w:val="superscript"/>
        </w:rPr>
        <w:t>18</w:t>
      </w:r>
      <w:r>
        <w:rPr>
          <w:szCs w:val="24"/>
        </w:rPr>
        <w:fldChar w:fldCharType="end"/>
      </w:r>
      <w:r>
        <w:rPr>
          <w:szCs w:val="24"/>
        </w:rPr>
        <w:t xml:space="preserve">. In </w:t>
      </w:r>
      <w:r w:rsidR="00E47F3C">
        <w:rPr>
          <w:szCs w:val="24"/>
        </w:rPr>
        <w:t>short</w:t>
      </w:r>
      <w:r>
        <w:rPr>
          <w:szCs w:val="24"/>
        </w:rPr>
        <w:t>, the follow-up time (in days) for each patient was transformed to give the expected proportion of the matched general population that would have not survived that individual’s follow-up. For example, transforming the observed survival time for a given patient to 0.3 implies that individual survived longer than 30% of the</w:t>
      </w:r>
      <w:r w:rsidR="00E47F3C">
        <w:rPr>
          <w:szCs w:val="24"/>
        </w:rPr>
        <w:t>ir</w:t>
      </w:r>
      <w:r>
        <w:rPr>
          <w:szCs w:val="24"/>
        </w:rPr>
        <w:t xml:space="preserve"> matched general population. A Kaplan-Meier estimate and log-rank test can then be used directly on the transformed survival times to compare across strata.</w:t>
      </w:r>
    </w:p>
    <w:p w14:paraId="6E21638D" w14:textId="2F7F9FE1" w:rsidR="00DD2966" w:rsidRDefault="008A571C" w:rsidP="002E1F42">
      <w:pPr>
        <w:ind w:firstLine="720"/>
        <w:rPr>
          <w:szCs w:val="24"/>
        </w:rPr>
      </w:pPr>
      <w:r>
        <w:t>Multivariable m</w:t>
      </w:r>
      <w:r w:rsidR="00C65BAC">
        <w:t xml:space="preserve">odelling of </w:t>
      </w:r>
      <w:r w:rsidR="00BC60AD">
        <w:t>RS</w:t>
      </w:r>
      <w:r w:rsidR="00C65BAC">
        <w:t xml:space="preserve"> was undertaken</w:t>
      </w:r>
      <w:r w:rsidR="0077727F">
        <w:t xml:space="preserve"> </w:t>
      </w:r>
      <w:r w:rsidR="00B02D1D">
        <w:t xml:space="preserve">using a flexible parametric RS model, which modelled the log cumulative hazard using restricted cubic splines, thereby allowing the baseline hazard to vary non-linearly with time </w:t>
      </w:r>
      <w:r w:rsidR="00B02D1D">
        <w:fldChar w:fldCharType="begin" w:fldLock="1"/>
      </w:r>
      <w:r w:rsidR="00B02D1D">
        <w:instrText>ADDIN CSL_CITATION { "citationItems" : [ { "id" : "ITEM-1", "itemData" : { "DOI" : "10.1002/sim.1203", "ISBN" : "0277-6715", "ISSN" : "0277-6715", "PMID" : "12210632", "abstract" : "Modelling of censored survival data is almost always done by Cox proportional-hazards regression. However, use of parametric models for such data may have some advantages. For example, nonproportional hazards, a potential difficulty with Cox models, may sometimes be handled in a simple way, and visualization of the hazard function is much easier. Extensions of the Weibull and log-logistic models are proposed in which natural cubic splines are used to smooth the baseline log cumulative hazard and log cumulative odds of failure functions. Further extensions to allow non-proportional effects of some or all of the covariates are introduced. A hypothesis test of the appropriateness of the scale chosen for covariate effects (such as of treatment) is proposed. The new models are applied to two data sets in cancer. The results throw interesting light on the behaviour of both the hazard function and the hazard ratio over time. The tools described here may be a step towards providing greater insight into the natural history of the disease and into possible underlying causes of clinical events. We illustrate these aspects by using the two examples in cancer. Copyright (C) 2002 John Wiley Sons, Ltd.", "author" : [ { "dropping-particle" : "", "family" : "Royston", "given" : "Patrick", "non-dropping-particle" : "", "parse-names" : false, "suffix" : "" }, { "dropping-particle" : "", "family" : "Parmar", "given" : "Mahesh K B", "non-dropping-particle" : "", "parse-names" : false, "suffix" : "" } ], "container-title" : "Statistics in Medicine", "id" : "ITEM-1", "issue" : "15", "issued" : { "date-parts" : [ [ "2002", "8", "15" ] ] }, "page" : "2175-2197", "title" : "Flexible parametric proportional-hazards and proportional-odds models for censored survival data, with application to prognostic modelling and estimation of treatment effects", "type" : "article-journal", "volume" : "21" }, "uris" : [ "http://www.mendeley.com/documents/?uuid=b959f5a5-25b9-49c6-b843-fdb285eafe96" ] }, { "id" : "ITEM-2", "itemData" : { "DOI" : "10.1002/sim.3064", "ISBN" : "1097-0258", "ISSN" : "0277-6715", "PMID" : "17893893", "abstract" : "Relative survival is frequently used in population-based studies as a method for estimating disease-related mortality without the need for information on cause of death. We propose an extension to relative survival of a flexible parametric model proposed by Royston and Parmar for censored survival data. The model provides smooth estimates of the relative survival and excess mortality rates by using restricted cubic splines on the log cumulative excess hazard scale. The approach has several advantages over some of the more standard relative survival models, which adopt a piecewise approach, the main being the ability to model time on a continuous scale, the survival and hazard functions are obtained analytically and it does not use split-time data.", "author" : [ { "dropping-particle" : "", "family" : "Nelson", "given" : "Christopher P", "non-dropping-particle" : "", "parse-names" : false, "suffix" : "" }, { "dropping-particle" : "", "family" : "Lambert", "given" : "Paul C", "non-dropping-particle" : "", "parse-names" : false, "suffix" : "" }, { "dropping-particle" : "", "family" : "Squire", "given" : "Iain B", "non-dropping-particle" : "", "parse-names" : false, "suffix" : "" }, { "dropping-particle" : "", "family" : "Jones", "given" : "David R", "non-dropping-particle" : "", "parse-names" : false, "suffix" : "" } ], "container-title" : "Statistics in medicine", "id" : "ITEM-2", "issue" : "30", "issued" : { "date-parts" : [ [ "2007" ] ] }, "page" : "5486-98", "title" : "Flexible parametric models for relative survival, with application in coronary heart disease.", "type" : "article-journal", "volume" : "26" }, "uris" : [ "http://www.mendeley.com/documents/?uuid=f6836ae1-8abf-448f-8f4c-f3c343c982ca" ] } ], "mendeley" : { "formattedCitation" : "&lt;sup&gt;19,20&lt;/sup&gt;", "plainTextFormattedCitation" : "19,20", "previouslyFormattedCitation" : "(19,20)" }, "properties" : { "noteIndex" : 0 }, "schema" : "https://github.com/citation-style-language/schema/raw/master/csl-citation.json" }</w:instrText>
      </w:r>
      <w:r w:rsidR="00B02D1D">
        <w:fldChar w:fldCharType="separate"/>
      </w:r>
      <w:r w:rsidR="00B02D1D" w:rsidRPr="00DA3F2E">
        <w:rPr>
          <w:noProof/>
          <w:vertAlign w:val="superscript"/>
        </w:rPr>
        <w:t>19,20</w:t>
      </w:r>
      <w:r w:rsidR="00B02D1D">
        <w:fldChar w:fldCharType="end"/>
      </w:r>
      <w:r w:rsidR="00B02D1D">
        <w:t xml:space="preserve">. </w:t>
      </w:r>
      <w:r w:rsidR="00E47F3C">
        <w:t>Covariates in t</w:t>
      </w:r>
      <w:r w:rsidR="00B02D1D">
        <w:t>he model included</w:t>
      </w:r>
      <w:r w:rsidR="00E47F3C">
        <w:t>:</w:t>
      </w:r>
      <w:r w:rsidR="00191C08">
        <w:t xml:space="preserve"> age</w:t>
      </w:r>
      <w:r w:rsidR="00B02D1D">
        <w:t xml:space="preserve"> (continuous variable)</w:t>
      </w:r>
      <w:r w:rsidR="00191C08">
        <w:t>, procedure year</w:t>
      </w:r>
      <w:r w:rsidR="00B02D1D">
        <w:t xml:space="preserve"> (continuous variable)</w:t>
      </w:r>
      <w:r w:rsidR="00191C08">
        <w:t xml:space="preserve"> and sex. Other demographic and procedural variables were not entered into the model since our aim was not to </w:t>
      </w:r>
      <w:r w:rsidR="00A35B4A">
        <w:t>identify</w:t>
      </w:r>
      <w:r w:rsidR="00191C08">
        <w:t xml:space="preserve"> a causal relationship of age, year or sex on </w:t>
      </w:r>
      <w:r w:rsidR="00DA24C6">
        <w:t>RS;</w:t>
      </w:r>
      <w:r w:rsidR="00EB49F8">
        <w:t xml:space="preserve"> rather</w:t>
      </w:r>
      <w:r w:rsidR="00A42846">
        <w:t xml:space="preserve"> the aim was </w:t>
      </w:r>
      <w:r w:rsidR="00EB49F8">
        <w:t>to explore associations of such variables</w:t>
      </w:r>
      <w:r w:rsidR="0077727F">
        <w:t xml:space="preserve">. </w:t>
      </w:r>
      <w:r w:rsidR="00191C08">
        <w:t>Interaction terms between log survival time and age, year and sex were included</w:t>
      </w:r>
      <w:r w:rsidR="00B75C89">
        <w:t>,</w:t>
      </w:r>
      <w:r w:rsidR="00215C54">
        <w:t xml:space="preserve"> to estimate </w:t>
      </w:r>
      <w:r w:rsidR="00E47F3C">
        <w:t xml:space="preserve">time-varying </w:t>
      </w:r>
      <w:r w:rsidR="00215C54">
        <w:t>excess hazard ratios</w:t>
      </w:r>
      <w:r w:rsidR="00191C08">
        <w:t>.</w:t>
      </w:r>
      <w:r w:rsidR="002510EF">
        <w:t xml:space="preserve"> </w:t>
      </w:r>
      <w:r w:rsidR="00191C08">
        <w:t>The degrees of freedom for the baseline and time-varying coefficients were selected to minimise the Aka</w:t>
      </w:r>
      <w:r w:rsidR="008141B9">
        <w:t xml:space="preserve">ike’s </w:t>
      </w:r>
      <w:r w:rsidR="00DD6268">
        <w:t>I</w:t>
      </w:r>
      <w:r w:rsidR="008141B9">
        <w:t xml:space="preserve">nformation </w:t>
      </w:r>
      <w:r w:rsidR="00DD6268">
        <w:t>C</w:t>
      </w:r>
      <w:r w:rsidR="008141B9">
        <w:t>riterion</w:t>
      </w:r>
      <w:r w:rsidR="0039606B">
        <w:t xml:space="preserve">, </w:t>
      </w:r>
      <w:r w:rsidR="00266526">
        <w:t>with</w:t>
      </w:r>
      <w:r w:rsidR="00191C08">
        <w:t xml:space="preserve"> the knots </w:t>
      </w:r>
      <w:r w:rsidR="00F07AB8">
        <w:t xml:space="preserve">of the splines </w:t>
      </w:r>
      <w:r w:rsidR="00191C08">
        <w:t>placed at the centiles of the uncensored survival times.</w:t>
      </w:r>
    </w:p>
    <w:p w14:paraId="5AB40B34" w14:textId="6A358742" w:rsidR="00CE1267" w:rsidRPr="00CE1267" w:rsidRDefault="00CE1267" w:rsidP="00E1754A">
      <w:pPr>
        <w:spacing w:after="120"/>
        <w:ind w:firstLine="720"/>
      </w:pPr>
      <w:r w:rsidRPr="00E339EE">
        <w:t>R version 3.</w:t>
      </w:r>
      <w:r w:rsidR="00CA17B1">
        <w:t>3</w:t>
      </w:r>
      <w:r>
        <w:t>.</w:t>
      </w:r>
      <w:r w:rsidR="00CA17B1">
        <w:t>1</w:t>
      </w:r>
      <w:r w:rsidR="00A00B45" w:rsidRPr="00E339EE">
        <w:t xml:space="preserve"> </w:t>
      </w:r>
      <w:r w:rsidR="00564B7B" w:rsidRPr="00E339EE">
        <w:fldChar w:fldCharType="begin" w:fldLock="1"/>
      </w:r>
      <w:r w:rsidR="00DA3F2E">
        <w:instrText>ADDIN CSL_CITATION { "citationItems" : [ { "id" : "ITEM-1", "itemData" : { "DOI" : "10.1007/978-3-540-74686-7", "ISBN" : "3900051070", "ISSN" : "16000706", "abstract" : "R Foundation for Statistical Computing, Vienna, Austria. ISBN 3-900051-07-0, URL http://www.R-project.org/.", "author" : [ { "dropping-particle" : "", "family" : "R Core Team", "given" : "R", "non-dropping-particle" : "", "parse-names" : false, "suffix" : "" } ], "collection-title" : "R Foundation for Statistical Computing", "container-title" : "R Foundation for Statistical Computing", "editor" : [ { "dropping-particle" : "", "family" : "Team", "given" : "R Development Core", "non-dropping-particle" : "", "parse-names" : false, "suffix" : "" } ], "id" : "ITEM-1", "issued" : { "date-parts" : [ [ "2017" ] ] }, "publisher" : "R Foundation for Statistical Computing", "publisher-place" : "Vienna, Austria", "title" : "R: A Language and Environment for Statistical Computing", "type" : "article" }, "uris" : [ "http://www.mendeley.com/documents/?uuid=712fa54f-5afd-428f-9018-d6d56cc86677" ] } ], "mendeley" : { "formattedCitation" : "&lt;sup&gt;21&lt;/sup&gt;", "plainTextFormattedCitation" : "21", "previouslyFormattedCitation" : "(21)" }, "properties" : { "noteIndex" : 0 }, "schema" : "https://github.com/citation-style-language/schema/raw/master/csl-citation.json" }</w:instrText>
      </w:r>
      <w:r w:rsidR="00564B7B" w:rsidRPr="00E339EE">
        <w:fldChar w:fldCharType="separate"/>
      </w:r>
      <w:r w:rsidR="00DA3F2E" w:rsidRPr="00DA3F2E">
        <w:rPr>
          <w:noProof/>
          <w:vertAlign w:val="superscript"/>
        </w:rPr>
        <w:t>21</w:t>
      </w:r>
      <w:r w:rsidR="00564B7B" w:rsidRPr="00E339EE">
        <w:fldChar w:fldCharType="end"/>
      </w:r>
      <w:r w:rsidRPr="00E339EE">
        <w:t xml:space="preserve"> was used for all statistical analyses</w:t>
      </w:r>
      <w:r w:rsidRPr="00E339EE">
        <w:rPr>
          <w:noProof/>
        </w:rPr>
        <w:t>.</w:t>
      </w:r>
      <w:r>
        <w:rPr>
          <w:noProof/>
        </w:rPr>
        <w:t xml:space="preserve"> </w:t>
      </w:r>
      <w:r w:rsidR="00A00B45">
        <w:rPr>
          <w:noProof/>
        </w:rPr>
        <w:t>G</w:t>
      </w:r>
      <w:r w:rsidRPr="00E339EE">
        <w:rPr>
          <w:noProof/>
        </w:rPr>
        <w:t xml:space="preserve">raphical plots </w:t>
      </w:r>
      <w:r>
        <w:rPr>
          <w:noProof/>
        </w:rPr>
        <w:t xml:space="preserve">were made using the </w:t>
      </w:r>
      <w:r w:rsidR="001A104B">
        <w:rPr>
          <w:noProof/>
        </w:rPr>
        <w:t>“</w:t>
      </w:r>
      <w:r>
        <w:rPr>
          <w:noProof/>
        </w:rPr>
        <w:t>ggplot2</w:t>
      </w:r>
      <w:r w:rsidR="001A104B">
        <w:rPr>
          <w:noProof/>
        </w:rPr>
        <w:t>”</w:t>
      </w:r>
      <w:r>
        <w:rPr>
          <w:noProof/>
        </w:rPr>
        <w:t xml:space="preserve"> package </w:t>
      </w:r>
      <w:r w:rsidR="00564B7B" w:rsidRPr="00E339EE">
        <w:rPr>
          <w:noProof/>
        </w:rPr>
        <w:fldChar w:fldCharType="begin" w:fldLock="1"/>
      </w:r>
      <w:r w:rsidR="00DA3F2E">
        <w:rPr>
          <w:noProof/>
        </w:rPr>
        <w:instrText>ADDIN CSL_CITATION { "citationItems" : [ { "id" : "ITEM-1", "itemData" : { "ISBN" : "978-0-387-98140-6", "author" : [ { "dropping-particle" : "", "family" : "Wickham", "given" : "Hadley", "non-dropping-particle" : "", "parse-names" : false, "suffix" : "" } ], "id" : "ITEM-1", "issued" : { "date-parts" : [ [ "2009" ] ] }, "publisher" : "Springer New York", "title" : "ggplot2: elegant graphics for data analysis", "type" : "book" }, "uris" : [ "http://www.mendeley.com/documents/?uuid=1ee9b027-8208-4641-b58b-ca1b06f4123d" ] } ], "mendeley" : { "formattedCitation" : "&lt;sup&gt;22&lt;/sup&gt;", "plainTextFormattedCitation" : "22", "previouslyFormattedCitation" : "(22)" }, "properties" : { "noteIndex" : 0 }, "schema" : "https://github.com/citation-style-language/schema/raw/master/csl-citation.json" }</w:instrText>
      </w:r>
      <w:r w:rsidR="00564B7B" w:rsidRPr="00E339EE">
        <w:rPr>
          <w:noProof/>
        </w:rPr>
        <w:fldChar w:fldCharType="separate"/>
      </w:r>
      <w:r w:rsidR="00DA3F2E" w:rsidRPr="00DA3F2E">
        <w:rPr>
          <w:noProof/>
          <w:vertAlign w:val="superscript"/>
        </w:rPr>
        <w:t>22</w:t>
      </w:r>
      <w:r w:rsidR="00564B7B" w:rsidRPr="00E339EE">
        <w:rPr>
          <w:noProof/>
        </w:rPr>
        <w:fldChar w:fldCharType="end"/>
      </w:r>
      <w:r w:rsidR="007A22B3">
        <w:rPr>
          <w:noProof/>
        </w:rPr>
        <w:t xml:space="preserve">, the package “rstpm2” was used to fit the flexible parametric </w:t>
      </w:r>
      <w:r w:rsidR="00BC60AD">
        <w:rPr>
          <w:noProof/>
        </w:rPr>
        <w:t>RS</w:t>
      </w:r>
      <w:r w:rsidR="007A22B3">
        <w:rPr>
          <w:noProof/>
        </w:rPr>
        <w:t xml:space="preserve"> models </w:t>
      </w:r>
      <w:r w:rsidR="007A22B3">
        <w:rPr>
          <w:noProof/>
        </w:rPr>
        <w:fldChar w:fldCharType="begin" w:fldLock="1"/>
      </w:r>
      <w:r w:rsidR="00DA3F2E">
        <w:rPr>
          <w:noProof/>
        </w:rPr>
        <w:instrText>ADDIN CSL_CITATION { "citationItems" : [ { "id" : "ITEM-1", "itemData" : { "author" : [ { "dropping-particle" : "", "family" : "Clements", "given" : "Mark", "non-dropping-particle" : "", "parse-names" : false, "suffix" : "" }, { "dropping-particle" : "", "family" : "Liu", "given" : "Xing-Rong", "non-dropping-particle" : "", "parse-names" : false, "suffix" : "" } ], "id" : "ITEM-1", "issued" : { "date-parts" : [ [ "2016" ] ] }, "number" : "R package version 1.3.2", "page" : "R package version 1.3.2", "title" : "rstpm2: Generalized Survival Models", "type" : "article" }, "uris" : [ "http://www.mendeley.com/documents/?uuid=66685ec1-c04c-4c69-8b58-a6f7c3639be4" ] } ], "mendeley" : { "formattedCitation" : "&lt;sup&gt;23&lt;/sup&gt;", "plainTextFormattedCitation" : "23", "previouslyFormattedCitation" : "(23)" }, "properties" : { "noteIndex" : 0 }, "schema" : "https://github.com/citation-style-language/schema/raw/master/csl-citation.json" }</w:instrText>
      </w:r>
      <w:r w:rsidR="007A22B3">
        <w:rPr>
          <w:noProof/>
        </w:rPr>
        <w:fldChar w:fldCharType="separate"/>
      </w:r>
      <w:r w:rsidR="00DA3F2E" w:rsidRPr="00DA3F2E">
        <w:rPr>
          <w:noProof/>
          <w:vertAlign w:val="superscript"/>
        </w:rPr>
        <w:t>23</w:t>
      </w:r>
      <w:r w:rsidR="007A22B3">
        <w:rPr>
          <w:noProof/>
        </w:rPr>
        <w:fldChar w:fldCharType="end"/>
      </w:r>
      <w:r w:rsidR="00E47665">
        <w:rPr>
          <w:noProof/>
        </w:rPr>
        <w:t>,</w:t>
      </w:r>
      <w:r w:rsidR="007A22B3">
        <w:rPr>
          <w:noProof/>
        </w:rPr>
        <w:t xml:space="preserve"> </w:t>
      </w:r>
      <w:r>
        <w:rPr>
          <w:noProof/>
        </w:rPr>
        <w:t>and t</w:t>
      </w:r>
      <w:r w:rsidRPr="00E339EE">
        <w:rPr>
          <w:noProof/>
        </w:rPr>
        <w:t xml:space="preserve">he package </w:t>
      </w:r>
      <w:r w:rsidR="001A104B">
        <w:rPr>
          <w:noProof/>
        </w:rPr>
        <w:t>“</w:t>
      </w:r>
      <w:r>
        <w:rPr>
          <w:noProof/>
        </w:rPr>
        <w:t>relsurv</w:t>
      </w:r>
      <w:r w:rsidR="001A104B">
        <w:rPr>
          <w:noProof/>
        </w:rPr>
        <w:t>”</w:t>
      </w:r>
      <w:r w:rsidRPr="00E339EE">
        <w:rPr>
          <w:noProof/>
        </w:rPr>
        <w:t xml:space="preserve"> was used </w:t>
      </w:r>
      <w:r w:rsidR="00A05384">
        <w:rPr>
          <w:noProof/>
        </w:rPr>
        <w:t xml:space="preserve">for the </w:t>
      </w:r>
      <w:r w:rsidR="00BC60AD" w:rsidRPr="0017016F">
        <w:t>Ederer II</w:t>
      </w:r>
      <w:r w:rsidR="00BC60AD">
        <w:rPr>
          <w:noProof/>
        </w:rPr>
        <w:t xml:space="preserve"> RS</w:t>
      </w:r>
      <w:r>
        <w:rPr>
          <w:noProof/>
        </w:rPr>
        <w:t xml:space="preserve"> </w:t>
      </w:r>
      <w:r w:rsidR="00A05384">
        <w:rPr>
          <w:noProof/>
        </w:rPr>
        <w:t xml:space="preserve">analysis </w:t>
      </w:r>
      <w:r w:rsidR="00564B7B" w:rsidRPr="00E339EE">
        <w:rPr>
          <w:noProof/>
        </w:rPr>
        <w:fldChar w:fldCharType="begin" w:fldLock="1"/>
      </w:r>
      <w:r w:rsidR="00DA3F2E">
        <w:rPr>
          <w:noProof/>
        </w:rPr>
        <w:instrText>ADDIN CSL_CITATION { "citationItems" : [ { "id" : "ITEM-1", "itemData" : { "author" : [ { "dropping-particle" : "", "family" : "Perme", "given" : "Maja Pohar", "non-dropping-particle" : "", "parse-names" : false, "suffix" : "" } ], "id" : "ITEM-1", "issued" : { "date-parts" : [ [ "2016" ] ] }, "page" : "R package version 2.0-9", "title" : "relsurv: Relative Survival", "type" : "article" }, "uris" : [ "http://www.mendeley.com/documents/?uuid=b0a26529-9247-448c-9cbb-28eacf6266fb" ] } ], "mendeley" : { "formattedCitation" : "&lt;sup&gt;24&lt;/sup&gt;", "plainTextFormattedCitation" : "24", "previouslyFormattedCitation" : "(24)" }, "properties" : { "noteIndex" : 0 }, "schema" : "https://github.com/citation-style-language/schema/raw/master/csl-citation.json" }</w:instrText>
      </w:r>
      <w:r w:rsidR="00564B7B" w:rsidRPr="00E339EE">
        <w:rPr>
          <w:noProof/>
        </w:rPr>
        <w:fldChar w:fldCharType="separate"/>
      </w:r>
      <w:r w:rsidR="00DA3F2E" w:rsidRPr="00DA3F2E">
        <w:rPr>
          <w:noProof/>
          <w:vertAlign w:val="superscript"/>
        </w:rPr>
        <w:t>24</w:t>
      </w:r>
      <w:r w:rsidR="00564B7B" w:rsidRPr="00E339EE">
        <w:rPr>
          <w:noProof/>
        </w:rPr>
        <w:fldChar w:fldCharType="end"/>
      </w:r>
      <w:r w:rsidRPr="00E339EE">
        <w:rPr>
          <w:noProof/>
        </w:rPr>
        <w:t xml:space="preserve">. </w:t>
      </w:r>
    </w:p>
    <w:p w14:paraId="481EBA22" w14:textId="77777777" w:rsidR="00005A84" w:rsidRDefault="00005A84" w:rsidP="00E1754A">
      <w:pPr>
        <w:pStyle w:val="Heading1"/>
      </w:pPr>
      <w:r>
        <w:t>Results</w:t>
      </w:r>
    </w:p>
    <w:p w14:paraId="5DD787EF" w14:textId="3D2C453E" w:rsidR="004645AE" w:rsidRPr="00D23DDA" w:rsidRDefault="006D5ECE" w:rsidP="00E1754A">
      <w:pPr>
        <w:ind w:firstLine="720"/>
      </w:pPr>
      <w:r>
        <w:t xml:space="preserve">Between January 2007 and December 2014, </w:t>
      </w:r>
      <w:r w:rsidR="00366C8A">
        <w:t>6835</w:t>
      </w:r>
      <w:r w:rsidR="004645AE">
        <w:t xml:space="preserve"> patients </w:t>
      </w:r>
      <w:r w:rsidR="003E4615">
        <w:t xml:space="preserve">received </w:t>
      </w:r>
      <w:r w:rsidR="0052335F">
        <w:t xml:space="preserve">TAVI </w:t>
      </w:r>
      <w:r w:rsidR="004645AE">
        <w:t>in</w:t>
      </w:r>
      <w:r w:rsidR="00366C8A">
        <w:t xml:space="preserve"> </w:t>
      </w:r>
      <w:r w:rsidR="00BF289C">
        <w:t xml:space="preserve">either </w:t>
      </w:r>
      <w:r w:rsidR="00366C8A">
        <w:t xml:space="preserve">England </w:t>
      </w:r>
      <w:r w:rsidR="00BF289C">
        <w:t>or</w:t>
      </w:r>
      <w:r w:rsidR="00366C8A">
        <w:t xml:space="preserve"> Wales</w:t>
      </w:r>
      <w:r w:rsidR="00266526">
        <w:t>; p</w:t>
      </w:r>
      <w:r w:rsidR="00366C8A">
        <w:t>atients with missing location information (n</w:t>
      </w:r>
      <w:r w:rsidR="004B511E">
        <w:t xml:space="preserve"> </w:t>
      </w:r>
      <w:r w:rsidR="00366C8A">
        <w:t>=</w:t>
      </w:r>
      <w:r w:rsidR="004B511E">
        <w:t xml:space="preserve"> </w:t>
      </w:r>
      <w:r w:rsidR="00366C8A">
        <w:t xml:space="preserve">337) were removed from the analysis. </w:t>
      </w:r>
      <w:r w:rsidR="0052170F">
        <w:t xml:space="preserve">Of the remaining </w:t>
      </w:r>
      <w:r w:rsidR="00A57EB5">
        <w:t>6498</w:t>
      </w:r>
      <w:r w:rsidR="0052170F">
        <w:t xml:space="preserve"> patients, </w:t>
      </w:r>
      <w:r w:rsidR="00A57EB5">
        <w:t>56</w:t>
      </w:r>
      <w:r w:rsidR="004645AE">
        <w:t xml:space="preserve"> </w:t>
      </w:r>
      <w:r w:rsidR="0052170F">
        <w:t xml:space="preserve">had </w:t>
      </w:r>
      <w:r w:rsidR="0083695B">
        <w:t xml:space="preserve">missing </w:t>
      </w:r>
      <w:r w:rsidR="00726056">
        <w:t>follow-up time</w:t>
      </w:r>
      <w:r w:rsidR="00FB72BF">
        <w:t xml:space="preserve"> and 22 patients </w:t>
      </w:r>
      <w:r w:rsidR="00FB72BF">
        <w:lastRenderedPageBreak/>
        <w:t xml:space="preserve">had missing </w:t>
      </w:r>
      <w:r w:rsidR="004321F0">
        <w:t xml:space="preserve">sex </w:t>
      </w:r>
      <w:r w:rsidR="00FB72BF">
        <w:t>information</w:t>
      </w:r>
      <w:r w:rsidR="0083695B">
        <w:t xml:space="preserve">, leaving </w:t>
      </w:r>
      <w:r w:rsidR="00A57EB5">
        <w:t>64</w:t>
      </w:r>
      <w:r w:rsidR="00FB72BF">
        <w:t>20</w:t>
      </w:r>
      <w:r w:rsidR="004C4683">
        <w:t xml:space="preserve"> (</w:t>
      </w:r>
      <w:r w:rsidR="00366C8A">
        <w:t>94</w:t>
      </w:r>
      <w:r w:rsidR="004C4683">
        <w:t>%)</w:t>
      </w:r>
      <w:r w:rsidR="0083695B">
        <w:t xml:space="preserve"> patients</w:t>
      </w:r>
      <w:r w:rsidR="004C4683">
        <w:t xml:space="preserve"> available for analysis</w:t>
      </w:r>
      <w:r w:rsidR="0083695B">
        <w:t>.</w:t>
      </w:r>
      <w:r w:rsidR="001F0A08">
        <w:t xml:space="preserve"> Baseline characteristics</w:t>
      </w:r>
      <w:r w:rsidR="00851FC7">
        <w:t xml:space="preserve"> of the </w:t>
      </w:r>
      <w:r w:rsidR="00471FD4">
        <w:t xml:space="preserve">whole </w:t>
      </w:r>
      <w:r w:rsidR="00516984">
        <w:t>TAVI</w:t>
      </w:r>
      <w:r w:rsidR="00851FC7">
        <w:t xml:space="preserve"> cohort</w:t>
      </w:r>
      <w:r w:rsidR="001F0A08">
        <w:t xml:space="preserve"> </w:t>
      </w:r>
      <w:r w:rsidR="00471FD4">
        <w:t xml:space="preserve">and across age groups </w:t>
      </w:r>
      <w:r w:rsidR="001F0A08">
        <w:t xml:space="preserve">are given in </w:t>
      </w:r>
      <w:r w:rsidR="001F0A08">
        <w:rPr>
          <w:b/>
        </w:rPr>
        <w:t>Table</w:t>
      </w:r>
      <w:r w:rsidR="00A16871">
        <w:rPr>
          <w:b/>
        </w:rPr>
        <w:t xml:space="preserve"> 1</w:t>
      </w:r>
      <w:r w:rsidR="00C92803">
        <w:t xml:space="preserve">, while </w:t>
      </w:r>
      <w:r w:rsidR="00C92803">
        <w:rPr>
          <w:b/>
        </w:rPr>
        <w:t>Table 2</w:t>
      </w:r>
      <w:r w:rsidR="00C92803">
        <w:t xml:space="preserve"> and </w:t>
      </w:r>
      <w:r w:rsidR="00C92803">
        <w:rPr>
          <w:b/>
        </w:rPr>
        <w:t>Table 3</w:t>
      </w:r>
      <w:r w:rsidR="00C92803">
        <w:t xml:space="preserve"> present the procedure year and sex subgroup comparisons, respectively.</w:t>
      </w:r>
      <w:r w:rsidR="00771EE3">
        <w:t xml:space="preserve"> The mean age of patients was 81.3 years and the majority of patients were male (53.7%).</w:t>
      </w:r>
      <w:r w:rsidR="00F96940">
        <w:t xml:space="preserve"> </w:t>
      </w:r>
      <w:r w:rsidR="00C92803">
        <w:t>O</w:t>
      </w:r>
      <w:r w:rsidR="0042239E">
        <w:t xml:space="preserve">lder patients </w:t>
      </w:r>
      <w:r w:rsidR="00006EB9">
        <w:t>generally had fewer baseline risk factors</w:t>
      </w:r>
      <w:r w:rsidR="00E60253">
        <w:t xml:space="preserve"> (</w:t>
      </w:r>
      <w:r w:rsidR="00471FD4">
        <w:rPr>
          <w:b/>
        </w:rPr>
        <w:t>Table 1</w:t>
      </w:r>
      <w:r w:rsidR="00E60253">
        <w:t xml:space="preserve">); for instance, </w:t>
      </w:r>
      <w:r w:rsidR="00027CDF">
        <w:t xml:space="preserve">the </w:t>
      </w:r>
      <w:r w:rsidR="00D50BA6">
        <w:t xml:space="preserve">prevalence of </w:t>
      </w:r>
      <w:r w:rsidR="00027CDF">
        <w:t>renal failure (p&lt;0.001)</w:t>
      </w:r>
      <w:r w:rsidR="00E60253">
        <w:t>, asthma/COPD (p&lt;0.001), e</w:t>
      </w:r>
      <w:r w:rsidR="00E60253" w:rsidRPr="00E60253">
        <w:t>xtra</w:t>
      </w:r>
      <w:r w:rsidR="00E60253">
        <w:t>-</w:t>
      </w:r>
      <w:r w:rsidR="00E60253" w:rsidRPr="00E60253">
        <w:t xml:space="preserve">cardiac </w:t>
      </w:r>
      <w:r w:rsidR="00E60253">
        <w:t>a</w:t>
      </w:r>
      <w:r w:rsidR="00E60253" w:rsidRPr="00E60253">
        <w:t>rteriopathy</w:t>
      </w:r>
      <w:r w:rsidR="00E60253">
        <w:t xml:space="preserve"> (p&lt;0.001) and LVEF&lt;50% (p&lt;0.001) were significantly less for older patients</w:t>
      </w:r>
      <w:r w:rsidR="00F96940">
        <w:t>.</w:t>
      </w:r>
      <w:r w:rsidR="00771EE3">
        <w:t xml:space="preserve"> </w:t>
      </w:r>
      <w:r w:rsidR="0083695B" w:rsidRPr="001F0A08">
        <w:t xml:space="preserve">The median follow-up time was </w:t>
      </w:r>
      <w:r w:rsidR="00F5469C">
        <w:t>710</w:t>
      </w:r>
      <w:r w:rsidR="000607EA" w:rsidRPr="001F0A08">
        <w:t xml:space="preserve"> days (</w:t>
      </w:r>
      <w:r w:rsidR="003E4615" w:rsidRPr="008B6856">
        <w:t xml:space="preserve">interquartile range </w:t>
      </w:r>
      <w:r w:rsidR="008B6856">
        <w:t>351</w:t>
      </w:r>
      <w:r w:rsidR="00771EE3">
        <w:t xml:space="preserve"> days to 1219 days</w:t>
      </w:r>
      <w:r w:rsidR="00FB72BF">
        <w:t xml:space="preserve">) </w:t>
      </w:r>
      <w:r w:rsidR="00457C07">
        <w:t xml:space="preserve">with </w:t>
      </w:r>
      <w:r w:rsidR="001424EB">
        <w:t>14627</w:t>
      </w:r>
      <w:r w:rsidR="003E4615">
        <w:t xml:space="preserve"> person years</w:t>
      </w:r>
      <w:r w:rsidR="00266526">
        <w:t xml:space="preserve"> of</w:t>
      </w:r>
      <w:r w:rsidR="003E4615">
        <w:t xml:space="preserve"> follow-up. </w:t>
      </w:r>
    </w:p>
    <w:p w14:paraId="3086D702" w14:textId="77777777" w:rsidR="004B1C75" w:rsidRDefault="007A4893" w:rsidP="00E1754A">
      <w:pPr>
        <w:pStyle w:val="Heading2"/>
      </w:pPr>
      <w:r>
        <w:t>Relative</w:t>
      </w:r>
      <w:r w:rsidR="00687D46">
        <w:t xml:space="preserve"> </w:t>
      </w:r>
      <w:r w:rsidR="004B1C75">
        <w:t>Survival</w:t>
      </w:r>
    </w:p>
    <w:p w14:paraId="3FF332E1" w14:textId="69DA728D" w:rsidR="003D1D64" w:rsidRDefault="00067F80" w:rsidP="009358DA">
      <w:r>
        <w:tab/>
        <w:t xml:space="preserve">In the </w:t>
      </w:r>
      <w:r w:rsidR="00516984">
        <w:t>TAVI</w:t>
      </w:r>
      <w:r>
        <w:t xml:space="preserve"> cohort, all-cause 30-day, </w:t>
      </w:r>
      <w:r w:rsidRPr="001F0A08">
        <w:t>one</w:t>
      </w:r>
      <w:r>
        <w:t xml:space="preserve"> </w:t>
      </w:r>
      <w:r w:rsidRPr="001F0A08">
        <w:t>year</w:t>
      </w:r>
      <w:r w:rsidR="004B258C">
        <w:t xml:space="preserve"> and </w:t>
      </w:r>
      <w:r w:rsidR="006853BA">
        <w:t>three-year</w:t>
      </w:r>
      <w:r>
        <w:t xml:space="preserve"> </w:t>
      </w:r>
      <w:r w:rsidR="00516984">
        <w:t xml:space="preserve">observed </w:t>
      </w:r>
      <w:r w:rsidRPr="001F0A08">
        <w:t xml:space="preserve">survival estimates </w:t>
      </w:r>
      <w:r>
        <w:t>were</w:t>
      </w:r>
      <w:r w:rsidRPr="001F0A08">
        <w:t xml:space="preserve"> </w:t>
      </w:r>
      <w:r>
        <w:t xml:space="preserve">94.7%, </w:t>
      </w:r>
      <w:r w:rsidRPr="001F0A08">
        <w:t>83.4</w:t>
      </w:r>
      <w:r>
        <w:t>%</w:t>
      </w:r>
      <w:r w:rsidR="004B258C">
        <w:t xml:space="preserve"> and</w:t>
      </w:r>
      <w:r>
        <w:t xml:space="preserve"> 64.5%, </w:t>
      </w:r>
      <w:r w:rsidRPr="001F0A08">
        <w:t>respectively</w:t>
      </w:r>
      <w:r w:rsidR="00516984">
        <w:t xml:space="preserve">, compared with corresponding RS </w:t>
      </w:r>
      <w:r w:rsidR="0089271C">
        <w:t xml:space="preserve">rates </w:t>
      </w:r>
      <w:r w:rsidR="00516984">
        <w:t xml:space="preserve">of </w:t>
      </w:r>
      <w:r>
        <w:t xml:space="preserve"> </w:t>
      </w:r>
      <w:r w:rsidR="00516984" w:rsidRPr="009E3763">
        <w:t>95.4%, 90.2%</w:t>
      </w:r>
      <w:r w:rsidR="00516984">
        <w:t xml:space="preserve"> and 83.8% </w:t>
      </w:r>
      <w:r>
        <w:t>(</w:t>
      </w:r>
      <w:r>
        <w:rPr>
          <w:b/>
        </w:rPr>
        <w:t>Figure 1</w:t>
      </w:r>
      <w:r>
        <w:t>)</w:t>
      </w:r>
      <w:r w:rsidRPr="001F0A08">
        <w:t>.</w:t>
      </w:r>
      <w:r w:rsidR="00516984">
        <w:t xml:space="preserve"> </w:t>
      </w:r>
      <w:r w:rsidR="00EC6E7D">
        <w:t xml:space="preserve">Hence, </w:t>
      </w:r>
      <w:r w:rsidR="000379AA" w:rsidRPr="00F25BB4">
        <w:t>i</w:t>
      </w:r>
      <w:r w:rsidR="002A189E" w:rsidRPr="00F25BB4">
        <w:t>mmediately following the procedure, the hazard of mortality</w:t>
      </w:r>
      <w:r w:rsidR="0031709D" w:rsidRPr="00F25BB4">
        <w:t xml:space="preserve"> in the </w:t>
      </w:r>
      <w:r w:rsidR="00516984" w:rsidRPr="00F25BB4">
        <w:t>TAVI</w:t>
      </w:r>
      <w:r w:rsidR="0031709D" w:rsidRPr="00F25BB4">
        <w:t xml:space="preserve"> cohort</w:t>
      </w:r>
      <w:r w:rsidR="006D5ECE" w:rsidRPr="00F25BB4">
        <w:t xml:space="preserve"> wa</w:t>
      </w:r>
      <w:r w:rsidR="002A189E" w:rsidRPr="00F25BB4">
        <w:t xml:space="preserve">s </w:t>
      </w:r>
      <w:r w:rsidR="0031709D" w:rsidRPr="00F25BB4">
        <w:t>approximately</w:t>
      </w:r>
      <w:r w:rsidR="002A189E" w:rsidRPr="00F25BB4">
        <w:t xml:space="preserve"> 50 times higher than that </w:t>
      </w:r>
      <w:r w:rsidR="00801605">
        <w:t xml:space="preserve">of the </w:t>
      </w:r>
      <w:r w:rsidR="002A189E" w:rsidRPr="00F25BB4">
        <w:t>matched general population</w:t>
      </w:r>
      <w:r w:rsidR="00F25BB4" w:rsidRPr="00F25BB4">
        <w:t xml:space="preserve"> (</w:t>
      </w:r>
      <w:r w:rsidR="00F25BB4" w:rsidRPr="00F25BB4">
        <w:rPr>
          <w:b/>
        </w:rPr>
        <w:t xml:space="preserve">Figure </w:t>
      </w:r>
      <w:r w:rsidR="00DB25E2">
        <w:rPr>
          <w:b/>
        </w:rPr>
        <w:t>2</w:t>
      </w:r>
      <w:r w:rsidR="00F25BB4" w:rsidRPr="00F25BB4">
        <w:rPr>
          <w:b/>
        </w:rPr>
        <w:t xml:space="preserve"> (A))</w:t>
      </w:r>
      <w:r w:rsidR="002A189E" w:rsidRPr="00F25BB4">
        <w:t xml:space="preserve">. However, </w:t>
      </w:r>
      <w:r w:rsidR="00663B43" w:rsidRPr="00F25BB4">
        <w:t>the</w:t>
      </w:r>
      <w:r w:rsidR="00801605">
        <w:t xml:space="preserve"> daily HR </w:t>
      </w:r>
      <w:r w:rsidR="004C4683" w:rsidRPr="00F25BB4">
        <w:t xml:space="preserve">decreased </w:t>
      </w:r>
      <w:r w:rsidR="00801605">
        <w:t>rapidly</w:t>
      </w:r>
      <w:r w:rsidR="002A189E" w:rsidRPr="00F25BB4">
        <w:t xml:space="preserve">, </w:t>
      </w:r>
      <w:r w:rsidR="009358DA">
        <w:t>and by one year the observed mortality rate</w:t>
      </w:r>
      <w:r w:rsidR="00215265">
        <w:t xml:space="preserve"> within the TAVI cohort</w:t>
      </w:r>
      <w:r w:rsidR="009358DA">
        <w:t xml:space="preserve"> was only 1.26 times higher than that </w:t>
      </w:r>
      <w:r w:rsidR="00233A47">
        <w:t>of</w:t>
      </w:r>
      <w:r w:rsidR="009358DA">
        <w:t xml:space="preserve"> the </w:t>
      </w:r>
      <w:r w:rsidR="00215265">
        <w:t xml:space="preserve">matched </w:t>
      </w:r>
      <w:r w:rsidR="009358DA">
        <w:t>general population (HR 1.26; 95% CI of 1.05-1.46). A</w:t>
      </w:r>
      <w:r w:rsidR="00A618A7">
        <w:t xml:space="preserve">fter one </w:t>
      </w:r>
      <w:r w:rsidR="00325C5E">
        <w:t>year,</w:t>
      </w:r>
      <w:r w:rsidR="00A618A7">
        <w:t xml:space="preserve"> the </w:t>
      </w:r>
      <w:r>
        <w:t>cumulative excess hazard curve</w:t>
      </w:r>
      <w:r w:rsidR="00A618A7">
        <w:t xml:space="preserve"> </w:t>
      </w:r>
      <w:r w:rsidR="00215265">
        <w:t xml:space="preserve">increased at an </w:t>
      </w:r>
      <w:r w:rsidR="00A618A7">
        <w:t xml:space="preserve">approximately </w:t>
      </w:r>
      <w:r w:rsidR="00F65666">
        <w:t xml:space="preserve">constant </w:t>
      </w:r>
      <w:r w:rsidR="00215265">
        <w:t>rate</w:t>
      </w:r>
      <w:r w:rsidR="00020E4C">
        <w:t>; thus</w:t>
      </w:r>
      <w:r w:rsidR="00233A47">
        <w:t>,</w:t>
      </w:r>
      <w:r w:rsidR="00020E4C">
        <w:t xml:space="preserve"> the TAVI cohort had marginally</w:t>
      </w:r>
      <w:r w:rsidR="008E44DE">
        <w:t xml:space="preserve"> higher </w:t>
      </w:r>
      <w:r w:rsidR="00215265">
        <w:t xml:space="preserve">mortality </w:t>
      </w:r>
      <w:r w:rsidR="008E44DE">
        <w:t>hazards</w:t>
      </w:r>
      <w:r w:rsidR="00215265">
        <w:t xml:space="preserve"> compared with the general population</w:t>
      </w:r>
      <w:r w:rsidR="008E44DE">
        <w:t xml:space="preserve"> </w:t>
      </w:r>
      <w:r w:rsidR="001A3CEB">
        <w:t xml:space="preserve">up-to three years post </w:t>
      </w:r>
      <w:r w:rsidR="00020E4C">
        <w:t>procedure</w:t>
      </w:r>
      <w:r w:rsidR="000379AA">
        <w:t xml:space="preserve"> </w:t>
      </w:r>
      <w:r w:rsidR="0089271C" w:rsidRPr="0031709D">
        <w:t>(</w:t>
      </w:r>
      <w:r w:rsidR="00457087">
        <w:rPr>
          <w:b/>
        </w:rPr>
        <w:t>Figure 3</w:t>
      </w:r>
      <w:r w:rsidR="0089271C">
        <w:rPr>
          <w:b/>
        </w:rPr>
        <w:t xml:space="preserve"> (A)</w:t>
      </w:r>
      <w:r w:rsidR="0089271C">
        <w:t>).</w:t>
      </w:r>
    </w:p>
    <w:p w14:paraId="526C9CCF" w14:textId="09A8AB6E" w:rsidR="00465753" w:rsidRDefault="001A3CEB" w:rsidP="00215265">
      <w:r>
        <w:tab/>
      </w:r>
      <w:r w:rsidR="005D4D78">
        <w:t>RS was higher in 2011-2014 than for procedures conducted in 2007-2010 (</w:t>
      </w:r>
      <w:r w:rsidR="005D4D78">
        <w:rPr>
          <w:b/>
        </w:rPr>
        <w:t>Figure 1</w:t>
      </w:r>
      <w:r w:rsidR="005D4D78">
        <w:t>). In particular, t</w:t>
      </w:r>
      <w:r w:rsidR="00215265">
        <w:t xml:space="preserve">he increase in mortality </w:t>
      </w:r>
      <w:r w:rsidR="005D4D78">
        <w:t>hazard</w:t>
      </w:r>
      <w:r w:rsidR="00215265">
        <w:t xml:space="preserve"> over that in the general population</w:t>
      </w:r>
      <w:r w:rsidR="005D4D78">
        <w:t xml:space="preserve"> immediately following the </w:t>
      </w:r>
      <w:r w:rsidR="00354DA9">
        <w:t>procedure</w:t>
      </w:r>
      <w:r w:rsidR="00215265">
        <w:t xml:space="preserve"> was </w:t>
      </w:r>
      <w:r w:rsidR="004D5B86">
        <w:t xml:space="preserve">greater </w:t>
      </w:r>
      <w:r w:rsidR="00215265">
        <w:t xml:space="preserve">in </w:t>
      </w:r>
      <w:r w:rsidR="004D5B86">
        <w:t>2007-2010</w:t>
      </w:r>
      <w:r w:rsidR="00215265">
        <w:t xml:space="preserve"> than in</w:t>
      </w:r>
      <w:r w:rsidR="004D5B86">
        <w:t xml:space="preserve"> 2011-2014</w:t>
      </w:r>
      <w:r w:rsidR="00215265">
        <w:t xml:space="preserve">, with the daily HRs decaying quicker </w:t>
      </w:r>
      <w:r w:rsidR="00233A47">
        <w:t>for the</w:t>
      </w:r>
      <w:r w:rsidR="005D4D78">
        <w:t xml:space="preserve"> 2011-2014</w:t>
      </w:r>
      <w:r w:rsidR="00233A47">
        <w:t xml:space="preserve"> group</w:t>
      </w:r>
      <w:r w:rsidR="00215265">
        <w:t xml:space="preserve"> (</w:t>
      </w:r>
      <w:r w:rsidR="00215265">
        <w:rPr>
          <w:b/>
        </w:rPr>
        <w:t>Figure 2 (B)</w:t>
      </w:r>
      <w:r w:rsidR="00215265">
        <w:t xml:space="preserve">). By one year, the daily HR for both procedural year groups </w:t>
      </w:r>
      <w:r w:rsidR="00522621">
        <w:t>was</w:t>
      </w:r>
      <w:r w:rsidR="00215265">
        <w:t xml:space="preserve"> similar</w:t>
      </w:r>
      <w:r w:rsidR="00465753">
        <w:t xml:space="preserve">. </w:t>
      </w:r>
      <w:r w:rsidR="00522621">
        <w:t>Consequently, aft</w:t>
      </w:r>
      <w:r w:rsidR="00465753">
        <w:t xml:space="preserve">er one year the cumulative excess </w:t>
      </w:r>
      <w:r w:rsidR="00465753">
        <w:lastRenderedPageBreak/>
        <w:t>hazard curves increased at a similar rate</w:t>
      </w:r>
      <w:r w:rsidR="00522621">
        <w:t xml:space="preserve">, </w:t>
      </w:r>
      <w:r w:rsidR="00086C4E">
        <w:t>meaning that the initial elevation in mortality risk for earlier procedures relative to the general population persisted throughout follow-up</w:t>
      </w:r>
      <w:r w:rsidR="00522621">
        <w:t xml:space="preserve"> </w:t>
      </w:r>
      <w:r w:rsidR="00215265">
        <w:t>(</w:t>
      </w:r>
      <w:r w:rsidR="00457087">
        <w:rPr>
          <w:b/>
        </w:rPr>
        <w:t>Figure 3</w:t>
      </w:r>
      <w:r w:rsidR="00522621">
        <w:rPr>
          <w:b/>
        </w:rPr>
        <w:t xml:space="preserve"> (B)</w:t>
      </w:r>
      <w:r w:rsidR="00215265">
        <w:t>)</w:t>
      </w:r>
      <w:r w:rsidR="00465753">
        <w:t>.</w:t>
      </w:r>
    </w:p>
    <w:p w14:paraId="75810226" w14:textId="5CF0C1C1" w:rsidR="00B01740" w:rsidRDefault="00E22B08" w:rsidP="004C28BD">
      <w:pPr>
        <w:ind w:firstLine="720"/>
      </w:pPr>
      <w:r>
        <w:t>B</w:t>
      </w:r>
      <w:r w:rsidR="00AD482B">
        <w:t xml:space="preserve">y 100 days after TAVI, </w:t>
      </w:r>
      <w:r w:rsidR="00D83881">
        <w:t xml:space="preserve">the observed mortality </w:t>
      </w:r>
      <w:r w:rsidR="009358DA">
        <w:t>rates</w:t>
      </w:r>
      <w:r w:rsidR="00D83881">
        <w:t xml:space="preserve"> within the &gt;85 age group </w:t>
      </w:r>
      <w:r w:rsidR="009358DA">
        <w:t>were</w:t>
      </w:r>
      <w:r w:rsidR="00D83881">
        <w:t xml:space="preserve"> the same as the expected mortality </w:t>
      </w:r>
      <w:r w:rsidR="009358DA">
        <w:t>rates</w:t>
      </w:r>
      <w:r w:rsidR="00D83881">
        <w:t xml:space="preserve"> within the &gt;85 matched general population (HR of one, </w:t>
      </w:r>
      <w:r w:rsidR="00D83881">
        <w:rPr>
          <w:b/>
        </w:rPr>
        <w:t>Figure 2 (C)</w:t>
      </w:r>
      <w:r w:rsidR="00D83881" w:rsidRPr="00D83881">
        <w:t>)</w:t>
      </w:r>
      <w:r w:rsidR="00D83881">
        <w:t xml:space="preserve">. </w:t>
      </w:r>
      <w:r w:rsidR="00AD482B">
        <w:t xml:space="preserve">Such a finding was not observed in the &lt;80 or the 80-85 age </w:t>
      </w:r>
      <w:r w:rsidR="003E3172">
        <w:t>groups</w:t>
      </w:r>
      <w:r w:rsidR="000935A6">
        <w:t xml:space="preserve">, </w:t>
      </w:r>
      <w:r w:rsidR="003E3172">
        <w:t xml:space="preserve">with the observed mortality hazard in these groups being higher than that expected from the matched general populations </w:t>
      </w:r>
      <w:r>
        <w:t xml:space="preserve">throughout follow-up </w:t>
      </w:r>
      <w:r w:rsidR="00A56213">
        <w:t>(</w:t>
      </w:r>
      <w:r w:rsidR="00457087">
        <w:rPr>
          <w:b/>
        </w:rPr>
        <w:t>Figure 3</w:t>
      </w:r>
      <w:r w:rsidR="00A56213">
        <w:rPr>
          <w:b/>
        </w:rPr>
        <w:t xml:space="preserve"> (C)</w:t>
      </w:r>
      <w:r w:rsidR="00A56213" w:rsidRPr="00A56213">
        <w:t>)</w:t>
      </w:r>
      <w:r w:rsidR="00A56213">
        <w:t xml:space="preserve">. </w:t>
      </w:r>
      <w:r w:rsidR="000935A6">
        <w:t>In contrast, f</w:t>
      </w:r>
      <w:r w:rsidR="004968E4">
        <w:t xml:space="preserve">or the </w:t>
      </w:r>
      <w:r w:rsidR="00283960">
        <w:t>&gt;</w:t>
      </w:r>
      <w:r w:rsidR="004968E4">
        <w:t>85 age group</w:t>
      </w:r>
      <w:r w:rsidR="000935A6">
        <w:t xml:space="preserve"> </w:t>
      </w:r>
      <w:r w:rsidR="004968E4">
        <w:t>the</w:t>
      </w:r>
      <w:r w:rsidR="00067F80">
        <w:t xml:space="preserve"> cumulative excess hazard curve</w:t>
      </w:r>
      <w:r w:rsidR="001B46D3">
        <w:t xml:space="preserve"> plateau</w:t>
      </w:r>
      <w:r w:rsidR="00D80D74">
        <w:t>ed</w:t>
      </w:r>
      <w:r w:rsidR="000935A6">
        <w:t xml:space="preserve"> by one year</w:t>
      </w:r>
      <w:r w:rsidR="001B46D3">
        <w:t xml:space="preserve"> </w:t>
      </w:r>
      <w:r w:rsidR="00211344">
        <w:t xml:space="preserve">(since the HR was one) </w:t>
      </w:r>
      <w:r w:rsidR="00A56213">
        <w:t xml:space="preserve">and </w:t>
      </w:r>
      <w:r w:rsidR="00827FDA">
        <w:t>by three years</w:t>
      </w:r>
      <w:r w:rsidR="000379AA">
        <w:t>,</w:t>
      </w:r>
      <w:r w:rsidR="004968E4">
        <w:t xml:space="preserve"> the</w:t>
      </w:r>
      <w:r w:rsidR="00067F80">
        <w:t xml:space="preserve"> </w:t>
      </w:r>
      <w:r w:rsidR="000379AA">
        <w:t xml:space="preserve">cumulative excess hazard </w:t>
      </w:r>
      <w:r w:rsidR="00067F80">
        <w:t xml:space="preserve">curve </w:t>
      </w:r>
      <w:r w:rsidR="00827FDA">
        <w:t xml:space="preserve">had </w:t>
      </w:r>
      <w:r w:rsidR="00067F80">
        <w:t>decreased towards zero</w:t>
      </w:r>
      <w:r>
        <w:t xml:space="preserve"> (</w:t>
      </w:r>
      <w:r w:rsidR="00457087">
        <w:rPr>
          <w:b/>
        </w:rPr>
        <w:t>Figure 3</w:t>
      </w:r>
      <w:r>
        <w:rPr>
          <w:b/>
        </w:rPr>
        <w:t xml:space="preserve"> (C)</w:t>
      </w:r>
      <w:r w:rsidRPr="00A56213">
        <w:t>)</w:t>
      </w:r>
      <w:r w:rsidR="004968E4">
        <w:t xml:space="preserve">. </w:t>
      </w:r>
      <w:r w:rsidR="00D7751B">
        <w:t>Therefore</w:t>
      </w:r>
      <w:r w:rsidR="00A618A7">
        <w:t>,</w:t>
      </w:r>
      <w:r w:rsidR="000935A6">
        <w:t xml:space="preserve"> after surviving the initial high risk of the procedure,</w:t>
      </w:r>
      <w:r w:rsidR="00A618A7">
        <w:t xml:space="preserve"> </w:t>
      </w:r>
      <w:r w:rsidR="00827FDA">
        <w:t>the</w:t>
      </w:r>
      <w:r w:rsidR="00A618A7">
        <w:t xml:space="preserve"> </w:t>
      </w:r>
      <w:r w:rsidR="00A56213">
        <w:t>observed</w:t>
      </w:r>
      <w:r w:rsidR="00BC2175">
        <w:t xml:space="preserve"> </w:t>
      </w:r>
      <w:r w:rsidR="00A618A7">
        <w:t xml:space="preserve">survival rate in &gt;85 </w:t>
      </w:r>
      <w:r w:rsidR="00354DA9">
        <w:t>age group</w:t>
      </w:r>
      <w:r w:rsidR="00A618A7">
        <w:t xml:space="preserve"> </w:t>
      </w:r>
      <w:r w:rsidR="00211344">
        <w:t>was</w:t>
      </w:r>
      <w:r w:rsidR="00A618A7">
        <w:t xml:space="preserve"> approximately similar to </w:t>
      </w:r>
      <w:r w:rsidR="00211344">
        <w:t>that</w:t>
      </w:r>
      <w:r w:rsidR="00A618A7">
        <w:t xml:space="preserve"> in the </w:t>
      </w:r>
      <w:r w:rsidR="00A56213">
        <w:t xml:space="preserve">&gt;85 </w:t>
      </w:r>
      <w:r w:rsidR="00A618A7">
        <w:t>general population</w:t>
      </w:r>
      <w:r w:rsidR="00827FDA">
        <w:t xml:space="preserve"> by three years</w:t>
      </w:r>
      <w:r w:rsidR="00872B2C">
        <w:t xml:space="preserve"> (RS approximately one</w:t>
      </w:r>
      <w:r w:rsidR="00CE0F8B">
        <w:t>,</w:t>
      </w:r>
      <w:r w:rsidR="00354DA9">
        <w:t xml:space="preserve"> as seen in</w:t>
      </w:r>
      <w:r w:rsidR="00872B2C">
        <w:t xml:space="preserve"> </w:t>
      </w:r>
      <w:r w:rsidR="00872B2C">
        <w:rPr>
          <w:b/>
        </w:rPr>
        <w:t>Figure 1</w:t>
      </w:r>
      <w:r w:rsidR="00872B2C">
        <w:t>)</w:t>
      </w:r>
      <w:r w:rsidR="00A618A7">
        <w:t>.</w:t>
      </w:r>
    </w:p>
    <w:p w14:paraId="1B45EC8C" w14:textId="2903EC59" w:rsidR="00B02D1D" w:rsidRDefault="00B02D1D" w:rsidP="004C28BD">
      <w:pPr>
        <w:ind w:firstLine="720"/>
      </w:pPr>
      <w:r w:rsidRPr="00E70A06">
        <w:rPr>
          <w:b/>
        </w:rPr>
        <w:t>Figure</w:t>
      </w:r>
      <w:r>
        <w:rPr>
          <w:b/>
        </w:rPr>
        <w:t xml:space="preserve"> </w:t>
      </w:r>
      <w:r w:rsidR="00133FB1">
        <w:rPr>
          <w:b/>
        </w:rPr>
        <w:t>4</w:t>
      </w:r>
      <w:r w:rsidRPr="00E70A06">
        <w:t xml:space="preserve"> </w:t>
      </w:r>
      <w:r>
        <w:t xml:space="preserve">shows the survival curves per age group after transforming each patient’s follow-up time (in days) to indicate population expected mortality. </w:t>
      </w:r>
      <w:r w:rsidR="00E95AE6">
        <w:t>For example, w</w:t>
      </w:r>
      <w:r>
        <w:t xml:space="preserve">hen the expected mortality rate </w:t>
      </w:r>
      <w:r w:rsidRPr="004B489D">
        <w:t xml:space="preserve">in </w:t>
      </w:r>
      <w:r>
        <w:t>each representative population was 20%</w:t>
      </w:r>
      <w:r w:rsidRPr="004B489D">
        <w:t xml:space="preserve">, the </w:t>
      </w:r>
      <w:r>
        <w:t xml:space="preserve">observed </w:t>
      </w:r>
      <w:r w:rsidR="00E95AE6">
        <w:t xml:space="preserve">cumulative </w:t>
      </w:r>
      <w:r w:rsidRPr="004B489D">
        <w:t xml:space="preserve">mortality rate was approximately 25% in the </w:t>
      </w:r>
      <w:r>
        <w:t>&gt;</w:t>
      </w:r>
      <w:r w:rsidRPr="004B489D">
        <w:t xml:space="preserve">85 </w:t>
      </w:r>
      <w:r>
        <w:t xml:space="preserve">age </w:t>
      </w:r>
      <w:r w:rsidRPr="004B489D">
        <w:t xml:space="preserve">group and </w:t>
      </w:r>
      <w:r>
        <w:t>36</w:t>
      </w:r>
      <w:r w:rsidRPr="004B489D">
        <w:t xml:space="preserve">% in the </w:t>
      </w:r>
      <w:r>
        <w:t xml:space="preserve">80-85 age group. Hence, </w:t>
      </w:r>
      <w:r w:rsidR="00E95AE6">
        <w:rPr>
          <w:b/>
        </w:rPr>
        <w:t xml:space="preserve">Figure </w:t>
      </w:r>
      <w:r w:rsidR="00E95AE6" w:rsidRPr="00E95AE6">
        <w:rPr>
          <w:b/>
        </w:rPr>
        <w:t>4</w:t>
      </w:r>
      <w:r w:rsidR="00E95AE6">
        <w:t xml:space="preserve"> indicates that, </w:t>
      </w:r>
      <w:r w:rsidRPr="00E95AE6">
        <w:rPr>
          <w:szCs w:val="24"/>
        </w:rPr>
        <w:t>by</w:t>
      </w:r>
      <w:r>
        <w:rPr>
          <w:szCs w:val="24"/>
        </w:rPr>
        <w:t xml:space="preserve"> </w:t>
      </w:r>
      <w:r w:rsidR="00E95AE6">
        <w:rPr>
          <w:szCs w:val="24"/>
        </w:rPr>
        <w:t>the end of follow-up</w:t>
      </w:r>
      <w:r>
        <w:rPr>
          <w:szCs w:val="24"/>
        </w:rPr>
        <w:t>, the mortality rates observed within the &gt;85 age group approximated those expected from the general population (dashed line), with RS significantly improved with increasing age group (log-rank test, p&lt;0.001).</w:t>
      </w:r>
    </w:p>
    <w:p w14:paraId="1742346B" w14:textId="1235FD23" w:rsidR="00536AEA" w:rsidRPr="0031709D" w:rsidRDefault="00536AEA" w:rsidP="00E1754A">
      <w:pPr>
        <w:pStyle w:val="Heading2"/>
      </w:pPr>
      <w:r>
        <w:t xml:space="preserve">Modelling </w:t>
      </w:r>
      <w:r w:rsidR="004A04A3">
        <w:t>Relative</w:t>
      </w:r>
      <w:r>
        <w:t xml:space="preserve"> Survival</w:t>
      </w:r>
    </w:p>
    <w:p w14:paraId="19714256" w14:textId="3C784168" w:rsidR="00363F98" w:rsidRPr="00363F98" w:rsidRDefault="0089271C" w:rsidP="00E1754A">
      <w:pPr>
        <w:ind w:firstLine="720"/>
      </w:pPr>
      <w:r>
        <w:rPr>
          <w:b/>
        </w:rPr>
        <w:t xml:space="preserve">Figure </w:t>
      </w:r>
      <w:r w:rsidR="00133FB1">
        <w:rPr>
          <w:b/>
        </w:rPr>
        <w:t>5</w:t>
      </w:r>
      <w:r w:rsidR="00006EB9">
        <w:rPr>
          <w:b/>
        </w:rPr>
        <w:t xml:space="preserve"> </w:t>
      </w:r>
      <w:r w:rsidR="00B02D1D">
        <w:t xml:space="preserve">gives </w:t>
      </w:r>
      <w:r w:rsidR="00006EB9">
        <w:t xml:space="preserve">the </w:t>
      </w:r>
      <w:r w:rsidR="002510EF">
        <w:t>time-dependent excess HR</w:t>
      </w:r>
      <w:r w:rsidR="000018F8">
        <w:t>s</w:t>
      </w:r>
      <w:r w:rsidR="002510EF">
        <w:t xml:space="preserve"> for age (per </w:t>
      </w:r>
      <w:r w:rsidR="00006EB9">
        <w:t>5-year increase</w:t>
      </w:r>
      <w:r w:rsidR="002510EF">
        <w:t>), procedure year (number of year</w:t>
      </w:r>
      <w:r w:rsidR="00006EB9">
        <w:t>s from 2007) and sex</w:t>
      </w:r>
      <w:r w:rsidR="00B02D1D">
        <w:t xml:space="preserve"> from the flexible parametric RS model</w:t>
      </w:r>
      <w:r w:rsidR="002510EF" w:rsidRPr="002510EF">
        <w:t>.</w:t>
      </w:r>
      <w:r w:rsidR="002510EF">
        <w:t xml:space="preserve"> </w:t>
      </w:r>
      <w:bookmarkStart w:id="1" w:name="_Hlk488410169"/>
      <w:r w:rsidR="002510EF">
        <w:t>Increasing age was associated with significantly less excess hazards after approximately 3 months post procedure</w:t>
      </w:r>
      <w:r w:rsidR="00565EF8">
        <w:t xml:space="preserve">. For example, at </w:t>
      </w:r>
      <w:r w:rsidR="00DE15C0">
        <w:t>two-year</w:t>
      </w:r>
      <w:r w:rsidR="00565EF8">
        <w:t xml:space="preserve"> follow-up</w:t>
      </w:r>
      <w:r w:rsidR="00DE15C0">
        <w:t xml:space="preserve"> the excess </w:t>
      </w:r>
      <w:r w:rsidR="000018F8">
        <w:t>HR</w:t>
      </w:r>
      <w:r w:rsidR="00DE15C0">
        <w:t xml:space="preserve"> for age (per 5-year </w:t>
      </w:r>
      <w:r w:rsidR="00DE15C0">
        <w:lastRenderedPageBreak/>
        <w:t xml:space="preserve">increase) was </w:t>
      </w:r>
      <w:r w:rsidR="00DE15C0" w:rsidRPr="008B7430">
        <w:t>0.80</w:t>
      </w:r>
      <w:r w:rsidR="00DE15C0">
        <w:t xml:space="preserve"> </w:t>
      </w:r>
      <w:r w:rsidR="008B7430">
        <w:t xml:space="preserve">(95% CI of 0.77-0.84) </w:t>
      </w:r>
      <w:r w:rsidR="00DE15C0">
        <w:t>(</w:t>
      </w:r>
      <w:r w:rsidR="00DE15C0">
        <w:rPr>
          <w:b/>
        </w:rPr>
        <w:t xml:space="preserve">Figure </w:t>
      </w:r>
      <w:r w:rsidR="00133FB1">
        <w:rPr>
          <w:b/>
        </w:rPr>
        <w:t>5</w:t>
      </w:r>
      <w:r w:rsidR="00DE15C0">
        <w:t>)</w:t>
      </w:r>
      <w:r w:rsidR="002510EF">
        <w:t>.</w:t>
      </w:r>
      <w:r w:rsidR="00DE15C0">
        <w:t xml:space="preserve"> Thus, </w:t>
      </w:r>
      <w:r w:rsidR="000018F8">
        <w:t xml:space="preserve">on average, a given patient was </w:t>
      </w:r>
      <w:r w:rsidR="000018F8" w:rsidRPr="008B7430">
        <w:t>experiencing</w:t>
      </w:r>
      <w:r w:rsidR="00DE15C0" w:rsidRPr="008B7430">
        <w:t xml:space="preserve"> 20% </w:t>
      </w:r>
      <w:r w:rsidR="00E70A84">
        <w:t>lower</w:t>
      </w:r>
      <w:r w:rsidR="00DE15C0">
        <w:t xml:space="preserve"> excess mortality</w:t>
      </w:r>
      <w:r w:rsidR="00E70A84">
        <w:t xml:space="preserve"> over the general population </w:t>
      </w:r>
      <w:r w:rsidR="001B0C30">
        <w:t xml:space="preserve">as </w:t>
      </w:r>
      <w:r w:rsidR="00E70A84">
        <w:t xml:space="preserve">compared </w:t>
      </w:r>
      <w:r w:rsidR="009358DA">
        <w:t>to</w:t>
      </w:r>
      <w:r w:rsidR="00E70A84">
        <w:t xml:space="preserve"> </w:t>
      </w:r>
      <w:r w:rsidR="000018F8">
        <w:t>a similar patient</w:t>
      </w:r>
      <w:r w:rsidR="00DE15C0">
        <w:t xml:space="preserve"> aged 5 years younger.</w:t>
      </w:r>
      <w:bookmarkEnd w:id="1"/>
      <w:r w:rsidR="00DE15C0">
        <w:t xml:space="preserve"> </w:t>
      </w:r>
      <w:r w:rsidR="002510EF">
        <w:t>Moreover, this model</w:t>
      </w:r>
      <w:r w:rsidR="00E70A84">
        <w:t xml:space="preserve"> </w:t>
      </w:r>
      <w:r w:rsidR="002510EF">
        <w:t>highlighted significant temporal improvements in RS for mid</w:t>
      </w:r>
      <w:r w:rsidR="00565EF8">
        <w:t>-term follow-up, with later procedure years</w:t>
      </w:r>
      <w:r w:rsidR="002510EF">
        <w:t xml:space="preserve"> having excess hazards significantly below one</w:t>
      </w:r>
      <w:r w:rsidR="005439CA">
        <w:t xml:space="preserve">, until </w:t>
      </w:r>
      <w:r w:rsidR="00565EF8">
        <w:t>two</w:t>
      </w:r>
      <w:r w:rsidR="005439CA">
        <w:t xml:space="preserve"> years post procedure</w:t>
      </w:r>
      <w:r w:rsidR="002510EF">
        <w:t>.</w:t>
      </w:r>
      <w:r w:rsidR="004210CB">
        <w:t xml:space="preserve"> </w:t>
      </w:r>
      <w:r w:rsidR="000018F8">
        <w:t xml:space="preserve">The </w:t>
      </w:r>
      <w:r w:rsidR="00DB7D1B">
        <w:t xml:space="preserve">joint </w:t>
      </w:r>
      <w:r w:rsidR="000018F8">
        <w:t xml:space="preserve">effects of </w:t>
      </w:r>
      <w:r w:rsidR="00DB7D1B">
        <w:t xml:space="preserve">age and procedure year on cumulative excess hazard are illustrated </w:t>
      </w:r>
      <w:r w:rsidR="000018F8">
        <w:t xml:space="preserve">in </w:t>
      </w:r>
      <w:r w:rsidR="005439CA" w:rsidRPr="001C4B4A">
        <w:rPr>
          <w:b/>
        </w:rPr>
        <w:t xml:space="preserve">Figure </w:t>
      </w:r>
      <w:r w:rsidR="00133FB1">
        <w:rPr>
          <w:b/>
        </w:rPr>
        <w:t>6</w:t>
      </w:r>
      <w:r w:rsidR="005439CA">
        <w:t xml:space="preserve">. </w:t>
      </w:r>
      <w:r w:rsidR="00A071E1">
        <w:t>RS was similar between male and female patients throughout follow-up (</w:t>
      </w:r>
      <w:r w:rsidR="00133FB1">
        <w:rPr>
          <w:b/>
        </w:rPr>
        <w:t>Figure 5</w:t>
      </w:r>
      <w:r w:rsidR="00A071E1">
        <w:t>).</w:t>
      </w:r>
    </w:p>
    <w:p w14:paraId="73A1BDB9" w14:textId="77777777" w:rsidR="000E31C8" w:rsidRDefault="000607EA" w:rsidP="00E1754A">
      <w:pPr>
        <w:pStyle w:val="Heading1"/>
      </w:pPr>
      <w:r>
        <w:t>Discussion</w:t>
      </w:r>
    </w:p>
    <w:p w14:paraId="63D9F95A" w14:textId="10A3FA37" w:rsidR="00C5335F" w:rsidRDefault="006853BA" w:rsidP="00E1754A">
      <w:pPr>
        <w:ind w:firstLine="720"/>
      </w:pPr>
      <w:r>
        <w:t>This</w:t>
      </w:r>
      <w:r w:rsidR="003453A2">
        <w:t xml:space="preserve"> </w:t>
      </w:r>
      <w:r w:rsidR="004A4D64">
        <w:t xml:space="preserve">analysis of the UK TAVI registry aimed to </w:t>
      </w:r>
      <w:r w:rsidR="005154C9">
        <w:t>compare</w:t>
      </w:r>
      <w:r w:rsidR="005774B8">
        <w:t xml:space="preserve"> the observed survival </w:t>
      </w:r>
      <w:r w:rsidR="005154C9">
        <w:t xml:space="preserve">against that expected from a matched general population. </w:t>
      </w:r>
      <w:r w:rsidR="009C0A0B">
        <w:t xml:space="preserve">We </w:t>
      </w:r>
      <w:r w:rsidR="00C5335F">
        <w:t xml:space="preserve">found </w:t>
      </w:r>
      <w:bookmarkStart w:id="2" w:name="_Hlk490837763"/>
      <w:r w:rsidR="00C5335F">
        <w:t xml:space="preserve">that </w:t>
      </w:r>
      <w:r w:rsidR="008271C1">
        <w:t xml:space="preserve">although the observed mortality hazard was high relative to that in the </w:t>
      </w:r>
      <w:r w:rsidR="00C5335F">
        <w:t>general population</w:t>
      </w:r>
      <w:r w:rsidR="005D4D78">
        <w:t xml:space="preserve"> immediately following TAVI</w:t>
      </w:r>
      <w:r w:rsidR="00F268EA">
        <w:t xml:space="preserve">, the HR </w:t>
      </w:r>
      <w:r w:rsidR="00C5335F">
        <w:t>decayed rapidly</w:t>
      </w:r>
      <w:r w:rsidR="003F45A5">
        <w:t xml:space="preserve"> within the first year of follow-up</w:t>
      </w:r>
      <w:bookmarkEnd w:id="2"/>
      <w:r w:rsidR="00C5335F">
        <w:t xml:space="preserve">. </w:t>
      </w:r>
      <w:r w:rsidR="00F268EA">
        <w:t xml:space="preserve">After one-year, </w:t>
      </w:r>
      <w:r w:rsidR="00C5335F">
        <w:t>RS</w:t>
      </w:r>
      <w:r w:rsidR="00F268EA">
        <w:t xml:space="preserve"> </w:t>
      </w:r>
      <w:r w:rsidR="008271C1">
        <w:t>was</w:t>
      </w:r>
      <w:r w:rsidR="00F268EA">
        <w:t xml:space="preserve"> </w:t>
      </w:r>
      <w:r w:rsidR="008271C1">
        <w:t>significantly higher than all-cause survival</w:t>
      </w:r>
      <w:r w:rsidR="00F268EA">
        <w:t xml:space="preserve">, </w:t>
      </w:r>
      <w:r w:rsidR="00A50E94">
        <w:t>indicating</w:t>
      </w:r>
      <w:r w:rsidR="00F268EA">
        <w:t xml:space="preserve"> </w:t>
      </w:r>
      <w:r w:rsidR="00C5335F">
        <w:t xml:space="preserve">that a large proportion of the long-term mortality can be accounted for by the </w:t>
      </w:r>
      <w:r w:rsidR="00A50E94">
        <w:t>underlying</w:t>
      </w:r>
      <w:r w:rsidR="00C5335F">
        <w:t xml:space="preserve"> mortality risks within </w:t>
      </w:r>
      <w:r w:rsidR="008271C1">
        <w:t>the</w:t>
      </w:r>
      <w:r w:rsidR="00C5335F">
        <w:t xml:space="preserve"> general population. </w:t>
      </w:r>
      <w:r w:rsidR="0061178D">
        <w:t>By one year</w:t>
      </w:r>
      <w:r w:rsidR="00354DA9">
        <w:t>,</w:t>
      </w:r>
      <w:r w:rsidR="0061178D">
        <w:t xml:space="preserve"> the most </w:t>
      </w:r>
      <w:r w:rsidR="00430B98">
        <w:t>elderly patients were experiencing</w:t>
      </w:r>
      <w:r w:rsidR="0061178D">
        <w:t xml:space="preserve"> mortality hazards comparable to the general population</w:t>
      </w:r>
      <w:r w:rsidR="00430B98">
        <w:t xml:space="preserve"> and </w:t>
      </w:r>
      <w:r w:rsidR="00C5335F" w:rsidRPr="00C5335F">
        <w:t>by three years,</w:t>
      </w:r>
      <w:r w:rsidR="00430B98">
        <w:t xml:space="preserve"> </w:t>
      </w:r>
      <w:r w:rsidR="00C5335F" w:rsidRPr="00C5335F">
        <w:t xml:space="preserve">the </w:t>
      </w:r>
      <w:r w:rsidR="00F268EA">
        <w:t>excess</w:t>
      </w:r>
      <w:r w:rsidR="00C5335F" w:rsidRPr="00C5335F">
        <w:t xml:space="preserve"> hazard had reduced sufficiently for the observed survival to</w:t>
      </w:r>
      <w:r w:rsidR="00430B98">
        <w:t xml:space="preserve"> return to population-expected survival rates</w:t>
      </w:r>
      <w:r w:rsidR="009C0A0B">
        <w:t xml:space="preserve">. Finally, our analysis shows that </w:t>
      </w:r>
      <w:r w:rsidR="00C5335F">
        <w:t xml:space="preserve">there </w:t>
      </w:r>
      <w:r w:rsidR="009C0A0B">
        <w:t>were</w:t>
      </w:r>
      <w:r w:rsidR="00C5335F">
        <w:t xml:space="preserve"> significant improvements in RS for those who underwent TAVI in 2011-2014 compared with 2007-2010</w:t>
      </w:r>
      <w:r w:rsidR="00C5335F" w:rsidRPr="00C5335F">
        <w:t>.</w:t>
      </w:r>
    </w:p>
    <w:p w14:paraId="5F262994" w14:textId="12967B2A" w:rsidR="006F781B" w:rsidRPr="006F781B" w:rsidRDefault="00F268EA" w:rsidP="00E1754A">
      <w:pPr>
        <w:ind w:firstLine="720"/>
        <w:rPr>
          <w:szCs w:val="24"/>
        </w:rPr>
      </w:pPr>
      <w:r>
        <w:t xml:space="preserve">The one year all-cause survival rates reported in this study compare with those from other </w:t>
      </w:r>
      <w:r w:rsidR="00DA5BD5" w:rsidRPr="00DA5BD5">
        <w:t xml:space="preserve">national registries (7,9,25–27), but these do not account for competing causes of death. </w:t>
      </w:r>
      <w:r w:rsidR="004D6CAB" w:rsidRPr="00DA5BD5">
        <w:t xml:space="preserve">Without cause of death information, the expected mortality risks derived from the life tables are a suitable proxy for competing causes of death, given the low prevalence of TAVI procedures undertaken across the general population. </w:t>
      </w:r>
      <w:r w:rsidR="009C0A0B" w:rsidRPr="00F268EA">
        <w:rPr>
          <w:szCs w:val="24"/>
        </w:rPr>
        <w:t>W</w:t>
      </w:r>
      <w:r w:rsidR="00C5335F" w:rsidRPr="00F268EA">
        <w:t xml:space="preserve">e found </w:t>
      </w:r>
      <w:r w:rsidR="00A50E94">
        <w:t xml:space="preserve">that </w:t>
      </w:r>
      <w:r w:rsidR="00C5335F" w:rsidRPr="00F268EA">
        <w:t>one-</w:t>
      </w:r>
      <w:r w:rsidRPr="00F268EA">
        <w:t>year</w:t>
      </w:r>
      <w:r w:rsidR="00C5335F" w:rsidRPr="00F268EA">
        <w:t xml:space="preserve"> and three-year RS estimates of 90.2% and 83.8%, respectively, were significantly higher than the </w:t>
      </w:r>
      <w:r w:rsidR="00C5335F" w:rsidRPr="00F268EA">
        <w:lastRenderedPageBreak/>
        <w:t xml:space="preserve">corresponding all-cause survival rates of 83.4% and 64.5%. </w:t>
      </w:r>
      <w:r w:rsidR="009C0A0B" w:rsidRPr="00F268EA">
        <w:t>Thus</w:t>
      </w:r>
      <w:r w:rsidR="00430B98">
        <w:t>, the initially high excess mortality</w:t>
      </w:r>
      <w:r w:rsidR="00F82365">
        <w:t>,</w:t>
      </w:r>
      <w:r w:rsidR="00430B98">
        <w:t xml:space="preserve"> induced </w:t>
      </w:r>
      <w:r w:rsidR="00BE6B07">
        <w:t>by</w:t>
      </w:r>
      <w:r w:rsidR="00430B98">
        <w:t xml:space="preserve"> </w:t>
      </w:r>
      <w:r w:rsidR="009C0A0B" w:rsidRPr="00F268EA">
        <w:t>the index AS and associated TAVI</w:t>
      </w:r>
      <w:r w:rsidR="00F82365">
        <w:t>,</w:t>
      </w:r>
      <w:r w:rsidR="009C0A0B" w:rsidRPr="00F268EA">
        <w:t xml:space="preserve"> </w:t>
      </w:r>
      <w:r w:rsidR="00196716">
        <w:t>decreased</w:t>
      </w:r>
      <w:r w:rsidR="009C0A0B" w:rsidRPr="00F268EA">
        <w:t xml:space="preserve"> significantly within the first year. This supports p</w:t>
      </w:r>
      <w:r w:rsidR="004D6CAB" w:rsidRPr="00F268EA">
        <w:t xml:space="preserve">revious </w:t>
      </w:r>
      <w:r w:rsidR="004D6CAB">
        <w:t>work utilising cause of death information</w:t>
      </w:r>
      <w:r w:rsidR="009C0A0B">
        <w:t xml:space="preserve">, which </w:t>
      </w:r>
      <w:r w:rsidR="004D6CAB">
        <w:t>demonstrated that although the majority of short-term mortalities were cardiovascular and procedure related, beyond 24 months, non-cardiovascular causes became the leading cause</w:t>
      </w:r>
      <w:r w:rsidR="008341A0">
        <w:t xml:space="preserve"> of death</w:t>
      </w:r>
      <w:r w:rsidR="004D6CAB">
        <w:t xml:space="preserve"> </w:t>
      </w:r>
      <w:r w:rsidR="004D6CAB">
        <w:fldChar w:fldCharType="begin" w:fldLock="1"/>
      </w:r>
      <w:r w:rsidR="00DA3F2E">
        <w:instrText>ADDIN CSL_CITATION { "citationItems" : [ { "id" : "ITEM-1", "itemData" : { "DOI" : "10.1016/j.ahj.2014.07.023", "ISBN" : "0002-8703", "ISSN" : "10976744", "PMID" : "25440810", "abstract" : "Background: Transcatheter aortic valve replacement (TAVR) is an effective therapeutic option for patients with severe aortic stenosis at high risk for surgery. Identification of causes of death after TAVR may help improve patient selection and outcome.\nMethods: We enrolled 874 consecutive patients who underwent TAVR at 3 centers using all approved bioprostheses and different access routes. Clinical outcomes during follow-up were defined according to the Valve Academic Research Consortium 2 definitions. Causes of deaths were carefully investigated.\nResults: Mean logistic European System for Cardiac Operative Risk Evaluation was 23.5% ?? 15.3%; Society of Thoracic Surgery score, 9.0% ?? 8.2%. The Corevalve (Medtronic, Minneapolis, MN) was used in 41.3%; the Edwards Sapien (Edwards Lifesciences Inc., Irvine, CA) in 57.3%. Vascular access was transfemoral in 75.7%. In-hospital mortality was 5.0%. Cumulative mortality rates at 1 to 3 years were 12.4%, 23.4%, and 31.5%, respectively. Landmark analysis showed a significantly higher incidence of cardiovascular (CV) death in the first 6 months of follow-up and a significantly higher incidence of non-CV death thereafter. At Cox regression analysis, the independent predictors of in-hospital mortality were acute kidney injury grades 2 to 3 (hazard ratio [HR] 3.41) life-threatening bleeding (HR 4.26), major bleeding (HR 4.61), and myocardial infarction (HR 3.89). The independent predictors of postdischarge mortality were chronic obstructive pulmonary disease (HR 1.48), left ventricular ejection fraction at discharge (HR 0.98), and glomerular filtration rate &lt;30 mL/min per 1.73 m2 (HR 1.64).\nConclusions: Around a third of patients treated with TAVR in daily practice die within the first 3 years of follow-up. Early mortality is predominantly CV, whereas late mortality is mainly non-CV, and it is often due to preexisting comorbidity.", "author" : [ { "dropping-particle" : "", "family" : "Saia", "given" : "Francesco", "non-dropping-particle" : "", "parse-names" : false, "suffix" : "" }, { "dropping-particle" : "", "family" : "Latib", "given" : "Azeem", "non-dropping-particle" : "", "parse-names" : false, "suffix" : "" }, { "dropping-particle" : "", "family" : "Ciuca", "given" : "Cristina", "non-dropping-particle" : "", "parse-names" : false, "suffix" : "" }, { "dropping-particle" : "", "family" : "Gasparetto", "given" : "Valeria", "non-dropping-particle" : "", "parse-names" : false, "suffix" : "" }, { "dropping-particle" : "", "family" : "Napodano", "given" : "Massimo", "non-dropping-particle" : "", "parse-names" : false, "suffix" : "" }, { "dropping-particle" : "", "family" : "Sticchi", "given" : "Alessandro", "non-dropping-particle" : "", "parse-names" : false, "suffix" : "" }, { "dropping-particle" : "", "family" : "Anderlucci", "given" : "Laura", "non-dropping-particle" : "", "parse-names" : false, "suffix" : "" }, { "dropping-particle" : "", "family" : "Marrozzini", "given" : "Cinzia", "non-dropping-particle" : "", "parse-names" : false, "suffix" : "" }, { "dropping-particle" : "", "family" : "Naganuma", "given" : "Toru", "non-dropping-particle" : "", "parse-names" : false, "suffix" : "" }, { "dropping-particle" : "", "family" : "Alfieri", "given" : "Ottavio", "non-dropping-particle" : "", "parse-names" : false, "suffix" : "" }, { "dropping-particle" : "", "family" : "Facchin", "given" : "Michela", "non-dropping-particle" : "", "parse-names" : false, "suffix" : "" }, { "dropping-particle" : "", "family" : "Hoxha", "given" : "Brunilda", "non-dropping-particle" : "", "parse-names" : false, "suffix" : "" }, { "dropping-particle" : "", "family" : "Moretti", "given" : "Carolina", "non-dropping-particle" : "", "parse-names" : false, "suffix" : "" }, { "dropping-particle" : "", "family" : "Marzocchi", "given" : "Antonio", "non-dropping-particle" : "", "parse-names" : false, "suffix" : "" }, { "dropping-particle" : "", "family" : "Colombo", "given" : "Antonio", "non-dropping-particle" : "", "parse-names" : false, "suffix" : "" }, { "dropping-particle" : "", "family" : "Tarantini", "given" : "Giuseppe", "non-dropping-particle" : "", "parse-names" : false, "suffix" : "" } ], "container-title" : "American Heart Journal", "id" : "ITEM-1", "issue" : "5", "issued" : { "date-parts" : [ [ "2014" ] ] }, "page" : "798-806", "publisher" : "Elsevier Inc.", "title" : "Causes and timing of death during long-term follow-up after transcatheter aortic valve replacement", "type" : "article-journal", "volume" : "168" }, "uris" : [ "http://www.mendeley.com/documents/?uuid=eb4adef4-3254-406b-94b1-5229799160b0" ] } ], "mendeley" : { "formattedCitation" : "&lt;sup&gt;25&lt;/sup&gt;", "plainTextFormattedCitation" : "25", "previouslyFormattedCitation" : "(28)" }, "properties" : { "noteIndex" : 0 }, "schema" : "https://github.com/citation-style-language/schema/raw/master/csl-citation.json" }</w:instrText>
      </w:r>
      <w:r w:rsidR="004D6CAB">
        <w:fldChar w:fldCharType="separate"/>
      </w:r>
      <w:r w:rsidR="00DA3F2E" w:rsidRPr="00DA3F2E">
        <w:rPr>
          <w:noProof/>
          <w:vertAlign w:val="superscript"/>
        </w:rPr>
        <w:t>25</w:t>
      </w:r>
      <w:r w:rsidR="004D6CAB">
        <w:fldChar w:fldCharType="end"/>
      </w:r>
      <w:r w:rsidR="004D6CAB">
        <w:t xml:space="preserve">. Moreover, the RS rates reported in this study approximately compare with the cardiovascular causes of death reported in the high-risk and intermediate-risk PARTNER trials </w:t>
      </w:r>
      <w:r w:rsidR="004D6CAB">
        <w:fldChar w:fldCharType="begin" w:fldLock="1"/>
      </w:r>
      <w:r w:rsidR="00DA3F2E">
        <w:instrText>ADDIN CSL_CITATION { "citationItems" : [ { "id" : "ITEM-1", "itemData" : { "author" : [ { "dropping-particle" : "", "family" : "Smith", "given" : "CR", "non-dropping-particle" : "", "parse-names" : false, "suffix" : "" }, { "dropping-particle" : "", "family" : "Leon", "given" : "MB", "non-dropping-particle" : "", "parse-names" : false, "suffix" : "" }, { "dropping-particle" : "", "family" : "Mack", "given" : "MJ",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"Williams", "given" : "Mathew", "non-dropping-particle" : "", "parse-names" : false, "suffix" : "" }, { "dropping-particle" : "", "family" : "Dewey", "given" : "Todd M", "non-dropping-particle" : "", "parse-names" : false, "suffix" : "" }, { "dropping-particle" : "", "family" : "Kapadia", "given" : "Samir", "non-dropping-particle" : "", "parse-names" : false, "suffix" : "" }, { "dropping-particle" : "", "family" : "Babaliaros", "given" : "Vasilis", "non-dropping-particle" : "", "parse-names" : false, "suffix" : "" }, { "dropping-particle" : "", "family" : "Thourani", "given" : "Vinod H.", "non-dropping-particle" : "", "parse-names" : false, "suffix" : "" }, { "dropping-particle" : "", "family" : "Corso", "given" : "Paul",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"ITEM-1", "issue" : "23", "issued" : { "date-parts" : [ [ "2011" ] ] }, "note" : "PARTNER trial cohort A", "page" : "2187-2198", "title" : "Transcatheter versus surgical aortic-valve replacement in high-risk patients", "type" : "article-journal", "volume" : "364" }, "uris" : [ "http://www.mendeley.com/documents/?uuid=bd4cf296-5ccf-4fdc-8c41-9a0b4133444a" ] }, { "id" : "ITEM-2",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"ITEM-2",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"&lt;sup&gt;3,5&lt;/sup&gt;", "plainTextFormattedCitation" : "3,5", "previouslyFormattedCitation" : "(3,5)" }, "properties" : { "noteIndex" : 0 }, "schema" : "https://github.com/citation-style-language/schema/raw/master/csl-citation.json" }</w:instrText>
      </w:r>
      <w:r w:rsidR="004D6CAB">
        <w:fldChar w:fldCharType="separate"/>
      </w:r>
      <w:r w:rsidR="00DA3F2E" w:rsidRPr="00DA3F2E">
        <w:rPr>
          <w:noProof/>
          <w:vertAlign w:val="superscript"/>
        </w:rPr>
        <w:t>3,5</w:t>
      </w:r>
      <w:r w:rsidR="004D6CAB">
        <w:fldChar w:fldCharType="end"/>
      </w:r>
      <w:r w:rsidR="004D6CAB">
        <w:t>. For example, the intermediate-risk PARTNER trial reported one-year cardiovascular death rate of 7.1% and the high-risk trial reporte</w:t>
      </w:r>
      <w:r w:rsidR="008145D7">
        <w:t xml:space="preserve">d a corresponding rate of 14.3%; these values compare </w:t>
      </w:r>
      <w:r w:rsidR="004D6CAB">
        <w:t xml:space="preserve">with </w:t>
      </w:r>
      <w:r>
        <w:t xml:space="preserve">our reported </w:t>
      </w:r>
      <w:r w:rsidR="004D6CAB">
        <w:t>one-year RS mortality rate of 9.8% (</w:t>
      </w:r>
      <m:oMath>
        <m:r>
          <w:rPr>
            <w:rFonts w:ascii="Cambria Math" w:hAnsi="Cambria Math"/>
          </w:rPr>
          <m:t>100%-90.2%</m:t>
        </m:r>
      </m:oMath>
      <w:r w:rsidR="004D6CAB">
        <w:t>).</w:t>
      </w:r>
      <w:r w:rsidR="006430F1">
        <w:t xml:space="preserve"> </w:t>
      </w:r>
      <w:r w:rsidR="00A1133E">
        <w:rPr>
          <w:szCs w:val="24"/>
        </w:rPr>
        <w:t xml:space="preserve">Arguably, </w:t>
      </w:r>
      <w:r w:rsidR="00BC60AD">
        <w:rPr>
          <w:szCs w:val="24"/>
        </w:rPr>
        <w:t>RS</w:t>
      </w:r>
      <w:r w:rsidR="00A1133E">
        <w:rPr>
          <w:szCs w:val="24"/>
        </w:rPr>
        <w:t xml:space="preserve"> estimates are more useful to health-care users and providers than all-cause analyses</w:t>
      </w:r>
      <w:r w:rsidR="009D2BC4">
        <w:rPr>
          <w:szCs w:val="24"/>
        </w:rPr>
        <w:t xml:space="preserve">, particularly given the decline in </w:t>
      </w:r>
      <w:r w:rsidR="00312692">
        <w:rPr>
          <w:szCs w:val="24"/>
        </w:rPr>
        <w:t xml:space="preserve">cardiovascular causes of death </w:t>
      </w:r>
      <w:r w:rsidR="000A458C">
        <w:rPr>
          <w:szCs w:val="24"/>
        </w:rPr>
        <w:fldChar w:fldCharType="begin" w:fldLock="1"/>
      </w:r>
      <w:r w:rsidR="00DA3F2E">
        <w:rPr>
          <w:szCs w:val="24"/>
        </w:rPr>
        <w:instrText>ADDIN CSL_CITATION { "citationItems" : [ { "id" : "ITEM-1", "itemData" : { "DOI" : "10.1161/CIRCULATIONAHA.113.006518", "ISSN" : "0009-7322", "author" : [ { "dropping-particle" : "", "family" : "Spoon", "given" : "D. B.", "non-dropping-particle" : "", "parse-names" : false, "suffix" : "" }, { "dropping-particle" : "", "family" : "Psaltis", "given" : "P. J.", "non-dropping-particle" : "", "parse-names" : false, "suffix" : "" }, { "dropping-particle" : "", "family" : "Singh", "given" : "M.", "non-dropping-particle" : "", "parse-names" : false, "suffix" : "" }, { "dropping-particle" : "", "family" : "Holmes", "given" : "D. R.", "non-dropping-particle" : "", "parse-names" : false, "suffix" : "" }, { "dropping-particle" : "", "family" : "Gersh", "given" : "B. J.", "non-dropping-particle" : "", "parse-names" : false, "suffix" : "" }, { "dropping-particle" : "", "family" : "Rihal", "given" : "C. S.", "non-dropping-particle" : "", "parse-names" : false, "suffix" : "" }, { "dropping-particle" : "", "family" : "Lennon", "given" : "R. J.", "non-dropping-particle" : "", "parse-names" : false, "suffix" : "" }, { "dropping-particle" : "", "family" : "Moussa", "given" : "I. D.", "non-dropping-particle" : "", "parse-names" : false, "suffix" : "" }, { "dropping-particle" : "", "family" : "Simari", "given" : "R. D.", "non-dropping-particle" : "", "parse-names" : false, "suffix" : "" }, { "dropping-particle" : "", "family" : "Gulati", "given" : "R.", "non-dropping-particle" : "", "parse-names" : false, "suffix" : "" } ], "container-title" : "Circulation", "id" : "ITEM-1", "issue" : "12", "issued" : { "date-parts" : [ [ "2014", "3", "25" ] ] }, "page" : "1286-1294", "title" : "Trends in Cause of Death After Percutaneous Coronary Intervention", "type" : "article-journal", "volume" : "129" }, "uris" : [ "http://www.mendeley.com/documents/?uuid=5e48ea72-7a24-4973-8834-1e8f81eceb15" ] } ], "mendeley" : { "formattedCitation" : "&lt;sup&gt;26&lt;/sup&gt;", "plainTextFormattedCitation" : "26", "previouslyFormattedCitation" : "(29)" }, "properties" : { "noteIndex" : 0 }, "schema" : "https://github.com/citation-style-language/schema/raw/master/csl-citation.json" }</w:instrText>
      </w:r>
      <w:r w:rsidR="000A458C">
        <w:rPr>
          <w:szCs w:val="24"/>
        </w:rPr>
        <w:fldChar w:fldCharType="separate"/>
      </w:r>
      <w:r w:rsidR="00DA3F2E" w:rsidRPr="00DA3F2E">
        <w:rPr>
          <w:noProof/>
          <w:szCs w:val="24"/>
          <w:vertAlign w:val="superscript"/>
        </w:rPr>
        <w:t>26</w:t>
      </w:r>
      <w:r w:rsidR="000A458C">
        <w:rPr>
          <w:szCs w:val="24"/>
        </w:rPr>
        <w:fldChar w:fldCharType="end"/>
      </w:r>
      <w:r w:rsidR="003F45A5">
        <w:rPr>
          <w:szCs w:val="24"/>
        </w:rPr>
        <w:t xml:space="preserve">. </w:t>
      </w:r>
      <w:r w:rsidR="0017678A">
        <w:rPr>
          <w:szCs w:val="24"/>
        </w:rPr>
        <w:t xml:space="preserve">By examining RS, this analysis </w:t>
      </w:r>
      <w:r>
        <w:rPr>
          <w:szCs w:val="24"/>
        </w:rPr>
        <w:t>suggests</w:t>
      </w:r>
      <w:r w:rsidR="0017678A">
        <w:rPr>
          <w:szCs w:val="24"/>
        </w:rPr>
        <w:t xml:space="preserve"> that the mortality risks </w:t>
      </w:r>
      <w:r w:rsidR="003F45A5">
        <w:rPr>
          <w:szCs w:val="24"/>
        </w:rPr>
        <w:t xml:space="preserve">observed </w:t>
      </w:r>
      <w:r w:rsidR="00A50E94">
        <w:rPr>
          <w:szCs w:val="24"/>
        </w:rPr>
        <w:t>following</w:t>
      </w:r>
      <w:r w:rsidR="003F45A5">
        <w:rPr>
          <w:szCs w:val="24"/>
        </w:rPr>
        <w:t xml:space="preserve"> </w:t>
      </w:r>
      <w:r w:rsidR="0017678A">
        <w:rPr>
          <w:szCs w:val="24"/>
        </w:rPr>
        <w:t>TAVI</w:t>
      </w:r>
      <w:r w:rsidR="003F45A5">
        <w:rPr>
          <w:szCs w:val="24"/>
        </w:rPr>
        <w:t xml:space="preserve"> </w:t>
      </w:r>
      <w:r w:rsidR="0017678A">
        <w:rPr>
          <w:szCs w:val="24"/>
        </w:rPr>
        <w:t xml:space="preserve">return to those </w:t>
      </w:r>
      <w:r w:rsidR="00A50E94">
        <w:rPr>
          <w:szCs w:val="24"/>
        </w:rPr>
        <w:t xml:space="preserve">expected within a </w:t>
      </w:r>
      <w:r w:rsidR="00BC3BAA">
        <w:rPr>
          <w:szCs w:val="24"/>
        </w:rPr>
        <w:t>general population</w:t>
      </w:r>
      <w:r w:rsidR="003F45A5">
        <w:rPr>
          <w:szCs w:val="24"/>
        </w:rPr>
        <w:t xml:space="preserve">, thereby </w:t>
      </w:r>
      <w:r w:rsidR="006430F1">
        <w:rPr>
          <w:szCs w:val="24"/>
        </w:rPr>
        <w:t>support</w:t>
      </w:r>
      <w:r w:rsidR="003F45A5">
        <w:rPr>
          <w:szCs w:val="24"/>
        </w:rPr>
        <w:t>ing</w:t>
      </w:r>
      <w:r w:rsidR="006430F1">
        <w:rPr>
          <w:szCs w:val="24"/>
        </w:rPr>
        <w:t xml:space="preserve"> </w:t>
      </w:r>
      <w:r w:rsidR="00BC3BAA">
        <w:rPr>
          <w:szCs w:val="24"/>
        </w:rPr>
        <w:t>trial data</w:t>
      </w:r>
      <w:r w:rsidR="006430F1">
        <w:rPr>
          <w:szCs w:val="24"/>
        </w:rPr>
        <w:t xml:space="preserve"> </w:t>
      </w:r>
      <w:r w:rsidR="005942D3">
        <w:rPr>
          <w:szCs w:val="24"/>
        </w:rPr>
        <w:t>showing</w:t>
      </w:r>
      <w:r w:rsidR="00BC3BAA">
        <w:rPr>
          <w:szCs w:val="24"/>
        </w:rPr>
        <w:t xml:space="preserve"> the effectiveness of </w:t>
      </w:r>
      <w:r w:rsidR="00A50E94">
        <w:rPr>
          <w:szCs w:val="24"/>
        </w:rPr>
        <w:t>the procedure</w:t>
      </w:r>
      <w:r w:rsidR="006430F1">
        <w:rPr>
          <w:szCs w:val="24"/>
        </w:rPr>
        <w:t xml:space="preserve"> </w:t>
      </w:r>
      <w:r w:rsidR="0017678A">
        <w:rPr>
          <w:szCs w:val="24"/>
        </w:rPr>
        <w:fldChar w:fldCharType="begin" w:fldLock="1"/>
      </w:r>
      <w:r w:rsidR="00DA3F2E">
        <w:rPr>
          <w:szCs w:val="24"/>
        </w:rPr>
        <w:instrText>ADDIN CSL_CITATION { "citationItems" : [ { "id" : "ITEM-1", "itemData" : { "abstract" : "Background Many patients with severe aortic stenosis and coexisting conditions are not candi- dates for surgical replacement of the aortic valve. Recently, transcatheter aortic-valve implantation (TAVI) has been suggested as a less invasive treatment for high-risk patients with aortic stenosis. Methods We randomly assigned patients with severe aortic stenosis, whom surgeons considered not to be suitable candidates for surgery, to standard therapy (including balloon aortic valvuloplasty) or transfemoral transcatheter implantation of a balloon-expandable bovine pericardial valve. The primary end point was the rate of death from any cause. Results A total of 358 patients with aortic stenosis who were not considered to be suitable can- didates for surgery underwent randomization at 21 centers (17 in the United States). At 1 year, the rate of death from any cause (Kaplan\u2013Meier analysis) was 30.7% with TAVI, as compared with 50.7% with standard therapy (hazard ratio with TAVI, 0.55; 95% confidence interval [CI], 0.40 to 0.74; P&lt;0.001). The rate of the composite end point of death from any cause or repeat hospitalization was 42.5% with TAVI as com- pared with 71.6% with standard therapy (hazard ratio, 0.46; 95% CI, 0.35 to 0.59; P&lt;0.001). Among survivors at 1 year, the rate of cardiac symptoms (New York Heart Association class III or IV) was lower among patients who had undergone TAVI than among those who had received standard therapy (25.2% vs. 58.0%, P&lt;0.001). At 30 days, TAVI, as compared with standard therapy, was associated with a higher incidence of major strokes (5.0% vs. 1.1%, P = 0.06) and major vascular complications (16.2% vs. 1.1%, P&lt;0.001). In the year after TAVI, there was no deterioration in the functioning of the bioprosthetic valve, as assessed by evidence of stenosis or regurgitation on an echocardiogram. Conclusions In patients with severe aortic stenosis who were not suitable candidates for surgery, TAVI, as compared with standard therapy, significantly reduced the rates of death from any cause, the composite end point of death from any cause or repeat hospitalization, and cardiac symptoms, despite the higher incidence of major strokes and major vascular events. (Funded by Edwards Lifesciences; ClinicalTrials.gov number, NCT00530894.)", "author" : [ { "dropping-particle" : "", "family" : "Leon", "given" : "MB", "non-dropping-particle" : "", "parse-names" : false, "suffix" : "" }, { "dropping-particle" : "", "family" : "Smith", "given" : "CR", "non-dropping-particle" : "", "parse-names" : false, "suffix" : "" }, { "dropping-particle" : "", "family" : "Mack", "given" : "Michael",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"Brown", "given" : "David L.", "non-dropping-particle" : "", "parse-names" : false, "suffix" : "" }, { "dropping-particle" : "", "family" : "Block", "given" : "Peter C.", "non-dropping-particle" : "", "parse-names" : false, "suffix" : "" }, { "dropping-particle" : "", "family" : "Guyton", "given" : "Robert A.",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"Douglas", "given" : "Pamela S", "non-dropping-particle" : "", "parse-names" : false, "suffix" : "" }, { "dropping-particle" : "", "family" : "Petersen", "given" : "John",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"ITEM-1", "issue" : "17", "issued" : { "date-parts" : [ [ "2010" ] ] }, "note" : "The major PARTENER trial (cohort B)", "page" : "1597-1607", "title" : "Transcatheter aortic-valve implantation for aortic stenosis in patients who cannot undergo surgery", "type" : "article-journal", "volume" : "363" }, "uris" : [ "http://www.mendeley.com/documents/?uuid=ea252da9-2518-441a-b54b-1e3e54a82f01" ] }, { "id" : "ITEM-2", "itemData" : { "author" : [ { "dropping-particle" : "", "family" : "Smith", "given" : "CR", "non-dropping-particle" : "", "parse-names" : false, "suffix" : "" }, { "dropping-particle" : "", "family" : "Leon", "given" : "MB", "non-dropping-particle" : "", "parse-names" : false, "suffix" : "" }, { "dropping-particle" : "", "family" : "Mack", "given" : "MJ",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"Williams", "given" : "Mathew", "non-dropping-particle" : "", "parse-names" : false, "suffix" : "" }, { "dropping-particle" : "", "family" : "Dewey", "given" : "Todd M", "non-dropping-particle" : "", "parse-names" : false, "suffix" : "" }, { "dropping-particle" : "", "family" : "Kapadia", "given" : "Samir", "non-dropping-particle" : "", "parse-names" : false, "suffix" : "" }, { "dropping-particle" : "", "family" : "Babaliaros", "given" : "Vasilis", "non-dropping-particle" : "", "parse-names" : false, "suffix" : "" }, { "dropping-particle" : "", "family" : "Thourani", "given" : "Vinod H.", "non-dropping-particle" : "", "parse-names" : false, "suffix" : "" }, { "dropping-particle" : "", "family" : "Corso", "given" : "Paul",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"ITEM-2", "issue" : "23", "issued" : { "date-parts" : [ [ "2011" ] ] }, "note" : "PARTNER trial cohort A", "page" : "2187-2198", "title" : "Transcatheter versus surgical aortic-valve replacement in high-risk patients", "type" : "article-journal", "volume" : "364" }, "uris" : [ "http://www.mendeley.com/documents/?uuid=bd4cf296-5ccf-4fdc-8c41-9a0b4133444a" ] }, { "id" : "ITEM-3",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"ITEM-3",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"&lt;sup&gt;2,3,5&lt;/sup&gt;", "plainTextFormattedCitation" : "2,3,5", "previouslyFormattedCitation" : "(2,3,5)" }, "properties" : { "noteIndex" : 0 }, "schema" : "https://github.com/citation-style-language/schema/raw/master/csl-citation.json" }</w:instrText>
      </w:r>
      <w:r w:rsidR="0017678A">
        <w:rPr>
          <w:szCs w:val="24"/>
        </w:rPr>
        <w:fldChar w:fldCharType="separate"/>
      </w:r>
      <w:r w:rsidR="00DA3F2E" w:rsidRPr="00DA3F2E">
        <w:rPr>
          <w:noProof/>
          <w:szCs w:val="24"/>
          <w:vertAlign w:val="superscript"/>
        </w:rPr>
        <w:t>2,3,5</w:t>
      </w:r>
      <w:r w:rsidR="0017678A">
        <w:rPr>
          <w:szCs w:val="24"/>
        </w:rPr>
        <w:fldChar w:fldCharType="end"/>
      </w:r>
      <w:r w:rsidR="0017678A">
        <w:rPr>
          <w:szCs w:val="24"/>
        </w:rPr>
        <w:t>.</w:t>
      </w:r>
    </w:p>
    <w:p w14:paraId="14B49692" w14:textId="0F3A56D0" w:rsidR="0058236B" w:rsidRDefault="003C1CDE" w:rsidP="00E1754A">
      <w:pPr>
        <w:ind w:firstLine="720"/>
      </w:pPr>
      <w:r>
        <w:t>High rates of RS were</w:t>
      </w:r>
      <w:r w:rsidR="00F268EA">
        <w:t xml:space="preserve"> particularly </w:t>
      </w:r>
      <w:r w:rsidR="008145D7">
        <w:t>evident</w:t>
      </w:r>
      <w:r w:rsidR="00F268EA">
        <w:t xml:space="preserve"> in the most elderly patients. </w:t>
      </w:r>
      <w:r w:rsidR="008145D7">
        <w:t>Older a</w:t>
      </w:r>
      <w:r w:rsidR="007108B7">
        <w:t>ge</w:t>
      </w:r>
      <w:r w:rsidR="00C05427">
        <w:t xml:space="preserve"> has previously been found</w:t>
      </w:r>
      <w:r w:rsidR="007108B7">
        <w:t xml:space="preserve"> to be a significant predictor of one</w:t>
      </w:r>
      <w:r w:rsidR="004D1AEE">
        <w:t xml:space="preserve"> </w:t>
      </w:r>
      <w:r w:rsidR="007108B7">
        <w:t xml:space="preserve">year mortality after </w:t>
      </w:r>
      <w:r w:rsidR="00176B04">
        <w:t>multivariable</w:t>
      </w:r>
      <w:r w:rsidR="007108B7">
        <w:t xml:space="preserve"> adjustment </w:t>
      </w:r>
      <w:r w:rsidR="00564B7B">
        <w:fldChar w:fldCharType="begin" w:fldLock="1"/>
      </w:r>
      <w:r w:rsidR="00DA3F2E">
        <w:instrText>ADDIN CSL_CITATION { "citationItems" : [ { "id" : "ITEM-1", "itemData" : { "DOI" : "10.1161/CIRCULATIONAHA.114.013947", "ISSN" : "0009-7322", "author" : [ { "dropping-particle" : "", "family" : "Ludman", "given" : "Peter F.", "non-dropping-particle" : "", "parse-names" : false, "suffix" : "" }, { "dropping-particle" : "", "family" : "Moat", "given" : "Neil", "non-dropping-particle" : "", "parse-names" : false, "suffix" : "" }, { "dropping-particle" : "", "family" : "Belder", "given" : "Mark A.", "non-dropping-particle" : "de", "parse-names" : false, "suffix" : "" }, { "dropping-particle" : "", "family" : "Blackman", "given" : "Daniel J.", "non-dropping-particle" : "", "parse-names" : false, "suffix" : "" }, { "dropping-particle" : "", "family" : "Duncan", "given" : "Alison", "non-dropping-particle" : "", "parse-names" : false, "suffix" : "" }, { "dropping-particle" : "", "family" : "Banya", "given" : "Winston", "non-dropping-particle" : "", "parse-names" : false, "suffix" : "" }, { "dropping-particle" : "", "family" : "MacCarthy", "given" : "Philip A.", "non-dropping-particle" : "", "parse-names" : false, "suffix" : "" }, { "dropping-particle" : "", "family" : "Cunningham", "given" : "David", "non-dropping-particle" : "", "parse-names" : false, "suffix" : "" }, { "dropping-particle" : "", "family" : "Wendler", "given" : "Olaf", "non-dropping-particle" : "", "parse-names" : false, "suffix" : "" }, { "dropping-particle" : "", "family" : "Marlee", "given" : "Damian", "non-dropping-particle" : "", "parse-names" : false, "suffix" : "" }, { "dropping-particle" : "", "family" : "Hildick-Smith", "given" : "David", "non-dropping-particle" : "", "parse-names" : false, "suffix" : "" }, { "dropping-particle" : "", "family" : "Young", "given" : "Christopher P.", "non-dropping-particle" : "", "parse-names" : false, "suffix" : "" }, { "dropping-particle" : "", "family" : "Kovac", "given" : "Jan", "non-dropping-particle" : "", "parse-names" : false, "suffix" : "" }, { "dropping-particle" : "", "family" : "Uren", "given" : "Neal G.", "non-dropping-particle" : "", "parse-names" : false, "suffix" : "" }, { "dropping-particle" : "", "family" : "Spyt", "given" : "Tomasz", "non-dropping-particle" : "", "parse-names" : false, "suffix" : "" }, { "dropping-particle" : "", "family" : "Trivedi", "given" : "Uday", "non-dropping-particle" : "", "parse-names" : false, "suffix" : "" }, { "dropping-particle" : "", "family" : "Howell", "given" : "Jonathan", "non-dropping-particle" : "", "parse-names" : false, "suffix" : "" }, { "dropping-particle" : "", "family" : "Gray", "given" : "Huon", "non-dropping-particle" : "", "parse-names" : false, "suffix" : "" } ], "container-title" : "Circulation", "id" : "ITEM-1", "issue" : "13", "issued" : { "date-parts" : [ [ "2015", "3", "31" ] ] }, "page" : "1181-1190", "title" : "Transcatheter Aortic Valve Implantation in the UK: Temporal Trends, Predictors of Outcome and 6 Year Follow Up: A Report from the UK TAVI Registry 2007 to 2012", "type" : "article-journal", "volume" : "131" }, "uris" : [ "http://www.mendeley.com/documents/?uuid=374468da-6776-47de-9534-0f0d4baa8ea6" ] } ], "mendeley" : { "formattedCitation" : "&lt;sup&gt;9&lt;/sup&gt;", "plainTextFormattedCitation" : "9", "previouslyFormattedCitation" : "(9)" }, "properties" : { "noteIndex" : 0 }, "schema" : "https://github.com/citation-style-language/schema/raw/master/csl-citation.json" }</w:instrText>
      </w:r>
      <w:r w:rsidR="00564B7B">
        <w:fldChar w:fldCharType="separate"/>
      </w:r>
      <w:r w:rsidR="00DA3F2E" w:rsidRPr="00DA3F2E">
        <w:rPr>
          <w:noProof/>
          <w:vertAlign w:val="superscript"/>
        </w:rPr>
        <w:t>9</w:t>
      </w:r>
      <w:r w:rsidR="00564B7B">
        <w:fldChar w:fldCharType="end"/>
      </w:r>
      <w:r w:rsidR="00312692">
        <w:t>, with</w:t>
      </w:r>
      <w:r w:rsidR="009B1162">
        <w:t xml:space="preserve"> </w:t>
      </w:r>
      <w:r w:rsidR="007108B7">
        <w:t xml:space="preserve">nonagenarians </w:t>
      </w:r>
      <w:r w:rsidR="00312692">
        <w:t xml:space="preserve">particularly </w:t>
      </w:r>
      <w:r w:rsidR="007108B7">
        <w:t>be</w:t>
      </w:r>
      <w:r w:rsidR="00037EFD">
        <w:t>i</w:t>
      </w:r>
      <w:r w:rsidR="007108B7">
        <w:t>n</w:t>
      </w:r>
      <w:r w:rsidR="00037EFD">
        <w:t>g</w:t>
      </w:r>
      <w:r w:rsidR="007108B7">
        <w:t xml:space="preserve"> associated with increased risk </w:t>
      </w:r>
      <w:r w:rsidR="00564B7B">
        <w:fldChar w:fldCharType="begin" w:fldLock="1"/>
      </w:r>
      <w:r w:rsidR="00DA3F2E">
        <w:instrText>ADDIN CSL_CITATION { "citationItems" : [ { "id" : "ITEM-1", "itemData" : { "DOI" : "10.1016/j.jacc.2016.01.055", "ISSN" : "07351097", "author" : [ { "dropping-particle" : "", "family" : "Arsalan", "given" : "Mani", "non-dropping-particle" : "", "parse-names" : false, "suffix" : "" }, { "dropping-particle" : "", "family" : "Szerlip", "given" : "Molly", "non-dropping-particle" : "", "parse-names" : false, "suffix" : "" }, { "dropping-particle" : "", "family" : "Vemulapalli", "given" : "Sreekanth", "non-dropping-particle" : "", "parse-names" : false, "suffix" : "" }, { "dropping-particle" : "", "family" : "Holper", "given" : "Elizabeth M.", "non-dropping-particle" : "", "parse-names" : false, "suffix" : "" }, { "dropping-particle" : "V.", "family" : "Arnold", "given" : "Suzanne", "non-dropping-particle" : "", "parse-names" : false, "suffix" : "" }, { "dropping-particle" : "", "family" : "Li", "given" : "Zhuokai", "non-dropping-particle" : "", "parse-names" : false, "suffix" : "" }, { "dropping-particle" : "", "family" : "DiMaio", "given" : "Michael J.", "non-dropping-particle" : "", "parse-names" : false, "suffix" : "" }, { "dropping-particle" : "", "family" : "Rumsfeld", "given" : "John S.", "non-dropping-particle" : "", "parse-names" : false, "suffix" : "" }, { "dropping-particle" : "", "family" : "Brown", "given" : "David L.", "non-dropping-particle" : "", "parse-names" : false, "suffix" : "" }, { "dropping-particle" : "", "family" : "Mack", "given" : "Michael J.", "non-dropping-particle" : "", "parse-names" : false, "suffix" : "" } ], "container-title" : "Journal of the American College of Cardiology", "id" : "ITEM-1", "issue" : "12", "issued" : { "date-parts" : [ [ "2016" ] ] }, "page" : "1387-1395", "title" : "Should Transcatheter Aortic Valve Replacement Be Performed in Nonagenarians?", "type" : "article-journal", "volume" : "67" }, "uris" : [ "http://www.mendeley.com/documents/?uuid=a73a26b6-299a-431a-bd34-8dec7e1c2948" ] } ], "mendeley" : { "formattedCitation" : "&lt;sup&gt;27&lt;/sup&gt;", "plainTextFormattedCitation" : "27", "previouslyFormattedCitation" : "(30)" }, "properties" : { "noteIndex" : 0 }, "schema" : "https://github.com/citation-style-language/schema/raw/master/csl-citation.json" }</w:instrText>
      </w:r>
      <w:r w:rsidR="00564B7B">
        <w:fldChar w:fldCharType="separate"/>
      </w:r>
      <w:r w:rsidR="00DA3F2E" w:rsidRPr="00DA3F2E">
        <w:rPr>
          <w:noProof/>
          <w:vertAlign w:val="superscript"/>
        </w:rPr>
        <w:t>27</w:t>
      </w:r>
      <w:r w:rsidR="00564B7B">
        <w:fldChar w:fldCharType="end"/>
      </w:r>
      <w:r w:rsidR="007108B7">
        <w:t>.</w:t>
      </w:r>
      <w:r w:rsidR="001D6211">
        <w:t xml:space="preserve"> However, b</w:t>
      </w:r>
      <w:r w:rsidR="008145D7">
        <w:t xml:space="preserve">y adjusting for mortality risk within the underlying population, </w:t>
      </w:r>
      <w:r w:rsidR="004F3A4C">
        <w:t>the present work demonstrates</w:t>
      </w:r>
      <w:r w:rsidR="007108B7">
        <w:t xml:space="preserve"> that</w:t>
      </w:r>
      <w:r w:rsidR="008145D7">
        <w:t xml:space="preserve"> </w:t>
      </w:r>
      <w:r w:rsidR="007108B7">
        <w:t xml:space="preserve">elderly </w:t>
      </w:r>
      <w:r w:rsidR="008145D7">
        <w:t xml:space="preserve">TAVI </w:t>
      </w:r>
      <w:r w:rsidR="007108B7">
        <w:t xml:space="preserve">patients had better </w:t>
      </w:r>
      <w:r w:rsidR="008145D7">
        <w:t>survival</w:t>
      </w:r>
      <w:r w:rsidR="007108B7">
        <w:t xml:space="preserve"> than younger </w:t>
      </w:r>
      <w:r w:rsidR="008145D7">
        <w:t>patients</w:t>
      </w:r>
      <w:r w:rsidR="00CE2020">
        <w:t xml:space="preserve"> did</w:t>
      </w:r>
      <w:r w:rsidR="008145D7">
        <w:t>, relative to their matched general populations.</w:t>
      </w:r>
      <w:r w:rsidR="0002250F">
        <w:t xml:space="preserve"> S</w:t>
      </w:r>
      <w:r w:rsidR="008145D7">
        <w:t xml:space="preserve">urvival in </w:t>
      </w:r>
      <w:r w:rsidR="00AD6E0A">
        <w:t xml:space="preserve">the very oldest </w:t>
      </w:r>
      <w:r w:rsidR="00531040">
        <w:t>patients</w:t>
      </w:r>
      <w:r w:rsidR="00AD6E0A">
        <w:t xml:space="preserve"> </w:t>
      </w:r>
      <w:r w:rsidR="008145D7">
        <w:t>was</w:t>
      </w:r>
      <w:r w:rsidR="00AD6E0A">
        <w:t xml:space="preserve"> </w:t>
      </w:r>
      <w:r w:rsidR="008145D7">
        <w:t xml:space="preserve">equivalent </w:t>
      </w:r>
      <w:r w:rsidR="00AD6E0A">
        <w:t xml:space="preserve">to that of </w:t>
      </w:r>
      <w:r w:rsidR="006430F1">
        <w:t xml:space="preserve">a </w:t>
      </w:r>
      <w:r w:rsidR="00AD6E0A">
        <w:t xml:space="preserve">matched general population </w:t>
      </w:r>
      <w:r w:rsidR="00582CFE">
        <w:t>by</w:t>
      </w:r>
      <w:r w:rsidR="00AD6E0A">
        <w:t xml:space="preserve"> three years</w:t>
      </w:r>
      <w:r w:rsidR="0002250F">
        <w:t xml:space="preserve">, which </w:t>
      </w:r>
      <w:r w:rsidR="00582CFE">
        <w:t>supports the work of</w:t>
      </w:r>
      <w:r w:rsidR="007108B7" w:rsidRPr="0031709D">
        <w:t xml:space="preserve"> </w:t>
      </w:r>
      <w:r w:rsidR="009D2BC4">
        <w:t xml:space="preserve">Arsalan et al. </w:t>
      </w:r>
      <w:r w:rsidR="009D2BC4">
        <w:fldChar w:fldCharType="begin" w:fldLock="1"/>
      </w:r>
      <w:r w:rsidR="00DA3F2E">
        <w:instrText>ADDIN CSL_CITATION { "citationItems" : [ { "id" : "ITEM-1", "itemData" : { "DOI" : "10.1016/j.jacc.2016.01.055", "ISSN" : "07351097", "author" : [ { "dropping-particle" : "", "family" : "Arsalan", "given" : "Mani", "non-dropping-particle" : "", "parse-names" : false, "suffix" : "" }, { "dropping-particle" : "", "family" : "Szerlip", "given" : "Molly", "non-dropping-particle" : "", "parse-names" : false, "suffix" : "" }, { "dropping-particle" : "", "family" : "Vemulapalli", "given" : "Sreekanth", "non-dropping-particle" : "", "parse-names" : false, "suffix" : "" }, { "dropping-particle" : "", "family" : "Holper", "given" : "Elizabeth M.", "non-dropping-particle" : "", "parse-names" : false, "suffix" : "" }, { "dropping-particle" : "V.", "family" : "Arnold", "given" : "Suzanne", "non-dropping-particle" : "", "parse-names" : false, "suffix" : "" }, { "dropping-particle" : "", "family" : "Li", "given" : "Zhuokai", "non-dropping-particle" : "", "parse-names" : false, "suffix" : "" }, { "dropping-particle" : "", "family" : "DiMaio", "given" : "Michael J.", "non-dropping-particle" : "", "parse-names" : false, "suffix" : "" }, { "dropping-particle" : "", "family" : "Rumsfeld", "given" : "John S.", "non-dropping-particle" : "", "parse-names" : false, "suffix" : "" }, { "dropping-particle" : "", "family" : "Brown", "given" : "David L.", "non-dropping-particle" : "", "parse-names" : false, "suffix" : "" }, { "dropping-particle" : "", "family" : "Mack", "given" : "Michael J.", "non-dropping-particle" : "", "parse-names" : false, "suffix" : "" } ], "container-title" : "Journal of the American College of Cardiology", "id" : "ITEM-1", "issue" : "12", "issued" : { "date-parts" : [ [ "2016" ] ] }, "page" : "1387-1395", "title" : "Should Transcatheter Aortic Valve Replacement Be Performed in Nonagenarians?", "type" : "article-journal", "volume" : "67" }, "uris" : [ "http://www.mendeley.com/documents/?uuid=a73a26b6-299a-431a-bd34-8dec7e1c2948" ] } ], "mendeley" : { "formattedCitation" : "&lt;sup&gt;27&lt;/sup&gt;", "plainTextFormattedCitation" : "27", "previouslyFormattedCitation" : "(30)" }, "properties" : { "noteIndex" : 0 }, "schema" : "https://github.com/citation-style-language/schema/raw/master/csl-citation.json" }</w:instrText>
      </w:r>
      <w:r w:rsidR="009D2BC4">
        <w:fldChar w:fldCharType="separate"/>
      </w:r>
      <w:r w:rsidR="00DA3F2E" w:rsidRPr="00DA3F2E">
        <w:rPr>
          <w:noProof/>
          <w:vertAlign w:val="superscript"/>
        </w:rPr>
        <w:t>27</w:t>
      </w:r>
      <w:r w:rsidR="009D2BC4">
        <w:fldChar w:fldCharType="end"/>
      </w:r>
      <w:r w:rsidR="00582CFE">
        <w:t>,</w:t>
      </w:r>
      <w:r w:rsidR="009D2BC4">
        <w:t xml:space="preserve"> </w:t>
      </w:r>
      <w:r w:rsidR="00582CFE">
        <w:t xml:space="preserve">who </w:t>
      </w:r>
      <w:r w:rsidR="009D2BC4">
        <w:t>demonstrated that despite the increased mortality risks of nonagenarians, the relative difference between the observed rates and an age-matched general popu</w:t>
      </w:r>
      <w:r w:rsidR="00A50E94">
        <w:t xml:space="preserve">lation were less than for those </w:t>
      </w:r>
      <w:r w:rsidR="009D2BC4">
        <w:t>aged &lt;90.</w:t>
      </w:r>
      <w:r w:rsidR="00CE2020">
        <w:t xml:space="preserve"> A</w:t>
      </w:r>
      <w:r w:rsidR="00196716">
        <w:t xml:space="preserve">lthough one needs to consider survival bias, </w:t>
      </w:r>
      <w:r w:rsidR="003D344C">
        <w:lastRenderedPageBreak/>
        <w:t>the current work suggests</w:t>
      </w:r>
      <w:r w:rsidR="00201B53">
        <w:t xml:space="preserve"> that a large proportion of long-term deaths in elderly TAVI patients are unrelated to TAVI or the index AS</w:t>
      </w:r>
      <w:r w:rsidR="00F360CB">
        <w:t>. T</w:t>
      </w:r>
      <w:r w:rsidR="00201B53">
        <w:t xml:space="preserve">his has important </w:t>
      </w:r>
      <w:r w:rsidR="008145D7">
        <w:t xml:space="preserve">clinical </w:t>
      </w:r>
      <w:r w:rsidR="00201B53">
        <w:t>implications from a resource utilization perspective</w:t>
      </w:r>
      <w:r w:rsidR="00F360CB">
        <w:t xml:space="preserve">, but further studies on national registries that </w:t>
      </w:r>
      <w:r w:rsidR="001E5D44">
        <w:t>exploit</w:t>
      </w:r>
      <w:r w:rsidR="00F360CB">
        <w:t xml:space="preserve"> administrative cause of death data are required</w:t>
      </w:r>
      <w:r w:rsidR="006430F1">
        <w:t xml:space="preserve">. </w:t>
      </w:r>
    </w:p>
    <w:p w14:paraId="0DDCAB5A" w14:textId="2EE15DF0" w:rsidR="00C429D9" w:rsidRDefault="001D6211" w:rsidP="00E1754A">
      <w:pPr>
        <w:ind w:firstLine="720"/>
      </w:pPr>
      <w:r>
        <w:t>Nevertheless</w:t>
      </w:r>
      <w:r w:rsidR="00201B53">
        <w:t>,</w:t>
      </w:r>
      <w:r w:rsidR="00196716">
        <w:t xml:space="preserve"> s</w:t>
      </w:r>
      <w:r w:rsidR="007108B7">
        <w:t xml:space="preserve">ince TAVI is predominantly undertaken in patients who are considered </w:t>
      </w:r>
      <w:r w:rsidR="00454C13">
        <w:t>high surgical risk</w:t>
      </w:r>
      <w:r w:rsidR="007108B7">
        <w:t>, a patient aged &lt;</w:t>
      </w:r>
      <w:r w:rsidR="00312692">
        <w:t>80</w:t>
      </w:r>
      <w:r w:rsidR="007108B7">
        <w:t xml:space="preserve"> who undergoes TAVI </w:t>
      </w:r>
      <w:r w:rsidR="003443F7">
        <w:t>is likely to</w:t>
      </w:r>
      <w:r w:rsidR="007108B7">
        <w:t xml:space="preserve"> have a range of co-morbidities that will influence subsequent survival.</w:t>
      </w:r>
      <w:r w:rsidR="00DA24C6">
        <w:t xml:space="preserve"> Hence, </w:t>
      </w:r>
      <w:bookmarkStart w:id="3" w:name="_Hlk488404750"/>
      <w:r w:rsidR="00DA24C6">
        <w:t xml:space="preserve">the RS estimates for young TAVI patients might be biased since </w:t>
      </w:r>
      <w:r w:rsidR="002B1054">
        <w:t>we could not</w:t>
      </w:r>
      <w:r w:rsidR="00DA24C6">
        <w:t xml:space="preserve"> adjust for a correspondingly co-</w:t>
      </w:r>
      <w:r>
        <w:t>morbid young general population</w:t>
      </w:r>
      <w:r w:rsidR="00DA24C6">
        <w:t>.</w:t>
      </w:r>
      <w:bookmarkEnd w:id="3"/>
      <w:r w:rsidR="009F6233">
        <w:t xml:space="preserve"> </w:t>
      </w:r>
      <w:r w:rsidR="00582CFE">
        <w:t>Similarly</w:t>
      </w:r>
      <w:r w:rsidR="007108B7">
        <w:t>, after surviving the initial high-risk period following TAVI, elderly patients</w:t>
      </w:r>
      <w:r w:rsidR="00AD6E0A">
        <w:t xml:space="preserve"> are logically </w:t>
      </w:r>
      <w:r w:rsidR="007108B7">
        <w:t xml:space="preserve">more robust than their counterparts in the general population. </w:t>
      </w:r>
      <w:r w:rsidR="003F607C">
        <w:t xml:space="preserve">Hence, </w:t>
      </w:r>
      <w:bookmarkStart w:id="4" w:name="_Hlk488404157"/>
      <w:r w:rsidR="003F607C">
        <w:t>given octogenarian</w:t>
      </w:r>
      <w:r w:rsidR="000F21D6">
        <w:t>s</w:t>
      </w:r>
      <w:r w:rsidR="003F607C">
        <w:t xml:space="preserve"> </w:t>
      </w:r>
      <w:r w:rsidR="000F21D6">
        <w:t>survive</w:t>
      </w:r>
      <w:r w:rsidR="003F607C">
        <w:t xml:space="preserve"> the initial high-risk</w:t>
      </w:r>
      <w:r w:rsidR="000F21D6">
        <w:t>s</w:t>
      </w:r>
      <w:r w:rsidR="0058236B">
        <w:t xml:space="preserve"> </w:t>
      </w:r>
      <w:r w:rsidR="00454C13">
        <w:t xml:space="preserve">it is </w:t>
      </w:r>
      <w:r w:rsidR="003F607C">
        <w:t>unsurprising that they compare with the matched general population</w:t>
      </w:r>
      <w:bookmarkEnd w:id="4"/>
      <w:r w:rsidR="003F607C">
        <w:t xml:space="preserve">. </w:t>
      </w:r>
      <w:r w:rsidR="00DA24C6">
        <w:t>C</w:t>
      </w:r>
      <w:r w:rsidR="00AD6E0A">
        <w:t>ardiac teams will select patients cautiously in the eldest age group and this could lead to selection bias</w:t>
      </w:r>
      <w:r w:rsidR="005E67F9">
        <w:t>.</w:t>
      </w:r>
      <w:r w:rsidR="009F6233">
        <w:t xml:space="preserve"> Paradoxically, the older TAVI patients had fewer baseline risk factors than the younger patients</w:t>
      </w:r>
      <w:r w:rsidR="006A49BF">
        <w:t xml:space="preserve"> did</w:t>
      </w:r>
      <w:r w:rsidR="009F6233">
        <w:t>, likely due to careful patient selection in such groups (</w:t>
      </w:r>
      <w:r w:rsidR="00196716">
        <w:rPr>
          <w:b/>
        </w:rPr>
        <w:t>Table 1</w:t>
      </w:r>
      <w:r w:rsidR="009F6233">
        <w:t>).</w:t>
      </w:r>
      <w:r w:rsidR="00F360CB">
        <w:t xml:space="preserve"> T</w:t>
      </w:r>
      <w:r w:rsidR="00647623">
        <w:t>he current</w:t>
      </w:r>
      <w:r w:rsidR="0000187C">
        <w:t xml:space="preserve"> analysis </w:t>
      </w:r>
      <w:r w:rsidR="0058236B">
        <w:t>suggests</w:t>
      </w:r>
      <w:r w:rsidR="0000187C">
        <w:t xml:space="preserve"> that </w:t>
      </w:r>
      <w:r w:rsidR="000D16E9">
        <w:t xml:space="preserve">given such </w:t>
      </w:r>
      <w:r w:rsidR="00A50E94">
        <w:t xml:space="preserve">careful </w:t>
      </w:r>
      <w:r w:rsidR="00525A2F">
        <w:t xml:space="preserve">selection practices, </w:t>
      </w:r>
      <w:r w:rsidR="00647623">
        <w:t xml:space="preserve">elderly patients should continue to be considered for </w:t>
      </w:r>
      <w:r w:rsidR="004F3A4C">
        <w:t>TAVI</w:t>
      </w:r>
      <w:r w:rsidR="00606161">
        <w:t>, given that they appear to tolerate the risks of the procedure well and their mortality risks “return to baseline” within one year</w:t>
      </w:r>
      <w:r w:rsidR="004F3A4C">
        <w:t xml:space="preserve">. Recent </w:t>
      </w:r>
      <w:r w:rsidR="002B1054">
        <w:t xml:space="preserve">trial </w:t>
      </w:r>
      <w:r w:rsidR="004F3A4C">
        <w:t xml:space="preserve">data highlights a potential expansion of TAVI into intermediate risk patients </w:t>
      </w:r>
      <w:r w:rsidR="00564B7B">
        <w:fldChar w:fldCharType="begin" w:fldLock="1"/>
      </w:r>
      <w:r w:rsidR="00DA3F2E">
        <w:instrText>ADDIN CSL_CITATION { "citationItems" : [ { "id" : "ITEM-1",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"ITEM-1",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"&lt;sup&gt;5&lt;/sup&gt;", "plainTextFormattedCitation" : "5", "previouslyFormattedCitation" : "(5)" }, "properties" : { "noteIndex" : 0 }, "schema" : "https://github.com/citation-style-language/schema/raw/master/csl-citation.json" }</w:instrText>
      </w:r>
      <w:r w:rsidR="00564B7B">
        <w:fldChar w:fldCharType="separate"/>
      </w:r>
      <w:r w:rsidR="00DA3F2E" w:rsidRPr="00DA3F2E">
        <w:rPr>
          <w:noProof/>
          <w:vertAlign w:val="superscript"/>
        </w:rPr>
        <w:t>5</w:t>
      </w:r>
      <w:r w:rsidR="00564B7B">
        <w:fldChar w:fldCharType="end"/>
      </w:r>
      <w:r w:rsidR="004F3A4C">
        <w:t xml:space="preserve">, </w:t>
      </w:r>
      <w:r w:rsidR="003F40E4">
        <w:t xml:space="preserve">and </w:t>
      </w:r>
      <w:r w:rsidR="005E7068">
        <w:t xml:space="preserve">there is growing interest in identifying cases where TAVI will be futile </w:t>
      </w:r>
      <w:r w:rsidR="00564B7B">
        <w:fldChar w:fldCharType="begin" w:fldLock="1"/>
      </w:r>
      <w:r w:rsidR="00DA3F2E">
        <w:instrText>ADDIN CSL_CITATION { "citationItems" : [ { "id" : "ITEM-1", "itemData" : { "DOI" : "10.1093/eurheartj/ehv756", "ISSN" : "0195-668X", "PMID" : "26819226", "author" : [ { "dropping-particle" : "", "family" : "Puri", "given" : "Rishi", "non-dropping-particle" : "", "parse-names" : false, "suffix" : "" }, { "dropping-particle" : "", "family" : "Iung", "given" : "Bernard", "non-dropping-particle" : "", "parse-names" : false, "suffix" : "" }, { "dropping-particle" : "", "family" : "Cohen", "given" : "David J.", "non-dropping-particle" : "", "parse-names" : false, "suffix" : "" }, { "dropping-particle" : "", "family" : "Rod\u00e9s-Cabau", "given" : "Josep", "non-dropping-particle" : "", "parse-names" : false, "suffix" : "" } ], "container-title" : "European Heart Journal", "id" : "ITEM-1", "issued" : { "date-parts" : [ [ "2016" ] ] }, "page" : "ehv756", "title" : "TAVI or No TAVI: identifying patients unlikely to benefit from transcatheter aortic valve implantation", "type" : "article-journal" }, "uris" : [ "http://www.mendeley.com/documents/?uuid=13294487-f806-4213-a810-a0a882c7a894" ] } ], "mendeley" : { "formattedCitation" : "&lt;sup&gt;28&lt;/sup&gt;", "plainTextFormattedCitation" : "28", "previouslyFormattedCitation" : "(31)" }, "properties" : { "noteIndex" : 0 }, "schema" : "https://github.com/citation-style-language/schema/raw/master/csl-citation.json" }</w:instrText>
      </w:r>
      <w:r w:rsidR="00564B7B">
        <w:fldChar w:fldCharType="separate"/>
      </w:r>
      <w:r w:rsidR="00DA3F2E" w:rsidRPr="00DA3F2E">
        <w:rPr>
          <w:noProof/>
          <w:vertAlign w:val="superscript"/>
        </w:rPr>
        <w:t>28</w:t>
      </w:r>
      <w:r w:rsidR="00564B7B">
        <w:fldChar w:fldCharType="end"/>
      </w:r>
      <w:r w:rsidR="005E7068">
        <w:t xml:space="preserve">. </w:t>
      </w:r>
      <w:r w:rsidR="00C51A38">
        <w:t xml:space="preserve">In terms of </w:t>
      </w:r>
      <w:r w:rsidR="005942D3">
        <w:t xml:space="preserve">AS related </w:t>
      </w:r>
      <w:r w:rsidR="00C51A38">
        <w:t>mortality, the current study highlights that elderly patients are still viable and appropriate candidates.</w:t>
      </w:r>
      <w:r w:rsidR="005942D3">
        <w:t xml:space="preserve"> Arguably, </w:t>
      </w:r>
      <w:r w:rsidR="00A50E94">
        <w:t xml:space="preserve">one should consider </w:t>
      </w:r>
      <w:r w:rsidR="005942D3">
        <w:t>improvement</w:t>
      </w:r>
      <w:r w:rsidR="003F50B5">
        <w:t>s in quality of life</w:t>
      </w:r>
      <w:r w:rsidR="00A50E94">
        <w:t xml:space="preserve"> </w:t>
      </w:r>
      <w:r w:rsidR="00C47736">
        <w:t xml:space="preserve">and readmissions </w:t>
      </w:r>
      <w:r w:rsidR="00A50E94">
        <w:t>when debating if TAVI should be undertaken in the very elderly</w:t>
      </w:r>
      <w:r w:rsidR="00C47736">
        <w:t>, particularly for cost effectiveness estimation</w:t>
      </w:r>
      <w:r w:rsidR="00A50E94">
        <w:t>. S</w:t>
      </w:r>
      <w:r w:rsidR="003F50B5">
        <w:t xml:space="preserve">uch data </w:t>
      </w:r>
      <w:r w:rsidR="00196716">
        <w:t>were</w:t>
      </w:r>
      <w:r w:rsidR="003F50B5">
        <w:t xml:space="preserve"> unavailable in the current analysis.</w:t>
      </w:r>
      <w:r w:rsidR="00C51A38">
        <w:t xml:space="preserve"> </w:t>
      </w:r>
      <w:r w:rsidR="000F21D6">
        <w:t xml:space="preserve">Consequently, while </w:t>
      </w:r>
      <w:r w:rsidR="003D344C">
        <w:t>the</w:t>
      </w:r>
      <w:r w:rsidR="000F21D6">
        <w:t xml:space="preserve"> morta</w:t>
      </w:r>
      <w:r w:rsidR="003D344C">
        <w:t xml:space="preserve">lity risk in the elderly </w:t>
      </w:r>
      <w:r w:rsidR="003D344C">
        <w:lastRenderedPageBreak/>
        <w:t>returned</w:t>
      </w:r>
      <w:r w:rsidR="000F21D6">
        <w:t xml:space="preserve"> to that of the matched general population, we were unable to investigate if there were corresponding improvements in patient’s quality of life.</w:t>
      </w:r>
    </w:p>
    <w:p w14:paraId="64E667CD" w14:textId="7F323760" w:rsidR="00002FC2" w:rsidRDefault="00E25F8A" w:rsidP="00E1754A">
      <w:pPr>
        <w:ind w:firstLine="720"/>
        <w:rPr>
          <w:rStyle w:val="Heading2Char"/>
          <w:rFonts w:eastAsia="Calibri"/>
        </w:rPr>
      </w:pPr>
      <w:r>
        <w:t>Finally, there have</w:t>
      </w:r>
      <w:r w:rsidR="007E6792">
        <w:t xml:space="preserve"> been rapid temporal development</w:t>
      </w:r>
      <w:r>
        <w:t>s</w:t>
      </w:r>
      <w:r w:rsidR="007E6792">
        <w:t xml:space="preserve"> of TAVI procedure technology and practice. This study found that</w:t>
      </w:r>
      <w:r w:rsidR="0058236B">
        <w:t xml:space="preserve"> the</w:t>
      </w:r>
      <w:r w:rsidR="001D6211">
        <w:t xml:space="preserve"> </w:t>
      </w:r>
      <w:r w:rsidR="00CE33FD">
        <w:t>excess mortality</w:t>
      </w:r>
      <w:r w:rsidR="001D6211">
        <w:t>,</w:t>
      </w:r>
      <w:r w:rsidR="0058236B">
        <w:t xml:space="preserve"> over</w:t>
      </w:r>
      <w:r w:rsidR="00196716">
        <w:t xml:space="preserve"> that in </w:t>
      </w:r>
      <w:r w:rsidR="0058236B">
        <w:t>the general population</w:t>
      </w:r>
      <w:r w:rsidR="001D6211">
        <w:t>,</w:t>
      </w:r>
      <w:r w:rsidR="0058236B">
        <w:t xml:space="preserve"> </w:t>
      </w:r>
      <w:r w:rsidR="001D6211">
        <w:t>immediately following TAVI</w:t>
      </w:r>
      <w:r w:rsidR="0058236B">
        <w:t xml:space="preserve"> was less for </w:t>
      </w:r>
      <w:r w:rsidR="00CE33FD">
        <w:t xml:space="preserve">patients </w:t>
      </w:r>
      <w:r w:rsidR="007E6792">
        <w:t>who underwent the procedure in 2011-2014.</w:t>
      </w:r>
      <w:r w:rsidR="00CE2020">
        <w:t xml:space="preserve"> The reasons behind the faster decrease in excess hazards for</w:t>
      </w:r>
      <w:r w:rsidR="005E1B09">
        <w:t xml:space="preserve"> 2011-2014 procedure years </w:t>
      </w:r>
      <w:r w:rsidR="00CE2020">
        <w:t>are unclear from the current work, but likely reflect th</w:t>
      </w:r>
      <w:r w:rsidR="00BE6B07">
        <w:t>e changes in patient selection/</w:t>
      </w:r>
      <w:r w:rsidR="00CE2020">
        <w:t>risk and advances i</w:t>
      </w:r>
      <w:r w:rsidR="00BE6B07">
        <w:t>n procedural techniques/</w:t>
      </w:r>
      <w:r w:rsidR="00EC242C">
        <w:t>valves</w:t>
      </w:r>
      <w:r w:rsidR="00CE2020">
        <w:t>.</w:t>
      </w:r>
      <w:r w:rsidR="00FF2143">
        <w:t xml:space="preserve"> Mortality rates following diagnosis of </w:t>
      </w:r>
      <w:r w:rsidR="003F50B5">
        <w:t xml:space="preserve">AS </w:t>
      </w:r>
      <w:r w:rsidR="00FF2143">
        <w:t xml:space="preserve">are decreasing with time </w:t>
      </w:r>
      <w:r w:rsidR="00FF2143">
        <w:fldChar w:fldCharType="begin" w:fldLock="1"/>
      </w:r>
      <w:r w:rsidR="00DA3F2E">
        <w:instrText>ADDIN CSL_CITATION { "citationItems" : [ { "id" : "ITEM-1", "itemData" : { "DOI" : "10.1161/CIRCULATIONAHA.114.012906", "ISBN" : "0009-7322", "ISSN" : "15244539", "PMID" : "25779541", "abstract" : "BACKGROUND: The aging of Western populations is expected to result in increasing occurrence of aortic stenosis (AS), but data are limited. Recent studies have reported declining incidence and mortality for other major heart diseases. We aimed to study temporal trends in the incidence and prognosis for AS in Sweden. METHODS AND RESULTS: With the use of nationwide registers, all adult patients in the Swedish population with a first diagnosis of AS, heart failure, acute myocardial infarction, and aortic valve replacement for AS between 1989 and 2009 were identified and followed up until the end of 2010 for all-cause and cardiovascular-related mortality. The age-adjusted incidence of AS in Sweden declined from 15.0 to 11.4 in men and 9.8 to 7.1 in women per 100 000 between 1989 to 1991 and 2007 to 2009, and the median age at diagnosis increased by 4 years for both men and women. The age- and sex-adjusted relative risk of 1- and 3-year mortality in 2007 to 2009 was 0.58 (95% confidence interval, 0.53-0.63) and 0.60 (95% confidence interval, 0.56-0.65), respectively, compared with 1989 to 1991. Similar improvements were observed for heart failure and acute myocardial infarction. Findings were broadly consistent across subgroups. Postoperative mortality at 30 days declined despite increased median age at diagnosis. CONCLUSIONS: Incidence and mortality rates in AS in Sweden declined between 1989 and 2009 to an extent similar to that observed for heart failure and acute myocardial infarction. These findings could suggest that improved risk factor control and cardiovascular therapy, combined with increased use of aortic valve replacement in the elderly and reduced perioperative mortality in aortic valve replacement, have translated into favorable effects for AS.", "author" : [ { "dropping-particle" : "", "family" : "Martinsson", "given" : "Andreas", "non-dropping-particle" : "", "parse-names" : false, "suffix" : "" }, { "dropping-particle" : "", "family" : "Li", "given" : "Xinjun", "non-dropping-particle" : "", "parse-names" : false, "suffix" : "" }, { "dropping-particle" : "", "family" : "Andersson", "given" : "Charlotte", "non-dropping-particle" : "", "parse-names" : false, "suffix" : "" }, { "dropping-particle" : "", "family" : "Nilsson", "given" : "Johan", "non-dropping-particle" : "", "parse-names" : false, "suffix" : "" }, { "dropping-particle" : "", "family" : "Smith", "given" : "J. Gustav", "non-dropping-particle" : "", "parse-names" : false, "suffix" : "" }, { "dropping-particle" : "", "family" : "Sundquist", "given" : "Kristina", "non-dropping-particle" : "", "parse-names" : false, "suffix" : "" } ], "container-title" : "Circulation", "id" : "ITEM-1", "issue" : "11", "issued" : { "date-parts" : [ [ "2015" ] ] }, "page" : "988-994", "title" : "Temporal trends in the incidence and prognosis of aortic stenosis: A nationwide study of the Swedish Population", "type" : "article-journal", "volume" : "131" }, "uris" : [ "http://www.mendeley.com/documents/?uuid=35814fb0-c86f-478e-bcef-48991c2b7bc5" ] } ], "mendeley" : { "formattedCitation" : "&lt;sup&gt;29&lt;/sup&gt;", "plainTextFormattedCitation" : "29", "previouslyFormattedCitation" : "(32)" }, "properties" : { "noteIndex" : 0 }, "schema" : "https://github.com/citation-style-language/schema/raw/master/csl-citation.json" }</w:instrText>
      </w:r>
      <w:r w:rsidR="00FF2143">
        <w:fldChar w:fldCharType="separate"/>
      </w:r>
      <w:r w:rsidR="00DA3F2E" w:rsidRPr="00DA3F2E">
        <w:rPr>
          <w:noProof/>
          <w:vertAlign w:val="superscript"/>
        </w:rPr>
        <w:t>29</w:t>
      </w:r>
      <w:r w:rsidR="00FF2143">
        <w:fldChar w:fldCharType="end"/>
      </w:r>
      <w:r w:rsidR="00FF2143">
        <w:t>, with the current work suggesting similar temporal improvements following TAVI after accounting for competing causes of death.</w:t>
      </w:r>
      <w:r w:rsidR="007E6792">
        <w:t xml:space="preserve"> </w:t>
      </w:r>
    </w:p>
    <w:p w14:paraId="389CB821" w14:textId="49B04F89" w:rsidR="00071F99" w:rsidRDefault="00071F99" w:rsidP="00E1754A">
      <w:pPr>
        <w:rPr>
          <w:rStyle w:val="Heading2Char"/>
          <w:rFonts w:eastAsia="Calibri"/>
        </w:rPr>
      </w:pPr>
      <w:r w:rsidRPr="00071F99">
        <w:rPr>
          <w:rStyle w:val="Heading2Char"/>
          <w:rFonts w:eastAsia="Calibri"/>
        </w:rPr>
        <w:t>Limitations</w:t>
      </w:r>
    </w:p>
    <w:p w14:paraId="6F50AC97" w14:textId="5B4653D6" w:rsidR="00074D12" w:rsidRDefault="001D7CF4" w:rsidP="00E1754A">
      <w:pPr>
        <w:ind w:firstLine="720"/>
      </w:pPr>
      <w:r>
        <w:t>Several limitations</w:t>
      </w:r>
      <w:r w:rsidR="004F3A4C">
        <w:t xml:space="preserve"> need to be considered when interpreting</w:t>
      </w:r>
      <w:r w:rsidR="007C0FB2">
        <w:t xml:space="preserve"> the results of this study</w:t>
      </w:r>
      <w:r w:rsidR="00074D12">
        <w:t xml:space="preserve">. </w:t>
      </w:r>
      <w:r w:rsidR="00AD6E0A">
        <w:t xml:space="preserve">One of the main limitations is that associations cannot be interpreted </w:t>
      </w:r>
      <w:r w:rsidR="00312692">
        <w:t>as casual but rather highlight those</w:t>
      </w:r>
      <w:r w:rsidR="00AD6E0A">
        <w:t xml:space="preserve"> needing explanation.</w:t>
      </w:r>
      <w:r w:rsidR="00BE6B07">
        <w:t xml:space="preserve"> </w:t>
      </w:r>
      <w:r w:rsidR="00EC242C">
        <w:t>As discussed above, a</w:t>
      </w:r>
      <w:r w:rsidR="008926B1">
        <w:t xml:space="preserve"> limitation of the methodology is that there is selection bias in the entire TAVI cohort, which might have led to a false negative result in the younger patients.</w:t>
      </w:r>
      <w:r w:rsidR="00734A48">
        <w:t xml:space="preserve"> A</w:t>
      </w:r>
      <w:r w:rsidR="00C47736">
        <w:t xml:space="preserve">n assessment of all </w:t>
      </w:r>
      <w:r w:rsidR="00C47736" w:rsidRPr="00C47736">
        <w:t>AS patients</w:t>
      </w:r>
      <w:r w:rsidR="00C47736">
        <w:t xml:space="preserve"> (treated surgically,</w:t>
      </w:r>
      <w:r w:rsidR="00BE6B07">
        <w:t xml:space="preserve"> </w:t>
      </w:r>
      <w:r w:rsidR="00EC242C">
        <w:t>by</w:t>
      </w:r>
      <w:r w:rsidR="00C47736">
        <w:t xml:space="preserve"> TAVI or conservatively) might </w:t>
      </w:r>
      <w:r w:rsidR="009E7F4D">
        <w:t xml:space="preserve">negate such selection bias, but this </w:t>
      </w:r>
      <w:r w:rsidR="00C47736">
        <w:t>data was unavailable</w:t>
      </w:r>
      <w:r w:rsidR="009E7F4D">
        <w:t xml:space="preserve">; </w:t>
      </w:r>
      <w:r w:rsidR="00C47736">
        <w:t>we recommend further work in this area. Similarly</w:t>
      </w:r>
      <w:r w:rsidR="00A52DF1">
        <w:t>,</w:t>
      </w:r>
      <w:r w:rsidR="004E271D">
        <w:t xml:space="preserve"> it is impossible to </w:t>
      </w:r>
      <w:r w:rsidR="001C1649">
        <w:t>determine</w:t>
      </w:r>
      <w:r w:rsidR="004E271D">
        <w:t xml:space="preserve"> what drives excess mort</w:t>
      </w:r>
      <w:r w:rsidR="001C1649">
        <w:t xml:space="preserve">ality since </w:t>
      </w:r>
      <w:r w:rsidR="00B91214">
        <w:t xml:space="preserve">the </w:t>
      </w:r>
      <w:r w:rsidR="00887510">
        <w:t>RS</w:t>
      </w:r>
      <w:r w:rsidR="001C1649">
        <w:t xml:space="preserve"> </w:t>
      </w:r>
      <w:r w:rsidR="00B91214">
        <w:t>could not</w:t>
      </w:r>
      <w:r w:rsidR="001C1649">
        <w:t xml:space="preserve"> be decomposed into that from AS</w:t>
      </w:r>
      <w:r w:rsidR="004D1AEE">
        <w:t xml:space="preserve">, </w:t>
      </w:r>
      <w:r w:rsidR="001C1649">
        <w:t>that from TAVI</w:t>
      </w:r>
      <w:r w:rsidR="004D1AEE">
        <w:t xml:space="preserve"> and that from co</w:t>
      </w:r>
      <w:r w:rsidR="00FF2143">
        <w:t>-</w:t>
      </w:r>
      <w:r w:rsidR="004D1AEE">
        <w:t>morbidities that are correlated with AS</w:t>
      </w:r>
      <w:r w:rsidR="004E271D">
        <w:t>.</w:t>
      </w:r>
      <w:r w:rsidR="00A52DF1">
        <w:t xml:space="preserve"> </w:t>
      </w:r>
      <w:r w:rsidR="00FF2143">
        <w:t xml:space="preserve">Indeed, the ONS life tables do not stratify by co-morbidities observed in the TAVI registry, which could influence the conclusions regarding the age and year subgroups. </w:t>
      </w:r>
      <w:r w:rsidR="00B91214">
        <w:t>Additionally</w:t>
      </w:r>
      <w:r w:rsidR="00A52DF1">
        <w:t xml:space="preserve">, </w:t>
      </w:r>
      <w:r w:rsidR="00074D12">
        <w:t>the</w:t>
      </w:r>
      <w:r w:rsidR="00312692">
        <w:t xml:space="preserve"> ONS population life tables </w:t>
      </w:r>
      <w:r w:rsidR="00BC60AD">
        <w:t>lag</w:t>
      </w:r>
      <w:r w:rsidR="00312692">
        <w:t xml:space="preserve"> the</w:t>
      </w:r>
      <w:r w:rsidR="00074D12">
        <w:t xml:space="preserve"> census information in the UK TAVI registry</w:t>
      </w:r>
      <w:r w:rsidR="00312692">
        <w:t>,</w:t>
      </w:r>
      <w:r w:rsidR="00074D12">
        <w:t xml:space="preserve"> </w:t>
      </w:r>
      <w:r w:rsidR="00312692">
        <w:t>with this analysis assuming</w:t>
      </w:r>
      <w:r w:rsidR="009E6A19">
        <w:t xml:space="preserve"> the life tables in 2015 were the same as those in 201</w:t>
      </w:r>
      <w:r w:rsidR="00043218">
        <w:t>4</w:t>
      </w:r>
      <w:r w:rsidR="009E6A19">
        <w:t>.</w:t>
      </w:r>
      <w:r w:rsidR="00074D12">
        <w:t xml:space="preserve"> Although this could lead to bias in the calculation of expected mortality rates</w:t>
      </w:r>
      <w:r w:rsidR="004F3A4C">
        <w:t xml:space="preserve"> </w:t>
      </w:r>
      <w:r w:rsidR="00043218">
        <w:t>for 2015</w:t>
      </w:r>
      <w:r w:rsidR="00074D12">
        <w:t xml:space="preserve">, the amount of variation in the life tables </w:t>
      </w:r>
      <w:r w:rsidR="009E6A19">
        <w:lastRenderedPageBreak/>
        <w:t xml:space="preserve">between years for any given age, </w:t>
      </w:r>
      <w:r w:rsidR="00074D12">
        <w:t>sex</w:t>
      </w:r>
      <w:r w:rsidR="009E6A19">
        <w:t xml:space="preserve"> and </w:t>
      </w:r>
      <w:r w:rsidR="00002014">
        <w:t>country</w:t>
      </w:r>
      <w:r w:rsidR="00505063">
        <w:t xml:space="preserve"> </w:t>
      </w:r>
      <w:r w:rsidR="00AD6E0A">
        <w:t>stratum was minimal</w:t>
      </w:r>
      <w:r w:rsidR="00074D12">
        <w:t xml:space="preserve">. </w:t>
      </w:r>
      <w:r w:rsidR="00FF2143">
        <w:t xml:space="preserve">Finally, we were only able to investigate </w:t>
      </w:r>
      <w:r w:rsidR="003F40E4">
        <w:t xml:space="preserve">mortality as an endpoint, without data on quality of life that is increasingly being used to identify </w:t>
      </w:r>
      <w:r w:rsidR="00D04DAD">
        <w:t>TAVI effectiveness in the elderly</w:t>
      </w:r>
      <w:r w:rsidR="003F40E4">
        <w:t>.</w:t>
      </w:r>
    </w:p>
    <w:p w14:paraId="04FA1E8F" w14:textId="77777777" w:rsidR="00071F99" w:rsidRDefault="00071F99" w:rsidP="00E1754A">
      <w:pPr>
        <w:pStyle w:val="Heading2"/>
      </w:pPr>
      <w:r>
        <w:t>Conclusions</w:t>
      </w:r>
    </w:p>
    <w:p w14:paraId="0A73179D" w14:textId="5BB32FFE" w:rsidR="00B704AB" w:rsidRPr="00B704AB" w:rsidRDefault="00B704AB" w:rsidP="00E1754A">
      <w:pPr>
        <w:ind w:firstLine="720"/>
      </w:pPr>
      <w:r>
        <w:t xml:space="preserve">In conclusion, this study demonstrates good long-term </w:t>
      </w:r>
      <w:r w:rsidR="00887510">
        <w:t>RS</w:t>
      </w:r>
      <w:r>
        <w:t xml:space="preserve"> </w:t>
      </w:r>
      <w:r w:rsidR="00A52DF1">
        <w:t>in</w:t>
      </w:r>
      <w:r>
        <w:t xml:space="preserve"> patients undergoing TAVI procedures in the UK. </w:t>
      </w:r>
      <w:r w:rsidR="000B5562">
        <w:t>After surviving the initially high-risk period following TAVI, survival in e</w:t>
      </w:r>
      <w:r>
        <w:t>lderly patients</w:t>
      </w:r>
      <w:r w:rsidR="00525A2F">
        <w:t xml:space="preserve"> </w:t>
      </w:r>
      <w:r w:rsidR="00B91214">
        <w:t>returned to</w:t>
      </w:r>
      <w:r w:rsidR="00525A2F">
        <w:t xml:space="preserve"> that </w:t>
      </w:r>
      <w:r w:rsidR="00B52461">
        <w:t xml:space="preserve">expected within </w:t>
      </w:r>
      <w:r w:rsidR="00525A2F">
        <w:t xml:space="preserve">the general population </w:t>
      </w:r>
      <w:r w:rsidR="00767D7D">
        <w:t>by</w:t>
      </w:r>
      <w:r w:rsidR="00525A2F">
        <w:t xml:space="preserve"> three</w:t>
      </w:r>
      <w:r w:rsidR="004D1AEE">
        <w:t xml:space="preserve"> </w:t>
      </w:r>
      <w:r w:rsidR="00525A2F">
        <w:t>years</w:t>
      </w:r>
      <w:r>
        <w:t xml:space="preserve">. </w:t>
      </w:r>
    </w:p>
    <w:p w14:paraId="308867A4" w14:textId="77777777" w:rsidR="00E1754A" w:rsidRDefault="00E1754A" w:rsidP="00E1754A"/>
    <w:p w14:paraId="68D48163" w14:textId="77777777" w:rsidR="00DA3F2E" w:rsidRDefault="00DA3F2E" w:rsidP="00DA3F2E">
      <w:pPr>
        <w:pStyle w:val="Heading1"/>
      </w:pPr>
      <w:r>
        <w:t>Acknowledgements</w:t>
      </w:r>
    </w:p>
    <w:p w14:paraId="3B74AF6C" w14:textId="77777777" w:rsidR="00DA3F2E" w:rsidRDefault="00DA3F2E" w:rsidP="00DA3F2E">
      <w:r>
        <w:t>We would like to acknowledge the National Institute for Cardiovascular Outcomes Research (NICOR) for provided the UK TAVI registry extract for this study.</w:t>
      </w:r>
    </w:p>
    <w:p w14:paraId="067A90C3" w14:textId="77777777" w:rsidR="00DA3F2E" w:rsidRDefault="00DA3F2E" w:rsidP="00DA3F2E">
      <w:pPr>
        <w:pStyle w:val="Heading1"/>
      </w:pPr>
      <w:r>
        <w:t>Sources of Funding</w:t>
      </w:r>
    </w:p>
    <w:p w14:paraId="27104A1B" w14:textId="77777777" w:rsidR="00DA3F2E" w:rsidRDefault="00DA3F2E" w:rsidP="00DA3F2E">
      <w:r>
        <w:t xml:space="preserve">This work was funded by </w:t>
      </w:r>
      <w:r w:rsidRPr="0011507B">
        <w:t xml:space="preserve">the Medical Research Council </w:t>
      </w:r>
      <w:r>
        <w:t>t</w:t>
      </w:r>
      <w:r w:rsidRPr="0011507B">
        <w:t>hrough the Health e-Research Centre, University of Manchester [MR/K006665/1]</w:t>
      </w:r>
      <w:r>
        <w:t xml:space="preserve"> and a grant through the North Staffordshire Heart Committee</w:t>
      </w:r>
      <w:r w:rsidRPr="0011507B">
        <w:t>.</w:t>
      </w:r>
    </w:p>
    <w:p w14:paraId="36F7A94D" w14:textId="77777777" w:rsidR="00DA3F2E" w:rsidRDefault="00DA3F2E" w:rsidP="00DA3F2E">
      <w:pPr>
        <w:pStyle w:val="Heading1"/>
      </w:pPr>
      <w:r>
        <w:t>Disclosures</w:t>
      </w:r>
    </w:p>
    <w:p w14:paraId="5626D15A" w14:textId="77777777" w:rsidR="00DA3F2E" w:rsidRPr="005A01F9" w:rsidRDefault="00DA3F2E" w:rsidP="00DA3F2E">
      <w:r>
        <w:rPr>
          <w:szCs w:val="24"/>
        </w:rPr>
        <w:t>None</w:t>
      </w:r>
      <w:r w:rsidRPr="005827F4">
        <w:rPr>
          <w:szCs w:val="24"/>
        </w:rPr>
        <w:t>.</w:t>
      </w:r>
    </w:p>
    <w:p w14:paraId="3C4017BC" w14:textId="77777777" w:rsidR="00DA3F2E" w:rsidRDefault="00DA3F2E" w:rsidP="00E1754A">
      <w:pPr>
        <w:sectPr w:rsidR="00DA3F2E" w:rsidSect="00FA5D5A">
          <w:pgSz w:w="11906" w:h="16838"/>
          <w:pgMar w:top="1440" w:right="1440" w:bottom="1440" w:left="1440" w:header="708" w:footer="708" w:gutter="0"/>
          <w:cols w:space="708"/>
          <w:docGrid w:linePitch="360"/>
        </w:sectPr>
      </w:pPr>
    </w:p>
    <w:p w14:paraId="315D9D65" w14:textId="77777777" w:rsidR="007E7F11" w:rsidRDefault="00781E36" w:rsidP="00E1754A">
      <w:pPr>
        <w:pStyle w:val="Heading1"/>
      </w:pPr>
      <w:r>
        <w:lastRenderedPageBreak/>
        <w:t>References</w:t>
      </w:r>
    </w:p>
    <w:p w14:paraId="2D0B7714" w14:textId="0EDA336B" w:rsidR="00DA3F2E" w:rsidRPr="00DA3F2E" w:rsidRDefault="00564B7B" w:rsidP="00DA3F2E">
      <w:pPr>
        <w:widowControl w:val="0"/>
        <w:autoSpaceDE w:val="0"/>
        <w:autoSpaceDN w:val="0"/>
        <w:adjustRightInd w:val="0"/>
        <w:ind w:left="640" w:hanging="640"/>
        <w:rPr>
          <w:noProof/>
          <w:szCs w:val="24"/>
        </w:rPr>
      </w:pPr>
      <w:r>
        <w:fldChar w:fldCharType="begin" w:fldLock="1"/>
      </w:r>
      <w:r w:rsidR="00781E36">
        <w:instrText xml:space="preserve">ADDIN Mendeley Bibliography CSL_BIBLIOGRAPHY </w:instrText>
      </w:r>
      <w:r>
        <w:fldChar w:fldCharType="separate"/>
      </w:r>
      <w:r w:rsidR="00DA3F2E" w:rsidRPr="00DA3F2E">
        <w:rPr>
          <w:noProof/>
          <w:szCs w:val="24"/>
        </w:rPr>
        <w:t xml:space="preserve">1. </w:t>
      </w:r>
      <w:r w:rsidR="00DA3F2E" w:rsidRPr="00DA3F2E">
        <w:rPr>
          <w:noProof/>
          <w:szCs w:val="24"/>
        </w:rPr>
        <w:tab/>
        <w:t xml:space="preserve">Carabello BA, Paulus WJ. Aortic stenosis. </w:t>
      </w:r>
      <w:r w:rsidR="00DA3F2E" w:rsidRPr="00DA3F2E">
        <w:rPr>
          <w:i/>
          <w:iCs/>
          <w:noProof/>
          <w:szCs w:val="24"/>
        </w:rPr>
        <w:t>Lance</w:t>
      </w:r>
      <w:r w:rsidR="00492548">
        <w:rPr>
          <w:i/>
          <w:iCs/>
          <w:noProof/>
          <w:szCs w:val="24"/>
        </w:rPr>
        <w:t>t</w:t>
      </w:r>
      <w:r w:rsidR="000B73E9">
        <w:rPr>
          <w:noProof/>
          <w:szCs w:val="24"/>
        </w:rPr>
        <w:t>. 2009;373:956–966.</w:t>
      </w:r>
    </w:p>
    <w:p w14:paraId="2BE3F948" w14:textId="5354C67D"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 </w:t>
      </w:r>
      <w:r w:rsidRPr="00DA3F2E">
        <w:rPr>
          <w:noProof/>
          <w:szCs w:val="24"/>
        </w:rPr>
        <w:tab/>
        <w:t xml:space="preserve">Leon M, Smith C, Mack M, Miller DC, Moses JW, Svensson LG, Tuzcu EM, Webb JG, Fontana GP, Makkar RR, Brown DL, Block PC, Guyton RA, Pichard AD, Bavaria J, Herrmann HC, Douglas PS, Petersen J, Akin JJ, Anderson WN, Wang D, Pocock S. Transcatheter aortic-valve implantation for aortic stenosis in patients who cannot undergo surgery. </w:t>
      </w:r>
      <w:r w:rsidRPr="00DA3F2E">
        <w:rPr>
          <w:i/>
          <w:iCs/>
          <w:noProof/>
          <w:szCs w:val="24"/>
        </w:rPr>
        <w:t>N Engl J Med</w:t>
      </w:r>
      <w:r w:rsidRPr="00DA3F2E">
        <w:rPr>
          <w:noProof/>
          <w:szCs w:val="24"/>
        </w:rPr>
        <w:t>. 2010</w:t>
      </w:r>
      <w:r w:rsidR="000B73E9">
        <w:rPr>
          <w:noProof/>
          <w:szCs w:val="24"/>
        </w:rPr>
        <w:t>;363:1597–1607.</w:t>
      </w:r>
    </w:p>
    <w:p w14:paraId="63DF0FC7" w14:textId="7980FFC0"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3. </w:t>
      </w:r>
      <w:r w:rsidRPr="00DA3F2E">
        <w:rPr>
          <w:noProof/>
          <w:szCs w:val="24"/>
        </w:rPr>
        <w:tab/>
        <w:t xml:space="preserve">Smith C, Leon M, Mack M, Miller DC, Moses JW, Svensson LG, Tuzcu EM, Webb JG, Fontana GP, Makkar RR, Williams M, Dewey TM, Kapadia S, Babaliaros V, Thourani VH, Corso P, Pichard AD, Bavaria J, Herrmann HC, Akin JJ, Anderson WN, Wang D, Pocock S. Transcatheter versus surgical aortic-valve replacement in high-risk patients. </w:t>
      </w:r>
      <w:r w:rsidRPr="00DA3F2E">
        <w:rPr>
          <w:i/>
          <w:iCs/>
          <w:noProof/>
          <w:szCs w:val="24"/>
        </w:rPr>
        <w:t>N Engl J Med</w:t>
      </w:r>
      <w:r w:rsidRPr="00DA3F2E">
        <w:rPr>
          <w:noProof/>
          <w:szCs w:val="24"/>
        </w:rPr>
        <w:t>. 2011</w:t>
      </w:r>
      <w:r w:rsidR="00492548">
        <w:rPr>
          <w:noProof/>
          <w:szCs w:val="24"/>
        </w:rPr>
        <w:t>;364:2187–2198.</w:t>
      </w:r>
    </w:p>
    <w:p w14:paraId="7F6D3036" w14:textId="55B6FAF4"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4. </w:t>
      </w:r>
      <w:r w:rsidRPr="00DA3F2E">
        <w:rPr>
          <w:noProof/>
          <w:szCs w:val="24"/>
        </w:rPr>
        <w:tab/>
        <w:t>Vahanian A, Alfieri O, Andreotti F, Antunes MJ, Baron-Esquivias G, Baumgartner H, Borger MA, Carrel TP, De Bonis M, Evangelista A, Falk V, Iung B, Lancellotti P, Pierard L, Price S, Schafers H-J, Schuler G, Stepinska J, Swedberg K, Takkenberg J, Von Oppell UO, Windecker S, Zamorano JL, Zembala M, Bax JJ, Baumgartner H, Ceconi C, Dean V, Deaton C, Fagard R, Funck-Brentano C, Hasdai D, Hoes A, Kirchhof P, Knuuti J, Kolh P, McDonagh T, Moulin C, Popescu BA, Reiner Z, Sechtem U, Sirnes PA, Tendera M, Torbicki A, Vahanian A, Windecker S, Popescu BA, Von Segesser L, Badano LP, Bunc M, Claeys MJ, Drinkovic N, Filippatos G, Habib G, Kappetein AP, Kassab R, Lip GYH, Moat N, Nickenig G, Otto CM, Pepper J, Piazza N, Pieper PG, Rosenhek R, Shuka N, Schwammenthal E, Schwitter J, Mas PT, Trindade PT, Walther T. Guidelines on the management of valvular heart disease (version 2012): The Joint Task Force on the Management of Valvular Heart Disease of the European Society of Cardiology (ESC) and the European Association for Cardio-</w:t>
      </w:r>
      <w:r w:rsidRPr="00DA3F2E">
        <w:rPr>
          <w:noProof/>
          <w:szCs w:val="24"/>
        </w:rPr>
        <w:lastRenderedPageBreak/>
        <w:t xml:space="preserve">Thoracic Surgery (EACTS). </w:t>
      </w:r>
      <w:r w:rsidRPr="00DA3F2E">
        <w:rPr>
          <w:i/>
          <w:iCs/>
          <w:noProof/>
          <w:szCs w:val="24"/>
        </w:rPr>
        <w:t>Eur Heart J</w:t>
      </w:r>
      <w:r w:rsidRPr="00DA3F2E">
        <w:rPr>
          <w:noProof/>
          <w:szCs w:val="24"/>
        </w:rPr>
        <w:t>. 2012</w:t>
      </w:r>
      <w:r w:rsidR="00492548">
        <w:rPr>
          <w:noProof/>
          <w:szCs w:val="24"/>
        </w:rPr>
        <w:t>;33:2451–2496.</w:t>
      </w:r>
    </w:p>
    <w:p w14:paraId="1ADF8F8A" w14:textId="734F0CD9"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5. </w:t>
      </w:r>
      <w:r w:rsidRPr="00DA3F2E">
        <w:rPr>
          <w:noProof/>
          <w:szCs w:val="24"/>
        </w:rPr>
        <w:tab/>
        <w:t xml:space="preserve">Leon MB, Smith CR, Mack MJ, Makkar RR, Svensson LG, Kodali SK, Thourani VH, Tuzcu EM, Miller DC, Herrmann HC, Doshi D, Cohen DJ, Pichard AD, Kapadia S, Dewey T, Babaliaros V, Szeto WY, Williams MR, Kereiakes D, Zajarias A, Greason KL, Whisenant BK, Hodson RW, Moses JW, Trento A, Brown DL, Fearon WF, Pibarot P, Hahn RT, Jaber WA, Anderson WN, Alu MC, Webb JG. Transcatheter or Surgical Aortic-Valve Replacement in Intermediate-Risk Patients. </w:t>
      </w:r>
      <w:r w:rsidRPr="00DA3F2E">
        <w:rPr>
          <w:i/>
          <w:iCs/>
          <w:noProof/>
          <w:szCs w:val="24"/>
        </w:rPr>
        <w:t>N Engl J Med</w:t>
      </w:r>
      <w:r w:rsidR="00492548">
        <w:rPr>
          <w:noProof/>
          <w:szCs w:val="24"/>
        </w:rPr>
        <w:t>. 2016;374:1609–1620.</w:t>
      </w:r>
    </w:p>
    <w:p w14:paraId="0D9267CB" w14:textId="04E0403E"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6. </w:t>
      </w:r>
      <w:r w:rsidRPr="00DA3F2E">
        <w:rPr>
          <w:noProof/>
          <w:szCs w:val="24"/>
        </w:rPr>
        <w:tab/>
        <w:t xml:space="preserve">Eltchaninoff H, Prat A, Gilard M, Leguerrier A, Blanchard D, Fournial G, Iung B, Donzeau-Gouge P, Tribouilloy C, Debrux J-L, Pavie A, Gueret P. Transcatheter aortic valve implantation: early results of the FRANCE (FRench Aortic National CoreValve and Edwards) registry. </w:t>
      </w:r>
      <w:r w:rsidRPr="00DA3F2E">
        <w:rPr>
          <w:i/>
          <w:iCs/>
          <w:noProof/>
          <w:szCs w:val="24"/>
        </w:rPr>
        <w:t>Eur Heart J</w:t>
      </w:r>
      <w:r w:rsidRPr="00DA3F2E">
        <w:rPr>
          <w:noProof/>
          <w:szCs w:val="24"/>
        </w:rPr>
        <w:t>. 2011</w:t>
      </w:r>
      <w:r w:rsidR="00492548">
        <w:rPr>
          <w:noProof/>
          <w:szCs w:val="24"/>
        </w:rPr>
        <w:t>;32:191–7.</w:t>
      </w:r>
    </w:p>
    <w:p w14:paraId="44A4953D" w14:textId="713838CF"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7. </w:t>
      </w:r>
      <w:r w:rsidRPr="00DA3F2E">
        <w:rPr>
          <w:noProof/>
          <w:szCs w:val="24"/>
        </w:rPr>
        <w:tab/>
        <w:t xml:space="preserve">Moat NE, Ludman P, de Belder MA, Bridgewater B, Cunningham AD, Young CP, Thomas M, Kovac J, Spyt T, MacCarthy PA, Wendler O, Hildick-Smith D, Davies SW, Trivedi U, Blackman DJ, Levy RD, Brecker SJD, Baumbach A, Daniel T, Gray H, Mullen MJ. Long-Term Outcomes After Transcatheter Aortic Valve Implantation in High-Risk Patients With Severe Aortic Stenosis. </w:t>
      </w:r>
      <w:r w:rsidRPr="00DA3F2E">
        <w:rPr>
          <w:i/>
          <w:iCs/>
          <w:noProof/>
          <w:szCs w:val="24"/>
        </w:rPr>
        <w:t>J Am Coll Cardiol</w:t>
      </w:r>
      <w:r w:rsidRPr="00DA3F2E">
        <w:rPr>
          <w:noProof/>
          <w:szCs w:val="24"/>
        </w:rPr>
        <w:t>. 2011</w:t>
      </w:r>
      <w:r w:rsidR="00492548">
        <w:rPr>
          <w:noProof/>
          <w:szCs w:val="24"/>
        </w:rPr>
        <w:t>;58:2130–2138.</w:t>
      </w:r>
    </w:p>
    <w:p w14:paraId="78FE0B5D" w14:textId="59044C81"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8. </w:t>
      </w:r>
      <w:r w:rsidRPr="00DA3F2E">
        <w:rPr>
          <w:noProof/>
          <w:szCs w:val="24"/>
        </w:rPr>
        <w:tab/>
        <w:t xml:space="preserve">Ussia GP, Barbanti M, Petronio AS, Tarantini G, Ettori F, Colombo A, Violini R, Ramondo A, Santoro G, Klugmann S, Bedogni F, Maisano F, Marzocchi A, Poli A, De Carlo M, Napodano M, Fiorina C, De Marco F, Antoniucci D, de Cillis E, Capodanno D, Tamburino C. Transcatheter aortic valve implantation: 3-year outcomes of self-expanding CoreValve prosthesis. </w:t>
      </w:r>
      <w:r w:rsidRPr="00DA3F2E">
        <w:rPr>
          <w:i/>
          <w:iCs/>
          <w:noProof/>
          <w:szCs w:val="24"/>
        </w:rPr>
        <w:t>Eur Heart J</w:t>
      </w:r>
      <w:r w:rsidR="00492548">
        <w:rPr>
          <w:noProof/>
          <w:szCs w:val="24"/>
        </w:rPr>
        <w:t>. 2012;33:969–976.</w:t>
      </w:r>
    </w:p>
    <w:p w14:paraId="4506F68E" w14:textId="32FD5EE7"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9. </w:t>
      </w:r>
      <w:r w:rsidRPr="00DA3F2E">
        <w:rPr>
          <w:noProof/>
          <w:szCs w:val="24"/>
        </w:rPr>
        <w:tab/>
        <w:t xml:space="preserve">Ludman PF, Moat N, de Belder MA, Blackman DJ, Duncan A, Banya W, MacCarthy PA, Cunningham D, Wendler O, Marlee D, Hildick-Smith D, Young CP, Kovac J, </w:t>
      </w:r>
      <w:r w:rsidRPr="00DA3F2E">
        <w:rPr>
          <w:noProof/>
          <w:szCs w:val="24"/>
        </w:rPr>
        <w:lastRenderedPageBreak/>
        <w:t xml:space="preserve">Uren NG, Spyt T, Trivedi U, Howell J, Gray H. Transcatheter Aortic Valve Implantation in the UK: Temporal Trends, Predictors of Outcome and 6 Year Follow Up: A Report from the UK TAVI Registry 2007 to 2012. </w:t>
      </w:r>
      <w:r w:rsidRPr="00DA3F2E">
        <w:rPr>
          <w:i/>
          <w:iCs/>
          <w:noProof/>
          <w:szCs w:val="24"/>
        </w:rPr>
        <w:t>Circulation</w:t>
      </w:r>
      <w:r w:rsidR="00492548">
        <w:rPr>
          <w:noProof/>
          <w:szCs w:val="24"/>
        </w:rPr>
        <w:t>. 2015;131:1181–1190.</w:t>
      </w:r>
    </w:p>
    <w:p w14:paraId="372D8485" w14:textId="771B389A"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10. </w:t>
      </w:r>
      <w:r w:rsidRPr="00DA3F2E">
        <w:rPr>
          <w:noProof/>
          <w:szCs w:val="24"/>
        </w:rPr>
        <w:tab/>
        <w:t xml:space="preserve">Maudsley G, Williams EMI. “Inaccuracy” in death certification – where are we now? </w:t>
      </w:r>
      <w:r w:rsidRPr="00DA3F2E">
        <w:rPr>
          <w:i/>
          <w:iCs/>
          <w:noProof/>
          <w:szCs w:val="24"/>
        </w:rPr>
        <w:t>J Public Health Med</w:t>
      </w:r>
      <w:r w:rsidR="00492548">
        <w:rPr>
          <w:noProof/>
          <w:szCs w:val="24"/>
        </w:rPr>
        <w:t>. 1996;18:59–66.</w:t>
      </w:r>
    </w:p>
    <w:p w14:paraId="6841C179" w14:textId="1A21E8C3"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11. </w:t>
      </w:r>
      <w:r w:rsidRPr="00DA3F2E">
        <w:rPr>
          <w:noProof/>
          <w:szCs w:val="24"/>
        </w:rPr>
        <w:tab/>
        <w:t xml:space="preserve">Ederer F, Axtell LM, Cutler SJ. The relative survival rate: a statistical methodology. </w:t>
      </w:r>
      <w:r w:rsidRPr="00DA3F2E">
        <w:rPr>
          <w:i/>
          <w:iCs/>
          <w:noProof/>
          <w:szCs w:val="24"/>
        </w:rPr>
        <w:t>Natl Cancer Inst Monogr</w:t>
      </w:r>
      <w:r w:rsidRPr="00DA3F2E">
        <w:rPr>
          <w:noProof/>
          <w:szCs w:val="24"/>
        </w:rPr>
        <w:t>. 1961</w:t>
      </w:r>
      <w:r w:rsidR="00492548">
        <w:rPr>
          <w:noProof/>
          <w:szCs w:val="24"/>
        </w:rPr>
        <w:t>;6:101–21.</w:t>
      </w:r>
    </w:p>
    <w:p w14:paraId="3DA83305" w14:textId="033FCE20"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12. </w:t>
      </w:r>
      <w:r w:rsidRPr="00DA3F2E">
        <w:rPr>
          <w:noProof/>
          <w:szCs w:val="24"/>
        </w:rPr>
        <w:tab/>
        <w:t xml:space="preserve">Hall M, Alabas OA, Dondo TB, Jernberg T, Gale CP. Use of relative survival to evaluate non-ST-elevation myocardial infarction quality of care and clinical outcomes. </w:t>
      </w:r>
      <w:r w:rsidRPr="00DA3F2E">
        <w:rPr>
          <w:i/>
          <w:iCs/>
          <w:noProof/>
          <w:szCs w:val="24"/>
        </w:rPr>
        <w:t>Eur Hear J - Qual Care Clin Outcomes</w:t>
      </w:r>
      <w:r w:rsidR="00492548">
        <w:rPr>
          <w:noProof/>
          <w:szCs w:val="24"/>
        </w:rPr>
        <w:t>. 2015;1:85–91.</w:t>
      </w:r>
    </w:p>
    <w:p w14:paraId="78BA2E84" w14:textId="77777777"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13. </w:t>
      </w:r>
      <w:r w:rsidRPr="00DA3F2E">
        <w:rPr>
          <w:noProof/>
          <w:szCs w:val="24"/>
        </w:rPr>
        <w:tab/>
        <w:t xml:space="preserve">Dickman PW, Sloggett A, Hills M, Hakulinen T. Regression models for relative survival. </w:t>
      </w:r>
      <w:r w:rsidRPr="00DA3F2E">
        <w:rPr>
          <w:i/>
          <w:iCs/>
          <w:noProof/>
          <w:szCs w:val="24"/>
        </w:rPr>
        <w:t>Stat Med</w:t>
      </w:r>
      <w:r w:rsidRPr="00DA3F2E">
        <w:rPr>
          <w:noProof/>
          <w:szCs w:val="24"/>
        </w:rPr>
        <w:t xml:space="preserve">. 2004;23:51–64. </w:t>
      </w:r>
    </w:p>
    <w:p w14:paraId="199766C8" w14:textId="0F9952C0"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14. </w:t>
      </w:r>
      <w:r w:rsidRPr="00DA3F2E">
        <w:rPr>
          <w:noProof/>
          <w:szCs w:val="24"/>
        </w:rPr>
        <w:tab/>
        <w:t xml:space="preserve">Alabas OA, Brogan RA, Hall M, Almudarra S, Rutherford MJ, Dondo TB, Feltbower R, Curzen N, de Belder M, Ludman P, Gale CP. Determinants of excess mortality following unprotected left main stem percutaneous coronary intervention. </w:t>
      </w:r>
      <w:r w:rsidRPr="00DA3F2E">
        <w:rPr>
          <w:i/>
          <w:iCs/>
          <w:noProof/>
          <w:szCs w:val="24"/>
        </w:rPr>
        <w:t>Heart</w:t>
      </w:r>
      <w:r w:rsidRPr="00DA3F2E">
        <w:rPr>
          <w:noProof/>
          <w:szCs w:val="24"/>
        </w:rPr>
        <w:t>. 201</w:t>
      </w:r>
      <w:r w:rsidR="00492548">
        <w:rPr>
          <w:noProof/>
          <w:szCs w:val="24"/>
        </w:rPr>
        <w:t>6;heartjnl-2015-308739.</w:t>
      </w:r>
    </w:p>
    <w:p w14:paraId="604EBEA0" w14:textId="6A1CAC2D"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15. </w:t>
      </w:r>
      <w:r w:rsidRPr="00DA3F2E">
        <w:rPr>
          <w:noProof/>
          <w:szCs w:val="24"/>
        </w:rPr>
        <w:tab/>
        <w:t xml:space="preserve">Alabas OA, Hall M, Dondo TB, Rutherford MJ, Timmis AD, Batin PD, Deanfield JE, Hemingway H, Gale CP. Long-term excess mortality associated with diabetes following acute myocardial infarction: a population-based cohort study. </w:t>
      </w:r>
      <w:r w:rsidRPr="00DA3F2E">
        <w:rPr>
          <w:i/>
          <w:iCs/>
          <w:noProof/>
          <w:szCs w:val="24"/>
        </w:rPr>
        <w:t>J Epidemiol Community Health</w:t>
      </w:r>
      <w:r w:rsidR="00492548">
        <w:rPr>
          <w:noProof/>
          <w:szCs w:val="24"/>
        </w:rPr>
        <w:t>. 2016;jech-2016-207402.</w:t>
      </w:r>
    </w:p>
    <w:p w14:paraId="47F3F444" w14:textId="6A8F2FF3"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16. </w:t>
      </w:r>
      <w:r w:rsidRPr="00DA3F2E">
        <w:rPr>
          <w:noProof/>
          <w:szCs w:val="24"/>
        </w:rPr>
        <w:tab/>
        <w:t xml:space="preserve">Ludman PF. The UK transcatheter aortic valve implantation registry; one of the suite of registries hosted by the National Institute for Cardiovascular Outcomes Research (NICOR). </w:t>
      </w:r>
      <w:r w:rsidRPr="00DA3F2E">
        <w:rPr>
          <w:i/>
          <w:iCs/>
          <w:noProof/>
          <w:szCs w:val="24"/>
        </w:rPr>
        <w:t>Heart</w:t>
      </w:r>
      <w:r w:rsidR="00492548">
        <w:rPr>
          <w:noProof/>
          <w:szCs w:val="24"/>
        </w:rPr>
        <w:t>. 2012;98:1787–1789.</w:t>
      </w:r>
    </w:p>
    <w:p w14:paraId="74EE9D02" w14:textId="77777777"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17. </w:t>
      </w:r>
      <w:r w:rsidRPr="00DA3F2E">
        <w:rPr>
          <w:noProof/>
          <w:szCs w:val="24"/>
        </w:rPr>
        <w:tab/>
        <w:t xml:space="preserve">Cleveland WS, Grosse E, Shyu WM. Local regression models. </w:t>
      </w:r>
      <w:r w:rsidRPr="00DA3F2E">
        <w:rPr>
          <w:i/>
          <w:iCs/>
          <w:noProof/>
          <w:szCs w:val="24"/>
        </w:rPr>
        <w:t>Stat Model S</w:t>
      </w:r>
      <w:r w:rsidRPr="00DA3F2E">
        <w:rPr>
          <w:noProof/>
          <w:szCs w:val="24"/>
        </w:rPr>
        <w:t xml:space="preserve">. </w:t>
      </w:r>
      <w:r w:rsidRPr="00DA3F2E">
        <w:rPr>
          <w:noProof/>
          <w:szCs w:val="24"/>
        </w:rPr>
        <w:lastRenderedPageBreak/>
        <w:t xml:space="preserve">1992;2:309–376. </w:t>
      </w:r>
    </w:p>
    <w:p w14:paraId="010A3A6F" w14:textId="77777777"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18. </w:t>
      </w:r>
      <w:r w:rsidRPr="00DA3F2E">
        <w:rPr>
          <w:noProof/>
          <w:szCs w:val="24"/>
        </w:rPr>
        <w:tab/>
        <w:t xml:space="preserve">Stare J, Henderson R, Pohar M. An individual measure of relative survival. </w:t>
      </w:r>
      <w:r w:rsidRPr="00DA3F2E">
        <w:rPr>
          <w:i/>
          <w:iCs/>
          <w:noProof/>
          <w:szCs w:val="24"/>
        </w:rPr>
        <w:t>J R Stat Soc Ser C Appl Stat</w:t>
      </w:r>
      <w:r w:rsidRPr="00DA3F2E">
        <w:rPr>
          <w:noProof/>
          <w:szCs w:val="24"/>
        </w:rPr>
        <w:t xml:space="preserve">. 2005;54:115–126. </w:t>
      </w:r>
    </w:p>
    <w:p w14:paraId="00706C99" w14:textId="76F8D7AE"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19. </w:t>
      </w:r>
      <w:r w:rsidRPr="00DA3F2E">
        <w:rPr>
          <w:noProof/>
          <w:szCs w:val="24"/>
        </w:rPr>
        <w:tab/>
        <w:t xml:space="preserve">Royston P, Parmar MKB. Flexible parametric proportional-hazards and proportional-odds models for censored survival data, with application to prognostic modelling and estimation of treatment effects. </w:t>
      </w:r>
      <w:r w:rsidRPr="00DA3F2E">
        <w:rPr>
          <w:i/>
          <w:iCs/>
          <w:noProof/>
          <w:szCs w:val="24"/>
        </w:rPr>
        <w:t>Stat Med</w:t>
      </w:r>
      <w:r w:rsidR="00492548">
        <w:rPr>
          <w:noProof/>
          <w:szCs w:val="24"/>
        </w:rPr>
        <w:t>. 2002;21:2175–2197.</w:t>
      </w:r>
    </w:p>
    <w:p w14:paraId="7402ECDE" w14:textId="46A91CC0"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20. </w:t>
      </w:r>
      <w:r w:rsidRPr="00DA3F2E">
        <w:rPr>
          <w:noProof/>
          <w:szCs w:val="24"/>
        </w:rPr>
        <w:tab/>
        <w:t xml:space="preserve">Nelson CP, Lambert PC, Squire IB, Jones DR. Flexible parametric models for relative survival, with application in coronary heart disease. </w:t>
      </w:r>
      <w:r w:rsidRPr="00DA3F2E">
        <w:rPr>
          <w:i/>
          <w:iCs/>
          <w:noProof/>
          <w:szCs w:val="24"/>
        </w:rPr>
        <w:t>Stat Med</w:t>
      </w:r>
      <w:r w:rsidR="00492548">
        <w:rPr>
          <w:noProof/>
          <w:szCs w:val="24"/>
        </w:rPr>
        <w:t>. 2007;26:5486–98.</w:t>
      </w:r>
    </w:p>
    <w:p w14:paraId="2F45EA55" w14:textId="77777777"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21. </w:t>
      </w:r>
      <w:r w:rsidRPr="00DA3F2E">
        <w:rPr>
          <w:noProof/>
          <w:szCs w:val="24"/>
        </w:rPr>
        <w:tab/>
        <w:t>R Core Team R. R: A Language and Environment for Statistical Computing [Internet]. R Found. Stat. Comput. 2017;Available from: http://www.r-project.org/</w:t>
      </w:r>
    </w:p>
    <w:p w14:paraId="283B9CC4" w14:textId="11992CF0"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22. </w:t>
      </w:r>
      <w:r w:rsidRPr="00DA3F2E">
        <w:rPr>
          <w:noProof/>
          <w:szCs w:val="24"/>
        </w:rPr>
        <w:tab/>
        <w:t>Wickham H. ggplot2: elegant graph</w:t>
      </w:r>
      <w:r w:rsidR="00492548">
        <w:rPr>
          <w:noProof/>
          <w:szCs w:val="24"/>
        </w:rPr>
        <w:t>ics for data analysis. Springer New York; 2009.</w:t>
      </w:r>
    </w:p>
    <w:p w14:paraId="11F9D589" w14:textId="669B9784"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23. </w:t>
      </w:r>
      <w:r w:rsidRPr="00DA3F2E">
        <w:rPr>
          <w:noProof/>
          <w:szCs w:val="24"/>
        </w:rPr>
        <w:tab/>
        <w:t>Clements M, Liu X-R. rstpm2: Genera</w:t>
      </w:r>
      <w:r w:rsidR="00492548">
        <w:rPr>
          <w:noProof/>
          <w:szCs w:val="24"/>
        </w:rPr>
        <w:t>lized Survival Models</w:t>
      </w:r>
      <w:r w:rsidRPr="00DA3F2E">
        <w:rPr>
          <w:noProof/>
          <w:szCs w:val="24"/>
        </w:rPr>
        <w:t>. 2016;R package version 1.3.2. Available from: https://cran.r-project.org/package=rstpm2</w:t>
      </w:r>
    </w:p>
    <w:p w14:paraId="3881A370" w14:textId="2A1A90F5"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24. </w:t>
      </w:r>
      <w:r w:rsidRPr="00DA3F2E">
        <w:rPr>
          <w:noProof/>
          <w:szCs w:val="24"/>
        </w:rPr>
        <w:tab/>
        <w:t>Perme MP. relsu</w:t>
      </w:r>
      <w:r w:rsidR="00492548">
        <w:rPr>
          <w:noProof/>
          <w:szCs w:val="24"/>
        </w:rPr>
        <w:t>rv: Relative Survival</w:t>
      </w:r>
      <w:r w:rsidRPr="00DA3F2E">
        <w:rPr>
          <w:noProof/>
          <w:szCs w:val="24"/>
        </w:rPr>
        <w:t>. 2016;R package version 2.0-9. Available from: https://cran.r-project.org/package=relsurv</w:t>
      </w:r>
    </w:p>
    <w:p w14:paraId="6067E224" w14:textId="6BC31C71"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25. </w:t>
      </w:r>
      <w:r w:rsidRPr="00DA3F2E">
        <w:rPr>
          <w:noProof/>
          <w:szCs w:val="24"/>
        </w:rPr>
        <w:tab/>
        <w:t xml:space="preserve">Saia F, Latib A, Ciuca C, Gasparetto V, Napodano M, Sticchi A, Anderlucci L, Marrozzini C, Naganuma T, Alfieri O, Facchin M, Hoxha B, Moretti C, Marzocchi A, Colombo A, Tarantini G. Causes and timing of death during long-term follow-up after transcatheter aortic valve replacement. </w:t>
      </w:r>
      <w:r w:rsidRPr="00DA3F2E">
        <w:rPr>
          <w:i/>
          <w:iCs/>
          <w:noProof/>
          <w:szCs w:val="24"/>
        </w:rPr>
        <w:t>Am Heart J</w:t>
      </w:r>
      <w:r w:rsidR="00492548">
        <w:rPr>
          <w:noProof/>
          <w:szCs w:val="24"/>
        </w:rPr>
        <w:t>. 2014;168:798–806.</w:t>
      </w:r>
    </w:p>
    <w:p w14:paraId="0C5B72D9" w14:textId="60AD14EE"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26. </w:t>
      </w:r>
      <w:r w:rsidRPr="00DA3F2E">
        <w:rPr>
          <w:noProof/>
          <w:szCs w:val="24"/>
        </w:rPr>
        <w:tab/>
        <w:t xml:space="preserve">Spoon DB, Psaltis PJ, Singh M, Holmes DR, Gersh BJ, Rihal CS, Lennon RJ, Moussa ID, Simari RD, Gulati R. Trends in Cause of Death After Percutaneous Coronary Intervention. </w:t>
      </w:r>
      <w:r w:rsidRPr="00DA3F2E">
        <w:rPr>
          <w:i/>
          <w:iCs/>
          <w:noProof/>
          <w:szCs w:val="24"/>
        </w:rPr>
        <w:t>Circulation</w:t>
      </w:r>
      <w:r w:rsidR="00492548">
        <w:rPr>
          <w:noProof/>
          <w:szCs w:val="24"/>
        </w:rPr>
        <w:t>. 2014;129:1286–1294.</w:t>
      </w:r>
    </w:p>
    <w:p w14:paraId="2B51944C" w14:textId="358D4E2B" w:rsidR="00DA3F2E" w:rsidRPr="00DA3F2E" w:rsidRDefault="00DA3F2E" w:rsidP="00DA3F2E">
      <w:pPr>
        <w:widowControl w:val="0"/>
        <w:autoSpaceDE w:val="0"/>
        <w:autoSpaceDN w:val="0"/>
        <w:adjustRightInd w:val="0"/>
        <w:ind w:left="640" w:hanging="640"/>
        <w:rPr>
          <w:noProof/>
          <w:szCs w:val="24"/>
        </w:rPr>
      </w:pPr>
      <w:r w:rsidRPr="00DA3F2E">
        <w:rPr>
          <w:noProof/>
          <w:szCs w:val="24"/>
        </w:rPr>
        <w:t xml:space="preserve">27. </w:t>
      </w:r>
      <w:r w:rsidRPr="00DA3F2E">
        <w:rPr>
          <w:noProof/>
          <w:szCs w:val="24"/>
        </w:rPr>
        <w:tab/>
        <w:t xml:space="preserve">Arsalan M, Szerlip M, Vemulapalli S, Holper EM, Arnold S V., Li Z, DiMaio MJ, Rumsfeld JS, Brown DL, Mack MJ. Should Transcatheter Aortic Valve Replacement Be Performed in Nonagenarians? </w:t>
      </w:r>
      <w:r w:rsidRPr="00DA3F2E">
        <w:rPr>
          <w:i/>
          <w:iCs/>
          <w:noProof/>
          <w:szCs w:val="24"/>
        </w:rPr>
        <w:t>J Am Coll Cardiol</w:t>
      </w:r>
      <w:r w:rsidR="00492548">
        <w:rPr>
          <w:noProof/>
          <w:szCs w:val="24"/>
        </w:rPr>
        <w:t>. 2016;67:1387–1395.</w:t>
      </w:r>
    </w:p>
    <w:p w14:paraId="73B2FA8D" w14:textId="2107E12E" w:rsidR="00DA3F2E" w:rsidRPr="00DA3F2E" w:rsidRDefault="00DA3F2E" w:rsidP="00DA3F2E">
      <w:pPr>
        <w:widowControl w:val="0"/>
        <w:autoSpaceDE w:val="0"/>
        <w:autoSpaceDN w:val="0"/>
        <w:adjustRightInd w:val="0"/>
        <w:ind w:left="640" w:hanging="640"/>
        <w:rPr>
          <w:noProof/>
          <w:szCs w:val="24"/>
        </w:rPr>
      </w:pPr>
      <w:r w:rsidRPr="00DA3F2E">
        <w:rPr>
          <w:noProof/>
          <w:szCs w:val="24"/>
        </w:rPr>
        <w:lastRenderedPageBreak/>
        <w:t xml:space="preserve">28. </w:t>
      </w:r>
      <w:r w:rsidRPr="00DA3F2E">
        <w:rPr>
          <w:noProof/>
          <w:szCs w:val="24"/>
        </w:rPr>
        <w:tab/>
        <w:t xml:space="preserve">Puri R, Iung B, Cohen DJ, Rodés-Cabau J. TAVI or No TAVI: identifying patients unlikely to benefit from transcatheter aortic valve implantation. </w:t>
      </w:r>
      <w:r w:rsidRPr="00DA3F2E">
        <w:rPr>
          <w:i/>
          <w:iCs/>
          <w:noProof/>
          <w:szCs w:val="24"/>
        </w:rPr>
        <w:t>Eur Heart J</w:t>
      </w:r>
      <w:r w:rsidR="00492548">
        <w:rPr>
          <w:noProof/>
          <w:szCs w:val="24"/>
        </w:rPr>
        <w:t>. 2016;ehv756.</w:t>
      </w:r>
    </w:p>
    <w:p w14:paraId="3442F659" w14:textId="77777777" w:rsidR="00DA3F2E" w:rsidRPr="00DA3F2E" w:rsidRDefault="00DA3F2E" w:rsidP="00DA3F2E">
      <w:pPr>
        <w:widowControl w:val="0"/>
        <w:autoSpaceDE w:val="0"/>
        <w:autoSpaceDN w:val="0"/>
        <w:adjustRightInd w:val="0"/>
        <w:ind w:left="640" w:hanging="640"/>
        <w:rPr>
          <w:noProof/>
        </w:rPr>
      </w:pPr>
      <w:r w:rsidRPr="00DA3F2E">
        <w:rPr>
          <w:noProof/>
          <w:szCs w:val="24"/>
        </w:rPr>
        <w:t xml:space="preserve">29. </w:t>
      </w:r>
      <w:r w:rsidRPr="00DA3F2E">
        <w:rPr>
          <w:noProof/>
          <w:szCs w:val="24"/>
        </w:rPr>
        <w:tab/>
        <w:t xml:space="preserve">Martinsson A, Li X, Andersson C, Nilsson J, Smith JG, Sundquist K. Temporal trends in the incidence and prognosis of aortic stenosis: A nationwide study of the Swedish Population. </w:t>
      </w:r>
      <w:r w:rsidRPr="00DA3F2E">
        <w:rPr>
          <w:i/>
          <w:iCs/>
          <w:noProof/>
          <w:szCs w:val="24"/>
        </w:rPr>
        <w:t>Circulation</w:t>
      </w:r>
      <w:r w:rsidRPr="00DA3F2E">
        <w:rPr>
          <w:noProof/>
          <w:szCs w:val="24"/>
        </w:rPr>
        <w:t xml:space="preserve">. 2015;131:988–994. </w:t>
      </w:r>
    </w:p>
    <w:p w14:paraId="5118D1D6" w14:textId="77777777" w:rsidR="00781E36" w:rsidRDefault="00564B7B" w:rsidP="009946BF">
      <w:pPr>
        <w:jc w:val="left"/>
      </w:pPr>
      <w:r>
        <w:fldChar w:fldCharType="end"/>
      </w:r>
    </w:p>
    <w:p w14:paraId="320792A4" w14:textId="77777777" w:rsidR="005A01F9" w:rsidRDefault="005A01F9" w:rsidP="00E1754A">
      <w:pPr>
        <w:jc w:val="left"/>
        <w:sectPr w:rsidR="005A01F9" w:rsidSect="00CB7136">
          <w:pgSz w:w="11906" w:h="16838"/>
          <w:pgMar w:top="1440" w:right="1440" w:bottom="1440" w:left="1440" w:header="708" w:footer="708" w:gutter="0"/>
          <w:cols w:space="708"/>
          <w:docGrid w:linePitch="360"/>
        </w:sectPr>
      </w:pPr>
    </w:p>
    <w:p w14:paraId="1A789C22" w14:textId="19A0B0D1" w:rsidR="005A01F9" w:rsidRDefault="005A01F9" w:rsidP="00E1754A">
      <w:pPr>
        <w:pStyle w:val="Heading1"/>
      </w:pPr>
      <w:r>
        <w:lastRenderedPageBreak/>
        <w:t>Figure</w:t>
      </w:r>
      <w:r w:rsidR="004F5043">
        <w:t xml:space="preserve"> Legends</w:t>
      </w:r>
    </w:p>
    <w:p w14:paraId="200A791A" w14:textId="09042220" w:rsidR="005A01F9" w:rsidRDefault="005A01F9" w:rsidP="00E1754A">
      <w:pPr>
        <w:pStyle w:val="Heading2"/>
        <w:rPr>
          <w:b w:val="0"/>
        </w:rPr>
      </w:pPr>
      <w:r>
        <w:t xml:space="preserve">Figure 1. </w:t>
      </w:r>
      <w:r w:rsidRPr="00120210">
        <w:rPr>
          <w:b w:val="0"/>
        </w:rPr>
        <w:t>Kaplan-Meier curves of observed and relative survival.</w:t>
      </w:r>
      <w:r w:rsidR="00DE5EF3" w:rsidRPr="00120210">
        <w:rPr>
          <w:b w:val="0"/>
        </w:rPr>
        <w:t xml:space="preserve"> </w:t>
      </w:r>
      <w:r w:rsidR="00DE5EF3">
        <w:rPr>
          <w:b w:val="0"/>
        </w:rPr>
        <w:t>A relative survival of one implies the observed survival is the same as the expected survival in the matched general population.</w:t>
      </w:r>
    </w:p>
    <w:p w14:paraId="5C9A4350" w14:textId="3B1A0095" w:rsidR="005A01F9" w:rsidRDefault="00F932B1" w:rsidP="00272664">
      <w:pPr>
        <w:pStyle w:val="Heading2"/>
        <w:rPr>
          <w:b w:val="0"/>
        </w:rPr>
      </w:pPr>
      <w:r>
        <w:t xml:space="preserve">Figure </w:t>
      </w:r>
      <w:r w:rsidR="00457087">
        <w:t>2</w:t>
      </w:r>
      <w:r>
        <w:t xml:space="preserve">. </w:t>
      </w:r>
      <w:r w:rsidR="00DB25E2" w:rsidRPr="00120210">
        <w:rPr>
          <w:b w:val="0"/>
        </w:rPr>
        <w:t>D</w:t>
      </w:r>
      <w:r w:rsidR="003A4C6F" w:rsidRPr="00120210">
        <w:rPr>
          <w:b w:val="0"/>
        </w:rPr>
        <w:t>aily hazard ratios for the whole TAVI cohort (A) and across subgroups of procedure year (B), age groups (C) and sex (D).</w:t>
      </w:r>
      <w:r w:rsidR="003A4C6F">
        <w:rPr>
          <w:b w:val="0"/>
        </w:rPr>
        <w:t xml:space="preserve"> </w:t>
      </w:r>
      <w:r w:rsidR="00DB25E2">
        <w:rPr>
          <w:b w:val="0"/>
        </w:rPr>
        <w:t xml:space="preserve">Estimated daily hazard ratios were calculated as </w:t>
      </w:r>
      <w:r w:rsidR="00DB25E2" w:rsidRPr="00DB25E2">
        <w:rPr>
          <w:b w:val="0"/>
        </w:rPr>
        <w:t xml:space="preserve">the observed hazard of mortality divided by the </w:t>
      </w:r>
      <w:r w:rsidR="00986668">
        <w:rPr>
          <w:b w:val="0"/>
        </w:rPr>
        <w:t>expected</w:t>
      </w:r>
      <w:r w:rsidR="00DB25E2" w:rsidRPr="00DB25E2">
        <w:rPr>
          <w:b w:val="0"/>
        </w:rPr>
        <w:t xml:space="preserve"> hazard from the matched general population</w:t>
      </w:r>
      <w:r w:rsidR="00DB25E2">
        <w:rPr>
          <w:b w:val="0"/>
        </w:rPr>
        <w:t>.</w:t>
      </w:r>
      <w:r w:rsidR="00DB25E2" w:rsidRPr="00DB25E2">
        <w:rPr>
          <w:b w:val="0"/>
        </w:rPr>
        <w:t xml:space="preserve"> </w:t>
      </w:r>
      <w:r w:rsidR="003A4C6F">
        <w:rPr>
          <w:b w:val="0"/>
        </w:rPr>
        <w:t xml:space="preserve">The lines are the smoother </w:t>
      </w:r>
      <w:r w:rsidR="00986668">
        <w:rPr>
          <w:b w:val="0"/>
        </w:rPr>
        <w:t>through</w:t>
      </w:r>
      <w:r w:rsidR="003A4C6F">
        <w:rPr>
          <w:b w:val="0"/>
        </w:rPr>
        <w:t xml:space="preserve"> each of the estimated daily hazard ratios, with 95% CI</w:t>
      </w:r>
      <w:r w:rsidR="00986668">
        <w:rPr>
          <w:b w:val="0"/>
        </w:rPr>
        <w:t>s</w:t>
      </w:r>
      <w:r w:rsidR="003A4C6F">
        <w:rPr>
          <w:b w:val="0"/>
        </w:rPr>
        <w:t xml:space="preserve"> shaded.</w:t>
      </w:r>
    </w:p>
    <w:p w14:paraId="6F95268C" w14:textId="5DC6CF18" w:rsidR="00457087" w:rsidRDefault="00457087" w:rsidP="00457087">
      <w:pPr>
        <w:pStyle w:val="Heading2"/>
        <w:rPr>
          <w:b w:val="0"/>
        </w:rPr>
      </w:pPr>
      <w:r>
        <w:t xml:space="preserve">Figure 3. </w:t>
      </w:r>
      <w:r w:rsidRPr="00120210">
        <w:rPr>
          <w:b w:val="0"/>
        </w:rPr>
        <w:t>Cumulative excess hazard curves for the whole TAVI cohort (A) and across subgroups of procedure year (B), age groups (C) and sex (D).</w:t>
      </w:r>
      <w:r>
        <w:t xml:space="preserve"> </w:t>
      </w:r>
      <w:r>
        <w:rPr>
          <w:b w:val="0"/>
        </w:rPr>
        <w:t xml:space="preserve">An increasing (decreasing) </w:t>
      </w:r>
      <w:r w:rsidRPr="00F81825">
        <w:rPr>
          <w:b w:val="0"/>
        </w:rPr>
        <w:t xml:space="preserve">cumulative excess hazard indicates </w:t>
      </w:r>
      <w:r>
        <w:rPr>
          <w:b w:val="0"/>
        </w:rPr>
        <w:t xml:space="preserve">worse (better) </w:t>
      </w:r>
      <w:r w:rsidRPr="00F81825">
        <w:rPr>
          <w:b w:val="0"/>
        </w:rPr>
        <w:t xml:space="preserve">mortality hazard in the TAVI population </w:t>
      </w:r>
      <w:r>
        <w:rPr>
          <w:b w:val="0"/>
        </w:rPr>
        <w:t xml:space="preserve">compared with </w:t>
      </w:r>
      <w:r w:rsidRPr="00F81825">
        <w:rPr>
          <w:b w:val="0"/>
        </w:rPr>
        <w:t xml:space="preserve">that expected </w:t>
      </w:r>
      <w:r>
        <w:rPr>
          <w:b w:val="0"/>
        </w:rPr>
        <w:t>of</w:t>
      </w:r>
      <w:r w:rsidRPr="00F81825">
        <w:rPr>
          <w:b w:val="0"/>
        </w:rPr>
        <w:t xml:space="preserve"> the general population. </w:t>
      </w:r>
      <w:r>
        <w:rPr>
          <w:b w:val="0"/>
        </w:rPr>
        <w:t>A cumulative excess hazard of zero implies that the observed survival is the same as the expected survival from the general population.</w:t>
      </w:r>
    </w:p>
    <w:p w14:paraId="50262F37" w14:textId="4C7B78EB" w:rsidR="00133FB1" w:rsidRPr="00133FB1" w:rsidRDefault="00133FB1" w:rsidP="00133FB1">
      <w:pPr>
        <w:pStyle w:val="Heading2"/>
        <w:rPr>
          <w:b w:val="0"/>
        </w:rPr>
      </w:pPr>
      <w:r w:rsidRPr="00133FB1">
        <w:t xml:space="preserve">Figure </w:t>
      </w:r>
      <w:r>
        <w:t>4</w:t>
      </w:r>
      <w:r w:rsidRPr="00133FB1">
        <w:t xml:space="preserve">. </w:t>
      </w:r>
      <w:r w:rsidRPr="00133FB1">
        <w:rPr>
          <w:b w:val="0"/>
        </w:rPr>
        <w:t>Cumulative mortality curves on the transformed time scale per age category. The horizontal axis represents the mortality rate expected in each representative population, while the vertical axis shows the observed mortality on this transformed time-scale. The dashed line represents the null hypothesis that the matched background mortality rates apply.</w:t>
      </w:r>
    </w:p>
    <w:p w14:paraId="2F03B080" w14:textId="2F5591D4" w:rsidR="00133FB1" w:rsidRPr="00133FB1" w:rsidRDefault="00133FB1" w:rsidP="00133FB1"/>
    <w:p w14:paraId="51B36898" w14:textId="5BFD2A2C" w:rsidR="005A01F9" w:rsidRDefault="005A01F9" w:rsidP="00E1754A">
      <w:pPr>
        <w:pStyle w:val="Heading2"/>
        <w:rPr>
          <w:b w:val="0"/>
        </w:rPr>
      </w:pPr>
      <w:r>
        <w:lastRenderedPageBreak/>
        <w:t>F</w:t>
      </w:r>
      <w:r w:rsidR="00272664">
        <w:t xml:space="preserve">igure </w:t>
      </w:r>
      <w:r w:rsidR="00133FB1">
        <w:t>5</w:t>
      </w:r>
      <w:r>
        <w:t xml:space="preserve">. </w:t>
      </w:r>
      <w:r w:rsidRPr="00120210">
        <w:rPr>
          <w:b w:val="0"/>
        </w:rPr>
        <w:t>Time-dependent excess hazard ratios from the flexible parametric relative survival model.</w:t>
      </w:r>
      <w:r w:rsidR="00DE5EF3">
        <w:t xml:space="preserve"> </w:t>
      </w:r>
      <w:r w:rsidR="00DE5EF3">
        <w:rPr>
          <w:b w:val="0"/>
        </w:rPr>
        <w:t>A</w:t>
      </w:r>
      <w:r w:rsidR="00AC1C00">
        <w:rPr>
          <w:b w:val="0"/>
        </w:rPr>
        <w:t>n</w:t>
      </w:r>
      <w:r w:rsidR="00DE5EF3">
        <w:rPr>
          <w:b w:val="0"/>
        </w:rPr>
        <w:t xml:space="preserve"> excess hazard ratio of one means that the excess hazard (over that in the general population) </w:t>
      </w:r>
      <w:r w:rsidR="00F360CB">
        <w:rPr>
          <w:b w:val="0"/>
        </w:rPr>
        <w:t>was the same between groups</w:t>
      </w:r>
      <w:r w:rsidR="00DE5EF3">
        <w:rPr>
          <w:b w:val="0"/>
        </w:rPr>
        <w:t>.</w:t>
      </w:r>
    </w:p>
    <w:p w14:paraId="050AF032" w14:textId="1005F683" w:rsidR="00133FB1" w:rsidRDefault="00133FB1" w:rsidP="00133FB1">
      <w:pPr>
        <w:pStyle w:val="Heading2"/>
      </w:pPr>
      <w:r>
        <w:t>Figure 6</w:t>
      </w:r>
      <w:r w:rsidRPr="00133FB1">
        <w:t xml:space="preserve">. </w:t>
      </w:r>
      <w:r w:rsidRPr="00133FB1">
        <w:rPr>
          <w:b w:val="0"/>
        </w:rPr>
        <w:t>Predicted cumulative excess hazard curves for patients aged 75, 85 and 95 years, across increasing procedure year, obtained from the flexible parametric relative survival model. 95% confidence intervals are indicated by the shaded areas.</w:t>
      </w:r>
    </w:p>
    <w:p w14:paraId="71D42C8B" w14:textId="77777777" w:rsidR="00133FB1" w:rsidRDefault="00133FB1" w:rsidP="004E483C"/>
    <w:p w14:paraId="76458B2F" w14:textId="77777777" w:rsidR="005A01F9" w:rsidRDefault="005A01F9" w:rsidP="00E1754A"/>
    <w:p w14:paraId="64F97059" w14:textId="77777777" w:rsidR="005A01F9" w:rsidRDefault="005A01F9" w:rsidP="00E1754A">
      <w:pPr>
        <w:sectPr w:rsidR="005A01F9" w:rsidSect="00CB7136">
          <w:pgSz w:w="11906" w:h="16838"/>
          <w:pgMar w:top="1440" w:right="1440" w:bottom="1440" w:left="1440" w:header="708" w:footer="708" w:gutter="0"/>
          <w:cols w:space="708"/>
          <w:docGrid w:linePitch="360"/>
        </w:sectPr>
      </w:pPr>
    </w:p>
    <w:p w14:paraId="50580449" w14:textId="77777777" w:rsidR="005A01F9" w:rsidRDefault="005A01F9" w:rsidP="00E1754A">
      <w:pPr>
        <w:pStyle w:val="Heading1"/>
      </w:pPr>
      <w:r>
        <w:t>Tables</w:t>
      </w:r>
    </w:p>
    <w:p w14:paraId="5202267B" w14:textId="36086645" w:rsidR="005154C9" w:rsidRDefault="005154C9" w:rsidP="005154C9">
      <w:r w:rsidRPr="005154C9">
        <w:rPr>
          <w:b/>
        </w:rPr>
        <w:t>Table 1</w:t>
      </w:r>
      <w:r w:rsidRPr="005154C9">
        <w:t>. Baseline and procedural characteristics of the UK TAVI dataset</w:t>
      </w:r>
      <w:r>
        <w:t xml:space="preserve"> and across age subgroups</w:t>
      </w:r>
      <w:r w:rsidRPr="005154C9">
        <w:t>.</w:t>
      </w:r>
    </w:p>
    <w:tbl>
      <w:tblPr>
        <w:tblW w:w="5000" w:type="pct"/>
        <w:jc w:val="center"/>
        <w:tblCellMar>
          <w:right w:w="115" w:type="dxa"/>
        </w:tblCellMar>
        <w:tblLook w:val="04A0" w:firstRow="1" w:lastRow="0" w:firstColumn="1" w:lastColumn="0" w:noHBand="0" w:noVBand="1"/>
      </w:tblPr>
      <w:tblGrid>
        <w:gridCol w:w="3484"/>
        <w:gridCol w:w="2141"/>
        <w:gridCol w:w="2141"/>
        <w:gridCol w:w="2141"/>
        <w:gridCol w:w="2141"/>
        <w:gridCol w:w="2133"/>
      </w:tblGrid>
      <w:tr w:rsidR="005154C9" w:rsidRPr="002C3790" w14:paraId="247A66ED" w14:textId="0209C399" w:rsidTr="00B06F23">
        <w:trPr>
          <w:cantSplit/>
          <w:trHeight w:val="170"/>
          <w:jc w:val="center"/>
        </w:trPr>
        <w:tc>
          <w:tcPr>
            <w:tcW w:w="1228" w:type="pct"/>
            <w:tcBorders>
              <w:top w:val="single" w:sz="4" w:space="0" w:color="auto"/>
              <w:bottom w:val="single" w:sz="4" w:space="0" w:color="auto"/>
            </w:tcBorders>
          </w:tcPr>
          <w:p w14:paraId="7B0126D2" w14:textId="77777777" w:rsidR="005154C9" w:rsidRPr="00741C26" w:rsidRDefault="005154C9" w:rsidP="005154C9">
            <w:pPr>
              <w:jc w:val="left"/>
              <w:rPr>
                <w:b/>
                <w:szCs w:val="24"/>
              </w:rPr>
            </w:pPr>
            <w:r w:rsidRPr="00741C26">
              <w:rPr>
                <w:b/>
                <w:szCs w:val="24"/>
              </w:rPr>
              <w:t>Variable</w:t>
            </w:r>
          </w:p>
        </w:tc>
        <w:tc>
          <w:tcPr>
            <w:tcW w:w="755" w:type="pct"/>
            <w:tcBorders>
              <w:top w:val="single" w:sz="4" w:space="0" w:color="auto"/>
              <w:bottom w:val="single" w:sz="4" w:space="0" w:color="auto"/>
            </w:tcBorders>
          </w:tcPr>
          <w:p w14:paraId="763B534D" w14:textId="176C6DBD" w:rsidR="005154C9" w:rsidRPr="00741C26" w:rsidRDefault="005154C9" w:rsidP="005154C9">
            <w:pPr>
              <w:jc w:val="center"/>
              <w:rPr>
                <w:b/>
                <w:szCs w:val="24"/>
              </w:rPr>
            </w:pPr>
            <w:r>
              <w:rPr>
                <w:b/>
                <w:szCs w:val="24"/>
              </w:rPr>
              <w:t>TAVI Cohort (n=6420</w:t>
            </w:r>
            <w:r w:rsidRPr="00741C26">
              <w:rPr>
                <w:b/>
                <w:szCs w:val="24"/>
              </w:rPr>
              <w:t>)</w:t>
            </w:r>
          </w:p>
        </w:tc>
        <w:tc>
          <w:tcPr>
            <w:tcW w:w="755" w:type="pct"/>
            <w:tcBorders>
              <w:top w:val="single" w:sz="4" w:space="0" w:color="auto"/>
              <w:bottom w:val="single" w:sz="4" w:space="0" w:color="auto"/>
            </w:tcBorders>
          </w:tcPr>
          <w:p w14:paraId="643A70B8" w14:textId="4AE96BAF" w:rsidR="005154C9" w:rsidRPr="00741C26" w:rsidRDefault="005154C9" w:rsidP="005154C9">
            <w:pPr>
              <w:jc w:val="center"/>
              <w:rPr>
                <w:b/>
                <w:szCs w:val="24"/>
              </w:rPr>
            </w:pPr>
            <w:r w:rsidRPr="00CB1701">
              <w:rPr>
                <w:b/>
                <w:szCs w:val="24"/>
              </w:rPr>
              <w:t>Age &lt;80 years (n=2213)</w:t>
            </w:r>
          </w:p>
        </w:tc>
        <w:tc>
          <w:tcPr>
            <w:tcW w:w="755" w:type="pct"/>
            <w:tcBorders>
              <w:top w:val="single" w:sz="4" w:space="0" w:color="auto"/>
              <w:bottom w:val="single" w:sz="4" w:space="0" w:color="auto"/>
            </w:tcBorders>
          </w:tcPr>
          <w:p w14:paraId="7E113F5F" w14:textId="77D4E406" w:rsidR="005154C9" w:rsidRPr="00741C26" w:rsidRDefault="005154C9" w:rsidP="005154C9">
            <w:pPr>
              <w:jc w:val="center"/>
              <w:rPr>
                <w:b/>
                <w:szCs w:val="24"/>
              </w:rPr>
            </w:pPr>
            <w:r w:rsidRPr="00CB1701">
              <w:rPr>
                <w:b/>
                <w:szCs w:val="24"/>
              </w:rPr>
              <w:t>Age 80-85 years (n=1754)</w:t>
            </w:r>
          </w:p>
        </w:tc>
        <w:tc>
          <w:tcPr>
            <w:tcW w:w="755" w:type="pct"/>
            <w:tcBorders>
              <w:top w:val="single" w:sz="4" w:space="0" w:color="auto"/>
              <w:bottom w:val="single" w:sz="4" w:space="0" w:color="auto"/>
            </w:tcBorders>
          </w:tcPr>
          <w:p w14:paraId="442A4B1F" w14:textId="3D3CB703" w:rsidR="005154C9" w:rsidRPr="00741C26" w:rsidRDefault="005154C9" w:rsidP="005154C9">
            <w:pPr>
              <w:jc w:val="center"/>
              <w:rPr>
                <w:b/>
                <w:szCs w:val="24"/>
              </w:rPr>
            </w:pPr>
            <w:r w:rsidRPr="00CB1701">
              <w:rPr>
                <w:b/>
                <w:szCs w:val="24"/>
              </w:rPr>
              <w:t>Age ≥85 years (n=2453)</w:t>
            </w:r>
          </w:p>
        </w:tc>
        <w:tc>
          <w:tcPr>
            <w:tcW w:w="752" w:type="pct"/>
            <w:tcBorders>
              <w:top w:val="single" w:sz="4" w:space="0" w:color="auto"/>
              <w:bottom w:val="single" w:sz="4" w:space="0" w:color="auto"/>
            </w:tcBorders>
          </w:tcPr>
          <w:p w14:paraId="4BA186F8" w14:textId="2ABEF691" w:rsidR="005154C9" w:rsidRPr="00741C26" w:rsidRDefault="005154C9" w:rsidP="005154C9">
            <w:pPr>
              <w:jc w:val="center"/>
              <w:rPr>
                <w:b/>
                <w:szCs w:val="24"/>
              </w:rPr>
            </w:pPr>
            <w:r w:rsidRPr="00CB1701">
              <w:rPr>
                <w:b/>
                <w:szCs w:val="24"/>
              </w:rPr>
              <w:t>p-value</w:t>
            </w:r>
            <w:r>
              <w:rPr>
                <w:b/>
                <w:szCs w:val="24"/>
              </w:rPr>
              <w:t>*</w:t>
            </w:r>
          </w:p>
        </w:tc>
      </w:tr>
      <w:tr w:rsidR="005154C9" w:rsidRPr="002C3790" w14:paraId="36A30225" w14:textId="0EC3AF64" w:rsidTr="00B06F23">
        <w:trPr>
          <w:cantSplit/>
          <w:trHeight w:val="170"/>
          <w:jc w:val="center"/>
        </w:trPr>
        <w:tc>
          <w:tcPr>
            <w:tcW w:w="1228" w:type="pct"/>
            <w:tcBorders>
              <w:top w:val="single" w:sz="4" w:space="0" w:color="auto"/>
            </w:tcBorders>
          </w:tcPr>
          <w:p w14:paraId="06CB5264" w14:textId="77777777" w:rsidR="005154C9" w:rsidRPr="00741C26" w:rsidRDefault="005154C9" w:rsidP="005154C9">
            <w:pPr>
              <w:jc w:val="left"/>
              <w:rPr>
                <w:szCs w:val="24"/>
              </w:rPr>
            </w:pPr>
            <w:r w:rsidRPr="00741C26">
              <w:rPr>
                <w:szCs w:val="24"/>
              </w:rPr>
              <w:t>Age, mean [range]</w:t>
            </w:r>
          </w:p>
        </w:tc>
        <w:tc>
          <w:tcPr>
            <w:tcW w:w="755" w:type="pct"/>
            <w:tcBorders>
              <w:top w:val="single" w:sz="4" w:space="0" w:color="auto"/>
            </w:tcBorders>
          </w:tcPr>
          <w:p w14:paraId="412473F6" w14:textId="77777777" w:rsidR="005154C9" w:rsidRPr="00741C26" w:rsidRDefault="005154C9" w:rsidP="005154C9">
            <w:pPr>
              <w:jc w:val="center"/>
              <w:rPr>
                <w:szCs w:val="24"/>
              </w:rPr>
            </w:pPr>
            <w:r w:rsidRPr="00741C26">
              <w:rPr>
                <w:szCs w:val="24"/>
              </w:rPr>
              <w:t>81.3 [29-101]</w:t>
            </w:r>
          </w:p>
        </w:tc>
        <w:tc>
          <w:tcPr>
            <w:tcW w:w="755" w:type="pct"/>
            <w:tcBorders>
              <w:top w:val="single" w:sz="4" w:space="0" w:color="auto"/>
            </w:tcBorders>
          </w:tcPr>
          <w:p w14:paraId="6421C130" w14:textId="3BDBB046" w:rsidR="005154C9" w:rsidRPr="00741C26" w:rsidRDefault="005154C9" w:rsidP="005154C9">
            <w:pPr>
              <w:jc w:val="center"/>
              <w:rPr>
                <w:szCs w:val="24"/>
              </w:rPr>
            </w:pPr>
            <w:r w:rsidRPr="00CB1701">
              <w:rPr>
                <w:szCs w:val="24"/>
              </w:rPr>
              <w:t>73.1 [29-79]</w:t>
            </w:r>
          </w:p>
        </w:tc>
        <w:tc>
          <w:tcPr>
            <w:tcW w:w="755" w:type="pct"/>
            <w:tcBorders>
              <w:top w:val="single" w:sz="4" w:space="0" w:color="auto"/>
            </w:tcBorders>
          </w:tcPr>
          <w:p w14:paraId="3921C8B6" w14:textId="76063CC7" w:rsidR="005154C9" w:rsidRPr="00741C26" w:rsidRDefault="005154C9" w:rsidP="005154C9">
            <w:pPr>
              <w:jc w:val="center"/>
              <w:rPr>
                <w:szCs w:val="24"/>
              </w:rPr>
            </w:pPr>
            <w:r w:rsidRPr="00CB1701">
              <w:rPr>
                <w:szCs w:val="24"/>
              </w:rPr>
              <w:t>82.2 [80-84]</w:t>
            </w:r>
          </w:p>
        </w:tc>
        <w:tc>
          <w:tcPr>
            <w:tcW w:w="755" w:type="pct"/>
            <w:tcBorders>
              <w:top w:val="single" w:sz="4" w:space="0" w:color="auto"/>
            </w:tcBorders>
          </w:tcPr>
          <w:p w14:paraId="3CD9BD1E" w14:textId="685685D7" w:rsidR="005154C9" w:rsidRPr="00741C26" w:rsidRDefault="005154C9" w:rsidP="005154C9">
            <w:pPr>
              <w:jc w:val="center"/>
              <w:rPr>
                <w:szCs w:val="24"/>
              </w:rPr>
            </w:pPr>
            <w:r w:rsidRPr="00CB1701">
              <w:rPr>
                <w:szCs w:val="24"/>
              </w:rPr>
              <w:t>88.0 [85-101]</w:t>
            </w:r>
          </w:p>
        </w:tc>
        <w:tc>
          <w:tcPr>
            <w:tcW w:w="752" w:type="pct"/>
            <w:tcBorders>
              <w:top w:val="single" w:sz="4" w:space="0" w:color="auto"/>
            </w:tcBorders>
          </w:tcPr>
          <w:p w14:paraId="042C4AE6" w14:textId="5A598A81" w:rsidR="005154C9" w:rsidRPr="00741C26" w:rsidRDefault="005154C9" w:rsidP="005154C9">
            <w:pPr>
              <w:jc w:val="center"/>
              <w:rPr>
                <w:szCs w:val="24"/>
              </w:rPr>
            </w:pPr>
            <w:r w:rsidRPr="00CB1701">
              <w:rPr>
                <w:szCs w:val="24"/>
              </w:rPr>
              <w:t>&lt;0.001</w:t>
            </w:r>
          </w:p>
        </w:tc>
      </w:tr>
      <w:tr w:rsidR="005154C9" w:rsidRPr="002C3790" w14:paraId="1B0DC151" w14:textId="32421C8B" w:rsidTr="00B06F23">
        <w:trPr>
          <w:cantSplit/>
          <w:trHeight w:val="170"/>
          <w:jc w:val="center"/>
        </w:trPr>
        <w:tc>
          <w:tcPr>
            <w:tcW w:w="1228" w:type="pct"/>
          </w:tcPr>
          <w:p w14:paraId="26961CCF" w14:textId="77777777" w:rsidR="005154C9" w:rsidRPr="00741C26" w:rsidRDefault="005154C9" w:rsidP="005154C9">
            <w:pPr>
              <w:jc w:val="left"/>
              <w:rPr>
                <w:szCs w:val="24"/>
              </w:rPr>
            </w:pPr>
            <w:r w:rsidRPr="00741C26">
              <w:rPr>
                <w:szCs w:val="24"/>
              </w:rPr>
              <w:t>Females, n (%)</w:t>
            </w:r>
          </w:p>
        </w:tc>
        <w:tc>
          <w:tcPr>
            <w:tcW w:w="755" w:type="pct"/>
          </w:tcPr>
          <w:p w14:paraId="67DC0318" w14:textId="77777777" w:rsidR="005154C9" w:rsidRPr="00741C26" w:rsidRDefault="005154C9" w:rsidP="005154C9">
            <w:pPr>
              <w:jc w:val="center"/>
              <w:rPr>
                <w:szCs w:val="24"/>
              </w:rPr>
            </w:pPr>
            <w:r w:rsidRPr="00741C26">
              <w:rPr>
                <w:szCs w:val="24"/>
              </w:rPr>
              <w:t>2972 (46.3%)</w:t>
            </w:r>
          </w:p>
        </w:tc>
        <w:tc>
          <w:tcPr>
            <w:tcW w:w="755" w:type="pct"/>
          </w:tcPr>
          <w:p w14:paraId="747D77C6" w14:textId="38236B4D" w:rsidR="005154C9" w:rsidRPr="00741C26" w:rsidRDefault="005154C9" w:rsidP="005154C9">
            <w:pPr>
              <w:jc w:val="center"/>
              <w:rPr>
                <w:szCs w:val="24"/>
              </w:rPr>
            </w:pPr>
            <w:r w:rsidRPr="00CB1701">
              <w:rPr>
                <w:szCs w:val="24"/>
              </w:rPr>
              <w:t>867 (39.2%)</w:t>
            </w:r>
          </w:p>
        </w:tc>
        <w:tc>
          <w:tcPr>
            <w:tcW w:w="755" w:type="pct"/>
          </w:tcPr>
          <w:p w14:paraId="6FC0E85E" w14:textId="41D84D27" w:rsidR="005154C9" w:rsidRPr="00741C26" w:rsidRDefault="005154C9" w:rsidP="005154C9">
            <w:pPr>
              <w:jc w:val="center"/>
              <w:rPr>
                <w:szCs w:val="24"/>
              </w:rPr>
            </w:pPr>
            <w:r w:rsidRPr="00CB1701">
              <w:rPr>
                <w:szCs w:val="24"/>
              </w:rPr>
              <w:t>788 (44.9%)</w:t>
            </w:r>
          </w:p>
        </w:tc>
        <w:tc>
          <w:tcPr>
            <w:tcW w:w="755" w:type="pct"/>
          </w:tcPr>
          <w:p w14:paraId="0DF3421D" w14:textId="2214A564" w:rsidR="005154C9" w:rsidRPr="00741C26" w:rsidRDefault="005154C9" w:rsidP="005154C9">
            <w:pPr>
              <w:jc w:val="center"/>
              <w:rPr>
                <w:szCs w:val="24"/>
              </w:rPr>
            </w:pPr>
            <w:r w:rsidRPr="00CB1701">
              <w:rPr>
                <w:szCs w:val="24"/>
              </w:rPr>
              <w:t>1317 (53.7%)</w:t>
            </w:r>
          </w:p>
        </w:tc>
        <w:tc>
          <w:tcPr>
            <w:tcW w:w="752" w:type="pct"/>
          </w:tcPr>
          <w:p w14:paraId="2D4DC2CF" w14:textId="0D19A71A" w:rsidR="005154C9" w:rsidRPr="00741C26" w:rsidRDefault="005154C9" w:rsidP="005154C9">
            <w:pPr>
              <w:jc w:val="center"/>
              <w:rPr>
                <w:szCs w:val="24"/>
              </w:rPr>
            </w:pPr>
            <w:r w:rsidRPr="00CB1701">
              <w:rPr>
                <w:szCs w:val="24"/>
              </w:rPr>
              <w:t>&lt;0.001</w:t>
            </w:r>
          </w:p>
        </w:tc>
      </w:tr>
      <w:tr w:rsidR="005154C9" w:rsidRPr="002C3790" w14:paraId="5A34BBCB" w14:textId="1B374F86" w:rsidTr="00B06F23">
        <w:trPr>
          <w:cantSplit/>
          <w:trHeight w:val="170"/>
          <w:jc w:val="center"/>
        </w:trPr>
        <w:tc>
          <w:tcPr>
            <w:tcW w:w="1228" w:type="pct"/>
          </w:tcPr>
          <w:p w14:paraId="79BE0D60" w14:textId="77777777" w:rsidR="005154C9" w:rsidRPr="00741C26" w:rsidRDefault="005154C9" w:rsidP="005154C9">
            <w:pPr>
              <w:jc w:val="left"/>
              <w:rPr>
                <w:szCs w:val="24"/>
              </w:rPr>
            </w:pPr>
            <w:r w:rsidRPr="00741C26">
              <w:rPr>
                <w:szCs w:val="24"/>
              </w:rPr>
              <w:t>Diabetes</w:t>
            </w:r>
          </w:p>
        </w:tc>
        <w:tc>
          <w:tcPr>
            <w:tcW w:w="755" w:type="pct"/>
          </w:tcPr>
          <w:p w14:paraId="0B140A9F" w14:textId="77777777" w:rsidR="005154C9" w:rsidRPr="00741C26" w:rsidRDefault="005154C9" w:rsidP="005154C9">
            <w:pPr>
              <w:jc w:val="center"/>
              <w:rPr>
                <w:szCs w:val="24"/>
              </w:rPr>
            </w:pPr>
          </w:p>
        </w:tc>
        <w:tc>
          <w:tcPr>
            <w:tcW w:w="755" w:type="pct"/>
          </w:tcPr>
          <w:p w14:paraId="2B3F05BA" w14:textId="77777777" w:rsidR="005154C9" w:rsidRPr="00741C26" w:rsidRDefault="005154C9" w:rsidP="005154C9">
            <w:pPr>
              <w:jc w:val="center"/>
              <w:rPr>
                <w:szCs w:val="24"/>
              </w:rPr>
            </w:pPr>
          </w:p>
        </w:tc>
        <w:tc>
          <w:tcPr>
            <w:tcW w:w="755" w:type="pct"/>
          </w:tcPr>
          <w:p w14:paraId="36366B05" w14:textId="77777777" w:rsidR="005154C9" w:rsidRPr="00741C26" w:rsidRDefault="005154C9" w:rsidP="005154C9">
            <w:pPr>
              <w:jc w:val="center"/>
              <w:rPr>
                <w:szCs w:val="24"/>
              </w:rPr>
            </w:pPr>
          </w:p>
        </w:tc>
        <w:tc>
          <w:tcPr>
            <w:tcW w:w="755" w:type="pct"/>
          </w:tcPr>
          <w:p w14:paraId="3FA30B13" w14:textId="77777777" w:rsidR="005154C9" w:rsidRPr="00741C26" w:rsidRDefault="005154C9" w:rsidP="005154C9">
            <w:pPr>
              <w:jc w:val="center"/>
              <w:rPr>
                <w:szCs w:val="24"/>
              </w:rPr>
            </w:pPr>
          </w:p>
        </w:tc>
        <w:tc>
          <w:tcPr>
            <w:tcW w:w="752" w:type="pct"/>
          </w:tcPr>
          <w:p w14:paraId="33F296BB" w14:textId="1DBEBC50" w:rsidR="005154C9" w:rsidRPr="00741C26" w:rsidRDefault="00455BD0" w:rsidP="005154C9">
            <w:pPr>
              <w:jc w:val="center"/>
              <w:rPr>
                <w:szCs w:val="24"/>
              </w:rPr>
            </w:pPr>
            <w:r>
              <w:rPr>
                <w:szCs w:val="24"/>
              </w:rPr>
              <w:t>&lt;0.001</w:t>
            </w:r>
          </w:p>
        </w:tc>
      </w:tr>
      <w:tr w:rsidR="00FD4BD3" w:rsidRPr="002C3790" w14:paraId="34B8A8C8" w14:textId="77777777" w:rsidTr="00B06F23">
        <w:trPr>
          <w:cantSplit/>
          <w:trHeight w:val="170"/>
          <w:jc w:val="center"/>
        </w:trPr>
        <w:tc>
          <w:tcPr>
            <w:tcW w:w="1228" w:type="pct"/>
          </w:tcPr>
          <w:p w14:paraId="19B5F61B" w14:textId="7DB8D91E" w:rsidR="00FD4BD3" w:rsidRPr="00741C26" w:rsidRDefault="00FD4BD3" w:rsidP="005154C9">
            <w:pPr>
              <w:jc w:val="left"/>
              <w:rPr>
                <w:szCs w:val="24"/>
              </w:rPr>
            </w:pPr>
            <w:r>
              <w:rPr>
                <w:szCs w:val="24"/>
              </w:rPr>
              <w:t xml:space="preserve">     Non-diabetic, n (%)</w:t>
            </w:r>
          </w:p>
        </w:tc>
        <w:tc>
          <w:tcPr>
            <w:tcW w:w="755" w:type="pct"/>
          </w:tcPr>
          <w:p w14:paraId="74AF394E" w14:textId="2AA9227B" w:rsidR="00FD4BD3" w:rsidRPr="00741C26" w:rsidRDefault="00455BD0" w:rsidP="005154C9">
            <w:pPr>
              <w:jc w:val="center"/>
              <w:rPr>
                <w:szCs w:val="24"/>
              </w:rPr>
            </w:pPr>
            <w:r>
              <w:rPr>
                <w:szCs w:val="24"/>
              </w:rPr>
              <w:t>4908 (76.4%)</w:t>
            </w:r>
          </w:p>
        </w:tc>
        <w:tc>
          <w:tcPr>
            <w:tcW w:w="755" w:type="pct"/>
          </w:tcPr>
          <w:p w14:paraId="01365AD4" w14:textId="15B82A3A" w:rsidR="00FD4BD3" w:rsidRPr="00741C26" w:rsidRDefault="00455BD0" w:rsidP="005154C9">
            <w:pPr>
              <w:jc w:val="center"/>
              <w:rPr>
                <w:szCs w:val="24"/>
              </w:rPr>
            </w:pPr>
            <w:r>
              <w:rPr>
                <w:szCs w:val="24"/>
              </w:rPr>
              <w:t>1520 (68.7%)</w:t>
            </w:r>
          </w:p>
        </w:tc>
        <w:tc>
          <w:tcPr>
            <w:tcW w:w="755" w:type="pct"/>
          </w:tcPr>
          <w:p w14:paraId="1D47234D" w14:textId="61C62ACD" w:rsidR="00FD4BD3" w:rsidRPr="00741C26" w:rsidRDefault="00455BD0" w:rsidP="005154C9">
            <w:pPr>
              <w:jc w:val="center"/>
              <w:rPr>
                <w:szCs w:val="24"/>
              </w:rPr>
            </w:pPr>
            <w:r>
              <w:rPr>
                <w:szCs w:val="24"/>
              </w:rPr>
              <w:t>1323 (75.4%)</w:t>
            </w:r>
          </w:p>
        </w:tc>
        <w:tc>
          <w:tcPr>
            <w:tcW w:w="755" w:type="pct"/>
          </w:tcPr>
          <w:p w14:paraId="4D2201DC" w14:textId="7359F150" w:rsidR="00FD4BD3" w:rsidRPr="00741C26" w:rsidRDefault="00455BD0" w:rsidP="005154C9">
            <w:pPr>
              <w:jc w:val="center"/>
              <w:rPr>
                <w:szCs w:val="24"/>
              </w:rPr>
            </w:pPr>
            <w:r>
              <w:rPr>
                <w:szCs w:val="24"/>
              </w:rPr>
              <w:t>2065 (84.2%)</w:t>
            </w:r>
          </w:p>
        </w:tc>
        <w:tc>
          <w:tcPr>
            <w:tcW w:w="752" w:type="pct"/>
          </w:tcPr>
          <w:p w14:paraId="2CAE45CE" w14:textId="33944DB2" w:rsidR="00FD4BD3" w:rsidRPr="00741C26" w:rsidRDefault="00FD4BD3" w:rsidP="005154C9">
            <w:pPr>
              <w:jc w:val="center"/>
              <w:rPr>
                <w:szCs w:val="24"/>
              </w:rPr>
            </w:pPr>
          </w:p>
        </w:tc>
      </w:tr>
      <w:tr w:rsidR="005154C9" w:rsidRPr="002C3790" w14:paraId="28E7A806" w14:textId="7C8D4F9C" w:rsidTr="00B06F23">
        <w:trPr>
          <w:cantSplit/>
          <w:trHeight w:val="170"/>
          <w:jc w:val="center"/>
        </w:trPr>
        <w:tc>
          <w:tcPr>
            <w:tcW w:w="1228" w:type="pct"/>
          </w:tcPr>
          <w:p w14:paraId="34153C87" w14:textId="77777777" w:rsidR="005154C9" w:rsidRPr="00741C26" w:rsidRDefault="005154C9" w:rsidP="005154C9">
            <w:pPr>
              <w:jc w:val="left"/>
              <w:rPr>
                <w:szCs w:val="24"/>
              </w:rPr>
            </w:pPr>
            <w:r w:rsidRPr="00741C26">
              <w:rPr>
                <w:szCs w:val="24"/>
              </w:rPr>
              <w:t xml:space="preserve">     Dietary control, n (%)</w:t>
            </w:r>
          </w:p>
        </w:tc>
        <w:tc>
          <w:tcPr>
            <w:tcW w:w="755" w:type="pct"/>
          </w:tcPr>
          <w:p w14:paraId="2DBFE275" w14:textId="77777777" w:rsidR="005154C9" w:rsidRPr="00741C26" w:rsidRDefault="005154C9" w:rsidP="005154C9">
            <w:pPr>
              <w:jc w:val="center"/>
              <w:rPr>
                <w:szCs w:val="24"/>
              </w:rPr>
            </w:pPr>
            <w:r w:rsidRPr="00741C26">
              <w:rPr>
                <w:szCs w:val="24"/>
              </w:rPr>
              <w:t>282 (4.39%)</w:t>
            </w:r>
          </w:p>
        </w:tc>
        <w:tc>
          <w:tcPr>
            <w:tcW w:w="755" w:type="pct"/>
          </w:tcPr>
          <w:p w14:paraId="3802ECEA" w14:textId="2C2C45A5" w:rsidR="005154C9" w:rsidRPr="00741C26" w:rsidRDefault="005154C9" w:rsidP="005154C9">
            <w:pPr>
              <w:jc w:val="center"/>
              <w:rPr>
                <w:szCs w:val="24"/>
              </w:rPr>
            </w:pPr>
            <w:r w:rsidRPr="00CB1701">
              <w:rPr>
                <w:szCs w:val="24"/>
              </w:rPr>
              <w:t>105 (4.74%)</w:t>
            </w:r>
          </w:p>
        </w:tc>
        <w:tc>
          <w:tcPr>
            <w:tcW w:w="755" w:type="pct"/>
          </w:tcPr>
          <w:p w14:paraId="03A897AF" w14:textId="3978A36F" w:rsidR="005154C9" w:rsidRPr="00741C26" w:rsidRDefault="005154C9" w:rsidP="005154C9">
            <w:pPr>
              <w:jc w:val="center"/>
              <w:rPr>
                <w:szCs w:val="24"/>
              </w:rPr>
            </w:pPr>
            <w:r w:rsidRPr="00CB1701">
              <w:rPr>
                <w:szCs w:val="24"/>
              </w:rPr>
              <w:t>78 (4.45%)</w:t>
            </w:r>
          </w:p>
        </w:tc>
        <w:tc>
          <w:tcPr>
            <w:tcW w:w="755" w:type="pct"/>
          </w:tcPr>
          <w:p w14:paraId="5079CB8A" w14:textId="6422A0A7" w:rsidR="005154C9" w:rsidRPr="00741C26" w:rsidRDefault="005154C9" w:rsidP="005154C9">
            <w:pPr>
              <w:jc w:val="center"/>
              <w:rPr>
                <w:szCs w:val="24"/>
              </w:rPr>
            </w:pPr>
            <w:r w:rsidRPr="00CB1701">
              <w:rPr>
                <w:szCs w:val="24"/>
              </w:rPr>
              <w:t>99 (4.04%)</w:t>
            </w:r>
          </w:p>
        </w:tc>
        <w:tc>
          <w:tcPr>
            <w:tcW w:w="752" w:type="pct"/>
          </w:tcPr>
          <w:p w14:paraId="5433FF0B" w14:textId="0163810B" w:rsidR="005154C9" w:rsidRPr="00741C26" w:rsidRDefault="005154C9" w:rsidP="005154C9">
            <w:pPr>
              <w:jc w:val="center"/>
              <w:rPr>
                <w:szCs w:val="24"/>
              </w:rPr>
            </w:pPr>
          </w:p>
        </w:tc>
      </w:tr>
      <w:tr w:rsidR="005154C9" w:rsidRPr="002C3790" w14:paraId="106561A3" w14:textId="69CC2E12" w:rsidTr="00B06F23">
        <w:trPr>
          <w:cantSplit/>
          <w:trHeight w:val="170"/>
          <w:jc w:val="center"/>
        </w:trPr>
        <w:tc>
          <w:tcPr>
            <w:tcW w:w="1228" w:type="pct"/>
          </w:tcPr>
          <w:p w14:paraId="5A25C445" w14:textId="77777777" w:rsidR="005154C9" w:rsidRPr="00741C26" w:rsidRDefault="005154C9" w:rsidP="005154C9">
            <w:pPr>
              <w:jc w:val="left"/>
              <w:rPr>
                <w:szCs w:val="24"/>
              </w:rPr>
            </w:pPr>
            <w:r w:rsidRPr="00741C26">
              <w:rPr>
                <w:szCs w:val="24"/>
              </w:rPr>
              <w:t xml:space="preserve">     Oral medicine, n (%)</w:t>
            </w:r>
          </w:p>
        </w:tc>
        <w:tc>
          <w:tcPr>
            <w:tcW w:w="755" w:type="pct"/>
          </w:tcPr>
          <w:p w14:paraId="75E77FF4" w14:textId="77777777" w:rsidR="005154C9" w:rsidRPr="00741C26" w:rsidRDefault="005154C9" w:rsidP="005154C9">
            <w:pPr>
              <w:jc w:val="center"/>
              <w:rPr>
                <w:szCs w:val="24"/>
              </w:rPr>
            </w:pPr>
            <w:r w:rsidRPr="00741C26">
              <w:rPr>
                <w:szCs w:val="24"/>
              </w:rPr>
              <w:t>844 (13.1%)</w:t>
            </w:r>
          </w:p>
        </w:tc>
        <w:tc>
          <w:tcPr>
            <w:tcW w:w="755" w:type="pct"/>
          </w:tcPr>
          <w:p w14:paraId="4FC17A07" w14:textId="2BBF0FDC" w:rsidR="005154C9" w:rsidRPr="00741C26" w:rsidRDefault="005154C9" w:rsidP="005154C9">
            <w:pPr>
              <w:jc w:val="center"/>
              <w:rPr>
                <w:szCs w:val="24"/>
              </w:rPr>
            </w:pPr>
            <w:r w:rsidRPr="00CB1701">
              <w:rPr>
                <w:szCs w:val="24"/>
              </w:rPr>
              <w:t>379 (17.1%)</w:t>
            </w:r>
          </w:p>
        </w:tc>
        <w:tc>
          <w:tcPr>
            <w:tcW w:w="755" w:type="pct"/>
          </w:tcPr>
          <w:p w14:paraId="416AF32D" w14:textId="5BD02956" w:rsidR="005154C9" w:rsidRPr="00741C26" w:rsidRDefault="005154C9" w:rsidP="005154C9">
            <w:pPr>
              <w:jc w:val="center"/>
              <w:rPr>
                <w:szCs w:val="24"/>
              </w:rPr>
            </w:pPr>
            <w:r w:rsidRPr="00CB1701">
              <w:rPr>
                <w:szCs w:val="24"/>
              </w:rPr>
              <w:t>250 (14.3%)</w:t>
            </w:r>
          </w:p>
        </w:tc>
        <w:tc>
          <w:tcPr>
            <w:tcW w:w="755" w:type="pct"/>
          </w:tcPr>
          <w:p w14:paraId="7F48975E" w14:textId="5BCEADD8" w:rsidR="005154C9" w:rsidRPr="00741C26" w:rsidRDefault="005154C9" w:rsidP="005154C9">
            <w:pPr>
              <w:jc w:val="center"/>
              <w:rPr>
                <w:szCs w:val="24"/>
              </w:rPr>
            </w:pPr>
            <w:r w:rsidRPr="00CB1701">
              <w:rPr>
                <w:szCs w:val="24"/>
              </w:rPr>
              <w:t>215 (8.76%)</w:t>
            </w:r>
          </w:p>
        </w:tc>
        <w:tc>
          <w:tcPr>
            <w:tcW w:w="752" w:type="pct"/>
          </w:tcPr>
          <w:p w14:paraId="59106A04" w14:textId="361287CF" w:rsidR="005154C9" w:rsidRPr="00741C26" w:rsidRDefault="005154C9" w:rsidP="005154C9">
            <w:pPr>
              <w:jc w:val="center"/>
              <w:rPr>
                <w:szCs w:val="24"/>
              </w:rPr>
            </w:pPr>
          </w:p>
        </w:tc>
      </w:tr>
      <w:tr w:rsidR="005154C9" w:rsidRPr="002C3790" w14:paraId="14D43208" w14:textId="65BFF07F" w:rsidTr="00B06F23">
        <w:trPr>
          <w:cantSplit/>
          <w:trHeight w:val="170"/>
          <w:jc w:val="center"/>
        </w:trPr>
        <w:tc>
          <w:tcPr>
            <w:tcW w:w="1228" w:type="pct"/>
          </w:tcPr>
          <w:p w14:paraId="1C5F6D34" w14:textId="77777777" w:rsidR="005154C9" w:rsidRPr="00741C26" w:rsidRDefault="005154C9" w:rsidP="005154C9">
            <w:pPr>
              <w:jc w:val="left"/>
              <w:rPr>
                <w:szCs w:val="24"/>
              </w:rPr>
            </w:pPr>
            <w:r w:rsidRPr="00741C26">
              <w:rPr>
                <w:szCs w:val="24"/>
              </w:rPr>
              <w:t xml:space="preserve">     Insulin, n (%)</w:t>
            </w:r>
          </w:p>
        </w:tc>
        <w:tc>
          <w:tcPr>
            <w:tcW w:w="755" w:type="pct"/>
          </w:tcPr>
          <w:p w14:paraId="13ED2635" w14:textId="77777777" w:rsidR="005154C9" w:rsidRPr="00741C26" w:rsidRDefault="005154C9" w:rsidP="005154C9">
            <w:pPr>
              <w:jc w:val="center"/>
              <w:rPr>
                <w:szCs w:val="24"/>
              </w:rPr>
            </w:pPr>
            <w:r w:rsidRPr="00741C26">
              <w:rPr>
                <w:szCs w:val="24"/>
              </w:rPr>
              <w:t>351 (5.47%)</w:t>
            </w:r>
          </w:p>
        </w:tc>
        <w:tc>
          <w:tcPr>
            <w:tcW w:w="755" w:type="pct"/>
          </w:tcPr>
          <w:p w14:paraId="7CED6642" w14:textId="70954132" w:rsidR="005154C9" w:rsidRPr="00741C26" w:rsidRDefault="005154C9" w:rsidP="005154C9">
            <w:pPr>
              <w:jc w:val="center"/>
              <w:rPr>
                <w:szCs w:val="24"/>
              </w:rPr>
            </w:pPr>
            <w:r w:rsidRPr="00CB1701">
              <w:rPr>
                <w:szCs w:val="24"/>
              </w:rPr>
              <w:t>198 (8.95%)</w:t>
            </w:r>
          </w:p>
        </w:tc>
        <w:tc>
          <w:tcPr>
            <w:tcW w:w="755" w:type="pct"/>
          </w:tcPr>
          <w:p w14:paraId="79614343" w14:textId="28F2FDD9" w:rsidR="005154C9" w:rsidRPr="00741C26" w:rsidRDefault="005154C9" w:rsidP="005154C9">
            <w:pPr>
              <w:jc w:val="center"/>
              <w:rPr>
                <w:szCs w:val="24"/>
              </w:rPr>
            </w:pPr>
            <w:r w:rsidRPr="00CB1701">
              <w:rPr>
                <w:szCs w:val="24"/>
              </w:rPr>
              <w:t>91 (5.19%)</w:t>
            </w:r>
          </w:p>
        </w:tc>
        <w:tc>
          <w:tcPr>
            <w:tcW w:w="755" w:type="pct"/>
          </w:tcPr>
          <w:p w14:paraId="29BA5AED" w14:textId="0D0129DA" w:rsidR="005154C9" w:rsidRPr="00741C26" w:rsidRDefault="005154C9" w:rsidP="005154C9">
            <w:pPr>
              <w:jc w:val="center"/>
              <w:rPr>
                <w:szCs w:val="24"/>
              </w:rPr>
            </w:pPr>
            <w:r w:rsidRPr="00CB1701">
              <w:rPr>
                <w:szCs w:val="24"/>
              </w:rPr>
              <w:t>62 (2.53%)</w:t>
            </w:r>
          </w:p>
        </w:tc>
        <w:tc>
          <w:tcPr>
            <w:tcW w:w="752" w:type="pct"/>
          </w:tcPr>
          <w:p w14:paraId="0F7A1833" w14:textId="0059B6A9" w:rsidR="005154C9" w:rsidRPr="00741C26" w:rsidRDefault="005154C9" w:rsidP="005154C9">
            <w:pPr>
              <w:jc w:val="center"/>
              <w:rPr>
                <w:szCs w:val="24"/>
              </w:rPr>
            </w:pPr>
          </w:p>
        </w:tc>
      </w:tr>
      <w:tr w:rsidR="005154C9" w:rsidRPr="002C3790" w14:paraId="7ED94F01" w14:textId="59FF0AC2" w:rsidTr="00B06F23">
        <w:trPr>
          <w:cantSplit/>
          <w:trHeight w:val="170"/>
          <w:jc w:val="center"/>
        </w:trPr>
        <w:tc>
          <w:tcPr>
            <w:tcW w:w="1228" w:type="pct"/>
          </w:tcPr>
          <w:p w14:paraId="2B902896" w14:textId="77777777" w:rsidR="005154C9" w:rsidRPr="00741C26" w:rsidRDefault="005154C9" w:rsidP="005154C9">
            <w:pPr>
              <w:jc w:val="left"/>
              <w:rPr>
                <w:szCs w:val="24"/>
              </w:rPr>
            </w:pPr>
            <w:r w:rsidRPr="00741C26">
              <w:rPr>
                <w:szCs w:val="24"/>
              </w:rPr>
              <w:t>Current or ex-smoker, n (%)</w:t>
            </w:r>
          </w:p>
        </w:tc>
        <w:tc>
          <w:tcPr>
            <w:tcW w:w="755" w:type="pct"/>
          </w:tcPr>
          <w:p w14:paraId="5471C780" w14:textId="77777777" w:rsidR="005154C9" w:rsidRPr="00741C26" w:rsidRDefault="005154C9" w:rsidP="005154C9">
            <w:pPr>
              <w:jc w:val="center"/>
              <w:rPr>
                <w:szCs w:val="24"/>
              </w:rPr>
            </w:pPr>
            <w:r w:rsidRPr="00741C26">
              <w:rPr>
                <w:szCs w:val="24"/>
              </w:rPr>
              <w:t>3313 (51.6%)</w:t>
            </w:r>
          </w:p>
        </w:tc>
        <w:tc>
          <w:tcPr>
            <w:tcW w:w="755" w:type="pct"/>
          </w:tcPr>
          <w:p w14:paraId="4E11F352" w14:textId="619B2E6F" w:rsidR="005154C9" w:rsidRPr="00741C26" w:rsidRDefault="005154C9" w:rsidP="005154C9">
            <w:pPr>
              <w:jc w:val="center"/>
              <w:rPr>
                <w:szCs w:val="24"/>
              </w:rPr>
            </w:pPr>
            <w:r w:rsidRPr="00CB1701">
              <w:rPr>
                <w:szCs w:val="24"/>
              </w:rPr>
              <w:t>1306 (59.0%)</w:t>
            </w:r>
          </w:p>
        </w:tc>
        <w:tc>
          <w:tcPr>
            <w:tcW w:w="755" w:type="pct"/>
          </w:tcPr>
          <w:p w14:paraId="74A8FC12" w14:textId="19515143" w:rsidR="005154C9" w:rsidRPr="00741C26" w:rsidRDefault="005154C9" w:rsidP="005154C9">
            <w:pPr>
              <w:jc w:val="center"/>
              <w:rPr>
                <w:szCs w:val="24"/>
              </w:rPr>
            </w:pPr>
            <w:r w:rsidRPr="00CB1701">
              <w:rPr>
                <w:szCs w:val="24"/>
              </w:rPr>
              <w:t>923 (52.6%)</w:t>
            </w:r>
          </w:p>
        </w:tc>
        <w:tc>
          <w:tcPr>
            <w:tcW w:w="755" w:type="pct"/>
          </w:tcPr>
          <w:p w14:paraId="25D4ED10" w14:textId="5FA73CB9" w:rsidR="005154C9" w:rsidRPr="00741C26" w:rsidRDefault="005154C9" w:rsidP="005154C9">
            <w:pPr>
              <w:jc w:val="center"/>
              <w:rPr>
                <w:szCs w:val="24"/>
              </w:rPr>
            </w:pPr>
            <w:r w:rsidRPr="00CB1701">
              <w:rPr>
                <w:szCs w:val="24"/>
              </w:rPr>
              <w:t>1084 (44.2%)</w:t>
            </w:r>
          </w:p>
        </w:tc>
        <w:tc>
          <w:tcPr>
            <w:tcW w:w="752" w:type="pct"/>
          </w:tcPr>
          <w:p w14:paraId="284C9117" w14:textId="2DD166B1" w:rsidR="005154C9" w:rsidRPr="00741C26" w:rsidRDefault="005154C9" w:rsidP="005154C9">
            <w:pPr>
              <w:jc w:val="center"/>
              <w:rPr>
                <w:szCs w:val="24"/>
              </w:rPr>
            </w:pPr>
            <w:r w:rsidRPr="00CB1701">
              <w:rPr>
                <w:szCs w:val="24"/>
              </w:rPr>
              <w:t>&lt;0.001</w:t>
            </w:r>
          </w:p>
        </w:tc>
      </w:tr>
      <w:tr w:rsidR="005154C9" w:rsidRPr="002C3790" w14:paraId="5626A542" w14:textId="1C66E651" w:rsidTr="00B06F23">
        <w:trPr>
          <w:cantSplit/>
          <w:trHeight w:val="170"/>
          <w:jc w:val="center"/>
        </w:trPr>
        <w:tc>
          <w:tcPr>
            <w:tcW w:w="1228" w:type="pct"/>
          </w:tcPr>
          <w:p w14:paraId="71B8D8E3" w14:textId="77777777" w:rsidR="005154C9" w:rsidRPr="00741C26" w:rsidRDefault="005154C9" w:rsidP="005154C9">
            <w:pPr>
              <w:jc w:val="left"/>
              <w:rPr>
                <w:szCs w:val="24"/>
              </w:rPr>
            </w:pPr>
            <w:r w:rsidRPr="00741C26">
              <w:rPr>
                <w:szCs w:val="24"/>
              </w:rPr>
              <w:t xml:space="preserve">Creatinine, </w:t>
            </w:r>
            <w:r w:rsidRPr="00741C26">
              <w:rPr>
                <w:i/>
                <w:szCs w:val="24"/>
              </w:rPr>
              <w:t>µ</w:t>
            </w:r>
            <w:r w:rsidRPr="00741C26">
              <w:rPr>
                <w:szCs w:val="24"/>
              </w:rPr>
              <w:t>mol/L, mean [range]</w:t>
            </w:r>
          </w:p>
        </w:tc>
        <w:tc>
          <w:tcPr>
            <w:tcW w:w="755" w:type="pct"/>
          </w:tcPr>
          <w:p w14:paraId="5B6582A9" w14:textId="77777777" w:rsidR="005154C9" w:rsidRPr="00741C26" w:rsidRDefault="005154C9" w:rsidP="005154C9">
            <w:pPr>
              <w:jc w:val="center"/>
              <w:rPr>
                <w:szCs w:val="24"/>
              </w:rPr>
            </w:pPr>
            <w:r w:rsidRPr="00741C26">
              <w:rPr>
                <w:szCs w:val="24"/>
              </w:rPr>
              <w:t>114.3 [29.0-1044.0]</w:t>
            </w:r>
          </w:p>
        </w:tc>
        <w:tc>
          <w:tcPr>
            <w:tcW w:w="755" w:type="pct"/>
          </w:tcPr>
          <w:p w14:paraId="08C38AFB" w14:textId="555D53D7" w:rsidR="005154C9" w:rsidRPr="00741C26" w:rsidRDefault="005154C9" w:rsidP="005154C9">
            <w:pPr>
              <w:jc w:val="center"/>
              <w:rPr>
                <w:szCs w:val="24"/>
              </w:rPr>
            </w:pPr>
            <w:r w:rsidRPr="00CB1701">
              <w:rPr>
                <w:szCs w:val="24"/>
              </w:rPr>
              <w:t>118.8 [39-1044]</w:t>
            </w:r>
          </w:p>
        </w:tc>
        <w:tc>
          <w:tcPr>
            <w:tcW w:w="755" w:type="pct"/>
          </w:tcPr>
          <w:p w14:paraId="21D4FE6D" w14:textId="78663A24" w:rsidR="005154C9" w:rsidRPr="00741C26" w:rsidRDefault="005154C9" w:rsidP="005154C9">
            <w:pPr>
              <w:jc w:val="center"/>
              <w:rPr>
                <w:szCs w:val="24"/>
              </w:rPr>
            </w:pPr>
            <w:r w:rsidRPr="00CB1701">
              <w:rPr>
                <w:szCs w:val="24"/>
              </w:rPr>
              <w:t>115.4 [38-681]</w:t>
            </w:r>
          </w:p>
        </w:tc>
        <w:tc>
          <w:tcPr>
            <w:tcW w:w="755" w:type="pct"/>
          </w:tcPr>
          <w:p w14:paraId="69094030" w14:textId="04D16B85" w:rsidR="005154C9" w:rsidRPr="00741C26" w:rsidRDefault="005154C9" w:rsidP="005154C9">
            <w:pPr>
              <w:jc w:val="center"/>
              <w:rPr>
                <w:szCs w:val="24"/>
              </w:rPr>
            </w:pPr>
            <w:r w:rsidRPr="00CB1701">
              <w:rPr>
                <w:szCs w:val="24"/>
              </w:rPr>
              <w:t>109.4 [29-554]</w:t>
            </w:r>
          </w:p>
        </w:tc>
        <w:tc>
          <w:tcPr>
            <w:tcW w:w="752" w:type="pct"/>
          </w:tcPr>
          <w:p w14:paraId="329E656D" w14:textId="71168B48" w:rsidR="005154C9" w:rsidRPr="00741C26" w:rsidRDefault="005154C9" w:rsidP="005154C9">
            <w:pPr>
              <w:jc w:val="center"/>
              <w:rPr>
                <w:szCs w:val="24"/>
              </w:rPr>
            </w:pPr>
            <w:r w:rsidRPr="00CB1701">
              <w:rPr>
                <w:szCs w:val="24"/>
              </w:rPr>
              <w:t>&lt;0.001</w:t>
            </w:r>
          </w:p>
        </w:tc>
      </w:tr>
      <w:tr w:rsidR="005154C9" w:rsidRPr="002C3790" w14:paraId="55C07435" w14:textId="01A5E2B0" w:rsidTr="00B06F23">
        <w:trPr>
          <w:cantSplit/>
          <w:trHeight w:val="170"/>
          <w:jc w:val="center"/>
        </w:trPr>
        <w:tc>
          <w:tcPr>
            <w:tcW w:w="1228" w:type="pct"/>
          </w:tcPr>
          <w:p w14:paraId="239EBD0E" w14:textId="545DB390" w:rsidR="005154C9" w:rsidRPr="00741C26" w:rsidRDefault="005154C9" w:rsidP="005154C9">
            <w:pPr>
              <w:jc w:val="left"/>
              <w:rPr>
                <w:szCs w:val="24"/>
              </w:rPr>
            </w:pPr>
            <w:r w:rsidRPr="00741C26">
              <w:rPr>
                <w:szCs w:val="24"/>
              </w:rPr>
              <w:t>Renal Failure</w:t>
            </w:r>
            <w:r>
              <w:t xml:space="preserve"> </w:t>
            </w:r>
            <w:r w:rsidRPr="005154C9">
              <w:rPr>
                <w:szCs w:val="24"/>
              </w:rPr>
              <w:t>†</w:t>
            </w:r>
            <w:r w:rsidRPr="00741C26">
              <w:rPr>
                <w:szCs w:val="24"/>
              </w:rPr>
              <w:t>, n (%)</w:t>
            </w:r>
          </w:p>
        </w:tc>
        <w:tc>
          <w:tcPr>
            <w:tcW w:w="755" w:type="pct"/>
          </w:tcPr>
          <w:p w14:paraId="1BC78107" w14:textId="77777777" w:rsidR="005154C9" w:rsidRPr="00741C26" w:rsidRDefault="005154C9" w:rsidP="005154C9">
            <w:pPr>
              <w:jc w:val="center"/>
              <w:rPr>
                <w:szCs w:val="24"/>
              </w:rPr>
            </w:pPr>
            <w:r w:rsidRPr="00741C26">
              <w:rPr>
                <w:szCs w:val="24"/>
              </w:rPr>
              <w:t>390 (6.07%)</w:t>
            </w:r>
          </w:p>
        </w:tc>
        <w:tc>
          <w:tcPr>
            <w:tcW w:w="755" w:type="pct"/>
          </w:tcPr>
          <w:p w14:paraId="2ACA5725" w14:textId="08EA2B51" w:rsidR="005154C9" w:rsidRPr="00741C26" w:rsidRDefault="005154C9" w:rsidP="005154C9">
            <w:pPr>
              <w:jc w:val="center"/>
              <w:rPr>
                <w:szCs w:val="24"/>
              </w:rPr>
            </w:pPr>
            <w:r w:rsidRPr="00CB1701">
              <w:rPr>
                <w:szCs w:val="24"/>
              </w:rPr>
              <w:t>169 (7.64%)</w:t>
            </w:r>
          </w:p>
        </w:tc>
        <w:tc>
          <w:tcPr>
            <w:tcW w:w="755" w:type="pct"/>
          </w:tcPr>
          <w:p w14:paraId="1953D3CE" w14:textId="1A8C741B" w:rsidR="005154C9" w:rsidRPr="00741C26" w:rsidRDefault="005154C9" w:rsidP="005154C9">
            <w:pPr>
              <w:jc w:val="center"/>
              <w:rPr>
                <w:szCs w:val="24"/>
              </w:rPr>
            </w:pPr>
            <w:r w:rsidRPr="00CB1701">
              <w:rPr>
                <w:szCs w:val="24"/>
              </w:rPr>
              <w:t>118 (6.73%)</w:t>
            </w:r>
          </w:p>
        </w:tc>
        <w:tc>
          <w:tcPr>
            <w:tcW w:w="755" w:type="pct"/>
          </w:tcPr>
          <w:p w14:paraId="7BBD83D6" w14:textId="194EF3B2" w:rsidR="005154C9" w:rsidRPr="00741C26" w:rsidRDefault="005154C9" w:rsidP="005154C9">
            <w:pPr>
              <w:jc w:val="center"/>
              <w:rPr>
                <w:szCs w:val="24"/>
              </w:rPr>
            </w:pPr>
            <w:r w:rsidRPr="00CB1701">
              <w:rPr>
                <w:szCs w:val="24"/>
              </w:rPr>
              <w:t>103 (4.20%)</w:t>
            </w:r>
          </w:p>
        </w:tc>
        <w:tc>
          <w:tcPr>
            <w:tcW w:w="752" w:type="pct"/>
          </w:tcPr>
          <w:p w14:paraId="53F6367B" w14:textId="04E7BCDF" w:rsidR="005154C9" w:rsidRPr="00741C26" w:rsidRDefault="005154C9" w:rsidP="005154C9">
            <w:pPr>
              <w:jc w:val="center"/>
              <w:rPr>
                <w:szCs w:val="24"/>
              </w:rPr>
            </w:pPr>
            <w:r w:rsidRPr="00CB1701">
              <w:rPr>
                <w:szCs w:val="24"/>
              </w:rPr>
              <w:t>&lt;0.001</w:t>
            </w:r>
          </w:p>
        </w:tc>
      </w:tr>
      <w:tr w:rsidR="005154C9" w:rsidRPr="002C3790" w14:paraId="55095B04" w14:textId="2794DD89" w:rsidTr="00B06F23">
        <w:trPr>
          <w:cantSplit/>
          <w:trHeight w:val="170"/>
          <w:jc w:val="center"/>
        </w:trPr>
        <w:tc>
          <w:tcPr>
            <w:tcW w:w="1228" w:type="pct"/>
          </w:tcPr>
          <w:p w14:paraId="5336F66F" w14:textId="77777777" w:rsidR="005154C9" w:rsidRPr="00741C26" w:rsidRDefault="005154C9" w:rsidP="005154C9">
            <w:pPr>
              <w:jc w:val="left"/>
              <w:rPr>
                <w:szCs w:val="24"/>
              </w:rPr>
            </w:pPr>
            <w:r w:rsidRPr="00741C26">
              <w:rPr>
                <w:szCs w:val="24"/>
              </w:rPr>
              <w:t>MI</w:t>
            </w:r>
          </w:p>
        </w:tc>
        <w:tc>
          <w:tcPr>
            <w:tcW w:w="755" w:type="pct"/>
          </w:tcPr>
          <w:p w14:paraId="7E98F0B7" w14:textId="77777777" w:rsidR="005154C9" w:rsidRPr="00741C26" w:rsidRDefault="005154C9" w:rsidP="005154C9">
            <w:pPr>
              <w:jc w:val="center"/>
              <w:rPr>
                <w:szCs w:val="24"/>
              </w:rPr>
            </w:pPr>
          </w:p>
        </w:tc>
        <w:tc>
          <w:tcPr>
            <w:tcW w:w="755" w:type="pct"/>
          </w:tcPr>
          <w:p w14:paraId="0AC7766B" w14:textId="77777777" w:rsidR="005154C9" w:rsidRPr="00741C26" w:rsidRDefault="005154C9" w:rsidP="005154C9">
            <w:pPr>
              <w:jc w:val="center"/>
              <w:rPr>
                <w:szCs w:val="24"/>
              </w:rPr>
            </w:pPr>
          </w:p>
        </w:tc>
        <w:tc>
          <w:tcPr>
            <w:tcW w:w="755" w:type="pct"/>
          </w:tcPr>
          <w:p w14:paraId="25DCE778" w14:textId="77777777" w:rsidR="005154C9" w:rsidRPr="00741C26" w:rsidRDefault="005154C9" w:rsidP="005154C9">
            <w:pPr>
              <w:jc w:val="center"/>
              <w:rPr>
                <w:szCs w:val="24"/>
              </w:rPr>
            </w:pPr>
          </w:p>
        </w:tc>
        <w:tc>
          <w:tcPr>
            <w:tcW w:w="755" w:type="pct"/>
          </w:tcPr>
          <w:p w14:paraId="7748F84D" w14:textId="77777777" w:rsidR="005154C9" w:rsidRPr="00741C26" w:rsidRDefault="005154C9" w:rsidP="005154C9">
            <w:pPr>
              <w:jc w:val="center"/>
              <w:rPr>
                <w:szCs w:val="24"/>
              </w:rPr>
            </w:pPr>
          </w:p>
        </w:tc>
        <w:tc>
          <w:tcPr>
            <w:tcW w:w="752" w:type="pct"/>
          </w:tcPr>
          <w:p w14:paraId="15038F56" w14:textId="77777777" w:rsidR="005154C9" w:rsidRPr="00741C26" w:rsidRDefault="005154C9" w:rsidP="005154C9">
            <w:pPr>
              <w:jc w:val="center"/>
              <w:rPr>
                <w:szCs w:val="24"/>
              </w:rPr>
            </w:pPr>
          </w:p>
        </w:tc>
      </w:tr>
      <w:tr w:rsidR="005154C9" w:rsidRPr="002C3790" w14:paraId="47DB3C35" w14:textId="449EA36B" w:rsidTr="00B06F23">
        <w:trPr>
          <w:cantSplit/>
          <w:trHeight w:val="170"/>
          <w:jc w:val="center"/>
        </w:trPr>
        <w:tc>
          <w:tcPr>
            <w:tcW w:w="1228" w:type="pct"/>
          </w:tcPr>
          <w:p w14:paraId="62F57B52" w14:textId="77777777" w:rsidR="005154C9" w:rsidRPr="00741C26" w:rsidRDefault="005154C9" w:rsidP="005154C9">
            <w:pPr>
              <w:jc w:val="left"/>
              <w:rPr>
                <w:szCs w:val="24"/>
              </w:rPr>
            </w:pPr>
            <w:r w:rsidRPr="00741C26">
              <w:rPr>
                <w:szCs w:val="24"/>
              </w:rPr>
              <w:t xml:space="preserve">     within 90 days of TAVI, n (%)</w:t>
            </w:r>
          </w:p>
        </w:tc>
        <w:tc>
          <w:tcPr>
            <w:tcW w:w="755" w:type="pct"/>
          </w:tcPr>
          <w:p w14:paraId="7E88F4F1" w14:textId="77777777" w:rsidR="005154C9" w:rsidRPr="00741C26" w:rsidRDefault="005154C9" w:rsidP="005154C9">
            <w:pPr>
              <w:jc w:val="center"/>
              <w:rPr>
                <w:szCs w:val="24"/>
              </w:rPr>
            </w:pPr>
            <w:r w:rsidRPr="00741C26">
              <w:rPr>
                <w:szCs w:val="24"/>
              </w:rPr>
              <w:t>145 (2.26%)</w:t>
            </w:r>
          </w:p>
        </w:tc>
        <w:tc>
          <w:tcPr>
            <w:tcW w:w="755" w:type="pct"/>
          </w:tcPr>
          <w:p w14:paraId="79299126" w14:textId="49457C3F" w:rsidR="005154C9" w:rsidRPr="00741C26" w:rsidRDefault="005154C9" w:rsidP="005154C9">
            <w:pPr>
              <w:jc w:val="center"/>
              <w:rPr>
                <w:szCs w:val="24"/>
              </w:rPr>
            </w:pPr>
            <w:r w:rsidRPr="00CB1701">
              <w:rPr>
                <w:szCs w:val="24"/>
              </w:rPr>
              <w:t>51 (2.30%)</w:t>
            </w:r>
          </w:p>
        </w:tc>
        <w:tc>
          <w:tcPr>
            <w:tcW w:w="755" w:type="pct"/>
          </w:tcPr>
          <w:p w14:paraId="317584CF" w14:textId="09BC506F" w:rsidR="005154C9" w:rsidRPr="00741C26" w:rsidRDefault="005154C9" w:rsidP="005154C9">
            <w:pPr>
              <w:jc w:val="center"/>
              <w:rPr>
                <w:szCs w:val="24"/>
              </w:rPr>
            </w:pPr>
            <w:r w:rsidRPr="00CB1701">
              <w:rPr>
                <w:szCs w:val="24"/>
              </w:rPr>
              <w:t>39 (2.22%)</w:t>
            </w:r>
          </w:p>
        </w:tc>
        <w:tc>
          <w:tcPr>
            <w:tcW w:w="755" w:type="pct"/>
          </w:tcPr>
          <w:p w14:paraId="22D47873" w14:textId="18667A1C" w:rsidR="005154C9" w:rsidRPr="00741C26" w:rsidRDefault="005154C9" w:rsidP="005154C9">
            <w:pPr>
              <w:jc w:val="center"/>
              <w:rPr>
                <w:szCs w:val="24"/>
              </w:rPr>
            </w:pPr>
            <w:r w:rsidRPr="00CB1701">
              <w:rPr>
                <w:szCs w:val="24"/>
              </w:rPr>
              <w:t>55 (2.24%)</w:t>
            </w:r>
          </w:p>
        </w:tc>
        <w:tc>
          <w:tcPr>
            <w:tcW w:w="752" w:type="pct"/>
          </w:tcPr>
          <w:p w14:paraId="14F01D29" w14:textId="2E673819" w:rsidR="005154C9" w:rsidRPr="00741C26" w:rsidRDefault="005154C9" w:rsidP="005154C9">
            <w:pPr>
              <w:jc w:val="center"/>
              <w:rPr>
                <w:szCs w:val="24"/>
              </w:rPr>
            </w:pPr>
            <w:r w:rsidRPr="00CB1701">
              <w:rPr>
                <w:szCs w:val="24"/>
              </w:rPr>
              <w:t>0.984</w:t>
            </w:r>
          </w:p>
        </w:tc>
      </w:tr>
      <w:tr w:rsidR="005154C9" w:rsidRPr="002C3790" w14:paraId="1F1730B6" w14:textId="5A9B66D7" w:rsidTr="00B06F23">
        <w:trPr>
          <w:cantSplit/>
          <w:trHeight w:val="170"/>
          <w:jc w:val="center"/>
        </w:trPr>
        <w:tc>
          <w:tcPr>
            <w:tcW w:w="1228" w:type="pct"/>
          </w:tcPr>
          <w:p w14:paraId="40A19D9D" w14:textId="77777777" w:rsidR="005154C9" w:rsidRPr="00741C26" w:rsidRDefault="005154C9" w:rsidP="005154C9">
            <w:pPr>
              <w:jc w:val="left"/>
              <w:rPr>
                <w:szCs w:val="24"/>
              </w:rPr>
            </w:pPr>
            <w:r w:rsidRPr="00741C26">
              <w:rPr>
                <w:szCs w:val="24"/>
              </w:rPr>
              <w:t xml:space="preserve">     within 30 days of TAVI, n (%)</w:t>
            </w:r>
          </w:p>
        </w:tc>
        <w:tc>
          <w:tcPr>
            <w:tcW w:w="755" w:type="pct"/>
          </w:tcPr>
          <w:p w14:paraId="13285A24" w14:textId="77777777" w:rsidR="005154C9" w:rsidRPr="00741C26" w:rsidRDefault="005154C9" w:rsidP="005154C9">
            <w:pPr>
              <w:jc w:val="center"/>
              <w:rPr>
                <w:szCs w:val="24"/>
              </w:rPr>
            </w:pPr>
            <w:r w:rsidRPr="00741C26">
              <w:rPr>
                <w:szCs w:val="24"/>
              </w:rPr>
              <w:t>62 (0.97%)</w:t>
            </w:r>
          </w:p>
        </w:tc>
        <w:tc>
          <w:tcPr>
            <w:tcW w:w="755" w:type="pct"/>
          </w:tcPr>
          <w:p w14:paraId="3932B332" w14:textId="48DFEC33" w:rsidR="005154C9" w:rsidRPr="00741C26" w:rsidRDefault="005154C9" w:rsidP="005154C9">
            <w:pPr>
              <w:jc w:val="center"/>
              <w:rPr>
                <w:szCs w:val="24"/>
              </w:rPr>
            </w:pPr>
            <w:r w:rsidRPr="00CB1701">
              <w:rPr>
                <w:szCs w:val="24"/>
              </w:rPr>
              <w:t>24 (1.08%)</w:t>
            </w:r>
          </w:p>
        </w:tc>
        <w:tc>
          <w:tcPr>
            <w:tcW w:w="755" w:type="pct"/>
          </w:tcPr>
          <w:p w14:paraId="108BFB69" w14:textId="5175478E" w:rsidR="005154C9" w:rsidRPr="00741C26" w:rsidRDefault="005154C9" w:rsidP="005154C9">
            <w:pPr>
              <w:jc w:val="center"/>
              <w:rPr>
                <w:szCs w:val="24"/>
              </w:rPr>
            </w:pPr>
            <w:r w:rsidRPr="00CB1701">
              <w:rPr>
                <w:szCs w:val="24"/>
              </w:rPr>
              <w:t>18 (1.03%)</w:t>
            </w:r>
          </w:p>
        </w:tc>
        <w:tc>
          <w:tcPr>
            <w:tcW w:w="755" w:type="pct"/>
          </w:tcPr>
          <w:p w14:paraId="270815B0" w14:textId="1B46E310" w:rsidR="005154C9" w:rsidRPr="00741C26" w:rsidRDefault="005154C9" w:rsidP="005154C9">
            <w:pPr>
              <w:jc w:val="center"/>
              <w:rPr>
                <w:szCs w:val="24"/>
              </w:rPr>
            </w:pPr>
            <w:r w:rsidRPr="00CB1701">
              <w:rPr>
                <w:szCs w:val="24"/>
              </w:rPr>
              <w:t>20 (0.82%)</w:t>
            </w:r>
          </w:p>
        </w:tc>
        <w:tc>
          <w:tcPr>
            <w:tcW w:w="752" w:type="pct"/>
          </w:tcPr>
          <w:p w14:paraId="16C521BF" w14:textId="09819370" w:rsidR="005154C9" w:rsidRPr="00741C26" w:rsidRDefault="005154C9" w:rsidP="005154C9">
            <w:pPr>
              <w:jc w:val="center"/>
              <w:rPr>
                <w:szCs w:val="24"/>
              </w:rPr>
            </w:pPr>
            <w:r w:rsidRPr="00CB1701">
              <w:rPr>
                <w:szCs w:val="24"/>
              </w:rPr>
              <w:t>0.607</w:t>
            </w:r>
          </w:p>
        </w:tc>
      </w:tr>
      <w:tr w:rsidR="005154C9" w:rsidRPr="002C3790" w14:paraId="6B25BEAF" w14:textId="23AC557C" w:rsidTr="00B06F23">
        <w:trPr>
          <w:cantSplit/>
          <w:trHeight w:val="170"/>
          <w:jc w:val="center"/>
        </w:trPr>
        <w:tc>
          <w:tcPr>
            <w:tcW w:w="1228" w:type="pct"/>
          </w:tcPr>
          <w:p w14:paraId="57B48265" w14:textId="77777777" w:rsidR="005154C9" w:rsidRPr="00741C26" w:rsidRDefault="005154C9" w:rsidP="005154C9">
            <w:pPr>
              <w:jc w:val="left"/>
              <w:rPr>
                <w:szCs w:val="24"/>
              </w:rPr>
            </w:pPr>
            <w:r w:rsidRPr="00741C26">
              <w:rPr>
                <w:szCs w:val="24"/>
              </w:rPr>
              <w:t>Asthma/ COPD, n (%)</w:t>
            </w:r>
          </w:p>
        </w:tc>
        <w:tc>
          <w:tcPr>
            <w:tcW w:w="755" w:type="pct"/>
          </w:tcPr>
          <w:p w14:paraId="42FB3315" w14:textId="77777777" w:rsidR="005154C9" w:rsidRPr="00741C26" w:rsidRDefault="005154C9" w:rsidP="005154C9">
            <w:pPr>
              <w:jc w:val="center"/>
              <w:rPr>
                <w:szCs w:val="24"/>
              </w:rPr>
            </w:pPr>
            <w:r w:rsidRPr="00741C26">
              <w:rPr>
                <w:szCs w:val="24"/>
              </w:rPr>
              <w:t>1679 (26.2%)</w:t>
            </w:r>
          </w:p>
        </w:tc>
        <w:tc>
          <w:tcPr>
            <w:tcW w:w="755" w:type="pct"/>
          </w:tcPr>
          <w:p w14:paraId="572C40ED" w14:textId="4B01F31F" w:rsidR="005154C9" w:rsidRPr="00741C26" w:rsidRDefault="005154C9" w:rsidP="005154C9">
            <w:pPr>
              <w:jc w:val="center"/>
              <w:rPr>
                <w:szCs w:val="24"/>
              </w:rPr>
            </w:pPr>
            <w:r w:rsidRPr="00CB1701">
              <w:rPr>
                <w:szCs w:val="24"/>
              </w:rPr>
              <w:t>744 (33.6%)</w:t>
            </w:r>
          </w:p>
        </w:tc>
        <w:tc>
          <w:tcPr>
            <w:tcW w:w="755" w:type="pct"/>
          </w:tcPr>
          <w:p w14:paraId="4B6BA5EE" w14:textId="24D8D863" w:rsidR="005154C9" w:rsidRPr="00741C26" w:rsidRDefault="005154C9" w:rsidP="005154C9">
            <w:pPr>
              <w:jc w:val="center"/>
              <w:rPr>
                <w:szCs w:val="24"/>
              </w:rPr>
            </w:pPr>
            <w:r w:rsidRPr="00CB1701">
              <w:rPr>
                <w:szCs w:val="24"/>
              </w:rPr>
              <w:t>472 (26.9%)</w:t>
            </w:r>
          </w:p>
        </w:tc>
        <w:tc>
          <w:tcPr>
            <w:tcW w:w="755" w:type="pct"/>
          </w:tcPr>
          <w:p w14:paraId="105B5141" w14:textId="2DF20590" w:rsidR="005154C9" w:rsidRPr="00741C26" w:rsidRDefault="005154C9" w:rsidP="005154C9">
            <w:pPr>
              <w:jc w:val="center"/>
              <w:rPr>
                <w:szCs w:val="24"/>
              </w:rPr>
            </w:pPr>
            <w:r w:rsidRPr="00CB1701">
              <w:rPr>
                <w:szCs w:val="24"/>
              </w:rPr>
              <w:t>463 (18.9%)</w:t>
            </w:r>
          </w:p>
        </w:tc>
        <w:tc>
          <w:tcPr>
            <w:tcW w:w="752" w:type="pct"/>
          </w:tcPr>
          <w:p w14:paraId="25583942" w14:textId="38CC369C" w:rsidR="005154C9" w:rsidRPr="00741C26" w:rsidRDefault="005154C9" w:rsidP="005154C9">
            <w:pPr>
              <w:jc w:val="center"/>
              <w:rPr>
                <w:szCs w:val="24"/>
              </w:rPr>
            </w:pPr>
            <w:r w:rsidRPr="00CB1701">
              <w:rPr>
                <w:szCs w:val="24"/>
              </w:rPr>
              <w:t>&lt;0.001</w:t>
            </w:r>
          </w:p>
        </w:tc>
      </w:tr>
      <w:tr w:rsidR="005154C9" w:rsidRPr="002C3790" w14:paraId="46242834" w14:textId="44997031" w:rsidTr="00B06F23">
        <w:trPr>
          <w:cantSplit/>
          <w:trHeight w:val="170"/>
          <w:jc w:val="center"/>
        </w:trPr>
        <w:tc>
          <w:tcPr>
            <w:tcW w:w="1228" w:type="pct"/>
          </w:tcPr>
          <w:p w14:paraId="221122EE" w14:textId="77777777" w:rsidR="005154C9" w:rsidRPr="00741C26" w:rsidRDefault="005154C9" w:rsidP="005154C9">
            <w:pPr>
              <w:jc w:val="left"/>
              <w:rPr>
                <w:szCs w:val="24"/>
              </w:rPr>
            </w:pPr>
            <w:r w:rsidRPr="00741C26">
              <w:rPr>
                <w:szCs w:val="24"/>
              </w:rPr>
              <w:t>Extracardiac Arteriopathy, n (%)</w:t>
            </w:r>
          </w:p>
        </w:tc>
        <w:tc>
          <w:tcPr>
            <w:tcW w:w="755" w:type="pct"/>
          </w:tcPr>
          <w:p w14:paraId="0675D8E9" w14:textId="77777777" w:rsidR="005154C9" w:rsidRPr="00741C26" w:rsidRDefault="005154C9" w:rsidP="005154C9">
            <w:pPr>
              <w:jc w:val="center"/>
              <w:rPr>
                <w:szCs w:val="24"/>
              </w:rPr>
            </w:pPr>
            <w:r w:rsidRPr="00741C26">
              <w:rPr>
                <w:szCs w:val="24"/>
              </w:rPr>
              <w:t>1519 (23.7%)</w:t>
            </w:r>
          </w:p>
        </w:tc>
        <w:tc>
          <w:tcPr>
            <w:tcW w:w="755" w:type="pct"/>
          </w:tcPr>
          <w:p w14:paraId="09381336" w14:textId="0D57DB96" w:rsidR="005154C9" w:rsidRPr="00741C26" w:rsidRDefault="005154C9" w:rsidP="005154C9">
            <w:pPr>
              <w:jc w:val="center"/>
              <w:rPr>
                <w:szCs w:val="24"/>
              </w:rPr>
            </w:pPr>
            <w:r w:rsidRPr="00CB1701">
              <w:rPr>
                <w:szCs w:val="24"/>
              </w:rPr>
              <w:t>603 (27.2%)</w:t>
            </w:r>
          </w:p>
        </w:tc>
        <w:tc>
          <w:tcPr>
            <w:tcW w:w="755" w:type="pct"/>
          </w:tcPr>
          <w:p w14:paraId="79B46781" w14:textId="7E8FC5F5" w:rsidR="005154C9" w:rsidRPr="00741C26" w:rsidRDefault="005154C9" w:rsidP="005154C9">
            <w:pPr>
              <w:jc w:val="center"/>
              <w:rPr>
                <w:szCs w:val="24"/>
              </w:rPr>
            </w:pPr>
            <w:r w:rsidRPr="00CB1701">
              <w:rPr>
                <w:szCs w:val="24"/>
              </w:rPr>
              <w:t>422 (24.1%)</w:t>
            </w:r>
          </w:p>
        </w:tc>
        <w:tc>
          <w:tcPr>
            <w:tcW w:w="755" w:type="pct"/>
          </w:tcPr>
          <w:p w14:paraId="7C42BE92" w14:textId="6CAA383E" w:rsidR="005154C9" w:rsidRPr="00741C26" w:rsidRDefault="005154C9" w:rsidP="005154C9">
            <w:pPr>
              <w:jc w:val="center"/>
              <w:rPr>
                <w:szCs w:val="24"/>
              </w:rPr>
            </w:pPr>
            <w:r w:rsidRPr="00CB1701">
              <w:rPr>
                <w:szCs w:val="24"/>
              </w:rPr>
              <w:t>494 (20.1%)</w:t>
            </w:r>
          </w:p>
        </w:tc>
        <w:tc>
          <w:tcPr>
            <w:tcW w:w="752" w:type="pct"/>
          </w:tcPr>
          <w:p w14:paraId="4D71F220" w14:textId="593CA69F" w:rsidR="005154C9" w:rsidRPr="00741C26" w:rsidRDefault="005154C9" w:rsidP="005154C9">
            <w:pPr>
              <w:jc w:val="center"/>
              <w:rPr>
                <w:szCs w:val="24"/>
              </w:rPr>
            </w:pPr>
            <w:r w:rsidRPr="00CB1701">
              <w:rPr>
                <w:szCs w:val="24"/>
              </w:rPr>
              <w:t>&lt;0.001</w:t>
            </w:r>
          </w:p>
        </w:tc>
      </w:tr>
      <w:tr w:rsidR="005154C9" w:rsidRPr="002C3790" w14:paraId="516B92D9" w14:textId="276285CD" w:rsidTr="00B06F23">
        <w:trPr>
          <w:cantSplit/>
          <w:trHeight w:val="170"/>
          <w:jc w:val="center"/>
        </w:trPr>
        <w:tc>
          <w:tcPr>
            <w:tcW w:w="1228" w:type="pct"/>
          </w:tcPr>
          <w:p w14:paraId="74272C94" w14:textId="77777777" w:rsidR="005154C9" w:rsidRPr="00741C26" w:rsidRDefault="005154C9" w:rsidP="005154C9">
            <w:pPr>
              <w:jc w:val="left"/>
              <w:rPr>
                <w:szCs w:val="24"/>
              </w:rPr>
            </w:pPr>
            <w:r w:rsidRPr="00741C26">
              <w:rPr>
                <w:szCs w:val="24"/>
              </w:rPr>
              <w:t>Calcification of ascending aorta, n (%)</w:t>
            </w:r>
          </w:p>
        </w:tc>
        <w:tc>
          <w:tcPr>
            <w:tcW w:w="755" w:type="pct"/>
          </w:tcPr>
          <w:p w14:paraId="1DE613DE" w14:textId="77777777" w:rsidR="005154C9" w:rsidRPr="00741C26" w:rsidRDefault="005154C9" w:rsidP="005154C9">
            <w:pPr>
              <w:jc w:val="center"/>
              <w:rPr>
                <w:szCs w:val="24"/>
              </w:rPr>
            </w:pPr>
            <w:r w:rsidRPr="00741C26">
              <w:rPr>
                <w:szCs w:val="24"/>
              </w:rPr>
              <w:t>1173 (18.3%)</w:t>
            </w:r>
          </w:p>
        </w:tc>
        <w:tc>
          <w:tcPr>
            <w:tcW w:w="755" w:type="pct"/>
          </w:tcPr>
          <w:p w14:paraId="5AD91158" w14:textId="06D10499" w:rsidR="005154C9" w:rsidRPr="00741C26" w:rsidRDefault="005154C9" w:rsidP="005154C9">
            <w:pPr>
              <w:jc w:val="center"/>
              <w:rPr>
                <w:szCs w:val="24"/>
              </w:rPr>
            </w:pPr>
            <w:r w:rsidRPr="00CB1701">
              <w:rPr>
                <w:szCs w:val="24"/>
              </w:rPr>
              <w:t>428 (19.3%)</w:t>
            </w:r>
          </w:p>
        </w:tc>
        <w:tc>
          <w:tcPr>
            <w:tcW w:w="755" w:type="pct"/>
          </w:tcPr>
          <w:p w14:paraId="5A331CE3" w14:textId="1BAA051A" w:rsidR="005154C9" w:rsidRPr="00741C26" w:rsidRDefault="005154C9" w:rsidP="005154C9">
            <w:pPr>
              <w:jc w:val="center"/>
              <w:rPr>
                <w:szCs w:val="24"/>
              </w:rPr>
            </w:pPr>
            <w:r w:rsidRPr="00CB1701">
              <w:rPr>
                <w:szCs w:val="24"/>
              </w:rPr>
              <w:t>345 (19.7%)</w:t>
            </w:r>
          </w:p>
        </w:tc>
        <w:tc>
          <w:tcPr>
            <w:tcW w:w="755" w:type="pct"/>
          </w:tcPr>
          <w:p w14:paraId="3C39CE41" w14:textId="64926DAA" w:rsidR="005154C9" w:rsidRPr="00741C26" w:rsidRDefault="005154C9" w:rsidP="005154C9">
            <w:pPr>
              <w:jc w:val="center"/>
              <w:rPr>
                <w:szCs w:val="24"/>
              </w:rPr>
            </w:pPr>
            <w:r w:rsidRPr="00CB1701">
              <w:rPr>
                <w:szCs w:val="24"/>
              </w:rPr>
              <w:t>400 (16.3%)</w:t>
            </w:r>
          </w:p>
        </w:tc>
        <w:tc>
          <w:tcPr>
            <w:tcW w:w="752" w:type="pct"/>
          </w:tcPr>
          <w:p w14:paraId="09B3CA97" w14:textId="60860DF0" w:rsidR="005154C9" w:rsidRPr="00741C26" w:rsidRDefault="005154C9" w:rsidP="005154C9">
            <w:pPr>
              <w:jc w:val="center"/>
              <w:rPr>
                <w:szCs w:val="24"/>
              </w:rPr>
            </w:pPr>
            <w:r w:rsidRPr="00CB1701">
              <w:rPr>
                <w:szCs w:val="24"/>
              </w:rPr>
              <w:t>0.005</w:t>
            </w:r>
          </w:p>
        </w:tc>
      </w:tr>
      <w:tr w:rsidR="005154C9" w:rsidRPr="002C3790" w14:paraId="325533FA" w14:textId="516FB069" w:rsidTr="00B06F23">
        <w:trPr>
          <w:cantSplit/>
          <w:trHeight w:val="170"/>
          <w:jc w:val="center"/>
        </w:trPr>
        <w:tc>
          <w:tcPr>
            <w:tcW w:w="1228" w:type="pct"/>
          </w:tcPr>
          <w:p w14:paraId="26ED61A1" w14:textId="77777777" w:rsidR="005154C9" w:rsidRPr="00741C26" w:rsidRDefault="005154C9" w:rsidP="005154C9">
            <w:pPr>
              <w:jc w:val="left"/>
              <w:rPr>
                <w:szCs w:val="24"/>
              </w:rPr>
            </w:pPr>
            <w:r w:rsidRPr="00741C26">
              <w:rPr>
                <w:szCs w:val="24"/>
              </w:rPr>
              <w:t>Atrial Fibrillation/ flutter, n (%)</w:t>
            </w:r>
          </w:p>
        </w:tc>
        <w:tc>
          <w:tcPr>
            <w:tcW w:w="755" w:type="pct"/>
          </w:tcPr>
          <w:p w14:paraId="7BC72C4F" w14:textId="77777777" w:rsidR="005154C9" w:rsidRPr="00741C26" w:rsidRDefault="005154C9" w:rsidP="005154C9">
            <w:pPr>
              <w:jc w:val="center"/>
              <w:rPr>
                <w:szCs w:val="24"/>
              </w:rPr>
            </w:pPr>
            <w:r w:rsidRPr="00741C26">
              <w:rPr>
                <w:szCs w:val="24"/>
              </w:rPr>
              <w:t>1568 (24.4%)</w:t>
            </w:r>
          </w:p>
        </w:tc>
        <w:tc>
          <w:tcPr>
            <w:tcW w:w="755" w:type="pct"/>
          </w:tcPr>
          <w:p w14:paraId="153D5D06" w14:textId="11D1A1B5" w:rsidR="005154C9" w:rsidRPr="00741C26" w:rsidRDefault="005154C9" w:rsidP="005154C9">
            <w:pPr>
              <w:jc w:val="center"/>
              <w:rPr>
                <w:szCs w:val="24"/>
              </w:rPr>
            </w:pPr>
            <w:r w:rsidRPr="00CB1701">
              <w:rPr>
                <w:szCs w:val="24"/>
              </w:rPr>
              <w:t>482 (21.8%)</w:t>
            </w:r>
          </w:p>
        </w:tc>
        <w:tc>
          <w:tcPr>
            <w:tcW w:w="755" w:type="pct"/>
          </w:tcPr>
          <w:p w14:paraId="63A92F71" w14:textId="32355759" w:rsidR="005154C9" w:rsidRPr="00741C26" w:rsidRDefault="005154C9" w:rsidP="005154C9">
            <w:pPr>
              <w:jc w:val="center"/>
              <w:rPr>
                <w:szCs w:val="24"/>
              </w:rPr>
            </w:pPr>
            <w:r w:rsidRPr="00CB1701">
              <w:rPr>
                <w:szCs w:val="24"/>
              </w:rPr>
              <w:t>466 (26.6%)</w:t>
            </w:r>
          </w:p>
        </w:tc>
        <w:tc>
          <w:tcPr>
            <w:tcW w:w="755" w:type="pct"/>
          </w:tcPr>
          <w:p w14:paraId="750AAEC0" w14:textId="4364CCD2" w:rsidR="005154C9" w:rsidRPr="00741C26" w:rsidRDefault="005154C9" w:rsidP="005154C9">
            <w:pPr>
              <w:jc w:val="center"/>
              <w:rPr>
                <w:szCs w:val="24"/>
              </w:rPr>
            </w:pPr>
            <w:r w:rsidRPr="00CB1701">
              <w:rPr>
                <w:szCs w:val="24"/>
              </w:rPr>
              <w:t>620 (25.3%)</w:t>
            </w:r>
          </w:p>
        </w:tc>
        <w:tc>
          <w:tcPr>
            <w:tcW w:w="752" w:type="pct"/>
          </w:tcPr>
          <w:p w14:paraId="44CF96C4" w14:textId="0D1265D1" w:rsidR="005154C9" w:rsidRPr="00741C26" w:rsidRDefault="005154C9" w:rsidP="005154C9">
            <w:pPr>
              <w:jc w:val="center"/>
              <w:rPr>
                <w:szCs w:val="24"/>
              </w:rPr>
            </w:pPr>
            <w:r w:rsidRPr="00CB1701">
              <w:rPr>
                <w:szCs w:val="24"/>
              </w:rPr>
              <w:t>&lt;0.001</w:t>
            </w:r>
          </w:p>
        </w:tc>
      </w:tr>
      <w:tr w:rsidR="005154C9" w:rsidRPr="002C3790" w14:paraId="2796301D" w14:textId="6AD7C93F" w:rsidTr="00B06F23">
        <w:trPr>
          <w:cantSplit/>
          <w:trHeight w:val="170"/>
          <w:jc w:val="center"/>
        </w:trPr>
        <w:tc>
          <w:tcPr>
            <w:tcW w:w="1228" w:type="pct"/>
          </w:tcPr>
          <w:p w14:paraId="09B7C24F" w14:textId="77777777" w:rsidR="005154C9" w:rsidRPr="00741C26" w:rsidRDefault="005154C9" w:rsidP="005154C9">
            <w:pPr>
              <w:jc w:val="left"/>
              <w:rPr>
                <w:szCs w:val="24"/>
              </w:rPr>
            </w:pPr>
            <w:r w:rsidRPr="00741C26">
              <w:rPr>
                <w:szCs w:val="24"/>
              </w:rPr>
              <w:t>Previous Cardiac Surgery, n (%)</w:t>
            </w:r>
          </w:p>
        </w:tc>
        <w:tc>
          <w:tcPr>
            <w:tcW w:w="755" w:type="pct"/>
          </w:tcPr>
          <w:p w14:paraId="69A604EC" w14:textId="77777777" w:rsidR="005154C9" w:rsidRPr="00741C26" w:rsidRDefault="005154C9" w:rsidP="005154C9">
            <w:pPr>
              <w:jc w:val="center"/>
              <w:rPr>
                <w:szCs w:val="24"/>
              </w:rPr>
            </w:pPr>
            <w:r w:rsidRPr="00741C26">
              <w:rPr>
                <w:szCs w:val="24"/>
              </w:rPr>
              <w:t>1999 (31.1%)</w:t>
            </w:r>
          </w:p>
        </w:tc>
        <w:tc>
          <w:tcPr>
            <w:tcW w:w="755" w:type="pct"/>
          </w:tcPr>
          <w:p w14:paraId="503C48DE" w14:textId="15D8A805" w:rsidR="005154C9" w:rsidRPr="00741C26" w:rsidRDefault="005154C9" w:rsidP="005154C9">
            <w:pPr>
              <w:jc w:val="center"/>
              <w:rPr>
                <w:szCs w:val="24"/>
              </w:rPr>
            </w:pPr>
            <w:r w:rsidRPr="00CB1701">
              <w:rPr>
                <w:szCs w:val="24"/>
              </w:rPr>
              <w:t>1009 (45.6%)</w:t>
            </w:r>
          </w:p>
        </w:tc>
        <w:tc>
          <w:tcPr>
            <w:tcW w:w="755" w:type="pct"/>
          </w:tcPr>
          <w:p w14:paraId="1E750F3D" w14:textId="33B277EC" w:rsidR="005154C9" w:rsidRPr="00741C26" w:rsidRDefault="005154C9" w:rsidP="005154C9">
            <w:pPr>
              <w:jc w:val="center"/>
              <w:rPr>
                <w:szCs w:val="24"/>
              </w:rPr>
            </w:pPr>
            <w:r w:rsidRPr="00CB1701">
              <w:rPr>
                <w:szCs w:val="24"/>
              </w:rPr>
              <w:t>611 (34.8%)</w:t>
            </w:r>
          </w:p>
        </w:tc>
        <w:tc>
          <w:tcPr>
            <w:tcW w:w="755" w:type="pct"/>
          </w:tcPr>
          <w:p w14:paraId="44274BF9" w14:textId="60AF63BC" w:rsidR="005154C9" w:rsidRPr="00741C26" w:rsidRDefault="005154C9" w:rsidP="005154C9">
            <w:pPr>
              <w:jc w:val="center"/>
              <w:rPr>
                <w:szCs w:val="24"/>
              </w:rPr>
            </w:pPr>
            <w:r w:rsidRPr="00CB1701">
              <w:rPr>
                <w:szCs w:val="24"/>
              </w:rPr>
              <w:t>379 (15.5%)</w:t>
            </w:r>
          </w:p>
        </w:tc>
        <w:tc>
          <w:tcPr>
            <w:tcW w:w="752" w:type="pct"/>
          </w:tcPr>
          <w:p w14:paraId="7350733D" w14:textId="43921CAE" w:rsidR="005154C9" w:rsidRPr="00741C26" w:rsidRDefault="005154C9" w:rsidP="005154C9">
            <w:pPr>
              <w:jc w:val="center"/>
              <w:rPr>
                <w:szCs w:val="24"/>
              </w:rPr>
            </w:pPr>
            <w:r w:rsidRPr="00CB1701">
              <w:rPr>
                <w:szCs w:val="24"/>
              </w:rPr>
              <w:t>&lt;0.001</w:t>
            </w:r>
          </w:p>
        </w:tc>
      </w:tr>
      <w:tr w:rsidR="005154C9" w:rsidRPr="002C3790" w14:paraId="369E8230" w14:textId="7061E704" w:rsidTr="00B06F23">
        <w:trPr>
          <w:cantSplit/>
          <w:trHeight w:val="170"/>
          <w:jc w:val="center"/>
        </w:trPr>
        <w:tc>
          <w:tcPr>
            <w:tcW w:w="1228" w:type="pct"/>
          </w:tcPr>
          <w:p w14:paraId="47C09A82" w14:textId="77777777" w:rsidR="005154C9" w:rsidRPr="00741C26" w:rsidRDefault="005154C9" w:rsidP="005154C9">
            <w:pPr>
              <w:jc w:val="left"/>
              <w:rPr>
                <w:szCs w:val="24"/>
              </w:rPr>
            </w:pPr>
            <w:r w:rsidRPr="00741C26">
              <w:rPr>
                <w:szCs w:val="24"/>
              </w:rPr>
              <w:t>Previous PCI, n (%)</w:t>
            </w:r>
          </w:p>
        </w:tc>
        <w:tc>
          <w:tcPr>
            <w:tcW w:w="755" w:type="pct"/>
          </w:tcPr>
          <w:p w14:paraId="42F43C20" w14:textId="77777777" w:rsidR="005154C9" w:rsidRPr="00741C26" w:rsidRDefault="005154C9" w:rsidP="005154C9">
            <w:pPr>
              <w:jc w:val="center"/>
              <w:rPr>
                <w:szCs w:val="24"/>
              </w:rPr>
            </w:pPr>
            <w:r w:rsidRPr="00741C26">
              <w:rPr>
                <w:szCs w:val="24"/>
              </w:rPr>
              <w:t>1300 (20.2%)</w:t>
            </w:r>
          </w:p>
        </w:tc>
        <w:tc>
          <w:tcPr>
            <w:tcW w:w="755" w:type="pct"/>
          </w:tcPr>
          <w:p w14:paraId="0E381F69" w14:textId="576322F0" w:rsidR="005154C9" w:rsidRPr="00741C26" w:rsidRDefault="005154C9" w:rsidP="005154C9">
            <w:pPr>
              <w:jc w:val="center"/>
              <w:rPr>
                <w:szCs w:val="24"/>
              </w:rPr>
            </w:pPr>
            <w:r w:rsidRPr="00CB1701">
              <w:rPr>
                <w:szCs w:val="24"/>
              </w:rPr>
              <w:t>475 (21.5%)</w:t>
            </w:r>
          </w:p>
        </w:tc>
        <w:tc>
          <w:tcPr>
            <w:tcW w:w="755" w:type="pct"/>
          </w:tcPr>
          <w:p w14:paraId="3692A58B" w14:textId="11404854" w:rsidR="005154C9" w:rsidRPr="00741C26" w:rsidRDefault="005154C9" w:rsidP="005154C9">
            <w:pPr>
              <w:jc w:val="center"/>
              <w:rPr>
                <w:szCs w:val="24"/>
              </w:rPr>
            </w:pPr>
            <w:r w:rsidRPr="00CB1701">
              <w:rPr>
                <w:szCs w:val="24"/>
              </w:rPr>
              <w:t>371 (21.2%)</w:t>
            </w:r>
          </w:p>
        </w:tc>
        <w:tc>
          <w:tcPr>
            <w:tcW w:w="755" w:type="pct"/>
          </w:tcPr>
          <w:p w14:paraId="6AEB6194" w14:textId="6A236AA5" w:rsidR="005154C9" w:rsidRPr="00741C26" w:rsidRDefault="005154C9" w:rsidP="005154C9">
            <w:pPr>
              <w:jc w:val="center"/>
              <w:rPr>
                <w:szCs w:val="24"/>
              </w:rPr>
            </w:pPr>
            <w:r w:rsidRPr="00CB1701">
              <w:rPr>
                <w:szCs w:val="24"/>
              </w:rPr>
              <w:t>454 (18.5%)</w:t>
            </w:r>
          </w:p>
        </w:tc>
        <w:tc>
          <w:tcPr>
            <w:tcW w:w="752" w:type="pct"/>
          </w:tcPr>
          <w:p w14:paraId="76E86808" w14:textId="6BBF3B9E" w:rsidR="005154C9" w:rsidRPr="00741C26" w:rsidRDefault="005154C9" w:rsidP="005154C9">
            <w:pPr>
              <w:jc w:val="center"/>
              <w:rPr>
                <w:szCs w:val="24"/>
              </w:rPr>
            </w:pPr>
            <w:r w:rsidRPr="00CB1701">
              <w:rPr>
                <w:szCs w:val="24"/>
              </w:rPr>
              <w:t>0.020</w:t>
            </w:r>
          </w:p>
        </w:tc>
      </w:tr>
      <w:tr w:rsidR="005154C9" w:rsidRPr="002C3790" w14:paraId="756E1239" w14:textId="4CEBE42E" w:rsidTr="00B06F23">
        <w:trPr>
          <w:cantSplit/>
          <w:trHeight w:val="170"/>
          <w:jc w:val="center"/>
        </w:trPr>
        <w:tc>
          <w:tcPr>
            <w:tcW w:w="1228" w:type="pct"/>
          </w:tcPr>
          <w:p w14:paraId="79F52953" w14:textId="77777777" w:rsidR="005154C9" w:rsidRPr="00741C26" w:rsidRDefault="005154C9" w:rsidP="005154C9">
            <w:pPr>
              <w:jc w:val="left"/>
              <w:rPr>
                <w:szCs w:val="24"/>
              </w:rPr>
            </w:pPr>
            <w:r w:rsidRPr="00741C26">
              <w:rPr>
                <w:szCs w:val="24"/>
              </w:rPr>
              <w:t>Weight (Kg), mean [range]</w:t>
            </w:r>
          </w:p>
        </w:tc>
        <w:tc>
          <w:tcPr>
            <w:tcW w:w="755" w:type="pct"/>
          </w:tcPr>
          <w:p w14:paraId="4D3F56B4" w14:textId="77777777" w:rsidR="005154C9" w:rsidRPr="00741C26" w:rsidRDefault="005154C9" w:rsidP="005154C9">
            <w:pPr>
              <w:jc w:val="center"/>
              <w:rPr>
                <w:szCs w:val="24"/>
              </w:rPr>
            </w:pPr>
            <w:r w:rsidRPr="00741C26">
              <w:rPr>
                <w:szCs w:val="24"/>
              </w:rPr>
              <w:t>74.0 [32.0-190.0]</w:t>
            </w:r>
          </w:p>
        </w:tc>
        <w:tc>
          <w:tcPr>
            <w:tcW w:w="755" w:type="pct"/>
          </w:tcPr>
          <w:p w14:paraId="66E64F6E" w14:textId="225F0A05" w:rsidR="005154C9" w:rsidRPr="00741C26" w:rsidRDefault="005154C9" w:rsidP="005154C9">
            <w:pPr>
              <w:jc w:val="center"/>
              <w:rPr>
                <w:szCs w:val="24"/>
              </w:rPr>
            </w:pPr>
            <w:r w:rsidRPr="00CB1701">
              <w:rPr>
                <w:szCs w:val="24"/>
              </w:rPr>
              <w:t>80.1 [32-190]</w:t>
            </w:r>
          </w:p>
        </w:tc>
        <w:tc>
          <w:tcPr>
            <w:tcW w:w="755" w:type="pct"/>
          </w:tcPr>
          <w:p w14:paraId="2D49C17C" w14:textId="331031C4" w:rsidR="005154C9" w:rsidRPr="00741C26" w:rsidRDefault="005154C9" w:rsidP="005154C9">
            <w:pPr>
              <w:jc w:val="center"/>
              <w:rPr>
                <w:szCs w:val="24"/>
              </w:rPr>
            </w:pPr>
            <w:r w:rsidRPr="00CB1701">
              <w:rPr>
                <w:szCs w:val="24"/>
              </w:rPr>
              <w:t>74.0 [33-141.7]</w:t>
            </w:r>
          </w:p>
        </w:tc>
        <w:tc>
          <w:tcPr>
            <w:tcW w:w="755" w:type="pct"/>
          </w:tcPr>
          <w:p w14:paraId="450880D0" w14:textId="0F51FEC7" w:rsidR="005154C9" w:rsidRPr="00741C26" w:rsidRDefault="005154C9" w:rsidP="005154C9">
            <w:pPr>
              <w:jc w:val="center"/>
              <w:rPr>
                <w:szCs w:val="24"/>
              </w:rPr>
            </w:pPr>
            <w:r w:rsidRPr="00CB1701">
              <w:rPr>
                <w:szCs w:val="24"/>
              </w:rPr>
              <w:t>68.5 [32-163]</w:t>
            </w:r>
          </w:p>
        </w:tc>
        <w:tc>
          <w:tcPr>
            <w:tcW w:w="752" w:type="pct"/>
          </w:tcPr>
          <w:p w14:paraId="109D9A7F" w14:textId="57A7D236" w:rsidR="005154C9" w:rsidRPr="00741C26" w:rsidRDefault="005154C9" w:rsidP="005154C9">
            <w:pPr>
              <w:jc w:val="center"/>
              <w:rPr>
                <w:szCs w:val="24"/>
              </w:rPr>
            </w:pPr>
            <w:r w:rsidRPr="00CB1701">
              <w:rPr>
                <w:szCs w:val="24"/>
              </w:rPr>
              <w:t>&lt;0.001</w:t>
            </w:r>
          </w:p>
        </w:tc>
      </w:tr>
      <w:tr w:rsidR="005154C9" w:rsidRPr="002C3790" w14:paraId="66C57DB5" w14:textId="093CAF31" w:rsidTr="00B06F23">
        <w:trPr>
          <w:cantSplit/>
          <w:trHeight w:val="170"/>
          <w:jc w:val="center"/>
        </w:trPr>
        <w:tc>
          <w:tcPr>
            <w:tcW w:w="1228" w:type="pct"/>
          </w:tcPr>
          <w:p w14:paraId="1ABE0BEC" w14:textId="77777777" w:rsidR="005154C9" w:rsidRPr="00741C26" w:rsidRDefault="005154C9" w:rsidP="005154C9">
            <w:pPr>
              <w:jc w:val="left"/>
              <w:rPr>
                <w:szCs w:val="24"/>
              </w:rPr>
            </w:pPr>
            <w:r w:rsidRPr="00741C26">
              <w:rPr>
                <w:szCs w:val="24"/>
              </w:rPr>
              <w:t>Height (m), mean [range]</w:t>
            </w:r>
          </w:p>
        </w:tc>
        <w:tc>
          <w:tcPr>
            <w:tcW w:w="755" w:type="pct"/>
          </w:tcPr>
          <w:p w14:paraId="07DC0FEA" w14:textId="77777777" w:rsidR="005154C9" w:rsidRPr="00741C26" w:rsidRDefault="005154C9" w:rsidP="005154C9">
            <w:pPr>
              <w:jc w:val="center"/>
              <w:rPr>
                <w:szCs w:val="24"/>
              </w:rPr>
            </w:pPr>
            <w:r w:rsidRPr="00741C26">
              <w:rPr>
                <w:szCs w:val="24"/>
              </w:rPr>
              <w:t>1.65 [1.10-2.36]</w:t>
            </w:r>
          </w:p>
        </w:tc>
        <w:tc>
          <w:tcPr>
            <w:tcW w:w="755" w:type="pct"/>
          </w:tcPr>
          <w:p w14:paraId="1946F0B5" w14:textId="5C384B1D" w:rsidR="005154C9" w:rsidRPr="00741C26" w:rsidRDefault="005154C9" w:rsidP="005154C9">
            <w:pPr>
              <w:jc w:val="center"/>
              <w:rPr>
                <w:szCs w:val="24"/>
              </w:rPr>
            </w:pPr>
            <w:r w:rsidRPr="00CB1701">
              <w:rPr>
                <w:szCs w:val="24"/>
              </w:rPr>
              <w:t>1.67 [1.10-2.01]</w:t>
            </w:r>
          </w:p>
        </w:tc>
        <w:tc>
          <w:tcPr>
            <w:tcW w:w="755" w:type="pct"/>
          </w:tcPr>
          <w:p w14:paraId="20F75947" w14:textId="76A68E25" w:rsidR="005154C9" w:rsidRPr="00741C26" w:rsidRDefault="005154C9" w:rsidP="005154C9">
            <w:pPr>
              <w:jc w:val="center"/>
              <w:rPr>
                <w:szCs w:val="24"/>
              </w:rPr>
            </w:pPr>
            <w:r w:rsidRPr="00CB1701">
              <w:rPr>
                <w:szCs w:val="24"/>
              </w:rPr>
              <w:t>1.65 [1.15-1.97]</w:t>
            </w:r>
          </w:p>
        </w:tc>
        <w:tc>
          <w:tcPr>
            <w:tcW w:w="755" w:type="pct"/>
          </w:tcPr>
          <w:p w14:paraId="7D972B7E" w14:textId="6EA80FE2" w:rsidR="005154C9" w:rsidRPr="00741C26" w:rsidRDefault="005154C9" w:rsidP="005154C9">
            <w:pPr>
              <w:jc w:val="center"/>
              <w:rPr>
                <w:szCs w:val="24"/>
              </w:rPr>
            </w:pPr>
            <w:r w:rsidRPr="00CB1701">
              <w:rPr>
                <w:szCs w:val="24"/>
              </w:rPr>
              <w:t>1.63 [1.16-2.36]</w:t>
            </w:r>
          </w:p>
        </w:tc>
        <w:tc>
          <w:tcPr>
            <w:tcW w:w="752" w:type="pct"/>
          </w:tcPr>
          <w:p w14:paraId="78198EFD" w14:textId="4076476A" w:rsidR="005154C9" w:rsidRPr="00741C26" w:rsidRDefault="005154C9" w:rsidP="005154C9">
            <w:pPr>
              <w:jc w:val="center"/>
              <w:rPr>
                <w:szCs w:val="24"/>
              </w:rPr>
            </w:pPr>
            <w:r w:rsidRPr="00CB1701">
              <w:rPr>
                <w:szCs w:val="24"/>
              </w:rPr>
              <w:t>&lt;0.001</w:t>
            </w:r>
          </w:p>
        </w:tc>
      </w:tr>
      <w:tr w:rsidR="005154C9" w:rsidRPr="002C3790" w14:paraId="45377CE7" w14:textId="078F75DA" w:rsidTr="00B06F23">
        <w:trPr>
          <w:cantSplit/>
          <w:trHeight w:val="170"/>
          <w:jc w:val="center"/>
        </w:trPr>
        <w:tc>
          <w:tcPr>
            <w:tcW w:w="1228" w:type="pct"/>
          </w:tcPr>
          <w:p w14:paraId="41747BD8" w14:textId="77777777" w:rsidR="005154C9" w:rsidRPr="00741C26" w:rsidRDefault="005154C9" w:rsidP="005154C9">
            <w:pPr>
              <w:jc w:val="left"/>
              <w:rPr>
                <w:szCs w:val="24"/>
              </w:rPr>
            </w:pPr>
            <w:r w:rsidRPr="00741C26">
              <w:rPr>
                <w:szCs w:val="24"/>
              </w:rPr>
              <w:t>Critical preoperative state, n (%)</w:t>
            </w:r>
          </w:p>
        </w:tc>
        <w:tc>
          <w:tcPr>
            <w:tcW w:w="755" w:type="pct"/>
          </w:tcPr>
          <w:p w14:paraId="2CBFE74F" w14:textId="77777777" w:rsidR="005154C9" w:rsidRPr="00741C26" w:rsidRDefault="005154C9" w:rsidP="005154C9">
            <w:pPr>
              <w:jc w:val="center"/>
              <w:rPr>
                <w:szCs w:val="24"/>
              </w:rPr>
            </w:pPr>
            <w:r w:rsidRPr="00741C26">
              <w:rPr>
                <w:szCs w:val="24"/>
              </w:rPr>
              <w:t>105 (1.64%)</w:t>
            </w:r>
          </w:p>
        </w:tc>
        <w:tc>
          <w:tcPr>
            <w:tcW w:w="755" w:type="pct"/>
          </w:tcPr>
          <w:p w14:paraId="2D651635" w14:textId="149E8028" w:rsidR="005154C9" w:rsidRPr="00741C26" w:rsidRDefault="005154C9" w:rsidP="005154C9">
            <w:pPr>
              <w:jc w:val="center"/>
              <w:rPr>
                <w:szCs w:val="24"/>
              </w:rPr>
            </w:pPr>
            <w:r w:rsidRPr="00CB1701">
              <w:rPr>
                <w:szCs w:val="24"/>
              </w:rPr>
              <w:t>50 (2.26%)</w:t>
            </w:r>
          </w:p>
        </w:tc>
        <w:tc>
          <w:tcPr>
            <w:tcW w:w="755" w:type="pct"/>
          </w:tcPr>
          <w:p w14:paraId="51D8540C" w14:textId="1FA73F6C" w:rsidR="005154C9" w:rsidRPr="00741C26" w:rsidRDefault="005154C9" w:rsidP="005154C9">
            <w:pPr>
              <w:jc w:val="center"/>
              <w:rPr>
                <w:szCs w:val="24"/>
              </w:rPr>
            </w:pPr>
            <w:r w:rsidRPr="00CB1701">
              <w:rPr>
                <w:szCs w:val="24"/>
              </w:rPr>
              <w:t>25 (1.43%)</w:t>
            </w:r>
          </w:p>
        </w:tc>
        <w:tc>
          <w:tcPr>
            <w:tcW w:w="755" w:type="pct"/>
          </w:tcPr>
          <w:p w14:paraId="79CE28E5" w14:textId="6E38D13F" w:rsidR="005154C9" w:rsidRPr="00741C26" w:rsidRDefault="005154C9" w:rsidP="005154C9">
            <w:pPr>
              <w:jc w:val="center"/>
              <w:rPr>
                <w:szCs w:val="24"/>
              </w:rPr>
            </w:pPr>
            <w:r w:rsidRPr="00CB1701">
              <w:rPr>
                <w:szCs w:val="24"/>
              </w:rPr>
              <w:t>30 (1.22%)</w:t>
            </w:r>
          </w:p>
        </w:tc>
        <w:tc>
          <w:tcPr>
            <w:tcW w:w="752" w:type="pct"/>
          </w:tcPr>
          <w:p w14:paraId="25A8DC14" w14:textId="14C054E0" w:rsidR="005154C9" w:rsidRPr="00741C26" w:rsidRDefault="005154C9" w:rsidP="005154C9">
            <w:pPr>
              <w:jc w:val="center"/>
              <w:rPr>
                <w:szCs w:val="24"/>
              </w:rPr>
            </w:pPr>
            <w:r w:rsidRPr="00CB1701">
              <w:rPr>
                <w:szCs w:val="24"/>
              </w:rPr>
              <w:t>0.015</w:t>
            </w:r>
          </w:p>
        </w:tc>
      </w:tr>
      <w:tr w:rsidR="005154C9" w:rsidRPr="002C3790" w14:paraId="168EAED5" w14:textId="5A0FA15D" w:rsidTr="00B06F23">
        <w:trPr>
          <w:cantSplit/>
          <w:trHeight w:val="170"/>
          <w:jc w:val="center"/>
        </w:trPr>
        <w:tc>
          <w:tcPr>
            <w:tcW w:w="1228" w:type="pct"/>
          </w:tcPr>
          <w:p w14:paraId="7CBF7824" w14:textId="77777777" w:rsidR="005154C9" w:rsidRPr="00741C26" w:rsidRDefault="005154C9" w:rsidP="005154C9">
            <w:pPr>
              <w:jc w:val="left"/>
              <w:rPr>
                <w:szCs w:val="24"/>
              </w:rPr>
            </w:pPr>
            <w:r w:rsidRPr="00741C26">
              <w:rPr>
                <w:szCs w:val="24"/>
              </w:rPr>
              <w:t>CCS Class 4, n (%)</w:t>
            </w:r>
          </w:p>
        </w:tc>
        <w:tc>
          <w:tcPr>
            <w:tcW w:w="755" w:type="pct"/>
          </w:tcPr>
          <w:p w14:paraId="5870EF31" w14:textId="77777777" w:rsidR="005154C9" w:rsidRPr="00741C26" w:rsidRDefault="005154C9" w:rsidP="005154C9">
            <w:pPr>
              <w:jc w:val="center"/>
              <w:rPr>
                <w:szCs w:val="24"/>
              </w:rPr>
            </w:pPr>
            <w:r w:rsidRPr="00741C26">
              <w:rPr>
                <w:szCs w:val="24"/>
              </w:rPr>
              <w:t>77 (1.20%)</w:t>
            </w:r>
          </w:p>
        </w:tc>
        <w:tc>
          <w:tcPr>
            <w:tcW w:w="755" w:type="pct"/>
          </w:tcPr>
          <w:p w14:paraId="32AAE573" w14:textId="3184D9F0" w:rsidR="005154C9" w:rsidRPr="00741C26" w:rsidRDefault="005154C9" w:rsidP="005154C9">
            <w:pPr>
              <w:jc w:val="center"/>
              <w:rPr>
                <w:szCs w:val="24"/>
              </w:rPr>
            </w:pPr>
            <w:r w:rsidRPr="00CB1701">
              <w:rPr>
                <w:szCs w:val="24"/>
              </w:rPr>
              <w:t>30 (1.36%)</w:t>
            </w:r>
          </w:p>
        </w:tc>
        <w:tc>
          <w:tcPr>
            <w:tcW w:w="755" w:type="pct"/>
          </w:tcPr>
          <w:p w14:paraId="40A0DB6F" w14:textId="50A98761" w:rsidR="005154C9" w:rsidRPr="00741C26" w:rsidRDefault="005154C9" w:rsidP="005154C9">
            <w:pPr>
              <w:jc w:val="center"/>
              <w:rPr>
                <w:szCs w:val="24"/>
              </w:rPr>
            </w:pPr>
            <w:r w:rsidRPr="00CB1701">
              <w:rPr>
                <w:szCs w:val="24"/>
              </w:rPr>
              <w:t>19 (1.08%)</w:t>
            </w:r>
          </w:p>
        </w:tc>
        <w:tc>
          <w:tcPr>
            <w:tcW w:w="755" w:type="pct"/>
          </w:tcPr>
          <w:p w14:paraId="2FDD27AF" w14:textId="12BB811D" w:rsidR="005154C9" w:rsidRPr="00741C26" w:rsidRDefault="005154C9" w:rsidP="005154C9">
            <w:pPr>
              <w:jc w:val="center"/>
              <w:rPr>
                <w:szCs w:val="24"/>
              </w:rPr>
            </w:pPr>
            <w:r w:rsidRPr="00CB1701">
              <w:rPr>
                <w:szCs w:val="24"/>
              </w:rPr>
              <w:t>28 (1.14%)</w:t>
            </w:r>
          </w:p>
        </w:tc>
        <w:tc>
          <w:tcPr>
            <w:tcW w:w="752" w:type="pct"/>
          </w:tcPr>
          <w:p w14:paraId="24AE4C2C" w14:textId="3E54E617" w:rsidR="005154C9" w:rsidRPr="00741C26" w:rsidRDefault="005154C9" w:rsidP="005154C9">
            <w:pPr>
              <w:jc w:val="center"/>
              <w:rPr>
                <w:szCs w:val="24"/>
              </w:rPr>
            </w:pPr>
            <w:r w:rsidRPr="00CB1701">
              <w:rPr>
                <w:szCs w:val="24"/>
              </w:rPr>
              <w:t>0.698</w:t>
            </w:r>
          </w:p>
        </w:tc>
      </w:tr>
      <w:tr w:rsidR="005154C9" w:rsidRPr="002C3790" w14:paraId="7ED5CA5D" w14:textId="4DACF03A" w:rsidTr="00B06F23">
        <w:trPr>
          <w:cantSplit/>
          <w:trHeight w:val="170"/>
          <w:jc w:val="center"/>
        </w:trPr>
        <w:tc>
          <w:tcPr>
            <w:tcW w:w="1228" w:type="pct"/>
          </w:tcPr>
          <w:p w14:paraId="7AD5F1EC" w14:textId="77777777" w:rsidR="005154C9" w:rsidRPr="00741C26" w:rsidRDefault="005154C9" w:rsidP="005154C9">
            <w:pPr>
              <w:jc w:val="left"/>
              <w:rPr>
                <w:szCs w:val="24"/>
              </w:rPr>
            </w:pPr>
            <w:r w:rsidRPr="00741C26">
              <w:rPr>
                <w:szCs w:val="24"/>
              </w:rPr>
              <w:t>NYHA Class ≥ III</w:t>
            </w:r>
          </w:p>
        </w:tc>
        <w:tc>
          <w:tcPr>
            <w:tcW w:w="755" w:type="pct"/>
          </w:tcPr>
          <w:p w14:paraId="7CAEF50C" w14:textId="77777777" w:rsidR="005154C9" w:rsidRPr="00741C26" w:rsidRDefault="005154C9" w:rsidP="005154C9">
            <w:pPr>
              <w:jc w:val="center"/>
              <w:rPr>
                <w:szCs w:val="24"/>
                <w:highlight w:val="yellow"/>
              </w:rPr>
            </w:pPr>
            <w:r w:rsidRPr="00741C26">
              <w:rPr>
                <w:szCs w:val="24"/>
              </w:rPr>
              <w:t>5140 (80.1%)</w:t>
            </w:r>
          </w:p>
        </w:tc>
        <w:tc>
          <w:tcPr>
            <w:tcW w:w="755" w:type="pct"/>
          </w:tcPr>
          <w:p w14:paraId="39CDF450" w14:textId="5A0BCECE" w:rsidR="005154C9" w:rsidRPr="00741C26" w:rsidRDefault="005154C9" w:rsidP="005154C9">
            <w:pPr>
              <w:jc w:val="center"/>
              <w:rPr>
                <w:szCs w:val="24"/>
              </w:rPr>
            </w:pPr>
            <w:r w:rsidRPr="00CB1701">
              <w:rPr>
                <w:szCs w:val="24"/>
              </w:rPr>
              <w:t>1776 (80.3%)</w:t>
            </w:r>
          </w:p>
        </w:tc>
        <w:tc>
          <w:tcPr>
            <w:tcW w:w="755" w:type="pct"/>
          </w:tcPr>
          <w:p w14:paraId="384EF166" w14:textId="1209957F" w:rsidR="005154C9" w:rsidRPr="00741C26" w:rsidRDefault="005154C9" w:rsidP="005154C9">
            <w:pPr>
              <w:jc w:val="center"/>
              <w:rPr>
                <w:szCs w:val="24"/>
              </w:rPr>
            </w:pPr>
            <w:r w:rsidRPr="00CB1701">
              <w:rPr>
                <w:szCs w:val="24"/>
              </w:rPr>
              <w:t>1413 (80.6%)</w:t>
            </w:r>
          </w:p>
        </w:tc>
        <w:tc>
          <w:tcPr>
            <w:tcW w:w="755" w:type="pct"/>
          </w:tcPr>
          <w:p w14:paraId="36395515" w14:textId="14B8E8C1" w:rsidR="005154C9" w:rsidRPr="00741C26" w:rsidRDefault="005154C9" w:rsidP="005154C9">
            <w:pPr>
              <w:jc w:val="center"/>
              <w:rPr>
                <w:szCs w:val="24"/>
              </w:rPr>
            </w:pPr>
            <w:r w:rsidRPr="00CB1701">
              <w:rPr>
                <w:szCs w:val="24"/>
              </w:rPr>
              <w:t>1951 (79.5%)</w:t>
            </w:r>
          </w:p>
        </w:tc>
        <w:tc>
          <w:tcPr>
            <w:tcW w:w="752" w:type="pct"/>
          </w:tcPr>
          <w:p w14:paraId="7E88BC68" w14:textId="14C5EFC2" w:rsidR="005154C9" w:rsidRPr="00741C26" w:rsidRDefault="005154C9" w:rsidP="005154C9">
            <w:pPr>
              <w:jc w:val="center"/>
              <w:rPr>
                <w:szCs w:val="24"/>
              </w:rPr>
            </w:pPr>
            <w:r w:rsidRPr="00CB1701">
              <w:rPr>
                <w:szCs w:val="24"/>
              </w:rPr>
              <w:t>0.593</w:t>
            </w:r>
          </w:p>
        </w:tc>
      </w:tr>
      <w:tr w:rsidR="005154C9" w:rsidRPr="002C3790" w14:paraId="22667F80" w14:textId="5EB0CBBA" w:rsidTr="00B06F23">
        <w:trPr>
          <w:cantSplit/>
          <w:trHeight w:val="170"/>
          <w:jc w:val="center"/>
        </w:trPr>
        <w:tc>
          <w:tcPr>
            <w:tcW w:w="1228" w:type="pct"/>
          </w:tcPr>
          <w:p w14:paraId="6AC15150" w14:textId="77777777" w:rsidR="005154C9" w:rsidRPr="00741C26" w:rsidRDefault="005154C9" w:rsidP="005154C9">
            <w:pPr>
              <w:jc w:val="left"/>
              <w:rPr>
                <w:szCs w:val="24"/>
              </w:rPr>
            </w:pPr>
            <w:r w:rsidRPr="00741C26">
              <w:rPr>
                <w:szCs w:val="24"/>
              </w:rPr>
              <w:t>LVEF</w:t>
            </w:r>
          </w:p>
        </w:tc>
        <w:tc>
          <w:tcPr>
            <w:tcW w:w="755" w:type="pct"/>
            <w:vAlign w:val="center"/>
          </w:tcPr>
          <w:p w14:paraId="155949E6" w14:textId="77777777" w:rsidR="005154C9" w:rsidRPr="00741C26" w:rsidRDefault="005154C9" w:rsidP="005154C9">
            <w:pPr>
              <w:jc w:val="center"/>
              <w:rPr>
                <w:szCs w:val="24"/>
                <w:highlight w:val="yellow"/>
              </w:rPr>
            </w:pPr>
          </w:p>
        </w:tc>
        <w:tc>
          <w:tcPr>
            <w:tcW w:w="755" w:type="pct"/>
            <w:vAlign w:val="center"/>
          </w:tcPr>
          <w:p w14:paraId="1ED78155" w14:textId="77777777" w:rsidR="005154C9" w:rsidRPr="00741C26" w:rsidRDefault="005154C9" w:rsidP="005154C9">
            <w:pPr>
              <w:jc w:val="center"/>
              <w:rPr>
                <w:szCs w:val="24"/>
                <w:highlight w:val="yellow"/>
              </w:rPr>
            </w:pPr>
          </w:p>
        </w:tc>
        <w:tc>
          <w:tcPr>
            <w:tcW w:w="755" w:type="pct"/>
          </w:tcPr>
          <w:p w14:paraId="6D5341C2" w14:textId="77777777" w:rsidR="005154C9" w:rsidRPr="00741C26" w:rsidRDefault="005154C9" w:rsidP="005154C9">
            <w:pPr>
              <w:jc w:val="center"/>
              <w:rPr>
                <w:szCs w:val="24"/>
                <w:highlight w:val="yellow"/>
              </w:rPr>
            </w:pPr>
          </w:p>
        </w:tc>
        <w:tc>
          <w:tcPr>
            <w:tcW w:w="755" w:type="pct"/>
          </w:tcPr>
          <w:p w14:paraId="1DB6197F" w14:textId="77777777" w:rsidR="005154C9" w:rsidRPr="00741C26" w:rsidRDefault="005154C9" w:rsidP="005154C9">
            <w:pPr>
              <w:jc w:val="center"/>
              <w:rPr>
                <w:szCs w:val="24"/>
                <w:highlight w:val="yellow"/>
              </w:rPr>
            </w:pPr>
          </w:p>
        </w:tc>
        <w:tc>
          <w:tcPr>
            <w:tcW w:w="752" w:type="pct"/>
          </w:tcPr>
          <w:p w14:paraId="3F8498C7" w14:textId="2191D77D" w:rsidR="005154C9" w:rsidRPr="00741C26" w:rsidRDefault="00455BD0" w:rsidP="005154C9">
            <w:pPr>
              <w:jc w:val="center"/>
              <w:rPr>
                <w:szCs w:val="24"/>
                <w:highlight w:val="yellow"/>
              </w:rPr>
            </w:pPr>
            <w:r w:rsidRPr="00455BD0">
              <w:rPr>
                <w:szCs w:val="24"/>
              </w:rPr>
              <w:t>&lt;0.001</w:t>
            </w:r>
          </w:p>
        </w:tc>
      </w:tr>
      <w:tr w:rsidR="005154C9" w:rsidRPr="002C3790" w14:paraId="1A35662A" w14:textId="5CE5EDF2" w:rsidTr="00B06F23">
        <w:trPr>
          <w:cantSplit/>
          <w:trHeight w:val="170"/>
          <w:jc w:val="center"/>
        </w:trPr>
        <w:tc>
          <w:tcPr>
            <w:tcW w:w="1228" w:type="pct"/>
          </w:tcPr>
          <w:p w14:paraId="51361755" w14:textId="77777777" w:rsidR="005154C9" w:rsidRPr="00741C26" w:rsidRDefault="005154C9" w:rsidP="005154C9">
            <w:pPr>
              <w:jc w:val="left"/>
              <w:rPr>
                <w:szCs w:val="24"/>
              </w:rPr>
            </w:pPr>
            <w:r w:rsidRPr="00741C26">
              <w:rPr>
                <w:szCs w:val="24"/>
              </w:rPr>
              <w:t xml:space="preserve">     ≥ 50%, n (%)</w:t>
            </w:r>
          </w:p>
        </w:tc>
        <w:tc>
          <w:tcPr>
            <w:tcW w:w="755" w:type="pct"/>
          </w:tcPr>
          <w:p w14:paraId="2329FCCF" w14:textId="77777777" w:rsidR="005154C9" w:rsidRPr="00741C26" w:rsidRDefault="005154C9" w:rsidP="005154C9">
            <w:pPr>
              <w:jc w:val="center"/>
              <w:rPr>
                <w:szCs w:val="24"/>
                <w:highlight w:val="yellow"/>
              </w:rPr>
            </w:pPr>
            <w:r w:rsidRPr="00741C26">
              <w:rPr>
                <w:szCs w:val="24"/>
              </w:rPr>
              <w:t>3907 (60.9%)</w:t>
            </w:r>
          </w:p>
        </w:tc>
        <w:tc>
          <w:tcPr>
            <w:tcW w:w="755" w:type="pct"/>
          </w:tcPr>
          <w:p w14:paraId="4EDBBA84" w14:textId="088BAF6F" w:rsidR="005154C9" w:rsidRPr="00741C26" w:rsidRDefault="005154C9" w:rsidP="005154C9">
            <w:pPr>
              <w:jc w:val="center"/>
              <w:rPr>
                <w:szCs w:val="24"/>
              </w:rPr>
            </w:pPr>
            <w:r w:rsidRPr="00CB1701">
              <w:rPr>
                <w:szCs w:val="24"/>
              </w:rPr>
              <w:t>1246 (56.3%)</w:t>
            </w:r>
          </w:p>
        </w:tc>
        <w:tc>
          <w:tcPr>
            <w:tcW w:w="755" w:type="pct"/>
          </w:tcPr>
          <w:p w14:paraId="03B8C07F" w14:textId="71D5F383" w:rsidR="005154C9" w:rsidRPr="00741C26" w:rsidRDefault="005154C9" w:rsidP="005154C9">
            <w:pPr>
              <w:jc w:val="center"/>
              <w:rPr>
                <w:szCs w:val="24"/>
              </w:rPr>
            </w:pPr>
            <w:r w:rsidRPr="00CB1701">
              <w:rPr>
                <w:szCs w:val="24"/>
              </w:rPr>
              <w:t>1066 (60.8%)</w:t>
            </w:r>
          </w:p>
        </w:tc>
        <w:tc>
          <w:tcPr>
            <w:tcW w:w="755" w:type="pct"/>
          </w:tcPr>
          <w:p w14:paraId="1B09389A" w14:textId="37EBDFA7" w:rsidR="005154C9" w:rsidRPr="00741C26" w:rsidRDefault="005154C9" w:rsidP="005154C9">
            <w:pPr>
              <w:jc w:val="center"/>
              <w:rPr>
                <w:szCs w:val="24"/>
              </w:rPr>
            </w:pPr>
            <w:r w:rsidRPr="00CB1701">
              <w:rPr>
                <w:szCs w:val="24"/>
              </w:rPr>
              <w:t>1595 (65.0%)</w:t>
            </w:r>
          </w:p>
        </w:tc>
        <w:tc>
          <w:tcPr>
            <w:tcW w:w="752" w:type="pct"/>
          </w:tcPr>
          <w:p w14:paraId="7BE64D14" w14:textId="3B77511A" w:rsidR="005154C9" w:rsidRPr="00741C26" w:rsidRDefault="005154C9" w:rsidP="005154C9">
            <w:pPr>
              <w:jc w:val="center"/>
              <w:rPr>
                <w:szCs w:val="24"/>
              </w:rPr>
            </w:pPr>
          </w:p>
        </w:tc>
      </w:tr>
      <w:tr w:rsidR="005154C9" w:rsidRPr="002C3790" w14:paraId="0BE83A14" w14:textId="4D27F53F" w:rsidTr="00B06F23">
        <w:trPr>
          <w:cantSplit/>
          <w:trHeight w:val="170"/>
          <w:jc w:val="center"/>
        </w:trPr>
        <w:tc>
          <w:tcPr>
            <w:tcW w:w="1228" w:type="pct"/>
          </w:tcPr>
          <w:p w14:paraId="0D9D1235" w14:textId="77777777" w:rsidR="005154C9" w:rsidRPr="00741C26" w:rsidRDefault="005154C9" w:rsidP="005154C9">
            <w:pPr>
              <w:jc w:val="left"/>
              <w:rPr>
                <w:szCs w:val="24"/>
              </w:rPr>
            </w:pPr>
            <w:r w:rsidRPr="00741C26">
              <w:rPr>
                <w:szCs w:val="24"/>
              </w:rPr>
              <w:t xml:space="preserve">     30 − 49%, n (%)</w:t>
            </w:r>
          </w:p>
        </w:tc>
        <w:tc>
          <w:tcPr>
            <w:tcW w:w="755" w:type="pct"/>
          </w:tcPr>
          <w:p w14:paraId="5DD03087" w14:textId="77777777" w:rsidR="005154C9" w:rsidRPr="00741C26" w:rsidRDefault="005154C9" w:rsidP="005154C9">
            <w:pPr>
              <w:jc w:val="center"/>
              <w:rPr>
                <w:szCs w:val="24"/>
                <w:highlight w:val="yellow"/>
              </w:rPr>
            </w:pPr>
            <w:r w:rsidRPr="00741C26">
              <w:rPr>
                <w:szCs w:val="24"/>
              </w:rPr>
              <w:t>1870 (29.1%)</w:t>
            </w:r>
          </w:p>
        </w:tc>
        <w:tc>
          <w:tcPr>
            <w:tcW w:w="755" w:type="pct"/>
          </w:tcPr>
          <w:p w14:paraId="3957E6AC" w14:textId="01D59C79" w:rsidR="005154C9" w:rsidRPr="00741C26" w:rsidRDefault="005154C9" w:rsidP="005154C9">
            <w:pPr>
              <w:jc w:val="center"/>
              <w:rPr>
                <w:szCs w:val="24"/>
              </w:rPr>
            </w:pPr>
            <w:r w:rsidRPr="00CB1701">
              <w:rPr>
                <w:szCs w:val="24"/>
              </w:rPr>
              <w:t>676 (30.5%)</w:t>
            </w:r>
          </w:p>
        </w:tc>
        <w:tc>
          <w:tcPr>
            <w:tcW w:w="755" w:type="pct"/>
          </w:tcPr>
          <w:p w14:paraId="3EBA5682" w14:textId="7AE090B7" w:rsidR="005154C9" w:rsidRPr="00741C26" w:rsidRDefault="005154C9" w:rsidP="005154C9">
            <w:pPr>
              <w:jc w:val="center"/>
              <w:rPr>
                <w:szCs w:val="24"/>
              </w:rPr>
            </w:pPr>
            <w:r w:rsidRPr="00CB1701">
              <w:rPr>
                <w:szCs w:val="24"/>
              </w:rPr>
              <w:t>502 (28.6%)</w:t>
            </w:r>
          </w:p>
        </w:tc>
        <w:tc>
          <w:tcPr>
            <w:tcW w:w="755" w:type="pct"/>
          </w:tcPr>
          <w:p w14:paraId="176941D7" w14:textId="141CB69E" w:rsidR="005154C9" w:rsidRPr="00741C26" w:rsidRDefault="005154C9" w:rsidP="005154C9">
            <w:pPr>
              <w:jc w:val="center"/>
              <w:rPr>
                <w:szCs w:val="24"/>
              </w:rPr>
            </w:pPr>
            <w:r w:rsidRPr="00CB1701">
              <w:rPr>
                <w:szCs w:val="24"/>
              </w:rPr>
              <w:t>692 (28.2%)</w:t>
            </w:r>
          </w:p>
        </w:tc>
        <w:tc>
          <w:tcPr>
            <w:tcW w:w="752" w:type="pct"/>
          </w:tcPr>
          <w:p w14:paraId="10F84AD4" w14:textId="05FB57E9" w:rsidR="005154C9" w:rsidRPr="00741C26" w:rsidRDefault="005154C9" w:rsidP="005154C9">
            <w:pPr>
              <w:jc w:val="center"/>
              <w:rPr>
                <w:szCs w:val="24"/>
              </w:rPr>
            </w:pPr>
          </w:p>
        </w:tc>
      </w:tr>
      <w:tr w:rsidR="005154C9" w:rsidRPr="002C3790" w14:paraId="50388C37" w14:textId="205B71CC" w:rsidTr="00B06F23">
        <w:trPr>
          <w:cantSplit/>
          <w:trHeight w:val="170"/>
          <w:jc w:val="center"/>
        </w:trPr>
        <w:tc>
          <w:tcPr>
            <w:tcW w:w="1228" w:type="pct"/>
          </w:tcPr>
          <w:p w14:paraId="6708C21E" w14:textId="77777777" w:rsidR="005154C9" w:rsidRPr="00741C26" w:rsidRDefault="005154C9" w:rsidP="005154C9">
            <w:pPr>
              <w:jc w:val="left"/>
              <w:rPr>
                <w:szCs w:val="24"/>
              </w:rPr>
            </w:pPr>
            <w:r w:rsidRPr="00741C26">
              <w:rPr>
                <w:i/>
                <w:szCs w:val="24"/>
              </w:rPr>
              <w:t xml:space="preserve">     &lt; </w:t>
            </w:r>
            <w:r w:rsidRPr="00741C26">
              <w:rPr>
                <w:szCs w:val="24"/>
              </w:rPr>
              <w:t>30%, n (%)</w:t>
            </w:r>
          </w:p>
        </w:tc>
        <w:tc>
          <w:tcPr>
            <w:tcW w:w="755" w:type="pct"/>
          </w:tcPr>
          <w:p w14:paraId="560BE338" w14:textId="77777777" w:rsidR="005154C9" w:rsidRPr="00741C26" w:rsidRDefault="005154C9" w:rsidP="005154C9">
            <w:pPr>
              <w:jc w:val="center"/>
              <w:rPr>
                <w:szCs w:val="24"/>
                <w:highlight w:val="yellow"/>
              </w:rPr>
            </w:pPr>
            <w:r w:rsidRPr="00741C26">
              <w:rPr>
                <w:szCs w:val="24"/>
              </w:rPr>
              <w:t>585 (9.11%)</w:t>
            </w:r>
          </w:p>
        </w:tc>
        <w:tc>
          <w:tcPr>
            <w:tcW w:w="755" w:type="pct"/>
          </w:tcPr>
          <w:p w14:paraId="3A50E534" w14:textId="2870BC4D" w:rsidR="005154C9" w:rsidRPr="00741C26" w:rsidRDefault="005154C9" w:rsidP="005154C9">
            <w:pPr>
              <w:jc w:val="center"/>
              <w:rPr>
                <w:szCs w:val="24"/>
              </w:rPr>
            </w:pPr>
            <w:r w:rsidRPr="00CB1701">
              <w:rPr>
                <w:szCs w:val="24"/>
              </w:rPr>
              <w:t>272 (12.3%)</w:t>
            </w:r>
          </w:p>
        </w:tc>
        <w:tc>
          <w:tcPr>
            <w:tcW w:w="755" w:type="pct"/>
          </w:tcPr>
          <w:p w14:paraId="3C7FF8A3" w14:textId="07F4A8EC" w:rsidR="005154C9" w:rsidRPr="00741C26" w:rsidRDefault="005154C9" w:rsidP="005154C9">
            <w:pPr>
              <w:jc w:val="center"/>
              <w:rPr>
                <w:szCs w:val="24"/>
              </w:rPr>
            </w:pPr>
            <w:r w:rsidRPr="00CB1701">
              <w:rPr>
                <w:szCs w:val="24"/>
              </w:rPr>
              <w:t>165 (9.41%)</w:t>
            </w:r>
          </w:p>
        </w:tc>
        <w:tc>
          <w:tcPr>
            <w:tcW w:w="755" w:type="pct"/>
          </w:tcPr>
          <w:p w14:paraId="3C843BF4" w14:textId="50011C22" w:rsidR="005154C9" w:rsidRPr="00741C26" w:rsidRDefault="005154C9" w:rsidP="005154C9">
            <w:pPr>
              <w:jc w:val="center"/>
              <w:rPr>
                <w:szCs w:val="24"/>
              </w:rPr>
            </w:pPr>
            <w:r w:rsidRPr="00CB1701">
              <w:rPr>
                <w:szCs w:val="24"/>
              </w:rPr>
              <w:t>148 (6.03%)</w:t>
            </w:r>
          </w:p>
        </w:tc>
        <w:tc>
          <w:tcPr>
            <w:tcW w:w="752" w:type="pct"/>
          </w:tcPr>
          <w:p w14:paraId="6F295D39" w14:textId="5C2DF6A1" w:rsidR="005154C9" w:rsidRPr="00741C26" w:rsidRDefault="005154C9" w:rsidP="005154C9">
            <w:pPr>
              <w:jc w:val="center"/>
              <w:rPr>
                <w:szCs w:val="24"/>
              </w:rPr>
            </w:pPr>
          </w:p>
        </w:tc>
      </w:tr>
      <w:tr w:rsidR="005154C9" w:rsidRPr="002C3790" w14:paraId="0C3A4EB0" w14:textId="20EA43CD" w:rsidTr="00B06F23">
        <w:trPr>
          <w:cantSplit/>
          <w:trHeight w:val="170"/>
          <w:jc w:val="center"/>
        </w:trPr>
        <w:tc>
          <w:tcPr>
            <w:tcW w:w="1228" w:type="pct"/>
          </w:tcPr>
          <w:p w14:paraId="2467EDE7" w14:textId="77777777" w:rsidR="005154C9" w:rsidRPr="00741C26" w:rsidRDefault="005154C9" w:rsidP="005154C9">
            <w:pPr>
              <w:jc w:val="left"/>
              <w:rPr>
                <w:szCs w:val="24"/>
              </w:rPr>
            </w:pPr>
            <w:r w:rsidRPr="00741C26">
              <w:rPr>
                <w:szCs w:val="24"/>
              </w:rPr>
              <w:t>Procedure Urgency</w:t>
            </w:r>
          </w:p>
        </w:tc>
        <w:tc>
          <w:tcPr>
            <w:tcW w:w="755" w:type="pct"/>
          </w:tcPr>
          <w:p w14:paraId="421E7B2E" w14:textId="77777777" w:rsidR="005154C9" w:rsidRPr="00741C26" w:rsidRDefault="005154C9" w:rsidP="005154C9">
            <w:pPr>
              <w:jc w:val="center"/>
              <w:rPr>
                <w:szCs w:val="24"/>
              </w:rPr>
            </w:pPr>
          </w:p>
        </w:tc>
        <w:tc>
          <w:tcPr>
            <w:tcW w:w="755" w:type="pct"/>
          </w:tcPr>
          <w:p w14:paraId="5CD7D829" w14:textId="77777777" w:rsidR="005154C9" w:rsidRPr="00741C26" w:rsidRDefault="005154C9" w:rsidP="005154C9">
            <w:pPr>
              <w:jc w:val="center"/>
              <w:rPr>
                <w:szCs w:val="24"/>
              </w:rPr>
            </w:pPr>
          </w:p>
        </w:tc>
        <w:tc>
          <w:tcPr>
            <w:tcW w:w="755" w:type="pct"/>
          </w:tcPr>
          <w:p w14:paraId="7F6573E8" w14:textId="77777777" w:rsidR="005154C9" w:rsidRPr="00741C26" w:rsidRDefault="005154C9" w:rsidP="005154C9">
            <w:pPr>
              <w:jc w:val="center"/>
              <w:rPr>
                <w:szCs w:val="24"/>
              </w:rPr>
            </w:pPr>
          </w:p>
        </w:tc>
        <w:tc>
          <w:tcPr>
            <w:tcW w:w="755" w:type="pct"/>
          </w:tcPr>
          <w:p w14:paraId="7B218A7D" w14:textId="77777777" w:rsidR="005154C9" w:rsidRPr="00741C26" w:rsidRDefault="005154C9" w:rsidP="005154C9">
            <w:pPr>
              <w:jc w:val="center"/>
              <w:rPr>
                <w:szCs w:val="24"/>
              </w:rPr>
            </w:pPr>
          </w:p>
        </w:tc>
        <w:tc>
          <w:tcPr>
            <w:tcW w:w="752" w:type="pct"/>
          </w:tcPr>
          <w:p w14:paraId="5637DF1F" w14:textId="6622C9D3" w:rsidR="005154C9" w:rsidRPr="00741C26" w:rsidRDefault="007A39CC" w:rsidP="005154C9">
            <w:pPr>
              <w:jc w:val="center"/>
              <w:rPr>
                <w:szCs w:val="24"/>
              </w:rPr>
            </w:pPr>
            <w:r>
              <w:rPr>
                <w:szCs w:val="24"/>
              </w:rPr>
              <w:t>0.161</w:t>
            </w:r>
          </w:p>
        </w:tc>
      </w:tr>
      <w:tr w:rsidR="005154C9" w:rsidRPr="002C3790" w14:paraId="4BDE9EB5" w14:textId="38778553" w:rsidTr="00B06F23">
        <w:trPr>
          <w:cantSplit/>
          <w:trHeight w:val="170"/>
          <w:jc w:val="center"/>
        </w:trPr>
        <w:tc>
          <w:tcPr>
            <w:tcW w:w="1228" w:type="pct"/>
          </w:tcPr>
          <w:p w14:paraId="33E964FE" w14:textId="77777777" w:rsidR="005154C9" w:rsidRPr="00741C26" w:rsidRDefault="005154C9" w:rsidP="005154C9">
            <w:pPr>
              <w:jc w:val="left"/>
              <w:rPr>
                <w:szCs w:val="24"/>
              </w:rPr>
            </w:pPr>
            <w:r w:rsidRPr="00741C26">
              <w:rPr>
                <w:szCs w:val="24"/>
              </w:rPr>
              <w:t xml:space="preserve">     Elective, n (%)</w:t>
            </w:r>
          </w:p>
        </w:tc>
        <w:tc>
          <w:tcPr>
            <w:tcW w:w="755" w:type="pct"/>
          </w:tcPr>
          <w:p w14:paraId="1BD440D0" w14:textId="77777777" w:rsidR="005154C9" w:rsidRPr="00741C26" w:rsidRDefault="005154C9" w:rsidP="005154C9">
            <w:pPr>
              <w:jc w:val="center"/>
              <w:rPr>
                <w:szCs w:val="24"/>
              </w:rPr>
            </w:pPr>
            <w:r w:rsidRPr="00741C26">
              <w:rPr>
                <w:szCs w:val="24"/>
              </w:rPr>
              <w:t>5624 (87.6%)</w:t>
            </w:r>
          </w:p>
        </w:tc>
        <w:tc>
          <w:tcPr>
            <w:tcW w:w="755" w:type="pct"/>
          </w:tcPr>
          <w:p w14:paraId="2BD90EC7" w14:textId="20525803" w:rsidR="005154C9" w:rsidRPr="00741C26" w:rsidRDefault="005154C9" w:rsidP="005154C9">
            <w:pPr>
              <w:jc w:val="center"/>
              <w:rPr>
                <w:szCs w:val="24"/>
              </w:rPr>
            </w:pPr>
            <w:r w:rsidRPr="00CB1701">
              <w:rPr>
                <w:szCs w:val="24"/>
              </w:rPr>
              <w:t>1911 (86.4%)</w:t>
            </w:r>
          </w:p>
        </w:tc>
        <w:tc>
          <w:tcPr>
            <w:tcW w:w="755" w:type="pct"/>
          </w:tcPr>
          <w:p w14:paraId="4A459B35" w14:textId="12072191" w:rsidR="005154C9" w:rsidRPr="00741C26" w:rsidRDefault="005154C9" w:rsidP="005154C9">
            <w:pPr>
              <w:jc w:val="center"/>
              <w:rPr>
                <w:szCs w:val="24"/>
              </w:rPr>
            </w:pPr>
            <w:r w:rsidRPr="00CB1701">
              <w:rPr>
                <w:szCs w:val="24"/>
              </w:rPr>
              <w:t>1550 (88.4%)</w:t>
            </w:r>
          </w:p>
        </w:tc>
        <w:tc>
          <w:tcPr>
            <w:tcW w:w="755" w:type="pct"/>
          </w:tcPr>
          <w:p w14:paraId="1170E41D" w14:textId="369F6D2D" w:rsidR="005154C9" w:rsidRPr="00741C26" w:rsidRDefault="005154C9" w:rsidP="005154C9">
            <w:pPr>
              <w:jc w:val="center"/>
              <w:rPr>
                <w:szCs w:val="24"/>
              </w:rPr>
            </w:pPr>
            <w:r w:rsidRPr="00CB1701">
              <w:rPr>
                <w:szCs w:val="24"/>
              </w:rPr>
              <w:t>2163 (88.2%)</w:t>
            </w:r>
          </w:p>
        </w:tc>
        <w:tc>
          <w:tcPr>
            <w:tcW w:w="752" w:type="pct"/>
          </w:tcPr>
          <w:p w14:paraId="5C428B8E" w14:textId="08FB2FCB" w:rsidR="005154C9" w:rsidRPr="00741C26" w:rsidRDefault="005154C9" w:rsidP="005154C9">
            <w:pPr>
              <w:jc w:val="center"/>
              <w:rPr>
                <w:szCs w:val="24"/>
              </w:rPr>
            </w:pPr>
          </w:p>
        </w:tc>
      </w:tr>
      <w:tr w:rsidR="005154C9" w:rsidRPr="002C3790" w14:paraId="0600AEA4" w14:textId="7FF0AE95" w:rsidTr="00B06F23">
        <w:trPr>
          <w:cantSplit/>
          <w:trHeight w:val="170"/>
          <w:jc w:val="center"/>
        </w:trPr>
        <w:tc>
          <w:tcPr>
            <w:tcW w:w="1228" w:type="pct"/>
          </w:tcPr>
          <w:p w14:paraId="367B6178" w14:textId="77777777" w:rsidR="005154C9" w:rsidRPr="00741C26" w:rsidRDefault="005154C9" w:rsidP="005154C9">
            <w:pPr>
              <w:jc w:val="left"/>
              <w:rPr>
                <w:szCs w:val="24"/>
              </w:rPr>
            </w:pPr>
            <w:r w:rsidRPr="00741C26">
              <w:rPr>
                <w:szCs w:val="24"/>
              </w:rPr>
              <w:t xml:space="preserve">     Urgent, n (%)</w:t>
            </w:r>
          </w:p>
        </w:tc>
        <w:tc>
          <w:tcPr>
            <w:tcW w:w="755" w:type="pct"/>
          </w:tcPr>
          <w:p w14:paraId="3656F8A9" w14:textId="77777777" w:rsidR="005154C9" w:rsidRPr="00741C26" w:rsidRDefault="005154C9" w:rsidP="005154C9">
            <w:pPr>
              <w:jc w:val="center"/>
              <w:rPr>
                <w:szCs w:val="24"/>
              </w:rPr>
            </w:pPr>
            <w:r w:rsidRPr="00741C26">
              <w:rPr>
                <w:szCs w:val="24"/>
              </w:rPr>
              <w:t>749 (11.7%)</w:t>
            </w:r>
          </w:p>
        </w:tc>
        <w:tc>
          <w:tcPr>
            <w:tcW w:w="755" w:type="pct"/>
          </w:tcPr>
          <w:p w14:paraId="6E0A61F4" w14:textId="41A1A48B" w:rsidR="005154C9" w:rsidRPr="00741C26" w:rsidRDefault="005154C9" w:rsidP="005154C9">
            <w:pPr>
              <w:jc w:val="center"/>
              <w:rPr>
                <w:szCs w:val="24"/>
              </w:rPr>
            </w:pPr>
            <w:r w:rsidRPr="00CB1701">
              <w:rPr>
                <w:szCs w:val="24"/>
              </w:rPr>
              <w:t>280 (12.7%)</w:t>
            </w:r>
          </w:p>
        </w:tc>
        <w:tc>
          <w:tcPr>
            <w:tcW w:w="755" w:type="pct"/>
          </w:tcPr>
          <w:p w14:paraId="6148D737" w14:textId="713240D5" w:rsidR="005154C9" w:rsidRPr="00741C26" w:rsidRDefault="005154C9" w:rsidP="005154C9">
            <w:pPr>
              <w:jc w:val="center"/>
              <w:rPr>
                <w:szCs w:val="24"/>
              </w:rPr>
            </w:pPr>
            <w:r w:rsidRPr="00CB1701">
              <w:rPr>
                <w:szCs w:val="24"/>
              </w:rPr>
              <w:t>193 (11.0%)</w:t>
            </w:r>
          </w:p>
        </w:tc>
        <w:tc>
          <w:tcPr>
            <w:tcW w:w="755" w:type="pct"/>
          </w:tcPr>
          <w:p w14:paraId="1E95FDE9" w14:textId="2FEE3180" w:rsidR="005154C9" w:rsidRPr="00741C26" w:rsidRDefault="005154C9" w:rsidP="005154C9">
            <w:pPr>
              <w:jc w:val="center"/>
              <w:rPr>
                <w:szCs w:val="24"/>
              </w:rPr>
            </w:pPr>
            <w:r w:rsidRPr="00CB1701">
              <w:rPr>
                <w:szCs w:val="24"/>
              </w:rPr>
              <w:t>276 (11.3%)</w:t>
            </w:r>
          </w:p>
        </w:tc>
        <w:tc>
          <w:tcPr>
            <w:tcW w:w="752" w:type="pct"/>
          </w:tcPr>
          <w:p w14:paraId="4F668ED4" w14:textId="77BB1FAF" w:rsidR="005154C9" w:rsidRPr="00741C26" w:rsidRDefault="005154C9" w:rsidP="005154C9">
            <w:pPr>
              <w:jc w:val="center"/>
              <w:rPr>
                <w:szCs w:val="24"/>
              </w:rPr>
            </w:pPr>
          </w:p>
        </w:tc>
      </w:tr>
      <w:tr w:rsidR="005154C9" w:rsidRPr="002C3790" w14:paraId="5D16CFF3" w14:textId="2C8228DE" w:rsidTr="00B06F23">
        <w:trPr>
          <w:cantSplit/>
          <w:trHeight w:val="170"/>
          <w:jc w:val="center"/>
        </w:trPr>
        <w:tc>
          <w:tcPr>
            <w:tcW w:w="1228" w:type="pct"/>
          </w:tcPr>
          <w:p w14:paraId="63388A04" w14:textId="77777777" w:rsidR="005154C9" w:rsidRPr="00741C26" w:rsidRDefault="005154C9" w:rsidP="005154C9">
            <w:pPr>
              <w:jc w:val="left"/>
              <w:rPr>
                <w:szCs w:val="24"/>
              </w:rPr>
            </w:pPr>
            <w:r w:rsidRPr="00741C26">
              <w:rPr>
                <w:szCs w:val="24"/>
              </w:rPr>
              <w:t xml:space="preserve">     Emergency/ Salvage, n (%)</w:t>
            </w:r>
          </w:p>
        </w:tc>
        <w:tc>
          <w:tcPr>
            <w:tcW w:w="755" w:type="pct"/>
          </w:tcPr>
          <w:p w14:paraId="0B139D63" w14:textId="77777777" w:rsidR="005154C9" w:rsidRPr="00741C26" w:rsidRDefault="005154C9" w:rsidP="005154C9">
            <w:pPr>
              <w:jc w:val="center"/>
              <w:rPr>
                <w:szCs w:val="24"/>
              </w:rPr>
            </w:pPr>
            <w:r w:rsidRPr="00741C26">
              <w:rPr>
                <w:szCs w:val="24"/>
              </w:rPr>
              <w:t>40 (0.62%)</w:t>
            </w:r>
          </w:p>
        </w:tc>
        <w:tc>
          <w:tcPr>
            <w:tcW w:w="755" w:type="pct"/>
          </w:tcPr>
          <w:p w14:paraId="421E9995" w14:textId="42ED32F7" w:rsidR="005154C9" w:rsidRPr="00741C26" w:rsidRDefault="005154C9" w:rsidP="005154C9">
            <w:pPr>
              <w:jc w:val="center"/>
              <w:rPr>
                <w:szCs w:val="24"/>
              </w:rPr>
            </w:pPr>
            <w:r w:rsidRPr="00CB1701">
              <w:rPr>
                <w:szCs w:val="24"/>
              </w:rPr>
              <w:t>19 (0.86%)</w:t>
            </w:r>
          </w:p>
        </w:tc>
        <w:tc>
          <w:tcPr>
            <w:tcW w:w="755" w:type="pct"/>
          </w:tcPr>
          <w:p w14:paraId="292AC5EC" w14:textId="20C91150" w:rsidR="005154C9" w:rsidRPr="00741C26" w:rsidRDefault="005154C9" w:rsidP="005154C9">
            <w:pPr>
              <w:jc w:val="center"/>
              <w:rPr>
                <w:szCs w:val="24"/>
              </w:rPr>
            </w:pPr>
            <w:r w:rsidRPr="00CB1701">
              <w:rPr>
                <w:szCs w:val="24"/>
              </w:rPr>
              <w:t>8 (0.46%)</w:t>
            </w:r>
          </w:p>
        </w:tc>
        <w:tc>
          <w:tcPr>
            <w:tcW w:w="755" w:type="pct"/>
          </w:tcPr>
          <w:p w14:paraId="11108E69" w14:textId="5CA9ECE6" w:rsidR="005154C9" w:rsidRPr="00741C26" w:rsidRDefault="005154C9" w:rsidP="005154C9">
            <w:pPr>
              <w:jc w:val="center"/>
              <w:rPr>
                <w:szCs w:val="24"/>
              </w:rPr>
            </w:pPr>
            <w:r w:rsidRPr="00CB1701">
              <w:rPr>
                <w:szCs w:val="24"/>
              </w:rPr>
              <w:t>13 (0.53%)</w:t>
            </w:r>
          </w:p>
        </w:tc>
        <w:tc>
          <w:tcPr>
            <w:tcW w:w="752" w:type="pct"/>
          </w:tcPr>
          <w:p w14:paraId="18669BED" w14:textId="4BBA262B" w:rsidR="005154C9" w:rsidRPr="00741C26" w:rsidRDefault="005154C9" w:rsidP="005154C9">
            <w:pPr>
              <w:jc w:val="center"/>
              <w:rPr>
                <w:szCs w:val="24"/>
              </w:rPr>
            </w:pPr>
          </w:p>
        </w:tc>
      </w:tr>
      <w:tr w:rsidR="005154C9" w:rsidRPr="002C3790" w14:paraId="6AC19D40" w14:textId="33788D51" w:rsidTr="00B06F23">
        <w:trPr>
          <w:cantSplit/>
          <w:trHeight w:val="170"/>
          <w:jc w:val="center"/>
        </w:trPr>
        <w:tc>
          <w:tcPr>
            <w:tcW w:w="1228" w:type="pct"/>
          </w:tcPr>
          <w:p w14:paraId="4F3493F7" w14:textId="77777777" w:rsidR="005154C9" w:rsidRPr="00741C26" w:rsidRDefault="005154C9" w:rsidP="005154C9">
            <w:pPr>
              <w:jc w:val="left"/>
              <w:rPr>
                <w:szCs w:val="24"/>
              </w:rPr>
            </w:pPr>
            <w:r w:rsidRPr="00741C26">
              <w:rPr>
                <w:szCs w:val="24"/>
              </w:rPr>
              <w:t>Valve Type</w:t>
            </w:r>
          </w:p>
        </w:tc>
        <w:tc>
          <w:tcPr>
            <w:tcW w:w="755" w:type="pct"/>
          </w:tcPr>
          <w:p w14:paraId="2F1D39C8" w14:textId="77777777" w:rsidR="005154C9" w:rsidRPr="00741C26" w:rsidRDefault="005154C9" w:rsidP="005154C9">
            <w:pPr>
              <w:jc w:val="center"/>
              <w:rPr>
                <w:szCs w:val="24"/>
                <w:highlight w:val="yellow"/>
              </w:rPr>
            </w:pPr>
          </w:p>
        </w:tc>
        <w:tc>
          <w:tcPr>
            <w:tcW w:w="755" w:type="pct"/>
          </w:tcPr>
          <w:p w14:paraId="599F3EE0" w14:textId="77777777" w:rsidR="005154C9" w:rsidRPr="00741C26" w:rsidRDefault="005154C9" w:rsidP="005154C9">
            <w:pPr>
              <w:jc w:val="center"/>
              <w:rPr>
                <w:szCs w:val="24"/>
                <w:highlight w:val="yellow"/>
              </w:rPr>
            </w:pPr>
          </w:p>
        </w:tc>
        <w:tc>
          <w:tcPr>
            <w:tcW w:w="755" w:type="pct"/>
          </w:tcPr>
          <w:p w14:paraId="0360D1E4" w14:textId="77777777" w:rsidR="005154C9" w:rsidRPr="00741C26" w:rsidRDefault="005154C9" w:rsidP="005154C9">
            <w:pPr>
              <w:jc w:val="center"/>
              <w:rPr>
                <w:szCs w:val="24"/>
                <w:highlight w:val="yellow"/>
              </w:rPr>
            </w:pPr>
          </w:p>
        </w:tc>
        <w:tc>
          <w:tcPr>
            <w:tcW w:w="755" w:type="pct"/>
          </w:tcPr>
          <w:p w14:paraId="3C7545B2" w14:textId="77777777" w:rsidR="005154C9" w:rsidRPr="00741C26" w:rsidRDefault="005154C9" w:rsidP="005154C9">
            <w:pPr>
              <w:jc w:val="center"/>
              <w:rPr>
                <w:szCs w:val="24"/>
                <w:highlight w:val="yellow"/>
              </w:rPr>
            </w:pPr>
          </w:p>
        </w:tc>
        <w:tc>
          <w:tcPr>
            <w:tcW w:w="752" w:type="pct"/>
          </w:tcPr>
          <w:p w14:paraId="32D23B70" w14:textId="358FE043" w:rsidR="005154C9" w:rsidRPr="00741C26" w:rsidRDefault="007A39CC" w:rsidP="005154C9">
            <w:pPr>
              <w:jc w:val="center"/>
              <w:rPr>
                <w:szCs w:val="24"/>
                <w:highlight w:val="yellow"/>
              </w:rPr>
            </w:pPr>
            <w:r w:rsidRPr="007A39CC">
              <w:rPr>
                <w:szCs w:val="24"/>
              </w:rPr>
              <w:t>0.248</w:t>
            </w:r>
          </w:p>
        </w:tc>
      </w:tr>
      <w:tr w:rsidR="005154C9" w:rsidRPr="002C3790" w14:paraId="49934443" w14:textId="463EF774" w:rsidTr="00B06F23">
        <w:trPr>
          <w:cantSplit/>
          <w:trHeight w:val="170"/>
          <w:jc w:val="center"/>
        </w:trPr>
        <w:tc>
          <w:tcPr>
            <w:tcW w:w="1228" w:type="pct"/>
          </w:tcPr>
          <w:p w14:paraId="20BA8541" w14:textId="64F510CE" w:rsidR="005154C9" w:rsidRPr="00741C26" w:rsidRDefault="005154C9" w:rsidP="005154C9">
            <w:pPr>
              <w:jc w:val="left"/>
              <w:rPr>
                <w:szCs w:val="24"/>
              </w:rPr>
            </w:pPr>
            <w:r w:rsidRPr="00741C26">
              <w:rPr>
                <w:szCs w:val="24"/>
              </w:rPr>
              <w:t xml:space="preserve">     Edwards SAPIEN, n (%)</w:t>
            </w:r>
          </w:p>
        </w:tc>
        <w:tc>
          <w:tcPr>
            <w:tcW w:w="755" w:type="pct"/>
          </w:tcPr>
          <w:p w14:paraId="2E96E2C2" w14:textId="77777777" w:rsidR="005154C9" w:rsidRPr="00741C26" w:rsidRDefault="005154C9" w:rsidP="005154C9">
            <w:pPr>
              <w:jc w:val="center"/>
              <w:rPr>
                <w:szCs w:val="24"/>
              </w:rPr>
            </w:pPr>
            <w:r w:rsidRPr="00741C26">
              <w:rPr>
                <w:szCs w:val="24"/>
              </w:rPr>
              <w:t>3496 (54.5%)</w:t>
            </w:r>
          </w:p>
        </w:tc>
        <w:tc>
          <w:tcPr>
            <w:tcW w:w="755" w:type="pct"/>
          </w:tcPr>
          <w:p w14:paraId="0F7C3E56" w14:textId="4A1B2BD0" w:rsidR="005154C9" w:rsidRPr="00741C26" w:rsidRDefault="005154C9" w:rsidP="005154C9">
            <w:pPr>
              <w:jc w:val="center"/>
              <w:rPr>
                <w:szCs w:val="24"/>
              </w:rPr>
            </w:pPr>
            <w:r w:rsidRPr="00CB1701">
              <w:rPr>
                <w:szCs w:val="24"/>
              </w:rPr>
              <w:t>1179 (53.3%)</w:t>
            </w:r>
          </w:p>
        </w:tc>
        <w:tc>
          <w:tcPr>
            <w:tcW w:w="755" w:type="pct"/>
          </w:tcPr>
          <w:p w14:paraId="001F441E" w14:textId="0F6C9904" w:rsidR="005154C9" w:rsidRPr="00741C26" w:rsidRDefault="005154C9" w:rsidP="005154C9">
            <w:pPr>
              <w:jc w:val="center"/>
              <w:rPr>
                <w:szCs w:val="24"/>
              </w:rPr>
            </w:pPr>
            <w:r w:rsidRPr="00CB1701">
              <w:rPr>
                <w:szCs w:val="24"/>
              </w:rPr>
              <w:t>938 (53.5%)</w:t>
            </w:r>
          </w:p>
        </w:tc>
        <w:tc>
          <w:tcPr>
            <w:tcW w:w="755" w:type="pct"/>
          </w:tcPr>
          <w:p w14:paraId="5B7597C7" w14:textId="5436E8BF" w:rsidR="005154C9" w:rsidRPr="00741C26" w:rsidRDefault="005154C9" w:rsidP="005154C9">
            <w:pPr>
              <w:jc w:val="center"/>
              <w:rPr>
                <w:szCs w:val="24"/>
              </w:rPr>
            </w:pPr>
            <w:r w:rsidRPr="00CB1701">
              <w:rPr>
                <w:szCs w:val="24"/>
              </w:rPr>
              <w:t>1379 (56.2%)</w:t>
            </w:r>
          </w:p>
        </w:tc>
        <w:tc>
          <w:tcPr>
            <w:tcW w:w="752" w:type="pct"/>
          </w:tcPr>
          <w:p w14:paraId="78A7E6B8" w14:textId="267F4932" w:rsidR="005154C9" w:rsidRPr="00741C26" w:rsidRDefault="005154C9" w:rsidP="005154C9">
            <w:pPr>
              <w:jc w:val="center"/>
              <w:rPr>
                <w:szCs w:val="24"/>
              </w:rPr>
            </w:pPr>
          </w:p>
        </w:tc>
      </w:tr>
      <w:tr w:rsidR="005154C9" w:rsidRPr="002C3790" w14:paraId="02D5400B" w14:textId="5C4B08EB" w:rsidTr="00B06F23">
        <w:trPr>
          <w:cantSplit/>
          <w:trHeight w:val="170"/>
          <w:jc w:val="center"/>
        </w:trPr>
        <w:tc>
          <w:tcPr>
            <w:tcW w:w="1228" w:type="pct"/>
          </w:tcPr>
          <w:p w14:paraId="31AE9688" w14:textId="77777777" w:rsidR="005154C9" w:rsidRPr="00741C26" w:rsidRDefault="005154C9" w:rsidP="005154C9">
            <w:pPr>
              <w:jc w:val="left"/>
              <w:rPr>
                <w:szCs w:val="24"/>
              </w:rPr>
            </w:pPr>
            <w:r w:rsidRPr="00741C26">
              <w:rPr>
                <w:szCs w:val="24"/>
              </w:rPr>
              <w:t xml:space="preserve">     Medtronic CoreValve, n (%)</w:t>
            </w:r>
          </w:p>
        </w:tc>
        <w:tc>
          <w:tcPr>
            <w:tcW w:w="755" w:type="pct"/>
          </w:tcPr>
          <w:p w14:paraId="11D1B13B" w14:textId="77777777" w:rsidR="005154C9" w:rsidRPr="00741C26" w:rsidRDefault="005154C9" w:rsidP="005154C9">
            <w:pPr>
              <w:jc w:val="center"/>
              <w:rPr>
                <w:szCs w:val="24"/>
              </w:rPr>
            </w:pPr>
            <w:r w:rsidRPr="00741C26">
              <w:rPr>
                <w:szCs w:val="24"/>
              </w:rPr>
              <w:t>2680 (41.7%)</w:t>
            </w:r>
          </w:p>
        </w:tc>
        <w:tc>
          <w:tcPr>
            <w:tcW w:w="755" w:type="pct"/>
          </w:tcPr>
          <w:p w14:paraId="6640D709" w14:textId="63524ACA" w:rsidR="005154C9" w:rsidRPr="00741C26" w:rsidRDefault="005154C9" w:rsidP="005154C9">
            <w:pPr>
              <w:jc w:val="center"/>
              <w:rPr>
                <w:szCs w:val="24"/>
              </w:rPr>
            </w:pPr>
            <w:r w:rsidRPr="00CB1701">
              <w:rPr>
                <w:szCs w:val="24"/>
              </w:rPr>
              <w:t>948 (42.8%)</w:t>
            </w:r>
          </w:p>
        </w:tc>
        <w:tc>
          <w:tcPr>
            <w:tcW w:w="755" w:type="pct"/>
          </w:tcPr>
          <w:p w14:paraId="65089F42" w14:textId="670C17B3" w:rsidR="005154C9" w:rsidRPr="00741C26" w:rsidRDefault="005154C9" w:rsidP="005154C9">
            <w:pPr>
              <w:jc w:val="center"/>
              <w:rPr>
                <w:szCs w:val="24"/>
              </w:rPr>
            </w:pPr>
            <w:r w:rsidRPr="00CB1701">
              <w:rPr>
                <w:szCs w:val="24"/>
              </w:rPr>
              <w:t>745 (42.5%)</w:t>
            </w:r>
          </w:p>
        </w:tc>
        <w:tc>
          <w:tcPr>
            <w:tcW w:w="755" w:type="pct"/>
          </w:tcPr>
          <w:p w14:paraId="1A9AD5FD" w14:textId="55F61295" w:rsidR="005154C9" w:rsidRPr="00741C26" w:rsidRDefault="005154C9" w:rsidP="005154C9">
            <w:pPr>
              <w:jc w:val="center"/>
              <w:rPr>
                <w:szCs w:val="24"/>
              </w:rPr>
            </w:pPr>
            <w:r w:rsidRPr="00CB1701">
              <w:rPr>
                <w:szCs w:val="24"/>
              </w:rPr>
              <w:t>987 (40.2%)</w:t>
            </w:r>
          </w:p>
        </w:tc>
        <w:tc>
          <w:tcPr>
            <w:tcW w:w="752" w:type="pct"/>
          </w:tcPr>
          <w:p w14:paraId="45A204C0" w14:textId="6161B16F" w:rsidR="005154C9" w:rsidRPr="00741C26" w:rsidRDefault="005154C9" w:rsidP="005154C9">
            <w:pPr>
              <w:jc w:val="center"/>
              <w:rPr>
                <w:szCs w:val="24"/>
              </w:rPr>
            </w:pPr>
          </w:p>
        </w:tc>
      </w:tr>
      <w:tr w:rsidR="007A39CC" w:rsidRPr="002C3790" w14:paraId="4C097196" w14:textId="77777777" w:rsidTr="00B06F23">
        <w:trPr>
          <w:cantSplit/>
          <w:trHeight w:val="170"/>
          <w:jc w:val="center"/>
        </w:trPr>
        <w:tc>
          <w:tcPr>
            <w:tcW w:w="1228" w:type="pct"/>
          </w:tcPr>
          <w:p w14:paraId="3D96954E" w14:textId="25D5FBF1" w:rsidR="007A39CC" w:rsidRPr="00741C26" w:rsidRDefault="007A39CC" w:rsidP="007A39CC">
            <w:pPr>
              <w:jc w:val="left"/>
              <w:rPr>
                <w:szCs w:val="24"/>
              </w:rPr>
            </w:pPr>
            <w:r>
              <w:rPr>
                <w:szCs w:val="24"/>
              </w:rPr>
              <w:t xml:space="preserve">     Other valve type, n (%)</w:t>
            </w:r>
          </w:p>
        </w:tc>
        <w:tc>
          <w:tcPr>
            <w:tcW w:w="755" w:type="pct"/>
          </w:tcPr>
          <w:p w14:paraId="54EA98D1" w14:textId="64620B52" w:rsidR="007A39CC" w:rsidRPr="00741C26" w:rsidRDefault="007A39CC" w:rsidP="007A39CC">
            <w:pPr>
              <w:jc w:val="center"/>
              <w:rPr>
                <w:szCs w:val="24"/>
              </w:rPr>
            </w:pPr>
            <w:r>
              <w:rPr>
                <w:szCs w:val="24"/>
              </w:rPr>
              <w:t>215 (3.35%)</w:t>
            </w:r>
          </w:p>
        </w:tc>
        <w:tc>
          <w:tcPr>
            <w:tcW w:w="755" w:type="pct"/>
          </w:tcPr>
          <w:p w14:paraId="46F56EB4" w14:textId="352611D5" w:rsidR="007A39CC" w:rsidRPr="00CB1701" w:rsidRDefault="007A39CC" w:rsidP="007A39CC">
            <w:pPr>
              <w:jc w:val="center"/>
              <w:rPr>
                <w:szCs w:val="24"/>
              </w:rPr>
            </w:pPr>
            <w:r>
              <w:rPr>
                <w:szCs w:val="24"/>
              </w:rPr>
              <w:t>75 (3.39%)</w:t>
            </w:r>
          </w:p>
        </w:tc>
        <w:tc>
          <w:tcPr>
            <w:tcW w:w="755" w:type="pct"/>
          </w:tcPr>
          <w:p w14:paraId="50A4D4FE" w14:textId="26BD51DF" w:rsidR="007A39CC" w:rsidRPr="00CB1701" w:rsidRDefault="007A39CC" w:rsidP="007A39CC">
            <w:pPr>
              <w:jc w:val="center"/>
              <w:rPr>
                <w:szCs w:val="24"/>
              </w:rPr>
            </w:pPr>
            <w:r>
              <w:rPr>
                <w:szCs w:val="24"/>
              </w:rPr>
              <w:t>64 (3.65%)</w:t>
            </w:r>
          </w:p>
        </w:tc>
        <w:tc>
          <w:tcPr>
            <w:tcW w:w="755" w:type="pct"/>
          </w:tcPr>
          <w:p w14:paraId="5E8BF9CD" w14:textId="61B01775" w:rsidR="007A39CC" w:rsidRPr="00CB1701" w:rsidRDefault="007A39CC" w:rsidP="007A39CC">
            <w:pPr>
              <w:jc w:val="center"/>
              <w:rPr>
                <w:szCs w:val="24"/>
              </w:rPr>
            </w:pPr>
            <w:r>
              <w:rPr>
                <w:szCs w:val="24"/>
              </w:rPr>
              <w:t>76 (3.10%)</w:t>
            </w:r>
          </w:p>
        </w:tc>
        <w:tc>
          <w:tcPr>
            <w:tcW w:w="752" w:type="pct"/>
          </w:tcPr>
          <w:p w14:paraId="3AFB0C08" w14:textId="2AF8CCCF" w:rsidR="007A39CC" w:rsidRPr="00CB1701" w:rsidRDefault="007A39CC" w:rsidP="007A39CC">
            <w:pPr>
              <w:jc w:val="center"/>
              <w:rPr>
                <w:szCs w:val="24"/>
              </w:rPr>
            </w:pPr>
          </w:p>
        </w:tc>
      </w:tr>
      <w:tr w:rsidR="007A39CC" w:rsidRPr="002C3790" w14:paraId="53527751" w14:textId="739D0A5F" w:rsidTr="00B06F23">
        <w:trPr>
          <w:cantSplit/>
          <w:trHeight w:val="170"/>
          <w:jc w:val="center"/>
        </w:trPr>
        <w:tc>
          <w:tcPr>
            <w:tcW w:w="1228" w:type="pct"/>
          </w:tcPr>
          <w:p w14:paraId="4A068C22" w14:textId="77777777" w:rsidR="007A39CC" w:rsidRPr="00741C26" w:rsidRDefault="007A39CC" w:rsidP="007A39CC">
            <w:pPr>
              <w:jc w:val="left"/>
              <w:rPr>
                <w:szCs w:val="24"/>
              </w:rPr>
            </w:pPr>
            <w:r w:rsidRPr="00741C26">
              <w:rPr>
                <w:szCs w:val="24"/>
              </w:rPr>
              <w:t>Access Route</w:t>
            </w:r>
          </w:p>
        </w:tc>
        <w:tc>
          <w:tcPr>
            <w:tcW w:w="755" w:type="pct"/>
          </w:tcPr>
          <w:p w14:paraId="783ADFA6" w14:textId="77777777" w:rsidR="007A39CC" w:rsidRPr="00741C26" w:rsidRDefault="007A39CC" w:rsidP="007A39CC">
            <w:pPr>
              <w:jc w:val="center"/>
              <w:rPr>
                <w:szCs w:val="24"/>
              </w:rPr>
            </w:pPr>
          </w:p>
        </w:tc>
        <w:tc>
          <w:tcPr>
            <w:tcW w:w="755" w:type="pct"/>
          </w:tcPr>
          <w:p w14:paraId="202F4324" w14:textId="77777777" w:rsidR="007A39CC" w:rsidRPr="00741C26" w:rsidRDefault="007A39CC" w:rsidP="007A39CC">
            <w:pPr>
              <w:jc w:val="center"/>
              <w:rPr>
                <w:szCs w:val="24"/>
              </w:rPr>
            </w:pPr>
          </w:p>
        </w:tc>
        <w:tc>
          <w:tcPr>
            <w:tcW w:w="755" w:type="pct"/>
          </w:tcPr>
          <w:p w14:paraId="25DB15A2" w14:textId="77777777" w:rsidR="007A39CC" w:rsidRPr="00741C26" w:rsidRDefault="007A39CC" w:rsidP="007A39CC">
            <w:pPr>
              <w:jc w:val="center"/>
              <w:rPr>
                <w:szCs w:val="24"/>
              </w:rPr>
            </w:pPr>
          </w:p>
        </w:tc>
        <w:tc>
          <w:tcPr>
            <w:tcW w:w="755" w:type="pct"/>
          </w:tcPr>
          <w:p w14:paraId="1ECF9FEE" w14:textId="77777777" w:rsidR="007A39CC" w:rsidRPr="00741C26" w:rsidRDefault="007A39CC" w:rsidP="007A39CC">
            <w:pPr>
              <w:jc w:val="center"/>
              <w:rPr>
                <w:szCs w:val="24"/>
              </w:rPr>
            </w:pPr>
          </w:p>
        </w:tc>
        <w:tc>
          <w:tcPr>
            <w:tcW w:w="752" w:type="pct"/>
          </w:tcPr>
          <w:p w14:paraId="6AA3C96F" w14:textId="16067600" w:rsidR="007A39CC" w:rsidRPr="00741C26" w:rsidRDefault="007A39CC" w:rsidP="007A39CC">
            <w:pPr>
              <w:jc w:val="center"/>
              <w:rPr>
                <w:szCs w:val="24"/>
              </w:rPr>
            </w:pPr>
            <w:r>
              <w:rPr>
                <w:szCs w:val="24"/>
              </w:rPr>
              <w:t>&lt;0.001</w:t>
            </w:r>
          </w:p>
        </w:tc>
      </w:tr>
      <w:tr w:rsidR="007A39CC" w:rsidRPr="002C3790" w14:paraId="4254CA09" w14:textId="287388F5" w:rsidTr="00B06F23">
        <w:trPr>
          <w:cantSplit/>
          <w:trHeight w:val="170"/>
          <w:jc w:val="center"/>
        </w:trPr>
        <w:tc>
          <w:tcPr>
            <w:tcW w:w="1228" w:type="pct"/>
          </w:tcPr>
          <w:p w14:paraId="1DB845FB" w14:textId="77777777" w:rsidR="007A39CC" w:rsidRPr="00741C26" w:rsidRDefault="007A39CC" w:rsidP="007A39CC">
            <w:pPr>
              <w:jc w:val="left"/>
              <w:rPr>
                <w:szCs w:val="24"/>
              </w:rPr>
            </w:pPr>
            <w:r w:rsidRPr="00741C26">
              <w:rPr>
                <w:szCs w:val="24"/>
              </w:rPr>
              <w:t xml:space="preserve">     TF Access, n (%)</w:t>
            </w:r>
          </w:p>
        </w:tc>
        <w:tc>
          <w:tcPr>
            <w:tcW w:w="755" w:type="pct"/>
          </w:tcPr>
          <w:p w14:paraId="416162B5" w14:textId="77777777" w:rsidR="007A39CC" w:rsidRPr="00741C26" w:rsidRDefault="007A39CC" w:rsidP="007A39CC">
            <w:pPr>
              <w:jc w:val="center"/>
              <w:rPr>
                <w:szCs w:val="24"/>
              </w:rPr>
            </w:pPr>
            <w:r w:rsidRPr="00741C26">
              <w:rPr>
                <w:szCs w:val="24"/>
              </w:rPr>
              <w:t>4795 (74.7%)</w:t>
            </w:r>
          </w:p>
        </w:tc>
        <w:tc>
          <w:tcPr>
            <w:tcW w:w="755" w:type="pct"/>
          </w:tcPr>
          <w:p w14:paraId="49FF27EB" w14:textId="45C6C68B" w:rsidR="007A39CC" w:rsidRPr="00741C26" w:rsidRDefault="007A39CC" w:rsidP="007A39CC">
            <w:pPr>
              <w:jc w:val="center"/>
              <w:rPr>
                <w:szCs w:val="24"/>
              </w:rPr>
            </w:pPr>
            <w:r w:rsidRPr="00CB1701">
              <w:rPr>
                <w:szCs w:val="24"/>
              </w:rPr>
              <w:t>1583 (71.5%)</w:t>
            </w:r>
          </w:p>
        </w:tc>
        <w:tc>
          <w:tcPr>
            <w:tcW w:w="755" w:type="pct"/>
          </w:tcPr>
          <w:p w14:paraId="1961DD95" w14:textId="75BB9FEE" w:rsidR="007A39CC" w:rsidRPr="00741C26" w:rsidRDefault="007A39CC" w:rsidP="007A39CC">
            <w:pPr>
              <w:jc w:val="center"/>
              <w:rPr>
                <w:szCs w:val="24"/>
              </w:rPr>
            </w:pPr>
            <w:r w:rsidRPr="00CB1701">
              <w:rPr>
                <w:szCs w:val="24"/>
              </w:rPr>
              <w:t>1309 (74.6%)</w:t>
            </w:r>
          </w:p>
        </w:tc>
        <w:tc>
          <w:tcPr>
            <w:tcW w:w="755" w:type="pct"/>
          </w:tcPr>
          <w:p w14:paraId="476CC107" w14:textId="39F35AB5" w:rsidR="007A39CC" w:rsidRPr="00741C26" w:rsidRDefault="007A39CC" w:rsidP="007A39CC">
            <w:pPr>
              <w:jc w:val="center"/>
              <w:rPr>
                <w:szCs w:val="24"/>
              </w:rPr>
            </w:pPr>
            <w:r w:rsidRPr="00CB1701">
              <w:rPr>
                <w:szCs w:val="24"/>
              </w:rPr>
              <w:t>1903 (77.6%)</w:t>
            </w:r>
          </w:p>
        </w:tc>
        <w:tc>
          <w:tcPr>
            <w:tcW w:w="752" w:type="pct"/>
          </w:tcPr>
          <w:p w14:paraId="7359EC7A" w14:textId="2E3E954A" w:rsidR="007A39CC" w:rsidRPr="00741C26" w:rsidRDefault="007A39CC" w:rsidP="007A39CC">
            <w:pPr>
              <w:jc w:val="center"/>
              <w:rPr>
                <w:szCs w:val="24"/>
              </w:rPr>
            </w:pPr>
          </w:p>
        </w:tc>
      </w:tr>
      <w:tr w:rsidR="007A39CC" w:rsidRPr="002C3790" w14:paraId="519E63E9" w14:textId="5BD1FD7A" w:rsidTr="00B06F23">
        <w:trPr>
          <w:cantSplit/>
          <w:trHeight w:val="170"/>
          <w:jc w:val="center"/>
        </w:trPr>
        <w:tc>
          <w:tcPr>
            <w:tcW w:w="1228" w:type="pct"/>
          </w:tcPr>
          <w:p w14:paraId="49D78EBD" w14:textId="77777777" w:rsidR="007A39CC" w:rsidRPr="00741C26" w:rsidRDefault="007A39CC" w:rsidP="007A39CC">
            <w:pPr>
              <w:jc w:val="left"/>
              <w:rPr>
                <w:szCs w:val="24"/>
              </w:rPr>
            </w:pPr>
            <w:r w:rsidRPr="00741C26">
              <w:rPr>
                <w:szCs w:val="24"/>
              </w:rPr>
              <w:t xml:space="preserve">      TA Access, n (%)</w:t>
            </w:r>
          </w:p>
        </w:tc>
        <w:tc>
          <w:tcPr>
            <w:tcW w:w="755" w:type="pct"/>
          </w:tcPr>
          <w:p w14:paraId="6D8BCFD5" w14:textId="77777777" w:rsidR="007A39CC" w:rsidRPr="00741C26" w:rsidRDefault="007A39CC" w:rsidP="007A39CC">
            <w:pPr>
              <w:jc w:val="center"/>
              <w:rPr>
                <w:szCs w:val="24"/>
                <w:highlight w:val="yellow"/>
              </w:rPr>
            </w:pPr>
            <w:r w:rsidRPr="00741C26">
              <w:rPr>
                <w:szCs w:val="24"/>
              </w:rPr>
              <w:t>1009 (15.7%)</w:t>
            </w:r>
          </w:p>
        </w:tc>
        <w:tc>
          <w:tcPr>
            <w:tcW w:w="755" w:type="pct"/>
          </w:tcPr>
          <w:p w14:paraId="2F0F625A" w14:textId="363142C1" w:rsidR="007A39CC" w:rsidRPr="00741C26" w:rsidRDefault="007A39CC" w:rsidP="007A39CC">
            <w:pPr>
              <w:jc w:val="center"/>
              <w:rPr>
                <w:szCs w:val="24"/>
              </w:rPr>
            </w:pPr>
            <w:r w:rsidRPr="00CB1701">
              <w:rPr>
                <w:szCs w:val="24"/>
              </w:rPr>
              <w:t>402 (18.2%)</w:t>
            </w:r>
          </w:p>
        </w:tc>
        <w:tc>
          <w:tcPr>
            <w:tcW w:w="755" w:type="pct"/>
          </w:tcPr>
          <w:p w14:paraId="3F08EC64" w14:textId="1ADAC068" w:rsidR="007A39CC" w:rsidRPr="00741C26" w:rsidRDefault="007A39CC" w:rsidP="007A39CC">
            <w:pPr>
              <w:jc w:val="center"/>
              <w:rPr>
                <w:szCs w:val="24"/>
              </w:rPr>
            </w:pPr>
            <w:r w:rsidRPr="00CB1701">
              <w:rPr>
                <w:szCs w:val="24"/>
              </w:rPr>
              <w:t>279 (15.9%)</w:t>
            </w:r>
          </w:p>
        </w:tc>
        <w:tc>
          <w:tcPr>
            <w:tcW w:w="755" w:type="pct"/>
          </w:tcPr>
          <w:p w14:paraId="5C9CDEBD" w14:textId="55140489" w:rsidR="007A39CC" w:rsidRPr="00741C26" w:rsidRDefault="007A39CC" w:rsidP="007A39CC">
            <w:pPr>
              <w:jc w:val="center"/>
              <w:rPr>
                <w:szCs w:val="24"/>
              </w:rPr>
            </w:pPr>
            <w:r w:rsidRPr="00CB1701">
              <w:rPr>
                <w:szCs w:val="24"/>
              </w:rPr>
              <w:t>328 (13.4%)</w:t>
            </w:r>
          </w:p>
        </w:tc>
        <w:tc>
          <w:tcPr>
            <w:tcW w:w="752" w:type="pct"/>
          </w:tcPr>
          <w:p w14:paraId="21F62696" w14:textId="458C3D08" w:rsidR="007A39CC" w:rsidRPr="00741C26" w:rsidRDefault="007A39CC" w:rsidP="007A39CC">
            <w:pPr>
              <w:jc w:val="center"/>
              <w:rPr>
                <w:szCs w:val="24"/>
              </w:rPr>
            </w:pPr>
          </w:p>
        </w:tc>
      </w:tr>
      <w:tr w:rsidR="007A39CC" w:rsidRPr="002C3790" w14:paraId="4DFFE004" w14:textId="77777777" w:rsidTr="00B06F23">
        <w:trPr>
          <w:cantSplit/>
          <w:trHeight w:val="170"/>
          <w:jc w:val="center"/>
        </w:trPr>
        <w:tc>
          <w:tcPr>
            <w:tcW w:w="1228" w:type="pct"/>
          </w:tcPr>
          <w:p w14:paraId="609F5218" w14:textId="569DDFCA" w:rsidR="007A39CC" w:rsidRPr="00741C26" w:rsidRDefault="007A39CC" w:rsidP="007A39CC">
            <w:pPr>
              <w:jc w:val="left"/>
              <w:rPr>
                <w:szCs w:val="24"/>
              </w:rPr>
            </w:pPr>
            <w:r>
              <w:rPr>
                <w:szCs w:val="24"/>
              </w:rPr>
              <w:t xml:space="preserve">     Other Access, n (%)</w:t>
            </w:r>
          </w:p>
        </w:tc>
        <w:tc>
          <w:tcPr>
            <w:tcW w:w="755" w:type="pct"/>
          </w:tcPr>
          <w:p w14:paraId="5B1D4B2B" w14:textId="75A2A1B9" w:rsidR="007A39CC" w:rsidRPr="00741C26" w:rsidRDefault="007A39CC" w:rsidP="007A39CC">
            <w:pPr>
              <w:jc w:val="center"/>
              <w:rPr>
                <w:szCs w:val="24"/>
              </w:rPr>
            </w:pPr>
            <w:r>
              <w:rPr>
                <w:szCs w:val="24"/>
              </w:rPr>
              <w:t>604 (9.41%)</w:t>
            </w:r>
          </w:p>
        </w:tc>
        <w:tc>
          <w:tcPr>
            <w:tcW w:w="755" w:type="pct"/>
          </w:tcPr>
          <w:p w14:paraId="0DD99268" w14:textId="45AC0777" w:rsidR="007A39CC" w:rsidRPr="00CB1701" w:rsidRDefault="007A39CC" w:rsidP="007A39CC">
            <w:pPr>
              <w:jc w:val="center"/>
              <w:rPr>
                <w:szCs w:val="24"/>
              </w:rPr>
            </w:pPr>
            <w:r>
              <w:rPr>
                <w:szCs w:val="24"/>
              </w:rPr>
              <w:t>225 (10.2%)</w:t>
            </w:r>
          </w:p>
        </w:tc>
        <w:tc>
          <w:tcPr>
            <w:tcW w:w="755" w:type="pct"/>
          </w:tcPr>
          <w:p w14:paraId="6ED254D4" w14:textId="05673B8E" w:rsidR="007A39CC" w:rsidRPr="00CB1701" w:rsidRDefault="007A39CC" w:rsidP="007A39CC">
            <w:pPr>
              <w:jc w:val="center"/>
              <w:rPr>
                <w:szCs w:val="24"/>
              </w:rPr>
            </w:pPr>
            <w:r>
              <w:rPr>
                <w:szCs w:val="24"/>
              </w:rPr>
              <w:t>161 (9.18%)</w:t>
            </w:r>
          </w:p>
        </w:tc>
        <w:tc>
          <w:tcPr>
            <w:tcW w:w="755" w:type="pct"/>
          </w:tcPr>
          <w:p w14:paraId="160D39EF" w14:textId="3BFF7E6C" w:rsidR="007A39CC" w:rsidRPr="00CB1701" w:rsidRDefault="007A39CC" w:rsidP="007A39CC">
            <w:pPr>
              <w:jc w:val="center"/>
              <w:rPr>
                <w:szCs w:val="24"/>
              </w:rPr>
            </w:pPr>
            <w:r>
              <w:rPr>
                <w:szCs w:val="24"/>
              </w:rPr>
              <w:t>218 (8.89%)</w:t>
            </w:r>
          </w:p>
        </w:tc>
        <w:tc>
          <w:tcPr>
            <w:tcW w:w="752" w:type="pct"/>
          </w:tcPr>
          <w:p w14:paraId="1474557A" w14:textId="2D13F98A" w:rsidR="007A39CC" w:rsidRPr="00CB1701" w:rsidRDefault="007A39CC" w:rsidP="007A39CC">
            <w:pPr>
              <w:jc w:val="center"/>
              <w:rPr>
                <w:szCs w:val="24"/>
              </w:rPr>
            </w:pPr>
          </w:p>
        </w:tc>
      </w:tr>
      <w:tr w:rsidR="007A39CC" w:rsidRPr="002C3790" w14:paraId="0D6EA23E" w14:textId="7B33063B" w:rsidTr="00B06F23">
        <w:trPr>
          <w:cantSplit/>
          <w:trHeight w:val="170"/>
          <w:jc w:val="center"/>
        </w:trPr>
        <w:tc>
          <w:tcPr>
            <w:tcW w:w="1228" w:type="pct"/>
          </w:tcPr>
          <w:p w14:paraId="446BCC31" w14:textId="76DD6309" w:rsidR="007A39CC" w:rsidRPr="00741C26" w:rsidRDefault="007A39CC" w:rsidP="007A39CC">
            <w:pPr>
              <w:jc w:val="left"/>
              <w:rPr>
                <w:szCs w:val="24"/>
              </w:rPr>
            </w:pPr>
            <w:r w:rsidRPr="00741C26">
              <w:rPr>
                <w:szCs w:val="24"/>
              </w:rPr>
              <w:t xml:space="preserve">Logistic EuroSCORE, mean [range] </w:t>
            </w:r>
            <w:r w:rsidRPr="005154C9">
              <w:rPr>
                <w:szCs w:val="24"/>
              </w:rPr>
              <w:t>‡</w:t>
            </w:r>
          </w:p>
        </w:tc>
        <w:tc>
          <w:tcPr>
            <w:tcW w:w="755" w:type="pct"/>
          </w:tcPr>
          <w:p w14:paraId="768558E0" w14:textId="77777777" w:rsidR="007A39CC" w:rsidRPr="00741C26" w:rsidRDefault="007A39CC" w:rsidP="007A39CC">
            <w:pPr>
              <w:jc w:val="center"/>
              <w:rPr>
                <w:szCs w:val="24"/>
              </w:rPr>
            </w:pPr>
            <w:r w:rsidRPr="00741C26">
              <w:rPr>
                <w:szCs w:val="24"/>
              </w:rPr>
              <w:t>21.9 [1.51-93.6]</w:t>
            </w:r>
          </w:p>
        </w:tc>
        <w:tc>
          <w:tcPr>
            <w:tcW w:w="755" w:type="pct"/>
            <w:shd w:val="clear" w:color="auto" w:fill="auto"/>
          </w:tcPr>
          <w:p w14:paraId="47F5F42D" w14:textId="6065A28E" w:rsidR="007A39CC" w:rsidRPr="00B9151C" w:rsidRDefault="007A39CC" w:rsidP="007A39CC">
            <w:pPr>
              <w:jc w:val="center"/>
              <w:rPr>
                <w:szCs w:val="24"/>
              </w:rPr>
            </w:pPr>
            <w:r w:rsidRPr="00B9151C">
              <w:rPr>
                <w:szCs w:val="24"/>
              </w:rPr>
              <w:t>18.4 [1.51-86.0]</w:t>
            </w:r>
          </w:p>
        </w:tc>
        <w:tc>
          <w:tcPr>
            <w:tcW w:w="755" w:type="pct"/>
            <w:shd w:val="clear" w:color="auto" w:fill="auto"/>
          </w:tcPr>
          <w:p w14:paraId="3B12313F" w14:textId="361A10DC" w:rsidR="007A39CC" w:rsidRPr="00B9151C" w:rsidRDefault="007A39CC" w:rsidP="007A39CC">
            <w:pPr>
              <w:jc w:val="center"/>
              <w:rPr>
                <w:szCs w:val="24"/>
              </w:rPr>
            </w:pPr>
            <w:r w:rsidRPr="00B9151C">
              <w:rPr>
                <w:szCs w:val="24"/>
              </w:rPr>
              <w:t>23.2 [5.83-91.1]</w:t>
            </w:r>
          </w:p>
        </w:tc>
        <w:tc>
          <w:tcPr>
            <w:tcW w:w="755" w:type="pct"/>
            <w:shd w:val="clear" w:color="auto" w:fill="auto"/>
          </w:tcPr>
          <w:p w14:paraId="40BE3260" w14:textId="2105884A" w:rsidR="007A39CC" w:rsidRPr="00B9151C" w:rsidRDefault="007A39CC" w:rsidP="007A39CC">
            <w:pPr>
              <w:jc w:val="center"/>
              <w:rPr>
                <w:szCs w:val="24"/>
              </w:rPr>
            </w:pPr>
            <w:r w:rsidRPr="00B9151C">
              <w:rPr>
                <w:szCs w:val="24"/>
              </w:rPr>
              <w:t>24.0 [7.96-93.6]</w:t>
            </w:r>
          </w:p>
        </w:tc>
        <w:tc>
          <w:tcPr>
            <w:tcW w:w="752" w:type="pct"/>
            <w:shd w:val="clear" w:color="auto" w:fill="auto"/>
          </w:tcPr>
          <w:p w14:paraId="6F82F90C" w14:textId="6C4A337B" w:rsidR="007A39CC" w:rsidRPr="00B9151C" w:rsidRDefault="007A39CC" w:rsidP="007A39CC">
            <w:pPr>
              <w:jc w:val="center"/>
              <w:rPr>
                <w:szCs w:val="24"/>
              </w:rPr>
            </w:pPr>
            <w:r w:rsidRPr="00B9151C">
              <w:rPr>
                <w:szCs w:val="24"/>
              </w:rPr>
              <w:t>&lt;0.001</w:t>
            </w:r>
          </w:p>
        </w:tc>
      </w:tr>
      <w:tr w:rsidR="007A39CC" w:rsidRPr="002C3790" w14:paraId="3595C4A2" w14:textId="0E9925B1" w:rsidTr="00B06F23">
        <w:trPr>
          <w:cantSplit/>
          <w:trHeight w:val="170"/>
          <w:jc w:val="center"/>
        </w:trPr>
        <w:tc>
          <w:tcPr>
            <w:tcW w:w="1228" w:type="pct"/>
            <w:tcBorders>
              <w:bottom w:val="single" w:sz="4" w:space="0" w:color="auto"/>
            </w:tcBorders>
          </w:tcPr>
          <w:p w14:paraId="6852DE4B" w14:textId="1F5EF136" w:rsidR="007A39CC" w:rsidRPr="00741C26" w:rsidRDefault="007A39CC" w:rsidP="007A39CC">
            <w:pPr>
              <w:jc w:val="left"/>
              <w:rPr>
                <w:szCs w:val="24"/>
              </w:rPr>
            </w:pPr>
            <w:r w:rsidRPr="00741C26">
              <w:rPr>
                <w:szCs w:val="24"/>
              </w:rPr>
              <w:t xml:space="preserve">STS score, mean [range] </w:t>
            </w:r>
            <w:r w:rsidRPr="005154C9">
              <w:rPr>
                <w:szCs w:val="24"/>
              </w:rPr>
              <w:t>‡</w:t>
            </w:r>
          </w:p>
        </w:tc>
        <w:tc>
          <w:tcPr>
            <w:tcW w:w="755" w:type="pct"/>
            <w:tcBorders>
              <w:bottom w:val="single" w:sz="4" w:space="0" w:color="auto"/>
            </w:tcBorders>
          </w:tcPr>
          <w:p w14:paraId="4E26BECF" w14:textId="77777777" w:rsidR="007A39CC" w:rsidRPr="00741C26" w:rsidRDefault="007A39CC" w:rsidP="007A39CC">
            <w:pPr>
              <w:jc w:val="center"/>
              <w:rPr>
                <w:szCs w:val="24"/>
              </w:rPr>
            </w:pPr>
            <w:r w:rsidRPr="00741C26">
              <w:rPr>
                <w:szCs w:val="24"/>
              </w:rPr>
              <w:t>5.06 [0.46-55.4]</w:t>
            </w:r>
          </w:p>
        </w:tc>
        <w:tc>
          <w:tcPr>
            <w:tcW w:w="755" w:type="pct"/>
            <w:tcBorders>
              <w:bottom w:val="single" w:sz="4" w:space="0" w:color="auto"/>
            </w:tcBorders>
            <w:shd w:val="clear" w:color="auto" w:fill="auto"/>
          </w:tcPr>
          <w:p w14:paraId="7A78D550" w14:textId="75A5E327" w:rsidR="007A39CC" w:rsidRPr="00B9151C" w:rsidRDefault="007A39CC" w:rsidP="007A39CC">
            <w:pPr>
              <w:jc w:val="center"/>
              <w:rPr>
                <w:szCs w:val="24"/>
              </w:rPr>
            </w:pPr>
            <w:r w:rsidRPr="00B9151C">
              <w:rPr>
                <w:szCs w:val="24"/>
              </w:rPr>
              <w:t>3.78 [0.46-44.6]</w:t>
            </w:r>
          </w:p>
        </w:tc>
        <w:tc>
          <w:tcPr>
            <w:tcW w:w="755" w:type="pct"/>
            <w:tcBorders>
              <w:bottom w:val="single" w:sz="4" w:space="0" w:color="auto"/>
            </w:tcBorders>
            <w:shd w:val="clear" w:color="auto" w:fill="auto"/>
          </w:tcPr>
          <w:p w14:paraId="1ED89613" w14:textId="7808378A" w:rsidR="007A39CC" w:rsidRPr="00B9151C" w:rsidRDefault="007A39CC" w:rsidP="007A39CC">
            <w:pPr>
              <w:jc w:val="center"/>
              <w:rPr>
                <w:szCs w:val="24"/>
              </w:rPr>
            </w:pPr>
            <w:r w:rsidRPr="00B9151C">
              <w:rPr>
                <w:szCs w:val="24"/>
              </w:rPr>
              <w:t>5.04 [1.15-55.4]</w:t>
            </w:r>
          </w:p>
        </w:tc>
        <w:tc>
          <w:tcPr>
            <w:tcW w:w="755" w:type="pct"/>
            <w:tcBorders>
              <w:bottom w:val="single" w:sz="4" w:space="0" w:color="auto"/>
            </w:tcBorders>
            <w:shd w:val="clear" w:color="auto" w:fill="auto"/>
          </w:tcPr>
          <w:p w14:paraId="0E7BFD6A" w14:textId="6E47AA62" w:rsidR="007A39CC" w:rsidRPr="00B9151C" w:rsidRDefault="007A39CC" w:rsidP="007A39CC">
            <w:pPr>
              <w:jc w:val="center"/>
              <w:rPr>
                <w:szCs w:val="24"/>
              </w:rPr>
            </w:pPr>
            <w:r w:rsidRPr="00B9151C">
              <w:rPr>
                <w:szCs w:val="24"/>
              </w:rPr>
              <w:t>6.22 [1.49-44.8]</w:t>
            </w:r>
          </w:p>
        </w:tc>
        <w:tc>
          <w:tcPr>
            <w:tcW w:w="752" w:type="pct"/>
            <w:tcBorders>
              <w:bottom w:val="single" w:sz="4" w:space="0" w:color="auto"/>
            </w:tcBorders>
            <w:shd w:val="clear" w:color="auto" w:fill="auto"/>
          </w:tcPr>
          <w:p w14:paraId="2447B32C" w14:textId="4E60582E" w:rsidR="007A39CC" w:rsidRPr="00B9151C" w:rsidRDefault="007A39CC" w:rsidP="007A39CC">
            <w:pPr>
              <w:jc w:val="center"/>
              <w:rPr>
                <w:szCs w:val="24"/>
              </w:rPr>
            </w:pPr>
            <w:r w:rsidRPr="00B9151C">
              <w:rPr>
                <w:szCs w:val="24"/>
              </w:rPr>
              <w:t>&lt;0.001</w:t>
            </w:r>
          </w:p>
        </w:tc>
      </w:tr>
    </w:tbl>
    <w:p w14:paraId="26C6860D" w14:textId="7D2058D4" w:rsidR="005154C9" w:rsidRDefault="00AC6940" w:rsidP="005154C9">
      <w:pPr>
        <w:jc w:val="center"/>
        <w:rPr>
          <w:i/>
          <w:sz w:val="22"/>
        </w:rPr>
      </w:pPr>
      <w:r>
        <w:rPr>
          <w:i/>
          <w:sz w:val="22"/>
        </w:rPr>
        <w:t xml:space="preserve">*: p-value indicates the age group comparison. </w:t>
      </w:r>
      <w:r w:rsidR="005154C9" w:rsidRPr="005154C9">
        <w:rPr>
          <w:i/>
          <w:sz w:val="22"/>
        </w:rPr>
        <w:t>†</w:t>
      </w:r>
      <w:r w:rsidR="005154C9">
        <w:rPr>
          <w:i/>
          <w:sz w:val="22"/>
        </w:rPr>
        <w:t>: Defined as creatinine&gt;200</w:t>
      </w:r>
      <w:r w:rsidR="005154C9" w:rsidRPr="003E7ABB">
        <w:rPr>
          <w:i/>
          <w:sz w:val="22"/>
        </w:rPr>
        <w:t>µmol/</w:t>
      </w:r>
      <w:r w:rsidR="005154C9">
        <w:rPr>
          <w:i/>
          <w:sz w:val="22"/>
        </w:rPr>
        <w:t xml:space="preserve">L or dialysis for renal failure. </w:t>
      </w:r>
      <w:r w:rsidR="005154C9" w:rsidRPr="005154C9">
        <w:rPr>
          <w:i/>
          <w:sz w:val="22"/>
        </w:rPr>
        <w:t>‡</w:t>
      </w:r>
      <w:r w:rsidR="005154C9">
        <w:rPr>
          <w:i/>
          <w:sz w:val="22"/>
        </w:rPr>
        <w:t xml:space="preserve">: The logistic EuroSCORE and the </w:t>
      </w:r>
      <w:r w:rsidR="005154C9" w:rsidRPr="00187242">
        <w:rPr>
          <w:i/>
          <w:sz w:val="22"/>
        </w:rPr>
        <w:t>Society of Thoracic Surgeons (STS)</w:t>
      </w:r>
      <w:r w:rsidR="005154C9">
        <w:rPr>
          <w:i/>
          <w:sz w:val="22"/>
        </w:rPr>
        <w:t xml:space="preserve"> score predict the risk of 30-day mortality using a range of risk factors known before the operation. </w:t>
      </w:r>
      <w:r w:rsidR="005154C9" w:rsidRPr="002C3790">
        <w:rPr>
          <w:i/>
          <w:sz w:val="22"/>
        </w:rPr>
        <w:t>LVEF: Left Ventricular Ejection Fraction, MI: Myocardial Infarction,</w:t>
      </w:r>
      <w:r w:rsidR="005154C9">
        <w:rPr>
          <w:i/>
          <w:sz w:val="22"/>
        </w:rPr>
        <w:t xml:space="preserve"> </w:t>
      </w:r>
      <w:r w:rsidR="005154C9" w:rsidRPr="002C3790">
        <w:rPr>
          <w:i/>
          <w:sz w:val="22"/>
        </w:rPr>
        <w:t>NYHA: New York Heart Association Functional Classification, TA: Transapical Access route, TF: Transfemoral Access Route</w:t>
      </w:r>
    </w:p>
    <w:p w14:paraId="56D9E7AC" w14:textId="77777777" w:rsidR="004E483C" w:rsidRDefault="004E483C" w:rsidP="005154C9">
      <w:pPr>
        <w:sectPr w:rsidR="004E483C" w:rsidSect="005154C9">
          <w:pgSz w:w="16838" w:h="11906" w:orient="landscape"/>
          <w:pgMar w:top="1440" w:right="1440" w:bottom="1440" w:left="1440" w:header="708" w:footer="708" w:gutter="0"/>
          <w:cols w:space="708"/>
          <w:docGrid w:linePitch="360"/>
        </w:sectPr>
      </w:pPr>
    </w:p>
    <w:p w14:paraId="7E1AAD7F" w14:textId="4B9F642E" w:rsidR="004E483C" w:rsidRPr="003A5B91" w:rsidRDefault="004E483C" w:rsidP="004E483C">
      <w:pPr>
        <w:pStyle w:val="Heading2"/>
        <w:rPr>
          <w:b w:val="0"/>
        </w:rPr>
      </w:pPr>
      <w:r w:rsidRPr="00C92803">
        <w:t xml:space="preserve">Table </w:t>
      </w:r>
      <w:r w:rsidR="00C92803">
        <w:t>2</w:t>
      </w:r>
      <w:r w:rsidRPr="00C92803">
        <w:t xml:space="preserve">. </w:t>
      </w:r>
      <w:r w:rsidRPr="00C92803">
        <w:rPr>
          <w:b w:val="0"/>
        </w:rPr>
        <w:t>Baseline characteristics across procedure year subgroups.</w:t>
      </w:r>
    </w:p>
    <w:tbl>
      <w:tblPr>
        <w:tblW w:w="5000" w:type="pct"/>
        <w:jc w:val="center"/>
        <w:tblCellMar>
          <w:right w:w="115" w:type="dxa"/>
        </w:tblCellMar>
        <w:tblLook w:val="04A0" w:firstRow="1" w:lastRow="0" w:firstColumn="1" w:lastColumn="0" w:noHBand="0" w:noVBand="1"/>
      </w:tblPr>
      <w:tblGrid>
        <w:gridCol w:w="3616"/>
        <w:gridCol w:w="2300"/>
        <w:gridCol w:w="2310"/>
        <w:gridCol w:w="1023"/>
      </w:tblGrid>
      <w:tr w:rsidR="004E483C" w:rsidRPr="00CB1701" w14:paraId="2CDE6C2F" w14:textId="77777777" w:rsidTr="004E483C">
        <w:trPr>
          <w:cantSplit/>
          <w:trHeight w:val="170"/>
          <w:jc w:val="center"/>
        </w:trPr>
        <w:tc>
          <w:tcPr>
            <w:tcW w:w="1954" w:type="pct"/>
            <w:tcBorders>
              <w:top w:val="single" w:sz="4" w:space="0" w:color="auto"/>
              <w:bottom w:val="single" w:sz="4" w:space="0" w:color="auto"/>
            </w:tcBorders>
          </w:tcPr>
          <w:p w14:paraId="607ED0A1" w14:textId="77777777" w:rsidR="004E483C" w:rsidRPr="00CB1701" w:rsidRDefault="004E483C" w:rsidP="004E483C">
            <w:pPr>
              <w:jc w:val="left"/>
              <w:rPr>
                <w:b/>
                <w:szCs w:val="24"/>
              </w:rPr>
            </w:pPr>
            <w:r w:rsidRPr="00CB1701">
              <w:rPr>
                <w:b/>
                <w:szCs w:val="24"/>
              </w:rPr>
              <w:t>Variable</w:t>
            </w:r>
          </w:p>
        </w:tc>
        <w:tc>
          <w:tcPr>
            <w:tcW w:w="1243" w:type="pct"/>
            <w:tcBorders>
              <w:top w:val="single" w:sz="4" w:space="0" w:color="auto"/>
              <w:bottom w:val="single" w:sz="4" w:space="0" w:color="auto"/>
            </w:tcBorders>
          </w:tcPr>
          <w:p w14:paraId="7C16951D" w14:textId="77777777" w:rsidR="004E483C" w:rsidRPr="00CB1701" w:rsidRDefault="004E483C" w:rsidP="004E483C">
            <w:pPr>
              <w:jc w:val="center"/>
              <w:rPr>
                <w:b/>
                <w:szCs w:val="24"/>
              </w:rPr>
            </w:pPr>
            <w:r w:rsidRPr="00CB1701">
              <w:rPr>
                <w:b/>
                <w:szCs w:val="24"/>
              </w:rPr>
              <w:t>Procedure Year 2007-2010 (n=1528)</w:t>
            </w:r>
          </w:p>
        </w:tc>
        <w:tc>
          <w:tcPr>
            <w:tcW w:w="1249" w:type="pct"/>
            <w:tcBorders>
              <w:top w:val="single" w:sz="4" w:space="0" w:color="auto"/>
              <w:bottom w:val="single" w:sz="4" w:space="0" w:color="auto"/>
            </w:tcBorders>
          </w:tcPr>
          <w:p w14:paraId="09637791" w14:textId="77777777" w:rsidR="004E483C" w:rsidRPr="00CB1701" w:rsidRDefault="004E483C" w:rsidP="004E483C">
            <w:pPr>
              <w:jc w:val="center"/>
              <w:rPr>
                <w:b/>
                <w:szCs w:val="24"/>
              </w:rPr>
            </w:pPr>
            <w:r w:rsidRPr="00CB1701">
              <w:rPr>
                <w:b/>
                <w:szCs w:val="24"/>
              </w:rPr>
              <w:t>Procedure Year 2011-2014 (n=4892)</w:t>
            </w:r>
          </w:p>
        </w:tc>
        <w:tc>
          <w:tcPr>
            <w:tcW w:w="553" w:type="pct"/>
            <w:tcBorders>
              <w:top w:val="single" w:sz="4" w:space="0" w:color="auto"/>
              <w:bottom w:val="single" w:sz="4" w:space="0" w:color="auto"/>
            </w:tcBorders>
          </w:tcPr>
          <w:p w14:paraId="47EEBD3B" w14:textId="77777777" w:rsidR="004E483C" w:rsidRPr="00CB1701" w:rsidRDefault="004E483C" w:rsidP="004E483C">
            <w:pPr>
              <w:jc w:val="center"/>
              <w:rPr>
                <w:b/>
                <w:szCs w:val="24"/>
              </w:rPr>
            </w:pPr>
            <w:r w:rsidRPr="00CB1701">
              <w:rPr>
                <w:b/>
                <w:szCs w:val="24"/>
              </w:rPr>
              <w:t>p-value</w:t>
            </w:r>
          </w:p>
        </w:tc>
      </w:tr>
      <w:tr w:rsidR="004E483C" w:rsidRPr="00CB1701" w14:paraId="6A8D6672" w14:textId="77777777" w:rsidTr="004E483C">
        <w:trPr>
          <w:cantSplit/>
          <w:trHeight w:val="170"/>
          <w:jc w:val="center"/>
        </w:trPr>
        <w:tc>
          <w:tcPr>
            <w:tcW w:w="1954" w:type="pct"/>
            <w:tcBorders>
              <w:top w:val="single" w:sz="4" w:space="0" w:color="auto"/>
            </w:tcBorders>
          </w:tcPr>
          <w:p w14:paraId="6BE90231" w14:textId="77777777" w:rsidR="004E483C" w:rsidRPr="00CB1701" w:rsidRDefault="004E483C" w:rsidP="004E483C">
            <w:pPr>
              <w:jc w:val="left"/>
              <w:rPr>
                <w:szCs w:val="24"/>
              </w:rPr>
            </w:pPr>
            <w:r w:rsidRPr="00CB1701">
              <w:rPr>
                <w:szCs w:val="24"/>
              </w:rPr>
              <w:t>Age, mean [range]</w:t>
            </w:r>
          </w:p>
        </w:tc>
        <w:tc>
          <w:tcPr>
            <w:tcW w:w="1243" w:type="pct"/>
            <w:tcBorders>
              <w:top w:val="single" w:sz="4" w:space="0" w:color="auto"/>
            </w:tcBorders>
          </w:tcPr>
          <w:p w14:paraId="6505F7B4" w14:textId="77777777" w:rsidR="004E483C" w:rsidRPr="00CB1701" w:rsidRDefault="004E483C" w:rsidP="004E483C">
            <w:pPr>
              <w:jc w:val="center"/>
              <w:rPr>
                <w:szCs w:val="24"/>
              </w:rPr>
            </w:pPr>
            <w:r w:rsidRPr="00CB1701">
              <w:rPr>
                <w:szCs w:val="24"/>
              </w:rPr>
              <w:t>81.5 [44-99]</w:t>
            </w:r>
          </w:p>
        </w:tc>
        <w:tc>
          <w:tcPr>
            <w:tcW w:w="1249" w:type="pct"/>
            <w:tcBorders>
              <w:top w:val="single" w:sz="4" w:space="0" w:color="auto"/>
            </w:tcBorders>
          </w:tcPr>
          <w:p w14:paraId="30FC8F6E" w14:textId="77777777" w:rsidR="004E483C" w:rsidRPr="00CB1701" w:rsidRDefault="004E483C" w:rsidP="004E483C">
            <w:pPr>
              <w:jc w:val="center"/>
              <w:rPr>
                <w:szCs w:val="24"/>
              </w:rPr>
            </w:pPr>
            <w:r w:rsidRPr="00CB1701">
              <w:rPr>
                <w:szCs w:val="24"/>
              </w:rPr>
              <w:t>81.2 [29-101]</w:t>
            </w:r>
          </w:p>
        </w:tc>
        <w:tc>
          <w:tcPr>
            <w:tcW w:w="553" w:type="pct"/>
            <w:tcBorders>
              <w:top w:val="single" w:sz="4" w:space="0" w:color="auto"/>
            </w:tcBorders>
          </w:tcPr>
          <w:p w14:paraId="64173D09" w14:textId="77777777" w:rsidR="004E483C" w:rsidRPr="00CB1701" w:rsidRDefault="004E483C" w:rsidP="004E483C">
            <w:pPr>
              <w:jc w:val="center"/>
              <w:rPr>
                <w:szCs w:val="24"/>
              </w:rPr>
            </w:pPr>
            <w:r w:rsidRPr="00CB1701">
              <w:rPr>
                <w:szCs w:val="24"/>
              </w:rPr>
              <w:t>0.217</w:t>
            </w:r>
          </w:p>
        </w:tc>
      </w:tr>
      <w:tr w:rsidR="004E483C" w:rsidRPr="00CB1701" w14:paraId="1006DC05" w14:textId="77777777" w:rsidTr="004E483C">
        <w:trPr>
          <w:cantSplit/>
          <w:trHeight w:val="170"/>
          <w:jc w:val="center"/>
        </w:trPr>
        <w:tc>
          <w:tcPr>
            <w:tcW w:w="1954" w:type="pct"/>
          </w:tcPr>
          <w:p w14:paraId="4DA01DFF" w14:textId="77777777" w:rsidR="004E483C" w:rsidRPr="00CB1701" w:rsidRDefault="004E483C" w:rsidP="004E483C">
            <w:pPr>
              <w:jc w:val="left"/>
              <w:rPr>
                <w:szCs w:val="24"/>
              </w:rPr>
            </w:pPr>
            <w:r w:rsidRPr="00CB1701">
              <w:rPr>
                <w:szCs w:val="24"/>
              </w:rPr>
              <w:t>Females, n (%)</w:t>
            </w:r>
          </w:p>
        </w:tc>
        <w:tc>
          <w:tcPr>
            <w:tcW w:w="1243" w:type="pct"/>
          </w:tcPr>
          <w:p w14:paraId="12AB9FC6" w14:textId="77777777" w:rsidR="004E483C" w:rsidRPr="00CB1701" w:rsidRDefault="004E483C" w:rsidP="004E483C">
            <w:pPr>
              <w:jc w:val="center"/>
              <w:rPr>
                <w:szCs w:val="24"/>
              </w:rPr>
            </w:pPr>
            <w:r w:rsidRPr="00CB1701">
              <w:rPr>
                <w:szCs w:val="24"/>
              </w:rPr>
              <w:t>721 (47.2%)</w:t>
            </w:r>
          </w:p>
        </w:tc>
        <w:tc>
          <w:tcPr>
            <w:tcW w:w="1249" w:type="pct"/>
          </w:tcPr>
          <w:p w14:paraId="5D1D2421" w14:textId="77777777" w:rsidR="004E483C" w:rsidRPr="00CB1701" w:rsidRDefault="004E483C" w:rsidP="004E483C">
            <w:pPr>
              <w:jc w:val="center"/>
              <w:rPr>
                <w:szCs w:val="24"/>
              </w:rPr>
            </w:pPr>
            <w:r w:rsidRPr="00CB1701">
              <w:rPr>
                <w:szCs w:val="24"/>
              </w:rPr>
              <w:t>2251 (46.0%)</w:t>
            </w:r>
          </w:p>
        </w:tc>
        <w:tc>
          <w:tcPr>
            <w:tcW w:w="553" w:type="pct"/>
          </w:tcPr>
          <w:p w14:paraId="41FFDE7B" w14:textId="77777777" w:rsidR="004E483C" w:rsidRPr="00CB1701" w:rsidRDefault="004E483C" w:rsidP="004E483C">
            <w:pPr>
              <w:jc w:val="center"/>
              <w:rPr>
                <w:szCs w:val="24"/>
              </w:rPr>
            </w:pPr>
            <w:r w:rsidRPr="00CB1701">
              <w:rPr>
                <w:szCs w:val="24"/>
              </w:rPr>
              <w:t>0.440</w:t>
            </w:r>
          </w:p>
        </w:tc>
      </w:tr>
      <w:tr w:rsidR="004E483C" w:rsidRPr="00CB1701" w14:paraId="71E774F2" w14:textId="77777777" w:rsidTr="004E483C">
        <w:trPr>
          <w:cantSplit/>
          <w:trHeight w:val="170"/>
          <w:jc w:val="center"/>
        </w:trPr>
        <w:tc>
          <w:tcPr>
            <w:tcW w:w="1954" w:type="pct"/>
          </w:tcPr>
          <w:p w14:paraId="72335C4B" w14:textId="77777777" w:rsidR="004E483C" w:rsidRPr="00CB1701" w:rsidRDefault="004E483C" w:rsidP="004E483C">
            <w:pPr>
              <w:jc w:val="left"/>
              <w:rPr>
                <w:szCs w:val="24"/>
              </w:rPr>
            </w:pPr>
            <w:r w:rsidRPr="00CB1701">
              <w:rPr>
                <w:szCs w:val="24"/>
              </w:rPr>
              <w:t>Diabetes</w:t>
            </w:r>
          </w:p>
        </w:tc>
        <w:tc>
          <w:tcPr>
            <w:tcW w:w="1243" w:type="pct"/>
          </w:tcPr>
          <w:p w14:paraId="37689718" w14:textId="77777777" w:rsidR="004E483C" w:rsidRPr="00CB1701" w:rsidRDefault="004E483C" w:rsidP="004E483C">
            <w:pPr>
              <w:jc w:val="center"/>
              <w:rPr>
                <w:szCs w:val="24"/>
              </w:rPr>
            </w:pPr>
          </w:p>
        </w:tc>
        <w:tc>
          <w:tcPr>
            <w:tcW w:w="1249" w:type="pct"/>
          </w:tcPr>
          <w:p w14:paraId="42793249" w14:textId="77777777" w:rsidR="004E483C" w:rsidRPr="00CB1701" w:rsidRDefault="004E483C" w:rsidP="004E483C">
            <w:pPr>
              <w:jc w:val="center"/>
              <w:rPr>
                <w:szCs w:val="24"/>
              </w:rPr>
            </w:pPr>
          </w:p>
        </w:tc>
        <w:tc>
          <w:tcPr>
            <w:tcW w:w="553" w:type="pct"/>
          </w:tcPr>
          <w:p w14:paraId="3E8AE7B2" w14:textId="73FA2D95" w:rsidR="004E483C" w:rsidRPr="00CB1701" w:rsidRDefault="002875C6" w:rsidP="004E483C">
            <w:pPr>
              <w:jc w:val="center"/>
              <w:rPr>
                <w:szCs w:val="24"/>
              </w:rPr>
            </w:pPr>
            <w:r>
              <w:rPr>
                <w:szCs w:val="24"/>
              </w:rPr>
              <w:t>0.1</w:t>
            </w:r>
            <w:r w:rsidR="00455BD0">
              <w:rPr>
                <w:szCs w:val="24"/>
              </w:rPr>
              <w:t>84</w:t>
            </w:r>
          </w:p>
        </w:tc>
      </w:tr>
      <w:tr w:rsidR="00455BD0" w:rsidRPr="00CB1701" w14:paraId="36653820" w14:textId="77777777" w:rsidTr="004E483C">
        <w:trPr>
          <w:cantSplit/>
          <w:trHeight w:val="170"/>
          <w:jc w:val="center"/>
        </w:trPr>
        <w:tc>
          <w:tcPr>
            <w:tcW w:w="1954" w:type="pct"/>
          </w:tcPr>
          <w:p w14:paraId="4EC26FF1" w14:textId="10DA050F" w:rsidR="00455BD0" w:rsidRPr="00CB1701" w:rsidRDefault="00455BD0" w:rsidP="004E483C">
            <w:pPr>
              <w:jc w:val="left"/>
              <w:rPr>
                <w:szCs w:val="24"/>
              </w:rPr>
            </w:pPr>
            <w:r>
              <w:rPr>
                <w:szCs w:val="24"/>
              </w:rPr>
              <w:t xml:space="preserve">     Non-diabetic, n (%)</w:t>
            </w:r>
          </w:p>
        </w:tc>
        <w:tc>
          <w:tcPr>
            <w:tcW w:w="1243" w:type="pct"/>
          </w:tcPr>
          <w:p w14:paraId="144D5F4C" w14:textId="0B2BFBDC" w:rsidR="00455BD0" w:rsidRPr="00CB1701" w:rsidRDefault="00455BD0" w:rsidP="004E483C">
            <w:pPr>
              <w:jc w:val="center"/>
              <w:rPr>
                <w:szCs w:val="24"/>
              </w:rPr>
            </w:pPr>
            <w:r>
              <w:rPr>
                <w:szCs w:val="24"/>
              </w:rPr>
              <w:t>1188 (77.7%)</w:t>
            </w:r>
          </w:p>
        </w:tc>
        <w:tc>
          <w:tcPr>
            <w:tcW w:w="1249" w:type="pct"/>
          </w:tcPr>
          <w:p w14:paraId="774DABEA" w14:textId="679E29BF" w:rsidR="00455BD0" w:rsidRPr="00CB1701" w:rsidRDefault="00455BD0" w:rsidP="004E483C">
            <w:pPr>
              <w:jc w:val="center"/>
              <w:rPr>
                <w:szCs w:val="24"/>
              </w:rPr>
            </w:pPr>
            <w:r>
              <w:rPr>
                <w:szCs w:val="24"/>
              </w:rPr>
              <w:t>3720 (76.0%)</w:t>
            </w:r>
          </w:p>
        </w:tc>
        <w:tc>
          <w:tcPr>
            <w:tcW w:w="553" w:type="pct"/>
          </w:tcPr>
          <w:p w14:paraId="79C930E2" w14:textId="77777777" w:rsidR="00455BD0" w:rsidRDefault="00455BD0" w:rsidP="004E483C">
            <w:pPr>
              <w:jc w:val="center"/>
              <w:rPr>
                <w:szCs w:val="24"/>
              </w:rPr>
            </w:pPr>
          </w:p>
        </w:tc>
      </w:tr>
      <w:tr w:rsidR="004E483C" w:rsidRPr="00CB1701" w14:paraId="3108CB21" w14:textId="77777777" w:rsidTr="004E483C">
        <w:trPr>
          <w:cantSplit/>
          <w:trHeight w:val="170"/>
          <w:jc w:val="center"/>
        </w:trPr>
        <w:tc>
          <w:tcPr>
            <w:tcW w:w="1954" w:type="pct"/>
          </w:tcPr>
          <w:p w14:paraId="577E6D96" w14:textId="77777777" w:rsidR="004E483C" w:rsidRPr="00CB1701" w:rsidRDefault="004E483C" w:rsidP="004E483C">
            <w:pPr>
              <w:jc w:val="left"/>
              <w:rPr>
                <w:szCs w:val="24"/>
              </w:rPr>
            </w:pPr>
            <w:r w:rsidRPr="00CB1701">
              <w:rPr>
                <w:szCs w:val="24"/>
              </w:rPr>
              <w:t xml:space="preserve">     Dietary control, n (%)</w:t>
            </w:r>
          </w:p>
        </w:tc>
        <w:tc>
          <w:tcPr>
            <w:tcW w:w="1243" w:type="pct"/>
          </w:tcPr>
          <w:p w14:paraId="283EEF22" w14:textId="77777777" w:rsidR="004E483C" w:rsidRPr="00CB1701" w:rsidRDefault="004E483C" w:rsidP="004E483C">
            <w:pPr>
              <w:jc w:val="center"/>
              <w:rPr>
                <w:szCs w:val="24"/>
              </w:rPr>
            </w:pPr>
            <w:r w:rsidRPr="00CB1701">
              <w:rPr>
                <w:szCs w:val="24"/>
              </w:rPr>
              <w:t>74 (4.84%)</w:t>
            </w:r>
          </w:p>
        </w:tc>
        <w:tc>
          <w:tcPr>
            <w:tcW w:w="1249" w:type="pct"/>
          </w:tcPr>
          <w:p w14:paraId="1168A473" w14:textId="77777777" w:rsidR="004E483C" w:rsidRPr="00CB1701" w:rsidRDefault="004E483C" w:rsidP="004E483C">
            <w:pPr>
              <w:jc w:val="center"/>
              <w:rPr>
                <w:szCs w:val="24"/>
              </w:rPr>
            </w:pPr>
            <w:r w:rsidRPr="00CB1701">
              <w:rPr>
                <w:szCs w:val="24"/>
              </w:rPr>
              <w:t>208 (4.25%)</w:t>
            </w:r>
          </w:p>
        </w:tc>
        <w:tc>
          <w:tcPr>
            <w:tcW w:w="553" w:type="pct"/>
          </w:tcPr>
          <w:p w14:paraId="767992FC" w14:textId="2E17F846" w:rsidR="004E483C" w:rsidRPr="00CB1701" w:rsidRDefault="004E483C" w:rsidP="004E483C">
            <w:pPr>
              <w:jc w:val="center"/>
              <w:rPr>
                <w:szCs w:val="24"/>
              </w:rPr>
            </w:pPr>
          </w:p>
        </w:tc>
      </w:tr>
      <w:tr w:rsidR="004E483C" w:rsidRPr="00CB1701" w14:paraId="6C204A07" w14:textId="77777777" w:rsidTr="004E483C">
        <w:trPr>
          <w:cantSplit/>
          <w:trHeight w:val="170"/>
          <w:jc w:val="center"/>
        </w:trPr>
        <w:tc>
          <w:tcPr>
            <w:tcW w:w="1954" w:type="pct"/>
          </w:tcPr>
          <w:p w14:paraId="396574F3" w14:textId="77777777" w:rsidR="004E483C" w:rsidRPr="00CB1701" w:rsidRDefault="004E483C" w:rsidP="004E483C">
            <w:pPr>
              <w:jc w:val="left"/>
              <w:rPr>
                <w:szCs w:val="24"/>
              </w:rPr>
            </w:pPr>
            <w:r w:rsidRPr="00CB1701">
              <w:rPr>
                <w:szCs w:val="24"/>
              </w:rPr>
              <w:t xml:space="preserve">     Oral medicine, n (%)</w:t>
            </w:r>
          </w:p>
        </w:tc>
        <w:tc>
          <w:tcPr>
            <w:tcW w:w="1243" w:type="pct"/>
          </w:tcPr>
          <w:p w14:paraId="04445E74" w14:textId="77777777" w:rsidR="004E483C" w:rsidRPr="00CB1701" w:rsidRDefault="004E483C" w:rsidP="004E483C">
            <w:pPr>
              <w:jc w:val="center"/>
              <w:rPr>
                <w:szCs w:val="24"/>
              </w:rPr>
            </w:pPr>
            <w:r w:rsidRPr="00CB1701">
              <w:rPr>
                <w:szCs w:val="24"/>
              </w:rPr>
              <w:t>178 (11.6%)</w:t>
            </w:r>
          </w:p>
        </w:tc>
        <w:tc>
          <w:tcPr>
            <w:tcW w:w="1249" w:type="pct"/>
          </w:tcPr>
          <w:p w14:paraId="4DE84941" w14:textId="77777777" w:rsidR="004E483C" w:rsidRPr="00CB1701" w:rsidRDefault="004E483C" w:rsidP="004E483C">
            <w:pPr>
              <w:jc w:val="center"/>
              <w:rPr>
                <w:szCs w:val="24"/>
              </w:rPr>
            </w:pPr>
            <w:r w:rsidRPr="00CB1701">
              <w:rPr>
                <w:szCs w:val="24"/>
              </w:rPr>
              <w:t>666 (13.6%)</w:t>
            </w:r>
          </w:p>
        </w:tc>
        <w:tc>
          <w:tcPr>
            <w:tcW w:w="553" w:type="pct"/>
          </w:tcPr>
          <w:p w14:paraId="634F1688" w14:textId="4B23BE0D" w:rsidR="004E483C" w:rsidRPr="00CB1701" w:rsidRDefault="004E483C" w:rsidP="004E483C">
            <w:pPr>
              <w:jc w:val="center"/>
              <w:rPr>
                <w:szCs w:val="24"/>
              </w:rPr>
            </w:pPr>
          </w:p>
        </w:tc>
      </w:tr>
      <w:tr w:rsidR="004E483C" w:rsidRPr="00CB1701" w14:paraId="69262384" w14:textId="77777777" w:rsidTr="004E483C">
        <w:trPr>
          <w:cantSplit/>
          <w:trHeight w:val="170"/>
          <w:jc w:val="center"/>
        </w:trPr>
        <w:tc>
          <w:tcPr>
            <w:tcW w:w="1954" w:type="pct"/>
          </w:tcPr>
          <w:p w14:paraId="2DC4DA97" w14:textId="77777777" w:rsidR="004E483C" w:rsidRPr="00CB1701" w:rsidRDefault="004E483C" w:rsidP="004E483C">
            <w:pPr>
              <w:jc w:val="left"/>
              <w:rPr>
                <w:szCs w:val="24"/>
              </w:rPr>
            </w:pPr>
            <w:r w:rsidRPr="00CB1701">
              <w:rPr>
                <w:szCs w:val="24"/>
              </w:rPr>
              <w:t xml:space="preserve">     Insulin, n (%)</w:t>
            </w:r>
          </w:p>
        </w:tc>
        <w:tc>
          <w:tcPr>
            <w:tcW w:w="1243" w:type="pct"/>
          </w:tcPr>
          <w:p w14:paraId="7402A9FF" w14:textId="77777777" w:rsidR="004E483C" w:rsidRPr="00CB1701" w:rsidRDefault="004E483C" w:rsidP="004E483C">
            <w:pPr>
              <w:jc w:val="center"/>
              <w:rPr>
                <w:szCs w:val="24"/>
              </w:rPr>
            </w:pPr>
            <w:r w:rsidRPr="00CB1701">
              <w:rPr>
                <w:szCs w:val="24"/>
              </w:rPr>
              <w:t>86 (5.63%)</w:t>
            </w:r>
          </w:p>
        </w:tc>
        <w:tc>
          <w:tcPr>
            <w:tcW w:w="1249" w:type="pct"/>
          </w:tcPr>
          <w:p w14:paraId="25407EFE" w14:textId="77777777" w:rsidR="004E483C" w:rsidRPr="00CB1701" w:rsidRDefault="004E483C" w:rsidP="004E483C">
            <w:pPr>
              <w:jc w:val="center"/>
              <w:rPr>
                <w:szCs w:val="24"/>
              </w:rPr>
            </w:pPr>
            <w:r w:rsidRPr="00CB1701">
              <w:rPr>
                <w:szCs w:val="24"/>
              </w:rPr>
              <w:t>265 (5.42%)</w:t>
            </w:r>
          </w:p>
        </w:tc>
        <w:tc>
          <w:tcPr>
            <w:tcW w:w="553" w:type="pct"/>
          </w:tcPr>
          <w:p w14:paraId="3654AAB8" w14:textId="2FFFA1F8" w:rsidR="004E483C" w:rsidRPr="00CB1701" w:rsidRDefault="004E483C" w:rsidP="004E483C">
            <w:pPr>
              <w:jc w:val="center"/>
              <w:rPr>
                <w:szCs w:val="24"/>
              </w:rPr>
            </w:pPr>
          </w:p>
        </w:tc>
      </w:tr>
      <w:tr w:rsidR="004E483C" w:rsidRPr="00CB1701" w14:paraId="466AC01B" w14:textId="77777777" w:rsidTr="004E483C">
        <w:trPr>
          <w:cantSplit/>
          <w:trHeight w:val="170"/>
          <w:jc w:val="center"/>
        </w:trPr>
        <w:tc>
          <w:tcPr>
            <w:tcW w:w="1954" w:type="pct"/>
          </w:tcPr>
          <w:p w14:paraId="772D7483" w14:textId="77777777" w:rsidR="004E483C" w:rsidRPr="00CB1701" w:rsidRDefault="004E483C" w:rsidP="004E483C">
            <w:pPr>
              <w:jc w:val="left"/>
              <w:rPr>
                <w:szCs w:val="24"/>
              </w:rPr>
            </w:pPr>
            <w:r w:rsidRPr="00CB1701">
              <w:rPr>
                <w:szCs w:val="24"/>
              </w:rPr>
              <w:t>Current or ex-smoker, n (%)</w:t>
            </w:r>
          </w:p>
        </w:tc>
        <w:tc>
          <w:tcPr>
            <w:tcW w:w="1243" w:type="pct"/>
          </w:tcPr>
          <w:p w14:paraId="25DBC592" w14:textId="77777777" w:rsidR="004E483C" w:rsidRPr="00CB1701" w:rsidRDefault="004E483C" w:rsidP="004E483C">
            <w:pPr>
              <w:jc w:val="center"/>
              <w:rPr>
                <w:szCs w:val="24"/>
              </w:rPr>
            </w:pPr>
            <w:r w:rsidRPr="00CB1701">
              <w:rPr>
                <w:szCs w:val="24"/>
              </w:rPr>
              <w:t>846 (55.4%)</w:t>
            </w:r>
          </w:p>
        </w:tc>
        <w:tc>
          <w:tcPr>
            <w:tcW w:w="1249" w:type="pct"/>
          </w:tcPr>
          <w:p w14:paraId="7B372ECD" w14:textId="77777777" w:rsidR="004E483C" w:rsidRPr="00CB1701" w:rsidRDefault="004E483C" w:rsidP="004E483C">
            <w:pPr>
              <w:jc w:val="center"/>
              <w:rPr>
                <w:szCs w:val="24"/>
              </w:rPr>
            </w:pPr>
            <w:r w:rsidRPr="00CB1701">
              <w:rPr>
                <w:szCs w:val="24"/>
              </w:rPr>
              <w:t>2467 (50.4%)</w:t>
            </w:r>
          </w:p>
        </w:tc>
        <w:tc>
          <w:tcPr>
            <w:tcW w:w="553" w:type="pct"/>
          </w:tcPr>
          <w:p w14:paraId="0F0B7A98" w14:textId="77777777" w:rsidR="004E483C" w:rsidRPr="00CB1701" w:rsidRDefault="004E483C" w:rsidP="004E483C">
            <w:pPr>
              <w:jc w:val="center"/>
              <w:rPr>
                <w:szCs w:val="24"/>
              </w:rPr>
            </w:pPr>
            <w:r w:rsidRPr="00CB1701">
              <w:rPr>
                <w:szCs w:val="24"/>
              </w:rPr>
              <w:t>0.021</w:t>
            </w:r>
          </w:p>
        </w:tc>
      </w:tr>
      <w:tr w:rsidR="004E483C" w:rsidRPr="00CB1701" w14:paraId="4C6E4583" w14:textId="77777777" w:rsidTr="004E483C">
        <w:trPr>
          <w:cantSplit/>
          <w:trHeight w:val="170"/>
          <w:jc w:val="center"/>
        </w:trPr>
        <w:tc>
          <w:tcPr>
            <w:tcW w:w="1954" w:type="pct"/>
          </w:tcPr>
          <w:p w14:paraId="0858B011" w14:textId="77777777" w:rsidR="004E483C" w:rsidRPr="00CB1701" w:rsidRDefault="004E483C" w:rsidP="004E483C">
            <w:pPr>
              <w:jc w:val="left"/>
              <w:rPr>
                <w:szCs w:val="24"/>
              </w:rPr>
            </w:pPr>
            <w:r w:rsidRPr="00CB1701">
              <w:rPr>
                <w:szCs w:val="24"/>
              </w:rPr>
              <w:t xml:space="preserve">Creatinine, </w:t>
            </w:r>
            <w:r w:rsidRPr="00CB1701">
              <w:rPr>
                <w:i/>
                <w:szCs w:val="24"/>
              </w:rPr>
              <w:t>µ</w:t>
            </w:r>
            <w:r w:rsidRPr="00CB1701">
              <w:rPr>
                <w:szCs w:val="24"/>
              </w:rPr>
              <w:t>mol/L, mean [range]</w:t>
            </w:r>
          </w:p>
        </w:tc>
        <w:tc>
          <w:tcPr>
            <w:tcW w:w="1243" w:type="pct"/>
          </w:tcPr>
          <w:p w14:paraId="4D673100" w14:textId="77777777" w:rsidR="004E483C" w:rsidRPr="00CB1701" w:rsidRDefault="004E483C" w:rsidP="004E483C">
            <w:pPr>
              <w:jc w:val="center"/>
              <w:rPr>
                <w:szCs w:val="24"/>
              </w:rPr>
            </w:pPr>
            <w:r w:rsidRPr="00CB1701">
              <w:rPr>
                <w:szCs w:val="24"/>
              </w:rPr>
              <w:t>118.5 [37-736]</w:t>
            </w:r>
          </w:p>
        </w:tc>
        <w:tc>
          <w:tcPr>
            <w:tcW w:w="1249" w:type="pct"/>
          </w:tcPr>
          <w:p w14:paraId="0ACFA904" w14:textId="77777777" w:rsidR="004E483C" w:rsidRPr="00CB1701" w:rsidRDefault="004E483C" w:rsidP="004E483C">
            <w:pPr>
              <w:jc w:val="center"/>
              <w:rPr>
                <w:szCs w:val="24"/>
              </w:rPr>
            </w:pPr>
            <w:r w:rsidRPr="00CB1701">
              <w:rPr>
                <w:szCs w:val="24"/>
              </w:rPr>
              <w:t>113.0 [29-1044]</w:t>
            </w:r>
          </w:p>
        </w:tc>
        <w:tc>
          <w:tcPr>
            <w:tcW w:w="553" w:type="pct"/>
          </w:tcPr>
          <w:p w14:paraId="5B93B407" w14:textId="77777777" w:rsidR="004E483C" w:rsidRPr="00CB1701" w:rsidRDefault="004E483C" w:rsidP="004E483C">
            <w:pPr>
              <w:jc w:val="center"/>
              <w:rPr>
                <w:szCs w:val="24"/>
              </w:rPr>
            </w:pPr>
            <w:r w:rsidRPr="00CB1701">
              <w:rPr>
                <w:szCs w:val="24"/>
              </w:rPr>
              <w:t>0.004</w:t>
            </w:r>
          </w:p>
        </w:tc>
      </w:tr>
      <w:tr w:rsidR="004E483C" w:rsidRPr="00CB1701" w14:paraId="2CBBCCD0" w14:textId="77777777" w:rsidTr="004E483C">
        <w:trPr>
          <w:cantSplit/>
          <w:trHeight w:val="170"/>
          <w:jc w:val="center"/>
        </w:trPr>
        <w:tc>
          <w:tcPr>
            <w:tcW w:w="1954" w:type="pct"/>
          </w:tcPr>
          <w:p w14:paraId="3D6D8BAE" w14:textId="77777777" w:rsidR="004E483C" w:rsidRPr="00CB1701" w:rsidRDefault="004E483C" w:rsidP="004E483C">
            <w:pPr>
              <w:jc w:val="left"/>
              <w:rPr>
                <w:szCs w:val="24"/>
              </w:rPr>
            </w:pPr>
            <w:r w:rsidRPr="00CB1701">
              <w:rPr>
                <w:szCs w:val="24"/>
              </w:rPr>
              <w:t>Renal Failure*, n (%)</w:t>
            </w:r>
          </w:p>
        </w:tc>
        <w:tc>
          <w:tcPr>
            <w:tcW w:w="1243" w:type="pct"/>
          </w:tcPr>
          <w:p w14:paraId="2E946AED" w14:textId="77777777" w:rsidR="004E483C" w:rsidRPr="00CB1701" w:rsidRDefault="004E483C" w:rsidP="004E483C">
            <w:pPr>
              <w:jc w:val="center"/>
              <w:rPr>
                <w:szCs w:val="24"/>
              </w:rPr>
            </w:pPr>
            <w:r w:rsidRPr="00CB1701">
              <w:rPr>
                <w:szCs w:val="24"/>
              </w:rPr>
              <w:t>109 (7.13%)</w:t>
            </w:r>
          </w:p>
        </w:tc>
        <w:tc>
          <w:tcPr>
            <w:tcW w:w="1249" w:type="pct"/>
          </w:tcPr>
          <w:p w14:paraId="0ED6E256" w14:textId="77777777" w:rsidR="004E483C" w:rsidRPr="00CB1701" w:rsidRDefault="004E483C" w:rsidP="004E483C">
            <w:pPr>
              <w:jc w:val="center"/>
              <w:rPr>
                <w:szCs w:val="24"/>
              </w:rPr>
            </w:pPr>
            <w:r w:rsidRPr="00CB1701">
              <w:rPr>
                <w:szCs w:val="24"/>
              </w:rPr>
              <w:t>281 (5.74%)</w:t>
            </w:r>
          </w:p>
        </w:tc>
        <w:tc>
          <w:tcPr>
            <w:tcW w:w="553" w:type="pct"/>
          </w:tcPr>
          <w:p w14:paraId="64B5C7B8" w14:textId="77777777" w:rsidR="004E483C" w:rsidRPr="00CB1701" w:rsidRDefault="004E483C" w:rsidP="004E483C">
            <w:pPr>
              <w:jc w:val="center"/>
              <w:rPr>
                <w:szCs w:val="24"/>
              </w:rPr>
            </w:pPr>
            <w:r w:rsidRPr="00CB1701">
              <w:rPr>
                <w:szCs w:val="24"/>
              </w:rPr>
              <w:t>0.073</w:t>
            </w:r>
          </w:p>
        </w:tc>
      </w:tr>
      <w:tr w:rsidR="004E483C" w:rsidRPr="00CB1701" w14:paraId="2AA6F960" w14:textId="77777777" w:rsidTr="004E483C">
        <w:trPr>
          <w:cantSplit/>
          <w:trHeight w:val="170"/>
          <w:jc w:val="center"/>
        </w:trPr>
        <w:tc>
          <w:tcPr>
            <w:tcW w:w="1954" w:type="pct"/>
          </w:tcPr>
          <w:p w14:paraId="3BAD21C7" w14:textId="77777777" w:rsidR="004E483C" w:rsidRPr="00CB1701" w:rsidRDefault="004E483C" w:rsidP="004E483C">
            <w:pPr>
              <w:jc w:val="left"/>
              <w:rPr>
                <w:szCs w:val="24"/>
              </w:rPr>
            </w:pPr>
            <w:r w:rsidRPr="00CB1701">
              <w:rPr>
                <w:szCs w:val="24"/>
              </w:rPr>
              <w:t>MI</w:t>
            </w:r>
          </w:p>
        </w:tc>
        <w:tc>
          <w:tcPr>
            <w:tcW w:w="1243" w:type="pct"/>
          </w:tcPr>
          <w:p w14:paraId="7BF59D71" w14:textId="77777777" w:rsidR="004E483C" w:rsidRPr="00CB1701" w:rsidRDefault="004E483C" w:rsidP="004E483C">
            <w:pPr>
              <w:jc w:val="center"/>
              <w:rPr>
                <w:szCs w:val="24"/>
              </w:rPr>
            </w:pPr>
          </w:p>
        </w:tc>
        <w:tc>
          <w:tcPr>
            <w:tcW w:w="1249" w:type="pct"/>
          </w:tcPr>
          <w:p w14:paraId="18A5E333" w14:textId="77777777" w:rsidR="004E483C" w:rsidRPr="00CB1701" w:rsidRDefault="004E483C" w:rsidP="004E483C">
            <w:pPr>
              <w:jc w:val="center"/>
              <w:rPr>
                <w:szCs w:val="24"/>
              </w:rPr>
            </w:pPr>
          </w:p>
        </w:tc>
        <w:tc>
          <w:tcPr>
            <w:tcW w:w="553" w:type="pct"/>
          </w:tcPr>
          <w:p w14:paraId="2F09EBC7" w14:textId="77777777" w:rsidR="004E483C" w:rsidRPr="00CB1701" w:rsidRDefault="004E483C" w:rsidP="004E483C">
            <w:pPr>
              <w:jc w:val="center"/>
              <w:rPr>
                <w:szCs w:val="24"/>
              </w:rPr>
            </w:pPr>
          </w:p>
        </w:tc>
      </w:tr>
      <w:tr w:rsidR="004E483C" w:rsidRPr="00CB1701" w14:paraId="329E4AA8" w14:textId="77777777" w:rsidTr="004E483C">
        <w:trPr>
          <w:cantSplit/>
          <w:trHeight w:val="170"/>
          <w:jc w:val="center"/>
        </w:trPr>
        <w:tc>
          <w:tcPr>
            <w:tcW w:w="1954" w:type="pct"/>
          </w:tcPr>
          <w:p w14:paraId="62B9A7AC" w14:textId="77777777" w:rsidR="004E483C" w:rsidRPr="00CB1701" w:rsidRDefault="004E483C" w:rsidP="004E483C">
            <w:pPr>
              <w:jc w:val="left"/>
              <w:rPr>
                <w:szCs w:val="24"/>
              </w:rPr>
            </w:pPr>
            <w:r w:rsidRPr="00CB1701">
              <w:rPr>
                <w:szCs w:val="24"/>
              </w:rPr>
              <w:t xml:space="preserve">     within 90 days of TAVI, n (%)</w:t>
            </w:r>
          </w:p>
        </w:tc>
        <w:tc>
          <w:tcPr>
            <w:tcW w:w="1243" w:type="pct"/>
          </w:tcPr>
          <w:p w14:paraId="07625C7C" w14:textId="77777777" w:rsidR="004E483C" w:rsidRPr="00CB1701" w:rsidRDefault="004E483C" w:rsidP="004E483C">
            <w:pPr>
              <w:jc w:val="center"/>
              <w:rPr>
                <w:szCs w:val="24"/>
              </w:rPr>
            </w:pPr>
            <w:r w:rsidRPr="00CB1701">
              <w:rPr>
                <w:szCs w:val="24"/>
              </w:rPr>
              <w:t>39 (2.55%)</w:t>
            </w:r>
          </w:p>
        </w:tc>
        <w:tc>
          <w:tcPr>
            <w:tcW w:w="1249" w:type="pct"/>
          </w:tcPr>
          <w:p w14:paraId="6382C335" w14:textId="77777777" w:rsidR="004E483C" w:rsidRPr="00CB1701" w:rsidRDefault="004E483C" w:rsidP="004E483C">
            <w:pPr>
              <w:jc w:val="center"/>
              <w:rPr>
                <w:szCs w:val="24"/>
              </w:rPr>
            </w:pPr>
            <w:r w:rsidRPr="00CB1701">
              <w:rPr>
                <w:szCs w:val="24"/>
              </w:rPr>
              <w:t>106 (2.17%)</w:t>
            </w:r>
          </w:p>
        </w:tc>
        <w:tc>
          <w:tcPr>
            <w:tcW w:w="553" w:type="pct"/>
          </w:tcPr>
          <w:p w14:paraId="2A87B101" w14:textId="77777777" w:rsidR="004E483C" w:rsidRPr="00CB1701" w:rsidRDefault="004E483C" w:rsidP="004E483C">
            <w:pPr>
              <w:jc w:val="center"/>
              <w:rPr>
                <w:szCs w:val="24"/>
              </w:rPr>
            </w:pPr>
            <w:r w:rsidRPr="00CB1701">
              <w:rPr>
                <w:szCs w:val="24"/>
              </w:rPr>
              <w:t>0.452</w:t>
            </w:r>
          </w:p>
        </w:tc>
      </w:tr>
      <w:tr w:rsidR="004E483C" w:rsidRPr="00CB1701" w14:paraId="78A80516" w14:textId="77777777" w:rsidTr="004E483C">
        <w:trPr>
          <w:cantSplit/>
          <w:trHeight w:val="170"/>
          <w:jc w:val="center"/>
        </w:trPr>
        <w:tc>
          <w:tcPr>
            <w:tcW w:w="1954" w:type="pct"/>
          </w:tcPr>
          <w:p w14:paraId="7DA2D9F5" w14:textId="77777777" w:rsidR="004E483C" w:rsidRPr="00CB1701" w:rsidRDefault="004E483C" w:rsidP="004E483C">
            <w:pPr>
              <w:jc w:val="left"/>
              <w:rPr>
                <w:szCs w:val="24"/>
              </w:rPr>
            </w:pPr>
            <w:r w:rsidRPr="00CB1701">
              <w:rPr>
                <w:szCs w:val="24"/>
              </w:rPr>
              <w:t xml:space="preserve">     within 30 days of TAVI, n (%)</w:t>
            </w:r>
          </w:p>
        </w:tc>
        <w:tc>
          <w:tcPr>
            <w:tcW w:w="1243" w:type="pct"/>
          </w:tcPr>
          <w:p w14:paraId="6B907E6B" w14:textId="77777777" w:rsidR="004E483C" w:rsidRPr="00CB1701" w:rsidRDefault="004E483C" w:rsidP="004E483C">
            <w:pPr>
              <w:jc w:val="center"/>
              <w:rPr>
                <w:szCs w:val="24"/>
              </w:rPr>
            </w:pPr>
            <w:r w:rsidRPr="00CB1701">
              <w:rPr>
                <w:szCs w:val="24"/>
              </w:rPr>
              <w:t>18 (1.18%)</w:t>
            </w:r>
          </w:p>
        </w:tc>
        <w:tc>
          <w:tcPr>
            <w:tcW w:w="1249" w:type="pct"/>
          </w:tcPr>
          <w:p w14:paraId="214EB6CD" w14:textId="77777777" w:rsidR="004E483C" w:rsidRPr="00CB1701" w:rsidRDefault="004E483C" w:rsidP="004E483C">
            <w:pPr>
              <w:jc w:val="center"/>
              <w:rPr>
                <w:szCs w:val="24"/>
              </w:rPr>
            </w:pPr>
            <w:r w:rsidRPr="00CB1701">
              <w:rPr>
                <w:szCs w:val="24"/>
              </w:rPr>
              <w:t>44 (0.90%)</w:t>
            </w:r>
          </w:p>
        </w:tc>
        <w:tc>
          <w:tcPr>
            <w:tcW w:w="553" w:type="pct"/>
          </w:tcPr>
          <w:p w14:paraId="63C7878D" w14:textId="77777777" w:rsidR="004E483C" w:rsidRPr="00CB1701" w:rsidRDefault="004E483C" w:rsidP="004E483C">
            <w:pPr>
              <w:jc w:val="center"/>
              <w:rPr>
                <w:szCs w:val="24"/>
              </w:rPr>
            </w:pPr>
            <w:r w:rsidRPr="00CB1701">
              <w:rPr>
                <w:szCs w:val="24"/>
              </w:rPr>
              <w:t>0.424</w:t>
            </w:r>
          </w:p>
        </w:tc>
      </w:tr>
      <w:tr w:rsidR="004E483C" w:rsidRPr="00CB1701" w14:paraId="7A583C3C" w14:textId="77777777" w:rsidTr="004E483C">
        <w:trPr>
          <w:cantSplit/>
          <w:trHeight w:val="170"/>
          <w:jc w:val="center"/>
        </w:trPr>
        <w:tc>
          <w:tcPr>
            <w:tcW w:w="1954" w:type="pct"/>
          </w:tcPr>
          <w:p w14:paraId="60D8072A" w14:textId="77777777" w:rsidR="004E483C" w:rsidRPr="00CB1701" w:rsidRDefault="004E483C" w:rsidP="004E483C">
            <w:pPr>
              <w:jc w:val="left"/>
              <w:rPr>
                <w:szCs w:val="24"/>
              </w:rPr>
            </w:pPr>
            <w:r w:rsidRPr="00CB1701">
              <w:rPr>
                <w:szCs w:val="24"/>
              </w:rPr>
              <w:t>Asthma/ COPD, n (%)</w:t>
            </w:r>
          </w:p>
        </w:tc>
        <w:tc>
          <w:tcPr>
            <w:tcW w:w="1243" w:type="pct"/>
          </w:tcPr>
          <w:p w14:paraId="5A97BEEE" w14:textId="77777777" w:rsidR="004E483C" w:rsidRPr="00CB1701" w:rsidRDefault="004E483C" w:rsidP="004E483C">
            <w:pPr>
              <w:jc w:val="center"/>
              <w:rPr>
                <w:szCs w:val="24"/>
              </w:rPr>
            </w:pPr>
            <w:r w:rsidRPr="00CB1701">
              <w:rPr>
                <w:szCs w:val="24"/>
              </w:rPr>
              <w:t>421 (27.6%)</w:t>
            </w:r>
          </w:p>
        </w:tc>
        <w:tc>
          <w:tcPr>
            <w:tcW w:w="1249" w:type="pct"/>
          </w:tcPr>
          <w:p w14:paraId="0A84A727" w14:textId="77777777" w:rsidR="004E483C" w:rsidRPr="00CB1701" w:rsidRDefault="004E483C" w:rsidP="004E483C">
            <w:pPr>
              <w:jc w:val="center"/>
              <w:rPr>
                <w:szCs w:val="24"/>
              </w:rPr>
            </w:pPr>
            <w:r w:rsidRPr="00CB1701">
              <w:rPr>
                <w:szCs w:val="24"/>
              </w:rPr>
              <w:t>1258 (25.7%)</w:t>
            </w:r>
          </w:p>
        </w:tc>
        <w:tc>
          <w:tcPr>
            <w:tcW w:w="553" w:type="pct"/>
          </w:tcPr>
          <w:p w14:paraId="1E0D2BDB" w14:textId="77777777" w:rsidR="004E483C" w:rsidRPr="00CB1701" w:rsidRDefault="004E483C" w:rsidP="004E483C">
            <w:pPr>
              <w:jc w:val="center"/>
              <w:rPr>
                <w:szCs w:val="24"/>
              </w:rPr>
            </w:pPr>
            <w:r w:rsidRPr="00CB1701">
              <w:rPr>
                <w:szCs w:val="24"/>
              </w:rPr>
              <w:t>0.112</w:t>
            </w:r>
          </w:p>
        </w:tc>
      </w:tr>
      <w:tr w:rsidR="004E483C" w:rsidRPr="00CB1701" w14:paraId="7EDCA851" w14:textId="77777777" w:rsidTr="004E483C">
        <w:trPr>
          <w:cantSplit/>
          <w:trHeight w:val="170"/>
          <w:jc w:val="center"/>
        </w:trPr>
        <w:tc>
          <w:tcPr>
            <w:tcW w:w="1954" w:type="pct"/>
          </w:tcPr>
          <w:p w14:paraId="260BB52C" w14:textId="77777777" w:rsidR="004E483C" w:rsidRPr="00CB1701" w:rsidRDefault="004E483C" w:rsidP="004E483C">
            <w:pPr>
              <w:jc w:val="left"/>
              <w:rPr>
                <w:szCs w:val="24"/>
              </w:rPr>
            </w:pPr>
            <w:r w:rsidRPr="00CB1701">
              <w:rPr>
                <w:szCs w:val="24"/>
              </w:rPr>
              <w:t>Extracardiac Arteriopathy, n (%)</w:t>
            </w:r>
          </w:p>
        </w:tc>
        <w:tc>
          <w:tcPr>
            <w:tcW w:w="1243" w:type="pct"/>
          </w:tcPr>
          <w:p w14:paraId="2A3217B3" w14:textId="77777777" w:rsidR="004E483C" w:rsidRPr="00CB1701" w:rsidRDefault="004E483C" w:rsidP="004E483C">
            <w:pPr>
              <w:jc w:val="center"/>
              <w:rPr>
                <w:szCs w:val="24"/>
              </w:rPr>
            </w:pPr>
            <w:r w:rsidRPr="00CB1701">
              <w:rPr>
                <w:szCs w:val="24"/>
              </w:rPr>
              <w:t>418 (27.4%)</w:t>
            </w:r>
          </w:p>
        </w:tc>
        <w:tc>
          <w:tcPr>
            <w:tcW w:w="1249" w:type="pct"/>
          </w:tcPr>
          <w:p w14:paraId="5EC40923" w14:textId="77777777" w:rsidR="004E483C" w:rsidRPr="00CB1701" w:rsidRDefault="004E483C" w:rsidP="004E483C">
            <w:pPr>
              <w:jc w:val="center"/>
              <w:rPr>
                <w:szCs w:val="24"/>
              </w:rPr>
            </w:pPr>
            <w:r w:rsidRPr="00CB1701">
              <w:rPr>
                <w:szCs w:val="24"/>
              </w:rPr>
              <w:t>1101 (22.5%)</w:t>
            </w:r>
          </w:p>
        </w:tc>
        <w:tc>
          <w:tcPr>
            <w:tcW w:w="553" w:type="pct"/>
          </w:tcPr>
          <w:p w14:paraId="219F7F20" w14:textId="77777777" w:rsidR="004E483C" w:rsidRPr="00CB1701" w:rsidRDefault="004E483C" w:rsidP="004E483C">
            <w:pPr>
              <w:jc w:val="center"/>
              <w:rPr>
                <w:szCs w:val="24"/>
              </w:rPr>
            </w:pPr>
            <w:r w:rsidRPr="00CB1701">
              <w:rPr>
                <w:szCs w:val="24"/>
              </w:rPr>
              <w:t>&lt;0.001</w:t>
            </w:r>
          </w:p>
        </w:tc>
      </w:tr>
      <w:tr w:rsidR="004E483C" w:rsidRPr="00CB1701" w14:paraId="090F8A68" w14:textId="77777777" w:rsidTr="004E483C">
        <w:trPr>
          <w:cantSplit/>
          <w:trHeight w:val="170"/>
          <w:jc w:val="center"/>
        </w:trPr>
        <w:tc>
          <w:tcPr>
            <w:tcW w:w="1954" w:type="pct"/>
          </w:tcPr>
          <w:p w14:paraId="72322661" w14:textId="77777777" w:rsidR="004E483C" w:rsidRPr="00CB1701" w:rsidRDefault="004E483C" w:rsidP="004E483C">
            <w:pPr>
              <w:jc w:val="left"/>
              <w:rPr>
                <w:szCs w:val="24"/>
              </w:rPr>
            </w:pPr>
            <w:r w:rsidRPr="00CB1701">
              <w:rPr>
                <w:szCs w:val="24"/>
              </w:rPr>
              <w:t>Calcification of ascending aorta, n (%)</w:t>
            </w:r>
          </w:p>
        </w:tc>
        <w:tc>
          <w:tcPr>
            <w:tcW w:w="1243" w:type="pct"/>
          </w:tcPr>
          <w:p w14:paraId="08F75A4B" w14:textId="77777777" w:rsidR="004E483C" w:rsidRPr="00CB1701" w:rsidRDefault="004E483C" w:rsidP="004E483C">
            <w:pPr>
              <w:jc w:val="center"/>
              <w:rPr>
                <w:szCs w:val="24"/>
              </w:rPr>
            </w:pPr>
            <w:r w:rsidRPr="00CB1701">
              <w:rPr>
                <w:szCs w:val="24"/>
              </w:rPr>
              <w:t>372 (24.3%)</w:t>
            </w:r>
          </w:p>
        </w:tc>
        <w:tc>
          <w:tcPr>
            <w:tcW w:w="1249" w:type="pct"/>
          </w:tcPr>
          <w:p w14:paraId="144F96E3" w14:textId="77777777" w:rsidR="004E483C" w:rsidRPr="00CB1701" w:rsidRDefault="004E483C" w:rsidP="004E483C">
            <w:pPr>
              <w:jc w:val="center"/>
              <w:rPr>
                <w:szCs w:val="24"/>
              </w:rPr>
            </w:pPr>
            <w:r w:rsidRPr="00CB1701">
              <w:rPr>
                <w:szCs w:val="24"/>
              </w:rPr>
              <w:t>801 (16.4%)</w:t>
            </w:r>
          </w:p>
        </w:tc>
        <w:tc>
          <w:tcPr>
            <w:tcW w:w="553" w:type="pct"/>
          </w:tcPr>
          <w:p w14:paraId="4C5C3950" w14:textId="77777777" w:rsidR="004E483C" w:rsidRPr="00CB1701" w:rsidRDefault="004E483C" w:rsidP="004E483C">
            <w:pPr>
              <w:jc w:val="center"/>
              <w:rPr>
                <w:szCs w:val="24"/>
              </w:rPr>
            </w:pPr>
            <w:r w:rsidRPr="00CB1701">
              <w:rPr>
                <w:szCs w:val="24"/>
              </w:rPr>
              <w:t>&lt;0.001</w:t>
            </w:r>
          </w:p>
        </w:tc>
      </w:tr>
      <w:tr w:rsidR="004E483C" w:rsidRPr="00CB1701" w14:paraId="4182E3BB" w14:textId="77777777" w:rsidTr="004E483C">
        <w:trPr>
          <w:cantSplit/>
          <w:trHeight w:val="170"/>
          <w:jc w:val="center"/>
        </w:trPr>
        <w:tc>
          <w:tcPr>
            <w:tcW w:w="1954" w:type="pct"/>
          </w:tcPr>
          <w:p w14:paraId="343D712D" w14:textId="77777777" w:rsidR="004E483C" w:rsidRPr="00CB1701" w:rsidRDefault="004E483C" w:rsidP="004E483C">
            <w:pPr>
              <w:jc w:val="left"/>
              <w:rPr>
                <w:szCs w:val="24"/>
              </w:rPr>
            </w:pPr>
            <w:r w:rsidRPr="00CB1701">
              <w:rPr>
                <w:szCs w:val="24"/>
              </w:rPr>
              <w:t>Atrial Fibrillation/ flutter, n (%)</w:t>
            </w:r>
          </w:p>
        </w:tc>
        <w:tc>
          <w:tcPr>
            <w:tcW w:w="1243" w:type="pct"/>
          </w:tcPr>
          <w:p w14:paraId="342BAA6F" w14:textId="77777777" w:rsidR="004E483C" w:rsidRPr="00CB1701" w:rsidRDefault="004E483C" w:rsidP="004E483C">
            <w:pPr>
              <w:jc w:val="center"/>
              <w:rPr>
                <w:szCs w:val="24"/>
              </w:rPr>
            </w:pPr>
            <w:r w:rsidRPr="00CB1701">
              <w:rPr>
                <w:szCs w:val="24"/>
              </w:rPr>
              <w:t>359 (23.5%)</w:t>
            </w:r>
          </w:p>
        </w:tc>
        <w:tc>
          <w:tcPr>
            <w:tcW w:w="1249" w:type="pct"/>
          </w:tcPr>
          <w:p w14:paraId="0A362B0F" w14:textId="77777777" w:rsidR="004E483C" w:rsidRPr="00CB1701" w:rsidRDefault="004E483C" w:rsidP="004E483C">
            <w:pPr>
              <w:jc w:val="center"/>
              <w:rPr>
                <w:szCs w:val="24"/>
              </w:rPr>
            </w:pPr>
            <w:r w:rsidRPr="00CB1701">
              <w:rPr>
                <w:szCs w:val="24"/>
              </w:rPr>
              <w:t>1209 (24.7%)</w:t>
            </w:r>
          </w:p>
        </w:tc>
        <w:tc>
          <w:tcPr>
            <w:tcW w:w="553" w:type="pct"/>
          </w:tcPr>
          <w:p w14:paraId="5B1EA3E8" w14:textId="77777777" w:rsidR="004E483C" w:rsidRPr="00CB1701" w:rsidRDefault="004E483C" w:rsidP="004E483C">
            <w:pPr>
              <w:jc w:val="center"/>
              <w:rPr>
                <w:szCs w:val="24"/>
              </w:rPr>
            </w:pPr>
            <w:r w:rsidRPr="00CB1701">
              <w:rPr>
                <w:szCs w:val="24"/>
              </w:rPr>
              <w:t>0.338</w:t>
            </w:r>
          </w:p>
        </w:tc>
      </w:tr>
      <w:tr w:rsidR="004E483C" w:rsidRPr="00CB1701" w14:paraId="77F7DD67" w14:textId="77777777" w:rsidTr="004E483C">
        <w:trPr>
          <w:cantSplit/>
          <w:trHeight w:val="170"/>
          <w:jc w:val="center"/>
        </w:trPr>
        <w:tc>
          <w:tcPr>
            <w:tcW w:w="1954" w:type="pct"/>
          </w:tcPr>
          <w:p w14:paraId="55675EB7" w14:textId="77777777" w:rsidR="004E483C" w:rsidRPr="00CB1701" w:rsidRDefault="004E483C" w:rsidP="004E483C">
            <w:pPr>
              <w:jc w:val="left"/>
              <w:rPr>
                <w:szCs w:val="24"/>
              </w:rPr>
            </w:pPr>
            <w:r w:rsidRPr="00CB1701">
              <w:rPr>
                <w:szCs w:val="24"/>
              </w:rPr>
              <w:t>Previous Cardiac Surgery, n (%)</w:t>
            </w:r>
          </w:p>
        </w:tc>
        <w:tc>
          <w:tcPr>
            <w:tcW w:w="1243" w:type="pct"/>
          </w:tcPr>
          <w:p w14:paraId="79A96DE4" w14:textId="77777777" w:rsidR="004E483C" w:rsidRPr="00CB1701" w:rsidRDefault="004E483C" w:rsidP="004E483C">
            <w:pPr>
              <w:jc w:val="center"/>
              <w:rPr>
                <w:szCs w:val="24"/>
              </w:rPr>
            </w:pPr>
            <w:r w:rsidRPr="00CB1701">
              <w:rPr>
                <w:szCs w:val="24"/>
              </w:rPr>
              <w:t>483 (31.6%)</w:t>
            </w:r>
          </w:p>
        </w:tc>
        <w:tc>
          <w:tcPr>
            <w:tcW w:w="1249" w:type="pct"/>
          </w:tcPr>
          <w:p w14:paraId="73E9B4BE" w14:textId="77777777" w:rsidR="004E483C" w:rsidRPr="00CB1701" w:rsidRDefault="004E483C" w:rsidP="004E483C">
            <w:pPr>
              <w:jc w:val="center"/>
              <w:rPr>
                <w:szCs w:val="24"/>
              </w:rPr>
            </w:pPr>
            <w:r w:rsidRPr="00CB1701">
              <w:rPr>
                <w:szCs w:val="24"/>
              </w:rPr>
              <w:t>1516 (31.0%)</w:t>
            </w:r>
          </w:p>
        </w:tc>
        <w:tc>
          <w:tcPr>
            <w:tcW w:w="553" w:type="pct"/>
          </w:tcPr>
          <w:p w14:paraId="67C7D309" w14:textId="77777777" w:rsidR="004E483C" w:rsidRPr="00CB1701" w:rsidRDefault="004E483C" w:rsidP="004E483C">
            <w:pPr>
              <w:jc w:val="center"/>
              <w:rPr>
                <w:szCs w:val="24"/>
              </w:rPr>
            </w:pPr>
            <w:r w:rsidRPr="00CB1701">
              <w:rPr>
                <w:szCs w:val="24"/>
              </w:rPr>
              <w:t>0.795</w:t>
            </w:r>
          </w:p>
        </w:tc>
      </w:tr>
      <w:tr w:rsidR="004E483C" w:rsidRPr="00CB1701" w14:paraId="3377FB42" w14:textId="77777777" w:rsidTr="004E483C">
        <w:trPr>
          <w:cantSplit/>
          <w:trHeight w:val="170"/>
          <w:jc w:val="center"/>
        </w:trPr>
        <w:tc>
          <w:tcPr>
            <w:tcW w:w="1954" w:type="pct"/>
          </w:tcPr>
          <w:p w14:paraId="7AF5B026" w14:textId="77777777" w:rsidR="004E483C" w:rsidRPr="00CB1701" w:rsidRDefault="004E483C" w:rsidP="004E483C">
            <w:pPr>
              <w:jc w:val="left"/>
              <w:rPr>
                <w:szCs w:val="24"/>
              </w:rPr>
            </w:pPr>
            <w:r w:rsidRPr="00CB1701">
              <w:rPr>
                <w:szCs w:val="24"/>
              </w:rPr>
              <w:t>Previous PCI, n (%)</w:t>
            </w:r>
          </w:p>
        </w:tc>
        <w:tc>
          <w:tcPr>
            <w:tcW w:w="1243" w:type="pct"/>
          </w:tcPr>
          <w:p w14:paraId="3E73AC33" w14:textId="77777777" w:rsidR="004E483C" w:rsidRPr="00CB1701" w:rsidRDefault="004E483C" w:rsidP="004E483C">
            <w:pPr>
              <w:jc w:val="center"/>
              <w:rPr>
                <w:szCs w:val="24"/>
              </w:rPr>
            </w:pPr>
            <w:r w:rsidRPr="00CB1701">
              <w:rPr>
                <w:szCs w:val="24"/>
              </w:rPr>
              <w:t>332 (21.7%)</w:t>
            </w:r>
          </w:p>
        </w:tc>
        <w:tc>
          <w:tcPr>
            <w:tcW w:w="1249" w:type="pct"/>
          </w:tcPr>
          <w:p w14:paraId="76A1E6E2" w14:textId="77777777" w:rsidR="004E483C" w:rsidRPr="00CB1701" w:rsidRDefault="004E483C" w:rsidP="004E483C">
            <w:pPr>
              <w:jc w:val="center"/>
              <w:rPr>
                <w:szCs w:val="24"/>
              </w:rPr>
            </w:pPr>
            <w:r w:rsidRPr="00CB1701">
              <w:rPr>
                <w:szCs w:val="24"/>
              </w:rPr>
              <w:t>968 (19.8%)</w:t>
            </w:r>
          </w:p>
        </w:tc>
        <w:tc>
          <w:tcPr>
            <w:tcW w:w="553" w:type="pct"/>
          </w:tcPr>
          <w:p w14:paraId="3C235B72" w14:textId="77777777" w:rsidR="004E483C" w:rsidRPr="00CB1701" w:rsidRDefault="004E483C" w:rsidP="004E483C">
            <w:pPr>
              <w:jc w:val="center"/>
              <w:rPr>
                <w:szCs w:val="24"/>
              </w:rPr>
            </w:pPr>
            <w:r w:rsidRPr="00CB1701">
              <w:rPr>
                <w:szCs w:val="24"/>
              </w:rPr>
              <w:t>0.136</w:t>
            </w:r>
          </w:p>
        </w:tc>
      </w:tr>
      <w:tr w:rsidR="004E483C" w:rsidRPr="00CB1701" w14:paraId="235D9EED" w14:textId="77777777" w:rsidTr="004E483C">
        <w:trPr>
          <w:cantSplit/>
          <w:trHeight w:val="170"/>
          <w:jc w:val="center"/>
        </w:trPr>
        <w:tc>
          <w:tcPr>
            <w:tcW w:w="1954" w:type="pct"/>
          </w:tcPr>
          <w:p w14:paraId="1CEEDA76" w14:textId="77777777" w:rsidR="004E483C" w:rsidRPr="00CB1701" w:rsidRDefault="004E483C" w:rsidP="004E483C">
            <w:pPr>
              <w:jc w:val="left"/>
              <w:rPr>
                <w:szCs w:val="24"/>
              </w:rPr>
            </w:pPr>
            <w:r w:rsidRPr="00CB1701">
              <w:rPr>
                <w:szCs w:val="24"/>
              </w:rPr>
              <w:t>Weight (Kg), mean [range]</w:t>
            </w:r>
          </w:p>
        </w:tc>
        <w:tc>
          <w:tcPr>
            <w:tcW w:w="1243" w:type="pct"/>
          </w:tcPr>
          <w:p w14:paraId="123F9F49" w14:textId="77777777" w:rsidR="004E483C" w:rsidRPr="00CB1701" w:rsidRDefault="004E483C" w:rsidP="004E483C">
            <w:pPr>
              <w:jc w:val="center"/>
              <w:rPr>
                <w:szCs w:val="24"/>
              </w:rPr>
            </w:pPr>
            <w:r w:rsidRPr="00CB1701">
              <w:rPr>
                <w:szCs w:val="24"/>
              </w:rPr>
              <w:t>72.2 [33-153]</w:t>
            </w:r>
          </w:p>
        </w:tc>
        <w:tc>
          <w:tcPr>
            <w:tcW w:w="1249" w:type="pct"/>
          </w:tcPr>
          <w:p w14:paraId="2DCE72C3" w14:textId="77777777" w:rsidR="004E483C" w:rsidRPr="00CB1701" w:rsidRDefault="004E483C" w:rsidP="004E483C">
            <w:pPr>
              <w:jc w:val="center"/>
              <w:rPr>
                <w:szCs w:val="24"/>
              </w:rPr>
            </w:pPr>
            <w:r w:rsidRPr="00CB1701">
              <w:rPr>
                <w:szCs w:val="24"/>
              </w:rPr>
              <w:t>74.6 [32-190]</w:t>
            </w:r>
          </w:p>
        </w:tc>
        <w:tc>
          <w:tcPr>
            <w:tcW w:w="553" w:type="pct"/>
          </w:tcPr>
          <w:p w14:paraId="64156201" w14:textId="77777777" w:rsidR="004E483C" w:rsidRPr="00CB1701" w:rsidRDefault="004E483C" w:rsidP="004E483C">
            <w:pPr>
              <w:jc w:val="center"/>
              <w:rPr>
                <w:szCs w:val="24"/>
              </w:rPr>
            </w:pPr>
            <w:r w:rsidRPr="00CB1701">
              <w:rPr>
                <w:szCs w:val="24"/>
              </w:rPr>
              <w:t>&lt;0.001</w:t>
            </w:r>
          </w:p>
        </w:tc>
      </w:tr>
      <w:tr w:rsidR="004E483C" w:rsidRPr="00CB1701" w14:paraId="2CC45E41" w14:textId="77777777" w:rsidTr="004E483C">
        <w:trPr>
          <w:cantSplit/>
          <w:trHeight w:val="170"/>
          <w:jc w:val="center"/>
        </w:trPr>
        <w:tc>
          <w:tcPr>
            <w:tcW w:w="1954" w:type="pct"/>
          </w:tcPr>
          <w:p w14:paraId="59A6A66A" w14:textId="77777777" w:rsidR="004E483C" w:rsidRPr="00CB1701" w:rsidRDefault="004E483C" w:rsidP="004E483C">
            <w:pPr>
              <w:jc w:val="left"/>
              <w:rPr>
                <w:szCs w:val="24"/>
              </w:rPr>
            </w:pPr>
            <w:r w:rsidRPr="00CB1701">
              <w:rPr>
                <w:szCs w:val="24"/>
              </w:rPr>
              <w:t>Height (m), mean [range]</w:t>
            </w:r>
          </w:p>
        </w:tc>
        <w:tc>
          <w:tcPr>
            <w:tcW w:w="1243" w:type="pct"/>
          </w:tcPr>
          <w:p w14:paraId="694B12D0" w14:textId="77777777" w:rsidR="004E483C" w:rsidRPr="00CB1701" w:rsidRDefault="004E483C" w:rsidP="004E483C">
            <w:pPr>
              <w:jc w:val="center"/>
              <w:rPr>
                <w:szCs w:val="24"/>
              </w:rPr>
            </w:pPr>
            <w:r w:rsidRPr="00CB1701">
              <w:rPr>
                <w:szCs w:val="24"/>
              </w:rPr>
              <w:t>1.64 [1.10-1.90]</w:t>
            </w:r>
          </w:p>
        </w:tc>
        <w:tc>
          <w:tcPr>
            <w:tcW w:w="1249" w:type="pct"/>
          </w:tcPr>
          <w:p w14:paraId="001D9B65" w14:textId="77777777" w:rsidR="004E483C" w:rsidRPr="00CB1701" w:rsidRDefault="004E483C" w:rsidP="004E483C">
            <w:pPr>
              <w:jc w:val="center"/>
              <w:rPr>
                <w:szCs w:val="24"/>
              </w:rPr>
            </w:pPr>
            <w:r w:rsidRPr="00CB1701">
              <w:rPr>
                <w:szCs w:val="24"/>
              </w:rPr>
              <w:t>1.64 [1.14-2.36]</w:t>
            </w:r>
          </w:p>
        </w:tc>
        <w:tc>
          <w:tcPr>
            <w:tcW w:w="553" w:type="pct"/>
          </w:tcPr>
          <w:p w14:paraId="0ADF1F67" w14:textId="77777777" w:rsidR="004E483C" w:rsidRPr="00CB1701" w:rsidRDefault="004E483C" w:rsidP="004E483C">
            <w:pPr>
              <w:jc w:val="center"/>
              <w:rPr>
                <w:szCs w:val="24"/>
              </w:rPr>
            </w:pPr>
            <w:r w:rsidRPr="00CB1701">
              <w:rPr>
                <w:szCs w:val="24"/>
              </w:rPr>
              <w:t>0.054</w:t>
            </w:r>
          </w:p>
        </w:tc>
      </w:tr>
      <w:tr w:rsidR="004E483C" w:rsidRPr="00CB1701" w14:paraId="0020C382" w14:textId="77777777" w:rsidTr="004E483C">
        <w:trPr>
          <w:cantSplit/>
          <w:trHeight w:val="170"/>
          <w:jc w:val="center"/>
        </w:trPr>
        <w:tc>
          <w:tcPr>
            <w:tcW w:w="1954" w:type="pct"/>
          </w:tcPr>
          <w:p w14:paraId="0460AF6F" w14:textId="77777777" w:rsidR="004E483C" w:rsidRPr="00CB1701" w:rsidRDefault="004E483C" w:rsidP="004E483C">
            <w:pPr>
              <w:jc w:val="left"/>
              <w:rPr>
                <w:szCs w:val="24"/>
              </w:rPr>
            </w:pPr>
            <w:r w:rsidRPr="00CB1701">
              <w:rPr>
                <w:szCs w:val="24"/>
              </w:rPr>
              <w:t>Critical preoperative state, n (%)</w:t>
            </w:r>
          </w:p>
        </w:tc>
        <w:tc>
          <w:tcPr>
            <w:tcW w:w="1243" w:type="pct"/>
          </w:tcPr>
          <w:p w14:paraId="0C36F907" w14:textId="77777777" w:rsidR="004E483C" w:rsidRPr="00CB1701" w:rsidRDefault="004E483C" w:rsidP="004E483C">
            <w:pPr>
              <w:jc w:val="center"/>
              <w:rPr>
                <w:szCs w:val="24"/>
              </w:rPr>
            </w:pPr>
            <w:r w:rsidRPr="00CB1701">
              <w:rPr>
                <w:szCs w:val="24"/>
              </w:rPr>
              <w:t>25 (1.64%)</w:t>
            </w:r>
          </w:p>
        </w:tc>
        <w:tc>
          <w:tcPr>
            <w:tcW w:w="1249" w:type="pct"/>
          </w:tcPr>
          <w:p w14:paraId="33FC2626" w14:textId="77777777" w:rsidR="004E483C" w:rsidRPr="00CB1701" w:rsidRDefault="004E483C" w:rsidP="004E483C">
            <w:pPr>
              <w:jc w:val="center"/>
              <w:rPr>
                <w:szCs w:val="24"/>
              </w:rPr>
            </w:pPr>
            <w:r w:rsidRPr="00CB1701">
              <w:rPr>
                <w:szCs w:val="24"/>
              </w:rPr>
              <w:t>80 (1.64%)</w:t>
            </w:r>
          </w:p>
        </w:tc>
        <w:tc>
          <w:tcPr>
            <w:tcW w:w="553" w:type="pct"/>
          </w:tcPr>
          <w:p w14:paraId="6B503C28" w14:textId="77777777" w:rsidR="004E483C" w:rsidRPr="00CB1701" w:rsidRDefault="004E483C" w:rsidP="004E483C">
            <w:pPr>
              <w:jc w:val="center"/>
              <w:rPr>
                <w:szCs w:val="24"/>
              </w:rPr>
            </w:pPr>
            <w:r w:rsidRPr="00CB1701">
              <w:rPr>
                <w:szCs w:val="24"/>
              </w:rPr>
              <w:t>0.999</w:t>
            </w:r>
          </w:p>
        </w:tc>
      </w:tr>
      <w:tr w:rsidR="004E483C" w:rsidRPr="00CB1701" w14:paraId="77E90DC8" w14:textId="77777777" w:rsidTr="004E483C">
        <w:trPr>
          <w:cantSplit/>
          <w:trHeight w:val="170"/>
          <w:jc w:val="center"/>
        </w:trPr>
        <w:tc>
          <w:tcPr>
            <w:tcW w:w="1954" w:type="pct"/>
          </w:tcPr>
          <w:p w14:paraId="03F8FC91" w14:textId="77777777" w:rsidR="004E483C" w:rsidRPr="00CB1701" w:rsidRDefault="004E483C" w:rsidP="004E483C">
            <w:pPr>
              <w:jc w:val="left"/>
              <w:rPr>
                <w:szCs w:val="24"/>
              </w:rPr>
            </w:pPr>
            <w:r w:rsidRPr="00CB1701">
              <w:rPr>
                <w:szCs w:val="24"/>
              </w:rPr>
              <w:t>CCS Class 4, n (%)</w:t>
            </w:r>
          </w:p>
        </w:tc>
        <w:tc>
          <w:tcPr>
            <w:tcW w:w="1243" w:type="pct"/>
          </w:tcPr>
          <w:p w14:paraId="01FDEBD9" w14:textId="77777777" w:rsidR="004E483C" w:rsidRPr="00CB1701" w:rsidRDefault="004E483C" w:rsidP="004E483C">
            <w:pPr>
              <w:jc w:val="center"/>
              <w:rPr>
                <w:szCs w:val="24"/>
              </w:rPr>
            </w:pPr>
            <w:r w:rsidRPr="00CB1701">
              <w:rPr>
                <w:szCs w:val="24"/>
              </w:rPr>
              <w:t>26 (1.70%)</w:t>
            </w:r>
          </w:p>
        </w:tc>
        <w:tc>
          <w:tcPr>
            <w:tcW w:w="1249" w:type="pct"/>
          </w:tcPr>
          <w:p w14:paraId="054D82EB" w14:textId="77777777" w:rsidR="004E483C" w:rsidRPr="00CB1701" w:rsidRDefault="004E483C" w:rsidP="004E483C">
            <w:pPr>
              <w:jc w:val="center"/>
              <w:rPr>
                <w:szCs w:val="24"/>
              </w:rPr>
            </w:pPr>
            <w:r w:rsidRPr="00CB1701">
              <w:rPr>
                <w:szCs w:val="24"/>
              </w:rPr>
              <w:t>51 (1.04%)</w:t>
            </w:r>
          </w:p>
        </w:tc>
        <w:tc>
          <w:tcPr>
            <w:tcW w:w="553" w:type="pct"/>
          </w:tcPr>
          <w:p w14:paraId="09A41C94" w14:textId="77777777" w:rsidR="004E483C" w:rsidRPr="00CB1701" w:rsidRDefault="004E483C" w:rsidP="004E483C">
            <w:pPr>
              <w:jc w:val="center"/>
              <w:rPr>
                <w:szCs w:val="24"/>
              </w:rPr>
            </w:pPr>
            <w:r w:rsidRPr="00CB1701">
              <w:rPr>
                <w:szCs w:val="24"/>
              </w:rPr>
              <w:t>0.057</w:t>
            </w:r>
          </w:p>
        </w:tc>
      </w:tr>
      <w:tr w:rsidR="004E483C" w:rsidRPr="00CB1701" w14:paraId="735960A0" w14:textId="77777777" w:rsidTr="004E483C">
        <w:trPr>
          <w:cantSplit/>
          <w:trHeight w:val="170"/>
          <w:jc w:val="center"/>
        </w:trPr>
        <w:tc>
          <w:tcPr>
            <w:tcW w:w="1954" w:type="pct"/>
          </w:tcPr>
          <w:p w14:paraId="42C2AC42" w14:textId="77777777" w:rsidR="004E483C" w:rsidRPr="00CB1701" w:rsidRDefault="004E483C" w:rsidP="004E483C">
            <w:pPr>
              <w:jc w:val="left"/>
              <w:rPr>
                <w:szCs w:val="24"/>
              </w:rPr>
            </w:pPr>
            <w:r w:rsidRPr="00CB1701">
              <w:rPr>
                <w:szCs w:val="24"/>
              </w:rPr>
              <w:t>NYHA Class ≥ III</w:t>
            </w:r>
          </w:p>
        </w:tc>
        <w:tc>
          <w:tcPr>
            <w:tcW w:w="1243" w:type="pct"/>
          </w:tcPr>
          <w:p w14:paraId="41573851" w14:textId="77777777" w:rsidR="004E483C" w:rsidRPr="00CB1701" w:rsidRDefault="004E483C" w:rsidP="004E483C">
            <w:pPr>
              <w:jc w:val="center"/>
              <w:rPr>
                <w:szCs w:val="24"/>
              </w:rPr>
            </w:pPr>
            <w:r w:rsidRPr="00CB1701">
              <w:rPr>
                <w:szCs w:val="24"/>
              </w:rPr>
              <w:t>1249 (81.7%)</w:t>
            </w:r>
          </w:p>
        </w:tc>
        <w:tc>
          <w:tcPr>
            <w:tcW w:w="1249" w:type="pct"/>
          </w:tcPr>
          <w:p w14:paraId="4A185B2F" w14:textId="77777777" w:rsidR="004E483C" w:rsidRPr="00CB1701" w:rsidRDefault="004E483C" w:rsidP="004E483C">
            <w:pPr>
              <w:jc w:val="center"/>
              <w:rPr>
                <w:szCs w:val="24"/>
              </w:rPr>
            </w:pPr>
            <w:r w:rsidRPr="00CB1701">
              <w:rPr>
                <w:szCs w:val="24"/>
              </w:rPr>
              <w:t>3891 (79.5%)</w:t>
            </w:r>
          </w:p>
        </w:tc>
        <w:tc>
          <w:tcPr>
            <w:tcW w:w="553" w:type="pct"/>
          </w:tcPr>
          <w:p w14:paraId="236EF929" w14:textId="77777777" w:rsidR="004E483C" w:rsidRPr="00CB1701" w:rsidRDefault="004E483C" w:rsidP="004E483C">
            <w:pPr>
              <w:jc w:val="center"/>
              <w:rPr>
                <w:szCs w:val="24"/>
                <w:highlight w:val="yellow"/>
              </w:rPr>
            </w:pPr>
            <w:r w:rsidRPr="00CB1701">
              <w:rPr>
                <w:szCs w:val="24"/>
              </w:rPr>
              <w:t>0.161</w:t>
            </w:r>
          </w:p>
        </w:tc>
      </w:tr>
      <w:tr w:rsidR="004E483C" w:rsidRPr="00CB1701" w14:paraId="2361D51D" w14:textId="77777777" w:rsidTr="004E483C">
        <w:trPr>
          <w:cantSplit/>
          <w:trHeight w:val="170"/>
          <w:jc w:val="center"/>
        </w:trPr>
        <w:tc>
          <w:tcPr>
            <w:tcW w:w="1954" w:type="pct"/>
          </w:tcPr>
          <w:p w14:paraId="46DCC5F2" w14:textId="77777777" w:rsidR="004E483C" w:rsidRPr="00CB1701" w:rsidRDefault="004E483C" w:rsidP="004E483C">
            <w:pPr>
              <w:jc w:val="left"/>
              <w:rPr>
                <w:szCs w:val="24"/>
              </w:rPr>
            </w:pPr>
            <w:r w:rsidRPr="00CB1701">
              <w:rPr>
                <w:szCs w:val="24"/>
              </w:rPr>
              <w:t>LVEF</w:t>
            </w:r>
          </w:p>
        </w:tc>
        <w:tc>
          <w:tcPr>
            <w:tcW w:w="1243" w:type="pct"/>
            <w:vAlign w:val="center"/>
          </w:tcPr>
          <w:p w14:paraId="1EA2BD71" w14:textId="77777777" w:rsidR="004E483C" w:rsidRPr="00CB1701" w:rsidRDefault="004E483C" w:rsidP="004E483C">
            <w:pPr>
              <w:jc w:val="center"/>
              <w:rPr>
                <w:szCs w:val="24"/>
              </w:rPr>
            </w:pPr>
          </w:p>
        </w:tc>
        <w:tc>
          <w:tcPr>
            <w:tcW w:w="1249" w:type="pct"/>
          </w:tcPr>
          <w:p w14:paraId="644A5A6F" w14:textId="77777777" w:rsidR="004E483C" w:rsidRPr="00CB1701" w:rsidRDefault="004E483C" w:rsidP="004E483C">
            <w:pPr>
              <w:jc w:val="center"/>
              <w:rPr>
                <w:szCs w:val="24"/>
              </w:rPr>
            </w:pPr>
          </w:p>
        </w:tc>
        <w:tc>
          <w:tcPr>
            <w:tcW w:w="553" w:type="pct"/>
          </w:tcPr>
          <w:p w14:paraId="137C51FB" w14:textId="55166A9B" w:rsidR="004E483C" w:rsidRPr="00CB1701" w:rsidRDefault="0018679C" w:rsidP="004E483C">
            <w:pPr>
              <w:jc w:val="center"/>
              <w:rPr>
                <w:szCs w:val="24"/>
              </w:rPr>
            </w:pPr>
            <w:r>
              <w:rPr>
                <w:szCs w:val="24"/>
              </w:rPr>
              <w:t>0.322</w:t>
            </w:r>
          </w:p>
        </w:tc>
      </w:tr>
      <w:tr w:rsidR="004E483C" w:rsidRPr="00CB1701" w14:paraId="199347F6" w14:textId="77777777" w:rsidTr="004E483C">
        <w:trPr>
          <w:cantSplit/>
          <w:trHeight w:val="170"/>
          <w:jc w:val="center"/>
        </w:trPr>
        <w:tc>
          <w:tcPr>
            <w:tcW w:w="1954" w:type="pct"/>
          </w:tcPr>
          <w:p w14:paraId="7B398596" w14:textId="77777777" w:rsidR="004E483C" w:rsidRPr="00CB1701" w:rsidRDefault="004E483C" w:rsidP="004E483C">
            <w:pPr>
              <w:jc w:val="left"/>
              <w:rPr>
                <w:szCs w:val="24"/>
              </w:rPr>
            </w:pPr>
            <w:r w:rsidRPr="00CB1701">
              <w:rPr>
                <w:szCs w:val="24"/>
              </w:rPr>
              <w:t xml:space="preserve">     ≥ 50%, n (%)</w:t>
            </w:r>
          </w:p>
        </w:tc>
        <w:tc>
          <w:tcPr>
            <w:tcW w:w="1243" w:type="pct"/>
          </w:tcPr>
          <w:p w14:paraId="68C6B357" w14:textId="77777777" w:rsidR="004E483C" w:rsidRPr="00CB1701" w:rsidRDefault="004E483C" w:rsidP="004E483C">
            <w:pPr>
              <w:jc w:val="center"/>
              <w:rPr>
                <w:szCs w:val="24"/>
              </w:rPr>
            </w:pPr>
            <w:r w:rsidRPr="00CB1701">
              <w:rPr>
                <w:szCs w:val="24"/>
              </w:rPr>
              <w:t>954 (62.4%)</w:t>
            </w:r>
          </w:p>
        </w:tc>
        <w:tc>
          <w:tcPr>
            <w:tcW w:w="1249" w:type="pct"/>
          </w:tcPr>
          <w:p w14:paraId="29DB0785" w14:textId="77777777" w:rsidR="004E483C" w:rsidRPr="00CB1701" w:rsidRDefault="004E483C" w:rsidP="004E483C">
            <w:pPr>
              <w:jc w:val="center"/>
              <w:rPr>
                <w:szCs w:val="24"/>
              </w:rPr>
            </w:pPr>
            <w:r w:rsidRPr="00CB1701">
              <w:rPr>
                <w:szCs w:val="24"/>
              </w:rPr>
              <w:t>2953 (60.4%)</w:t>
            </w:r>
          </w:p>
        </w:tc>
        <w:tc>
          <w:tcPr>
            <w:tcW w:w="553" w:type="pct"/>
          </w:tcPr>
          <w:p w14:paraId="52BC36E8" w14:textId="28755599" w:rsidR="004E483C" w:rsidRPr="00CB1701" w:rsidRDefault="004E483C" w:rsidP="004E483C">
            <w:pPr>
              <w:jc w:val="center"/>
              <w:rPr>
                <w:szCs w:val="24"/>
              </w:rPr>
            </w:pPr>
          </w:p>
        </w:tc>
      </w:tr>
      <w:tr w:rsidR="004E483C" w:rsidRPr="00CB1701" w14:paraId="1600ACED" w14:textId="77777777" w:rsidTr="004E483C">
        <w:trPr>
          <w:cantSplit/>
          <w:trHeight w:val="170"/>
          <w:jc w:val="center"/>
        </w:trPr>
        <w:tc>
          <w:tcPr>
            <w:tcW w:w="1954" w:type="pct"/>
          </w:tcPr>
          <w:p w14:paraId="423C6E80" w14:textId="77777777" w:rsidR="004E483C" w:rsidRPr="00CB1701" w:rsidRDefault="004E483C" w:rsidP="004E483C">
            <w:pPr>
              <w:jc w:val="left"/>
              <w:rPr>
                <w:szCs w:val="24"/>
              </w:rPr>
            </w:pPr>
            <w:r w:rsidRPr="00CB1701">
              <w:rPr>
                <w:szCs w:val="24"/>
              </w:rPr>
              <w:t xml:space="preserve">     30 − 49%, n (%)</w:t>
            </w:r>
          </w:p>
        </w:tc>
        <w:tc>
          <w:tcPr>
            <w:tcW w:w="1243" w:type="pct"/>
          </w:tcPr>
          <w:p w14:paraId="2367FEF1" w14:textId="77777777" w:rsidR="004E483C" w:rsidRPr="00CB1701" w:rsidRDefault="004E483C" w:rsidP="004E483C">
            <w:pPr>
              <w:jc w:val="center"/>
              <w:rPr>
                <w:szCs w:val="24"/>
              </w:rPr>
            </w:pPr>
            <w:r w:rsidRPr="00CB1701">
              <w:rPr>
                <w:szCs w:val="24"/>
              </w:rPr>
              <w:t>423 (27.7%)</w:t>
            </w:r>
          </w:p>
        </w:tc>
        <w:tc>
          <w:tcPr>
            <w:tcW w:w="1249" w:type="pct"/>
          </w:tcPr>
          <w:p w14:paraId="67AC203E" w14:textId="77777777" w:rsidR="004E483C" w:rsidRPr="00CB1701" w:rsidRDefault="004E483C" w:rsidP="004E483C">
            <w:pPr>
              <w:jc w:val="center"/>
              <w:rPr>
                <w:szCs w:val="24"/>
              </w:rPr>
            </w:pPr>
            <w:r w:rsidRPr="00CB1701">
              <w:rPr>
                <w:szCs w:val="24"/>
              </w:rPr>
              <w:t>1447 (29.6%)</w:t>
            </w:r>
          </w:p>
        </w:tc>
        <w:tc>
          <w:tcPr>
            <w:tcW w:w="553" w:type="pct"/>
          </w:tcPr>
          <w:p w14:paraId="515DC94F" w14:textId="5B69B449" w:rsidR="004E483C" w:rsidRPr="00CB1701" w:rsidRDefault="004E483C" w:rsidP="004E483C">
            <w:pPr>
              <w:jc w:val="center"/>
              <w:rPr>
                <w:szCs w:val="24"/>
              </w:rPr>
            </w:pPr>
          </w:p>
        </w:tc>
      </w:tr>
      <w:tr w:rsidR="004E483C" w:rsidRPr="00CB1701" w14:paraId="29314F86" w14:textId="77777777" w:rsidTr="004E483C">
        <w:trPr>
          <w:cantSplit/>
          <w:trHeight w:val="170"/>
          <w:jc w:val="center"/>
        </w:trPr>
        <w:tc>
          <w:tcPr>
            <w:tcW w:w="1954" w:type="pct"/>
          </w:tcPr>
          <w:p w14:paraId="32F6AFAE" w14:textId="77777777" w:rsidR="004E483C" w:rsidRPr="00CB1701" w:rsidRDefault="004E483C" w:rsidP="004E483C">
            <w:pPr>
              <w:jc w:val="left"/>
              <w:rPr>
                <w:szCs w:val="24"/>
              </w:rPr>
            </w:pPr>
            <w:r w:rsidRPr="00CB1701">
              <w:rPr>
                <w:i/>
                <w:szCs w:val="24"/>
              </w:rPr>
              <w:t xml:space="preserve">     &lt; </w:t>
            </w:r>
            <w:r w:rsidRPr="00CB1701">
              <w:rPr>
                <w:szCs w:val="24"/>
              </w:rPr>
              <w:t>30%, n (%)</w:t>
            </w:r>
          </w:p>
        </w:tc>
        <w:tc>
          <w:tcPr>
            <w:tcW w:w="1243" w:type="pct"/>
          </w:tcPr>
          <w:p w14:paraId="3CBE66CD" w14:textId="77777777" w:rsidR="004E483C" w:rsidRPr="00CB1701" w:rsidRDefault="004E483C" w:rsidP="004E483C">
            <w:pPr>
              <w:jc w:val="center"/>
              <w:rPr>
                <w:szCs w:val="24"/>
              </w:rPr>
            </w:pPr>
            <w:r w:rsidRPr="00CB1701">
              <w:rPr>
                <w:szCs w:val="24"/>
              </w:rPr>
              <w:t>138 (9.03%)</w:t>
            </w:r>
          </w:p>
        </w:tc>
        <w:tc>
          <w:tcPr>
            <w:tcW w:w="1249" w:type="pct"/>
          </w:tcPr>
          <w:p w14:paraId="6F7A8FFA" w14:textId="77777777" w:rsidR="004E483C" w:rsidRPr="00CB1701" w:rsidRDefault="004E483C" w:rsidP="004E483C">
            <w:pPr>
              <w:jc w:val="center"/>
              <w:rPr>
                <w:szCs w:val="24"/>
              </w:rPr>
            </w:pPr>
            <w:r w:rsidRPr="00CB1701">
              <w:rPr>
                <w:szCs w:val="24"/>
              </w:rPr>
              <w:t>447 (9.14%)</w:t>
            </w:r>
          </w:p>
        </w:tc>
        <w:tc>
          <w:tcPr>
            <w:tcW w:w="553" w:type="pct"/>
          </w:tcPr>
          <w:p w14:paraId="4BF24AED" w14:textId="7D03032F" w:rsidR="004E483C" w:rsidRPr="00CB1701" w:rsidRDefault="004E483C" w:rsidP="004E483C">
            <w:pPr>
              <w:jc w:val="center"/>
              <w:rPr>
                <w:szCs w:val="24"/>
              </w:rPr>
            </w:pPr>
          </w:p>
        </w:tc>
      </w:tr>
      <w:tr w:rsidR="004E483C" w:rsidRPr="00CB1701" w14:paraId="631EC2BB" w14:textId="77777777" w:rsidTr="004E483C">
        <w:trPr>
          <w:cantSplit/>
          <w:trHeight w:val="170"/>
          <w:jc w:val="center"/>
        </w:trPr>
        <w:tc>
          <w:tcPr>
            <w:tcW w:w="1954" w:type="pct"/>
          </w:tcPr>
          <w:p w14:paraId="63C490F5" w14:textId="77777777" w:rsidR="004E483C" w:rsidRPr="00CB1701" w:rsidRDefault="004E483C" w:rsidP="004E483C">
            <w:pPr>
              <w:jc w:val="left"/>
              <w:rPr>
                <w:szCs w:val="24"/>
              </w:rPr>
            </w:pPr>
            <w:r w:rsidRPr="00CB1701">
              <w:rPr>
                <w:szCs w:val="24"/>
              </w:rPr>
              <w:t>Procedure Urgency</w:t>
            </w:r>
          </w:p>
        </w:tc>
        <w:tc>
          <w:tcPr>
            <w:tcW w:w="1243" w:type="pct"/>
          </w:tcPr>
          <w:p w14:paraId="06F9F993" w14:textId="77777777" w:rsidR="004E483C" w:rsidRPr="00CB1701" w:rsidRDefault="004E483C" w:rsidP="004E483C">
            <w:pPr>
              <w:jc w:val="center"/>
              <w:rPr>
                <w:szCs w:val="24"/>
              </w:rPr>
            </w:pPr>
          </w:p>
        </w:tc>
        <w:tc>
          <w:tcPr>
            <w:tcW w:w="1249" w:type="pct"/>
          </w:tcPr>
          <w:p w14:paraId="3EE82577" w14:textId="77777777" w:rsidR="004E483C" w:rsidRPr="00CB1701" w:rsidRDefault="004E483C" w:rsidP="004E483C">
            <w:pPr>
              <w:jc w:val="center"/>
              <w:rPr>
                <w:szCs w:val="24"/>
              </w:rPr>
            </w:pPr>
          </w:p>
        </w:tc>
        <w:tc>
          <w:tcPr>
            <w:tcW w:w="553" w:type="pct"/>
          </w:tcPr>
          <w:p w14:paraId="6AF20E62" w14:textId="7125A3C2" w:rsidR="004E483C" w:rsidRPr="00CB1701" w:rsidRDefault="0018679C" w:rsidP="004E483C">
            <w:pPr>
              <w:jc w:val="center"/>
              <w:rPr>
                <w:szCs w:val="24"/>
              </w:rPr>
            </w:pPr>
            <w:r>
              <w:rPr>
                <w:szCs w:val="24"/>
              </w:rPr>
              <w:t>&lt;0.001</w:t>
            </w:r>
          </w:p>
        </w:tc>
      </w:tr>
      <w:tr w:rsidR="004E483C" w:rsidRPr="00CB1701" w14:paraId="6F015449" w14:textId="77777777" w:rsidTr="004E483C">
        <w:trPr>
          <w:cantSplit/>
          <w:trHeight w:val="170"/>
          <w:jc w:val="center"/>
        </w:trPr>
        <w:tc>
          <w:tcPr>
            <w:tcW w:w="1954" w:type="pct"/>
          </w:tcPr>
          <w:p w14:paraId="2E2166F6" w14:textId="77777777" w:rsidR="004E483C" w:rsidRPr="00CB1701" w:rsidRDefault="004E483C" w:rsidP="004E483C">
            <w:pPr>
              <w:jc w:val="left"/>
              <w:rPr>
                <w:szCs w:val="24"/>
              </w:rPr>
            </w:pPr>
            <w:r w:rsidRPr="00CB1701">
              <w:rPr>
                <w:szCs w:val="24"/>
              </w:rPr>
              <w:t xml:space="preserve">     Elective, n (%)</w:t>
            </w:r>
          </w:p>
        </w:tc>
        <w:tc>
          <w:tcPr>
            <w:tcW w:w="1243" w:type="pct"/>
          </w:tcPr>
          <w:p w14:paraId="5277BBD7" w14:textId="77777777" w:rsidR="004E483C" w:rsidRPr="00CB1701" w:rsidRDefault="004E483C" w:rsidP="004E483C">
            <w:pPr>
              <w:jc w:val="center"/>
              <w:rPr>
                <w:szCs w:val="24"/>
              </w:rPr>
            </w:pPr>
            <w:r w:rsidRPr="00CB1701">
              <w:rPr>
                <w:szCs w:val="24"/>
              </w:rPr>
              <w:t>1385 (90.6%)</w:t>
            </w:r>
          </w:p>
        </w:tc>
        <w:tc>
          <w:tcPr>
            <w:tcW w:w="1249" w:type="pct"/>
          </w:tcPr>
          <w:p w14:paraId="566E0417" w14:textId="77777777" w:rsidR="004E483C" w:rsidRPr="00CB1701" w:rsidRDefault="004E483C" w:rsidP="004E483C">
            <w:pPr>
              <w:jc w:val="center"/>
              <w:rPr>
                <w:szCs w:val="24"/>
              </w:rPr>
            </w:pPr>
            <w:r w:rsidRPr="00CB1701">
              <w:rPr>
                <w:szCs w:val="24"/>
              </w:rPr>
              <w:t>4239 (86.7%)</w:t>
            </w:r>
          </w:p>
        </w:tc>
        <w:tc>
          <w:tcPr>
            <w:tcW w:w="553" w:type="pct"/>
          </w:tcPr>
          <w:p w14:paraId="559FD027" w14:textId="30308EC0" w:rsidR="004E483C" w:rsidRPr="00CB1701" w:rsidRDefault="004E483C" w:rsidP="004E483C">
            <w:pPr>
              <w:jc w:val="center"/>
              <w:rPr>
                <w:szCs w:val="24"/>
              </w:rPr>
            </w:pPr>
          </w:p>
        </w:tc>
      </w:tr>
      <w:tr w:rsidR="004E483C" w:rsidRPr="00CB1701" w14:paraId="756BEE6E" w14:textId="77777777" w:rsidTr="004E483C">
        <w:trPr>
          <w:cantSplit/>
          <w:trHeight w:val="170"/>
          <w:jc w:val="center"/>
        </w:trPr>
        <w:tc>
          <w:tcPr>
            <w:tcW w:w="1954" w:type="pct"/>
          </w:tcPr>
          <w:p w14:paraId="210B78D8" w14:textId="77777777" w:rsidR="004E483C" w:rsidRPr="00CB1701" w:rsidRDefault="004E483C" w:rsidP="004E483C">
            <w:pPr>
              <w:jc w:val="left"/>
              <w:rPr>
                <w:szCs w:val="24"/>
              </w:rPr>
            </w:pPr>
            <w:r w:rsidRPr="00CB1701">
              <w:rPr>
                <w:szCs w:val="24"/>
              </w:rPr>
              <w:t xml:space="preserve">     Urgent, n (%)</w:t>
            </w:r>
          </w:p>
        </w:tc>
        <w:tc>
          <w:tcPr>
            <w:tcW w:w="1243" w:type="pct"/>
          </w:tcPr>
          <w:p w14:paraId="5027C7EA" w14:textId="77777777" w:rsidR="004E483C" w:rsidRPr="00CB1701" w:rsidRDefault="004E483C" w:rsidP="004E483C">
            <w:pPr>
              <w:jc w:val="center"/>
              <w:rPr>
                <w:szCs w:val="24"/>
              </w:rPr>
            </w:pPr>
            <w:r w:rsidRPr="00CB1701">
              <w:rPr>
                <w:szCs w:val="24"/>
              </w:rPr>
              <w:t>136 (8.90%)</w:t>
            </w:r>
          </w:p>
        </w:tc>
        <w:tc>
          <w:tcPr>
            <w:tcW w:w="1249" w:type="pct"/>
          </w:tcPr>
          <w:p w14:paraId="212D46DC" w14:textId="77777777" w:rsidR="004E483C" w:rsidRPr="00CB1701" w:rsidRDefault="004E483C" w:rsidP="004E483C">
            <w:pPr>
              <w:jc w:val="center"/>
              <w:rPr>
                <w:szCs w:val="24"/>
              </w:rPr>
            </w:pPr>
            <w:r w:rsidRPr="00CB1701">
              <w:rPr>
                <w:szCs w:val="24"/>
              </w:rPr>
              <w:t>613 (12.5%)</w:t>
            </w:r>
          </w:p>
        </w:tc>
        <w:tc>
          <w:tcPr>
            <w:tcW w:w="553" w:type="pct"/>
          </w:tcPr>
          <w:p w14:paraId="61041A25" w14:textId="5CE0042E" w:rsidR="004E483C" w:rsidRPr="00CB1701" w:rsidRDefault="004E483C" w:rsidP="004E483C">
            <w:pPr>
              <w:jc w:val="center"/>
              <w:rPr>
                <w:szCs w:val="24"/>
              </w:rPr>
            </w:pPr>
          </w:p>
        </w:tc>
      </w:tr>
      <w:tr w:rsidR="004E483C" w:rsidRPr="00CB1701" w14:paraId="45F634F4" w14:textId="77777777" w:rsidTr="004E483C">
        <w:trPr>
          <w:cantSplit/>
          <w:trHeight w:val="170"/>
          <w:jc w:val="center"/>
        </w:trPr>
        <w:tc>
          <w:tcPr>
            <w:tcW w:w="1954" w:type="pct"/>
          </w:tcPr>
          <w:p w14:paraId="48A6EEDE" w14:textId="77777777" w:rsidR="004E483C" w:rsidRPr="00CB1701" w:rsidRDefault="004E483C" w:rsidP="004E483C">
            <w:pPr>
              <w:jc w:val="left"/>
              <w:rPr>
                <w:szCs w:val="24"/>
              </w:rPr>
            </w:pPr>
            <w:r w:rsidRPr="00CB1701">
              <w:rPr>
                <w:szCs w:val="24"/>
              </w:rPr>
              <w:t xml:space="preserve">     Emergency/ Salvage, n (%)</w:t>
            </w:r>
          </w:p>
        </w:tc>
        <w:tc>
          <w:tcPr>
            <w:tcW w:w="1243" w:type="pct"/>
          </w:tcPr>
          <w:p w14:paraId="47268CB2" w14:textId="77777777" w:rsidR="004E483C" w:rsidRPr="00CB1701" w:rsidRDefault="004E483C" w:rsidP="004E483C">
            <w:pPr>
              <w:jc w:val="center"/>
              <w:rPr>
                <w:szCs w:val="24"/>
              </w:rPr>
            </w:pPr>
            <w:r w:rsidRPr="00CB1701">
              <w:rPr>
                <w:szCs w:val="24"/>
              </w:rPr>
              <w:t>7 (0.46%)</w:t>
            </w:r>
          </w:p>
        </w:tc>
        <w:tc>
          <w:tcPr>
            <w:tcW w:w="1249" w:type="pct"/>
          </w:tcPr>
          <w:p w14:paraId="2CF05E89" w14:textId="77777777" w:rsidR="004E483C" w:rsidRPr="00CB1701" w:rsidRDefault="004E483C" w:rsidP="004E483C">
            <w:pPr>
              <w:jc w:val="center"/>
              <w:rPr>
                <w:szCs w:val="24"/>
              </w:rPr>
            </w:pPr>
            <w:r w:rsidRPr="00CB1701">
              <w:rPr>
                <w:szCs w:val="24"/>
              </w:rPr>
              <w:t>33 (0.67%)</w:t>
            </w:r>
          </w:p>
        </w:tc>
        <w:tc>
          <w:tcPr>
            <w:tcW w:w="553" w:type="pct"/>
          </w:tcPr>
          <w:p w14:paraId="1C676764" w14:textId="31E28D49" w:rsidR="004E483C" w:rsidRPr="00CB1701" w:rsidRDefault="004E483C" w:rsidP="004E483C">
            <w:pPr>
              <w:jc w:val="center"/>
              <w:rPr>
                <w:szCs w:val="24"/>
              </w:rPr>
            </w:pPr>
          </w:p>
        </w:tc>
      </w:tr>
      <w:tr w:rsidR="004E483C" w:rsidRPr="00CB1701" w14:paraId="174F4411" w14:textId="77777777" w:rsidTr="004E483C">
        <w:trPr>
          <w:cantSplit/>
          <w:trHeight w:val="170"/>
          <w:jc w:val="center"/>
        </w:trPr>
        <w:tc>
          <w:tcPr>
            <w:tcW w:w="1954" w:type="pct"/>
          </w:tcPr>
          <w:p w14:paraId="115A5560" w14:textId="77777777" w:rsidR="004E483C" w:rsidRPr="00CB1701" w:rsidRDefault="004E483C" w:rsidP="004E483C">
            <w:pPr>
              <w:jc w:val="left"/>
              <w:rPr>
                <w:szCs w:val="24"/>
              </w:rPr>
            </w:pPr>
            <w:r w:rsidRPr="00CB1701">
              <w:rPr>
                <w:szCs w:val="24"/>
              </w:rPr>
              <w:t>Valve Type</w:t>
            </w:r>
          </w:p>
        </w:tc>
        <w:tc>
          <w:tcPr>
            <w:tcW w:w="1243" w:type="pct"/>
          </w:tcPr>
          <w:p w14:paraId="518A0A75" w14:textId="77777777" w:rsidR="004E483C" w:rsidRPr="00CB1701" w:rsidRDefault="004E483C" w:rsidP="004E483C">
            <w:pPr>
              <w:jc w:val="center"/>
              <w:rPr>
                <w:szCs w:val="24"/>
              </w:rPr>
            </w:pPr>
          </w:p>
        </w:tc>
        <w:tc>
          <w:tcPr>
            <w:tcW w:w="1249" w:type="pct"/>
          </w:tcPr>
          <w:p w14:paraId="37C00864" w14:textId="77777777" w:rsidR="004E483C" w:rsidRPr="00CB1701" w:rsidRDefault="004E483C" w:rsidP="004E483C">
            <w:pPr>
              <w:jc w:val="center"/>
              <w:rPr>
                <w:szCs w:val="24"/>
              </w:rPr>
            </w:pPr>
          </w:p>
        </w:tc>
        <w:tc>
          <w:tcPr>
            <w:tcW w:w="553" w:type="pct"/>
          </w:tcPr>
          <w:p w14:paraId="5D0EAEA8" w14:textId="473C6E89" w:rsidR="004E483C" w:rsidRPr="00CB1701" w:rsidRDefault="00FD4BD3" w:rsidP="004E483C">
            <w:pPr>
              <w:jc w:val="center"/>
              <w:rPr>
                <w:szCs w:val="24"/>
              </w:rPr>
            </w:pPr>
            <w:r>
              <w:rPr>
                <w:szCs w:val="24"/>
              </w:rPr>
              <w:t>&lt;0.001</w:t>
            </w:r>
          </w:p>
        </w:tc>
      </w:tr>
      <w:tr w:rsidR="004E483C" w:rsidRPr="00CB1701" w14:paraId="47562A79" w14:textId="77777777" w:rsidTr="004E483C">
        <w:trPr>
          <w:cantSplit/>
          <w:trHeight w:val="170"/>
          <w:jc w:val="center"/>
        </w:trPr>
        <w:tc>
          <w:tcPr>
            <w:tcW w:w="1954" w:type="pct"/>
          </w:tcPr>
          <w:p w14:paraId="56F2FC44" w14:textId="5CDC19AD" w:rsidR="004E483C" w:rsidRPr="00CB1701" w:rsidRDefault="004E483C" w:rsidP="004E483C">
            <w:pPr>
              <w:jc w:val="left"/>
              <w:rPr>
                <w:szCs w:val="24"/>
              </w:rPr>
            </w:pPr>
            <w:r w:rsidRPr="00CB1701">
              <w:rPr>
                <w:szCs w:val="24"/>
              </w:rPr>
              <w:t xml:space="preserve">     Edwards SAPIEN, n (%)</w:t>
            </w:r>
          </w:p>
        </w:tc>
        <w:tc>
          <w:tcPr>
            <w:tcW w:w="1243" w:type="pct"/>
          </w:tcPr>
          <w:p w14:paraId="42C4B078" w14:textId="77777777" w:rsidR="004E483C" w:rsidRPr="00CB1701" w:rsidRDefault="004E483C" w:rsidP="004E483C">
            <w:pPr>
              <w:jc w:val="center"/>
              <w:rPr>
                <w:szCs w:val="24"/>
              </w:rPr>
            </w:pPr>
            <w:r w:rsidRPr="00CB1701">
              <w:rPr>
                <w:szCs w:val="24"/>
              </w:rPr>
              <w:t>760 (49.7%)</w:t>
            </w:r>
          </w:p>
        </w:tc>
        <w:tc>
          <w:tcPr>
            <w:tcW w:w="1249" w:type="pct"/>
          </w:tcPr>
          <w:p w14:paraId="0EB2B76D" w14:textId="77777777" w:rsidR="004E483C" w:rsidRPr="00CB1701" w:rsidRDefault="004E483C" w:rsidP="004E483C">
            <w:pPr>
              <w:jc w:val="center"/>
              <w:rPr>
                <w:szCs w:val="24"/>
              </w:rPr>
            </w:pPr>
            <w:r w:rsidRPr="00CB1701">
              <w:rPr>
                <w:szCs w:val="24"/>
              </w:rPr>
              <w:t>2736 (55.9%)</w:t>
            </w:r>
          </w:p>
        </w:tc>
        <w:tc>
          <w:tcPr>
            <w:tcW w:w="553" w:type="pct"/>
          </w:tcPr>
          <w:p w14:paraId="79337D2D" w14:textId="3A7CCA48" w:rsidR="004E483C" w:rsidRPr="00CB1701" w:rsidRDefault="004E483C" w:rsidP="004E483C">
            <w:pPr>
              <w:jc w:val="center"/>
              <w:rPr>
                <w:szCs w:val="24"/>
              </w:rPr>
            </w:pPr>
          </w:p>
        </w:tc>
      </w:tr>
      <w:tr w:rsidR="004E483C" w:rsidRPr="00CB1701" w14:paraId="70D5FEA0" w14:textId="77777777" w:rsidTr="004E483C">
        <w:trPr>
          <w:cantSplit/>
          <w:trHeight w:val="170"/>
          <w:jc w:val="center"/>
        </w:trPr>
        <w:tc>
          <w:tcPr>
            <w:tcW w:w="1954" w:type="pct"/>
          </w:tcPr>
          <w:p w14:paraId="4FA83900" w14:textId="77777777" w:rsidR="004E483C" w:rsidRPr="00CB1701" w:rsidRDefault="004E483C" w:rsidP="004E483C">
            <w:pPr>
              <w:jc w:val="left"/>
              <w:rPr>
                <w:szCs w:val="24"/>
              </w:rPr>
            </w:pPr>
            <w:r w:rsidRPr="00CB1701">
              <w:rPr>
                <w:szCs w:val="24"/>
              </w:rPr>
              <w:t xml:space="preserve">     Medtronic CoreValve, n (%)</w:t>
            </w:r>
          </w:p>
        </w:tc>
        <w:tc>
          <w:tcPr>
            <w:tcW w:w="1243" w:type="pct"/>
          </w:tcPr>
          <w:p w14:paraId="039F9510" w14:textId="77777777" w:rsidR="004E483C" w:rsidRPr="00CB1701" w:rsidRDefault="004E483C" w:rsidP="004E483C">
            <w:pPr>
              <w:jc w:val="center"/>
              <w:rPr>
                <w:szCs w:val="24"/>
              </w:rPr>
            </w:pPr>
            <w:r w:rsidRPr="00CB1701">
              <w:rPr>
                <w:szCs w:val="24"/>
              </w:rPr>
              <w:t>762 (49.9%)</w:t>
            </w:r>
          </w:p>
        </w:tc>
        <w:tc>
          <w:tcPr>
            <w:tcW w:w="1249" w:type="pct"/>
          </w:tcPr>
          <w:p w14:paraId="1C26350C" w14:textId="77777777" w:rsidR="004E483C" w:rsidRPr="00CB1701" w:rsidRDefault="004E483C" w:rsidP="004E483C">
            <w:pPr>
              <w:jc w:val="center"/>
              <w:rPr>
                <w:szCs w:val="24"/>
              </w:rPr>
            </w:pPr>
            <w:r w:rsidRPr="00CB1701">
              <w:rPr>
                <w:szCs w:val="24"/>
              </w:rPr>
              <w:t>1918 (39.2%)</w:t>
            </w:r>
          </w:p>
        </w:tc>
        <w:tc>
          <w:tcPr>
            <w:tcW w:w="553" w:type="pct"/>
          </w:tcPr>
          <w:p w14:paraId="00CDC39D" w14:textId="6320EA67" w:rsidR="004E483C" w:rsidRPr="00CB1701" w:rsidRDefault="004E483C" w:rsidP="004E483C">
            <w:pPr>
              <w:jc w:val="center"/>
              <w:rPr>
                <w:szCs w:val="24"/>
              </w:rPr>
            </w:pPr>
          </w:p>
        </w:tc>
      </w:tr>
      <w:tr w:rsidR="0018679C" w:rsidRPr="00CB1701" w14:paraId="6CE734CA" w14:textId="77777777" w:rsidTr="004E483C">
        <w:trPr>
          <w:cantSplit/>
          <w:trHeight w:val="170"/>
          <w:jc w:val="center"/>
        </w:trPr>
        <w:tc>
          <w:tcPr>
            <w:tcW w:w="1954" w:type="pct"/>
          </w:tcPr>
          <w:p w14:paraId="5EC14F5F" w14:textId="32115CC9" w:rsidR="0018679C" w:rsidRPr="00CB1701" w:rsidRDefault="0018679C" w:rsidP="004E483C">
            <w:pPr>
              <w:jc w:val="left"/>
              <w:rPr>
                <w:szCs w:val="24"/>
              </w:rPr>
            </w:pPr>
            <w:r>
              <w:rPr>
                <w:szCs w:val="24"/>
              </w:rPr>
              <w:t xml:space="preserve">     Other valve type, n (%)</w:t>
            </w:r>
          </w:p>
        </w:tc>
        <w:tc>
          <w:tcPr>
            <w:tcW w:w="1243" w:type="pct"/>
          </w:tcPr>
          <w:p w14:paraId="390EEAC5" w14:textId="339264CE" w:rsidR="0018679C" w:rsidRPr="00CB1701" w:rsidRDefault="00FD4BD3" w:rsidP="004E483C">
            <w:pPr>
              <w:jc w:val="center"/>
              <w:rPr>
                <w:szCs w:val="24"/>
              </w:rPr>
            </w:pPr>
            <w:r>
              <w:rPr>
                <w:szCs w:val="24"/>
              </w:rPr>
              <w:t>0 (0%)</w:t>
            </w:r>
          </w:p>
        </w:tc>
        <w:tc>
          <w:tcPr>
            <w:tcW w:w="1249" w:type="pct"/>
          </w:tcPr>
          <w:p w14:paraId="0C5159B1" w14:textId="137381ED" w:rsidR="0018679C" w:rsidRPr="00CB1701" w:rsidRDefault="00FD4BD3" w:rsidP="004E483C">
            <w:pPr>
              <w:jc w:val="center"/>
              <w:rPr>
                <w:szCs w:val="24"/>
              </w:rPr>
            </w:pPr>
            <w:r>
              <w:rPr>
                <w:szCs w:val="24"/>
              </w:rPr>
              <w:t>215 (4.39%)</w:t>
            </w:r>
          </w:p>
        </w:tc>
        <w:tc>
          <w:tcPr>
            <w:tcW w:w="553" w:type="pct"/>
          </w:tcPr>
          <w:p w14:paraId="27EA91C7" w14:textId="77777777" w:rsidR="0018679C" w:rsidRPr="00CB1701" w:rsidRDefault="0018679C" w:rsidP="004E483C">
            <w:pPr>
              <w:jc w:val="center"/>
              <w:rPr>
                <w:szCs w:val="24"/>
              </w:rPr>
            </w:pPr>
          </w:p>
        </w:tc>
      </w:tr>
      <w:tr w:rsidR="004E483C" w:rsidRPr="00CB1701" w14:paraId="69AEC215" w14:textId="77777777" w:rsidTr="004E483C">
        <w:trPr>
          <w:cantSplit/>
          <w:trHeight w:val="170"/>
          <w:jc w:val="center"/>
        </w:trPr>
        <w:tc>
          <w:tcPr>
            <w:tcW w:w="1954" w:type="pct"/>
          </w:tcPr>
          <w:p w14:paraId="5C9640DA" w14:textId="77777777" w:rsidR="004E483C" w:rsidRPr="00CB1701" w:rsidRDefault="004E483C" w:rsidP="004E483C">
            <w:pPr>
              <w:jc w:val="left"/>
              <w:rPr>
                <w:szCs w:val="24"/>
              </w:rPr>
            </w:pPr>
            <w:r w:rsidRPr="00CB1701">
              <w:rPr>
                <w:szCs w:val="24"/>
              </w:rPr>
              <w:t>Access Route</w:t>
            </w:r>
          </w:p>
        </w:tc>
        <w:tc>
          <w:tcPr>
            <w:tcW w:w="1243" w:type="pct"/>
          </w:tcPr>
          <w:p w14:paraId="0B42D2D3" w14:textId="77777777" w:rsidR="004E483C" w:rsidRPr="00CB1701" w:rsidRDefault="004E483C" w:rsidP="004E483C">
            <w:pPr>
              <w:jc w:val="center"/>
              <w:rPr>
                <w:szCs w:val="24"/>
              </w:rPr>
            </w:pPr>
          </w:p>
        </w:tc>
        <w:tc>
          <w:tcPr>
            <w:tcW w:w="1249" w:type="pct"/>
          </w:tcPr>
          <w:p w14:paraId="1D9EA426" w14:textId="77777777" w:rsidR="004E483C" w:rsidRPr="00CB1701" w:rsidRDefault="004E483C" w:rsidP="004E483C">
            <w:pPr>
              <w:jc w:val="center"/>
              <w:rPr>
                <w:szCs w:val="24"/>
              </w:rPr>
            </w:pPr>
          </w:p>
        </w:tc>
        <w:tc>
          <w:tcPr>
            <w:tcW w:w="553" w:type="pct"/>
          </w:tcPr>
          <w:p w14:paraId="6A0C01D2" w14:textId="5944988B" w:rsidR="004E483C" w:rsidRPr="00CB1701" w:rsidRDefault="0018679C" w:rsidP="004E483C">
            <w:pPr>
              <w:jc w:val="center"/>
              <w:rPr>
                <w:szCs w:val="24"/>
              </w:rPr>
            </w:pPr>
            <w:r>
              <w:rPr>
                <w:szCs w:val="24"/>
              </w:rPr>
              <w:t>&lt;0.001</w:t>
            </w:r>
          </w:p>
        </w:tc>
      </w:tr>
      <w:tr w:rsidR="004E483C" w:rsidRPr="00CB1701" w14:paraId="4FBB45AA" w14:textId="77777777" w:rsidTr="004E483C">
        <w:trPr>
          <w:cantSplit/>
          <w:trHeight w:val="170"/>
          <w:jc w:val="center"/>
        </w:trPr>
        <w:tc>
          <w:tcPr>
            <w:tcW w:w="1954" w:type="pct"/>
          </w:tcPr>
          <w:p w14:paraId="705895F0" w14:textId="77777777" w:rsidR="004E483C" w:rsidRPr="00CB1701" w:rsidRDefault="004E483C" w:rsidP="004E483C">
            <w:pPr>
              <w:jc w:val="left"/>
              <w:rPr>
                <w:szCs w:val="24"/>
              </w:rPr>
            </w:pPr>
            <w:r w:rsidRPr="00CB1701">
              <w:rPr>
                <w:szCs w:val="24"/>
              </w:rPr>
              <w:t xml:space="preserve">     TF Access, n (%)</w:t>
            </w:r>
          </w:p>
        </w:tc>
        <w:tc>
          <w:tcPr>
            <w:tcW w:w="1243" w:type="pct"/>
          </w:tcPr>
          <w:p w14:paraId="117D1120" w14:textId="77777777" w:rsidR="004E483C" w:rsidRPr="00CB1701" w:rsidRDefault="004E483C" w:rsidP="004E483C">
            <w:pPr>
              <w:jc w:val="center"/>
              <w:rPr>
                <w:szCs w:val="24"/>
              </w:rPr>
            </w:pPr>
            <w:r w:rsidRPr="00CB1701">
              <w:rPr>
                <w:szCs w:val="24"/>
              </w:rPr>
              <w:t>1029 (67.3%)</w:t>
            </w:r>
          </w:p>
        </w:tc>
        <w:tc>
          <w:tcPr>
            <w:tcW w:w="1249" w:type="pct"/>
          </w:tcPr>
          <w:p w14:paraId="0606B2B3" w14:textId="77777777" w:rsidR="004E483C" w:rsidRPr="00CB1701" w:rsidRDefault="004E483C" w:rsidP="004E483C">
            <w:pPr>
              <w:jc w:val="center"/>
              <w:rPr>
                <w:szCs w:val="24"/>
              </w:rPr>
            </w:pPr>
            <w:r w:rsidRPr="00CB1701">
              <w:rPr>
                <w:szCs w:val="24"/>
              </w:rPr>
              <w:t>3766 (77.0%)</w:t>
            </w:r>
          </w:p>
        </w:tc>
        <w:tc>
          <w:tcPr>
            <w:tcW w:w="553" w:type="pct"/>
          </w:tcPr>
          <w:p w14:paraId="4A0227BC" w14:textId="74BF07CC" w:rsidR="004E483C" w:rsidRPr="00CB1701" w:rsidRDefault="004E483C" w:rsidP="004E483C">
            <w:pPr>
              <w:jc w:val="center"/>
              <w:rPr>
                <w:szCs w:val="24"/>
              </w:rPr>
            </w:pPr>
          </w:p>
        </w:tc>
      </w:tr>
      <w:tr w:rsidR="004E483C" w:rsidRPr="00CB1701" w14:paraId="6BFBD9C6" w14:textId="77777777" w:rsidTr="0018679C">
        <w:trPr>
          <w:cantSplit/>
          <w:trHeight w:val="170"/>
          <w:jc w:val="center"/>
        </w:trPr>
        <w:tc>
          <w:tcPr>
            <w:tcW w:w="1954" w:type="pct"/>
          </w:tcPr>
          <w:p w14:paraId="5E6C79F3" w14:textId="77777777" w:rsidR="004E483C" w:rsidRPr="00CB1701" w:rsidRDefault="004E483C" w:rsidP="004E483C">
            <w:pPr>
              <w:jc w:val="left"/>
              <w:rPr>
                <w:szCs w:val="24"/>
              </w:rPr>
            </w:pPr>
            <w:r w:rsidRPr="00CB1701">
              <w:rPr>
                <w:szCs w:val="24"/>
              </w:rPr>
              <w:t xml:space="preserve">     TA Access, n (%)</w:t>
            </w:r>
          </w:p>
        </w:tc>
        <w:tc>
          <w:tcPr>
            <w:tcW w:w="1243" w:type="pct"/>
          </w:tcPr>
          <w:p w14:paraId="028F4E66" w14:textId="77777777" w:rsidR="004E483C" w:rsidRPr="00CB1701" w:rsidRDefault="004E483C" w:rsidP="004E483C">
            <w:pPr>
              <w:jc w:val="center"/>
              <w:rPr>
                <w:szCs w:val="24"/>
              </w:rPr>
            </w:pPr>
            <w:r w:rsidRPr="00CB1701">
              <w:rPr>
                <w:szCs w:val="24"/>
              </w:rPr>
              <w:t>389 (25.5%)</w:t>
            </w:r>
          </w:p>
        </w:tc>
        <w:tc>
          <w:tcPr>
            <w:tcW w:w="1249" w:type="pct"/>
          </w:tcPr>
          <w:p w14:paraId="4EBF60D7" w14:textId="77777777" w:rsidR="004E483C" w:rsidRPr="00CB1701" w:rsidRDefault="004E483C" w:rsidP="004E483C">
            <w:pPr>
              <w:jc w:val="center"/>
              <w:rPr>
                <w:szCs w:val="24"/>
              </w:rPr>
            </w:pPr>
            <w:r w:rsidRPr="00CB1701">
              <w:rPr>
                <w:szCs w:val="24"/>
              </w:rPr>
              <w:t>620 (12.7%)</w:t>
            </w:r>
          </w:p>
        </w:tc>
        <w:tc>
          <w:tcPr>
            <w:tcW w:w="553" w:type="pct"/>
          </w:tcPr>
          <w:p w14:paraId="1EF30462" w14:textId="67C438EB" w:rsidR="004E483C" w:rsidRPr="00CB1701" w:rsidRDefault="004E483C" w:rsidP="004E483C">
            <w:pPr>
              <w:jc w:val="center"/>
              <w:rPr>
                <w:szCs w:val="24"/>
              </w:rPr>
            </w:pPr>
          </w:p>
        </w:tc>
      </w:tr>
      <w:tr w:rsidR="0018679C" w:rsidRPr="00CB1701" w14:paraId="7B582011" w14:textId="77777777" w:rsidTr="004E483C">
        <w:trPr>
          <w:cantSplit/>
          <w:trHeight w:val="170"/>
          <w:jc w:val="center"/>
        </w:trPr>
        <w:tc>
          <w:tcPr>
            <w:tcW w:w="1954" w:type="pct"/>
            <w:tcBorders>
              <w:bottom w:val="single" w:sz="4" w:space="0" w:color="auto"/>
            </w:tcBorders>
          </w:tcPr>
          <w:p w14:paraId="0A50BBA5" w14:textId="602D8F82" w:rsidR="0018679C" w:rsidRPr="00CB1701" w:rsidRDefault="0018679C" w:rsidP="004E483C">
            <w:pPr>
              <w:jc w:val="left"/>
              <w:rPr>
                <w:szCs w:val="24"/>
              </w:rPr>
            </w:pPr>
            <w:r>
              <w:rPr>
                <w:szCs w:val="24"/>
              </w:rPr>
              <w:t xml:space="preserve">     Other Access, n (%)</w:t>
            </w:r>
          </w:p>
        </w:tc>
        <w:tc>
          <w:tcPr>
            <w:tcW w:w="1243" w:type="pct"/>
            <w:tcBorders>
              <w:bottom w:val="single" w:sz="4" w:space="0" w:color="auto"/>
            </w:tcBorders>
          </w:tcPr>
          <w:p w14:paraId="563B5BD1" w14:textId="10510958" w:rsidR="0018679C" w:rsidRPr="00CB1701" w:rsidRDefault="0018679C" w:rsidP="004E483C">
            <w:pPr>
              <w:jc w:val="center"/>
              <w:rPr>
                <w:szCs w:val="24"/>
              </w:rPr>
            </w:pPr>
            <w:r>
              <w:rPr>
                <w:szCs w:val="24"/>
              </w:rPr>
              <w:t>110 (7.20%)</w:t>
            </w:r>
          </w:p>
        </w:tc>
        <w:tc>
          <w:tcPr>
            <w:tcW w:w="1249" w:type="pct"/>
            <w:tcBorders>
              <w:bottom w:val="single" w:sz="4" w:space="0" w:color="auto"/>
            </w:tcBorders>
          </w:tcPr>
          <w:p w14:paraId="3E3E4794" w14:textId="1640E27A" w:rsidR="0018679C" w:rsidRPr="00CB1701" w:rsidRDefault="0018679C" w:rsidP="004E483C">
            <w:pPr>
              <w:jc w:val="center"/>
              <w:rPr>
                <w:szCs w:val="24"/>
              </w:rPr>
            </w:pPr>
            <w:r>
              <w:rPr>
                <w:szCs w:val="24"/>
              </w:rPr>
              <w:t>494 (10.1%)</w:t>
            </w:r>
          </w:p>
        </w:tc>
        <w:tc>
          <w:tcPr>
            <w:tcW w:w="553" w:type="pct"/>
            <w:tcBorders>
              <w:bottom w:val="single" w:sz="4" w:space="0" w:color="auto"/>
            </w:tcBorders>
          </w:tcPr>
          <w:p w14:paraId="764CCCC2" w14:textId="77777777" w:rsidR="0018679C" w:rsidRPr="00CB1701" w:rsidRDefault="0018679C" w:rsidP="004E483C">
            <w:pPr>
              <w:jc w:val="center"/>
              <w:rPr>
                <w:szCs w:val="24"/>
              </w:rPr>
            </w:pPr>
          </w:p>
        </w:tc>
      </w:tr>
    </w:tbl>
    <w:p w14:paraId="37DE6748" w14:textId="77777777" w:rsidR="004E483C" w:rsidRDefault="004E483C" w:rsidP="004E483C">
      <w:pPr>
        <w:jc w:val="center"/>
        <w:rPr>
          <w:i/>
          <w:sz w:val="22"/>
        </w:rPr>
      </w:pPr>
      <w:r>
        <w:rPr>
          <w:i/>
          <w:sz w:val="22"/>
        </w:rPr>
        <w:t>*: Defined as creatinine&gt;200</w:t>
      </w:r>
      <w:r w:rsidRPr="003E7ABB">
        <w:rPr>
          <w:i/>
          <w:sz w:val="22"/>
        </w:rPr>
        <w:t>µmol/</w:t>
      </w:r>
      <w:r>
        <w:rPr>
          <w:i/>
          <w:sz w:val="22"/>
        </w:rPr>
        <w:t xml:space="preserve">L or dialysis for renal failure. </w:t>
      </w:r>
    </w:p>
    <w:p w14:paraId="1823CDFC" w14:textId="6A2D13CA" w:rsidR="005154C9" w:rsidRDefault="004E483C" w:rsidP="004E483C">
      <w:r w:rsidRPr="002C3790">
        <w:rPr>
          <w:i/>
          <w:sz w:val="22"/>
        </w:rPr>
        <w:t>LVEF: Left Ventricular Ejection Fraction, MI: Myocardial Infarction,</w:t>
      </w:r>
      <w:r>
        <w:rPr>
          <w:i/>
          <w:sz w:val="22"/>
        </w:rPr>
        <w:t xml:space="preserve"> </w:t>
      </w:r>
      <w:r w:rsidRPr="002C3790">
        <w:rPr>
          <w:i/>
          <w:sz w:val="22"/>
        </w:rPr>
        <w:t>NYHA: New York Heart Association Functional Classification, TA: Transapical Access route, TF: Transfemoral Access Route</w:t>
      </w:r>
    </w:p>
    <w:p w14:paraId="2D1DA2EF" w14:textId="77777777" w:rsidR="004E483C" w:rsidRDefault="004E483C" w:rsidP="005154C9">
      <w:pPr>
        <w:sectPr w:rsidR="004E483C" w:rsidSect="004E483C">
          <w:pgSz w:w="11906" w:h="16838"/>
          <w:pgMar w:top="1440" w:right="1440" w:bottom="1440" w:left="1440" w:header="708" w:footer="708" w:gutter="0"/>
          <w:cols w:space="708"/>
          <w:docGrid w:linePitch="360"/>
        </w:sectPr>
      </w:pPr>
    </w:p>
    <w:p w14:paraId="335A3CAB" w14:textId="62BADBD9" w:rsidR="004E483C" w:rsidRPr="003A5B91" w:rsidRDefault="004E483C" w:rsidP="004E483C">
      <w:pPr>
        <w:pStyle w:val="Heading2"/>
        <w:rPr>
          <w:b w:val="0"/>
        </w:rPr>
      </w:pPr>
      <w:r w:rsidRPr="00C92803">
        <w:t xml:space="preserve">Table </w:t>
      </w:r>
      <w:r w:rsidR="00C92803">
        <w:t>3</w:t>
      </w:r>
      <w:r w:rsidRPr="00C92803">
        <w:t>.</w:t>
      </w:r>
      <w:r w:rsidRPr="00C92803">
        <w:rPr>
          <w:b w:val="0"/>
        </w:rPr>
        <w:t xml:space="preserve"> Baseline characteristics across sex subgroups.</w:t>
      </w:r>
    </w:p>
    <w:tbl>
      <w:tblPr>
        <w:tblW w:w="5000" w:type="pct"/>
        <w:jc w:val="center"/>
        <w:tblCellMar>
          <w:right w:w="115" w:type="dxa"/>
        </w:tblCellMar>
        <w:tblLook w:val="04A0" w:firstRow="1" w:lastRow="0" w:firstColumn="1" w:lastColumn="0" w:noHBand="0" w:noVBand="1"/>
      </w:tblPr>
      <w:tblGrid>
        <w:gridCol w:w="3822"/>
        <w:gridCol w:w="2342"/>
        <w:gridCol w:w="2005"/>
        <w:gridCol w:w="1080"/>
      </w:tblGrid>
      <w:tr w:rsidR="004E483C" w:rsidRPr="00CB1701" w14:paraId="112CCBAE" w14:textId="77777777" w:rsidTr="004E483C">
        <w:trPr>
          <w:cantSplit/>
          <w:trHeight w:val="170"/>
          <w:jc w:val="center"/>
        </w:trPr>
        <w:tc>
          <w:tcPr>
            <w:tcW w:w="2066" w:type="pct"/>
            <w:tcBorders>
              <w:top w:val="single" w:sz="4" w:space="0" w:color="auto"/>
              <w:bottom w:val="single" w:sz="4" w:space="0" w:color="auto"/>
            </w:tcBorders>
          </w:tcPr>
          <w:p w14:paraId="27D63242" w14:textId="77777777" w:rsidR="004E483C" w:rsidRPr="00CB1701" w:rsidRDefault="004E483C" w:rsidP="004E483C">
            <w:pPr>
              <w:jc w:val="left"/>
              <w:rPr>
                <w:b/>
                <w:szCs w:val="24"/>
              </w:rPr>
            </w:pPr>
            <w:r w:rsidRPr="00CB1701">
              <w:rPr>
                <w:b/>
                <w:szCs w:val="24"/>
              </w:rPr>
              <w:t>Variable</w:t>
            </w:r>
          </w:p>
        </w:tc>
        <w:tc>
          <w:tcPr>
            <w:tcW w:w="1266" w:type="pct"/>
            <w:tcBorders>
              <w:top w:val="single" w:sz="4" w:space="0" w:color="auto"/>
              <w:bottom w:val="single" w:sz="4" w:space="0" w:color="auto"/>
            </w:tcBorders>
          </w:tcPr>
          <w:p w14:paraId="5F52CD8D" w14:textId="77777777" w:rsidR="004E483C" w:rsidRPr="00CB1701" w:rsidRDefault="004E483C" w:rsidP="004E483C">
            <w:pPr>
              <w:jc w:val="center"/>
              <w:rPr>
                <w:b/>
                <w:szCs w:val="24"/>
              </w:rPr>
            </w:pPr>
            <w:r w:rsidRPr="00CB1701">
              <w:rPr>
                <w:b/>
                <w:szCs w:val="24"/>
              </w:rPr>
              <w:t>Female (n=2972)</w:t>
            </w:r>
          </w:p>
        </w:tc>
        <w:tc>
          <w:tcPr>
            <w:tcW w:w="1084" w:type="pct"/>
            <w:tcBorders>
              <w:top w:val="single" w:sz="4" w:space="0" w:color="auto"/>
              <w:bottom w:val="single" w:sz="4" w:space="0" w:color="auto"/>
            </w:tcBorders>
          </w:tcPr>
          <w:p w14:paraId="06A48BEE" w14:textId="77777777" w:rsidR="004E483C" w:rsidRPr="00CB1701" w:rsidRDefault="004E483C" w:rsidP="004E483C">
            <w:pPr>
              <w:jc w:val="center"/>
              <w:rPr>
                <w:b/>
                <w:szCs w:val="24"/>
              </w:rPr>
            </w:pPr>
            <w:r w:rsidRPr="00CB1701">
              <w:rPr>
                <w:b/>
                <w:szCs w:val="24"/>
              </w:rPr>
              <w:t>Male (n=3448)</w:t>
            </w:r>
          </w:p>
        </w:tc>
        <w:tc>
          <w:tcPr>
            <w:tcW w:w="584" w:type="pct"/>
            <w:tcBorders>
              <w:top w:val="single" w:sz="4" w:space="0" w:color="auto"/>
              <w:bottom w:val="single" w:sz="4" w:space="0" w:color="auto"/>
            </w:tcBorders>
          </w:tcPr>
          <w:p w14:paraId="7198E241" w14:textId="77777777" w:rsidR="004E483C" w:rsidRPr="00CB1701" w:rsidRDefault="004E483C" w:rsidP="004E483C">
            <w:pPr>
              <w:jc w:val="center"/>
              <w:rPr>
                <w:b/>
                <w:szCs w:val="24"/>
              </w:rPr>
            </w:pPr>
            <w:r w:rsidRPr="00CB1701">
              <w:rPr>
                <w:b/>
                <w:szCs w:val="24"/>
              </w:rPr>
              <w:t>p-value</w:t>
            </w:r>
          </w:p>
        </w:tc>
      </w:tr>
      <w:tr w:rsidR="004E483C" w:rsidRPr="00CB1701" w14:paraId="2955BE05" w14:textId="77777777" w:rsidTr="004E483C">
        <w:trPr>
          <w:cantSplit/>
          <w:trHeight w:val="170"/>
          <w:jc w:val="center"/>
        </w:trPr>
        <w:tc>
          <w:tcPr>
            <w:tcW w:w="2066" w:type="pct"/>
            <w:tcBorders>
              <w:top w:val="single" w:sz="4" w:space="0" w:color="auto"/>
            </w:tcBorders>
          </w:tcPr>
          <w:p w14:paraId="7E8E939F" w14:textId="77777777" w:rsidR="004E483C" w:rsidRPr="00CB1701" w:rsidRDefault="004E483C" w:rsidP="004E483C">
            <w:pPr>
              <w:jc w:val="left"/>
              <w:rPr>
                <w:szCs w:val="24"/>
              </w:rPr>
            </w:pPr>
            <w:r w:rsidRPr="00CB1701">
              <w:rPr>
                <w:szCs w:val="24"/>
              </w:rPr>
              <w:t>Age, mean [range]</w:t>
            </w:r>
          </w:p>
        </w:tc>
        <w:tc>
          <w:tcPr>
            <w:tcW w:w="1266" w:type="pct"/>
            <w:tcBorders>
              <w:top w:val="single" w:sz="4" w:space="0" w:color="auto"/>
            </w:tcBorders>
          </w:tcPr>
          <w:p w14:paraId="3EC22A8E" w14:textId="77777777" w:rsidR="004E483C" w:rsidRPr="00CB1701" w:rsidRDefault="004E483C" w:rsidP="004E483C">
            <w:pPr>
              <w:jc w:val="center"/>
              <w:rPr>
                <w:szCs w:val="24"/>
              </w:rPr>
            </w:pPr>
            <w:r w:rsidRPr="00CB1701">
              <w:rPr>
                <w:szCs w:val="24"/>
              </w:rPr>
              <w:t>82.3 [30-100]</w:t>
            </w:r>
          </w:p>
        </w:tc>
        <w:tc>
          <w:tcPr>
            <w:tcW w:w="1084" w:type="pct"/>
            <w:tcBorders>
              <w:top w:val="single" w:sz="4" w:space="0" w:color="auto"/>
            </w:tcBorders>
          </w:tcPr>
          <w:p w14:paraId="39E763BA" w14:textId="77777777" w:rsidR="004E483C" w:rsidRPr="00CB1701" w:rsidRDefault="004E483C" w:rsidP="004E483C">
            <w:pPr>
              <w:jc w:val="center"/>
              <w:rPr>
                <w:szCs w:val="24"/>
              </w:rPr>
            </w:pPr>
            <w:r w:rsidRPr="00CB1701">
              <w:rPr>
                <w:szCs w:val="24"/>
              </w:rPr>
              <w:t>80.4 [29-101]</w:t>
            </w:r>
          </w:p>
        </w:tc>
        <w:tc>
          <w:tcPr>
            <w:tcW w:w="584" w:type="pct"/>
            <w:tcBorders>
              <w:top w:val="single" w:sz="4" w:space="0" w:color="auto"/>
            </w:tcBorders>
          </w:tcPr>
          <w:p w14:paraId="7CE99DC0" w14:textId="77777777" w:rsidR="004E483C" w:rsidRPr="00CB1701" w:rsidRDefault="004E483C" w:rsidP="004E483C">
            <w:pPr>
              <w:jc w:val="center"/>
              <w:rPr>
                <w:szCs w:val="24"/>
              </w:rPr>
            </w:pPr>
            <w:r w:rsidRPr="00CB1701">
              <w:rPr>
                <w:szCs w:val="24"/>
              </w:rPr>
              <w:t>&lt;0.001</w:t>
            </w:r>
          </w:p>
        </w:tc>
      </w:tr>
      <w:tr w:rsidR="004E483C" w:rsidRPr="00CB1701" w14:paraId="5FFC6347" w14:textId="77777777" w:rsidTr="004E483C">
        <w:trPr>
          <w:cantSplit/>
          <w:trHeight w:val="170"/>
          <w:jc w:val="center"/>
        </w:trPr>
        <w:tc>
          <w:tcPr>
            <w:tcW w:w="2066" w:type="pct"/>
          </w:tcPr>
          <w:p w14:paraId="5967959D" w14:textId="77777777" w:rsidR="004E483C" w:rsidRPr="00CB1701" w:rsidRDefault="004E483C" w:rsidP="004E483C">
            <w:pPr>
              <w:jc w:val="left"/>
              <w:rPr>
                <w:szCs w:val="24"/>
              </w:rPr>
            </w:pPr>
            <w:r w:rsidRPr="00CB1701">
              <w:rPr>
                <w:szCs w:val="24"/>
              </w:rPr>
              <w:t>Diabetes</w:t>
            </w:r>
          </w:p>
        </w:tc>
        <w:tc>
          <w:tcPr>
            <w:tcW w:w="1266" w:type="pct"/>
          </w:tcPr>
          <w:p w14:paraId="75E39308" w14:textId="77777777" w:rsidR="004E483C" w:rsidRPr="00CB1701" w:rsidRDefault="004E483C" w:rsidP="004E483C">
            <w:pPr>
              <w:jc w:val="center"/>
              <w:rPr>
                <w:szCs w:val="24"/>
              </w:rPr>
            </w:pPr>
          </w:p>
        </w:tc>
        <w:tc>
          <w:tcPr>
            <w:tcW w:w="1084" w:type="pct"/>
          </w:tcPr>
          <w:p w14:paraId="368C826F" w14:textId="77777777" w:rsidR="004E483C" w:rsidRPr="00CB1701" w:rsidRDefault="004E483C" w:rsidP="004E483C">
            <w:pPr>
              <w:jc w:val="center"/>
              <w:rPr>
                <w:szCs w:val="24"/>
              </w:rPr>
            </w:pPr>
          </w:p>
        </w:tc>
        <w:tc>
          <w:tcPr>
            <w:tcW w:w="584" w:type="pct"/>
          </w:tcPr>
          <w:p w14:paraId="47749EC9" w14:textId="0D0ADD2E" w:rsidR="004E483C" w:rsidRPr="00CB1701" w:rsidRDefault="00330B1E" w:rsidP="004E483C">
            <w:pPr>
              <w:jc w:val="center"/>
              <w:rPr>
                <w:szCs w:val="24"/>
              </w:rPr>
            </w:pPr>
            <w:r>
              <w:rPr>
                <w:szCs w:val="24"/>
              </w:rPr>
              <w:t>&lt;0.001</w:t>
            </w:r>
          </w:p>
        </w:tc>
      </w:tr>
      <w:tr w:rsidR="007A39CC" w:rsidRPr="00CB1701" w14:paraId="3F98B4E1" w14:textId="77777777" w:rsidTr="004E483C">
        <w:trPr>
          <w:cantSplit/>
          <w:trHeight w:val="170"/>
          <w:jc w:val="center"/>
        </w:trPr>
        <w:tc>
          <w:tcPr>
            <w:tcW w:w="2066" w:type="pct"/>
          </w:tcPr>
          <w:p w14:paraId="63DDF0CF" w14:textId="281B60CD" w:rsidR="007A39CC" w:rsidRPr="00CB1701" w:rsidRDefault="007A39CC" w:rsidP="007A39CC">
            <w:pPr>
              <w:jc w:val="left"/>
              <w:rPr>
                <w:szCs w:val="24"/>
              </w:rPr>
            </w:pPr>
            <w:r>
              <w:rPr>
                <w:szCs w:val="24"/>
              </w:rPr>
              <w:t xml:space="preserve">     Non-diabetic, n (%)</w:t>
            </w:r>
          </w:p>
        </w:tc>
        <w:tc>
          <w:tcPr>
            <w:tcW w:w="1266" w:type="pct"/>
          </w:tcPr>
          <w:p w14:paraId="546C31CE" w14:textId="07E113FF" w:rsidR="007A39CC" w:rsidRPr="00CB1701" w:rsidRDefault="00330B1E" w:rsidP="007A39CC">
            <w:pPr>
              <w:jc w:val="center"/>
              <w:rPr>
                <w:szCs w:val="24"/>
              </w:rPr>
            </w:pPr>
            <w:r>
              <w:rPr>
                <w:szCs w:val="24"/>
              </w:rPr>
              <w:t>2358 (79.3%)</w:t>
            </w:r>
          </w:p>
        </w:tc>
        <w:tc>
          <w:tcPr>
            <w:tcW w:w="1084" w:type="pct"/>
          </w:tcPr>
          <w:p w14:paraId="55BF884C" w14:textId="13B65693" w:rsidR="007A39CC" w:rsidRPr="00CB1701" w:rsidRDefault="00330B1E" w:rsidP="007A39CC">
            <w:pPr>
              <w:jc w:val="center"/>
              <w:rPr>
                <w:szCs w:val="24"/>
              </w:rPr>
            </w:pPr>
            <w:r>
              <w:rPr>
                <w:szCs w:val="24"/>
              </w:rPr>
              <w:t>2550 (74.0%)</w:t>
            </w:r>
          </w:p>
        </w:tc>
        <w:tc>
          <w:tcPr>
            <w:tcW w:w="584" w:type="pct"/>
          </w:tcPr>
          <w:p w14:paraId="2FDCAAFF" w14:textId="17591221" w:rsidR="007A39CC" w:rsidRPr="00CB1701" w:rsidRDefault="007A39CC" w:rsidP="007A39CC">
            <w:pPr>
              <w:jc w:val="center"/>
              <w:rPr>
                <w:szCs w:val="24"/>
              </w:rPr>
            </w:pPr>
          </w:p>
        </w:tc>
      </w:tr>
      <w:tr w:rsidR="007A39CC" w:rsidRPr="00CB1701" w14:paraId="14C2CDA9" w14:textId="77777777" w:rsidTr="004E483C">
        <w:trPr>
          <w:cantSplit/>
          <w:trHeight w:val="170"/>
          <w:jc w:val="center"/>
        </w:trPr>
        <w:tc>
          <w:tcPr>
            <w:tcW w:w="2066" w:type="pct"/>
          </w:tcPr>
          <w:p w14:paraId="707987F6" w14:textId="77777777" w:rsidR="007A39CC" w:rsidRPr="00CB1701" w:rsidRDefault="007A39CC" w:rsidP="007A39CC">
            <w:pPr>
              <w:jc w:val="left"/>
              <w:rPr>
                <w:szCs w:val="24"/>
              </w:rPr>
            </w:pPr>
            <w:r w:rsidRPr="00CB1701">
              <w:rPr>
                <w:szCs w:val="24"/>
              </w:rPr>
              <w:t xml:space="preserve">     Dietary control, n (%)</w:t>
            </w:r>
          </w:p>
        </w:tc>
        <w:tc>
          <w:tcPr>
            <w:tcW w:w="1266" w:type="pct"/>
          </w:tcPr>
          <w:p w14:paraId="0161DB29" w14:textId="77777777" w:rsidR="007A39CC" w:rsidRPr="00CB1701" w:rsidRDefault="007A39CC" w:rsidP="007A39CC">
            <w:pPr>
              <w:jc w:val="center"/>
              <w:rPr>
                <w:szCs w:val="24"/>
              </w:rPr>
            </w:pPr>
            <w:r w:rsidRPr="00CB1701">
              <w:rPr>
                <w:szCs w:val="24"/>
              </w:rPr>
              <w:t>119 (4.00%)</w:t>
            </w:r>
          </w:p>
        </w:tc>
        <w:tc>
          <w:tcPr>
            <w:tcW w:w="1084" w:type="pct"/>
          </w:tcPr>
          <w:p w14:paraId="222171DD" w14:textId="77777777" w:rsidR="007A39CC" w:rsidRPr="00CB1701" w:rsidRDefault="007A39CC" w:rsidP="007A39CC">
            <w:pPr>
              <w:jc w:val="center"/>
              <w:rPr>
                <w:szCs w:val="24"/>
              </w:rPr>
            </w:pPr>
            <w:r w:rsidRPr="00CB1701">
              <w:rPr>
                <w:szCs w:val="24"/>
              </w:rPr>
              <w:t>163 (4.73%)</w:t>
            </w:r>
          </w:p>
        </w:tc>
        <w:tc>
          <w:tcPr>
            <w:tcW w:w="584" w:type="pct"/>
          </w:tcPr>
          <w:p w14:paraId="7819E713" w14:textId="2031A55B" w:rsidR="007A39CC" w:rsidRPr="00CB1701" w:rsidRDefault="007A39CC" w:rsidP="007A39CC">
            <w:pPr>
              <w:jc w:val="center"/>
              <w:rPr>
                <w:szCs w:val="24"/>
              </w:rPr>
            </w:pPr>
          </w:p>
        </w:tc>
      </w:tr>
      <w:tr w:rsidR="007A39CC" w:rsidRPr="00CB1701" w14:paraId="5BE8EBA0" w14:textId="77777777" w:rsidTr="004E483C">
        <w:trPr>
          <w:cantSplit/>
          <w:trHeight w:val="170"/>
          <w:jc w:val="center"/>
        </w:trPr>
        <w:tc>
          <w:tcPr>
            <w:tcW w:w="2066" w:type="pct"/>
          </w:tcPr>
          <w:p w14:paraId="1058911B" w14:textId="77777777" w:rsidR="007A39CC" w:rsidRPr="00CB1701" w:rsidRDefault="007A39CC" w:rsidP="007A39CC">
            <w:pPr>
              <w:jc w:val="left"/>
              <w:rPr>
                <w:szCs w:val="24"/>
              </w:rPr>
            </w:pPr>
            <w:r w:rsidRPr="00CB1701">
              <w:rPr>
                <w:szCs w:val="24"/>
              </w:rPr>
              <w:t xml:space="preserve">     Oral medicine, n (%)</w:t>
            </w:r>
          </w:p>
        </w:tc>
        <w:tc>
          <w:tcPr>
            <w:tcW w:w="1266" w:type="pct"/>
          </w:tcPr>
          <w:p w14:paraId="30C381F1" w14:textId="77777777" w:rsidR="007A39CC" w:rsidRPr="00CB1701" w:rsidRDefault="007A39CC" w:rsidP="007A39CC">
            <w:pPr>
              <w:jc w:val="center"/>
              <w:rPr>
                <w:szCs w:val="24"/>
              </w:rPr>
            </w:pPr>
            <w:r w:rsidRPr="00CB1701">
              <w:rPr>
                <w:szCs w:val="24"/>
              </w:rPr>
              <w:t>338 (11.4%)</w:t>
            </w:r>
          </w:p>
        </w:tc>
        <w:tc>
          <w:tcPr>
            <w:tcW w:w="1084" w:type="pct"/>
          </w:tcPr>
          <w:p w14:paraId="575CB8D1" w14:textId="77777777" w:rsidR="007A39CC" w:rsidRPr="00CB1701" w:rsidRDefault="007A39CC" w:rsidP="007A39CC">
            <w:pPr>
              <w:jc w:val="center"/>
              <w:rPr>
                <w:szCs w:val="24"/>
              </w:rPr>
            </w:pPr>
            <w:r w:rsidRPr="00CB1701">
              <w:rPr>
                <w:szCs w:val="24"/>
              </w:rPr>
              <w:t>506 (14.7%)</w:t>
            </w:r>
          </w:p>
        </w:tc>
        <w:tc>
          <w:tcPr>
            <w:tcW w:w="584" w:type="pct"/>
          </w:tcPr>
          <w:p w14:paraId="1B2B0198" w14:textId="28DC60FD" w:rsidR="007A39CC" w:rsidRPr="00CB1701" w:rsidRDefault="007A39CC" w:rsidP="007A39CC">
            <w:pPr>
              <w:jc w:val="center"/>
              <w:rPr>
                <w:szCs w:val="24"/>
              </w:rPr>
            </w:pPr>
          </w:p>
        </w:tc>
      </w:tr>
      <w:tr w:rsidR="007A39CC" w:rsidRPr="00CB1701" w14:paraId="798FE1E7" w14:textId="77777777" w:rsidTr="004E483C">
        <w:trPr>
          <w:cantSplit/>
          <w:trHeight w:val="170"/>
          <w:jc w:val="center"/>
        </w:trPr>
        <w:tc>
          <w:tcPr>
            <w:tcW w:w="2066" w:type="pct"/>
          </w:tcPr>
          <w:p w14:paraId="11A436F0" w14:textId="77777777" w:rsidR="007A39CC" w:rsidRPr="00CB1701" w:rsidRDefault="007A39CC" w:rsidP="007A39CC">
            <w:pPr>
              <w:jc w:val="left"/>
              <w:rPr>
                <w:szCs w:val="24"/>
              </w:rPr>
            </w:pPr>
            <w:r w:rsidRPr="00CB1701">
              <w:rPr>
                <w:szCs w:val="24"/>
              </w:rPr>
              <w:t xml:space="preserve">     Insulin, n (%)</w:t>
            </w:r>
          </w:p>
        </w:tc>
        <w:tc>
          <w:tcPr>
            <w:tcW w:w="1266" w:type="pct"/>
          </w:tcPr>
          <w:p w14:paraId="63DC588C" w14:textId="77777777" w:rsidR="007A39CC" w:rsidRPr="00CB1701" w:rsidRDefault="007A39CC" w:rsidP="007A39CC">
            <w:pPr>
              <w:jc w:val="center"/>
              <w:rPr>
                <w:szCs w:val="24"/>
              </w:rPr>
            </w:pPr>
            <w:r w:rsidRPr="00CB1701">
              <w:rPr>
                <w:szCs w:val="24"/>
              </w:rPr>
              <w:t>142 (4.78%)</w:t>
            </w:r>
          </w:p>
        </w:tc>
        <w:tc>
          <w:tcPr>
            <w:tcW w:w="1084" w:type="pct"/>
          </w:tcPr>
          <w:p w14:paraId="173DD804" w14:textId="77777777" w:rsidR="007A39CC" w:rsidRPr="00CB1701" w:rsidRDefault="007A39CC" w:rsidP="007A39CC">
            <w:pPr>
              <w:jc w:val="center"/>
              <w:rPr>
                <w:szCs w:val="24"/>
              </w:rPr>
            </w:pPr>
            <w:r w:rsidRPr="00CB1701">
              <w:rPr>
                <w:szCs w:val="24"/>
              </w:rPr>
              <w:t>209 (6.06%)</w:t>
            </w:r>
          </w:p>
        </w:tc>
        <w:tc>
          <w:tcPr>
            <w:tcW w:w="584" w:type="pct"/>
          </w:tcPr>
          <w:p w14:paraId="3A94CD2C" w14:textId="57AF383B" w:rsidR="007A39CC" w:rsidRPr="00CB1701" w:rsidRDefault="007A39CC" w:rsidP="007A39CC">
            <w:pPr>
              <w:jc w:val="center"/>
              <w:rPr>
                <w:szCs w:val="24"/>
              </w:rPr>
            </w:pPr>
          </w:p>
        </w:tc>
      </w:tr>
      <w:tr w:rsidR="007A39CC" w:rsidRPr="00CB1701" w14:paraId="223884AF" w14:textId="77777777" w:rsidTr="004E483C">
        <w:trPr>
          <w:cantSplit/>
          <w:trHeight w:val="170"/>
          <w:jc w:val="center"/>
        </w:trPr>
        <w:tc>
          <w:tcPr>
            <w:tcW w:w="2066" w:type="pct"/>
          </w:tcPr>
          <w:p w14:paraId="1FDA61B7" w14:textId="77777777" w:rsidR="007A39CC" w:rsidRPr="00CB1701" w:rsidRDefault="007A39CC" w:rsidP="007A39CC">
            <w:pPr>
              <w:jc w:val="left"/>
              <w:rPr>
                <w:szCs w:val="24"/>
              </w:rPr>
            </w:pPr>
            <w:r w:rsidRPr="00CB1701">
              <w:rPr>
                <w:szCs w:val="24"/>
              </w:rPr>
              <w:t>Current or ex-smoker, n (%)</w:t>
            </w:r>
          </w:p>
        </w:tc>
        <w:tc>
          <w:tcPr>
            <w:tcW w:w="1266" w:type="pct"/>
          </w:tcPr>
          <w:p w14:paraId="17E37AA1" w14:textId="77777777" w:rsidR="007A39CC" w:rsidRPr="00CB1701" w:rsidRDefault="007A39CC" w:rsidP="007A39CC">
            <w:pPr>
              <w:jc w:val="center"/>
              <w:rPr>
                <w:szCs w:val="24"/>
              </w:rPr>
            </w:pPr>
            <w:r w:rsidRPr="00CB1701">
              <w:rPr>
                <w:szCs w:val="24"/>
              </w:rPr>
              <w:t>1095 (36.8%)</w:t>
            </w:r>
          </w:p>
        </w:tc>
        <w:tc>
          <w:tcPr>
            <w:tcW w:w="1084" w:type="pct"/>
          </w:tcPr>
          <w:p w14:paraId="0CE44177" w14:textId="77777777" w:rsidR="007A39CC" w:rsidRPr="00CB1701" w:rsidRDefault="007A39CC" w:rsidP="007A39CC">
            <w:pPr>
              <w:jc w:val="center"/>
              <w:rPr>
                <w:szCs w:val="24"/>
              </w:rPr>
            </w:pPr>
            <w:r w:rsidRPr="00CB1701">
              <w:rPr>
                <w:szCs w:val="24"/>
              </w:rPr>
              <w:t>2218 (64.3%)</w:t>
            </w:r>
          </w:p>
        </w:tc>
        <w:tc>
          <w:tcPr>
            <w:tcW w:w="584" w:type="pct"/>
          </w:tcPr>
          <w:p w14:paraId="2BB036F1" w14:textId="77777777" w:rsidR="007A39CC" w:rsidRPr="00CB1701" w:rsidRDefault="007A39CC" w:rsidP="007A39CC">
            <w:pPr>
              <w:jc w:val="center"/>
              <w:rPr>
                <w:szCs w:val="24"/>
              </w:rPr>
            </w:pPr>
            <w:r w:rsidRPr="00CB1701">
              <w:rPr>
                <w:szCs w:val="24"/>
              </w:rPr>
              <w:t>&lt;0.001</w:t>
            </w:r>
          </w:p>
        </w:tc>
      </w:tr>
      <w:tr w:rsidR="007A39CC" w:rsidRPr="00CB1701" w14:paraId="52E43E3A" w14:textId="77777777" w:rsidTr="004E483C">
        <w:trPr>
          <w:cantSplit/>
          <w:trHeight w:val="170"/>
          <w:jc w:val="center"/>
        </w:trPr>
        <w:tc>
          <w:tcPr>
            <w:tcW w:w="2066" w:type="pct"/>
          </w:tcPr>
          <w:p w14:paraId="6D46EBD6" w14:textId="77777777" w:rsidR="007A39CC" w:rsidRPr="00CB1701" w:rsidRDefault="007A39CC" w:rsidP="007A39CC">
            <w:pPr>
              <w:jc w:val="left"/>
              <w:rPr>
                <w:szCs w:val="24"/>
              </w:rPr>
            </w:pPr>
            <w:r w:rsidRPr="00CB1701">
              <w:rPr>
                <w:szCs w:val="24"/>
              </w:rPr>
              <w:t xml:space="preserve">Creatinine, </w:t>
            </w:r>
            <w:r w:rsidRPr="00CB1701">
              <w:rPr>
                <w:i/>
                <w:szCs w:val="24"/>
              </w:rPr>
              <w:t>µ</w:t>
            </w:r>
            <w:r w:rsidRPr="00CB1701">
              <w:rPr>
                <w:szCs w:val="24"/>
              </w:rPr>
              <w:t>mol/L, mean [range]</w:t>
            </w:r>
          </w:p>
        </w:tc>
        <w:tc>
          <w:tcPr>
            <w:tcW w:w="1266" w:type="pct"/>
          </w:tcPr>
          <w:p w14:paraId="54D26EC5" w14:textId="77777777" w:rsidR="007A39CC" w:rsidRPr="00CB1701" w:rsidRDefault="007A39CC" w:rsidP="007A39CC">
            <w:pPr>
              <w:jc w:val="center"/>
              <w:rPr>
                <w:szCs w:val="24"/>
              </w:rPr>
            </w:pPr>
            <w:r w:rsidRPr="00CB1701">
              <w:rPr>
                <w:szCs w:val="24"/>
              </w:rPr>
              <w:t>100.2 [29-649]</w:t>
            </w:r>
          </w:p>
        </w:tc>
        <w:tc>
          <w:tcPr>
            <w:tcW w:w="1084" w:type="pct"/>
          </w:tcPr>
          <w:p w14:paraId="27F0697D" w14:textId="77777777" w:rsidR="007A39CC" w:rsidRPr="00CB1701" w:rsidRDefault="007A39CC" w:rsidP="007A39CC">
            <w:pPr>
              <w:jc w:val="center"/>
              <w:rPr>
                <w:szCs w:val="24"/>
              </w:rPr>
            </w:pPr>
            <w:r w:rsidRPr="00CB1701">
              <w:rPr>
                <w:szCs w:val="24"/>
              </w:rPr>
              <w:t>126.4 [39-1044]</w:t>
            </w:r>
          </w:p>
        </w:tc>
        <w:tc>
          <w:tcPr>
            <w:tcW w:w="584" w:type="pct"/>
          </w:tcPr>
          <w:p w14:paraId="4D0BA5CB" w14:textId="77777777" w:rsidR="007A39CC" w:rsidRPr="00CB1701" w:rsidRDefault="007A39CC" w:rsidP="007A39CC">
            <w:pPr>
              <w:jc w:val="center"/>
              <w:rPr>
                <w:szCs w:val="24"/>
              </w:rPr>
            </w:pPr>
            <w:r w:rsidRPr="00CB1701">
              <w:rPr>
                <w:szCs w:val="24"/>
              </w:rPr>
              <w:t>&lt;0.001</w:t>
            </w:r>
          </w:p>
        </w:tc>
      </w:tr>
      <w:tr w:rsidR="007A39CC" w:rsidRPr="00CB1701" w14:paraId="3B710E12" w14:textId="77777777" w:rsidTr="004E483C">
        <w:trPr>
          <w:cantSplit/>
          <w:trHeight w:val="170"/>
          <w:jc w:val="center"/>
        </w:trPr>
        <w:tc>
          <w:tcPr>
            <w:tcW w:w="2066" w:type="pct"/>
          </w:tcPr>
          <w:p w14:paraId="19341CFA" w14:textId="77777777" w:rsidR="007A39CC" w:rsidRPr="00CB1701" w:rsidRDefault="007A39CC" w:rsidP="007A39CC">
            <w:pPr>
              <w:jc w:val="left"/>
              <w:rPr>
                <w:szCs w:val="24"/>
              </w:rPr>
            </w:pPr>
            <w:r w:rsidRPr="00CB1701">
              <w:rPr>
                <w:szCs w:val="24"/>
              </w:rPr>
              <w:t>Renal Failure*, n (%)</w:t>
            </w:r>
          </w:p>
        </w:tc>
        <w:tc>
          <w:tcPr>
            <w:tcW w:w="1266" w:type="pct"/>
          </w:tcPr>
          <w:p w14:paraId="7F48577E" w14:textId="77777777" w:rsidR="007A39CC" w:rsidRPr="00CB1701" w:rsidRDefault="007A39CC" w:rsidP="007A39CC">
            <w:pPr>
              <w:jc w:val="center"/>
              <w:rPr>
                <w:szCs w:val="24"/>
              </w:rPr>
            </w:pPr>
            <w:r w:rsidRPr="00CB1701">
              <w:rPr>
                <w:szCs w:val="24"/>
              </w:rPr>
              <w:t>109 (3.67%)</w:t>
            </w:r>
          </w:p>
        </w:tc>
        <w:tc>
          <w:tcPr>
            <w:tcW w:w="1084" w:type="pct"/>
          </w:tcPr>
          <w:p w14:paraId="15517137" w14:textId="77777777" w:rsidR="007A39CC" w:rsidRPr="00CB1701" w:rsidRDefault="007A39CC" w:rsidP="007A39CC">
            <w:pPr>
              <w:jc w:val="center"/>
              <w:rPr>
                <w:szCs w:val="24"/>
              </w:rPr>
            </w:pPr>
            <w:r w:rsidRPr="00CB1701">
              <w:rPr>
                <w:szCs w:val="24"/>
              </w:rPr>
              <w:t>281 (8.15%)</w:t>
            </w:r>
          </w:p>
        </w:tc>
        <w:tc>
          <w:tcPr>
            <w:tcW w:w="584" w:type="pct"/>
          </w:tcPr>
          <w:p w14:paraId="707108F2" w14:textId="77777777" w:rsidR="007A39CC" w:rsidRPr="00CB1701" w:rsidRDefault="007A39CC" w:rsidP="007A39CC">
            <w:pPr>
              <w:jc w:val="center"/>
              <w:rPr>
                <w:szCs w:val="24"/>
              </w:rPr>
            </w:pPr>
            <w:r w:rsidRPr="00CB1701">
              <w:rPr>
                <w:szCs w:val="24"/>
              </w:rPr>
              <w:t>&lt;0.001</w:t>
            </w:r>
          </w:p>
        </w:tc>
      </w:tr>
      <w:tr w:rsidR="007A39CC" w:rsidRPr="00CB1701" w14:paraId="1D8B89D1" w14:textId="77777777" w:rsidTr="004E483C">
        <w:trPr>
          <w:cantSplit/>
          <w:trHeight w:val="170"/>
          <w:jc w:val="center"/>
        </w:trPr>
        <w:tc>
          <w:tcPr>
            <w:tcW w:w="2066" w:type="pct"/>
          </w:tcPr>
          <w:p w14:paraId="7B35A094" w14:textId="77777777" w:rsidR="007A39CC" w:rsidRPr="00CB1701" w:rsidRDefault="007A39CC" w:rsidP="007A39CC">
            <w:pPr>
              <w:jc w:val="left"/>
              <w:rPr>
                <w:szCs w:val="24"/>
              </w:rPr>
            </w:pPr>
            <w:r w:rsidRPr="00CB1701">
              <w:rPr>
                <w:szCs w:val="24"/>
              </w:rPr>
              <w:t>MI</w:t>
            </w:r>
          </w:p>
        </w:tc>
        <w:tc>
          <w:tcPr>
            <w:tcW w:w="1266" w:type="pct"/>
          </w:tcPr>
          <w:p w14:paraId="535E3803" w14:textId="77777777" w:rsidR="007A39CC" w:rsidRPr="00CB1701" w:rsidRDefault="007A39CC" w:rsidP="007A39CC">
            <w:pPr>
              <w:jc w:val="center"/>
              <w:rPr>
                <w:szCs w:val="24"/>
              </w:rPr>
            </w:pPr>
          </w:p>
        </w:tc>
        <w:tc>
          <w:tcPr>
            <w:tcW w:w="1084" w:type="pct"/>
          </w:tcPr>
          <w:p w14:paraId="6097BACE" w14:textId="77777777" w:rsidR="007A39CC" w:rsidRPr="00CB1701" w:rsidRDefault="007A39CC" w:rsidP="007A39CC">
            <w:pPr>
              <w:jc w:val="center"/>
              <w:rPr>
                <w:szCs w:val="24"/>
              </w:rPr>
            </w:pPr>
          </w:p>
        </w:tc>
        <w:tc>
          <w:tcPr>
            <w:tcW w:w="584" w:type="pct"/>
          </w:tcPr>
          <w:p w14:paraId="37E66A5F" w14:textId="77777777" w:rsidR="007A39CC" w:rsidRPr="00CB1701" w:rsidRDefault="007A39CC" w:rsidP="007A39CC">
            <w:pPr>
              <w:jc w:val="center"/>
              <w:rPr>
                <w:szCs w:val="24"/>
              </w:rPr>
            </w:pPr>
          </w:p>
        </w:tc>
      </w:tr>
      <w:tr w:rsidR="007A39CC" w:rsidRPr="00CB1701" w14:paraId="452D2438" w14:textId="77777777" w:rsidTr="004E483C">
        <w:trPr>
          <w:cantSplit/>
          <w:trHeight w:val="170"/>
          <w:jc w:val="center"/>
        </w:trPr>
        <w:tc>
          <w:tcPr>
            <w:tcW w:w="2066" w:type="pct"/>
          </w:tcPr>
          <w:p w14:paraId="0D32DF76" w14:textId="77777777" w:rsidR="007A39CC" w:rsidRPr="00CB1701" w:rsidRDefault="007A39CC" w:rsidP="007A39CC">
            <w:pPr>
              <w:jc w:val="left"/>
              <w:rPr>
                <w:szCs w:val="24"/>
              </w:rPr>
            </w:pPr>
            <w:r w:rsidRPr="00CB1701">
              <w:rPr>
                <w:szCs w:val="24"/>
              </w:rPr>
              <w:t xml:space="preserve">     within 90 days of TAVI, n (%)</w:t>
            </w:r>
          </w:p>
        </w:tc>
        <w:tc>
          <w:tcPr>
            <w:tcW w:w="1266" w:type="pct"/>
          </w:tcPr>
          <w:p w14:paraId="73B35EBF" w14:textId="77777777" w:rsidR="007A39CC" w:rsidRPr="00CB1701" w:rsidRDefault="007A39CC" w:rsidP="007A39CC">
            <w:pPr>
              <w:jc w:val="center"/>
              <w:rPr>
                <w:szCs w:val="24"/>
              </w:rPr>
            </w:pPr>
            <w:r w:rsidRPr="00CB1701">
              <w:rPr>
                <w:szCs w:val="24"/>
              </w:rPr>
              <w:t>60 (2.02%)</w:t>
            </w:r>
          </w:p>
        </w:tc>
        <w:tc>
          <w:tcPr>
            <w:tcW w:w="1084" w:type="pct"/>
          </w:tcPr>
          <w:p w14:paraId="4346BE05" w14:textId="77777777" w:rsidR="007A39CC" w:rsidRPr="00CB1701" w:rsidRDefault="007A39CC" w:rsidP="007A39CC">
            <w:pPr>
              <w:jc w:val="center"/>
              <w:rPr>
                <w:szCs w:val="24"/>
              </w:rPr>
            </w:pPr>
            <w:r w:rsidRPr="00CB1701">
              <w:rPr>
                <w:szCs w:val="24"/>
              </w:rPr>
              <w:t>85 (2.47%)</w:t>
            </w:r>
          </w:p>
        </w:tc>
        <w:tc>
          <w:tcPr>
            <w:tcW w:w="584" w:type="pct"/>
          </w:tcPr>
          <w:p w14:paraId="0BF4B0BE" w14:textId="77777777" w:rsidR="007A39CC" w:rsidRPr="00CB1701" w:rsidRDefault="007A39CC" w:rsidP="007A39CC">
            <w:pPr>
              <w:jc w:val="center"/>
              <w:rPr>
                <w:szCs w:val="24"/>
              </w:rPr>
            </w:pPr>
            <w:r w:rsidRPr="00CB1701">
              <w:rPr>
                <w:szCs w:val="24"/>
              </w:rPr>
              <w:t>0.262</w:t>
            </w:r>
          </w:p>
        </w:tc>
      </w:tr>
      <w:tr w:rsidR="007A39CC" w:rsidRPr="00CB1701" w14:paraId="093242DF" w14:textId="77777777" w:rsidTr="004E483C">
        <w:trPr>
          <w:cantSplit/>
          <w:trHeight w:val="170"/>
          <w:jc w:val="center"/>
        </w:trPr>
        <w:tc>
          <w:tcPr>
            <w:tcW w:w="2066" w:type="pct"/>
          </w:tcPr>
          <w:p w14:paraId="6FD33ED9" w14:textId="77777777" w:rsidR="007A39CC" w:rsidRPr="00CB1701" w:rsidRDefault="007A39CC" w:rsidP="007A39CC">
            <w:pPr>
              <w:jc w:val="left"/>
              <w:rPr>
                <w:szCs w:val="24"/>
              </w:rPr>
            </w:pPr>
            <w:r w:rsidRPr="00CB1701">
              <w:rPr>
                <w:szCs w:val="24"/>
              </w:rPr>
              <w:t xml:space="preserve">     within 30 days of TAVI, n (%)</w:t>
            </w:r>
          </w:p>
        </w:tc>
        <w:tc>
          <w:tcPr>
            <w:tcW w:w="1266" w:type="pct"/>
          </w:tcPr>
          <w:p w14:paraId="161F081D" w14:textId="77777777" w:rsidR="007A39CC" w:rsidRPr="00CB1701" w:rsidRDefault="007A39CC" w:rsidP="007A39CC">
            <w:pPr>
              <w:jc w:val="center"/>
              <w:rPr>
                <w:szCs w:val="24"/>
              </w:rPr>
            </w:pPr>
            <w:r w:rsidRPr="00CB1701">
              <w:rPr>
                <w:szCs w:val="24"/>
              </w:rPr>
              <w:t>22 (0.74%)</w:t>
            </w:r>
          </w:p>
        </w:tc>
        <w:tc>
          <w:tcPr>
            <w:tcW w:w="1084" w:type="pct"/>
          </w:tcPr>
          <w:p w14:paraId="3F870EFC" w14:textId="77777777" w:rsidR="007A39CC" w:rsidRPr="00CB1701" w:rsidRDefault="007A39CC" w:rsidP="007A39CC">
            <w:pPr>
              <w:jc w:val="center"/>
              <w:rPr>
                <w:szCs w:val="24"/>
              </w:rPr>
            </w:pPr>
            <w:r w:rsidRPr="00CB1701">
              <w:rPr>
                <w:szCs w:val="24"/>
              </w:rPr>
              <w:t>40 (1.16%)</w:t>
            </w:r>
          </w:p>
        </w:tc>
        <w:tc>
          <w:tcPr>
            <w:tcW w:w="584" w:type="pct"/>
          </w:tcPr>
          <w:p w14:paraId="3B56BA34" w14:textId="77777777" w:rsidR="007A39CC" w:rsidRPr="00CB1701" w:rsidRDefault="007A39CC" w:rsidP="007A39CC">
            <w:pPr>
              <w:jc w:val="center"/>
              <w:rPr>
                <w:szCs w:val="24"/>
              </w:rPr>
            </w:pPr>
            <w:r w:rsidRPr="00CB1701">
              <w:rPr>
                <w:szCs w:val="24"/>
              </w:rPr>
              <w:t>0.112</w:t>
            </w:r>
          </w:p>
        </w:tc>
      </w:tr>
      <w:tr w:rsidR="007A39CC" w:rsidRPr="00CB1701" w14:paraId="3FDA4AF8" w14:textId="77777777" w:rsidTr="004E483C">
        <w:trPr>
          <w:cantSplit/>
          <w:trHeight w:val="170"/>
          <w:jc w:val="center"/>
        </w:trPr>
        <w:tc>
          <w:tcPr>
            <w:tcW w:w="2066" w:type="pct"/>
          </w:tcPr>
          <w:p w14:paraId="683C20A7" w14:textId="77777777" w:rsidR="007A39CC" w:rsidRPr="00CB1701" w:rsidRDefault="007A39CC" w:rsidP="007A39CC">
            <w:pPr>
              <w:jc w:val="left"/>
              <w:rPr>
                <w:szCs w:val="24"/>
              </w:rPr>
            </w:pPr>
            <w:r w:rsidRPr="00CB1701">
              <w:rPr>
                <w:szCs w:val="24"/>
              </w:rPr>
              <w:t>Asthma/ COPD, n (%)</w:t>
            </w:r>
          </w:p>
        </w:tc>
        <w:tc>
          <w:tcPr>
            <w:tcW w:w="1266" w:type="pct"/>
          </w:tcPr>
          <w:p w14:paraId="65BD96FC" w14:textId="77777777" w:rsidR="007A39CC" w:rsidRPr="00CB1701" w:rsidRDefault="007A39CC" w:rsidP="007A39CC">
            <w:pPr>
              <w:jc w:val="center"/>
              <w:rPr>
                <w:szCs w:val="24"/>
              </w:rPr>
            </w:pPr>
            <w:r w:rsidRPr="00CB1701">
              <w:rPr>
                <w:szCs w:val="24"/>
              </w:rPr>
              <w:t>743 (25.0%)</w:t>
            </w:r>
          </w:p>
        </w:tc>
        <w:tc>
          <w:tcPr>
            <w:tcW w:w="1084" w:type="pct"/>
          </w:tcPr>
          <w:p w14:paraId="3556261A" w14:textId="77777777" w:rsidR="007A39CC" w:rsidRPr="00CB1701" w:rsidRDefault="007A39CC" w:rsidP="007A39CC">
            <w:pPr>
              <w:jc w:val="center"/>
              <w:rPr>
                <w:szCs w:val="24"/>
              </w:rPr>
            </w:pPr>
            <w:r w:rsidRPr="00CB1701">
              <w:rPr>
                <w:szCs w:val="24"/>
              </w:rPr>
              <w:t>936 (27.1%)</w:t>
            </w:r>
          </w:p>
        </w:tc>
        <w:tc>
          <w:tcPr>
            <w:tcW w:w="584" w:type="pct"/>
          </w:tcPr>
          <w:p w14:paraId="45008425" w14:textId="77777777" w:rsidR="007A39CC" w:rsidRPr="00CB1701" w:rsidRDefault="007A39CC" w:rsidP="007A39CC">
            <w:pPr>
              <w:jc w:val="center"/>
              <w:rPr>
                <w:szCs w:val="24"/>
              </w:rPr>
            </w:pPr>
            <w:r w:rsidRPr="00CB1701">
              <w:rPr>
                <w:szCs w:val="24"/>
              </w:rPr>
              <w:t>0.044</w:t>
            </w:r>
          </w:p>
        </w:tc>
      </w:tr>
      <w:tr w:rsidR="007A39CC" w:rsidRPr="00CB1701" w14:paraId="46B59188" w14:textId="77777777" w:rsidTr="004E483C">
        <w:trPr>
          <w:cantSplit/>
          <w:trHeight w:val="170"/>
          <w:jc w:val="center"/>
        </w:trPr>
        <w:tc>
          <w:tcPr>
            <w:tcW w:w="2066" w:type="pct"/>
          </w:tcPr>
          <w:p w14:paraId="347AE988" w14:textId="77777777" w:rsidR="007A39CC" w:rsidRPr="00CB1701" w:rsidRDefault="007A39CC" w:rsidP="007A39CC">
            <w:pPr>
              <w:jc w:val="left"/>
              <w:rPr>
                <w:szCs w:val="24"/>
              </w:rPr>
            </w:pPr>
            <w:r w:rsidRPr="00CB1701">
              <w:rPr>
                <w:szCs w:val="24"/>
              </w:rPr>
              <w:t>Extracardiac Arteriopathy, n (%)</w:t>
            </w:r>
          </w:p>
        </w:tc>
        <w:tc>
          <w:tcPr>
            <w:tcW w:w="1266" w:type="pct"/>
          </w:tcPr>
          <w:p w14:paraId="6A5DCD49" w14:textId="77777777" w:rsidR="007A39CC" w:rsidRPr="00CB1701" w:rsidRDefault="007A39CC" w:rsidP="007A39CC">
            <w:pPr>
              <w:jc w:val="center"/>
              <w:rPr>
                <w:szCs w:val="24"/>
              </w:rPr>
            </w:pPr>
            <w:r w:rsidRPr="00CB1701">
              <w:rPr>
                <w:szCs w:val="24"/>
              </w:rPr>
              <w:t>560 (18.8%)</w:t>
            </w:r>
          </w:p>
        </w:tc>
        <w:tc>
          <w:tcPr>
            <w:tcW w:w="1084" w:type="pct"/>
          </w:tcPr>
          <w:p w14:paraId="2B996348" w14:textId="77777777" w:rsidR="007A39CC" w:rsidRPr="00CB1701" w:rsidRDefault="007A39CC" w:rsidP="007A39CC">
            <w:pPr>
              <w:jc w:val="center"/>
              <w:rPr>
                <w:szCs w:val="24"/>
              </w:rPr>
            </w:pPr>
            <w:r w:rsidRPr="00CB1701">
              <w:rPr>
                <w:szCs w:val="24"/>
              </w:rPr>
              <w:t>959 (27.8%)</w:t>
            </w:r>
          </w:p>
        </w:tc>
        <w:tc>
          <w:tcPr>
            <w:tcW w:w="584" w:type="pct"/>
          </w:tcPr>
          <w:p w14:paraId="36827B00" w14:textId="77777777" w:rsidR="007A39CC" w:rsidRPr="00CB1701" w:rsidRDefault="007A39CC" w:rsidP="007A39CC">
            <w:pPr>
              <w:jc w:val="center"/>
              <w:rPr>
                <w:szCs w:val="24"/>
              </w:rPr>
            </w:pPr>
            <w:r w:rsidRPr="00CB1701">
              <w:rPr>
                <w:szCs w:val="24"/>
              </w:rPr>
              <w:t>&lt;0.001</w:t>
            </w:r>
          </w:p>
        </w:tc>
      </w:tr>
      <w:tr w:rsidR="007A39CC" w:rsidRPr="00CB1701" w14:paraId="0B61D933" w14:textId="77777777" w:rsidTr="004E483C">
        <w:trPr>
          <w:cantSplit/>
          <w:trHeight w:val="170"/>
          <w:jc w:val="center"/>
        </w:trPr>
        <w:tc>
          <w:tcPr>
            <w:tcW w:w="2066" w:type="pct"/>
          </w:tcPr>
          <w:p w14:paraId="3E9CE2C7" w14:textId="77777777" w:rsidR="007A39CC" w:rsidRPr="00CB1701" w:rsidRDefault="007A39CC" w:rsidP="007A39CC">
            <w:pPr>
              <w:jc w:val="left"/>
              <w:rPr>
                <w:szCs w:val="24"/>
              </w:rPr>
            </w:pPr>
            <w:r w:rsidRPr="00CB1701">
              <w:rPr>
                <w:szCs w:val="24"/>
              </w:rPr>
              <w:t>Calcification of ascending aorta, n (%)</w:t>
            </w:r>
          </w:p>
        </w:tc>
        <w:tc>
          <w:tcPr>
            <w:tcW w:w="1266" w:type="pct"/>
          </w:tcPr>
          <w:p w14:paraId="23B4B400" w14:textId="77777777" w:rsidR="007A39CC" w:rsidRPr="00CB1701" w:rsidRDefault="007A39CC" w:rsidP="007A39CC">
            <w:pPr>
              <w:jc w:val="center"/>
              <w:rPr>
                <w:szCs w:val="24"/>
              </w:rPr>
            </w:pPr>
            <w:r w:rsidRPr="00CB1701">
              <w:rPr>
                <w:szCs w:val="24"/>
              </w:rPr>
              <w:t>578 (19.4%)</w:t>
            </w:r>
          </w:p>
        </w:tc>
        <w:tc>
          <w:tcPr>
            <w:tcW w:w="1084" w:type="pct"/>
          </w:tcPr>
          <w:p w14:paraId="666A3751" w14:textId="77777777" w:rsidR="007A39CC" w:rsidRPr="00CB1701" w:rsidRDefault="007A39CC" w:rsidP="007A39CC">
            <w:pPr>
              <w:jc w:val="center"/>
              <w:rPr>
                <w:szCs w:val="24"/>
              </w:rPr>
            </w:pPr>
            <w:r w:rsidRPr="00CB1701">
              <w:rPr>
                <w:szCs w:val="24"/>
              </w:rPr>
              <w:t>595 (17.3%)</w:t>
            </w:r>
          </w:p>
        </w:tc>
        <w:tc>
          <w:tcPr>
            <w:tcW w:w="584" w:type="pct"/>
          </w:tcPr>
          <w:p w14:paraId="13D91E08" w14:textId="77777777" w:rsidR="007A39CC" w:rsidRPr="00CB1701" w:rsidRDefault="007A39CC" w:rsidP="007A39CC">
            <w:pPr>
              <w:jc w:val="center"/>
              <w:rPr>
                <w:szCs w:val="24"/>
              </w:rPr>
            </w:pPr>
            <w:r w:rsidRPr="00CB1701">
              <w:rPr>
                <w:szCs w:val="24"/>
              </w:rPr>
              <w:t>0.029</w:t>
            </w:r>
          </w:p>
        </w:tc>
      </w:tr>
      <w:tr w:rsidR="007A39CC" w:rsidRPr="00CB1701" w14:paraId="61E8D4BB" w14:textId="77777777" w:rsidTr="004E483C">
        <w:trPr>
          <w:cantSplit/>
          <w:trHeight w:val="170"/>
          <w:jc w:val="center"/>
        </w:trPr>
        <w:tc>
          <w:tcPr>
            <w:tcW w:w="2066" w:type="pct"/>
          </w:tcPr>
          <w:p w14:paraId="43D62729" w14:textId="77777777" w:rsidR="007A39CC" w:rsidRPr="00CB1701" w:rsidRDefault="007A39CC" w:rsidP="007A39CC">
            <w:pPr>
              <w:jc w:val="left"/>
              <w:rPr>
                <w:szCs w:val="24"/>
              </w:rPr>
            </w:pPr>
            <w:r w:rsidRPr="00CB1701">
              <w:rPr>
                <w:szCs w:val="24"/>
              </w:rPr>
              <w:t>Atrial Fibrillation/ flutter, n (%)</w:t>
            </w:r>
          </w:p>
        </w:tc>
        <w:tc>
          <w:tcPr>
            <w:tcW w:w="1266" w:type="pct"/>
          </w:tcPr>
          <w:p w14:paraId="09A91B20" w14:textId="77777777" w:rsidR="007A39CC" w:rsidRPr="00CB1701" w:rsidRDefault="007A39CC" w:rsidP="007A39CC">
            <w:pPr>
              <w:jc w:val="center"/>
              <w:rPr>
                <w:szCs w:val="24"/>
              </w:rPr>
            </w:pPr>
            <w:r w:rsidRPr="00CB1701">
              <w:rPr>
                <w:szCs w:val="24"/>
              </w:rPr>
              <w:t>676 (22.7%)</w:t>
            </w:r>
          </w:p>
        </w:tc>
        <w:tc>
          <w:tcPr>
            <w:tcW w:w="1084" w:type="pct"/>
          </w:tcPr>
          <w:p w14:paraId="37825C30" w14:textId="77777777" w:rsidR="007A39CC" w:rsidRPr="00CB1701" w:rsidRDefault="007A39CC" w:rsidP="007A39CC">
            <w:pPr>
              <w:jc w:val="center"/>
              <w:rPr>
                <w:szCs w:val="24"/>
              </w:rPr>
            </w:pPr>
            <w:r w:rsidRPr="00CB1701">
              <w:rPr>
                <w:szCs w:val="24"/>
              </w:rPr>
              <w:t>892 (25.9%)</w:t>
            </w:r>
          </w:p>
        </w:tc>
        <w:tc>
          <w:tcPr>
            <w:tcW w:w="584" w:type="pct"/>
          </w:tcPr>
          <w:p w14:paraId="1F1774CE" w14:textId="77777777" w:rsidR="007A39CC" w:rsidRPr="00CB1701" w:rsidRDefault="007A39CC" w:rsidP="007A39CC">
            <w:pPr>
              <w:jc w:val="center"/>
              <w:rPr>
                <w:szCs w:val="24"/>
              </w:rPr>
            </w:pPr>
            <w:r w:rsidRPr="00CB1701">
              <w:rPr>
                <w:szCs w:val="24"/>
              </w:rPr>
              <w:t>0.003</w:t>
            </w:r>
          </w:p>
        </w:tc>
      </w:tr>
      <w:tr w:rsidR="007A39CC" w:rsidRPr="00CB1701" w14:paraId="744358D2" w14:textId="77777777" w:rsidTr="004E483C">
        <w:trPr>
          <w:cantSplit/>
          <w:trHeight w:val="170"/>
          <w:jc w:val="center"/>
        </w:trPr>
        <w:tc>
          <w:tcPr>
            <w:tcW w:w="2066" w:type="pct"/>
          </w:tcPr>
          <w:p w14:paraId="3C35F83B" w14:textId="77777777" w:rsidR="007A39CC" w:rsidRPr="00CB1701" w:rsidRDefault="007A39CC" w:rsidP="007A39CC">
            <w:pPr>
              <w:jc w:val="left"/>
              <w:rPr>
                <w:szCs w:val="24"/>
              </w:rPr>
            </w:pPr>
            <w:r w:rsidRPr="00CB1701">
              <w:rPr>
                <w:szCs w:val="24"/>
              </w:rPr>
              <w:t>Previous Cardiac Surgery, n (%)</w:t>
            </w:r>
          </w:p>
        </w:tc>
        <w:tc>
          <w:tcPr>
            <w:tcW w:w="1266" w:type="pct"/>
          </w:tcPr>
          <w:p w14:paraId="7D80B14B" w14:textId="77777777" w:rsidR="007A39CC" w:rsidRPr="00CB1701" w:rsidRDefault="007A39CC" w:rsidP="007A39CC">
            <w:pPr>
              <w:jc w:val="center"/>
              <w:rPr>
                <w:szCs w:val="24"/>
              </w:rPr>
            </w:pPr>
            <w:r w:rsidRPr="00CB1701">
              <w:rPr>
                <w:szCs w:val="24"/>
              </w:rPr>
              <w:t>521 (17.5%)</w:t>
            </w:r>
          </w:p>
        </w:tc>
        <w:tc>
          <w:tcPr>
            <w:tcW w:w="1084" w:type="pct"/>
          </w:tcPr>
          <w:p w14:paraId="4D1E7D7C" w14:textId="77777777" w:rsidR="007A39CC" w:rsidRPr="00CB1701" w:rsidRDefault="007A39CC" w:rsidP="007A39CC">
            <w:pPr>
              <w:jc w:val="center"/>
              <w:rPr>
                <w:szCs w:val="24"/>
              </w:rPr>
            </w:pPr>
            <w:r w:rsidRPr="00CB1701">
              <w:rPr>
                <w:szCs w:val="24"/>
              </w:rPr>
              <w:t>1478 (42.9%)</w:t>
            </w:r>
          </w:p>
        </w:tc>
        <w:tc>
          <w:tcPr>
            <w:tcW w:w="584" w:type="pct"/>
          </w:tcPr>
          <w:p w14:paraId="25C0E5F9" w14:textId="77777777" w:rsidR="007A39CC" w:rsidRPr="00CB1701" w:rsidRDefault="007A39CC" w:rsidP="007A39CC">
            <w:pPr>
              <w:jc w:val="center"/>
              <w:rPr>
                <w:szCs w:val="24"/>
              </w:rPr>
            </w:pPr>
            <w:r w:rsidRPr="00CB1701">
              <w:rPr>
                <w:szCs w:val="24"/>
              </w:rPr>
              <w:t>&lt;0.001</w:t>
            </w:r>
          </w:p>
        </w:tc>
      </w:tr>
      <w:tr w:rsidR="007A39CC" w:rsidRPr="00CB1701" w14:paraId="7E88FAA7" w14:textId="77777777" w:rsidTr="004E483C">
        <w:trPr>
          <w:cantSplit/>
          <w:trHeight w:val="170"/>
          <w:jc w:val="center"/>
        </w:trPr>
        <w:tc>
          <w:tcPr>
            <w:tcW w:w="2066" w:type="pct"/>
          </w:tcPr>
          <w:p w14:paraId="56B3688C" w14:textId="77777777" w:rsidR="007A39CC" w:rsidRPr="00CB1701" w:rsidRDefault="007A39CC" w:rsidP="007A39CC">
            <w:pPr>
              <w:jc w:val="left"/>
              <w:rPr>
                <w:szCs w:val="24"/>
              </w:rPr>
            </w:pPr>
            <w:r w:rsidRPr="00CB1701">
              <w:rPr>
                <w:szCs w:val="24"/>
              </w:rPr>
              <w:t>Previous PCI, n (%)</w:t>
            </w:r>
          </w:p>
        </w:tc>
        <w:tc>
          <w:tcPr>
            <w:tcW w:w="1266" w:type="pct"/>
          </w:tcPr>
          <w:p w14:paraId="3BBEB13B" w14:textId="77777777" w:rsidR="007A39CC" w:rsidRPr="00CB1701" w:rsidRDefault="007A39CC" w:rsidP="007A39CC">
            <w:pPr>
              <w:jc w:val="center"/>
              <w:rPr>
                <w:szCs w:val="24"/>
              </w:rPr>
            </w:pPr>
            <w:r w:rsidRPr="00CB1701">
              <w:rPr>
                <w:szCs w:val="24"/>
              </w:rPr>
              <w:t>487 (16.4%)</w:t>
            </w:r>
          </w:p>
        </w:tc>
        <w:tc>
          <w:tcPr>
            <w:tcW w:w="1084" w:type="pct"/>
          </w:tcPr>
          <w:p w14:paraId="1DA1ED44" w14:textId="77777777" w:rsidR="007A39CC" w:rsidRPr="00CB1701" w:rsidRDefault="007A39CC" w:rsidP="007A39CC">
            <w:pPr>
              <w:jc w:val="center"/>
              <w:rPr>
                <w:szCs w:val="24"/>
              </w:rPr>
            </w:pPr>
            <w:r w:rsidRPr="00CB1701">
              <w:rPr>
                <w:szCs w:val="24"/>
              </w:rPr>
              <w:t>813 (23.6%)</w:t>
            </w:r>
          </w:p>
        </w:tc>
        <w:tc>
          <w:tcPr>
            <w:tcW w:w="584" w:type="pct"/>
          </w:tcPr>
          <w:p w14:paraId="68181275" w14:textId="77777777" w:rsidR="007A39CC" w:rsidRPr="00CB1701" w:rsidRDefault="007A39CC" w:rsidP="007A39CC">
            <w:pPr>
              <w:jc w:val="center"/>
              <w:rPr>
                <w:szCs w:val="24"/>
              </w:rPr>
            </w:pPr>
            <w:r w:rsidRPr="00CB1701">
              <w:rPr>
                <w:szCs w:val="24"/>
              </w:rPr>
              <w:t>&lt;0.001</w:t>
            </w:r>
          </w:p>
        </w:tc>
      </w:tr>
      <w:tr w:rsidR="007A39CC" w:rsidRPr="00CB1701" w14:paraId="13179DCF" w14:textId="77777777" w:rsidTr="004E483C">
        <w:trPr>
          <w:cantSplit/>
          <w:trHeight w:val="170"/>
          <w:jc w:val="center"/>
        </w:trPr>
        <w:tc>
          <w:tcPr>
            <w:tcW w:w="2066" w:type="pct"/>
          </w:tcPr>
          <w:p w14:paraId="6804C4F0" w14:textId="77777777" w:rsidR="007A39CC" w:rsidRPr="00CB1701" w:rsidRDefault="007A39CC" w:rsidP="007A39CC">
            <w:pPr>
              <w:jc w:val="left"/>
              <w:rPr>
                <w:szCs w:val="24"/>
              </w:rPr>
            </w:pPr>
            <w:r w:rsidRPr="00CB1701">
              <w:rPr>
                <w:szCs w:val="24"/>
              </w:rPr>
              <w:t>Weight (Kg), mean [range]</w:t>
            </w:r>
          </w:p>
        </w:tc>
        <w:tc>
          <w:tcPr>
            <w:tcW w:w="1266" w:type="pct"/>
          </w:tcPr>
          <w:p w14:paraId="1A041729" w14:textId="77777777" w:rsidR="007A39CC" w:rsidRPr="00CB1701" w:rsidRDefault="007A39CC" w:rsidP="007A39CC">
            <w:pPr>
              <w:jc w:val="center"/>
              <w:rPr>
                <w:szCs w:val="24"/>
              </w:rPr>
            </w:pPr>
            <w:r w:rsidRPr="00CB1701">
              <w:rPr>
                <w:szCs w:val="24"/>
              </w:rPr>
              <w:t>67.5 [32-153]</w:t>
            </w:r>
          </w:p>
        </w:tc>
        <w:tc>
          <w:tcPr>
            <w:tcW w:w="1084" w:type="pct"/>
          </w:tcPr>
          <w:p w14:paraId="29F94FEB" w14:textId="77777777" w:rsidR="007A39CC" w:rsidRPr="00CB1701" w:rsidRDefault="007A39CC" w:rsidP="007A39CC">
            <w:pPr>
              <w:jc w:val="center"/>
              <w:rPr>
                <w:szCs w:val="24"/>
              </w:rPr>
            </w:pPr>
            <w:r w:rsidRPr="00CB1701">
              <w:rPr>
                <w:szCs w:val="24"/>
              </w:rPr>
              <w:t>79.6 [38-190]</w:t>
            </w:r>
          </w:p>
        </w:tc>
        <w:tc>
          <w:tcPr>
            <w:tcW w:w="584" w:type="pct"/>
          </w:tcPr>
          <w:p w14:paraId="5C7BC3E9" w14:textId="77777777" w:rsidR="007A39CC" w:rsidRPr="00CB1701" w:rsidRDefault="007A39CC" w:rsidP="007A39CC">
            <w:pPr>
              <w:jc w:val="center"/>
              <w:rPr>
                <w:szCs w:val="24"/>
              </w:rPr>
            </w:pPr>
            <w:r w:rsidRPr="00CB1701">
              <w:rPr>
                <w:szCs w:val="24"/>
              </w:rPr>
              <w:t>&lt;0.001</w:t>
            </w:r>
          </w:p>
        </w:tc>
      </w:tr>
      <w:tr w:rsidR="007A39CC" w:rsidRPr="00CB1701" w14:paraId="4F1010E7" w14:textId="77777777" w:rsidTr="004E483C">
        <w:trPr>
          <w:cantSplit/>
          <w:trHeight w:val="170"/>
          <w:jc w:val="center"/>
        </w:trPr>
        <w:tc>
          <w:tcPr>
            <w:tcW w:w="2066" w:type="pct"/>
          </w:tcPr>
          <w:p w14:paraId="0C0DD1B7" w14:textId="77777777" w:rsidR="007A39CC" w:rsidRPr="00CB1701" w:rsidRDefault="007A39CC" w:rsidP="007A39CC">
            <w:pPr>
              <w:jc w:val="left"/>
              <w:rPr>
                <w:szCs w:val="24"/>
              </w:rPr>
            </w:pPr>
            <w:r w:rsidRPr="00CB1701">
              <w:rPr>
                <w:szCs w:val="24"/>
              </w:rPr>
              <w:t>Height (m), mean [range]</w:t>
            </w:r>
          </w:p>
        </w:tc>
        <w:tc>
          <w:tcPr>
            <w:tcW w:w="1266" w:type="pct"/>
          </w:tcPr>
          <w:p w14:paraId="0932FFD9" w14:textId="77777777" w:rsidR="007A39CC" w:rsidRPr="00CB1701" w:rsidRDefault="007A39CC" w:rsidP="007A39CC">
            <w:pPr>
              <w:jc w:val="center"/>
              <w:rPr>
                <w:szCs w:val="24"/>
              </w:rPr>
            </w:pPr>
            <w:r w:rsidRPr="00CB1701">
              <w:rPr>
                <w:szCs w:val="24"/>
              </w:rPr>
              <w:t>1.57 [1.10-1.94]</w:t>
            </w:r>
          </w:p>
        </w:tc>
        <w:tc>
          <w:tcPr>
            <w:tcW w:w="1084" w:type="pct"/>
          </w:tcPr>
          <w:p w14:paraId="048DDB50" w14:textId="77777777" w:rsidR="007A39CC" w:rsidRPr="00CB1701" w:rsidRDefault="007A39CC" w:rsidP="007A39CC">
            <w:pPr>
              <w:jc w:val="center"/>
              <w:rPr>
                <w:szCs w:val="24"/>
              </w:rPr>
            </w:pPr>
            <w:r w:rsidRPr="00CB1701">
              <w:rPr>
                <w:szCs w:val="24"/>
              </w:rPr>
              <w:t>1.71 [1.15-2.36]</w:t>
            </w:r>
          </w:p>
        </w:tc>
        <w:tc>
          <w:tcPr>
            <w:tcW w:w="584" w:type="pct"/>
          </w:tcPr>
          <w:p w14:paraId="5123375F" w14:textId="77777777" w:rsidR="007A39CC" w:rsidRPr="00CB1701" w:rsidRDefault="007A39CC" w:rsidP="007A39CC">
            <w:pPr>
              <w:jc w:val="center"/>
              <w:rPr>
                <w:szCs w:val="24"/>
              </w:rPr>
            </w:pPr>
            <w:r w:rsidRPr="00CB1701">
              <w:rPr>
                <w:szCs w:val="24"/>
              </w:rPr>
              <w:t>&lt;0.001</w:t>
            </w:r>
          </w:p>
        </w:tc>
      </w:tr>
      <w:tr w:rsidR="007A39CC" w:rsidRPr="00CB1701" w14:paraId="4EC08BE3" w14:textId="77777777" w:rsidTr="004E483C">
        <w:trPr>
          <w:cantSplit/>
          <w:trHeight w:val="170"/>
          <w:jc w:val="center"/>
        </w:trPr>
        <w:tc>
          <w:tcPr>
            <w:tcW w:w="2066" w:type="pct"/>
          </w:tcPr>
          <w:p w14:paraId="36653C25" w14:textId="77777777" w:rsidR="007A39CC" w:rsidRPr="00CB1701" w:rsidRDefault="007A39CC" w:rsidP="007A39CC">
            <w:pPr>
              <w:jc w:val="left"/>
              <w:rPr>
                <w:szCs w:val="24"/>
              </w:rPr>
            </w:pPr>
            <w:r w:rsidRPr="00CB1701">
              <w:rPr>
                <w:szCs w:val="24"/>
              </w:rPr>
              <w:t>Critical preoperative state, n (%)</w:t>
            </w:r>
          </w:p>
        </w:tc>
        <w:tc>
          <w:tcPr>
            <w:tcW w:w="1266" w:type="pct"/>
          </w:tcPr>
          <w:p w14:paraId="64C12331" w14:textId="77777777" w:rsidR="007A39CC" w:rsidRPr="00CB1701" w:rsidRDefault="007A39CC" w:rsidP="007A39CC">
            <w:pPr>
              <w:jc w:val="center"/>
              <w:rPr>
                <w:szCs w:val="24"/>
              </w:rPr>
            </w:pPr>
            <w:r w:rsidRPr="00CB1701">
              <w:rPr>
                <w:szCs w:val="24"/>
              </w:rPr>
              <w:t>43 (1.45%)</w:t>
            </w:r>
          </w:p>
        </w:tc>
        <w:tc>
          <w:tcPr>
            <w:tcW w:w="1084" w:type="pct"/>
          </w:tcPr>
          <w:p w14:paraId="60700124" w14:textId="77777777" w:rsidR="007A39CC" w:rsidRPr="00CB1701" w:rsidRDefault="007A39CC" w:rsidP="007A39CC">
            <w:pPr>
              <w:jc w:val="center"/>
              <w:rPr>
                <w:szCs w:val="24"/>
              </w:rPr>
            </w:pPr>
            <w:r w:rsidRPr="00CB1701">
              <w:rPr>
                <w:szCs w:val="24"/>
              </w:rPr>
              <w:t>62 (1.80%)</w:t>
            </w:r>
          </w:p>
        </w:tc>
        <w:tc>
          <w:tcPr>
            <w:tcW w:w="584" w:type="pct"/>
          </w:tcPr>
          <w:p w14:paraId="43E8A2F6" w14:textId="77777777" w:rsidR="007A39CC" w:rsidRPr="00CB1701" w:rsidRDefault="007A39CC" w:rsidP="007A39CC">
            <w:pPr>
              <w:jc w:val="center"/>
              <w:rPr>
                <w:szCs w:val="24"/>
              </w:rPr>
            </w:pPr>
            <w:r w:rsidRPr="00CB1701">
              <w:rPr>
                <w:szCs w:val="24"/>
              </w:rPr>
              <w:t>0.307</w:t>
            </w:r>
          </w:p>
        </w:tc>
      </w:tr>
      <w:tr w:rsidR="007A39CC" w:rsidRPr="00CB1701" w14:paraId="42EEC0B7" w14:textId="77777777" w:rsidTr="004E483C">
        <w:trPr>
          <w:cantSplit/>
          <w:trHeight w:val="170"/>
          <w:jc w:val="center"/>
        </w:trPr>
        <w:tc>
          <w:tcPr>
            <w:tcW w:w="2066" w:type="pct"/>
          </w:tcPr>
          <w:p w14:paraId="4BC3591C" w14:textId="77777777" w:rsidR="007A39CC" w:rsidRPr="00CB1701" w:rsidRDefault="007A39CC" w:rsidP="007A39CC">
            <w:pPr>
              <w:jc w:val="left"/>
              <w:rPr>
                <w:szCs w:val="24"/>
              </w:rPr>
            </w:pPr>
            <w:r w:rsidRPr="00CB1701">
              <w:rPr>
                <w:szCs w:val="24"/>
              </w:rPr>
              <w:t>CCS Class 4, n (%)</w:t>
            </w:r>
          </w:p>
        </w:tc>
        <w:tc>
          <w:tcPr>
            <w:tcW w:w="1266" w:type="pct"/>
          </w:tcPr>
          <w:p w14:paraId="203E5241" w14:textId="77777777" w:rsidR="007A39CC" w:rsidRPr="00CB1701" w:rsidRDefault="007A39CC" w:rsidP="007A39CC">
            <w:pPr>
              <w:jc w:val="center"/>
              <w:rPr>
                <w:szCs w:val="24"/>
              </w:rPr>
            </w:pPr>
            <w:r w:rsidRPr="00CB1701">
              <w:rPr>
                <w:szCs w:val="24"/>
              </w:rPr>
              <w:t>35 (1.18%)</w:t>
            </w:r>
          </w:p>
        </w:tc>
        <w:tc>
          <w:tcPr>
            <w:tcW w:w="1084" w:type="pct"/>
          </w:tcPr>
          <w:p w14:paraId="11E63B3E" w14:textId="77777777" w:rsidR="007A39CC" w:rsidRPr="00CB1701" w:rsidRDefault="007A39CC" w:rsidP="007A39CC">
            <w:pPr>
              <w:jc w:val="center"/>
              <w:rPr>
                <w:szCs w:val="24"/>
              </w:rPr>
            </w:pPr>
            <w:r w:rsidRPr="00CB1701">
              <w:rPr>
                <w:szCs w:val="24"/>
              </w:rPr>
              <w:t>42 (1.22%)</w:t>
            </w:r>
          </w:p>
        </w:tc>
        <w:tc>
          <w:tcPr>
            <w:tcW w:w="584" w:type="pct"/>
          </w:tcPr>
          <w:p w14:paraId="487B72C5" w14:textId="77777777" w:rsidR="007A39CC" w:rsidRPr="00CB1701" w:rsidRDefault="007A39CC" w:rsidP="007A39CC">
            <w:pPr>
              <w:jc w:val="center"/>
              <w:rPr>
                <w:szCs w:val="24"/>
              </w:rPr>
            </w:pPr>
            <w:r w:rsidRPr="00CB1701">
              <w:rPr>
                <w:szCs w:val="24"/>
              </w:rPr>
              <w:t>0.972</w:t>
            </w:r>
          </w:p>
        </w:tc>
      </w:tr>
      <w:tr w:rsidR="007A39CC" w:rsidRPr="00CB1701" w14:paraId="2EAE9025" w14:textId="77777777" w:rsidTr="004E483C">
        <w:trPr>
          <w:cantSplit/>
          <w:trHeight w:val="170"/>
          <w:jc w:val="center"/>
        </w:trPr>
        <w:tc>
          <w:tcPr>
            <w:tcW w:w="2066" w:type="pct"/>
          </w:tcPr>
          <w:p w14:paraId="5C63FB74" w14:textId="77777777" w:rsidR="007A39CC" w:rsidRPr="00CB1701" w:rsidRDefault="007A39CC" w:rsidP="007A39CC">
            <w:pPr>
              <w:jc w:val="left"/>
              <w:rPr>
                <w:szCs w:val="24"/>
              </w:rPr>
            </w:pPr>
            <w:r w:rsidRPr="00CB1701">
              <w:rPr>
                <w:szCs w:val="24"/>
              </w:rPr>
              <w:t>NYHA Class ≥ III</w:t>
            </w:r>
          </w:p>
        </w:tc>
        <w:tc>
          <w:tcPr>
            <w:tcW w:w="1266" w:type="pct"/>
          </w:tcPr>
          <w:p w14:paraId="02B27C38" w14:textId="77777777" w:rsidR="007A39CC" w:rsidRPr="00CB1701" w:rsidRDefault="007A39CC" w:rsidP="007A39CC">
            <w:pPr>
              <w:jc w:val="center"/>
              <w:rPr>
                <w:szCs w:val="24"/>
              </w:rPr>
            </w:pPr>
            <w:r w:rsidRPr="00CB1701">
              <w:rPr>
                <w:szCs w:val="24"/>
              </w:rPr>
              <w:t>2413 (81.2%)</w:t>
            </w:r>
          </w:p>
        </w:tc>
        <w:tc>
          <w:tcPr>
            <w:tcW w:w="1084" w:type="pct"/>
          </w:tcPr>
          <w:p w14:paraId="1454131D" w14:textId="77777777" w:rsidR="007A39CC" w:rsidRPr="00CB1701" w:rsidRDefault="007A39CC" w:rsidP="007A39CC">
            <w:pPr>
              <w:jc w:val="center"/>
              <w:rPr>
                <w:szCs w:val="24"/>
              </w:rPr>
            </w:pPr>
            <w:r w:rsidRPr="00CB1701">
              <w:rPr>
                <w:szCs w:val="24"/>
              </w:rPr>
              <w:t>2727 (79.1%)</w:t>
            </w:r>
          </w:p>
        </w:tc>
        <w:tc>
          <w:tcPr>
            <w:tcW w:w="584" w:type="pct"/>
          </w:tcPr>
          <w:p w14:paraId="786DFDCD" w14:textId="77777777" w:rsidR="007A39CC" w:rsidRPr="00CB1701" w:rsidRDefault="007A39CC" w:rsidP="007A39CC">
            <w:pPr>
              <w:jc w:val="center"/>
              <w:rPr>
                <w:szCs w:val="24"/>
              </w:rPr>
            </w:pPr>
            <w:r w:rsidRPr="00CB1701">
              <w:rPr>
                <w:szCs w:val="24"/>
              </w:rPr>
              <w:t>0.041</w:t>
            </w:r>
          </w:p>
        </w:tc>
      </w:tr>
      <w:tr w:rsidR="007A39CC" w:rsidRPr="00CB1701" w14:paraId="7D805D93" w14:textId="77777777" w:rsidTr="004E483C">
        <w:trPr>
          <w:cantSplit/>
          <w:trHeight w:val="170"/>
          <w:jc w:val="center"/>
        </w:trPr>
        <w:tc>
          <w:tcPr>
            <w:tcW w:w="2066" w:type="pct"/>
          </w:tcPr>
          <w:p w14:paraId="79DC99DA" w14:textId="77777777" w:rsidR="007A39CC" w:rsidRPr="00CB1701" w:rsidRDefault="007A39CC" w:rsidP="007A39CC">
            <w:pPr>
              <w:jc w:val="left"/>
              <w:rPr>
                <w:szCs w:val="24"/>
              </w:rPr>
            </w:pPr>
            <w:r w:rsidRPr="00CB1701">
              <w:rPr>
                <w:szCs w:val="24"/>
              </w:rPr>
              <w:t>LVEF</w:t>
            </w:r>
          </w:p>
        </w:tc>
        <w:tc>
          <w:tcPr>
            <w:tcW w:w="1266" w:type="pct"/>
            <w:vAlign w:val="center"/>
          </w:tcPr>
          <w:p w14:paraId="1F074C2A" w14:textId="77777777" w:rsidR="007A39CC" w:rsidRPr="00CB1701" w:rsidRDefault="007A39CC" w:rsidP="007A39CC">
            <w:pPr>
              <w:jc w:val="center"/>
              <w:rPr>
                <w:szCs w:val="24"/>
              </w:rPr>
            </w:pPr>
          </w:p>
        </w:tc>
        <w:tc>
          <w:tcPr>
            <w:tcW w:w="1084" w:type="pct"/>
          </w:tcPr>
          <w:p w14:paraId="7601A66B" w14:textId="77777777" w:rsidR="007A39CC" w:rsidRPr="00CB1701" w:rsidRDefault="007A39CC" w:rsidP="007A39CC">
            <w:pPr>
              <w:jc w:val="center"/>
              <w:rPr>
                <w:szCs w:val="24"/>
              </w:rPr>
            </w:pPr>
          </w:p>
        </w:tc>
        <w:tc>
          <w:tcPr>
            <w:tcW w:w="584" w:type="pct"/>
          </w:tcPr>
          <w:p w14:paraId="385A5BCB" w14:textId="315018AF" w:rsidR="007A39CC" w:rsidRPr="00CB1701" w:rsidRDefault="00330B1E" w:rsidP="007A39CC">
            <w:pPr>
              <w:jc w:val="center"/>
              <w:rPr>
                <w:szCs w:val="24"/>
              </w:rPr>
            </w:pPr>
            <w:r>
              <w:rPr>
                <w:szCs w:val="24"/>
              </w:rPr>
              <w:t>&lt;0.001</w:t>
            </w:r>
          </w:p>
        </w:tc>
      </w:tr>
      <w:tr w:rsidR="007A39CC" w:rsidRPr="00CB1701" w14:paraId="55C4690D" w14:textId="77777777" w:rsidTr="004E483C">
        <w:trPr>
          <w:cantSplit/>
          <w:trHeight w:val="170"/>
          <w:jc w:val="center"/>
        </w:trPr>
        <w:tc>
          <w:tcPr>
            <w:tcW w:w="2066" w:type="pct"/>
          </w:tcPr>
          <w:p w14:paraId="4092C0A5" w14:textId="77777777" w:rsidR="007A39CC" w:rsidRPr="00CB1701" w:rsidRDefault="007A39CC" w:rsidP="007A39CC">
            <w:pPr>
              <w:jc w:val="left"/>
              <w:rPr>
                <w:szCs w:val="24"/>
              </w:rPr>
            </w:pPr>
            <w:r w:rsidRPr="00CB1701">
              <w:rPr>
                <w:szCs w:val="24"/>
              </w:rPr>
              <w:t xml:space="preserve">     ≥ 50%, n (%)</w:t>
            </w:r>
          </w:p>
        </w:tc>
        <w:tc>
          <w:tcPr>
            <w:tcW w:w="1266" w:type="pct"/>
          </w:tcPr>
          <w:p w14:paraId="58F557AD" w14:textId="77777777" w:rsidR="007A39CC" w:rsidRPr="00CB1701" w:rsidRDefault="007A39CC" w:rsidP="007A39CC">
            <w:pPr>
              <w:jc w:val="center"/>
              <w:rPr>
                <w:szCs w:val="24"/>
              </w:rPr>
            </w:pPr>
            <w:r w:rsidRPr="00CB1701">
              <w:rPr>
                <w:szCs w:val="24"/>
              </w:rPr>
              <w:t>2067 (69.5%)</w:t>
            </w:r>
          </w:p>
        </w:tc>
        <w:tc>
          <w:tcPr>
            <w:tcW w:w="1084" w:type="pct"/>
          </w:tcPr>
          <w:p w14:paraId="57316A9A" w14:textId="77777777" w:rsidR="007A39CC" w:rsidRPr="00CB1701" w:rsidRDefault="007A39CC" w:rsidP="007A39CC">
            <w:pPr>
              <w:jc w:val="center"/>
              <w:rPr>
                <w:szCs w:val="24"/>
              </w:rPr>
            </w:pPr>
            <w:r w:rsidRPr="00CB1701">
              <w:rPr>
                <w:szCs w:val="24"/>
              </w:rPr>
              <w:t>1840 (53.4%)</w:t>
            </w:r>
          </w:p>
        </w:tc>
        <w:tc>
          <w:tcPr>
            <w:tcW w:w="584" w:type="pct"/>
          </w:tcPr>
          <w:p w14:paraId="1DD37F39" w14:textId="12A2657A" w:rsidR="007A39CC" w:rsidRPr="00CB1701" w:rsidRDefault="007A39CC" w:rsidP="007A39CC">
            <w:pPr>
              <w:jc w:val="center"/>
              <w:rPr>
                <w:szCs w:val="24"/>
              </w:rPr>
            </w:pPr>
          </w:p>
        </w:tc>
      </w:tr>
      <w:tr w:rsidR="007A39CC" w:rsidRPr="00CB1701" w14:paraId="06F8B67A" w14:textId="77777777" w:rsidTr="004E483C">
        <w:trPr>
          <w:cantSplit/>
          <w:trHeight w:val="170"/>
          <w:jc w:val="center"/>
        </w:trPr>
        <w:tc>
          <w:tcPr>
            <w:tcW w:w="2066" w:type="pct"/>
          </w:tcPr>
          <w:p w14:paraId="6AFEEC2A" w14:textId="77777777" w:rsidR="007A39CC" w:rsidRPr="00CB1701" w:rsidRDefault="007A39CC" w:rsidP="007A39CC">
            <w:pPr>
              <w:jc w:val="left"/>
              <w:rPr>
                <w:szCs w:val="24"/>
              </w:rPr>
            </w:pPr>
            <w:r w:rsidRPr="00CB1701">
              <w:rPr>
                <w:szCs w:val="24"/>
              </w:rPr>
              <w:t xml:space="preserve">     30 − 49%, n (%)</w:t>
            </w:r>
          </w:p>
        </w:tc>
        <w:tc>
          <w:tcPr>
            <w:tcW w:w="1266" w:type="pct"/>
          </w:tcPr>
          <w:p w14:paraId="50B6FC4C" w14:textId="77777777" w:rsidR="007A39CC" w:rsidRPr="00CB1701" w:rsidRDefault="007A39CC" w:rsidP="007A39CC">
            <w:pPr>
              <w:jc w:val="center"/>
              <w:rPr>
                <w:szCs w:val="24"/>
              </w:rPr>
            </w:pPr>
            <w:r w:rsidRPr="00CB1701">
              <w:rPr>
                <w:szCs w:val="24"/>
              </w:rPr>
              <w:t>731 (24.6%)</w:t>
            </w:r>
          </w:p>
        </w:tc>
        <w:tc>
          <w:tcPr>
            <w:tcW w:w="1084" w:type="pct"/>
          </w:tcPr>
          <w:p w14:paraId="16F9BEF6" w14:textId="77777777" w:rsidR="007A39CC" w:rsidRPr="00CB1701" w:rsidRDefault="007A39CC" w:rsidP="007A39CC">
            <w:pPr>
              <w:jc w:val="center"/>
              <w:rPr>
                <w:szCs w:val="24"/>
              </w:rPr>
            </w:pPr>
            <w:r w:rsidRPr="00CB1701">
              <w:rPr>
                <w:szCs w:val="24"/>
              </w:rPr>
              <w:t>1139 (33.0%)</w:t>
            </w:r>
          </w:p>
        </w:tc>
        <w:tc>
          <w:tcPr>
            <w:tcW w:w="584" w:type="pct"/>
          </w:tcPr>
          <w:p w14:paraId="061FA48F" w14:textId="6E6CC145" w:rsidR="007A39CC" w:rsidRPr="00CB1701" w:rsidRDefault="007A39CC" w:rsidP="007A39CC">
            <w:pPr>
              <w:jc w:val="center"/>
              <w:rPr>
                <w:szCs w:val="24"/>
              </w:rPr>
            </w:pPr>
          </w:p>
        </w:tc>
      </w:tr>
      <w:tr w:rsidR="007A39CC" w:rsidRPr="00CB1701" w14:paraId="698B5F58" w14:textId="77777777" w:rsidTr="004E483C">
        <w:trPr>
          <w:cantSplit/>
          <w:trHeight w:val="170"/>
          <w:jc w:val="center"/>
        </w:trPr>
        <w:tc>
          <w:tcPr>
            <w:tcW w:w="2066" w:type="pct"/>
          </w:tcPr>
          <w:p w14:paraId="0E7D2676" w14:textId="77777777" w:rsidR="007A39CC" w:rsidRPr="00CB1701" w:rsidRDefault="007A39CC" w:rsidP="007A39CC">
            <w:pPr>
              <w:jc w:val="left"/>
              <w:rPr>
                <w:szCs w:val="24"/>
              </w:rPr>
            </w:pPr>
            <w:r w:rsidRPr="00CB1701">
              <w:rPr>
                <w:i/>
                <w:szCs w:val="24"/>
              </w:rPr>
              <w:t xml:space="preserve">     &lt; </w:t>
            </w:r>
            <w:r w:rsidRPr="00CB1701">
              <w:rPr>
                <w:szCs w:val="24"/>
              </w:rPr>
              <w:t>30%, n (%)</w:t>
            </w:r>
          </w:p>
        </w:tc>
        <w:tc>
          <w:tcPr>
            <w:tcW w:w="1266" w:type="pct"/>
          </w:tcPr>
          <w:p w14:paraId="723942EC" w14:textId="77777777" w:rsidR="007A39CC" w:rsidRPr="00CB1701" w:rsidRDefault="007A39CC" w:rsidP="007A39CC">
            <w:pPr>
              <w:jc w:val="center"/>
              <w:rPr>
                <w:szCs w:val="24"/>
              </w:rPr>
            </w:pPr>
            <w:r w:rsidRPr="00CB1701">
              <w:rPr>
                <w:szCs w:val="24"/>
              </w:rPr>
              <w:t>147 (4.95%)</w:t>
            </w:r>
          </w:p>
        </w:tc>
        <w:tc>
          <w:tcPr>
            <w:tcW w:w="1084" w:type="pct"/>
          </w:tcPr>
          <w:p w14:paraId="19C95192" w14:textId="77777777" w:rsidR="007A39CC" w:rsidRPr="00CB1701" w:rsidRDefault="007A39CC" w:rsidP="007A39CC">
            <w:pPr>
              <w:jc w:val="center"/>
              <w:rPr>
                <w:szCs w:val="24"/>
              </w:rPr>
            </w:pPr>
            <w:r w:rsidRPr="00CB1701">
              <w:rPr>
                <w:szCs w:val="24"/>
              </w:rPr>
              <w:t>438 (12.7%)</w:t>
            </w:r>
          </w:p>
        </w:tc>
        <w:tc>
          <w:tcPr>
            <w:tcW w:w="584" w:type="pct"/>
          </w:tcPr>
          <w:p w14:paraId="5B4B0F00" w14:textId="0E2BB14A" w:rsidR="007A39CC" w:rsidRPr="00CB1701" w:rsidRDefault="007A39CC" w:rsidP="007A39CC">
            <w:pPr>
              <w:jc w:val="center"/>
              <w:rPr>
                <w:szCs w:val="24"/>
              </w:rPr>
            </w:pPr>
          </w:p>
        </w:tc>
      </w:tr>
      <w:tr w:rsidR="007A39CC" w:rsidRPr="00CB1701" w14:paraId="0B8F69D0" w14:textId="77777777" w:rsidTr="004E483C">
        <w:trPr>
          <w:cantSplit/>
          <w:trHeight w:val="170"/>
          <w:jc w:val="center"/>
        </w:trPr>
        <w:tc>
          <w:tcPr>
            <w:tcW w:w="2066" w:type="pct"/>
          </w:tcPr>
          <w:p w14:paraId="22D5A5D6" w14:textId="77777777" w:rsidR="007A39CC" w:rsidRPr="00CB1701" w:rsidRDefault="007A39CC" w:rsidP="007A39CC">
            <w:pPr>
              <w:jc w:val="left"/>
              <w:rPr>
                <w:szCs w:val="24"/>
              </w:rPr>
            </w:pPr>
            <w:r w:rsidRPr="00CB1701">
              <w:rPr>
                <w:szCs w:val="24"/>
              </w:rPr>
              <w:t>Procedure Urgency</w:t>
            </w:r>
          </w:p>
        </w:tc>
        <w:tc>
          <w:tcPr>
            <w:tcW w:w="1266" w:type="pct"/>
          </w:tcPr>
          <w:p w14:paraId="7947C7AC" w14:textId="77777777" w:rsidR="007A39CC" w:rsidRPr="00CB1701" w:rsidRDefault="007A39CC" w:rsidP="007A39CC">
            <w:pPr>
              <w:jc w:val="center"/>
              <w:rPr>
                <w:szCs w:val="24"/>
              </w:rPr>
            </w:pPr>
          </w:p>
        </w:tc>
        <w:tc>
          <w:tcPr>
            <w:tcW w:w="1084" w:type="pct"/>
          </w:tcPr>
          <w:p w14:paraId="51C415E2" w14:textId="77777777" w:rsidR="007A39CC" w:rsidRPr="00CB1701" w:rsidRDefault="007A39CC" w:rsidP="007A39CC">
            <w:pPr>
              <w:jc w:val="center"/>
              <w:rPr>
                <w:szCs w:val="24"/>
              </w:rPr>
            </w:pPr>
          </w:p>
        </w:tc>
        <w:tc>
          <w:tcPr>
            <w:tcW w:w="584" w:type="pct"/>
          </w:tcPr>
          <w:p w14:paraId="6A885771" w14:textId="70EB19BB" w:rsidR="007A39CC" w:rsidRPr="00CB1701" w:rsidRDefault="00410620" w:rsidP="007A39CC">
            <w:pPr>
              <w:jc w:val="center"/>
              <w:rPr>
                <w:szCs w:val="24"/>
              </w:rPr>
            </w:pPr>
            <w:r>
              <w:rPr>
                <w:szCs w:val="24"/>
              </w:rPr>
              <w:t>0.460</w:t>
            </w:r>
          </w:p>
        </w:tc>
      </w:tr>
      <w:tr w:rsidR="007A39CC" w:rsidRPr="00CB1701" w14:paraId="7EFD84B0" w14:textId="77777777" w:rsidTr="004E483C">
        <w:trPr>
          <w:cantSplit/>
          <w:trHeight w:val="170"/>
          <w:jc w:val="center"/>
        </w:trPr>
        <w:tc>
          <w:tcPr>
            <w:tcW w:w="2066" w:type="pct"/>
          </w:tcPr>
          <w:p w14:paraId="17DB0949" w14:textId="77777777" w:rsidR="007A39CC" w:rsidRPr="00CB1701" w:rsidRDefault="007A39CC" w:rsidP="007A39CC">
            <w:pPr>
              <w:jc w:val="left"/>
              <w:rPr>
                <w:szCs w:val="24"/>
              </w:rPr>
            </w:pPr>
            <w:r w:rsidRPr="00CB1701">
              <w:rPr>
                <w:szCs w:val="24"/>
              </w:rPr>
              <w:t xml:space="preserve">     Elective, n (%)</w:t>
            </w:r>
          </w:p>
        </w:tc>
        <w:tc>
          <w:tcPr>
            <w:tcW w:w="1266" w:type="pct"/>
          </w:tcPr>
          <w:p w14:paraId="48FFFC40" w14:textId="77777777" w:rsidR="007A39CC" w:rsidRPr="00CB1701" w:rsidRDefault="007A39CC" w:rsidP="007A39CC">
            <w:pPr>
              <w:jc w:val="center"/>
              <w:rPr>
                <w:szCs w:val="24"/>
              </w:rPr>
            </w:pPr>
            <w:r w:rsidRPr="00CB1701">
              <w:rPr>
                <w:szCs w:val="24"/>
              </w:rPr>
              <w:t>2613 (87.9%)</w:t>
            </w:r>
          </w:p>
        </w:tc>
        <w:tc>
          <w:tcPr>
            <w:tcW w:w="1084" w:type="pct"/>
          </w:tcPr>
          <w:p w14:paraId="1F7D0F13" w14:textId="77777777" w:rsidR="007A39CC" w:rsidRPr="00CB1701" w:rsidRDefault="007A39CC" w:rsidP="007A39CC">
            <w:pPr>
              <w:jc w:val="center"/>
              <w:rPr>
                <w:szCs w:val="24"/>
              </w:rPr>
            </w:pPr>
            <w:r w:rsidRPr="00CB1701">
              <w:rPr>
                <w:szCs w:val="24"/>
              </w:rPr>
              <w:t>3011 (87.3%)</w:t>
            </w:r>
          </w:p>
        </w:tc>
        <w:tc>
          <w:tcPr>
            <w:tcW w:w="584" w:type="pct"/>
          </w:tcPr>
          <w:p w14:paraId="1BB80DFE" w14:textId="3968EBEF" w:rsidR="007A39CC" w:rsidRPr="00CB1701" w:rsidRDefault="007A39CC" w:rsidP="007A39CC">
            <w:pPr>
              <w:jc w:val="center"/>
              <w:rPr>
                <w:szCs w:val="24"/>
              </w:rPr>
            </w:pPr>
          </w:p>
        </w:tc>
      </w:tr>
      <w:tr w:rsidR="007A39CC" w:rsidRPr="00CB1701" w14:paraId="1A7D26D7" w14:textId="77777777" w:rsidTr="004E483C">
        <w:trPr>
          <w:cantSplit/>
          <w:trHeight w:val="170"/>
          <w:jc w:val="center"/>
        </w:trPr>
        <w:tc>
          <w:tcPr>
            <w:tcW w:w="2066" w:type="pct"/>
          </w:tcPr>
          <w:p w14:paraId="5ED855B6" w14:textId="77777777" w:rsidR="007A39CC" w:rsidRPr="00CB1701" w:rsidRDefault="007A39CC" w:rsidP="007A39CC">
            <w:pPr>
              <w:jc w:val="left"/>
              <w:rPr>
                <w:szCs w:val="24"/>
              </w:rPr>
            </w:pPr>
            <w:r w:rsidRPr="00CB1701">
              <w:rPr>
                <w:szCs w:val="24"/>
              </w:rPr>
              <w:t xml:space="preserve">     Urgent, n (%)</w:t>
            </w:r>
          </w:p>
        </w:tc>
        <w:tc>
          <w:tcPr>
            <w:tcW w:w="1266" w:type="pct"/>
          </w:tcPr>
          <w:p w14:paraId="2C5D1809" w14:textId="77777777" w:rsidR="007A39CC" w:rsidRPr="00CB1701" w:rsidRDefault="007A39CC" w:rsidP="007A39CC">
            <w:pPr>
              <w:jc w:val="center"/>
              <w:rPr>
                <w:szCs w:val="24"/>
              </w:rPr>
            </w:pPr>
            <w:r w:rsidRPr="00CB1701">
              <w:rPr>
                <w:szCs w:val="24"/>
              </w:rPr>
              <w:t>340 (11.4%)</w:t>
            </w:r>
          </w:p>
        </w:tc>
        <w:tc>
          <w:tcPr>
            <w:tcW w:w="1084" w:type="pct"/>
          </w:tcPr>
          <w:p w14:paraId="0A6FE0D9" w14:textId="77777777" w:rsidR="007A39CC" w:rsidRPr="00CB1701" w:rsidRDefault="007A39CC" w:rsidP="007A39CC">
            <w:pPr>
              <w:jc w:val="center"/>
              <w:rPr>
                <w:szCs w:val="24"/>
              </w:rPr>
            </w:pPr>
            <w:r w:rsidRPr="00CB1701">
              <w:rPr>
                <w:szCs w:val="24"/>
              </w:rPr>
              <w:t>409 (11.9%)</w:t>
            </w:r>
          </w:p>
        </w:tc>
        <w:tc>
          <w:tcPr>
            <w:tcW w:w="584" w:type="pct"/>
          </w:tcPr>
          <w:p w14:paraId="01119491" w14:textId="33804857" w:rsidR="007A39CC" w:rsidRPr="00CB1701" w:rsidRDefault="007A39CC" w:rsidP="007A39CC">
            <w:pPr>
              <w:jc w:val="center"/>
              <w:rPr>
                <w:szCs w:val="24"/>
              </w:rPr>
            </w:pPr>
          </w:p>
        </w:tc>
      </w:tr>
      <w:tr w:rsidR="007A39CC" w:rsidRPr="00CB1701" w14:paraId="2067726B" w14:textId="77777777" w:rsidTr="004E483C">
        <w:trPr>
          <w:cantSplit/>
          <w:trHeight w:val="170"/>
          <w:jc w:val="center"/>
        </w:trPr>
        <w:tc>
          <w:tcPr>
            <w:tcW w:w="2066" w:type="pct"/>
          </w:tcPr>
          <w:p w14:paraId="4E47C75E" w14:textId="77777777" w:rsidR="007A39CC" w:rsidRPr="00CB1701" w:rsidRDefault="007A39CC" w:rsidP="007A39CC">
            <w:pPr>
              <w:jc w:val="left"/>
              <w:rPr>
                <w:szCs w:val="24"/>
              </w:rPr>
            </w:pPr>
            <w:r w:rsidRPr="00CB1701">
              <w:rPr>
                <w:szCs w:val="24"/>
              </w:rPr>
              <w:t xml:space="preserve">     Emergency/ Salvage, n (%)</w:t>
            </w:r>
          </w:p>
        </w:tc>
        <w:tc>
          <w:tcPr>
            <w:tcW w:w="1266" w:type="pct"/>
          </w:tcPr>
          <w:p w14:paraId="32B84E82" w14:textId="77777777" w:rsidR="007A39CC" w:rsidRPr="00CB1701" w:rsidRDefault="007A39CC" w:rsidP="007A39CC">
            <w:pPr>
              <w:jc w:val="center"/>
              <w:rPr>
                <w:szCs w:val="24"/>
              </w:rPr>
            </w:pPr>
            <w:r w:rsidRPr="00CB1701">
              <w:rPr>
                <w:szCs w:val="24"/>
              </w:rPr>
              <w:t>15 (0.50%)</w:t>
            </w:r>
          </w:p>
        </w:tc>
        <w:tc>
          <w:tcPr>
            <w:tcW w:w="1084" w:type="pct"/>
          </w:tcPr>
          <w:p w14:paraId="63A89BDA" w14:textId="77777777" w:rsidR="007A39CC" w:rsidRPr="00CB1701" w:rsidRDefault="007A39CC" w:rsidP="007A39CC">
            <w:pPr>
              <w:jc w:val="center"/>
              <w:rPr>
                <w:szCs w:val="24"/>
              </w:rPr>
            </w:pPr>
            <w:r w:rsidRPr="00CB1701">
              <w:rPr>
                <w:szCs w:val="24"/>
              </w:rPr>
              <w:t>25 (0.73%)</w:t>
            </w:r>
          </w:p>
        </w:tc>
        <w:tc>
          <w:tcPr>
            <w:tcW w:w="584" w:type="pct"/>
          </w:tcPr>
          <w:p w14:paraId="566FF71A" w14:textId="61A61D53" w:rsidR="007A39CC" w:rsidRPr="00CB1701" w:rsidRDefault="007A39CC" w:rsidP="007A39CC">
            <w:pPr>
              <w:jc w:val="center"/>
              <w:rPr>
                <w:szCs w:val="24"/>
              </w:rPr>
            </w:pPr>
          </w:p>
        </w:tc>
      </w:tr>
      <w:tr w:rsidR="007A39CC" w:rsidRPr="00CB1701" w14:paraId="4FA25569" w14:textId="77777777" w:rsidTr="004E483C">
        <w:trPr>
          <w:cantSplit/>
          <w:trHeight w:val="170"/>
          <w:jc w:val="center"/>
        </w:trPr>
        <w:tc>
          <w:tcPr>
            <w:tcW w:w="2066" w:type="pct"/>
          </w:tcPr>
          <w:p w14:paraId="3B9D41C5" w14:textId="77777777" w:rsidR="007A39CC" w:rsidRPr="00CB1701" w:rsidRDefault="007A39CC" w:rsidP="007A39CC">
            <w:pPr>
              <w:jc w:val="left"/>
              <w:rPr>
                <w:szCs w:val="24"/>
              </w:rPr>
            </w:pPr>
            <w:r w:rsidRPr="00CB1701">
              <w:rPr>
                <w:szCs w:val="24"/>
              </w:rPr>
              <w:t>Valve Type</w:t>
            </w:r>
          </w:p>
        </w:tc>
        <w:tc>
          <w:tcPr>
            <w:tcW w:w="1266" w:type="pct"/>
          </w:tcPr>
          <w:p w14:paraId="1AF106AC" w14:textId="77777777" w:rsidR="007A39CC" w:rsidRPr="00CB1701" w:rsidRDefault="007A39CC" w:rsidP="007A39CC">
            <w:pPr>
              <w:jc w:val="center"/>
              <w:rPr>
                <w:szCs w:val="24"/>
              </w:rPr>
            </w:pPr>
          </w:p>
        </w:tc>
        <w:tc>
          <w:tcPr>
            <w:tcW w:w="1084" w:type="pct"/>
          </w:tcPr>
          <w:p w14:paraId="2B99C1BD" w14:textId="77777777" w:rsidR="007A39CC" w:rsidRPr="00CB1701" w:rsidRDefault="007A39CC" w:rsidP="007A39CC">
            <w:pPr>
              <w:jc w:val="center"/>
              <w:rPr>
                <w:szCs w:val="24"/>
              </w:rPr>
            </w:pPr>
          </w:p>
        </w:tc>
        <w:tc>
          <w:tcPr>
            <w:tcW w:w="584" w:type="pct"/>
          </w:tcPr>
          <w:p w14:paraId="44AA2D8D" w14:textId="6A62BA71" w:rsidR="007A39CC" w:rsidRPr="00CB1701" w:rsidRDefault="00410620" w:rsidP="007A39CC">
            <w:pPr>
              <w:jc w:val="center"/>
              <w:rPr>
                <w:szCs w:val="24"/>
              </w:rPr>
            </w:pPr>
            <w:r>
              <w:rPr>
                <w:szCs w:val="24"/>
              </w:rPr>
              <w:t>0.546</w:t>
            </w:r>
          </w:p>
        </w:tc>
      </w:tr>
      <w:tr w:rsidR="007A39CC" w:rsidRPr="00CB1701" w14:paraId="1675FBF4" w14:textId="77777777" w:rsidTr="004E483C">
        <w:trPr>
          <w:cantSplit/>
          <w:trHeight w:val="170"/>
          <w:jc w:val="center"/>
        </w:trPr>
        <w:tc>
          <w:tcPr>
            <w:tcW w:w="2066" w:type="pct"/>
          </w:tcPr>
          <w:p w14:paraId="21B37929" w14:textId="237E79CF" w:rsidR="007A39CC" w:rsidRPr="00CB1701" w:rsidRDefault="007A39CC" w:rsidP="007A39CC">
            <w:pPr>
              <w:jc w:val="left"/>
              <w:rPr>
                <w:szCs w:val="24"/>
              </w:rPr>
            </w:pPr>
            <w:r w:rsidRPr="00CB1701">
              <w:rPr>
                <w:szCs w:val="24"/>
              </w:rPr>
              <w:t xml:space="preserve">     Edwards SAPIEN, n (%)</w:t>
            </w:r>
          </w:p>
        </w:tc>
        <w:tc>
          <w:tcPr>
            <w:tcW w:w="1266" w:type="pct"/>
          </w:tcPr>
          <w:p w14:paraId="7D3BCF77" w14:textId="77777777" w:rsidR="007A39CC" w:rsidRPr="00CB1701" w:rsidRDefault="007A39CC" w:rsidP="007A39CC">
            <w:pPr>
              <w:jc w:val="center"/>
              <w:rPr>
                <w:szCs w:val="24"/>
              </w:rPr>
            </w:pPr>
            <w:r w:rsidRPr="00CB1701">
              <w:rPr>
                <w:szCs w:val="24"/>
              </w:rPr>
              <w:t>1607 (54.1%)</w:t>
            </w:r>
          </w:p>
        </w:tc>
        <w:tc>
          <w:tcPr>
            <w:tcW w:w="1084" w:type="pct"/>
          </w:tcPr>
          <w:p w14:paraId="7A93038F" w14:textId="77777777" w:rsidR="007A39CC" w:rsidRPr="00CB1701" w:rsidRDefault="007A39CC" w:rsidP="007A39CC">
            <w:pPr>
              <w:jc w:val="center"/>
              <w:rPr>
                <w:szCs w:val="24"/>
              </w:rPr>
            </w:pPr>
            <w:r w:rsidRPr="00CB1701">
              <w:rPr>
                <w:szCs w:val="24"/>
              </w:rPr>
              <w:t>1889 (54.8%)</w:t>
            </w:r>
          </w:p>
        </w:tc>
        <w:tc>
          <w:tcPr>
            <w:tcW w:w="584" w:type="pct"/>
          </w:tcPr>
          <w:p w14:paraId="74FC848D" w14:textId="7D445D98" w:rsidR="007A39CC" w:rsidRPr="00CB1701" w:rsidRDefault="007A39CC" w:rsidP="007A39CC">
            <w:pPr>
              <w:jc w:val="center"/>
              <w:rPr>
                <w:szCs w:val="24"/>
              </w:rPr>
            </w:pPr>
          </w:p>
        </w:tc>
      </w:tr>
      <w:tr w:rsidR="007A39CC" w:rsidRPr="00CB1701" w14:paraId="7C4FD217" w14:textId="77777777" w:rsidTr="004E483C">
        <w:trPr>
          <w:cantSplit/>
          <w:trHeight w:val="170"/>
          <w:jc w:val="center"/>
        </w:trPr>
        <w:tc>
          <w:tcPr>
            <w:tcW w:w="2066" w:type="pct"/>
          </w:tcPr>
          <w:p w14:paraId="474F7451" w14:textId="77777777" w:rsidR="007A39CC" w:rsidRPr="00CB1701" w:rsidRDefault="007A39CC" w:rsidP="007A39CC">
            <w:pPr>
              <w:jc w:val="left"/>
              <w:rPr>
                <w:szCs w:val="24"/>
              </w:rPr>
            </w:pPr>
            <w:r w:rsidRPr="00CB1701">
              <w:rPr>
                <w:szCs w:val="24"/>
              </w:rPr>
              <w:t xml:space="preserve">     Medtronic CoreValve, n (%)</w:t>
            </w:r>
          </w:p>
        </w:tc>
        <w:tc>
          <w:tcPr>
            <w:tcW w:w="1266" w:type="pct"/>
          </w:tcPr>
          <w:p w14:paraId="4E2E1580" w14:textId="77777777" w:rsidR="007A39CC" w:rsidRPr="00CB1701" w:rsidRDefault="007A39CC" w:rsidP="007A39CC">
            <w:pPr>
              <w:jc w:val="center"/>
              <w:rPr>
                <w:szCs w:val="24"/>
              </w:rPr>
            </w:pPr>
            <w:r w:rsidRPr="00CB1701">
              <w:rPr>
                <w:szCs w:val="24"/>
              </w:rPr>
              <w:t>1244 (41.9%)</w:t>
            </w:r>
          </w:p>
        </w:tc>
        <w:tc>
          <w:tcPr>
            <w:tcW w:w="1084" w:type="pct"/>
          </w:tcPr>
          <w:p w14:paraId="58FBB3AE" w14:textId="77777777" w:rsidR="007A39CC" w:rsidRPr="00CB1701" w:rsidRDefault="007A39CC" w:rsidP="007A39CC">
            <w:pPr>
              <w:jc w:val="center"/>
              <w:rPr>
                <w:szCs w:val="24"/>
              </w:rPr>
            </w:pPr>
            <w:r w:rsidRPr="00CB1701">
              <w:rPr>
                <w:szCs w:val="24"/>
              </w:rPr>
              <w:t>1436 (41.6%)</w:t>
            </w:r>
          </w:p>
        </w:tc>
        <w:tc>
          <w:tcPr>
            <w:tcW w:w="584" w:type="pct"/>
          </w:tcPr>
          <w:p w14:paraId="4B28EE6E" w14:textId="42C2BD0F" w:rsidR="007A39CC" w:rsidRPr="00CB1701" w:rsidRDefault="007A39CC" w:rsidP="007A39CC">
            <w:pPr>
              <w:jc w:val="center"/>
              <w:rPr>
                <w:szCs w:val="24"/>
              </w:rPr>
            </w:pPr>
          </w:p>
        </w:tc>
      </w:tr>
      <w:tr w:rsidR="007A39CC" w:rsidRPr="00CB1701" w14:paraId="2D3C4A5B" w14:textId="77777777" w:rsidTr="004E483C">
        <w:trPr>
          <w:cantSplit/>
          <w:trHeight w:val="170"/>
          <w:jc w:val="center"/>
        </w:trPr>
        <w:tc>
          <w:tcPr>
            <w:tcW w:w="2066" w:type="pct"/>
          </w:tcPr>
          <w:p w14:paraId="7166F8A6" w14:textId="4A342D71" w:rsidR="007A39CC" w:rsidRPr="00CB1701" w:rsidRDefault="007A39CC" w:rsidP="007A39CC">
            <w:pPr>
              <w:jc w:val="left"/>
              <w:rPr>
                <w:szCs w:val="24"/>
              </w:rPr>
            </w:pPr>
            <w:r>
              <w:rPr>
                <w:szCs w:val="24"/>
              </w:rPr>
              <w:t xml:space="preserve">     Other valve type, n (%)</w:t>
            </w:r>
          </w:p>
        </w:tc>
        <w:tc>
          <w:tcPr>
            <w:tcW w:w="1266" w:type="pct"/>
          </w:tcPr>
          <w:p w14:paraId="165DF669" w14:textId="594DBA42" w:rsidR="007A39CC" w:rsidRPr="00CB1701" w:rsidRDefault="00410620" w:rsidP="007A39CC">
            <w:pPr>
              <w:jc w:val="center"/>
              <w:rPr>
                <w:szCs w:val="24"/>
              </w:rPr>
            </w:pPr>
            <w:r>
              <w:rPr>
                <w:szCs w:val="24"/>
              </w:rPr>
              <w:t>107 (3.60%)</w:t>
            </w:r>
          </w:p>
        </w:tc>
        <w:tc>
          <w:tcPr>
            <w:tcW w:w="1084" w:type="pct"/>
          </w:tcPr>
          <w:p w14:paraId="2DC2E899" w14:textId="780223FD" w:rsidR="007A39CC" w:rsidRPr="00CB1701" w:rsidRDefault="00410620" w:rsidP="007A39CC">
            <w:pPr>
              <w:jc w:val="center"/>
              <w:rPr>
                <w:szCs w:val="24"/>
              </w:rPr>
            </w:pPr>
            <w:r>
              <w:rPr>
                <w:szCs w:val="24"/>
              </w:rPr>
              <w:t>108 (3.13%)</w:t>
            </w:r>
          </w:p>
        </w:tc>
        <w:tc>
          <w:tcPr>
            <w:tcW w:w="584" w:type="pct"/>
          </w:tcPr>
          <w:p w14:paraId="2961EFE1" w14:textId="77777777" w:rsidR="007A39CC" w:rsidRPr="00CB1701" w:rsidRDefault="007A39CC" w:rsidP="007A39CC">
            <w:pPr>
              <w:jc w:val="center"/>
              <w:rPr>
                <w:szCs w:val="24"/>
              </w:rPr>
            </w:pPr>
          </w:p>
        </w:tc>
      </w:tr>
      <w:tr w:rsidR="007A39CC" w:rsidRPr="00CB1701" w14:paraId="6762C256" w14:textId="77777777" w:rsidTr="004E483C">
        <w:trPr>
          <w:cantSplit/>
          <w:trHeight w:val="170"/>
          <w:jc w:val="center"/>
        </w:trPr>
        <w:tc>
          <w:tcPr>
            <w:tcW w:w="2066" w:type="pct"/>
          </w:tcPr>
          <w:p w14:paraId="1D3BBE49" w14:textId="77777777" w:rsidR="007A39CC" w:rsidRPr="00CB1701" w:rsidRDefault="007A39CC" w:rsidP="007A39CC">
            <w:pPr>
              <w:jc w:val="left"/>
              <w:rPr>
                <w:szCs w:val="24"/>
              </w:rPr>
            </w:pPr>
            <w:r w:rsidRPr="00CB1701">
              <w:rPr>
                <w:szCs w:val="24"/>
              </w:rPr>
              <w:t>Access Route</w:t>
            </w:r>
          </w:p>
        </w:tc>
        <w:tc>
          <w:tcPr>
            <w:tcW w:w="1266" w:type="pct"/>
          </w:tcPr>
          <w:p w14:paraId="17FFA8CD" w14:textId="77777777" w:rsidR="007A39CC" w:rsidRPr="00CB1701" w:rsidRDefault="007A39CC" w:rsidP="007A39CC">
            <w:pPr>
              <w:jc w:val="center"/>
              <w:rPr>
                <w:szCs w:val="24"/>
              </w:rPr>
            </w:pPr>
          </w:p>
        </w:tc>
        <w:tc>
          <w:tcPr>
            <w:tcW w:w="1084" w:type="pct"/>
          </w:tcPr>
          <w:p w14:paraId="45FB6F61" w14:textId="77777777" w:rsidR="007A39CC" w:rsidRPr="00CB1701" w:rsidRDefault="007A39CC" w:rsidP="007A39CC">
            <w:pPr>
              <w:jc w:val="center"/>
              <w:rPr>
                <w:szCs w:val="24"/>
              </w:rPr>
            </w:pPr>
          </w:p>
        </w:tc>
        <w:tc>
          <w:tcPr>
            <w:tcW w:w="584" w:type="pct"/>
          </w:tcPr>
          <w:p w14:paraId="59ECAAD6" w14:textId="07987AB4" w:rsidR="007A39CC" w:rsidRPr="00CB1701" w:rsidRDefault="00410620" w:rsidP="007A39CC">
            <w:pPr>
              <w:jc w:val="center"/>
              <w:rPr>
                <w:szCs w:val="24"/>
              </w:rPr>
            </w:pPr>
            <w:r>
              <w:rPr>
                <w:szCs w:val="24"/>
              </w:rPr>
              <w:t>0.013</w:t>
            </w:r>
          </w:p>
        </w:tc>
      </w:tr>
      <w:tr w:rsidR="007A39CC" w:rsidRPr="00CB1701" w14:paraId="321C7908" w14:textId="77777777" w:rsidTr="004E483C">
        <w:trPr>
          <w:cantSplit/>
          <w:trHeight w:val="170"/>
          <w:jc w:val="center"/>
        </w:trPr>
        <w:tc>
          <w:tcPr>
            <w:tcW w:w="2066" w:type="pct"/>
          </w:tcPr>
          <w:p w14:paraId="52C63AFA" w14:textId="77777777" w:rsidR="007A39CC" w:rsidRPr="00CB1701" w:rsidRDefault="007A39CC" w:rsidP="007A39CC">
            <w:pPr>
              <w:jc w:val="left"/>
              <w:rPr>
                <w:szCs w:val="24"/>
              </w:rPr>
            </w:pPr>
            <w:r w:rsidRPr="00CB1701">
              <w:rPr>
                <w:szCs w:val="24"/>
              </w:rPr>
              <w:t xml:space="preserve">     TF Access, n (%)</w:t>
            </w:r>
          </w:p>
        </w:tc>
        <w:tc>
          <w:tcPr>
            <w:tcW w:w="1266" w:type="pct"/>
          </w:tcPr>
          <w:p w14:paraId="19D16B94" w14:textId="77777777" w:rsidR="007A39CC" w:rsidRPr="00CB1701" w:rsidRDefault="007A39CC" w:rsidP="007A39CC">
            <w:pPr>
              <w:jc w:val="center"/>
              <w:rPr>
                <w:szCs w:val="24"/>
              </w:rPr>
            </w:pPr>
            <w:r w:rsidRPr="00CB1701">
              <w:rPr>
                <w:szCs w:val="24"/>
              </w:rPr>
              <w:t>2270 (76.4%)</w:t>
            </w:r>
          </w:p>
        </w:tc>
        <w:tc>
          <w:tcPr>
            <w:tcW w:w="1084" w:type="pct"/>
          </w:tcPr>
          <w:p w14:paraId="1218CFAE" w14:textId="77777777" w:rsidR="007A39CC" w:rsidRPr="00CB1701" w:rsidRDefault="007A39CC" w:rsidP="007A39CC">
            <w:pPr>
              <w:jc w:val="center"/>
              <w:rPr>
                <w:szCs w:val="24"/>
              </w:rPr>
            </w:pPr>
            <w:r w:rsidRPr="00CB1701">
              <w:rPr>
                <w:szCs w:val="24"/>
              </w:rPr>
              <w:t>2525 (73.2%)</w:t>
            </w:r>
          </w:p>
        </w:tc>
        <w:tc>
          <w:tcPr>
            <w:tcW w:w="584" w:type="pct"/>
          </w:tcPr>
          <w:p w14:paraId="5CE4018D" w14:textId="77F73543" w:rsidR="007A39CC" w:rsidRPr="00CB1701" w:rsidRDefault="007A39CC" w:rsidP="007A39CC">
            <w:pPr>
              <w:jc w:val="center"/>
              <w:rPr>
                <w:szCs w:val="24"/>
              </w:rPr>
            </w:pPr>
          </w:p>
        </w:tc>
      </w:tr>
      <w:tr w:rsidR="007A39CC" w:rsidRPr="00CB1701" w14:paraId="6CE83AB9" w14:textId="77777777" w:rsidTr="007A39CC">
        <w:trPr>
          <w:cantSplit/>
          <w:trHeight w:val="170"/>
          <w:jc w:val="center"/>
        </w:trPr>
        <w:tc>
          <w:tcPr>
            <w:tcW w:w="2066" w:type="pct"/>
          </w:tcPr>
          <w:p w14:paraId="095BF696" w14:textId="77777777" w:rsidR="007A39CC" w:rsidRPr="00CB1701" w:rsidRDefault="007A39CC" w:rsidP="007A39CC">
            <w:pPr>
              <w:jc w:val="left"/>
              <w:rPr>
                <w:szCs w:val="24"/>
              </w:rPr>
            </w:pPr>
            <w:r w:rsidRPr="00CB1701">
              <w:rPr>
                <w:szCs w:val="24"/>
              </w:rPr>
              <w:t xml:space="preserve">     TA Access, n (%)</w:t>
            </w:r>
          </w:p>
        </w:tc>
        <w:tc>
          <w:tcPr>
            <w:tcW w:w="1266" w:type="pct"/>
          </w:tcPr>
          <w:p w14:paraId="280F8154" w14:textId="77777777" w:rsidR="007A39CC" w:rsidRPr="00CB1701" w:rsidRDefault="007A39CC" w:rsidP="007A39CC">
            <w:pPr>
              <w:jc w:val="center"/>
              <w:rPr>
                <w:szCs w:val="24"/>
              </w:rPr>
            </w:pPr>
            <w:r w:rsidRPr="00CB1701">
              <w:rPr>
                <w:szCs w:val="24"/>
              </w:rPr>
              <w:t>430 (14.5%)</w:t>
            </w:r>
          </w:p>
        </w:tc>
        <w:tc>
          <w:tcPr>
            <w:tcW w:w="1084" w:type="pct"/>
          </w:tcPr>
          <w:p w14:paraId="75E14D20" w14:textId="77777777" w:rsidR="007A39CC" w:rsidRPr="00CB1701" w:rsidRDefault="007A39CC" w:rsidP="007A39CC">
            <w:pPr>
              <w:jc w:val="center"/>
              <w:rPr>
                <w:szCs w:val="24"/>
              </w:rPr>
            </w:pPr>
            <w:r w:rsidRPr="00CB1701">
              <w:rPr>
                <w:szCs w:val="24"/>
              </w:rPr>
              <w:t>579 (16.8%)</w:t>
            </w:r>
          </w:p>
        </w:tc>
        <w:tc>
          <w:tcPr>
            <w:tcW w:w="584" w:type="pct"/>
          </w:tcPr>
          <w:p w14:paraId="5F58CE1E" w14:textId="379566DB" w:rsidR="007A39CC" w:rsidRPr="00CB1701" w:rsidRDefault="007A39CC" w:rsidP="007A39CC">
            <w:pPr>
              <w:jc w:val="center"/>
              <w:rPr>
                <w:szCs w:val="24"/>
              </w:rPr>
            </w:pPr>
          </w:p>
        </w:tc>
      </w:tr>
      <w:tr w:rsidR="007A39CC" w:rsidRPr="00CB1701" w14:paraId="2F119205" w14:textId="77777777" w:rsidTr="004E483C">
        <w:trPr>
          <w:cantSplit/>
          <w:trHeight w:val="170"/>
          <w:jc w:val="center"/>
        </w:trPr>
        <w:tc>
          <w:tcPr>
            <w:tcW w:w="2066" w:type="pct"/>
            <w:tcBorders>
              <w:bottom w:val="single" w:sz="4" w:space="0" w:color="auto"/>
            </w:tcBorders>
          </w:tcPr>
          <w:p w14:paraId="53EC1DF6" w14:textId="7145C524" w:rsidR="007A39CC" w:rsidRPr="00CB1701" w:rsidRDefault="007A39CC" w:rsidP="007A39CC">
            <w:pPr>
              <w:jc w:val="left"/>
              <w:rPr>
                <w:szCs w:val="24"/>
              </w:rPr>
            </w:pPr>
            <w:r>
              <w:rPr>
                <w:szCs w:val="24"/>
              </w:rPr>
              <w:t xml:space="preserve">     Other Access, n (%)</w:t>
            </w:r>
          </w:p>
        </w:tc>
        <w:tc>
          <w:tcPr>
            <w:tcW w:w="1266" w:type="pct"/>
            <w:tcBorders>
              <w:bottom w:val="single" w:sz="4" w:space="0" w:color="auto"/>
            </w:tcBorders>
          </w:tcPr>
          <w:p w14:paraId="24464527" w14:textId="5FC348DE" w:rsidR="007A39CC" w:rsidRPr="00CB1701" w:rsidRDefault="00410620" w:rsidP="007A39CC">
            <w:pPr>
              <w:jc w:val="center"/>
              <w:rPr>
                <w:szCs w:val="24"/>
              </w:rPr>
            </w:pPr>
            <w:r>
              <w:rPr>
                <w:szCs w:val="24"/>
              </w:rPr>
              <w:t>267 (8.98%)</w:t>
            </w:r>
          </w:p>
        </w:tc>
        <w:tc>
          <w:tcPr>
            <w:tcW w:w="1084" w:type="pct"/>
            <w:tcBorders>
              <w:bottom w:val="single" w:sz="4" w:space="0" w:color="auto"/>
            </w:tcBorders>
          </w:tcPr>
          <w:p w14:paraId="36D7BA64" w14:textId="1BE35A30" w:rsidR="007A39CC" w:rsidRPr="00CB1701" w:rsidRDefault="00410620" w:rsidP="007A39CC">
            <w:pPr>
              <w:jc w:val="center"/>
              <w:rPr>
                <w:szCs w:val="24"/>
              </w:rPr>
            </w:pPr>
            <w:r>
              <w:rPr>
                <w:szCs w:val="24"/>
              </w:rPr>
              <w:t>337 (9.77%)</w:t>
            </w:r>
          </w:p>
        </w:tc>
        <w:tc>
          <w:tcPr>
            <w:tcW w:w="584" w:type="pct"/>
            <w:tcBorders>
              <w:bottom w:val="single" w:sz="4" w:space="0" w:color="auto"/>
            </w:tcBorders>
          </w:tcPr>
          <w:p w14:paraId="0D166446" w14:textId="77777777" w:rsidR="007A39CC" w:rsidRPr="00CB1701" w:rsidRDefault="007A39CC" w:rsidP="007A39CC">
            <w:pPr>
              <w:jc w:val="center"/>
              <w:rPr>
                <w:szCs w:val="24"/>
              </w:rPr>
            </w:pPr>
          </w:p>
        </w:tc>
      </w:tr>
    </w:tbl>
    <w:p w14:paraId="2421C5A4" w14:textId="77777777" w:rsidR="004E483C" w:rsidRDefault="004E483C" w:rsidP="004E483C">
      <w:pPr>
        <w:jc w:val="center"/>
        <w:rPr>
          <w:i/>
          <w:sz w:val="22"/>
        </w:rPr>
      </w:pPr>
      <w:r>
        <w:rPr>
          <w:i/>
          <w:sz w:val="22"/>
        </w:rPr>
        <w:t>*: Defined as creatinine&gt;200</w:t>
      </w:r>
      <w:r w:rsidRPr="003E7ABB">
        <w:rPr>
          <w:i/>
          <w:sz w:val="22"/>
        </w:rPr>
        <w:t>µmol/</w:t>
      </w:r>
      <w:r>
        <w:rPr>
          <w:i/>
          <w:sz w:val="22"/>
        </w:rPr>
        <w:t xml:space="preserve">L or dialysis for renal failure. </w:t>
      </w:r>
    </w:p>
    <w:p w14:paraId="2BAAC56D" w14:textId="3EA7F6ED" w:rsidR="004E483C" w:rsidRDefault="004E483C" w:rsidP="004E483C">
      <w:r w:rsidRPr="002C3790">
        <w:rPr>
          <w:i/>
          <w:sz w:val="22"/>
        </w:rPr>
        <w:t>LVEF: Left Ventricular Ejection Fraction, MI: Myocardial Infarction,</w:t>
      </w:r>
      <w:r>
        <w:rPr>
          <w:i/>
          <w:sz w:val="22"/>
        </w:rPr>
        <w:t xml:space="preserve"> </w:t>
      </w:r>
      <w:r w:rsidRPr="002C3790">
        <w:rPr>
          <w:i/>
          <w:sz w:val="22"/>
        </w:rPr>
        <w:t>NYHA: New York Heart Association Functional Classification, TA: Transapical Access route, TF: Transfemoral Access Route</w:t>
      </w:r>
    </w:p>
    <w:p w14:paraId="4B1647AA" w14:textId="0AF9F3B8" w:rsidR="005A01F9" w:rsidRDefault="005A01F9" w:rsidP="000C4F01"/>
    <w:sectPr w:rsidR="005A01F9" w:rsidSect="00CB7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E3FBD" w14:textId="77777777" w:rsidR="00CD7FD2" w:rsidRDefault="00CD7FD2" w:rsidP="00FD68EE">
      <w:pPr>
        <w:spacing w:after="0" w:line="240" w:lineRule="auto"/>
      </w:pPr>
      <w:r>
        <w:separator/>
      </w:r>
    </w:p>
  </w:endnote>
  <w:endnote w:type="continuationSeparator" w:id="0">
    <w:p w14:paraId="727A14DA" w14:textId="77777777" w:rsidR="00CD7FD2" w:rsidRDefault="00CD7FD2" w:rsidP="00FD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06759"/>
      <w:docPartObj>
        <w:docPartGallery w:val="Page Numbers (Bottom of Page)"/>
        <w:docPartUnique/>
      </w:docPartObj>
    </w:sdtPr>
    <w:sdtEndPr>
      <w:rPr>
        <w:noProof/>
      </w:rPr>
    </w:sdtEndPr>
    <w:sdtContent>
      <w:p w14:paraId="6CACF792" w14:textId="164EDB01" w:rsidR="00CD7FD2" w:rsidRDefault="00CD7FD2">
        <w:pPr>
          <w:pStyle w:val="Footer"/>
          <w:jc w:val="center"/>
        </w:pPr>
        <w:r>
          <w:fldChar w:fldCharType="begin"/>
        </w:r>
        <w:r>
          <w:instrText xml:space="preserve"> PAGE   \* MERGEFORMAT </w:instrText>
        </w:r>
        <w:r>
          <w:fldChar w:fldCharType="separate"/>
        </w:r>
        <w:r w:rsidR="005B2CB4">
          <w:rPr>
            <w:noProof/>
          </w:rPr>
          <w:t>1</w:t>
        </w:r>
        <w:r>
          <w:rPr>
            <w:noProof/>
          </w:rPr>
          <w:fldChar w:fldCharType="end"/>
        </w:r>
      </w:p>
    </w:sdtContent>
  </w:sdt>
  <w:p w14:paraId="42A27F05" w14:textId="77777777" w:rsidR="00CD7FD2" w:rsidRDefault="00CD7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B2E62" w14:textId="77777777" w:rsidR="00CD7FD2" w:rsidRDefault="00CD7FD2" w:rsidP="00FD68EE">
      <w:pPr>
        <w:spacing w:after="0" w:line="240" w:lineRule="auto"/>
      </w:pPr>
      <w:r>
        <w:separator/>
      </w:r>
    </w:p>
  </w:footnote>
  <w:footnote w:type="continuationSeparator" w:id="0">
    <w:p w14:paraId="6AF9CD1B" w14:textId="77777777" w:rsidR="00CD7FD2" w:rsidRDefault="00CD7FD2" w:rsidP="00FD68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F77"/>
    <w:multiLevelType w:val="hybridMultilevel"/>
    <w:tmpl w:val="6A3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06002"/>
    <w:multiLevelType w:val="hybridMultilevel"/>
    <w:tmpl w:val="3D06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C4AEF"/>
    <w:multiLevelType w:val="hybridMultilevel"/>
    <w:tmpl w:val="D75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A43B4"/>
    <w:multiLevelType w:val="multilevel"/>
    <w:tmpl w:val="05143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42B66DC"/>
    <w:multiLevelType w:val="hybridMultilevel"/>
    <w:tmpl w:val="80BE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9847AF"/>
    <w:multiLevelType w:val="hybridMultilevel"/>
    <w:tmpl w:val="DA92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5C1DB8"/>
    <w:multiLevelType w:val="hybridMultilevel"/>
    <w:tmpl w:val="DEA8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85822"/>
    <w:multiLevelType w:val="hybridMultilevel"/>
    <w:tmpl w:val="8C02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EA2B3F"/>
    <w:multiLevelType w:val="hybridMultilevel"/>
    <w:tmpl w:val="CF323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
  </w:num>
  <w:num w:numId="9">
    <w:abstractNumId w:val="2"/>
  </w:num>
  <w:num w:numId="10">
    <w:abstractNumId w:val="8"/>
  </w:num>
  <w:num w:numId="11">
    <w:abstractNumId w:val="5"/>
  </w:num>
  <w:num w:numId="12">
    <w:abstractNumId w:val="0"/>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C6"/>
    <w:rsid w:val="000006CA"/>
    <w:rsid w:val="0000187C"/>
    <w:rsid w:val="000018F8"/>
    <w:rsid w:val="00001B56"/>
    <w:rsid w:val="00001C8A"/>
    <w:rsid w:val="00002014"/>
    <w:rsid w:val="00002FC2"/>
    <w:rsid w:val="00003669"/>
    <w:rsid w:val="0000582E"/>
    <w:rsid w:val="00005A84"/>
    <w:rsid w:val="00005D71"/>
    <w:rsid w:val="0000666C"/>
    <w:rsid w:val="00006EB9"/>
    <w:rsid w:val="00007BFE"/>
    <w:rsid w:val="00013CF7"/>
    <w:rsid w:val="00020E4C"/>
    <w:rsid w:val="000222C1"/>
    <w:rsid w:val="0002250F"/>
    <w:rsid w:val="00023C0A"/>
    <w:rsid w:val="00024A27"/>
    <w:rsid w:val="00024B15"/>
    <w:rsid w:val="000255F8"/>
    <w:rsid w:val="00027BCE"/>
    <w:rsid w:val="00027CDF"/>
    <w:rsid w:val="00031B8D"/>
    <w:rsid w:val="0003219D"/>
    <w:rsid w:val="000328FD"/>
    <w:rsid w:val="00032B3D"/>
    <w:rsid w:val="0003351D"/>
    <w:rsid w:val="0003413B"/>
    <w:rsid w:val="0003414C"/>
    <w:rsid w:val="000379AA"/>
    <w:rsid w:val="00037EFD"/>
    <w:rsid w:val="000415A8"/>
    <w:rsid w:val="00043218"/>
    <w:rsid w:val="00043BDC"/>
    <w:rsid w:val="00044160"/>
    <w:rsid w:val="00044A6C"/>
    <w:rsid w:val="0005422E"/>
    <w:rsid w:val="0005439B"/>
    <w:rsid w:val="000607EA"/>
    <w:rsid w:val="00060C7A"/>
    <w:rsid w:val="00061680"/>
    <w:rsid w:val="000647A6"/>
    <w:rsid w:val="00065C86"/>
    <w:rsid w:val="00067F80"/>
    <w:rsid w:val="00071F99"/>
    <w:rsid w:val="00073440"/>
    <w:rsid w:val="00074D12"/>
    <w:rsid w:val="0007768C"/>
    <w:rsid w:val="00080A3F"/>
    <w:rsid w:val="00082B73"/>
    <w:rsid w:val="000847B3"/>
    <w:rsid w:val="000856D7"/>
    <w:rsid w:val="00085851"/>
    <w:rsid w:val="00086C4E"/>
    <w:rsid w:val="00087878"/>
    <w:rsid w:val="000935A6"/>
    <w:rsid w:val="000A0177"/>
    <w:rsid w:val="000A0E9C"/>
    <w:rsid w:val="000A3CBB"/>
    <w:rsid w:val="000A458C"/>
    <w:rsid w:val="000A5BBC"/>
    <w:rsid w:val="000A5F38"/>
    <w:rsid w:val="000A6B3B"/>
    <w:rsid w:val="000A7FA4"/>
    <w:rsid w:val="000B0CCB"/>
    <w:rsid w:val="000B17A8"/>
    <w:rsid w:val="000B48A8"/>
    <w:rsid w:val="000B5562"/>
    <w:rsid w:val="000B73E9"/>
    <w:rsid w:val="000B7CA2"/>
    <w:rsid w:val="000C17D4"/>
    <w:rsid w:val="000C3FA4"/>
    <w:rsid w:val="000C4F01"/>
    <w:rsid w:val="000C55FF"/>
    <w:rsid w:val="000C57EA"/>
    <w:rsid w:val="000C6C49"/>
    <w:rsid w:val="000C7CB3"/>
    <w:rsid w:val="000D16E9"/>
    <w:rsid w:val="000D1D2D"/>
    <w:rsid w:val="000D57B8"/>
    <w:rsid w:val="000D774D"/>
    <w:rsid w:val="000E2C1D"/>
    <w:rsid w:val="000E31C8"/>
    <w:rsid w:val="000F0AC9"/>
    <w:rsid w:val="000F21D6"/>
    <w:rsid w:val="000F3D2D"/>
    <w:rsid w:val="000F5BCF"/>
    <w:rsid w:val="000F7B44"/>
    <w:rsid w:val="0010208C"/>
    <w:rsid w:val="0010260A"/>
    <w:rsid w:val="00104405"/>
    <w:rsid w:val="00105303"/>
    <w:rsid w:val="001106F3"/>
    <w:rsid w:val="00111E97"/>
    <w:rsid w:val="001129E5"/>
    <w:rsid w:val="001159DD"/>
    <w:rsid w:val="00117E86"/>
    <w:rsid w:val="00120210"/>
    <w:rsid w:val="00120B9C"/>
    <w:rsid w:val="00122186"/>
    <w:rsid w:val="00123F93"/>
    <w:rsid w:val="001240CE"/>
    <w:rsid w:val="001279AC"/>
    <w:rsid w:val="0013231A"/>
    <w:rsid w:val="00133FB1"/>
    <w:rsid w:val="00135CE1"/>
    <w:rsid w:val="00137C43"/>
    <w:rsid w:val="001400F7"/>
    <w:rsid w:val="00140D0A"/>
    <w:rsid w:val="001424EB"/>
    <w:rsid w:val="001431BC"/>
    <w:rsid w:val="00145B0A"/>
    <w:rsid w:val="00146B08"/>
    <w:rsid w:val="001508BF"/>
    <w:rsid w:val="001516A5"/>
    <w:rsid w:val="001542BA"/>
    <w:rsid w:val="0015551B"/>
    <w:rsid w:val="00157702"/>
    <w:rsid w:val="0016081A"/>
    <w:rsid w:val="00160E1E"/>
    <w:rsid w:val="001636CF"/>
    <w:rsid w:val="00163DC3"/>
    <w:rsid w:val="0016451E"/>
    <w:rsid w:val="0016517E"/>
    <w:rsid w:val="00165ACA"/>
    <w:rsid w:val="00167322"/>
    <w:rsid w:val="0017016F"/>
    <w:rsid w:val="00171842"/>
    <w:rsid w:val="0017678A"/>
    <w:rsid w:val="00176B04"/>
    <w:rsid w:val="00181401"/>
    <w:rsid w:val="001827B0"/>
    <w:rsid w:val="00182ABF"/>
    <w:rsid w:val="0018679C"/>
    <w:rsid w:val="00187242"/>
    <w:rsid w:val="0019059A"/>
    <w:rsid w:val="00191C08"/>
    <w:rsid w:val="0019225A"/>
    <w:rsid w:val="0019348A"/>
    <w:rsid w:val="001951D3"/>
    <w:rsid w:val="00196716"/>
    <w:rsid w:val="00196F0F"/>
    <w:rsid w:val="001971BF"/>
    <w:rsid w:val="001A104B"/>
    <w:rsid w:val="001A290A"/>
    <w:rsid w:val="001A3CEB"/>
    <w:rsid w:val="001A6D02"/>
    <w:rsid w:val="001A77DA"/>
    <w:rsid w:val="001B0C30"/>
    <w:rsid w:val="001B0CE4"/>
    <w:rsid w:val="001B3A91"/>
    <w:rsid w:val="001B46D3"/>
    <w:rsid w:val="001B588E"/>
    <w:rsid w:val="001B6153"/>
    <w:rsid w:val="001B703E"/>
    <w:rsid w:val="001C1649"/>
    <w:rsid w:val="001C4B4A"/>
    <w:rsid w:val="001C4D3B"/>
    <w:rsid w:val="001C5D0B"/>
    <w:rsid w:val="001C7CF1"/>
    <w:rsid w:val="001D39A3"/>
    <w:rsid w:val="001D58A3"/>
    <w:rsid w:val="001D6211"/>
    <w:rsid w:val="001D7CF4"/>
    <w:rsid w:val="001E23A2"/>
    <w:rsid w:val="001E2BA6"/>
    <w:rsid w:val="001E2EDC"/>
    <w:rsid w:val="001E3E7C"/>
    <w:rsid w:val="001E4137"/>
    <w:rsid w:val="001E5D44"/>
    <w:rsid w:val="001E673E"/>
    <w:rsid w:val="001E6E3A"/>
    <w:rsid w:val="001F0A08"/>
    <w:rsid w:val="001F0EDC"/>
    <w:rsid w:val="001F2415"/>
    <w:rsid w:val="001F4A3F"/>
    <w:rsid w:val="001F533B"/>
    <w:rsid w:val="001F59E3"/>
    <w:rsid w:val="002012B8"/>
    <w:rsid w:val="00201B53"/>
    <w:rsid w:val="002021C7"/>
    <w:rsid w:val="00207B4E"/>
    <w:rsid w:val="002110E2"/>
    <w:rsid w:val="00211344"/>
    <w:rsid w:val="002113E3"/>
    <w:rsid w:val="00211F07"/>
    <w:rsid w:val="002132AF"/>
    <w:rsid w:val="002132D4"/>
    <w:rsid w:val="00214B8A"/>
    <w:rsid w:val="00215265"/>
    <w:rsid w:val="00215759"/>
    <w:rsid w:val="00215C54"/>
    <w:rsid w:val="00216928"/>
    <w:rsid w:val="00216AA8"/>
    <w:rsid w:val="00217BF8"/>
    <w:rsid w:val="00220F37"/>
    <w:rsid w:val="002237E8"/>
    <w:rsid w:val="002244FB"/>
    <w:rsid w:val="00224F4E"/>
    <w:rsid w:val="00231636"/>
    <w:rsid w:val="002316F0"/>
    <w:rsid w:val="00232366"/>
    <w:rsid w:val="00233A47"/>
    <w:rsid w:val="002417EB"/>
    <w:rsid w:val="0024450F"/>
    <w:rsid w:val="00247878"/>
    <w:rsid w:val="002510EF"/>
    <w:rsid w:val="0025408E"/>
    <w:rsid w:val="0025495F"/>
    <w:rsid w:val="002579DD"/>
    <w:rsid w:val="002612B5"/>
    <w:rsid w:val="002616E4"/>
    <w:rsid w:val="00262867"/>
    <w:rsid w:val="002664B3"/>
    <w:rsid w:val="00266526"/>
    <w:rsid w:val="0026722F"/>
    <w:rsid w:val="00267564"/>
    <w:rsid w:val="002701D3"/>
    <w:rsid w:val="00270267"/>
    <w:rsid w:val="00272664"/>
    <w:rsid w:val="002749EF"/>
    <w:rsid w:val="00275DF1"/>
    <w:rsid w:val="002801A4"/>
    <w:rsid w:val="0028166A"/>
    <w:rsid w:val="00281704"/>
    <w:rsid w:val="00283960"/>
    <w:rsid w:val="002868D1"/>
    <w:rsid w:val="00287190"/>
    <w:rsid w:val="002875C6"/>
    <w:rsid w:val="00294EEB"/>
    <w:rsid w:val="00296298"/>
    <w:rsid w:val="00297706"/>
    <w:rsid w:val="002A0D03"/>
    <w:rsid w:val="002A189E"/>
    <w:rsid w:val="002A48E6"/>
    <w:rsid w:val="002A6073"/>
    <w:rsid w:val="002B0886"/>
    <w:rsid w:val="002B1054"/>
    <w:rsid w:val="002B130B"/>
    <w:rsid w:val="002B5850"/>
    <w:rsid w:val="002B7D06"/>
    <w:rsid w:val="002C1C15"/>
    <w:rsid w:val="002C28E8"/>
    <w:rsid w:val="002C5829"/>
    <w:rsid w:val="002C5874"/>
    <w:rsid w:val="002C7CE1"/>
    <w:rsid w:val="002D1C25"/>
    <w:rsid w:val="002D2268"/>
    <w:rsid w:val="002D26E4"/>
    <w:rsid w:val="002D2944"/>
    <w:rsid w:val="002D3913"/>
    <w:rsid w:val="002D3E57"/>
    <w:rsid w:val="002D528A"/>
    <w:rsid w:val="002E1F42"/>
    <w:rsid w:val="002E3214"/>
    <w:rsid w:val="002E5657"/>
    <w:rsid w:val="002E7A51"/>
    <w:rsid w:val="002F1F1B"/>
    <w:rsid w:val="002F4CD2"/>
    <w:rsid w:val="002F4E64"/>
    <w:rsid w:val="002F66C0"/>
    <w:rsid w:val="00301468"/>
    <w:rsid w:val="0030159E"/>
    <w:rsid w:val="00302580"/>
    <w:rsid w:val="00305390"/>
    <w:rsid w:val="00307303"/>
    <w:rsid w:val="00307FDE"/>
    <w:rsid w:val="0031013D"/>
    <w:rsid w:val="00312692"/>
    <w:rsid w:val="00313098"/>
    <w:rsid w:val="0031339C"/>
    <w:rsid w:val="0031682C"/>
    <w:rsid w:val="0031709D"/>
    <w:rsid w:val="0031798A"/>
    <w:rsid w:val="00325C5E"/>
    <w:rsid w:val="00330B1E"/>
    <w:rsid w:val="00331D0B"/>
    <w:rsid w:val="00333FAE"/>
    <w:rsid w:val="003356AA"/>
    <w:rsid w:val="0034046F"/>
    <w:rsid w:val="003428D6"/>
    <w:rsid w:val="003431EA"/>
    <w:rsid w:val="003443F7"/>
    <w:rsid w:val="003453A2"/>
    <w:rsid w:val="00345D92"/>
    <w:rsid w:val="00345DF1"/>
    <w:rsid w:val="00351A36"/>
    <w:rsid w:val="00354DA9"/>
    <w:rsid w:val="003563F2"/>
    <w:rsid w:val="00357530"/>
    <w:rsid w:val="00357BB2"/>
    <w:rsid w:val="003602F5"/>
    <w:rsid w:val="00361696"/>
    <w:rsid w:val="00361A54"/>
    <w:rsid w:val="00362426"/>
    <w:rsid w:val="00362D25"/>
    <w:rsid w:val="00363F98"/>
    <w:rsid w:val="003648C0"/>
    <w:rsid w:val="00365E28"/>
    <w:rsid w:val="00366C8A"/>
    <w:rsid w:val="00370AF3"/>
    <w:rsid w:val="00371061"/>
    <w:rsid w:val="003721EF"/>
    <w:rsid w:val="003729FB"/>
    <w:rsid w:val="00372F4C"/>
    <w:rsid w:val="003756B7"/>
    <w:rsid w:val="003766AE"/>
    <w:rsid w:val="00377F52"/>
    <w:rsid w:val="00385268"/>
    <w:rsid w:val="00387C03"/>
    <w:rsid w:val="00390893"/>
    <w:rsid w:val="00391928"/>
    <w:rsid w:val="0039230F"/>
    <w:rsid w:val="00392F14"/>
    <w:rsid w:val="00393BC6"/>
    <w:rsid w:val="003944DC"/>
    <w:rsid w:val="0039567B"/>
    <w:rsid w:val="0039606B"/>
    <w:rsid w:val="003A1D2C"/>
    <w:rsid w:val="003A2439"/>
    <w:rsid w:val="003A4C6F"/>
    <w:rsid w:val="003A639E"/>
    <w:rsid w:val="003A65E3"/>
    <w:rsid w:val="003B1418"/>
    <w:rsid w:val="003B3959"/>
    <w:rsid w:val="003C1CDE"/>
    <w:rsid w:val="003C41D1"/>
    <w:rsid w:val="003C61D8"/>
    <w:rsid w:val="003C6D84"/>
    <w:rsid w:val="003C7E37"/>
    <w:rsid w:val="003D13F2"/>
    <w:rsid w:val="003D1D64"/>
    <w:rsid w:val="003D344C"/>
    <w:rsid w:val="003E3172"/>
    <w:rsid w:val="003E4615"/>
    <w:rsid w:val="003E58D9"/>
    <w:rsid w:val="003E6357"/>
    <w:rsid w:val="003E710E"/>
    <w:rsid w:val="003E7ABB"/>
    <w:rsid w:val="003E7B2A"/>
    <w:rsid w:val="003E7B68"/>
    <w:rsid w:val="003F1BC1"/>
    <w:rsid w:val="003F1D96"/>
    <w:rsid w:val="003F225A"/>
    <w:rsid w:val="003F2723"/>
    <w:rsid w:val="003F2DD2"/>
    <w:rsid w:val="003F2FA9"/>
    <w:rsid w:val="003F40E4"/>
    <w:rsid w:val="003F45A5"/>
    <w:rsid w:val="003F50B5"/>
    <w:rsid w:val="003F607C"/>
    <w:rsid w:val="003F7575"/>
    <w:rsid w:val="0040194A"/>
    <w:rsid w:val="00403DA0"/>
    <w:rsid w:val="00407A9D"/>
    <w:rsid w:val="00410620"/>
    <w:rsid w:val="0041367B"/>
    <w:rsid w:val="0041479C"/>
    <w:rsid w:val="0041492F"/>
    <w:rsid w:val="00417CBB"/>
    <w:rsid w:val="004210CB"/>
    <w:rsid w:val="0042148F"/>
    <w:rsid w:val="00422033"/>
    <w:rsid w:val="0042239E"/>
    <w:rsid w:val="00422B2B"/>
    <w:rsid w:val="00430974"/>
    <w:rsid w:val="00430B98"/>
    <w:rsid w:val="004321F0"/>
    <w:rsid w:val="0043253E"/>
    <w:rsid w:val="0043367E"/>
    <w:rsid w:val="0043388F"/>
    <w:rsid w:val="004357FC"/>
    <w:rsid w:val="00441DB6"/>
    <w:rsid w:val="00442E7F"/>
    <w:rsid w:val="00443F1B"/>
    <w:rsid w:val="00443F47"/>
    <w:rsid w:val="004440E5"/>
    <w:rsid w:val="00444D12"/>
    <w:rsid w:val="00446055"/>
    <w:rsid w:val="00447E58"/>
    <w:rsid w:val="00451789"/>
    <w:rsid w:val="00451E76"/>
    <w:rsid w:val="00451FC1"/>
    <w:rsid w:val="00454AB1"/>
    <w:rsid w:val="00454C13"/>
    <w:rsid w:val="00455B9B"/>
    <w:rsid w:val="00455BD0"/>
    <w:rsid w:val="004563D8"/>
    <w:rsid w:val="0045641C"/>
    <w:rsid w:val="00456FF8"/>
    <w:rsid w:val="00457087"/>
    <w:rsid w:val="00457C07"/>
    <w:rsid w:val="00457C26"/>
    <w:rsid w:val="00460B2D"/>
    <w:rsid w:val="0046214F"/>
    <w:rsid w:val="00462E10"/>
    <w:rsid w:val="004645AE"/>
    <w:rsid w:val="00465753"/>
    <w:rsid w:val="004676F4"/>
    <w:rsid w:val="004710FF"/>
    <w:rsid w:val="00471FD4"/>
    <w:rsid w:val="004726BB"/>
    <w:rsid w:val="00473090"/>
    <w:rsid w:val="00473A94"/>
    <w:rsid w:val="004749C4"/>
    <w:rsid w:val="0047545C"/>
    <w:rsid w:val="00475633"/>
    <w:rsid w:val="00476EFD"/>
    <w:rsid w:val="004809D3"/>
    <w:rsid w:val="004814A0"/>
    <w:rsid w:val="0048161A"/>
    <w:rsid w:val="004859E0"/>
    <w:rsid w:val="00491723"/>
    <w:rsid w:val="00492548"/>
    <w:rsid w:val="004927A8"/>
    <w:rsid w:val="004968E4"/>
    <w:rsid w:val="004A04A3"/>
    <w:rsid w:val="004A06B4"/>
    <w:rsid w:val="004A4D64"/>
    <w:rsid w:val="004B1C75"/>
    <w:rsid w:val="004B258C"/>
    <w:rsid w:val="004B3225"/>
    <w:rsid w:val="004B34CD"/>
    <w:rsid w:val="004B489D"/>
    <w:rsid w:val="004B511E"/>
    <w:rsid w:val="004B5799"/>
    <w:rsid w:val="004B627D"/>
    <w:rsid w:val="004C24B9"/>
    <w:rsid w:val="004C28BD"/>
    <w:rsid w:val="004C4683"/>
    <w:rsid w:val="004D087A"/>
    <w:rsid w:val="004D0E5B"/>
    <w:rsid w:val="004D1AEE"/>
    <w:rsid w:val="004D2C76"/>
    <w:rsid w:val="004D43A4"/>
    <w:rsid w:val="004D5B86"/>
    <w:rsid w:val="004D65CF"/>
    <w:rsid w:val="004D6CAB"/>
    <w:rsid w:val="004E0FF1"/>
    <w:rsid w:val="004E271D"/>
    <w:rsid w:val="004E3277"/>
    <w:rsid w:val="004E483C"/>
    <w:rsid w:val="004E7D3B"/>
    <w:rsid w:val="004F15DD"/>
    <w:rsid w:val="004F24C7"/>
    <w:rsid w:val="004F25C9"/>
    <w:rsid w:val="004F30A2"/>
    <w:rsid w:val="004F3A4C"/>
    <w:rsid w:val="004F5043"/>
    <w:rsid w:val="004F7A1B"/>
    <w:rsid w:val="00500013"/>
    <w:rsid w:val="0050171E"/>
    <w:rsid w:val="00502F04"/>
    <w:rsid w:val="00504C27"/>
    <w:rsid w:val="00505063"/>
    <w:rsid w:val="005050C3"/>
    <w:rsid w:val="0051533E"/>
    <w:rsid w:val="005154C9"/>
    <w:rsid w:val="00516984"/>
    <w:rsid w:val="00516E1C"/>
    <w:rsid w:val="00517221"/>
    <w:rsid w:val="00517AF3"/>
    <w:rsid w:val="0052170F"/>
    <w:rsid w:val="00521FFE"/>
    <w:rsid w:val="00522621"/>
    <w:rsid w:val="0052335F"/>
    <w:rsid w:val="00525201"/>
    <w:rsid w:val="00525A2F"/>
    <w:rsid w:val="00530D54"/>
    <w:rsid w:val="00531040"/>
    <w:rsid w:val="00533CF3"/>
    <w:rsid w:val="00535795"/>
    <w:rsid w:val="00536897"/>
    <w:rsid w:val="00536AEA"/>
    <w:rsid w:val="00537553"/>
    <w:rsid w:val="00537C51"/>
    <w:rsid w:val="005439CA"/>
    <w:rsid w:val="00544C04"/>
    <w:rsid w:val="005479B6"/>
    <w:rsid w:val="00550EFA"/>
    <w:rsid w:val="00550F83"/>
    <w:rsid w:val="0056220E"/>
    <w:rsid w:val="0056309F"/>
    <w:rsid w:val="00564B7B"/>
    <w:rsid w:val="0056542D"/>
    <w:rsid w:val="005655D8"/>
    <w:rsid w:val="00565EF8"/>
    <w:rsid w:val="0056657E"/>
    <w:rsid w:val="00567A83"/>
    <w:rsid w:val="00567C8C"/>
    <w:rsid w:val="00567D71"/>
    <w:rsid w:val="00572B8E"/>
    <w:rsid w:val="0057436F"/>
    <w:rsid w:val="00574633"/>
    <w:rsid w:val="00574B37"/>
    <w:rsid w:val="00576D7F"/>
    <w:rsid w:val="00576EE6"/>
    <w:rsid w:val="005774B8"/>
    <w:rsid w:val="0058236B"/>
    <w:rsid w:val="00582CFE"/>
    <w:rsid w:val="005853B6"/>
    <w:rsid w:val="0058707A"/>
    <w:rsid w:val="00587BBF"/>
    <w:rsid w:val="00590772"/>
    <w:rsid w:val="005942D3"/>
    <w:rsid w:val="00594B15"/>
    <w:rsid w:val="005951C0"/>
    <w:rsid w:val="005A01F9"/>
    <w:rsid w:val="005A0B21"/>
    <w:rsid w:val="005A0FAD"/>
    <w:rsid w:val="005A169A"/>
    <w:rsid w:val="005A2255"/>
    <w:rsid w:val="005A2D2B"/>
    <w:rsid w:val="005A31A6"/>
    <w:rsid w:val="005A3B1C"/>
    <w:rsid w:val="005A3D2F"/>
    <w:rsid w:val="005A4463"/>
    <w:rsid w:val="005B1434"/>
    <w:rsid w:val="005B28A3"/>
    <w:rsid w:val="005B2CB4"/>
    <w:rsid w:val="005B5655"/>
    <w:rsid w:val="005C050B"/>
    <w:rsid w:val="005C38B2"/>
    <w:rsid w:val="005D0199"/>
    <w:rsid w:val="005D033B"/>
    <w:rsid w:val="005D4D78"/>
    <w:rsid w:val="005D6B7A"/>
    <w:rsid w:val="005E1B09"/>
    <w:rsid w:val="005E1B16"/>
    <w:rsid w:val="005E67F9"/>
    <w:rsid w:val="005E6D35"/>
    <w:rsid w:val="005E6E08"/>
    <w:rsid w:val="005E7068"/>
    <w:rsid w:val="005E7B7E"/>
    <w:rsid w:val="005E7D47"/>
    <w:rsid w:val="005F23CB"/>
    <w:rsid w:val="005F3A76"/>
    <w:rsid w:val="005F3D9C"/>
    <w:rsid w:val="00602D79"/>
    <w:rsid w:val="00602DA7"/>
    <w:rsid w:val="00606161"/>
    <w:rsid w:val="0061178D"/>
    <w:rsid w:val="00611FED"/>
    <w:rsid w:val="006130CA"/>
    <w:rsid w:val="006163AA"/>
    <w:rsid w:val="006272B0"/>
    <w:rsid w:val="006362AF"/>
    <w:rsid w:val="00641CA5"/>
    <w:rsid w:val="006430F1"/>
    <w:rsid w:val="00643AB4"/>
    <w:rsid w:val="00643B21"/>
    <w:rsid w:val="00645C4C"/>
    <w:rsid w:val="00646B8B"/>
    <w:rsid w:val="00647264"/>
    <w:rsid w:val="00647623"/>
    <w:rsid w:val="006529BE"/>
    <w:rsid w:val="00652A31"/>
    <w:rsid w:val="00655A3A"/>
    <w:rsid w:val="00662B36"/>
    <w:rsid w:val="00663B43"/>
    <w:rsid w:val="00663DBE"/>
    <w:rsid w:val="00665A28"/>
    <w:rsid w:val="006666EE"/>
    <w:rsid w:val="00670A5E"/>
    <w:rsid w:val="00672497"/>
    <w:rsid w:val="00677386"/>
    <w:rsid w:val="00682E0F"/>
    <w:rsid w:val="00682E76"/>
    <w:rsid w:val="00682E88"/>
    <w:rsid w:val="00684C0C"/>
    <w:rsid w:val="006853BA"/>
    <w:rsid w:val="00687D46"/>
    <w:rsid w:val="00692D74"/>
    <w:rsid w:val="00694636"/>
    <w:rsid w:val="0069496A"/>
    <w:rsid w:val="00694D30"/>
    <w:rsid w:val="006A0346"/>
    <w:rsid w:val="006A49BF"/>
    <w:rsid w:val="006A64D9"/>
    <w:rsid w:val="006A65BB"/>
    <w:rsid w:val="006B17F6"/>
    <w:rsid w:val="006B1CA2"/>
    <w:rsid w:val="006B3F9E"/>
    <w:rsid w:val="006B4174"/>
    <w:rsid w:val="006B6359"/>
    <w:rsid w:val="006B65A4"/>
    <w:rsid w:val="006C0BB9"/>
    <w:rsid w:val="006C1276"/>
    <w:rsid w:val="006C3A27"/>
    <w:rsid w:val="006C4056"/>
    <w:rsid w:val="006C5D7A"/>
    <w:rsid w:val="006C6620"/>
    <w:rsid w:val="006C6ACC"/>
    <w:rsid w:val="006D366F"/>
    <w:rsid w:val="006D4980"/>
    <w:rsid w:val="006D5AD7"/>
    <w:rsid w:val="006D5DD0"/>
    <w:rsid w:val="006D5ECE"/>
    <w:rsid w:val="006D6543"/>
    <w:rsid w:val="006D77FD"/>
    <w:rsid w:val="006E1434"/>
    <w:rsid w:val="006E21B6"/>
    <w:rsid w:val="006E77D8"/>
    <w:rsid w:val="006E7FDA"/>
    <w:rsid w:val="006F2FCE"/>
    <w:rsid w:val="006F3663"/>
    <w:rsid w:val="006F3FED"/>
    <w:rsid w:val="006F45A7"/>
    <w:rsid w:val="006F781B"/>
    <w:rsid w:val="007015BF"/>
    <w:rsid w:val="00704FC7"/>
    <w:rsid w:val="0070501A"/>
    <w:rsid w:val="007057B3"/>
    <w:rsid w:val="007078B7"/>
    <w:rsid w:val="007108B7"/>
    <w:rsid w:val="007116DE"/>
    <w:rsid w:val="007138B8"/>
    <w:rsid w:val="00714524"/>
    <w:rsid w:val="00714B2A"/>
    <w:rsid w:val="007169D4"/>
    <w:rsid w:val="007170AA"/>
    <w:rsid w:val="00717DB3"/>
    <w:rsid w:val="00720B50"/>
    <w:rsid w:val="00720C04"/>
    <w:rsid w:val="00722E2F"/>
    <w:rsid w:val="00726056"/>
    <w:rsid w:val="00727BB9"/>
    <w:rsid w:val="00730C59"/>
    <w:rsid w:val="007311A4"/>
    <w:rsid w:val="00731907"/>
    <w:rsid w:val="007326AF"/>
    <w:rsid w:val="007344BA"/>
    <w:rsid w:val="00734A48"/>
    <w:rsid w:val="007377B3"/>
    <w:rsid w:val="00740869"/>
    <w:rsid w:val="00741B02"/>
    <w:rsid w:val="00741C26"/>
    <w:rsid w:val="00743719"/>
    <w:rsid w:val="00744092"/>
    <w:rsid w:val="00747F2A"/>
    <w:rsid w:val="00750673"/>
    <w:rsid w:val="00751210"/>
    <w:rsid w:val="007548C7"/>
    <w:rsid w:val="00754B91"/>
    <w:rsid w:val="0075589D"/>
    <w:rsid w:val="00755F09"/>
    <w:rsid w:val="00757764"/>
    <w:rsid w:val="00761EE5"/>
    <w:rsid w:val="00762646"/>
    <w:rsid w:val="007663AB"/>
    <w:rsid w:val="00766446"/>
    <w:rsid w:val="00766853"/>
    <w:rsid w:val="00766D9D"/>
    <w:rsid w:val="00767D7D"/>
    <w:rsid w:val="0077021B"/>
    <w:rsid w:val="0077036B"/>
    <w:rsid w:val="00770733"/>
    <w:rsid w:val="00771B72"/>
    <w:rsid w:val="00771EE3"/>
    <w:rsid w:val="0077450D"/>
    <w:rsid w:val="0077727F"/>
    <w:rsid w:val="00777CF5"/>
    <w:rsid w:val="00781CD9"/>
    <w:rsid w:val="00781E36"/>
    <w:rsid w:val="00783714"/>
    <w:rsid w:val="00787693"/>
    <w:rsid w:val="00790DDB"/>
    <w:rsid w:val="007910C2"/>
    <w:rsid w:val="00794961"/>
    <w:rsid w:val="00795F86"/>
    <w:rsid w:val="0079624C"/>
    <w:rsid w:val="00797C78"/>
    <w:rsid w:val="007A22B3"/>
    <w:rsid w:val="007A39CC"/>
    <w:rsid w:val="007A4893"/>
    <w:rsid w:val="007B1946"/>
    <w:rsid w:val="007B3978"/>
    <w:rsid w:val="007B460E"/>
    <w:rsid w:val="007B4DBC"/>
    <w:rsid w:val="007B4F36"/>
    <w:rsid w:val="007B6F05"/>
    <w:rsid w:val="007C0FB2"/>
    <w:rsid w:val="007C15F4"/>
    <w:rsid w:val="007C3893"/>
    <w:rsid w:val="007C6A3C"/>
    <w:rsid w:val="007D5262"/>
    <w:rsid w:val="007D66D9"/>
    <w:rsid w:val="007D6B48"/>
    <w:rsid w:val="007D6B4B"/>
    <w:rsid w:val="007E0DE0"/>
    <w:rsid w:val="007E3C4D"/>
    <w:rsid w:val="007E4D36"/>
    <w:rsid w:val="007E6792"/>
    <w:rsid w:val="007E7F11"/>
    <w:rsid w:val="007F0014"/>
    <w:rsid w:val="007F1191"/>
    <w:rsid w:val="007F16CE"/>
    <w:rsid w:val="007F19C3"/>
    <w:rsid w:val="007F42E3"/>
    <w:rsid w:val="007F572D"/>
    <w:rsid w:val="00800BC2"/>
    <w:rsid w:val="00801605"/>
    <w:rsid w:val="00801D63"/>
    <w:rsid w:val="00804368"/>
    <w:rsid w:val="00804808"/>
    <w:rsid w:val="00811080"/>
    <w:rsid w:val="00811D11"/>
    <w:rsid w:val="008124F5"/>
    <w:rsid w:val="00812969"/>
    <w:rsid w:val="008141B9"/>
    <w:rsid w:val="008145D7"/>
    <w:rsid w:val="0081573F"/>
    <w:rsid w:val="00816296"/>
    <w:rsid w:val="0081667B"/>
    <w:rsid w:val="00817020"/>
    <w:rsid w:val="008223AD"/>
    <w:rsid w:val="008271C1"/>
    <w:rsid w:val="00827FDA"/>
    <w:rsid w:val="008306DA"/>
    <w:rsid w:val="008341A0"/>
    <w:rsid w:val="00836917"/>
    <w:rsid w:val="0083695B"/>
    <w:rsid w:val="00841E13"/>
    <w:rsid w:val="00842430"/>
    <w:rsid w:val="00844AD6"/>
    <w:rsid w:val="008452B6"/>
    <w:rsid w:val="00846318"/>
    <w:rsid w:val="00846D64"/>
    <w:rsid w:val="00851FC7"/>
    <w:rsid w:val="00854F3E"/>
    <w:rsid w:val="00861FA2"/>
    <w:rsid w:val="00864377"/>
    <w:rsid w:val="00864A53"/>
    <w:rsid w:val="00865E47"/>
    <w:rsid w:val="00867E75"/>
    <w:rsid w:val="00870B3C"/>
    <w:rsid w:val="00872686"/>
    <w:rsid w:val="008726E9"/>
    <w:rsid w:val="00872B2C"/>
    <w:rsid w:val="00874D49"/>
    <w:rsid w:val="00876E7E"/>
    <w:rsid w:val="0088092F"/>
    <w:rsid w:val="00880E36"/>
    <w:rsid w:val="0088237C"/>
    <w:rsid w:val="008828DE"/>
    <w:rsid w:val="0088576B"/>
    <w:rsid w:val="00886A30"/>
    <w:rsid w:val="00887510"/>
    <w:rsid w:val="00891BE4"/>
    <w:rsid w:val="008926B1"/>
    <w:rsid w:val="0089271C"/>
    <w:rsid w:val="00894D19"/>
    <w:rsid w:val="008962C8"/>
    <w:rsid w:val="00896514"/>
    <w:rsid w:val="008A0214"/>
    <w:rsid w:val="008A48F0"/>
    <w:rsid w:val="008A521D"/>
    <w:rsid w:val="008A571C"/>
    <w:rsid w:val="008B17C1"/>
    <w:rsid w:val="008B2B4D"/>
    <w:rsid w:val="008B6856"/>
    <w:rsid w:val="008B7430"/>
    <w:rsid w:val="008C0BBE"/>
    <w:rsid w:val="008C137F"/>
    <w:rsid w:val="008C322F"/>
    <w:rsid w:val="008D1C4F"/>
    <w:rsid w:val="008D418C"/>
    <w:rsid w:val="008D5AFE"/>
    <w:rsid w:val="008D6303"/>
    <w:rsid w:val="008D7E47"/>
    <w:rsid w:val="008E1871"/>
    <w:rsid w:val="008E36E3"/>
    <w:rsid w:val="008E3C5A"/>
    <w:rsid w:val="008E44DE"/>
    <w:rsid w:val="008E59EA"/>
    <w:rsid w:val="008F0B2B"/>
    <w:rsid w:val="008F1E1D"/>
    <w:rsid w:val="008F2B2C"/>
    <w:rsid w:val="008F6EB4"/>
    <w:rsid w:val="008F7840"/>
    <w:rsid w:val="009038BC"/>
    <w:rsid w:val="00910018"/>
    <w:rsid w:val="009102F2"/>
    <w:rsid w:val="00910A64"/>
    <w:rsid w:val="00910F14"/>
    <w:rsid w:val="00922CDB"/>
    <w:rsid w:val="009270BB"/>
    <w:rsid w:val="00932F23"/>
    <w:rsid w:val="00934694"/>
    <w:rsid w:val="009348EB"/>
    <w:rsid w:val="009358DA"/>
    <w:rsid w:val="00935FA6"/>
    <w:rsid w:val="009455D0"/>
    <w:rsid w:val="00945634"/>
    <w:rsid w:val="00946E76"/>
    <w:rsid w:val="00946EBE"/>
    <w:rsid w:val="00952352"/>
    <w:rsid w:val="00953D61"/>
    <w:rsid w:val="0095550E"/>
    <w:rsid w:val="009573F6"/>
    <w:rsid w:val="00957F11"/>
    <w:rsid w:val="00960695"/>
    <w:rsid w:val="00961769"/>
    <w:rsid w:val="00961A93"/>
    <w:rsid w:val="0096265B"/>
    <w:rsid w:val="00962A21"/>
    <w:rsid w:val="009659C1"/>
    <w:rsid w:val="00967400"/>
    <w:rsid w:val="0097088F"/>
    <w:rsid w:val="00971570"/>
    <w:rsid w:val="0097327E"/>
    <w:rsid w:val="00973512"/>
    <w:rsid w:val="00974B10"/>
    <w:rsid w:val="0097657D"/>
    <w:rsid w:val="0097695C"/>
    <w:rsid w:val="0097708B"/>
    <w:rsid w:val="009828A4"/>
    <w:rsid w:val="00984616"/>
    <w:rsid w:val="00985638"/>
    <w:rsid w:val="00986668"/>
    <w:rsid w:val="00987E7F"/>
    <w:rsid w:val="0099210A"/>
    <w:rsid w:val="00993D6A"/>
    <w:rsid w:val="009946BF"/>
    <w:rsid w:val="0099721B"/>
    <w:rsid w:val="009A251A"/>
    <w:rsid w:val="009A5721"/>
    <w:rsid w:val="009A63AA"/>
    <w:rsid w:val="009A7479"/>
    <w:rsid w:val="009B0553"/>
    <w:rsid w:val="009B1162"/>
    <w:rsid w:val="009C0A0B"/>
    <w:rsid w:val="009C1584"/>
    <w:rsid w:val="009C348C"/>
    <w:rsid w:val="009C353F"/>
    <w:rsid w:val="009C777C"/>
    <w:rsid w:val="009C7E61"/>
    <w:rsid w:val="009D2BC4"/>
    <w:rsid w:val="009D4FAE"/>
    <w:rsid w:val="009D5C6E"/>
    <w:rsid w:val="009E07EE"/>
    <w:rsid w:val="009E23AE"/>
    <w:rsid w:val="009E3763"/>
    <w:rsid w:val="009E6A19"/>
    <w:rsid w:val="009E6EEB"/>
    <w:rsid w:val="009E7F4D"/>
    <w:rsid w:val="009F441B"/>
    <w:rsid w:val="009F6233"/>
    <w:rsid w:val="00A00B45"/>
    <w:rsid w:val="00A039A1"/>
    <w:rsid w:val="00A03A05"/>
    <w:rsid w:val="00A03DDE"/>
    <w:rsid w:val="00A05384"/>
    <w:rsid w:val="00A071E1"/>
    <w:rsid w:val="00A1133E"/>
    <w:rsid w:val="00A1250D"/>
    <w:rsid w:val="00A137B4"/>
    <w:rsid w:val="00A16871"/>
    <w:rsid w:val="00A201BE"/>
    <w:rsid w:val="00A208A7"/>
    <w:rsid w:val="00A20E12"/>
    <w:rsid w:val="00A21355"/>
    <w:rsid w:val="00A2186E"/>
    <w:rsid w:val="00A23861"/>
    <w:rsid w:val="00A25071"/>
    <w:rsid w:val="00A256A0"/>
    <w:rsid w:val="00A259AA"/>
    <w:rsid w:val="00A25D65"/>
    <w:rsid w:val="00A31413"/>
    <w:rsid w:val="00A352E7"/>
    <w:rsid w:val="00A35B4A"/>
    <w:rsid w:val="00A37203"/>
    <w:rsid w:val="00A42846"/>
    <w:rsid w:val="00A47B07"/>
    <w:rsid w:val="00A50D59"/>
    <w:rsid w:val="00A50E94"/>
    <w:rsid w:val="00A52DF1"/>
    <w:rsid w:val="00A52E44"/>
    <w:rsid w:val="00A547D7"/>
    <w:rsid w:val="00A54C81"/>
    <w:rsid w:val="00A56213"/>
    <w:rsid w:val="00A57EB5"/>
    <w:rsid w:val="00A6075D"/>
    <w:rsid w:val="00A618A7"/>
    <w:rsid w:val="00A6438A"/>
    <w:rsid w:val="00A7086C"/>
    <w:rsid w:val="00A73BBC"/>
    <w:rsid w:val="00A805B1"/>
    <w:rsid w:val="00A82479"/>
    <w:rsid w:val="00A844DB"/>
    <w:rsid w:val="00A852B9"/>
    <w:rsid w:val="00A929FC"/>
    <w:rsid w:val="00A95AC6"/>
    <w:rsid w:val="00A978B3"/>
    <w:rsid w:val="00AA18CA"/>
    <w:rsid w:val="00AA7533"/>
    <w:rsid w:val="00AB1BFD"/>
    <w:rsid w:val="00AB3634"/>
    <w:rsid w:val="00AB3EE8"/>
    <w:rsid w:val="00AB451B"/>
    <w:rsid w:val="00AB55ED"/>
    <w:rsid w:val="00AB599F"/>
    <w:rsid w:val="00AB6FAC"/>
    <w:rsid w:val="00AC1C00"/>
    <w:rsid w:val="00AC32F9"/>
    <w:rsid w:val="00AC6940"/>
    <w:rsid w:val="00AD482B"/>
    <w:rsid w:val="00AD6E0A"/>
    <w:rsid w:val="00AD76B1"/>
    <w:rsid w:val="00AE050A"/>
    <w:rsid w:val="00AE1293"/>
    <w:rsid w:val="00AE18E8"/>
    <w:rsid w:val="00AE2A3D"/>
    <w:rsid w:val="00AE36F3"/>
    <w:rsid w:val="00AE4DC5"/>
    <w:rsid w:val="00AE5B79"/>
    <w:rsid w:val="00AE797E"/>
    <w:rsid w:val="00AF0592"/>
    <w:rsid w:val="00AF0873"/>
    <w:rsid w:val="00AF3E58"/>
    <w:rsid w:val="00AF3F55"/>
    <w:rsid w:val="00AF4FB2"/>
    <w:rsid w:val="00AF686A"/>
    <w:rsid w:val="00AF6C3D"/>
    <w:rsid w:val="00B0022E"/>
    <w:rsid w:val="00B01740"/>
    <w:rsid w:val="00B02524"/>
    <w:rsid w:val="00B02D1D"/>
    <w:rsid w:val="00B05F52"/>
    <w:rsid w:val="00B06F23"/>
    <w:rsid w:val="00B074E0"/>
    <w:rsid w:val="00B10F92"/>
    <w:rsid w:val="00B1160C"/>
    <w:rsid w:val="00B11DED"/>
    <w:rsid w:val="00B123B4"/>
    <w:rsid w:val="00B169E1"/>
    <w:rsid w:val="00B16B6F"/>
    <w:rsid w:val="00B17C88"/>
    <w:rsid w:val="00B2058E"/>
    <w:rsid w:val="00B21A37"/>
    <w:rsid w:val="00B2510B"/>
    <w:rsid w:val="00B25155"/>
    <w:rsid w:val="00B273EF"/>
    <w:rsid w:val="00B274DE"/>
    <w:rsid w:val="00B30138"/>
    <w:rsid w:val="00B3272F"/>
    <w:rsid w:val="00B33D56"/>
    <w:rsid w:val="00B420E0"/>
    <w:rsid w:val="00B42C03"/>
    <w:rsid w:val="00B5187F"/>
    <w:rsid w:val="00B52461"/>
    <w:rsid w:val="00B5257C"/>
    <w:rsid w:val="00B553FC"/>
    <w:rsid w:val="00B55A79"/>
    <w:rsid w:val="00B6010A"/>
    <w:rsid w:val="00B64541"/>
    <w:rsid w:val="00B67192"/>
    <w:rsid w:val="00B7032B"/>
    <w:rsid w:val="00B704AB"/>
    <w:rsid w:val="00B71FE0"/>
    <w:rsid w:val="00B74162"/>
    <w:rsid w:val="00B747A7"/>
    <w:rsid w:val="00B75C89"/>
    <w:rsid w:val="00B774A5"/>
    <w:rsid w:val="00B77547"/>
    <w:rsid w:val="00B81A4D"/>
    <w:rsid w:val="00B84C69"/>
    <w:rsid w:val="00B84D20"/>
    <w:rsid w:val="00B85139"/>
    <w:rsid w:val="00B857AC"/>
    <w:rsid w:val="00B86E9E"/>
    <w:rsid w:val="00B870FF"/>
    <w:rsid w:val="00B87EB3"/>
    <w:rsid w:val="00B902CB"/>
    <w:rsid w:val="00B91214"/>
    <w:rsid w:val="00B9151C"/>
    <w:rsid w:val="00B9202A"/>
    <w:rsid w:val="00B94E08"/>
    <w:rsid w:val="00B973CD"/>
    <w:rsid w:val="00BA0766"/>
    <w:rsid w:val="00BA336B"/>
    <w:rsid w:val="00BA6943"/>
    <w:rsid w:val="00BA727E"/>
    <w:rsid w:val="00BB6181"/>
    <w:rsid w:val="00BC2175"/>
    <w:rsid w:val="00BC32F3"/>
    <w:rsid w:val="00BC3BAA"/>
    <w:rsid w:val="00BC3CEE"/>
    <w:rsid w:val="00BC4108"/>
    <w:rsid w:val="00BC4A67"/>
    <w:rsid w:val="00BC4F9D"/>
    <w:rsid w:val="00BC6006"/>
    <w:rsid w:val="00BC60AD"/>
    <w:rsid w:val="00BD4A11"/>
    <w:rsid w:val="00BD4ECB"/>
    <w:rsid w:val="00BD7B19"/>
    <w:rsid w:val="00BE0298"/>
    <w:rsid w:val="00BE1005"/>
    <w:rsid w:val="00BE1D63"/>
    <w:rsid w:val="00BE3EB6"/>
    <w:rsid w:val="00BE6B07"/>
    <w:rsid w:val="00BE7CB0"/>
    <w:rsid w:val="00BF0815"/>
    <w:rsid w:val="00BF289C"/>
    <w:rsid w:val="00BF30FE"/>
    <w:rsid w:val="00BF54BB"/>
    <w:rsid w:val="00BF5D4C"/>
    <w:rsid w:val="00C01661"/>
    <w:rsid w:val="00C05427"/>
    <w:rsid w:val="00C13824"/>
    <w:rsid w:val="00C13858"/>
    <w:rsid w:val="00C1750B"/>
    <w:rsid w:val="00C23996"/>
    <w:rsid w:val="00C23D1C"/>
    <w:rsid w:val="00C23FC1"/>
    <w:rsid w:val="00C24C5D"/>
    <w:rsid w:val="00C24D9E"/>
    <w:rsid w:val="00C25D81"/>
    <w:rsid w:val="00C35014"/>
    <w:rsid w:val="00C35C2D"/>
    <w:rsid w:val="00C35D0D"/>
    <w:rsid w:val="00C37598"/>
    <w:rsid w:val="00C37E0D"/>
    <w:rsid w:val="00C40A3B"/>
    <w:rsid w:val="00C41EC6"/>
    <w:rsid w:val="00C429D9"/>
    <w:rsid w:val="00C46244"/>
    <w:rsid w:val="00C47056"/>
    <w:rsid w:val="00C47736"/>
    <w:rsid w:val="00C51A38"/>
    <w:rsid w:val="00C524A9"/>
    <w:rsid w:val="00C52543"/>
    <w:rsid w:val="00C5335F"/>
    <w:rsid w:val="00C57429"/>
    <w:rsid w:val="00C57B8A"/>
    <w:rsid w:val="00C60A9E"/>
    <w:rsid w:val="00C65BAC"/>
    <w:rsid w:val="00C711B7"/>
    <w:rsid w:val="00C73C18"/>
    <w:rsid w:val="00C75073"/>
    <w:rsid w:val="00C75191"/>
    <w:rsid w:val="00C75293"/>
    <w:rsid w:val="00C8121A"/>
    <w:rsid w:val="00C81EA4"/>
    <w:rsid w:val="00C82BB0"/>
    <w:rsid w:val="00C834B8"/>
    <w:rsid w:val="00C83662"/>
    <w:rsid w:val="00C83DA8"/>
    <w:rsid w:val="00C84E0A"/>
    <w:rsid w:val="00C90F50"/>
    <w:rsid w:val="00C92087"/>
    <w:rsid w:val="00C923CD"/>
    <w:rsid w:val="00C92803"/>
    <w:rsid w:val="00C95A31"/>
    <w:rsid w:val="00C96308"/>
    <w:rsid w:val="00C9637A"/>
    <w:rsid w:val="00C96EA3"/>
    <w:rsid w:val="00C97006"/>
    <w:rsid w:val="00CA0990"/>
    <w:rsid w:val="00CA0AEF"/>
    <w:rsid w:val="00CA17B1"/>
    <w:rsid w:val="00CA1AFE"/>
    <w:rsid w:val="00CA1E7F"/>
    <w:rsid w:val="00CA425E"/>
    <w:rsid w:val="00CA7E4B"/>
    <w:rsid w:val="00CB0DB7"/>
    <w:rsid w:val="00CB1B62"/>
    <w:rsid w:val="00CB2A72"/>
    <w:rsid w:val="00CB7136"/>
    <w:rsid w:val="00CC2377"/>
    <w:rsid w:val="00CC4809"/>
    <w:rsid w:val="00CC5241"/>
    <w:rsid w:val="00CD69A3"/>
    <w:rsid w:val="00CD7FD2"/>
    <w:rsid w:val="00CE0F8B"/>
    <w:rsid w:val="00CE1267"/>
    <w:rsid w:val="00CE2020"/>
    <w:rsid w:val="00CE2302"/>
    <w:rsid w:val="00CE303F"/>
    <w:rsid w:val="00CE33FD"/>
    <w:rsid w:val="00CE3720"/>
    <w:rsid w:val="00CE5314"/>
    <w:rsid w:val="00CE5E9E"/>
    <w:rsid w:val="00CF1B0A"/>
    <w:rsid w:val="00CF3AE6"/>
    <w:rsid w:val="00CF57E5"/>
    <w:rsid w:val="00CF7E1F"/>
    <w:rsid w:val="00D00C0C"/>
    <w:rsid w:val="00D01B68"/>
    <w:rsid w:val="00D03B16"/>
    <w:rsid w:val="00D0434C"/>
    <w:rsid w:val="00D04DAD"/>
    <w:rsid w:val="00D06126"/>
    <w:rsid w:val="00D10641"/>
    <w:rsid w:val="00D11956"/>
    <w:rsid w:val="00D1688A"/>
    <w:rsid w:val="00D17236"/>
    <w:rsid w:val="00D17DAF"/>
    <w:rsid w:val="00D21236"/>
    <w:rsid w:val="00D23DDA"/>
    <w:rsid w:val="00D243BD"/>
    <w:rsid w:val="00D262DB"/>
    <w:rsid w:val="00D26E71"/>
    <w:rsid w:val="00D308C0"/>
    <w:rsid w:val="00D32793"/>
    <w:rsid w:val="00D34160"/>
    <w:rsid w:val="00D37F1B"/>
    <w:rsid w:val="00D40D95"/>
    <w:rsid w:val="00D434DA"/>
    <w:rsid w:val="00D43775"/>
    <w:rsid w:val="00D478A0"/>
    <w:rsid w:val="00D50BA6"/>
    <w:rsid w:val="00D51FCE"/>
    <w:rsid w:val="00D5235E"/>
    <w:rsid w:val="00D54D78"/>
    <w:rsid w:val="00D55BA5"/>
    <w:rsid w:val="00D57450"/>
    <w:rsid w:val="00D60C78"/>
    <w:rsid w:val="00D62813"/>
    <w:rsid w:val="00D63DCF"/>
    <w:rsid w:val="00D65F0B"/>
    <w:rsid w:val="00D67138"/>
    <w:rsid w:val="00D73022"/>
    <w:rsid w:val="00D7371B"/>
    <w:rsid w:val="00D75CDB"/>
    <w:rsid w:val="00D7751B"/>
    <w:rsid w:val="00D8084E"/>
    <w:rsid w:val="00D80D74"/>
    <w:rsid w:val="00D83881"/>
    <w:rsid w:val="00D84451"/>
    <w:rsid w:val="00D86B0A"/>
    <w:rsid w:val="00D913BA"/>
    <w:rsid w:val="00D93581"/>
    <w:rsid w:val="00D962BA"/>
    <w:rsid w:val="00D973A5"/>
    <w:rsid w:val="00DA05CF"/>
    <w:rsid w:val="00DA24C6"/>
    <w:rsid w:val="00DA3F2E"/>
    <w:rsid w:val="00DA5BD5"/>
    <w:rsid w:val="00DB02C8"/>
    <w:rsid w:val="00DB25E2"/>
    <w:rsid w:val="00DB7D1B"/>
    <w:rsid w:val="00DC0784"/>
    <w:rsid w:val="00DC1AD3"/>
    <w:rsid w:val="00DC2E8A"/>
    <w:rsid w:val="00DC4D62"/>
    <w:rsid w:val="00DC5905"/>
    <w:rsid w:val="00DC737C"/>
    <w:rsid w:val="00DD15F6"/>
    <w:rsid w:val="00DD2966"/>
    <w:rsid w:val="00DD6268"/>
    <w:rsid w:val="00DD7122"/>
    <w:rsid w:val="00DE02A0"/>
    <w:rsid w:val="00DE15C0"/>
    <w:rsid w:val="00DE3F29"/>
    <w:rsid w:val="00DE5EF3"/>
    <w:rsid w:val="00DE6229"/>
    <w:rsid w:val="00DE6564"/>
    <w:rsid w:val="00DE6F2A"/>
    <w:rsid w:val="00DF0B72"/>
    <w:rsid w:val="00DF1FB2"/>
    <w:rsid w:val="00DF4012"/>
    <w:rsid w:val="00DF7BD2"/>
    <w:rsid w:val="00E02EB8"/>
    <w:rsid w:val="00E03F9B"/>
    <w:rsid w:val="00E05AB9"/>
    <w:rsid w:val="00E05F3D"/>
    <w:rsid w:val="00E065B3"/>
    <w:rsid w:val="00E12DE4"/>
    <w:rsid w:val="00E13A71"/>
    <w:rsid w:val="00E1754A"/>
    <w:rsid w:val="00E22B08"/>
    <w:rsid w:val="00E230FC"/>
    <w:rsid w:val="00E25F8A"/>
    <w:rsid w:val="00E2656A"/>
    <w:rsid w:val="00E26C1B"/>
    <w:rsid w:val="00E33C90"/>
    <w:rsid w:val="00E346BB"/>
    <w:rsid w:val="00E354BE"/>
    <w:rsid w:val="00E36705"/>
    <w:rsid w:val="00E36E4A"/>
    <w:rsid w:val="00E37007"/>
    <w:rsid w:val="00E373B8"/>
    <w:rsid w:val="00E401A0"/>
    <w:rsid w:val="00E419BB"/>
    <w:rsid w:val="00E41CB2"/>
    <w:rsid w:val="00E46912"/>
    <w:rsid w:val="00E47665"/>
    <w:rsid w:val="00E47F3C"/>
    <w:rsid w:val="00E505C6"/>
    <w:rsid w:val="00E60253"/>
    <w:rsid w:val="00E62EDB"/>
    <w:rsid w:val="00E679E3"/>
    <w:rsid w:val="00E70A06"/>
    <w:rsid w:val="00E70A84"/>
    <w:rsid w:val="00E72F8D"/>
    <w:rsid w:val="00E730F5"/>
    <w:rsid w:val="00E73765"/>
    <w:rsid w:val="00E76193"/>
    <w:rsid w:val="00E80E5D"/>
    <w:rsid w:val="00E85ED4"/>
    <w:rsid w:val="00E8678D"/>
    <w:rsid w:val="00E874A0"/>
    <w:rsid w:val="00E90AA1"/>
    <w:rsid w:val="00E9105F"/>
    <w:rsid w:val="00E95AE6"/>
    <w:rsid w:val="00E9610D"/>
    <w:rsid w:val="00E968C8"/>
    <w:rsid w:val="00E978FF"/>
    <w:rsid w:val="00E97930"/>
    <w:rsid w:val="00EA03FC"/>
    <w:rsid w:val="00EA243D"/>
    <w:rsid w:val="00EB1B74"/>
    <w:rsid w:val="00EB49F8"/>
    <w:rsid w:val="00EB5510"/>
    <w:rsid w:val="00EC1E4A"/>
    <w:rsid w:val="00EC242C"/>
    <w:rsid w:val="00EC481B"/>
    <w:rsid w:val="00EC4FAC"/>
    <w:rsid w:val="00EC60D3"/>
    <w:rsid w:val="00EC6E7D"/>
    <w:rsid w:val="00ED2049"/>
    <w:rsid w:val="00EE0DB0"/>
    <w:rsid w:val="00EE4174"/>
    <w:rsid w:val="00EF06D1"/>
    <w:rsid w:val="00EF34F0"/>
    <w:rsid w:val="00EF5F42"/>
    <w:rsid w:val="00EF722C"/>
    <w:rsid w:val="00EF78FA"/>
    <w:rsid w:val="00F00851"/>
    <w:rsid w:val="00F0305D"/>
    <w:rsid w:val="00F03C68"/>
    <w:rsid w:val="00F044FE"/>
    <w:rsid w:val="00F0757C"/>
    <w:rsid w:val="00F07AB8"/>
    <w:rsid w:val="00F07C10"/>
    <w:rsid w:val="00F10F21"/>
    <w:rsid w:val="00F11317"/>
    <w:rsid w:val="00F11C26"/>
    <w:rsid w:val="00F13094"/>
    <w:rsid w:val="00F25BB4"/>
    <w:rsid w:val="00F268EA"/>
    <w:rsid w:val="00F278DE"/>
    <w:rsid w:val="00F33293"/>
    <w:rsid w:val="00F360CB"/>
    <w:rsid w:val="00F4077B"/>
    <w:rsid w:val="00F42671"/>
    <w:rsid w:val="00F42DA7"/>
    <w:rsid w:val="00F43319"/>
    <w:rsid w:val="00F46914"/>
    <w:rsid w:val="00F5072A"/>
    <w:rsid w:val="00F525DD"/>
    <w:rsid w:val="00F530B5"/>
    <w:rsid w:val="00F54617"/>
    <w:rsid w:val="00F5469C"/>
    <w:rsid w:val="00F557EE"/>
    <w:rsid w:val="00F5625E"/>
    <w:rsid w:val="00F6224B"/>
    <w:rsid w:val="00F62A41"/>
    <w:rsid w:val="00F63F38"/>
    <w:rsid w:val="00F65666"/>
    <w:rsid w:val="00F708DF"/>
    <w:rsid w:val="00F75798"/>
    <w:rsid w:val="00F81825"/>
    <w:rsid w:val="00F81A4C"/>
    <w:rsid w:val="00F82365"/>
    <w:rsid w:val="00F82E2D"/>
    <w:rsid w:val="00F84CE8"/>
    <w:rsid w:val="00F90D89"/>
    <w:rsid w:val="00F93114"/>
    <w:rsid w:val="00F932B1"/>
    <w:rsid w:val="00F95B18"/>
    <w:rsid w:val="00F95BE3"/>
    <w:rsid w:val="00F96940"/>
    <w:rsid w:val="00F97605"/>
    <w:rsid w:val="00F97EB6"/>
    <w:rsid w:val="00FA1388"/>
    <w:rsid w:val="00FA5D5A"/>
    <w:rsid w:val="00FB0A35"/>
    <w:rsid w:val="00FB1150"/>
    <w:rsid w:val="00FB3E9E"/>
    <w:rsid w:val="00FB72BF"/>
    <w:rsid w:val="00FC1B2E"/>
    <w:rsid w:val="00FC2D9D"/>
    <w:rsid w:val="00FC3BF7"/>
    <w:rsid w:val="00FC5611"/>
    <w:rsid w:val="00FC5979"/>
    <w:rsid w:val="00FD44A4"/>
    <w:rsid w:val="00FD49DF"/>
    <w:rsid w:val="00FD4BD3"/>
    <w:rsid w:val="00FD5575"/>
    <w:rsid w:val="00FD68EE"/>
    <w:rsid w:val="00FE1014"/>
    <w:rsid w:val="00FE1998"/>
    <w:rsid w:val="00FE19F6"/>
    <w:rsid w:val="00FE1F15"/>
    <w:rsid w:val="00FE34A0"/>
    <w:rsid w:val="00FF12AB"/>
    <w:rsid w:val="00FF21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7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06"/>
    <w:pPr>
      <w:spacing w:after="40" w:line="48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2749EF"/>
    <w:pPr>
      <w:keepNext/>
      <w:keepLines/>
      <w:spacing w:before="240" w:after="0"/>
      <w:outlineLvl w:val="0"/>
    </w:pPr>
    <w:rPr>
      <w:rFonts w:eastAsia="Times New Roman" w:cstheme="minorBidi"/>
      <w:b/>
      <w:sz w:val="28"/>
      <w:szCs w:val="32"/>
    </w:rPr>
  </w:style>
  <w:style w:type="paragraph" w:styleId="Heading2">
    <w:name w:val="heading 2"/>
    <w:basedOn w:val="Normal"/>
    <w:next w:val="Normal"/>
    <w:link w:val="Heading2Char"/>
    <w:uiPriority w:val="9"/>
    <w:unhideWhenUsed/>
    <w:qFormat/>
    <w:rsid w:val="002749EF"/>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2749EF"/>
    <w:pPr>
      <w:keepNext/>
      <w:spacing w:before="240" w:after="60"/>
      <w:outlineLvl w:val="2"/>
    </w:pPr>
    <w:rPr>
      <w:rFonts w:eastAsia="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49EF"/>
    <w:rPr>
      <w:rFonts w:ascii="Times New Roman" w:eastAsia="Times New Roman" w:hAnsi="Times New Roman"/>
      <w:b/>
      <w:sz w:val="28"/>
      <w:szCs w:val="32"/>
    </w:rPr>
  </w:style>
  <w:style w:type="character" w:customStyle="1" w:styleId="Heading2Char">
    <w:name w:val="Heading 2 Char"/>
    <w:link w:val="Heading2"/>
    <w:uiPriority w:val="9"/>
    <w:rsid w:val="002749EF"/>
    <w:rPr>
      <w:rFonts w:ascii="Times New Roman" w:eastAsia="Times New Roman" w:hAnsi="Times New Roman" w:cs="Times New Roman"/>
      <w:b/>
      <w:bCs/>
      <w:iCs/>
      <w:sz w:val="24"/>
      <w:szCs w:val="28"/>
    </w:rPr>
  </w:style>
  <w:style w:type="character" w:customStyle="1" w:styleId="Heading3Char">
    <w:name w:val="Heading 3 Char"/>
    <w:link w:val="Heading3"/>
    <w:uiPriority w:val="9"/>
    <w:semiHidden/>
    <w:rsid w:val="002749EF"/>
    <w:rPr>
      <w:rFonts w:ascii="Times New Roman" w:eastAsia="Times New Roman" w:hAnsi="Times New Roman" w:cs="Times New Roman"/>
      <w:bCs/>
      <w:i/>
      <w:sz w:val="24"/>
      <w:szCs w:val="26"/>
    </w:rPr>
  </w:style>
  <w:style w:type="paragraph" w:styleId="Title">
    <w:name w:val="Title"/>
    <w:aliases w:val="title"/>
    <w:basedOn w:val="Normal"/>
    <w:next w:val="Normal"/>
    <w:link w:val="TitleChar"/>
    <w:uiPriority w:val="10"/>
    <w:qFormat/>
    <w:rsid w:val="002749EF"/>
    <w:pPr>
      <w:spacing w:after="0" w:line="240" w:lineRule="auto"/>
      <w:contextualSpacing/>
      <w:jc w:val="left"/>
    </w:pPr>
    <w:rPr>
      <w:rFonts w:eastAsia="Times New Roman" w:cstheme="minorBidi"/>
      <w:b/>
      <w:spacing w:val="-10"/>
      <w:kern w:val="28"/>
      <w:sz w:val="28"/>
      <w:szCs w:val="56"/>
      <w:u w:val="single"/>
    </w:rPr>
  </w:style>
  <w:style w:type="character" w:customStyle="1" w:styleId="TitleChar">
    <w:name w:val="Title Char"/>
    <w:aliases w:val="title Char"/>
    <w:link w:val="Title"/>
    <w:uiPriority w:val="10"/>
    <w:rsid w:val="002749EF"/>
    <w:rPr>
      <w:rFonts w:ascii="Times New Roman" w:eastAsia="Times New Roman" w:hAnsi="Times New Roman"/>
      <w:b/>
      <w:spacing w:val="-10"/>
      <w:kern w:val="28"/>
      <w:sz w:val="28"/>
      <w:szCs w:val="56"/>
      <w:u w:val="single"/>
    </w:rPr>
  </w:style>
  <w:style w:type="paragraph" w:customStyle="1" w:styleId="Standard">
    <w:name w:val="Standard"/>
    <w:rsid w:val="00005A8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ListParagraph">
    <w:name w:val="List Paragraph"/>
    <w:basedOn w:val="Normal"/>
    <w:uiPriority w:val="34"/>
    <w:qFormat/>
    <w:rsid w:val="00005A84"/>
    <w:pPr>
      <w:widowControl w:val="0"/>
      <w:suppressAutoHyphens/>
      <w:autoSpaceDN w:val="0"/>
      <w:spacing w:after="0" w:line="240" w:lineRule="auto"/>
      <w:ind w:left="720"/>
      <w:contextualSpacing/>
      <w:jc w:val="left"/>
      <w:textAlignment w:val="baseline"/>
    </w:pPr>
    <w:rPr>
      <w:rFonts w:eastAsia="Andale Sans UI" w:cs="Tahoma"/>
      <w:kern w:val="3"/>
      <w:szCs w:val="24"/>
      <w:lang w:val="de-DE" w:eastAsia="ja-JP" w:bidi="fa-IR"/>
    </w:rPr>
  </w:style>
  <w:style w:type="paragraph" w:styleId="BalloonText">
    <w:name w:val="Balloon Text"/>
    <w:basedOn w:val="Normal"/>
    <w:link w:val="BalloonTextChar"/>
    <w:uiPriority w:val="99"/>
    <w:semiHidden/>
    <w:unhideWhenUsed/>
    <w:rsid w:val="0000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84"/>
    <w:rPr>
      <w:rFonts w:ascii="Tahoma" w:hAnsi="Tahoma" w:cs="Tahoma"/>
      <w:sz w:val="16"/>
      <w:szCs w:val="16"/>
    </w:rPr>
  </w:style>
  <w:style w:type="character" w:styleId="PlaceholderText">
    <w:name w:val="Placeholder Text"/>
    <w:basedOn w:val="DefaultParagraphFont"/>
    <w:uiPriority w:val="99"/>
    <w:semiHidden/>
    <w:rsid w:val="00D10641"/>
    <w:rPr>
      <w:color w:val="808080"/>
    </w:rPr>
  </w:style>
  <w:style w:type="paragraph" w:styleId="Caption">
    <w:name w:val="caption"/>
    <w:basedOn w:val="Normal"/>
    <w:next w:val="Normal"/>
    <w:uiPriority w:val="35"/>
    <w:unhideWhenUsed/>
    <w:qFormat/>
    <w:rsid w:val="0043388F"/>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684C0C"/>
    <w:rPr>
      <w:sz w:val="16"/>
      <w:szCs w:val="16"/>
    </w:rPr>
  </w:style>
  <w:style w:type="paragraph" w:styleId="CommentText">
    <w:name w:val="annotation text"/>
    <w:basedOn w:val="Normal"/>
    <w:link w:val="CommentTextChar"/>
    <w:uiPriority w:val="99"/>
    <w:unhideWhenUsed/>
    <w:rsid w:val="00684C0C"/>
    <w:pPr>
      <w:spacing w:line="240" w:lineRule="auto"/>
    </w:pPr>
    <w:rPr>
      <w:sz w:val="20"/>
      <w:szCs w:val="20"/>
    </w:rPr>
  </w:style>
  <w:style w:type="character" w:customStyle="1" w:styleId="CommentTextChar">
    <w:name w:val="Comment Text Char"/>
    <w:basedOn w:val="DefaultParagraphFont"/>
    <w:link w:val="CommentText"/>
    <w:uiPriority w:val="99"/>
    <w:rsid w:val="00684C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C0C"/>
    <w:rPr>
      <w:b/>
      <w:bCs/>
    </w:rPr>
  </w:style>
  <w:style w:type="character" w:customStyle="1" w:styleId="CommentSubjectChar">
    <w:name w:val="Comment Subject Char"/>
    <w:basedOn w:val="CommentTextChar"/>
    <w:link w:val="CommentSubject"/>
    <w:uiPriority w:val="99"/>
    <w:semiHidden/>
    <w:rsid w:val="00684C0C"/>
    <w:rPr>
      <w:rFonts w:ascii="Times New Roman" w:hAnsi="Times New Roman" w:cs="Times New Roman"/>
      <w:b/>
      <w:bCs/>
      <w:sz w:val="20"/>
      <w:szCs w:val="20"/>
    </w:rPr>
  </w:style>
  <w:style w:type="table" w:styleId="TableGrid">
    <w:name w:val="Table Grid"/>
    <w:basedOn w:val="TableNormal"/>
    <w:uiPriority w:val="39"/>
    <w:rsid w:val="00C3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E9E"/>
    <w:rPr>
      <w:color w:val="0563C1" w:themeColor="hyperlink"/>
      <w:u w:val="single"/>
    </w:rPr>
  </w:style>
  <w:style w:type="character" w:customStyle="1" w:styleId="st">
    <w:name w:val="st"/>
    <w:basedOn w:val="DefaultParagraphFont"/>
    <w:rsid w:val="00CE5E9E"/>
  </w:style>
  <w:style w:type="paragraph" w:styleId="Header">
    <w:name w:val="header"/>
    <w:basedOn w:val="Normal"/>
    <w:link w:val="HeaderChar"/>
    <w:uiPriority w:val="99"/>
    <w:unhideWhenUsed/>
    <w:rsid w:val="00FD6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EE"/>
    <w:rPr>
      <w:rFonts w:ascii="Times New Roman" w:hAnsi="Times New Roman" w:cs="Times New Roman"/>
      <w:sz w:val="24"/>
    </w:rPr>
  </w:style>
  <w:style w:type="paragraph" w:styleId="Footer">
    <w:name w:val="footer"/>
    <w:basedOn w:val="Normal"/>
    <w:link w:val="FooterChar"/>
    <w:uiPriority w:val="99"/>
    <w:unhideWhenUsed/>
    <w:rsid w:val="00FD6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EE"/>
    <w:rPr>
      <w:rFonts w:ascii="Times New Roman" w:hAnsi="Times New Roman" w:cs="Times New Roman"/>
      <w:sz w:val="24"/>
    </w:rPr>
  </w:style>
  <w:style w:type="character" w:customStyle="1" w:styleId="current-selection">
    <w:name w:val="current-selection"/>
    <w:basedOn w:val="DefaultParagraphFont"/>
    <w:rsid w:val="00BB6181"/>
  </w:style>
  <w:style w:type="character" w:customStyle="1" w:styleId="a">
    <w:name w:val="_"/>
    <w:basedOn w:val="DefaultParagraphFont"/>
    <w:rsid w:val="00BB6181"/>
  </w:style>
  <w:style w:type="paragraph" w:customStyle="1" w:styleId="desc">
    <w:name w:val="desc"/>
    <w:basedOn w:val="Normal"/>
    <w:rsid w:val="009C7E61"/>
    <w:pPr>
      <w:spacing w:before="100" w:beforeAutospacing="1" w:after="100" w:afterAutospacing="1" w:line="240" w:lineRule="auto"/>
      <w:jc w:val="left"/>
    </w:pPr>
    <w:rPr>
      <w:rFonts w:ascii="Times" w:hAnsi="Times" w:cstheme="minorBidi"/>
      <w:sz w:val="20"/>
      <w:szCs w:val="20"/>
    </w:rPr>
  </w:style>
  <w:style w:type="paragraph" w:customStyle="1" w:styleId="details">
    <w:name w:val="details"/>
    <w:basedOn w:val="Normal"/>
    <w:rsid w:val="009C7E61"/>
    <w:pPr>
      <w:spacing w:before="100" w:beforeAutospacing="1" w:after="100" w:afterAutospacing="1" w:line="240" w:lineRule="auto"/>
      <w:jc w:val="left"/>
    </w:pPr>
    <w:rPr>
      <w:rFonts w:ascii="Times" w:hAnsi="Times" w:cstheme="minorBidi"/>
      <w:sz w:val="20"/>
      <w:szCs w:val="20"/>
    </w:rPr>
  </w:style>
  <w:style w:type="character" w:customStyle="1" w:styleId="jrnl">
    <w:name w:val="jrnl"/>
    <w:basedOn w:val="DefaultParagraphFont"/>
    <w:rsid w:val="009C7E61"/>
  </w:style>
  <w:style w:type="paragraph" w:customStyle="1" w:styleId="H2">
    <w:name w:val="H2"/>
    <w:basedOn w:val="Normal"/>
    <w:next w:val="Normal"/>
    <w:uiPriority w:val="99"/>
    <w:rsid w:val="00B1160C"/>
    <w:pPr>
      <w:keepNext/>
      <w:autoSpaceDE w:val="0"/>
      <w:autoSpaceDN w:val="0"/>
      <w:adjustRightInd w:val="0"/>
      <w:spacing w:before="100" w:after="100" w:line="240" w:lineRule="auto"/>
      <w:jc w:val="left"/>
      <w:outlineLvl w:val="2"/>
    </w:pPr>
    <w:rPr>
      <w:b/>
      <w:bCs/>
      <w:sz w:val="36"/>
      <w:szCs w:val="36"/>
    </w:rPr>
  </w:style>
  <w:style w:type="paragraph" w:customStyle="1" w:styleId="H1">
    <w:name w:val="H1"/>
    <w:basedOn w:val="Normal"/>
    <w:next w:val="Normal"/>
    <w:uiPriority w:val="99"/>
    <w:rsid w:val="00B55A79"/>
    <w:pPr>
      <w:keepNext/>
      <w:autoSpaceDE w:val="0"/>
      <w:autoSpaceDN w:val="0"/>
      <w:adjustRightInd w:val="0"/>
      <w:spacing w:before="100" w:after="100" w:line="240" w:lineRule="auto"/>
      <w:jc w:val="left"/>
      <w:outlineLvl w:val="1"/>
    </w:pPr>
    <w:rPr>
      <w:b/>
      <w:bCs/>
      <w:kern w:val="36"/>
      <w:sz w:val="48"/>
      <w:szCs w:val="48"/>
    </w:rPr>
  </w:style>
  <w:style w:type="paragraph" w:customStyle="1" w:styleId="DefinitionTerm">
    <w:name w:val="Definition Term"/>
    <w:basedOn w:val="Normal"/>
    <w:next w:val="DefinitionList"/>
    <w:uiPriority w:val="99"/>
    <w:rsid w:val="00567A83"/>
    <w:pPr>
      <w:autoSpaceDE w:val="0"/>
      <w:autoSpaceDN w:val="0"/>
      <w:adjustRightInd w:val="0"/>
      <w:spacing w:after="0" w:line="240" w:lineRule="auto"/>
      <w:jc w:val="left"/>
    </w:pPr>
    <w:rPr>
      <w:szCs w:val="24"/>
    </w:rPr>
  </w:style>
  <w:style w:type="paragraph" w:customStyle="1" w:styleId="DefinitionList">
    <w:name w:val="Definition List"/>
    <w:basedOn w:val="Normal"/>
    <w:next w:val="DefinitionTerm"/>
    <w:uiPriority w:val="99"/>
    <w:rsid w:val="00567A83"/>
    <w:pPr>
      <w:autoSpaceDE w:val="0"/>
      <w:autoSpaceDN w:val="0"/>
      <w:adjustRightInd w:val="0"/>
      <w:spacing w:after="0" w:line="240" w:lineRule="auto"/>
      <w:ind w:left="360"/>
      <w:jc w:val="left"/>
    </w:pPr>
    <w:rPr>
      <w:szCs w:val="24"/>
    </w:rPr>
  </w:style>
  <w:style w:type="character" w:styleId="LineNumber">
    <w:name w:val="line number"/>
    <w:basedOn w:val="DefaultParagraphFont"/>
    <w:uiPriority w:val="99"/>
    <w:semiHidden/>
    <w:unhideWhenUsed/>
    <w:rsid w:val="00DF7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06"/>
    <w:pPr>
      <w:spacing w:after="40" w:line="48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2749EF"/>
    <w:pPr>
      <w:keepNext/>
      <w:keepLines/>
      <w:spacing w:before="240" w:after="0"/>
      <w:outlineLvl w:val="0"/>
    </w:pPr>
    <w:rPr>
      <w:rFonts w:eastAsia="Times New Roman" w:cstheme="minorBidi"/>
      <w:b/>
      <w:sz w:val="28"/>
      <w:szCs w:val="32"/>
    </w:rPr>
  </w:style>
  <w:style w:type="paragraph" w:styleId="Heading2">
    <w:name w:val="heading 2"/>
    <w:basedOn w:val="Normal"/>
    <w:next w:val="Normal"/>
    <w:link w:val="Heading2Char"/>
    <w:uiPriority w:val="9"/>
    <w:unhideWhenUsed/>
    <w:qFormat/>
    <w:rsid w:val="002749EF"/>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2749EF"/>
    <w:pPr>
      <w:keepNext/>
      <w:spacing w:before="240" w:after="60"/>
      <w:outlineLvl w:val="2"/>
    </w:pPr>
    <w:rPr>
      <w:rFonts w:eastAsia="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49EF"/>
    <w:rPr>
      <w:rFonts w:ascii="Times New Roman" w:eastAsia="Times New Roman" w:hAnsi="Times New Roman"/>
      <w:b/>
      <w:sz w:val="28"/>
      <w:szCs w:val="32"/>
    </w:rPr>
  </w:style>
  <w:style w:type="character" w:customStyle="1" w:styleId="Heading2Char">
    <w:name w:val="Heading 2 Char"/>
    <w:link w:val="Heading2"/>
    <w:uiPriority w:val="9"/>
    <w:rsid w:val="002749EF"/>
    <w:rPr>
      <w:rFonts w:ascii="Times New Roman" w:eastAsia="Times New Roman" w:hAnsi="Times New Roman" w:cs="Times New Roman"/>
      <w:b/>
      <w:bCs/>
      <w:iCs/>
      <w:sz w:val="24"/>
      <w:szCs w:val="28"/>
    </w:rPr>
  </w:style>
  <w:style w:type="character" w:customStyle="1" w:styleId="Heading3Char">
    <w:name w:val="Heading 3 Char"/>
    <w:link w:val="Heading3"/>
    <w:uiPriority w:val="9"/>
    <w:semiHidden/>
    <w:rsid w:val="002749EF"/>
    <w:rPr>
      <w:rFonts w:ascii="Times New Roman" w:eastAsia="Times New Roman" w:hAnsi="Times New Roman" w:cs="Times New Roman"/>
      <w:bCs/>
      <w:i/>
      <w:sz w:val="24"/>
      <w:szCs w:val="26"/>
    </w:rPr>
  </w:style>
  <w:style w:type="paragraph" w:styleId="Title">
    <w:name w:val="Title"/>
    <w:aliases w:val="title"/>
    <w:basedOn w:val="Normal"/>
    <w:next w:val="Normal"/>
    <w:link w:val="TitleChar"/>
    <w:uiPriority w:val="10"/>
    <w:qFormat/>
    <w:rsid w:val="002749EF"/>
    <w:pPr>
      <w:spacing w:after="0" w:line="240" w:lineRule="auto"/>
      <w:contextualSpacing/>
      <w:jc w:val="left"/>
    </w:pPr>
    <w:rPr>
      <w:rFonts w:eastAsia="Times New Roman" w:cstheme="minorBidi"/>
      <w:b/>
      <w:spacing w:val="-10"/>
      <w:kern w:val="28"/>
      <w:sz w:val="28"/>
      <w:szCs w:val="56"/>
      <w:u w:val="single"/>
    </w:rPr>
  </w:style>
  <w:style w:type="character" w:customStyle="1" w:styleId="TitleChar">
    <w:name w:val="Title Char"/>
    <w:aliases w:val="title Char"/>
    <w:link w:val="Title"/>
    <w:uiPriority w:val="10"/>
    <w:rsid w:val="002749EF"/>
    <w:rPr>
      <w:rFonts w:ascii="Times New Roman" w:eastAsia="Times New Roman" w:hAnsi="Times New Roman"/>
      <w:b/>
      <w:spacing w:val="-10"/>
      <w:kern w:val="28"/>
      <w:sz w:val="28"/>
      <w:szCs w:val="56"/>
      <w:u w:val="single"/>
    </w:rPr>
  </w:style>
  <w:style w:type="paragraph" w:customStyle="1" w:styleId="Standard">
    <w:name w:val="Standard"/>
    <w:rsid w:val="00005A8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ListParagraph">
    <w:name w:val="List Paragraph"/>
    <w:basedOn w:val="Normal"/>
    <w:uiPriority w:val="34"/>
    <w:qFormat/>
    <w:rsid w:val="00005A84"/>
    <w:pPr>
      <w:widowControl w:val="0"/>
      <w:suppressAutoHyphens/>
      <w:autoSpaceDN w:val="0"/>
      <w:spacing w:after="0" w:line="240" w:lineRule="auto"/>
      <w:ind w:left="720"/>
      <w:contextualSpacing/>
      <w:jc w:val="left"/>
      <w:textAlignment w:val="baseline"/>
    </w:pPr>
    <w:rPr>
      <w:rFonts w:eastAsia="Andale Sans UI" w:cs="Tahoma"/>
      <w:kern w:val="3"/>
      <w:szCs w:val="24"/>
      <w:lang w:val="de-DE" w:eastAsia="ja-JP" w:bidi="fa-IR"/>
    </w:rPr>
  </w:style>
  <w:style w:type="paragraph" w:styleId="BalloonText">
    <w:name w:val="Balloon Text"/>
    <w:basedOn w:val="Normal"/>
    <w:link w:val="BalloonTextChar"/>
    <w:uiPriority w:val="99"/>
    <w:semiHidden/>
    <w:unhideWhenUsed/>
    <w:rsid w:val="0000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84"/>
    <w:rPr>
      <w:rFonts w:ascii="Tahoma" w:hAnsi="Tahoma" w:cs="Tahoma"/>
      <w:sz w:val="16"/>
      <w:szCs w:val="16"/>
    </w:rPr>
  </w:style>
  <w:style w:type="character" w:styleId="PlaceholderText">
    <w:name w:val="Placeholder Text"/>
    <w:basedOn w:val="DefaultParagraphFont"/>
    <w:uiPriority w:val="99"/>
    <w:semiHidden/>
    <w:rsid w:val="00D10641"/>
    <w:rPr>
      <w:color w:val="808080"/>
    </w:rPr>
  </w:style>
  <w:style w:type="paragraph" w:styleId="Caption">
    <w:name w:val="caption"/>
    <w:basedOn w:val="Normal"/>
    <w:next w:val="Normal"/>
    <w:uiPriority w:val="35"/>
    <w:unhideWhenUsed/>
    <w:qFormat/>
    <w:rsid w:val="0043388F"/>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684C0C"/>
    <w:rPr>
      <w:sz w:val="16"/>
      <w:szCs w:val="16"/>
    </w:rPr>
  </w:style>
  <w:style w:type="paragraph" w:styleId="CommentText">
    <w:name w:val="annotation text"/>
    <w:basedOn w:val="Normal"/>
    <w:link w:val="CommentTextChar"/>
    <w:uiPriority w:val="99"/>
    <w:unhideWhenUsed/>
    <w:rsid w:val="00684C0C"/>
    <w:pPr>
      <w:spacing w:line="240" w:lineRule="auto"/>
    </w:pPr>
    <w:rPr>
      <w:sz w:val="20"/>
      <w:szCs w:val="20"/>
    </w:rPr>
  </w:style>
  <w:style w:type="character" w:customStyle="1" w:styleId="CommentTextChar">
    <w:name w:val="Comment Text Char"/>
    <w:basedOn w:val="DefaultParagraphFont"/>
    <w:link w:val="CommentText"/>
    <w:uiPriority w:val="99"/>
    <w:rsid w:val="00684C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C0C"/>
    <w:rPr>
      <w:b/>
      <w:bCs/>
    </w:rPr>
  </w:style>
  <w:style w:type="character" w:customStyle="1" w:styleId="CommentSubjectChar">
    <w:name w:val="Comment Subject Char"/>
    <w:basedOn w:val="CommentTextChar"/>
    <w:link w:val="CommentSubject"/>
    <w:uiPriority w:val="99"/>
    <w:semiHidden/>
    <w:rsid w:val="00684C0C"/>
    <w:rPr>
      <w:rFonts w:ascii="Times New Roman" w:hAnsi="Times New Roman" w:cs="Times New Roman"/>
      <w:b/>
      <w:bCs/>
      <w:sz w:val="20"/>
      <w:szCs w:val="20"/>
    </w:rPr>
  </w:style>
  <w:style w:type="table" w:styleId="TableGrid">
    <w:name w:val="Table Grid"/>
    <w:basedOn w:val="TableNormal"/>
    <w:uiPriority w:val="39"/>
    <w:rsid w:val="00C3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E9E"/>
    <w:rPr>
      <w:color w:val="0563C1" w:themeColor="hyperlink"/>
      <w:u w:val="single"/>
    </w:rPr>
  </w:style>
  <w:style w:type="character" w:customStyle="1" w:styleId="st">
    <w:name w:val="st"/>
    <w:basedOn w:val="DefaultParagraphFont"/>
    <w:rsid w:val="00CE5E9E"/>
  </w:style>
  <w:style w:type="paragraph" w:styleId="Header">
    <w:name w:val="header"/>
    <w:basedOn w:val="Normal"/>
    <w:link w:val="HeaderChar"/>
    <w:uiPriority w:val="99"/>
    <w:unhideWhenUsed/>
    <w:rsid w:val="00FD6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EE"/>
    <w:rPr>
      <w:rFonts w:ascii="Times New Roman" w:hAnsi="Times New Roman" w:cs="Times New Roman"/>
      <w:sz w:val="24"/>
    </w:rPr>
  </w:style>
  <w:style w:type="paragraph" w:styleId="Footer">
    <w:name w:val="footer"/>
    <w:basedOn w:val="Normal"/>
    <w:link w:val="FooterChar"/>
    <w:uiPriority w:val="99"/>
    <w:unhideWhenUsed/>
    <w:rsid w:val="00FD6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EE"/>
    <w:rPr>
      <w:rFonts w:ascii="Times New Roman" w:hAnsi="Times New Roman" w:cs="Times New Roman"/>
      <w:sz w:val="24"/>
    </w:rPr>
  </w:style>
  <w:style w:type="character" w:customStyle="1" w:styleId="current-selection">
    <w:name w:val="current-selection"/>
    <w:basedOn w:val="DefaultParagraphFont"/>
    <w:rsid w:val="00BB6181"/>
  </w:style>
  <w:style w:type="character" w:customStyle="1" w:styleId="a">
    <w:name w:val="_"/>
    <w:basedOn w:val="DefaultParagraphFont"/>
    <w:rsid w:val="00BB6181"/>
  </w:style>
  <w:style w:type="paragraph" w:customStyle="1" w:styleId="desc">
    <w:name w:val="desc"/>
    <w:basedOn w:val="Normal"/>
    <w:rsid w:val="009C7E61"/>
    <w:pPr>
      <w:spacing w:before="100" w:beforeAutospacing="1" w:after="100" w:afterAutospacing="1" w:line="240" w:lineRule="auto"/>
      <w:jc w:val="left"/>
    </w:pPr>
    <w:rPr>
      <w:rFonts w:ascii="Times" w:hAnsi="Times" w:cstheme="minorBidi"/>
      <w:sz w:val="20"/>
      <w:szCs w:val="20"/>
    </w:rPr>
  </w:style>
  <w:style w:type="paragraph" w:customStyle="1" w:styleId="details">
    <w:name w:val="details"/>
    <w:basedOn w:val="Normal"/>
    <w:rsid w:val="009C7E61"/>
    <w:pPr>
      <w:spacing w:before="100" w:beforeAutospacing="1" w:after="100" w:afterAutospacing="1" w:line="240" w:lineRule="auto"/>
      <w:jc w:val="left"/>
    </w:pPr>
    <w:rPr>
      <w:rFonts w:ascii="Times" w:hAnsi="Times" w:cstheme="minorBidi"/>
      <w:sz w:val="20"/>
      <w:szCs w:val="20"/>
    </w:rPr>
  </w:style>
  <w:style w:type="character" w:customStyle="1" w:styleId="jrnl">
    <w:name w:val="jrnl"/>
    <w:basedOn w:val="DefaultParagraphFont"/>
    <w:rsid w:val="009C7E61"/>
  </w:style>
  <w:style w:type="paragraph" w:customStyle="1" w:styleId="H2">
    <w:name w:val="H2"/>
    <w:basedOn w:val="Normal"/>
    <w:next w:val="Normal"/>
    <w:uiPriority w:val="99"/>
    <w:rsid w:val="00B1160C"/>
    <w:pPr>
      <w:keepNext/>
      <w:autoSpaceDE w:val="0"/>
      <w:autoSpaceDN w:val="0"/>
      <w:adjustRightInd w:val="0"/>
      <w:spacing w:before="100" w:after="100" w:line="240" w:lineRule="auto"/>
      <w:jc w:val="left"/>
      <w:outlineLvl w:val="2"/>
    </w:pPr>
    <w:rPr>
      <w:b/>
      <w:bCs/>
      <w:sz w:val="36"/>
      <w:szCs w:val="36"/>
    </w:rPr>
  </w:style>
  <w:style w:type="paragraph" w:customStyle="1" w:styleId="H1">
    <w:name w:val="H1"/>
    <w:basedOn w:val="Normal"/>
    <w:next w:val="Normal"/>
    <w:uiPriority w:val="99"/>
    <w:rsid w:val="00B55A79"/>
    <w:pPr>
      <w:keepNext/>
      <w:autoSpaceDE w:val="0"/>
      <w:autoSpaceDN w:val="0"/>
      <w:adjustRightInd w:val="0"/>
      <w:spacing w:before="100" w:after="100" w:line="240" w:lineRule="auto"/>
      <w:jc w:val="left"/>
      <w:outlineLvl w:val="1"/>
    </w:pPr>
    <w:rPr>
      <w:b/>
      <w:bCs/>
      <w:kern w:val="36"/>
      <w:sz w:val="48"/>
      <w:szCs w:val="48"/>
    </w:rPr>
  </w:style>
  <w:style w:type="paragraph" w:customStyle="1" w:styleId="DefinitionTerm">
    <w:name w:val="Definition Term"/>
    <w:basedOn w:val="Normal"/>
    <w:next w:val="DefinitionList"/>
    <w:uiPriority w:val="99"/>
    <w:rsid w:val="00567A83"/>
    <w:pPr>
      <w:autoSpaceDE w:val="0"/>
      <w:autoSpaceDN w:val="0"/>
      <w:adjustRightInd w:val="0"/>
      <w:spacing w:after="0" w:line="240" w:lineRule="auto"/>
      <w:jc w:val="left"/>
    </w:pPr>
    <w:rPr>
      <w:szCs w:val="24"/>
    </w:rPr>
  </w:style>
  <w:style w:type="paragraph" w:customStyle="1" w:styleId="DefinitionList">
    <w:name w:val="Definition List"/>
    <w:basedOn w:val="Normal"/>
    <w:next w:val="DefinitionTerm"/>
    <w:uiPriority w:val="99"/>
    <w:rsid w:val="00567A83"/>
    <w:pPr>
      <w:autoSpaceDE w:val="0"/>
      <w:autoSpaceDN w:val="0"/>
      <w:adjustRightInd w:val="0"/>
      <w:spacing w:after="0" w:line="240" w:lineRule="auto"/>
      <w:ind w:left="360"/>
      <w:jc w:val="left"/>
    </w:pPr>
    <w:rPr>
      <w:szCs w:val="24"/>
    </w:rPr>
  </w:style>
  <w:style w:type="character" w:styleId="LineNumber">
    <w:name w:val="line number"/>
    <w:basedOn w:val="DefaultParagraphFont"/>
    <w:uiPriority w:val="99"/>
    <w:semiHidden/>
    <w:unhideWhenUsed/>
    <w:rsid w:val="00DF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20087300">
      <w:bodyDiv w:val="1"/>
      <w:marLeft w:val="0"/>
      <w:marRight w:val="0"/>
      <w:marTop w:val="0"/>
      <w:marBottom w:val="0"/>
      <w:divBdr>
        <w:top w:val="none" w:sz="0" w:space="0" w:color="auto"/>
        <w:left w:val="none" w:sz="0" w:space="0" w:color="auto"/>
        <w:bottom w:val="none" w:sz="0" w:space="0" w:color="auto"/>
        <w:right w:val="none" w:sz="0" w:space="0" w:color="auto"/>
      </w:divBdr>
    </w:div>
    <w:div w:id="347369090">
      <w:bodyDiv w:val="1"/>
      <w:marLeft w:val="0"/>
      <w:marRight w:val="0"/>
      <w:marTop w:val="0"/>
      <w:marBottom w:val="0"/>
      <w:divBdr>
        <w:top w:val="none" w:sz="0" w:space="0" w:color="auto"/>
        <w:left w:val="none" w:sz="0" w:space="0" w:color="auto"/>
        <w:bottom w:val="none" w:sz="0" w:space="0" w:color="auto"/>
        <w:right w:val="none" w:sz="0" w:space="0" w:color="auto"/>
      </w:divBdr>
    </w:div>
    <w:div w:id="593056989">
      <w:bodyDiv w:val="1"/>
      <w:marLeft w:val="0"/>
      <w:marRight w:val="0"/>
      <w:marTop w:val="0"/>
      <w:marBottom w:val="0"/>
      <w:divBdr>
        <w:top w:val="none" w:sz="0" w:space="0" w:color="auto"/>
        <w:left w:val="none" w:sz="0" w:space="0" w:color="auto"/>
        <w:bottom w:val="none" w:sz="0" w:space="0" w:color="auto"/>
        <w:right w:val="none" w:sz="0" w:space="0" w:color="auto"/>
      </w:divBdr>
    </w:div>
    <w:div w:id="594289995">
      <w:bodyDiv w:val="1"/>
      <w:marLeft w:val="0"/>
      <w:marRight w:val="0"/>
      <w:marTop w:val="0"/>
      <w:marBottom w:val="0"/>
      <w:divBdr>
        <w:top w:val="none" w:sz="0" w:space="0" w:color="auto"/>
        <w:left w:val="none" w:sz="0" w:space="0" w:color="auto"/>
        <w:bottom w:val="none" w:sz="0" w:space="0" w:color="auto"/>
        <w:right w:val="none" w:sz="0" w:space="0" w:color="auto"/>
      </w:divBdr>
    </w:div>
    <w:div w:id="617874167">
      <w:bodyDiv w:val="1"/>
      <w:marLeft w:val="0"/>
      <w:marRight w:val="0"/>
      <w:marTop w:val="0"/>
      <w:marBottom w:val="0"/>
      <w:divBdr>
        <w:top w:val="none" w:sz="0" w:space="0" w:color="auto"/>
        <w:left w:val="none" w:sz="0" w:space="0" w:color="auto"/>
        <w:bottom w:val="none" w:sz="0" w:space="0" w:color="auto"/>
        <w:right w:val="none" w:sz="0" w:space="0" w:color="auto"/>
      </w:divBdr>
    </w:div>
    <w:div w:id="867064965">
      <w:bodyDiv w:val="1"/>
      <w:marLeft w:val="0"/>
      <w:marRight w:val="0"/>
      <w:marTop w:val="0"/>
      <w:marBottom w:val="0"/>
      <w:divBdr>
        <w:top w:val="none" w:sz="0" w:space="0" w:color="auto"/>
        <w:left w:val="none" w:sz="0" w:space="0" w:color="auto"/>
        <w:bottom w:val="none" w:sz="0" w:space="0" w:color="auto"/>
        <w:right w:val="none" w:sz="0" w:space="0" w:color="auto"/>
      </w:divBdr>
    </w:div>
    <w:div w:id="928121219">
      <w:bodyDiv w:val="1"/>
      <w:marLeft w:val="0"/>
      <w:marRight w:val="0"/>
      <w:marTop w:val="0"/>
      <w:marBottom w:val="0"/>
      <w:divBdr>
        <w:top w:val="none" w:sz="0" w:space="0" w:color="auto"/>
        <w:left w:val="none" w:sz="0" w:space="0" w:color="auto"/>
        <w:bottom w:val="none" w:sz="0" w:space="0" w:color="auto"/>
        <w:right w:val="none" w:sz="0" w:space="0" w:color="auto"/>
      </w:divBdr>
    </w:div>
    <w:div w:id="976959565">
      <w:bodyDiv w:val="1"/>
      <w:marLeft w:val="0"/>
      <w:marRight w:val="0"/>
      <w:marTop w:val="0"/>
      <w:marBottom w:val="0"/>
      <w:divBdr>
        <w:top w:val="none" w:sz="0" w:space="0" w:color="auto"/>
        <w:left w:val="none" w:sz="0" w:space="0" w:color="auto"/>
        <w:bottom w:val="none" w:sz="0" w:space="0" w:color="auto"/>
        <w:right w:val="none" w:sz="0" w:space="0" w:color="auto"/>
      </w:divBdr>
    </w:div>
    <w:div w:id="997150721">
      <w:bodyDiv w:val="1"/>
      <w:marLeft w:val="0"/>
      <w:marRight w:val="0"/>
      <w:marTop w:val="0"/>
      <w:marBottom w:val="0"/>
      <w:divBdr>
        <w:top w:val="none" w:sz="0" w:space="0" w:color="auto"/>
        <w:left w:val="none" w:sz="0" w:space="0" w:color="auto"/>
        <w:bottom w:val="none" w:sz="0" w:space="0" w:color="auto"/>
        <w:right w:val="none" w:sz="0" w:space="0" w:color="auto"/>
      </w:divBdr>
      <w:divsChild>
        <w:div w:id="1220434385">
          <w:marLeft w:val="0"/>
          <w:marRight w:val="0"/>
          <w:marTop w:val="0"/>
          <w:marBottom w:val="0"/>
          <w:divBdr>
            <w:top w:val="none" w:sz="0" w:space="0" w:color="auto"/>
            <w:left w:val="none" w:sz="0" w:space="0" w:color="auto"/>
            <w:bottom w:val="none" w:sz="0" w:space="0" w:color="auto"/>
            <w:right w:val="none" w:sz="0" w:space="0" w:color="auto"/>
          </w:divBdr>
          <w:divsChild>
            <w:div w:id="1912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9377">
      <w:bodyDiv w:val="1"/>
      <w:marLeft w:val="0"/>
      <w:marRight w:val="0"/>
      <w:marTop w:val="0"/>
      <w:marBottom w:val="0"/>
      <w:divBdr>
        <w:top w:val="none" w:sz="0" w:space="0" w:color="auto"/>
        <w:left w:val="none" w:sz="0" w:space="0" w:color="auto"/>
        <w:bottom w:val="none" w:sz="0" w:space="0" w:color="auto"/>
        <w:right w:val="none" w:sz="0" w:space="0" w:color="auto"/>
      </w:divBdr>
      <w:divsChild>
        <w:div w:id="1655522385">
          <w:marLeft w:val="0"/>
          <w:marRight w:val="0"/>
          <w:marTop w:val="0"/>
          <w:marBottom w:val="0"/>
          <w:divBdr>
            <w:top w:val="none" w:sz="0" w:space="0" w:color="auto"/>
            <w:left w:val="none" w:sz="0" w:space="0" w:color="auto"/>
            <w:bottom w:val="none" w:sz="0" w:space="0" w:color="auto"/>
            <w:right w:val="none" w:sz="0" w:space="0" w:color="auto"/>
          </w:divBdr>
        </w:div>
        <w:div w:id="1891113524">
          <w:marLeft w:val="0"/>
          <w:marRight w:val="0"/>
          <w:marTop w:val="0"/>
          <w:marBottom w:val="0"/>
          <w:divBdr>
            <w:top w:val="none" w:sz="0" w:space="0" w:color="auto"/>
            <w:left w:val="none" w:sz="0" w:space="0" w:color="auto"/>
            <w:bottom w:val="none" w:sz="0" w:space="0" w:color="auto"/>
            <w:right w:val="none" w:sz="0" w:space="0" w:color="auto"/>
          </w:divBdr>
        </w:div>
      </w:divsChild>
    </w:div>
    <w:div w:id="1132014914">
      <w:bodyDiv w:val="1"/>
      <w:marLeft w:val="0"/>
      <w:marRight w:val="0"/>
      <w:marTop w:val="0"/>
      <w:marBottom w:val="0"/>
      <w:divBdr>
        <w:top w:val="none" w:sz="0" w:space="0" w:color="auto"/>
        <w:left w:val="none" w:sz="0" w:space="0" w:color="auto"/>
        <w:bottom w:val="none" w:sz="0" w:space="0" w:color="auto"/>
        <w:right w:val="none" w:sz="0" w:space="0" w:color="auto"/>
      </w:divBdr>
      <w:divsChild>
        <w:div w:id="649484269">
          <w:marLeft w:val="0"/>
          <w:marRight w:val="0"/>
          <w:marTop w:val="0"/>
          <w:marBottom w:val="0"/>
          <w:divBdr>
            <w:top w:val="none" w:sz="0" w:space="0" w:color="auto"/>
            <w:left w:val="none" w:sz="0" w:space="0" w:color="auto"/>
            <w:bottom w:val="none" w:sz="0" w:space="0" w:color="auto"/>
            <w:right w:val="none" w:sz="0" w:space="0" w:color="auto"/>
          </w:divBdr>
        </w:div>
        <w:div w:id="856308040">
          <w:marLeft w:val="0"/>
          <w:marRight w:val="0"/>
          <w:marTop w:val="0"/>
          <w:marBottom w:val="0"/>
          <w:divBdr>
            <w:top w:val="none" w:sz="0" w:space="0" w:color="auto"/>
            <w:left w:val="none" w:sz="0" w:space="0" w:color="auto"/>
            <w:bottom w:val="none" w:sz="0" w:space="0" w:color="auto"/>
            <w:right w:val="none" w:sz="0" w:space="0" w:color="auto"/>
          </w:divBdr>
        </w:div>
        <w:div w:id="1358770691">
          <w:marLeft w:val="0"/>
          <w:marRight w:val="0"/>
          <w:marTop w:val="0"/>
          <w:marBottom w:val="0"/>
          <w:divBdr>
            <w:top w:val="none" w:sz="0" w:space="0" w:color="auto"/>
            <w:left w:val="none" w:sz="0" w:space="0" w:color="auto"/>
            <w:bottom w:val="none" w:sz="0" w:space="0" w:color="auto"/>
            <w:right w:val="none" w:sz="0" w:space="0" w:color="auto"/>
          </w:divBdr>
        </w:div>
      </w:divsChild>
    </w:div>
    <w:div w:id="1327053479">
      <w:bodyDiv w:val="1"/>
      <w:marLeft w:val="0"/>
      <w:marRight w:val="0"/>
      <w:marTop w:val="0"/>
      <w:marBottom w:val="0"/>
      <w:divBdr>
        <w:top w:val="none" w:sz="0" w:space="0" w:color="auto"/>
        <w:left w:val="none" w:sz="0" w:space="0" w:color="auto"/>
        <w:bottom w:val="none" w:sz="0" w:space="0" w:color="auto"/>
        <w:right w:val="none" w:sz="0" w:space="0" w:color="auto"/>
      </w:divBdr>
    </w:div>
    <w:div w:id="1374186210">
      <w:bodyDiv w:val="1"/>
      <w:marLeft w:val="0"/>
      <w:marRight w:val="0"/>
      <w:marTop w:val="0"/>
      <w:marBottom w:val="0"/>
      <w:divBdr>
        <w:top w:val="none" w:sz="0" w:space="0" w:color="auto"/>
        <w:left w:val="none" w:sz="0" w:space="0" w:color="auto"/>
        <w:bottom w:val="none" w:sz="0" w:space="0" w:color="auto"/>
        <w:right w:val="none" w:sz="0" w:space="0" w:color="auto"/>
      </w:divBdr>
    </w:div>
    <w:div w:id="1425035282">
      <w:bodyDiv w:val="1"/>
      <w:marLeft w:val="0"/>
      <w:marRight w:val="0"/>
      <w:marTop w:val="0"/>
      <w:marBottom w:val="0"/>
      <w:divBdr>
        <w:top w:val="none" w:sz="0" w:space="0" w:color="auto"/>
        <w:left w:val="none" w:sz="0" w:space="0" w:color="auto"/>
        <w:bottom w:val="none" w:sz="0" w:space="0" w:color="auto"/>
        <w:right w:val="none" w:sz="0" w:space="0" w:color="auto"/>
      </w:divBdr>
    </w:div>
    <w:div w:id="1472015429">
      <w:bodyDiv w:val="1"/>
      <w:marLeft w:val="0"/>
      <w:marRight w:val="0"/>
      <w:marTop w:val="0"/>
      <w:marBottom w:val="0"/>
      <w:divBdr>
        <w:top w:val="none" w:sz="0" w:space="0" w:color="auto"/>
        <w:left w:val="none" w:sz="0" w:space="0" w:color="auto"/>
        <w:bottom w:val="none" w:sz="0" w:space="0" w:color="auto"/>
        <w:right w:val="none" w:sz="0" w:space="0" w:color="auto"/>
      </w:divBdr>
    </w:div>
    <w:div w:id="1924025437">
      <w:bodyDiv w:val="1"/>
      <w:marLeft w:val="0"/>
      <w:marRight w:val="0"/>
      <w:marTop w:val="0"/>
      <w:marBottom w:val="0"/>
      <w:divBdr>
        <w:top w:val="none" w:sz="0" w:space="0" w:color="auto"/>
        <w:left w:val="none" w:sz="0" w:space="0" w:color="auto"/>
        <w:bottom w:val="none" w:sz="0" w:space="0" w:color="auto"/>
        <w:right w:val="none" w:sz="0" w:space="0" w:color="auto"/>
      </w:divBdr>
      <w:divsChild>
        <w:div w:id="1495756871">
          <w:marLeft w:val="0"/>
          <w:marRight w:val="0"/>
          <w:marTop w:val="0"/>
          <w:marBottom w:val="0"/>
          <w:divBdr>
            <w:top w:val="none" w:sz="0" w:space="0" w:color="auto"/>
            <w:left w:val="none" w:sz="0" w:space="0" w:color="auto"/>
            <w:bottom w:val="none" w:sz="0" w:space="0" w:color="auto"/>
            <w:right w:val="none" w:sz="0" w:space="0" w:color="auto"/>
          </w:divBdr>
        </w:div>
      </w:divsChild>
    </w:div>
    <w:div w:id="2012830177">
      <w:bodyDiv w:val="1"/>
      <w:marLeft w:val="0"/>
      <w:marRight w:val="0"/>
      <w:marTop w:val="0"/>
      <w:marBottom w:val="0"/>
      <w:divBdr>
        <w:top w:val="none" w:sz="0" w:space="0" w:color="auto"/>
        <w:left w:val="none" w:sz="0" w:space="0" w:color="auto"/>
        <w:bottom w:val="none" w:sz="0" w:space="0" w:color="auto"/>
        <w:right w:val="none" w:sz="0" w:space="0" w:color="auto"/>
      </w:divBdr>
    </w:div>
    <w:div w:id="20773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B569690-5465-1147-BF64-EABE9A4A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25316</Words>
  <Characters>144304</Characters>
  <Application>Microsoft Macintosh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c:creator>
  <cp:keywords/>
  <dc:description/>
  <cp:lastModifiedBy>mamas mamas</cp:lastModifiedBy>
  <cp:revision>2</cp:revision>
  <dcterms:created xsi:type="dcterms:W3CDTF">2017-08-21T09:48:00Z</dcterms:created>
  <dcterms:modified xsi:type="dcterms:W3CDTF">2017-08-21T09:48:00Z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http://www.zotero.org/styles/circulation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http://www.zotero.org/styles/circulation</vt:lpwstr>
  </property>
  <property fmtid="{D5CDD505-2E9C-101B-9397-08002B2CF9AE}" pid="13" name="Mendeley Recent Style Name 4_1">
    <vt:lpwstr>Circulation</vt:lpwstr>
  </property>
  <property fmtid="{D5CDD505-2E9C-101B-9397-08002B2CF9AE}" pid="14" name="Mendeley Recent Style Id 5_1">
    <vt:lpwstr>http://www.zotero.org/styles/heart</vt:lpwstr>
  </property>
  <property fmtid="{D5CDD505-2E9C-101B-9397-08002B2CF9AE}" pid="15" name="Mendeley Recent Style Name 5_1">
    <vt:lpwstr>Heart</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http://www.zotero.org/styles/jacc-cardiovascular-imaging</vt:lpwstr>
  </property>
  <property fmtid="{D5CDD505-2E9C-101B-9397-08002B2CF9AE}" pid="19" name="Mendeley Recent Style Name 7_1">
    <vt:lpwstr>JACC: Cardiovascular Imaging</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02afbd35-bc8c-37b5-8284-f6a681c4f1b8</vt:lpwstr>
  </property>
</Properties>
</file>