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748" w:rsidRDefault="00865748" w:rsidP="00865748">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HIERARCHY AND THE SOURCES OF INTERNATIONAL LAW: A </w:t>
      </w:r>
      <w:r w:rsidR="00FA38A0">
        <w:rPr>
          <w:rFonts w:ascii="Times New Roman" w:hAnsi="Times New Roman" w:cs="Times New Roman"/>
          <w:b/>
          <w:sz w:val="28"/>
          <w:szCs w:val="28"/>
          <w:lang w:val="en-US"/>
        </w:rPr>
        <w:t>CRITIQUE</w:t>
      </w:r>
    </w:p>
    <w:p w:rsidR="00865748" w:rsidRPr="00865748" w:rsidRDefault="00865748" w:rsidP="00865748">
      <w:pPr>
        <w:jc w:val="center"/>
        <w:rPr>
          <w:rFonts w:ascii="Times New Roman" w:hAnsi="Times New Roman" w:cs="Times New Roman"/>
          <w:i/>
          <w:sz w:val="28"/>
          <w:szCs w:val="28"/>
          <w:lang w:val="en-US"/>
        </w:rPr>
      </w:pPr>
      <w:r>
        <w:rPr>
          <w:rFonts w:ascii="Times New Roman" w:hAnsi="Times New Roman" w:cs="Times New Roman"/>
          <w:i/>
          <w:sz w:val="28"/>
          <w:szCs w:val="28"/>
          <w:lang w:val="en-US"/>
        </w:rPr>
        <w:t>Mario Prost</w:t>
      </w:r>
      <w:r w:rsidR="00CC4850" w:rsidRPr="00CC4850">
        <w:rPr>
          <w:rStyle w:val="FootnoteReference"/>
          <w:rFonts w:ascii="Times New Roman" w:hAnsi="Times New Roman" w:cs="Times New Roman"/>
          <w:i/>
          <w:sz w:val="28"/>
          <w:szCs w:val="28"/>
          <w:lang w:val="en-US"/>
        </w:rPr>
        <w:footnoteReference w:customMarkFollows="1" w:id="1"/>
        <w:sym w:font="Symbol" w:char="F02A"/>
      </w:r>
    </w:p>
    <w:p w:rsidR="00865748" w:rsidRDefault="00865748" w:rsidP="00A63B3B">
      <w:pPr>
        <w:rPr>
          <w:rFonts w:ascii="Times New Roman" w:hAnsi="Times New Roman" w:cs="Times New Roman"/>
          <w:b/>
          <w:lang w:val="en-US"/>
        </w:rPr>
      </w:pPr>
    </w:p>
    <w:p w:rsidR="00A63B3B" w:rsidRPr="00865748" w:rsidRDefault="004665A9" w:rsidP="00865748">
      <w:pPr>
        <w:pStyle w:val="Heading1"/>
      </w:pPr>
      <w:bookmarkStart w:id="0" w:name="_Toc459318313"/>
      <w:r w:rsidRPr="00865748">
        <w:t>Introduction</w:t>
      </w:r>
      <w:r w:rsidR="002F4F29" w:rsidRPr="00865748">
        <w:t xml:space="preserve"> – Of Anarchy, Hierarchy and Source</w:t>
      </w:r>
      <w:r w:rsidR="00BD609D" w:rsidRPr="00865748">
        <w:t>s</w:t>
      </w:r>
      <w:r w:rsidR="002F4F29" w:rsidRPr="00865748">
        <w:t xml:space="preserve"> Orthodoxy</w:t>
      </w:r>
      <w:bookmarkEnd w:id="0"/>
      <w:r w:rsidR="00A63B3B" w:rsidRPr="00865748">
        <w:br/>
      </w:r>
    </w:p>
    <w:p w:rsidR="00CD40EF" w:rsidRPr="00100D6C" w:rsidRDefault="00713FB2" w:rsidP="002C16CC">
      <w:pPr>
        <w:jc w:val="both"/>
        <w:rPr>
          <w:rFonts w:ascii="Times New Roman" w:hAnsi="Times New Roman" w:cs="Times New Roman"/>
          <w:lang w:val="en-US"/>
        </w:rPr>
      </w:pPr>
      <w:r w:rsidRPr="00100D6C">
        <w:rPr>
          <w:rFonts w:ascii="Times New Roman" w:hAnsi="Times New Roman" w:cs="Times New Roman"/>
          <w:lang w:val="en-US"/>
        </w:rPr>
        <w:t xml:space="preserve">The discipline of international law, like all academic disciplines, is </w:t>
      </w:r>
      <w:r w:rsidR="00954E40" w:rsidRPr="00100D6C">
        <w:rPr>
          <w:rFonts w:ascii="Times New Roman" w:hAnsi="Times New Roman" w:cs="Times New Roman"/>
          <w:lang w:val="en-US"/>
        </w:rPr>
        <w:t>built</w:t>
      </w:r>
      <w:r w:rsidRPr="00100D6C">
        <w:rPr>
          <w:rFonts w:ascii="Times New Roman" w:hAnsi="Times New Roman" w:cs="Times New Roman"/>
          <w:lang w:val="en-US"/>
        </w:rPr>
        <w:t xml:space="preserve"> a</w:t>
      </w:r>
      <w:r w:rsidR="00954E40" w:rsidRPr="00100D6C">
        <w:rPr>
          <w:rFonts w:ascii="Times New Roman" w:hAnsi="Times New Roman" w:cs="Times New Roman"/>
          <w:lang w:val="en-US"/>
        </w:rPr>
        <w:t>round a set of accepted truths, intuitions and histories</w:t>
      </w:r>
      <w:r w:rsidR="001D69CE" w:rsidRPr="00100D6C">
        <w:rPr>
          <w:rFonts w:ascii="Times New Roman" w:hAnsi="Times New Roman" w:cs="Times New Roman"/>
          <w:lang w:val="en-US"/>
        </w:rPr>
        <w:t xml:space="preserve">, which together form its </w:t>
      </w:r>
      <w:r w:rsidR="0059690D" w:rsidRPr="00100D6C">
        <w:rPr>
          <w:rFonts w:ascii="Times New Roman" w:hAnsi="Times New Roman" w:cs="Times New Roman"/>
          <w:lang w:val="en-US"/>
        </w:rPr>
        <w:t>distinctive</w:t>
      </w:r>
      <w:r w:rsidR="001D69CE" w:rsidRPr="00100D6C">
        <w:rPr>
          <w:rFonts w:ascii="Times New Roman" w:hAnsi="Times New Roman" w:cs="Times New Roman"/>
          <w:lang w:val="en-US"/>
        </w:rPr>
        <w:t xml:space="preserve"> </w:t>
      </w:r>
      <w:r w:rsidR="001D69CE" w:rsidRPr="00100D6C">
        <w:rPr>
          <w:rFonts w:ascii="Times New Roman" w:hAnsi="Times New Roman" w:cs="Times New Roman"/>
          <w:i/>
          <w:lang w:val="en-US"/>
        </w:rPr>
        <w:t>episteme</w:t>
      </w:r>
      <w:r w:rsidR="001D69CE" w:rsidRPr="00100D6C">
        <w:rPr>
          <w:rFonts w:ascii="Times New Roman" w:hAnsi="Times New Roman" w:cs="Times New Roman"/>
          <w:lang w:val="en-US"/>
        </w:rPr>
        <w:t xml:space="preserve"> – as Foucault </w:t>
      </w:r>
      <w:r w:rsidR="007F62B0" w:rsidRPr="00100D6C">
        <w:rPr>
          <w:rFonts w:ascii="Times New Roman" w:hAnsi="Times New Roman" w:cs="Times New Roman"/>
          <w:lang w:val="en-US"/>
        </w:rPr>
        <w:t>defines</w:t>
      </w:r>
      <w:r w:rsidR="001D69CE" w:rsidRPr="00100D6C">
        <w:rPr>
          <w:rFonts w:ascii="Times New Roman" w:hAnsi="Times New Roman" w:cs="Times New Roman"/>
          <w:lang w:val="en-US"/>
        </w:rPr>
        <w:t xml:space="preserve"> it – i.e. its paradigmatic structure of thought and argument.</w:t>
      </w:r>
      <w:r w:rsidR="007F62B0" w:rsidRPr="00100D6C">
        <w:rPr>
          <w:rStyle w:val="FootnoteReference"/>
          <w:rFonts w:ascii="Times New Roman" w:hAnsi="Times New Roman" w:cs="Times New Roman"/>
          <w:lang w:val="en-US"/>
        </w:rPr>
        <w:footnoteReference w:id="2"/>
      </w:r>
      <w:r w:rsidR="001D69CE" w:rsidRPr="00100D6C">
        <w:rPr>
          <w:rFonts w:ascii="Times New Roman" w:hAnsi="Times New Roman" w:cs="Times New Roman"/>
          <w:lang w:val="en-US"/>
        </w:rPr>
        <w:t xml:space="preserve"> One</w:t>
      </w:r>
      <w:r w:rsidR="0059690D" w:rsidRPr="00100D6C">
        <w:rPr>
          <w:rFonts w:ascii="Times New Roman" w:hAnsi="Times New Roman" w:cs="Times New Roman"/>
          <w:lang w:val="en-US"/>
        </w:rPr>
        <w:t xml:space="preserve"> of these epistemic truths</w:t>
      </w:r>
      <w:r w:rsidR="001D69CE" w:rsidRPr="00100D6C">
        <w:rPr>
          <w:rFonts w:ascii="Times New Roman" w:hAnsi="Times New Roman" w:cs="Times New Roman"/>
          <w:lang w:val="en-US"/>
        </w:rPr>
        <w:t xml:space="preserve"> </w:t>
      </w:r>
      <w:r w:rsidR="00954E40" w:rsidRPr="00100D6C">
        <w:rPr>
          <w:rFonts w:ascii="Times New Roman" w:hAnsi="Times New Roman" w:cs="Times New Roman"/>
          <w:lang w:val="en-US"/>
        </w:rPr>
        <w:t>is that</w:t>
      </w:r>
      <w:r w:rsidR="0059690D" w:rsidRPr="00100D6C">
        <w:rPr>
          <w:rFonts w:ascii="Times New Roman" w:hAnsi="Times New Roman" w:cs="Times New Roman"/>
          <w:lang w:val="en-US"/>
        </w:rPr>
        <w:t xml:space="preserve"> international law constitutes a distinctly anarchical order, not so much because it is chaotic and disorderly, </w:t>
      </w:r>
      <w:r w:rsidR="004665A9" w:rsidRPr="00100D6C">
        <w:rPr>
          <w:rFonts w:ascii="Times New Roman" w:hAnsi="Times New Roman" w:cs="Times New Roman"/>
          <w:lang w:val="en-US"/>
        </w:rPr>
        <w:t xml:space="preserve">but </w:t>
      </w:r>
      <w:r w:rsidR="00DA0809" w:rsidRPr="00100D6C">
        <w:rPr>
          <w:rFonts w:ascii="Times New Roman" w:hAnsi="Times New Roman" w:cs="Times New Roman"/>
          <w:lang w:val="en-US"/>
        </w:rPr>
        <w:t>because</w:t>
      </w:r>
      <w:r w:rsidR="004665A9" w:rsidRPr="00100D6C">
        <w:rPr>
          <w:rFonts w:ascii="Times New Roman" w:hAnsi="Times New Roman" w:cs="Times New Roman"/>
          <w:lang w:val="en-US"/>
        </w:rPr>
        <w:t xml:space="preserve"> it lacks a </w:t>
      </w:r>
      <w:r w:rsidR="00D24170" w:rsidRPr="00100D6C">
        <w:rPr>
          <w:rFonts w:ascii="Times New Roman" w:hAnsi="Times New Roman" w:cs="Times New Roman"/>
          <w:lang w:val="en-US"/>
        </w:rPr>
        <w:t>centralized</w:t>
      </w:r>
      <w:r w:rsidR="004665A9" w:rsidRPr="00100D6C">
        <w:rPr>
          <w:rFonts w:ascii="Times New Roman" w:hAnsi="Times New Roman" w:cs="Times New Roman"/>
          <w:lang w:val="en-US"/>
        </w:rPr>
        <w:t xml:space="preserve"> and hierarchically structured law-making and law-enforcing authority.</w:t>
      </w:r>
      <w:r w:rsidR="004665A9" w:rsidRPr="00100D6C">
        <w:rPr>
          <w:rStyle w:val="FootnoteReference"/>
          <w:rFonts w:ascii="Times New Roman" w:hAnsi="Times New Roman" w:cs="Times New Roman"/>
          <w:lang w:val="en-US"/>
        </w:rPr>
        <w:footnoteReference w:id="3"/>
      </w:r>
      <w:r w:rsidR="00A709EE" w:rsidRPr="00100D6C">
        <w:rPr>
          <w:rFonts w:ascii="Times New Roman" w:hAnsi="Times New Roman" w:cs="Times New Roman"/>
          <w:lang w:val="en-US"/>
        </w:rPr>
        <w:t xml:space="preserve"> </w:t>
      </w:r>
      <w:r w:rsidR="00EF59E9" w:rsidRPr="00100D6C">
        <w:rPr>
          <w:rFonts w:ascii="Times New Roman" w:hAnsi="Times New Roman" w:cs="Times New Roman"/>
          <w:lang w:val="en-US"/>
        </w:rPr>
        <w:t>Domestic legal systems</w:t>
      </w:r>
      <w:r w:rsidR="00727C8C" w:rsidRPr="00100D6C">
        <w:rPr>
          <w:rFonts w:ascii="Times New Roman" w:hAnsi="Times New Roman" w:cs="Times New Roman"/>
          <w:lang w:val="en-US"/>
        </w:rPr>
        <w:t xml:space="preserve"> do, as a norm,</w:t>
      </w:r>
      <w:r w:rsidR="00EF59E9" w:rsidRPr="00100D6C">
        <w:rPr>
          <w:rFonts w:ascii="Times New Roman" w:hAnsi="Times New Roman" w:cs="Times New Roman"/>
          <w:lang w:val="en-US"/>
        </w:rPr>
        <w:t xml:space="preserve"> benefit from highly developed and sophisticated institutional machineries endowed with the power of </w:t>
      </w:r>
      <w:r w:rsidR="002C16CC" w:rsidRPr="00100D6C">
        <w:rPr>
          <w:rFonts w:ascii="Times New Roman" w:hAnsi="Times New Roman" w:cs="Times New Roman"/>
          <w:lang w:val="en-US"/>
        </w:rPr>
        <w:t>legislation</w:t>
      </w:r>
      <w:r w:rsidR="00EF59E9" w:rsidRPr="00100D6C">
        <w:rPr>
          <w:rFonts w:ascii="Times New Roman" w:hAnsi="Times New Roman" w:cs="Times New Roman"/>
          <w:lang w:val="en-US"/>
        </w:rPr>
        <w:t xml:space="preserve"> and lawful coercion. International law, by contrast, is thought to be a largely horizontal system of governance in which </w:t>
      </w:r>
      <w:r w:rsidR="00532FD1" w:rsidRPr="00100D6C">
        <w:rPr>
          <w:rFonts w:ascii="Times New Roman" w:hAnsi="Times New Roman" w:cs="Times New Roman"/>
          <w:lang w:val="en-US"/>
        </w:rPr>
        <w:t>juridical</w:t>
      </w:r>
      <w:r w:rsidR="00EF59E9" w:rsidRPr="00100D6C">
        <w:rPr>
          <w:rFonts w:ascii="Times New Roman" w:hAnsi="Times New Roman" w:cs="Times New Roman"/>
          <w:lang w:val="en-US"/>
        </w:rPr>
        <w:t xml:space="preserve"> authority and the </w:t>
      </w:r>
      <w:r w:rsidR="001B7A82" w:rsidRPr="00100D6C">
        <w:rPr>
          <w:rFonts w:ascii="Times New Roman" w:hAnsi="Times New Roman" w:cs="Times New Roman"/>
          <w:lang w:val="en-US"/>
        </w:rPr>
        <w:t>exercise of key legal functions (law-making, law determination and law enforcement)</w:t>
      </w:r>
      <w:r w:rsidR="00EF59E9" w:rsidRPr="00100D6C">
        <w:rPr>
          <w:rFonts w:ascii="Times New Roman" w:hAnsi="Times New Roman" w:cs="Times New Roman"/>
          <w:lang w:val="en-US"/>
        </w:rPr>
        <w:t xml:space="preserve"> ar</w:t>
      </w:r>
      <w:r w:rsidR="00DA0809" w:rsidRPr="00100D6C">
        <w:rPr>
          <w:rFonts w:ascii="Times New Roman" w:hAnsi="Times New Roman" w:cs="Times New Roman"/>
          <w:lang w:val="en-US"/>
        </w:rPr>
        <w:t>e fragmented and decentralized.</w:t>
      </w:r>
      <w:bookmarkStart w:id="1" w:name="_Ref427829950"/>
      <w:r w:rsidR="001B7A82" w:rsidRPr="00100D6C">
        <w:rPr>
          <w:rStyle w:val="FootnoteReference"/>
          <w:rFonts w:ascii="Times New Roman" w:hAnsi="Times New Roman" w:cs="Times New Roman"/>
          <w:lang w:val="en-US"/>
        </w:rPr>
        <w:footnoteReference w:id="4"/>
      </w:r>
      <w:bookmarkEnd w:id="1"/>
    </w:p>
    <w:p w:rsidR="00DD2051" w:rsidRPr="00100D6C" w:rsidRDefault="009D618F" w:rsidP="002C16CC">
      <w:pPr>
        <w:jc w:val="both"/>
        <w:rPr>
          <w:rFonts w:ascii="Times New Roman" w:hAnsi="Times New Roman" w:cs="Times New Roman"/>
          <w:lang w:val="en-US"/>
        </w:rPr>
      </w:pPr>
      <w:r w:rsidRPr="00100D6C">
        <w:rPr>
          <w:rFonts w:ascii="Times New Roman" w:hAnsi="Times New Roman" w:cs="Times New Roman"/>
          <w:lang w:val="en-US"/>
        </w:rPr>
        <w:t>Horizontality – or the lack of hierarchy – is cons</w:t>
      </w:r>
      <w:r w:rsidR="00727C8C" w:rsidRPr="00100D6C">
        <w:rPr>
          <w:rFonts w:ascii="Times New Roman" w:hAnsi="Times New Roman" w:cs="Times New Roman"/>
          <w:lang w:val="en-US"/>
        </w:rPr>
        <w:t>idered by most legal scholars</w:t>
      </w:r>
      <w:r w:rsidRPr="00100D6C">
        <w:rPr>
          <w:rFonts w:ascii="Times New Roman" w:hAnsi="Times New Roman" w:cs="Times New Roman"/>
          <w:lang w:val="en-US"/>
        </w:rPr>
        <w:t xml:space="preserve"> a central fact of international life and the starting point </w:t>
      </w:r>
      <w:r w:rsidR="002C16CC" w:rsidRPr="00100D6C">
        <w:rPr>
          <w:rFonts w:ascii="Times New Roman" w:hAnsi="Times New Roman" w:cs="Times New Roman"/>
          <w:lang w:val="en-US"/>
        </w:rPr>
        <w:t xml:space="preserve">for </w:t>
      </w:r>
      <w:r w:rsidR="00AB15A0" w:rsidRPr="00100D6C">
        <w:rPr>
          <w:rFonts w:ascii="Times New Roman" w:hAnsi="Times New Roman" w:cs="Times New Roman"/>
          <w:lang w:val="en-US"/>
        </w:rPr>
        <w:t>theorizing</w:t>
      </w:r>
      <w:r w:rsidR="002C16CC" w:rsidRPr="00100D6C">
        <w:rPr>
          <w:rFonts w:ascii="Times New Roman" w:hAnsi="Times New Roman" w:cs="Times New Roman"/>
          <w:lang w:val="en-US"/>
        </w:rPr>
        <w:t xml:space="preserve"> about international law. Nowhere is this more obvious, perhaps, than in the doctrine of sources. </w:t>
      </w:r>
      <w:r w:rsidR="00DD2051" w:rsidRPr="00100D6C">
        <w:rPr>
          <w:rFonts w:ascii="Times New Roman" w:hAnsi="Times New Roman" w:cs="Times New Roman"/>
          <w:lang w:val="en-US"/>
        </w:rPr>
        <w:t>Conventional accounts of international law-making depict a</w:t>
      </w:r>
      <w:r w:rsidR="004E4747" w:rsidRPr="00100D6C">
        <w:rPr>
          <w:rFonts w:ascii="Times New Roman" w:hAnsi="Times New Roman" w:cs="Times New Roman"/>
          <w:lang w:val="en-US"/>
        </w:rPr>
        <w:t>n eclectic and uncoordinated</w:t>
      </w:r>
      <w:r w:rsidR="00DD2051" w:rsidRPr="00100D6C">
        <w:rPr>
          <w:rFonts w:ascii="Times New Roman" w:hAnsi="Times New Roman" w:cs="Times New Roman"/>
          <w:lang w:val="en-US"/>
        </w:rPr>
        <w:t xml:space="preserve"> system in which States – as sovereign equals – create rules for themselves through various</w:t>
      </w:r>
      <w:r w:rsidR="008E40D9" w:rsidRPr="00100D6C">
        <w:rPr>
          <w:rFonts w:ascii="Times New Roman" w:hAnsi="Times New Roman" w:cs="Times New Roman"/>
          <w:lang w:val="en-US"/>
        </w:rPr>
        <w:t xml:space="preserve"> techniques and</w:t>
      </w:r>
      <w:r w:rsidR="00DD2051" w:rsidRPr="00100D6C">
        <w:rPr>
          <w:rFonts w:ascii="Times New Roman" w:hAnsi="Times New Roman" w:cs="Times New Roman"/>
          <w:lang w:val="en-US"/>
        </w:rPr>
        <w:t xml:space="preserve"> processes which can be engaged simultaneously or in competition with one another</w:t>
      </w:r>
      <w:r w:rsidR="00957B4E" w:rsidRPr="00100D6C">
        <w:rPr>
          <w:rFonts w:ascii="Times New Roman" w:hAnsi="Times New Roman" w:cs="Times New Roman"/>
          <w:lang w:val="en-US"/>
        </w:rPr>
        <w:t>, no process being intrinsically superior, normatively, to the other.</w:t>
      </w:r>
      <w:bookmarkStart w:id="2" w:name="_Ref428024456"/>
      <w:r w:rsidR="004E4747" w:rsidRPr="00100D6C">
        <w:rPr>
          <w:rStyle w:val="FootnoteReference"/>
          <w:rFonts w:ascii="Times New Roman" w:hAnsi="Times New Roman" w:cs="Times New Roman"/>
          <w:lang w:val="en-US"/>
        </w:rPr>
        <w:footnoteReference w:id="5"/>
      </w:r>
      <w:bookmarkEnd w:id="2"/>
      <w:r w:rsidR="00957B4E" w:rsidRPr="00100D6C">
        <w:rPr>
          <w:rFonts w:ascii="Times New Roman" w:hAnsi="Times New Roman" w:cs="Times New Roman"/>
          <w:lang w:val="en-US"/>
        </w:rPr>
        <w:t xml:space="preserve"> No constitution prevailing over ordinary statutes, no </w:t>
      </w:r>
      <w:r w:rsidR="00065CDD" w:rsidRPr="00100D6C">
        <w:rPr>
          <w:rFonts w:ascii="Times New Roman" w:hAnsi="Times New Roman" w:cs="Times New Roman"/>
          <w:lang w:val="en-US"/>
        </w:rPr>
        <w:t>statutory law superior to common law, no decisions of higher courts binding on the decisions of lower courts: sources of international law are said to be of equal rank and status, so that a norm derived from one source is not</w:t>
      </w:r>
      <w:r w:rsidR="008E40D9" w:rsidRPr="00100D6C">
        <w:rPr>
          <w:rFonts w:ascii="Times New Roman" w:hAnsi="Times New Roman" w:cs="Times New Roman"/>
          <w:lang w:val="en-US"/>
        </w:rPr>
        <w:t xml:space="preserve"> as a matter of principle</w:t>
      </w:r>
      <w:r w:rsidR="00065CDD" w:rsidRPr="00100D6C">
        <w:rPr>
          <w:rFonts w:ascii="Times New Roman" w:hAnsi="Times New Roman" w:cs="Times New Roman"/>
          <w:lang w:val="en-US"/>
        </w:rPr>
        <w:t xml:space="preserve"> of a </w:t>
      </w:r>
      <w:r w:rsidR="00065CDD" w:rsidRPr="00100D6C">
        <w:rPr>
          <w:rFonts w:ascii="Times New Roman" w:hAnsi="Times New Roman" w:cs="Times New Roman"/>
          <w:lang w:val="en-US"/>
        </w:rPr>
        <w:lastRenderedPageBreak/>
        <w:t>higher value than a norm formed under another source.</w:t>
      </w:r>
      <w:r w:rsidR="008E40D9" w:rsidRPr="00100D6C">
        <w:rPr>
          <w:rFonts w:ascii="Times New Roman" w:hAnsi="Times New Roman" w:cs="Times New Roman"/>
          <w:lang w:val="en-US"/>
        </w:rPr>
        <w:t xml:space="preserve"> The concept of a formal, </w:t>
      </w:r>
      <w:r w:rsidR="008E40D9" w:rsidRPr="00100D6C">
        <w:rPr>
          <w:rFonts w:ascii="Times New Roman" w:hAnsi="Times New Roman" w:cs="Times New Roman"/>
          <w:i/>
          <w:lang w:val="en-US"/>
        </w:rPr>
        <w:t>a priori</w:t>
      </w:r>
      <w:r w:rsidR="008E40D9" w:rsidRPr="00100D6C">
        <w:rPr>
          <w:rFonts w:ascii="Times New Roman" w:hAnsi="Times New Roman" w:cs="Times New Roman"/>
          <w:lang w:val="en-US"/>
        </w:rPr>
        <w:t xml:space="preserve"> hierarchy of sources is thus, on this view, alien to the structure of the international legal order.</w:t>
      </w:r>
      <w:bookmarkStart w:id="3" w:name="_Ref427852970"/>
      <w:r w:rsidR="00292B06" w:rsidRPr="00100D6C">
        <w:rPr>
          <w:rStyle w:val="FootnoteReference"/>
          <w:rFonts w:ascii="Times New Roman" w:hAnsi="Times New Roman" w:cs="Times New Roman"/>
          <w:lang w:val="en-US"/>
        </w:rPr>
        <w:footnoteReference w:id="6"/>
      </w:r>
      <w:bookmarkEnd w:id="3"/>
    </w:p>
    <w:p w:rsidR="00CD2EE3" w:rsidRPr="00100D6C" w:rsidRDefault="00E45A80" w:rsidP="00490422">
      <w:pPr>
        <w:jc w:val="both"/>
        <w:rPr>
          <w:rFonts w:ascii="Times New Roman" w:hAnsi="Times New Roman" w:cs="Times New Roman"/>
          <w:lang w:val="en-US"/>
        </w:rPr>
      </w:pPr>
      <w:r w:rsidRPr="00100D6C">
        <w:rPr>
          <w:rFonts w:ascii="Times New Roman" w:hAnsi="Times New Roman" w:cs="Times New Roman"/>
          <w:lang w:val="en-US"/>
        </w:rPr>
        <w:t>T</w:t>
      </w:r>
      <w:r w:rsidR="0069152B" w:rsidRPr="00100D6C">
        <w:rPr>
          <w:rFonts w:ascii="Times New Roman" w:hAnsi="Times New Roman" w:cs="Times New Roman"/>
          <w:lang w:val="en-US"/>
        </w:rPr>
        <w:t xml:space="preserve">he </w:t>
      </w:r>
      <w:r w:rsidR="00490422" w:rsidRPr="00100D6C">
        <w:rPr>
          <w:rFonts w:ascii="Times New Roman" w:hAnsi="Times New Roman" w:cs="Times New Roman"/>
          <w:lang w:val="en-US"/>
        </w:rPr>
        <w:t>functional equivalence of sources should not, however</w:t>
      </w:r>
      <w:r w:rsidR="0069152B" w:rsidRPr="00100D6C">
        <w:rPr>
          <w:rFonts w:ascii="Times New Roman" w:hAnsi="Times New Roman" w:cs="Times New Roman"/>
          <w:lang w:val="en-US"/>
        </w:rPr>
        <w:t xml:space="preserve">, obscure the fact that international legal thought and practice are replete with </w:t>
      </w:r>
      <w:r w:rsidRPr="00100D6C">
        <w:rPr>
          <w:rFonts w:ascii="Times New Roman" w:hAnsi="Times New Roman" w:cs="Times New Roman"/>
          <w:lang w:val="en-US"/>
        </w:rPr>
        <w:t>varied forms of hierarchies which, though not necessarily openly acknowledged as such, nevertheless run deep in the system and inform the ways in which international law is</w:t>
      </w:r>
      <w:r w:rsidR="00770C06" w:rsidRPr="00100D6C">
        <w:rPr>
          <w:rFonts w:ascii="Times New Roman" w:hAnsi="Times New Roman" w:cs="Times New Roman"/>
          <w:lang w:val="en-US"/>
        </w:rPr>
        <w:t xml:space="preserve"> </w:t>
      </w:r>
      <w:r w:rsidR="00AB15A0" w:rsidRPr="00100D6C">
        <w:rPr>
          <w:rFonts w:ascii="Times New Roman" w:hAnsi="Times New Roman" w:cs="Times New Roman"/>
          <w:lang w:val="en-US"/>
        </w:rPr>
        <w:t>conceptualized</w:t>
      </w:r>
      <w:r w:rsidR="00770C06" w:rsidRPr="00100D6C">
        <w:rPr>
          <w:rFonts w:ascii="Times New Roman" w:hAnsi="Times New Roman" w:cs="Times New Roman"/>
          <w:lang w:val="en-US"/>
        </w:rPr>
        <w:t>,</w:t>
      </w:r>
      <w:r w:rsidRPr="00100D6C">
        <w:rPr>
          <w:rFonts w:ascii="Times New Roman" w:hAnsi="Times New Roman" w:cs="Times New Roman"/>
          <w:lang w:val="en-US"/>
        </w:rPr>
        <w:t xml:space="preserve"> made and applied.</w:t>
      </w:r>
      <w:r w:rsidR="00B51D83" w:rsidRPr="00100D6C">
        <w:rPr>
          <w:rFonts w:ascii="Times New Roman" w:hAnsi="Times New Roman" w:cs="Times New Roman"/>
          <w:lang w:val="en-US"/>
        </w:rPr>
        <w:t xml:space="preserve"> This paper examines two types of source</w:t>
      </w:r>
      <w:r w:rsidR="001446B5" w:rsidRPr="00100D6C">
        <w:rPr>
          <w:rFonts w:ascii="Times New Roman" w:hAnsi="Times New Roman" w:cs="Times New Roman"/>
          <w:lang w:val="en-US"/>
        </w:rPr>
        <w:t>s</w:t>
      </w:r>
      <w:r w:rsidR="00B51D83" w:rsidRPr="00100D6C">
        <w:rPr>
          <w:rFonts w:ascii="Times New Roman" w:hAnsi="Times New Roman" w:cs="Times New Roman"/>
          <w:lang w:val="en-US"/>
        </w:rPr>
        <w:t xml:space="preserve"> hierarch</w:t>
      </w:r>
      <w:r w:rsidR="001446B5" w:rsidRPr="00100D6C">
        <w:rPr>
          <w:rFonts w:ascii="Times New Roman" w:hAnsi="Times New Roman" w:cs="Times New Roman"/>
          <w:lang w:val="en-US"/>
        </w:rPr>
        <w:t>y</w:t>
      </w:r>
      <w:r w:rsidR="00B51D83" w:rsidRPr="00100D6C">
        <w:rPr>
          <w:rFonts w:ascii="Times New Roman" w:hAnsi="Times New Roman" w:cs="Times New Roman"/>
          <w:lang w:val="en-US"/>
        </w:rPr>
        <w:t xml:space="preserve">. The first type concerns what may be termed </w:t>
      </w:r>
      <w:r w:rsidR="00490E1C" w:rsidRPr="00100D6C">
        <w:rPr>
          <w:rFonts w:ascii="Times New Roman" w:hAnsi="Times New Roman" w:cs="Times New Roman"/>
          <w:lang w:val="en-US"/>
        </w:rPr>
        <w:t>“</w:t>
      </w:r>
      <w:r w:rsidR="00B51D83" w:rsidRPr="00100D6C">
        <w:rPr>
          <w:rFonts w:ascii="Times New Roman" w:hAnsi="Times New Roman" w:cs="Times New Roman"/>
          <w:lang w:val="en-US"/>
        </w:rPr>
        <w:t>informal hierarchies of pre-eminence</w:t>
      </w:r>
      <w:r w:rsidR="00490E1C" w:rsidRPr="00100D6C">
        <w:rPr>
          <w:rFonts w:ascii="Times New Roman" w:hAnsi="Times New Roman" w:cs="Times New Roman"/>
          <w:lang w:val="en-US"/>
        </w:rPr>
        <w:t>”</w:t>
      </w:r>
      <w:r w:rsidR="00B51D83" w:rsidRPr="00100D6C">
        <w:rPr>
          <w:rFonts w:ascii="Times New Roman" w:hAnsi="Times New Roman" w:cs="Times New Roman"/>
          <w:lang w:val="en-US"/>
        </w:rPr>
        <w:t xml:space="preserve">. These </w:t>
      </w:r>
      <w:r w:rsidR="008D0256" w:rsidRPr="00100D6C">
        <w:rPr>
          <w:rFonts w:ascii="Times New Roman" w:hAnsi="Times New Roman" w:cs="Times New Roman"/>
          <w:lang w:val="en-US"/>
        </w:rPr>
        <w:t xml:space="preserve">informal hierarchies stem from the fact that, whilst </w:t>
      </w:r>
      <w:r w:rsidR="00B51D83" w:rsidRPr="00100D6C">
        <w:rPr>
          <w:rFonts w:ascii="Times New Roman" w:hAnsi="Times New Roman" w:cs="Times New Roman"/>
          <w:lang w:val="en-US"/>
        </w:rPr>
        <w:t>acknowledging</w:t>
      </w:r>
      <w:r w:rsidR="008D0256" w:rsidRPr="00100D6C">
        <w:rPr>
          <w:rFonts w:ascii="Times New Roman" w:hAnsi="Times New Roman" w:cs="Times New Roman"/>
          <w:lang w:val="en-US"/>
        </w:rPr>
        <w:t xml:space="preserve"> the functional or formal equivalence of sources, certain actors (states, adjudicators, scholars) tend to express preference</w:t>
      </w:r>
      <w:r w:rsidR="00B51D83" w:rsidRPr="00100D6C">
        <w:rPr>
          <w:rFonts w:ascii="Times New Roman" w:hAnsi="Times New Roman" w:cs="Times New Roman"/>
          <w:lang w:val="en-US"/>
        </w:rPr>
        <w:t>s</w:t>
      </w:r>
      <w:r w:rsidR="008D0256" w:rsidRPr="00100D6C">
        <w:rPr>
          <w:rFonts w:ascii="Times New Roman" w:hAnsi="Times New Roman" w:cs="Times New Roman"/>
          <w:lang w:val="en-US"/>
        </w:rPr>
        <w:t xml:space="preserve"> for particular sources because these sources are thought to possess some specific qualities or uphold certain values</w:t>
      </w:r>
      <w:r w:rsidR="00CD2EE3" w:rsidRPr="00100D6C">
        <w:rPr>
          <w:rFonts w:ascii="Times New Roman" w:hAnsi="Times New Roman" w:cs="Times New Roman"/>
          <w:lang w:val="en-US"/>
        </w:rPr>
        <w:t xml:space="preserve"> (determinacy, versatility, universality and so on)</w:t>
      </w:r>
      <w:r w:rsidR="008D0256" w:rsidRPr="00100D6C">
        <w:rPr>
          <w:rFonts w:ascii="Times New Roman" w:hAnsi="Times New Roman" w:cs="Times New Roman"/>
          <w:lang w:val="en-US"/>
        </w:rPr>
        <w:t xml:space="preserve"> deeme</w:t>
      </w:r>
      <w:r w:rsidR="006F0485" w:rsidRPr="00100D6C">
        <w:rPr>
          <w:rFonts w:ascii="Times New Roman" w:hAnsi="Times New Roman" w:cs="Times New Roman"/>
          <w:lang w:val="en-US"/>
        </w:rPr>
        <w:t>d desirable</w:t>
      </w:r>
      <w:r w:rsidR="008D0256" w:rsidRPr="00100D6C">
        <w:rPr>
          <w:rFonts w:ascii="Times New Roman" w:hAnsi="Times New Roman" w:cs="Times New Roman"/>
          <w:lang w:val="en-US"/>
        </w:rPr>
        <w:t>.</w:t>
      </w:r>
      <w:r w:rsidR="00770C06" w:rsidRPr="00100D6C">
        <w:rPr>
          <w:rFonts w:ascii="Times New Roman" w:hAnsi="Times New Roman" w:cs="Times New Roman"/>
          <w:lang w:val="en-US"/>
        </w:rPr>
        <w:t xml:space="preserve"> These </w:t>
      </w:r>
      <w:r w:rsidR="00233FDE" w:rsidRPr="00100D6C">
        <w:rPr>
          <w:rFonts w:ascii="Times New Roman" w:hAnsi="Times New Roman" w:cs="Times New Roman"/>
          <w:lang w:val="en-US"/>
        </w:rPr>
        <w:t xml:space="preserve">are soft </w:t>
      </w:r>
      <w:r w:rsidR="00CD2EE3" w:rsidRPr="00100D6C">
        <w:rPr>
          <w:rFonts w:ascii="Times New Roman" w:hAnsi="Times New Roman" w:cs="Times New Roman"/>
          <w:lang w:val="en-US"/>
        </w:rPr>
        <w:t>and transient hierarchies which, as shall become clear, very much depend on</w:t>
      </w:r>
      <w:r w:rsidR="00B51D83" w:rsidRPr="00100D6C">
        <w:rPr>
          <w:rFonts w:ascii="Times New Roman" w:hAnsi="Times New Roman" w:cs="Times New Roman"/>
          <w:lang w:val="en-US"/>
        </w:rPr>
        <w:t xml:space="preserve"> contexts, circumstances,</w:t>
      </w:r>
      <w:r w:rsidR="00CD2EE3" w:rsidRPr="00100D6C">
        <w:rPr>
          <w:rFonts w:ascii="Times New Roman" w:hAnsi="Times New Roman" w:cs="Times New Roman"/>
          <w:lang w:val="en-US"/>
        </w:rPr>
        <w:t xml:space="preserve"> the identity of the </w:t>
      </w:r>
      <w:r w:rsidR="00B51D83" w:rsidRPr="00100D6C">
        <w:rPr>
          <w:rFonts w:ascii="Times New Roman" w:hAnsi="Times New Roman" w:cs="Times New Roman"/>
          <w:lang w:val="en-US"/>
        </w:rPr>
        <w:t>legal subjects</w:t>
      </w:r>
      <w:r w:rsidR="00CD2EE3" w:rsidRPr="00100D6C">
        <w:rPr>
          <w:rFonts w:ascii="Times New Roman" w:hAnsi="Times New Roman" w:cs="Times New Roman"/>
          <w:lang w:val="en-US"/>
        </w:rPr>
        <w:t xml:space="preserve"> and the project</w:t>
      </w:r>
      <w:r w:rsidR="00B51D83" w:rsidRPr="00100D6C">
        <w:rPr>
          <w:rFonts w:ascii="Times New Roman" w:hAnsi="Times New Roman" w:cs="Times New Roman"/>
          <w:lang w:val="en-US"/>
        </w:rPr>
        <w:t>s</w:t>
      </w:r>
      <w:r w:rsidR="00CD2EE3" w:rsidRPr="00100D6C">
        <w:rPr>
          <w:rFonts w:ascii="Times New Roman" w:hAnsi="Times New Roman" w:cs="Times New Roman"/>
          <w:lang w:val="en-US"/>
        </w:rPr>
        <w:t xml:space="preserve"> they pursue. </w:t>
      </w:r>
      <w:r w:rsidR="00B51D83" w:rsidRPr="00100D6C">
        <w:rPr>
          <w:rFonts w:ascii="Times New Roman" w:hAnsi="Times New Roman" w:cs="Times New Roman"/>
          <w:lang w:val="en-US"/>
        </w:rPr>
        <w:t>But t</w:t>
      </w:r>
      <w:r w:rsidR="00CD2EE3" w:rsidRPr="00100D6C">
        <w:rPr>
          <w:rFonts w:ascii="Times New Roman" w:hAnsi="Times New Roman" w:cs="Times New Roman"/>
          <w:lang w:val="en-US"/>
        </w:rPr>
        <w:t xml:space="preserve">hese are hierarchies nonetheless, </w:t>
      </w:r>
      <w:r w:rsidR="00B51D83" w:rsidRPr="00100D6C">
        <w:rPr>
          <w:rFonts w:ascii="Times New Roman" w:hAnsi="Times New Roman" w:cs="Times New Roman"/>
          <w:lang w:val="en-US"/>
        </w:rPr>
        <w:t>inasmuch as</w:t>
      </w:r>
      <w:r w:rsidR="00CD2EE3" w:rsidRPr="00100D6C">
        <w:rPr>
          <w:rFonts w:ascii="Times New Roman" w:hAnsi="Times New Roman" w:cs="Times New Roman"/>
          <w:lang w:val="en-US"/>
        </w:rPr>
        <w:t xml:space="preserve"> they involve a differentiation of sources </w:t>
      </w:r>
      <w:r w:rsidR="00490E1C" w:rsidRPr="00100D6C">
        <w:rPr>
          <w:rFonts w:ascii="Times New Roman" w:hAnsi="Times New Roman" w:cs="Times New Roman"/>
          <w:lang w:val="en-US"/>
        </w:rPr>
        <w:t>“</w:t>
      </w:r>
      <w:r w:rsidR="00CD2EE3" w:rsidRPr="00100D6C">
        <w:rPr>
          <w:rFonts w:ascii="Times New Roman" w:hAnsi="Times New Roman" w:cs="Times New Roman"/>
          <w:lang w:val="en-US"/>
        </w:rPr>
        <w:t>in a normative light</w:t>
      </w:r>
      <w:r w:rsidR="00490E1C" w:rsidRPr="00100D6C">
        <w:rPr>
          <w:rFonts w:ascii="Times New Roman" w:hAnsi="Times New Roman" w:cs="Times New Roman"/>
          <w:lang w:val="en-US"/>
        </w:rPr>
        <w:t>”</w:t>
      </w:r>
      <w:r w:rsidR="00CD2EE3" w:rsidRPr="00100D6C">
        <w:rPr>
          <w:rFonts w:ascii="Times New Roman" w:hAnsi="Times New Roman" w:cs="Times New Roman"/>
          <w:lang w:val="en-US"/>
        </w:rPr>
        <w:t xml:space="preserve">, i.e. normative </w:t>
      </w:r>
      <w:r w:rsidR="00AB15A0" w:rsidRPr="00100D6C">
        <w:rPr>
          <w:rFonts w:ascii="Times New Roman" w:hAnsi="Times New Roman" w:cs="Times New Roman"/>
          <w:lang w:val="en-US"/>
        </w:rPr>
        <w:t>judgments</w:t>
      </w:r>
      <w:r w:rsidR="00CD2EE3" w:rsidRPr="00100D6C">
        <w:rPr>
          <w:rFonts w:ascii="Times New Roman" w:hAnsi="Times New Roman" w:cs="Times New Roman"/>
          <w:lang w:val="en-US"/>
        </w:rPr>
        <w:t xml:space="preserve"> in which some sources are deemed superior (good</w:t>
      </w:r>
      <w:r w:rsidR="006F0485" w:rsidRPr="00100D6C">
        <w:rPr>
          <w:rFonts w:ascii="Times New Roman" w:hAnsi="Times New Roman" w:cs="Times New Roman"/>
          <w:lang w:val="en-US"/>
        </w:rPr>
        <w:t>, effective, democratic</w:t>
      </w:r>
      <w:r w:rsidR="00CD2EE3" w:rsidRPr="00100D6C">
        <w:rPr>
          <w:rFonts w:ascii="Times New Roman" w:hAnsi="Times New Roman" w:cs="Times New Roman"/>
          <w:lang w:val="en-US"/>
        </w:rPr>
        <w:t>) and others inferior (bad</w:t>
      </w:r>
      <w:r w:rsidR="006F0485" w:rsidRPr="00100D6C">
        <w:rPr>
          <w:rFonts w:ascii="Times New Roman" w:hAnsi="Times New Roman" w:cs="Times New Roman"/>
          <w:lang w:val="en-US"/>
        </w:rPr>
        <w:t>, inefficient, illegitimate</w:t>
      </w:r>
      <w:r w:rsidR="00CD2EE3" w:rsidRPr="00100D6C">
        <w:rPr>
          <w:rFonts w:ascii="Times New Roman" w:hAnsi="Times New Roman" w:cs="Times New Roman"/>
          <w:lang w:val="en-US"/>
        </w:rPr>
        <w:t>).</w:t>
      </w:r>
      <w:bookmarkStart w:id="4" w:name="_Ref427850575"/>
      <w:r w:rsidR="00CD2EE3" w:rsidRPr="00100D6C">
        <w:rPr>
          <w:rStyle w:val="FootnoteReference"/>
          <w:rFonts w:ascii="Times New Roman" w:hAnsi="Times New Roman" w:cs="Times New Roman"/>
          <w:lang w:val="en-US"/>
        </w:rPr>
        <w:footnoteReference w:id="7"/>
      </w:r>
      <w:bookmarkEnd w:id="4"/>
    </w:p>
    <w:p w:rsidR="0061707B" w:rsidRPr="00100D6C" w:rsidRDefault="006F0485" w:rsidP="0061707B">
      <w:pPr>
        <w:jc w:val="both"/>
        <w:rPr>
          <w:rFonts w:ascii="Times New Roman" w:hAnsi="Times New Roman" w:cs="Times New Roman"/>
          <w:lang w:val="en-US"/>
        </w:rPr>
      </w:pPr>
      <w:r w:rsidRPr="00100D6C">
        <w:rPr>
          <w:rFonts w:ascii="Times New Roman" w:hAnsi="Times New Roman" w:cs="Times New Roman"/>
          <w:lang w:val="en-US"/>
        </w:rPr>
        <w:t xml:space="preserve">The second type of source hierarchy is not concerned with the normative worth of individual sources but with the way in which they operate in practice (the </w:t>
      </w:r>
      <w:r w:rsidRPr="00100D6C">
        <w:rPr>
          <w:rFonts w:ascii="Times New Roman" w:hAnsi="Times New Roman" w:cs="Times New Roman"/>
          <w:i/>
          <w:lang w:val="en-US"/>
        </w:rPr>
        <w:t>pragmatics</w:t>
      </w:r>
      <w:r w:rsidRPr="00100D6C">
        <w:rPr>
          <w:rFonts w:ascii="Times New Roman" w:hAnsi="Times New Roman" w:cs="Times New Roman"/>
          <w:lang w:val="en-US"/>
        </w:rPr>
        <w:t xml:space="preserve"> of sources).</w:t>
      </w:r>
      <w:r w:rsidR="00B1106F" w:rsidRPr="00100D6C">
        <w:rPr>
          <w:rFonts w:ascii="Times New Roman" w:hAnsi="Times New Roman" w:cs="Times New Roman"/>
          <w:lang w:val="en-US"/>
        </w:rPr>
        <w:t xml:space="preserve"> These hierarchies stem from the fact that int</w:t>
      </w:r>
      <w:r w:rsidR="008E2F63" w:rsidRPr="00100D6C">
        <w:rPr>
          <w:rFonts w:ascii="Times New Roman" w:hAnsi="Times New Roman" w:cs="Times New Roman"/>
          <w:lang w:val="en-US"/>
        </w:rPr>
        <w:t>ernational law-making processes structurally</w:t>
      </w:r>
      <w:r w:rsidR="00B1106F" w:rsidRPr="00100D6C">
        <w:rPr>
          <w:rFonts w:ascii="Times New Roman" w:hAnsi="Times New Roman" w:cs="Times New Roman"/>
          <w:lang w:val="en-US"/>
        </w:rPr>
        <w:t xml:space="preserve"> </w:t>
      </w:r>
      <w:r w:rsidR="00AB15A0" w:rsidRPr="00100D6C">
        <w:rPr>
          <w:rFonts w:ascii="Times New Roman" w:hAnsi="Times New Roman" w:cs="Times New Roman"/>
          <w:lang w:val="en-US"/>
        </w:rPr>
        <w:t>favor</w:t>
      </w:r>
      <w:r w:rsidR="00B1106F" w:rsidRPr="00100D6C">
        <w:rPr>
          <w:rFonts w:ascii="Times New Roman" w:hAnsi="Times New Roman" w:cs="Times New Roman"/>
          <w:lang w:val="en-US"/>
        </w:rPr>
        <w:t xml:space="preserve"> particular actors, voices and experiences (</w:t>
      </w:r>
      <w:r w:rsidR="008E2F63" w:rsidRPr="00100D6C">
        <w:rPr>
          <w:rFonts w:ascii="Times New Roman" w:hAnsi="Times New Roman" w:cs="Times New Roman"/>
          <w:lang w:val="en-US"/>
        </w:rPr>
        <w:t>e.g. states, g</w:t>
      </w:r>
      <w:r w:rsidR="00B1106F" w:rsidRPr="00100D6C">
        <w:rPr>
          <w:rFonts w:ascii="Times New Roman" w:hAnsi="Times New Roman" w:cs="Times New Roman"/>
          <w:lang w:val="en-US"/>
        </w:rPr>
        <w:t xml:space="preserve">reat powers, </w:t>
      </w:r>
      <w:r w:rsidR="008E2F63" w:rsidRPr="00100D6C">
        <w:rPr>
          <w:rFonts w:ascii="Times New Roman" w:hAnsi="Times New Roman" w:cs="Times New Roman"/>
          <w:lang w:val="en-US"/>
        </w:rPr>
        <w:t xml:space="preserve">white </w:t>
      </w:r>
      <w:r w:rsidR="00B1106F" w:rsidRPr="00100D6C">
        <w:rPr>
          <w:rFonts w:ascii="Times New Roman" w:hAnsi="Times New Roman" w:cs="Times New Roman"/>
          <w:lang w:val="en-US"/>
        </w:rPr>
        <w:t>m</w:t>
      </w:r>
      <w:r w:rsidR="008E2F63" w:rsidRPr="00100D6C">
        <w:rPr>
          <w:rFonts w:ascii="Times New Roman" w:hAnsi="Times New Roman" w:cs="Times New Roman"/>
          <w:lang w:val="en-US"/>
        </w:rPr>
        <w:t>en</w:t>
      </w:r>
      <w:r w:rsidR="00B1106F" w:rsidRPr="00100D6C">
        <w:rPr>
          <w:rFonts w:ascii="Times New Roman" w:hAnsi="Times New Roman" w:cs="Times New Roman"/>
          <w:lang w:val="en-US"/>
        </w:rPr>
        <w:t xml:space="preserve">, </w:t>
      </w:r>
      <w:r w:rsidR="008E2F63" w:rsidRPr="00100D6C">
        <w:rPr>
          <w:rFonts w:ascii="Times New Roman" w:hAnsi="Times New Roman" w:cs="Times New Roman"/>
          <w:lang w:val="en-US"/>
        </w:rPr>
        <w:t>transnational capital etc.</w:t>
      </w:r>
      <w:r w:rsidR="00B1106F" w:rsidRPr="00100D6C">
        <w:rPr>
          <w:rFonts w:ascii="Times New Roman" w:hAnsi="Times New Roman" w:cs="Times New Roman"/>
          <w:lang w:val="en-US"/>
        </w:rPr>
        <w:t xml:space="preserve">) whilst </w:t>
      </w:r>
      <w:r w:rsidR="00AB15A0" w:rsidRPr="00100D6C">
        <w:rPr>
          <w:rFonts w:ascii="Times New Roman" w:hAnsi="Times New Roman" w:cs="Times New Roman"/>
          <w:lang w:val="en-US"/>
        </w:rPr>
        <w:t>marginalizing</w:t>
      </w:r>
      <w:r w:rsidR="00B1106F" w:rsidRPr="00100D6C">
        <w:rPr>
          <w:rFonts w:ascii="Times New Roman" w:hAnsi="Times New Roman" w:cs="Times New Roman"/>
          <w:lang w:val="en-US"/>
        </w:rPr>
        <w:t xml:space="preserve"> others (</w:t>
      </w:r>
      <w:r w:rsidR="008E2F63" w:rsidRPr="00100D6C">
        <w:rPr>
          <w:rFonts w:ascii="Times New Roman" w:hAnsi="Times New Roman" w:cs="Times New Roman"/>
          <w:lang w:val="en-US"/>
        </w:rPr>
        <w:t xml:space="preserve">e.g. non-state groups, small powers, brown women, </w:t>
      </w:r>
      <w:r w:rsidR="00AB15A0" w:rsidRPr="00100D6C">
        <w:rPr>
          <w:rFonts w:ascii="Times New Roman" w:hAnsi="Times New Roman" w:cs="Times New Roman"/>
          <w:lang w:val="en-US"/>
        </w:rPr>
        <w:t>labor</w:t>
      </w:r>
      <w:r w:rsidR="008E2F63" w:rsidRPr="00100D6C">
        <w:rPr>
          <w:rFonts w:ascii="Times New Roman" w:hAnsi="Times New Roman" w:cs="Times New Roman"/>
          <w:lang w:val="en-US"/>
        </w:rPr>
        <w:t xml:space="preserve"> etc.</w:t>
      </w:r>
      <w:r w:rsidR="00B1106F" w:rsidRPr="00100D6C">
        <w:rPr>
          <w:rFonts w:ascii="Times New Roman" w:hAnsi="Times New Roman" w:cs="Times New Roman"/>
          <w:lang w:val="en-US"/>
        </w:rPr>
        <w:t>).</w:t>
      </w:r>
      <w:r w:rsidR="00BD609D" w:rsidRPr="00100D6C">
        <w:rPr>
          <w:rFonts w:ascii="Times New Roman" w:hAnsi="Times New Roman" w:cs="Times New Roman"/>
          <w:lang w:val="en-US"/>
        </w:rPr>
        <w:t xml:space="preserve"> Despite a broad commitment to legislative equality, the international system accommodates, and indeed at times </w:t>
      </w:r>
      <w:r w:rsidR="00AB15A0" w:rsidRPr="00100D6C">
        <w:rPr>
          <w:rFonts w:ascii="Times New Roman" w:hAnsi="Times New Roman" w:cs="Times New Roman"/>
          <w:lang w:val="en-US"/>
        </w:rPr>
        <w:t>institutionalizes</w:t>
      </w:r>
      <w:r w:rsidR="00BD609D" w:rsidRPr="00100D6C">
        <w:rPr>
          <w:rFonts w:ascii="Times New Roman" w:hAnsi="Times New Roman" w:cs="Times New Roman"/>
          <w:lang w:val="en-US"/>
        </w:rPr>
        <w:t>, inequalities in the making of international law.</w:t>
      </w:r>
      <w:r w:rsidR="008E2F63" w:rsidRPr="00100D6C">
        <w:rPr>
          <w:rFonts w:ascii="Times New Roman" w:hAnsi="Times New Roman" w:cs="Times New Roman"/>
          <w:lang w:val="en-US"/>
        </w:rPr>
        <w:t xml:space="preserve"> These material hierarchies</w:t>
      </w:r>
      <w:r w:rsidR="00184A79" w:rsidRPr="00100D6C">
        <w:rPr>
          <w:rFonts w:ascii="Times New Roman" w:hAnsi="Times New Roman" w:cs="Times New Roman"/>
          <w:lang w:val="en-US"/>
        </w:rPr>
        <w:t>, though not exclusive to international law,</w:t>
      </w:r>
      <w:r w:rsidR="008E2F63" w:rsidRPr="00100D6C">
        <w:rPr>
          <w:rFonts w:ascii="Times New Roman" w:hAnsi="Times New Roman" w:cs="Times New Roman"/>
          <w:lang w:val="en-US"/>
        </w:rPr>
        <w:t xml:space="preserve"> are </w:t>
      </w:r>
      <w:r w:rsidR="00184A79" w:rsidRPr="00100D6C">
        <w:rPr>
          <w:rFonts w:ascii="Times New Roman" w:hAnsi="Times New Roman" w:cs="Times New Roman"/>
          <w:lang w:val="en-US"/>
        </w:rPr>
        <w:t>pervasive</w:t>
      </w:r>
      <w:r w:rsidR="008E2F63" w:rsidRPr="00100D6C">
        <w:rPr>
          <w:rFonts w:ascii="Times New Roman" w:hAnsi="Times New Roman" w:cs="Times New Roman"/>
          <w:lang w:val="en-US"/>
        </w:rPr>
        <w:t xml:space="preserve"> in the international order and the fact that there are no formal, pre-determined hierarchy among recognized sources of international law in no way indicates that the international system is a </w:t>
      </w:r>
      <w:r w:rsidR="00AB15A0" w:rsidRPr="00100D6C">
        <w:rPr>
          <w:rFonts w:ascii="Times New Roman" w:hAnsi="Times New Roman" w:cs="Times New Roman"/>
          <w:lang w:val="en-US"/>
        </w:rPr>
        <w:t>leveled</w:t>
      </w:r>
      <w:r w:rsidR="008E2F63" w:rsidRPr="00100D6C">
        <w:rPr>
          <w:rFonts w:ascii="Times New Roman" w:hAnsi="Times New Roman" w:cs="Times New Roman"/>
          <w:lang w:val="en-US"/>
        </w:rPr>
        <w:t xml:space="preserve"> playing field.</w:t>
      </w:r>
      <w:r w:rsidR="0061707B" w:rsidRPr="00100D6C">
        <w:rPr>
          <w:rFonts w:ascii="Times New Roman" w:hAnsi="Times New Roman" w:cs="Times New Roman"/>
          <w:lang w:val="en-US"/>
        </w:rPr>
        <w:t xml:space="preserve"> The making of international law is characterized by powerful hierarchies of influence. These hierarchies are not hierarchies </w:t>
      </w:r>
      <w:r w:rsidR="0061707B" w:rsidRPr="00100D6C">
        <w:rPr>
          <w:rFonts w:ascii="Times New Roman" w:hAnsi="Times New Roman" w:cs="Times New Roman"/>
          <w:i/>
          <w:lang w:val="en-US"/>
        </w:rPr>
        <w:t>of</w:t>
      </w:r>
      <w:r w:rsidR="0061707B" w:rsidRPr="00100D6C">
        <w:rPr>
          <w:rFonts w:ascii="Times New Roman" w:hAnsi="Times New Roman" w:cs="Times New Roman"/>
          <w:lang w:val="en-US"/>
        </w:rPr>
        <w:t xml:space="preserve"> or </w:t>
      </w:r>
      <w:r w:rsidR="0061707B" w:rsidRPr="00100D6C">
        <w:rPr>
          <w:rFonts w:ascii="Times New Roman" w:hAnsi="Times New Roman" w:cs="Times New Roman"/>
          <w:i/>
          <w:lang w:val="en-US"/>
        </w:rPr>
        <w:t>between</w:t>
      </w:r>
      <w:r w:rsidR="0061707B" w:rsidRPr="00100D6C">
        <w:rPr>
          <w:rFonts w:ascii="Times New Roman" w:hAnsi="Times New Roman" w:cs="Times New Roman"/>
          <w:lang w:val="en-US"/>
        </w:rPr>
        <w:t xml:space="preserve"> recognized manifestations of international law but hierarchies </w:t>
      </w:r>
      <w:r w:rsidR="0061707B" w:rsidRPr="00100D6C">
        <w:rPr>
          <w:rFonts w:ascii="Times New Roman" w:hAnsi="Times New Roman" w:cs="Times New Roman"/>
          <w:i/>
          <w:lang w:val="en-US"/>
        </w:rPr>
        <w:t>in</w:t>
      </w:r>
      <w:r w:rsidR="0061707B" w:rsidRPr="00100D6C">
        <w:rPr>
          <w:rFonts w:ascii="Times New Roman" w:hAnsi="Times New Roman" w:cs="Times New Roman"/>
          <w:lang w:val="en-US"/>
        </w:rPr>
        <w:t xml:space="preserve"> the sources of international law, and their day-to-day operation. I shall refer to this second type of hierarchy as </w:t>
      </w:r>
      <w:r w:rsidR="00490E1C" w:rsidRPr="00100D6C">
        <w:rPr>
          <w:rFonts w:ascii="Times New Roman" w:hAnsi="Times New Roman" w:cs="Times New Roman"/>
          <w:lang w:val="en-US"/>
        </w:rPr>
        <w:t>“</w:t>
      </w:r>
      <w:r w:rsidR="0061707B" w:rsidRPr="00100D6C">
        <w:rPr>
          <w:rFonts w:ascii="Times New Roman" w:hAnsi="Times New Roman" w:cs="Times New Roman"/>
          <w:lang w:val="en-US"/>
        </w:rPr>
        <w:t xml:space="preserve">material </w:t>
      </w:r>
      <w:r w:rsidR="00184A79" w:rsidRPr="00100D6C">
        <w:rPr>
          <w:rFonts w:ascii="Times New Roman" w:hAnsi="Times New Roman" w:cs="Times New Roman"/>
          <w:lang w:val="en-US"/>
        </w:rPr>
        <w:t>legislative hierarchies</w:t>
      </w:r>
      <w:r w:rsidR="00490E1C" w:rsidRPr="00100D6C">
        <w:rPr>
          <w:rFonts w:ascii="Times New Roman" w:hAnsi="Times New Roman" w:cs="Times New Roman"/>
          <w:lang w:val="en-US"/>
        </w:rPr>
        <w:t>”</w:t>
      </w:r>
      <w:r w:rsidR="00184A79" w:rsidRPr="00100D6C">
        <w:rPr>
          <w:rFonts w:ascii="Times New Roman" w:hAnsi="Times New Roman" w:cs="Times New Roman"/>
          <w:lang w:val="en-US"/>
        </w:rPr>
        <w:t>.</w:t>
      </w:r>
    </w:p>
    <w:p w:rsidR="00133772" w:rsidRPr="00100D6C" w:rsidRDefault="00DF2E46" w:rsidP="00490422">
      <w:pPr>
        <w:jc w:val="both"/>
        <w:rPr>
          <w:rFonts w:ascii="Times New Roman" w:hAnsi="Times New Roman" w:cs="Times New Roman"/>
          <w:lang w:val="en-US"/>
        </w:rPr>
      </w:pPr>
      <w:r w:rsidRPr="00100D6C">
        <w:rPr>
          <w:rFonts w:ascii="Times New Roman" w:hAnsi="Times New Roman" w:cs="Times New Roman"/>
          <w:lang w:val="en-US"/>
        </w:rPr>
        <w:t>The following analysis is, by necessity, schematic and impressionistic. The informal and material hierarchies addressed here are by no means the only hierarchical structures found in the doctrine and practice of sources. Due to space constraints, the focus must remain on representati</w:t>
      </w:r>
      <w:r w:rsidR="00133772" w:rsidRPr="00100D6C">
        <w:rPr>
          <w:rFonts w:ascii="Times New Roman" w:hAnsi="Times New Roman" w:cs="Times New Roman"/>
          <w:lang w:val="en-US"/>
        </w:rPr>
        <w:t xml:space="preserve">ve and characteristic examples, leaving other patterns to be </w:t>
      </w:r>
      <w:r w:rsidR="00AB15A0" w:rsidRPr="00100D6C">
        <w:rPr>
          <w:rFonts w:ascii="Times New Roman" w:hAnsi="Times New Roman" w:cs="Times New Roman"/>
          <w:lang w:val="en-US"/>
        </w:rPr>
        <w:t>analyzed</w:t>
      </w:r>
      <w:r w:rsidR="00133772" w:rsidRPr="00100D6C">
        <w:rPr>
          <w:rFonts w:ascii="Times New Roman" w:hAnsi="Times New Roman" w:cs="Times New Roman"/>
          <w:lang w:val="en-US"/>
        </w:rPr>
        <w:t xml:space="preserve"> elsewhere (for instance </w:t>
      </w:r>
      <w:r w:rsidR="00184A79" w:rsidRPr="00100D6C">
        <w:rPr>
          <w:rFonts w:ascii="Times New Roman" w:hAnsi="Times New Roman" w:cs="Times New Roman"/>
          <w:lang w:val="en-US"/>
        </w:rPr>
        <w:t xml:space="preserve">class and </w:t>
      </w:r>
      <w:r w:rsidR="00133772" w:rsidRPr="00100D6C">
        <w:rPr>
          <w:rFonts w:ascii="Times New Roman" w:hAnsi="Times New Roman" w:cs="Times New Roman"/>
          <w:lang w:val="en-US"/>
        </w:rPr>
        <w:t>racial hierarchies).</w:t>
      </w:r>
      <w:r w:rsidR="00A709EE" w:rsidRPr="00100D6C">
        <w:rPr>
          <w:rStyle w:val="FootnoteReference"/>
          <w:rFonts w:ascii="Times New Roman" w:hAnsi="Times New Roman" w:cs="Times New Roman"/>
          <w:lang w:val="en-US"/>
        </w:rPr>
        <w:footnoteReference w:id="8"/>
      </w:r>
      <w:r w:rsidR="00133772" w:rsidRPr="00100D6C">
        <w:rPr>
          <w:rFonts w:ascii="Times New Roman" w:hAnsi="Times New Roman" w:cs="Times New Roman"/>
          <w:lang w:val="en-US"/>
        </w:rPr>
        <w:t xml:space="preserve"> </w:t>
      </w:r>
      <w:r w:rsidR="00D360E7" w:rsidRPr="00100D6C">
        <w:rPr>
          <w:rFonts w:ascii="Times New Roman" w:hAnsi="Times New Roman" w:cs="Times New Roman"/>
          <w:lang w:val="en-US"/>
        </w:rPr>
        <w:t>For the same reason, t</w:t>
      </w:r>
      <w:r w:rsidR="00133772" w:rsidRPr="00100D6C">
        <w:rPr>
          <w:rFonts w:ascii="Times New Roman" w:hAnsi="Times New Roman" w:cs="Times New Roman"/>
          <w:lang w:val="en-US"/>
        </w:rPr>
        <w:t xml:space="preserve">wo sets of questions have </w:t>
      </w:r>
      <w:r w:rsidR="00D360E7" w:rsidRPr="00100D6C">
        <w:rPr>
          <w:rFonts w:ascii="Times New Roman" w:hAnsi="Times New Roman" w:cs="Times New Roman"/>
          <w:lang w:val="en-US"/>
        </w:rPr>
        <w:t xml:space="preserve">also </w:t>
      </w:r>
      <w:r w:rsidR="00133772" w:rsidRPr="00100D6C">
        <w:rPr>
          <w:rFonts w:ascii="Times New Roman" w:hAnsi="Times New Roman" w:cs="Times New Roman"/>
          <w:lang w:val="en-US"/>
        </w:rPr>
        <w:t xml:space="preserve">been excluded </w:t>
      </w:r>
      <w:r w:rsidR="00D360E7" w:rsidRPr="00100D6C">
        <w:rPr>
          <w:rFonts w:ascii="Times New Roman" w:hAnsi="Times New Roman" w:cs="Times New Roman"/>
          <w:lang w:val="en-US"/>
        </w:rPr>
        <w:t>at</w:t>
      </w:r>
      <w:r w:rsidR="0073582A" w:rsidRPr="00100D6C">
        <w:rPr>
          <w:rFonts w:ascii="Times New Roman" w:hAnsi="Times New Roman" w:cs="Times New Roman"/>
          <w:lang w:val="en-US"/>
        </w:rPr>
        <w:t xml:space="preserve"> </w:t>
      </w:r>
      <w:r w:rsidR="00D360E7" w:rsidRPr="00100D6C">
        <w:rPr>
          <w:rFonts w:ascii="Times New Roman" w:hAnsi="Times New Roman" w:cs="Times New Roman"/>
          <w:lang w:val="en-US"/>
        </w:rPr>
        <w:t xml:space="preserve">the outset from </w:t>
      </w:r>
      <w:r w:rsidR="00D360E7" w:rsidRPr="00100D6C">
        <w:rPr>
          <w:rFonts w:ascii="Times New Roman" w:hAnsi="Times New Roman" w:cs="Times New Roman"/>
          <w:lang w:val="en-US"/>
        </w:rPr>
        <w:lastRenderedPageBreak/>
        <w:t>th</w:t>
      </w:r>
      <w:r w:rsidR="005D0159" w:rsidRPr="00100D6C">
        <w:rPr>
          <w:rFonts w:ascii="Times New Roman" w:hAnsi="Times New Roman" w:cs="Times New Roman"/>
          <w:lang w:val="en-US"/>
        </w:rPr>
        <w:t>is</w:t>
      </w:r>
      <w:r w:rsidR="00D360E7" w:rsidRPr="00100D6C">
        <w:rPr>
          <w:rFonts w:ascii="Times New Roman" w:hAnsi="Times New Roman" w:cs="Times New Roman"/>
          <w:lang w:val="en-US"/>
        </w:rPr>
        <w:t xml:space="preserve"> </w:t>
      </w:r>
      <w:r w:rsidR="005D0159" w:rsidRPr="00100D6C">
        <w:rPr>
          <w:rFonts w:ascii="Times New Roman" w:hAnsi="Times New Roman" w:cs="Times New Roman"/>
          <w:lang w:val="en-US"/>
        </w:rPr>
        <w:t>paper</w:t>
      </w:r>
      <w:r w:rsidR="00133772" w:rsidRPr="00100D6C">
        <w:rPr>
          <w:rFonts w:ascii="Times New Roman" w:hAnsi="Times New Roman" w:cs="Times New Roman"/>
          <w:lang w:val="en-US"/>
        </w:rPr>
        <w:t>. The first concerns the hierarchy of norms question, i.e. the relationship between indi</w:t>
      </w:r>
      <w:r w:rsidR="00695436" w:rsidRPr="00100D6C">
        <w:rPr>
          <w:rFonts w:ascii="Times New Roman" w:hAnsi="Times New Roman" w:cs="Times New Roman"/>
          <w:lang w:val="en-US"/>
        </w:rPr>
        <w:t>vidual norms or bodies of norms</w:t>
      </w:r>
      <w:r w:rsidR="0073582A" w:rsidRPr="00100D6C">
        <w:rPr>
          <w:rFonts w:ascii="Times New Roman" w:hAnsi="Times New Roman" w:cs="Times New Roman"/>
          <w:lang w:val="en-US"/>
        </w:rPr>
        <w:t xml:space="preserve"> by reason of their content,</w:t>
      </w:r>
      <w:r w:rsidR="00133772" w:rsidRPr="00100D6C">
        <w:rPr>
          <w:rFonts w:ascii="Times New Roman" w:hAnsi="Times New Roman" w:cs="Times New Roman"/>
          <w:lang w:val="en-US"/>
        </w:rPr>
        <w:t xml:space="preserve"> irrespective of their source</w:t>
      </w:r>
      <w:r w:rsidR="008609E7" w:rsidRPr="00100D6C">
        <w:rPr>
          <w:rFonts w:ascii="Times New Roman" w:hAnsi="Times New Roman" w:cs="Times New Roman"/>
          <w:lang w:val="en-US"/>
        </w:rPr>
        <w:t xml:space="preserve"> (for instance the superior status of </w:t>
      </w:r>
      <w:r w:rsidR="008609E7" w:rsidRPr="00100D6C">
        <w:rPr>
          <w:rFonts w:ascii="Times New Roman" w:hAnsi="Times New Roman" w:cs="Times New Roman"/>
          <w:i/>
          <w:lang w:val="en-US"/>
        </w:rPr>
        <w:t xml:space="preserve">jus cogens </w:t>
      </w:r>
      <w:r w:rsidR="008609E7" w:rsidRPr="00100D6C">
        <w:rPr>
          <w:rFonts w:ascii="Times New Roman" w:hAnsi="Times New Roman" w:cs="Times New Roman"/>
          <w:lang w:val="en-US"/>
        </w:rPr>
        <w:t>over dispositive law)</w:t>
      </w:r>
      <w:r w:rsidR="00133772" w:rsidRPr="00100D6C">
        <w:rPr>
          <w:rFonts w:ascii="Times New Roman" w:hAnsi="Times New Roman" w:cs="Times New Roman"/>
          <w:lang w:val="en-US"/>
        </w:rPr>
        <w:t xml:space="preserve">. This problem is conceptually </w:t>
      </w:r>
      <w:r w:rsidR="00630A41" w:rsidRPr="00100D6C">
        <w:rPr>
          <w:rFonts w:ascii="Times New Roman" w:hAnsi="Times New Roman" w:cs="Times New Roman"/>
          <w:lang w:val="en-US"/>
        </w:rPr>
        <w:t>distinct</w:t>
      </w:r>
      <w:r w:rsidR="00785259" w:rsidRPr="00100D6C">
        <w:rPr>
          <w:rFonts w:ascii="Times New Roman" w:hAnsi="Times New Roman" w:cs="Times New Roman"/>
          <w:lang w:val="en-US"/>
        </w:rPr>
        <w:t xml:space="preserve"> from </w:t>
      </w:r>
      <w:r w:rsidR="00133772" w:rsidRPr="00100D6C">
        <w:rPr>
          <w:rFonts w:ascii="Times New Roman" w:hAnsi="Times New Roman" w:cs="Times New Roman"/>
          <w:lang w:val="en-US"/>
        </w:rPr>
        <w:t xml:space="preserve">the hierarchy of sources and </w:t>
      </w:r>
      <w:r w:rsidR="008609E7" w:rsidRPr="00100D6C">
        <w:rPr>
          <w:rFonts w:ascii="Times New Roman" w:hAnsi="Times New Roman" w:cs="Times New Roman"/>
          <w:lang w:val="en-US"/>
        </w:rPr>
        <w:t>has been debated at length in other works</w:t>
      </w:r>
      <w:r w:rsidR="00133772" w:rsidRPr="00100D6C">
        <w:rPr>
          <w:rFonts w:ascii="Times New Roman" w:hAnsi="Times New Roman" w:cs="Times New Roman"/>
          <w:lang w:val="en-US"/>
        </w:rPr>
        <w:t>.</w:t>
      </w:r>
      <w:bookmarkStart w:id="5" w:name="_Ref459108643"/>
      <w:r w:rsidR="00BF7D9B" w:rsidRPr="00100D6C">
        <w:rPr>
          <w:rStyle w:val="FootnoteReference"/>
          <w:rFonts w:ascii="Times New Roman" w:hAnsi="Times New Roman" w:cs="Times New Roman"/>
          <w:lang w:val="en-US"/>
        </w:rPr>
        <w:footnoteReference w:id="9"/>
      </w:r>
      <w:bookmarkEnd w:id="5"/>
      <w:r w:rsidR="00C51FD0" w:rsidRPr="00100D6C">
        <w:rPr>
          <w:rFonts w:ascii="Times New Roman" w:hAnsi="Times New Roman" w:cs="Times New Roman"/>
          <w:lang w:val="en-US"/>
        </w:rPr>
        <w:t xml:space="preserve"> The second concerns the relationship between the so-called traditional sources of international law and new forms of law-making </w:t>
      </w:r>
      <w:r w:rsidR="00490E1C" w:rsidRPr="00100D6C">
        <w:rPr>
          <w:rFonts w:ascii="Times New Roman" w:hAnsi="Times New Roman" w:cs="Times New Roman"/>
          <w:lang w:val="en-US"/>
        </w:rPr>
        <w:t>“</w:t>
      </w:r>
      <w:r w:rsidR="00C51FD0" w:rsidRPr="00100D6C">
        <w:rPr>
          <w:rFonts w:ascii="Times New Roman" w:hAnsi="Times New Roman" w:cs="Times New Roman"/>
          <w:lang w:val="en-US"/>
        </w:rPr>
        <w:t>beyond the stat</w:t>
      </w:r>
      <w:r w:rsidR="00490E1C" w:rsidRPr="00100D6C">
        <w:rPr>
          <w:rFonts w:ascii="Times New Roman" w:hAnsi="Times New Roman" w:cs="Times New Roman"/>
          <w:lang w:val="en-US"/>
        </w:rPr>
        <w:t>e”</w:t>
      </w:r>
      <w:r w:rsidR="00D360E7" w:rsidRPr="00100D6C">
        <w:rPr>
          <w:rFonts w:ascii="Times New Roman" w:hAnsi="Times New Roman" w:cs="Times New Roman"/>
          <w:lang w:val="en-US"/>
        </w:rPr>
        <w:t xml:space="preserve"> by </w:t>
      </w:r>
      <w:r w:rsidR="003774B7" w:rsidRPr="00100D6C">
        <w:rPr>
          <w:rFonts w:ascii="Times New Roman" w:hAnsi="Times New Roman" w:cs="Times New Roman"/>
          <w:lang w:val="en-US"/>
        </w:rPr>
        <w:t xml:space="preserve">public and private </w:t>
      </w:r>
      <w:r w:rsidR="001446B5" w:rsidRPr="00100D6C">
        <w:rPr>
          <w:rFonts w:ascii="Times New Roman" w:hAnsi="Times New Roman" w:cs="Times New Roman"/>
          <w:lang w:val="en-US"/>
        </w:rPr>
        <w:t>transnational governance bodies</w:t>
      </w:r>
      <w:r w:rsidR="00C51FD0" w:rsidRPr="00100D6C">
        <w:rPr>
          <w:rFonts w:ascii="Times New Roman" w:hAnsi="Times New Roman" w:cs="Times New Roman"/>
          <w:lang w:val="en-US"/>
        </w:rPr>
        <w:t>.</w:t>
      </w:r>
      <w:r w:rsidR="003774B7" w:rsidRPr="00100D6C">
        <w:rPr>
          <w:rStyle w:val="FootnoteReference"/>
          <w:rFonts w:ascii="Times New Roman" w:hAnsi="Times New Roman" w:cs="Times New Roman"/>
          <w:lang w:val="en-US"/>
        </w:rPr>
        <w:footnoteReference w:id="10"/>
      </w:r>
    </w:p>
    <w:p w:rsidR="00D37A48" w:rsidRPr="00100D6C" w:rsidRDefault="00950ACE" w:rsidP="00490422">
      <w:pPr>
        <w:jc w:val="both"/>
        <w:rPr>
          <w:rFonts w:ascii="Times New Roman" w:hAnsi="Times New Roman" w:cs="Times New Roman"/>
          <w:lang w:val="en-US"/>
        </w:rPr>
      </w:pPr>
      <w:r w:rsidRPr="00100D6C">
        <w:rPr>
          <w:rFonts w:ascii="Times New Roman" w:hAnsi="Times New Roman" w:cs="Times New Roman"/>
          <w:lang w:val="en-US"/>
        </w:rPr>
        <w:t xml:space="preserve">The main argument of this </w:t>
      </w:r>
      <w:r w:rsidR="00B070D9" w:rsidRPr="00100D6C">
        <w:rPr>
          <w:rFonts w:ascii="Times New Roman" w:hAnsi="Times New Roman" w:cs="Times New Roman"/>
          <w:lang w:val="en-US"/>
        </w:rPr>
        <w:t>paper</w:t>
      </w:r>
      <w:r w:rsidRPr="00100D6C">
        <w:rPr>
          <w:rFonts w:ascii="Times New Roman" w:hAnsi="Times New Roman" w:cs="Times New Roman"/>
          <w:lang w:val="en-US"/>
        </w:rPr>
        <w:t xml:space="preserve"> is that the </w:t>
      </w:r>
      <w:r w:rsidR="00490E1C" w:rsidRPr="00100D6C">
        <w:rPr>
          <w:rFonts w:ascii="Times New Roman" w:hAnsi="Times New Roman" w:cs="Times New Roman"/>
          <w:lang w:val="en-US"/>
        </w:rPr>
        <w:t>“</w:t>
      </w:r>
      <w:r w:rsidRPr="00100D6C">
        <w:rPr>
          <w:rFonts w:ascii="Times New Roman" w:hAnsi="Times New Roman" w:cs="Times New Roman"/>
          <w:lang w:val="en-US"/>
        </w:rPr>
        <w:t>no-hierarchy</w:t>
      </w:r>
      <w:r w:rsidR="00490E1C" w:rsidRPr="00100D6C">
        <w:rPr>
          <w:rFonts w:ascii="Times New Roman" w:hAnsi="Times New Roman" w:cs="Times New Roman"/>
          <w:lang w:val="en-US"/>
        </w:rPr>
        <w:t>”</w:t>
      </w:r>
      <w:r w:rsidRPr="00100D6C">
        <w:rPr>
          <w:rFonts w:ascii="Times New Roman" w:hAnsi="Times New Roman" w:cs="Times New Roman"/>
          <w:lang w:val="en-US"/>
        </w:rPr>
        <w:t xml:space="preserve"> thesis – </w:t>
      </w:r>
      <w:r w:rsidR="00D37A48" w:rsidRPr="00100D6C">
        <w:rPr>
          <w:rFonts w:ascii="Times New Roman" w:hAnsi="Times New Roman" w:cs="Times New Roman"/>
          <w:lang w:val="en-US"/>
        </w:rPr>
        <w:t xml:space="preserve">as a central </w:t>
      </w:r>
      <w:r w:rsidR="00D37A48" w:rsidRPr="00100D6C">
        <w:rPr>
          <w:rFonts w:ascii="Times New Roman" w:hAnsi="Times New Roman" w:cs="Times New Roman"/>
          <w:i/>
          <w:lang w:val="en-US"/>
        </w:rPr>
        <w:t>leitmotiv</w:t>
      </w:r>
      <w:r w:rsidR="00D37A48" w:rsidRPr="00100D6C">
        <w:rPr>
          <w:rFonts w:ascii="Times New Roman" w:hAnsi="Times New Roman" w:cs="Times New Roman"/>
          <w:lang w:val="en-US"/>
        </w:rPr>
        <w:t xml:space="preserve"> of the theory of sources – is deceptive. It implies that law-making in the international order is an essentially horizontal process marked by source equivalence and legislative autonomy, when in reality the law of sources is</w:t>
      </w:r>
      <w:r w:rsidR="001849DB" w:rsidRPr="00100D6C">
        <w:rPr>
          <w:rFonts w:ascii="Times New Roman" w:hAnsi="Times New Roman" w:cs="Times New Roman"/>
          <w:lang w:val="en-US"/>
        </w:rPr>
        <w:t xml:space="preserve"> riddled with various forms of status differentiation (i.e. hierarchies). For that reason, I argue in the conclusion for the refutation of the thesis as one that is both descriptively and normatively problematic.</w:t>
      </w:r>
    </w:p>
    <w:p w:rsidR="0089337D" w:rsidRPr="00100D6C" w:rsidRDefault="00865748" w:rsidP="00865748">
      <w:pPr>
        <w:pStyle w:val="Heading1"/>
      </w:pPr>
      <w:bookmarkStart w:id="6" w:name="_Toc459318314"/>
      <w:r>
        <w:t>I</w:t>
      </w:r>
      <w:r w:rsidR="00A63B3B" w:rsidRPr="00100D6C">
        <w:t xml:space="preserve">. </w:t>
      </w:r>
      <w:r w:rsidR="0089337D" w:rsidRPr="00100D6C">
        <w:t>Informal Hierarchies of Pre</w:t>
      </w:r>
      <w:r w:rsidR="0051143C" w:rsidRPr="00100D6C">
        <w:t>-eminence</w:t>
      </w:r>
      <w:bookmarkEnd w:id="6"/>
    </w:p>
    <w:p w:rsidR="00A63B3B" w:rsidRPr="00100D6C" w:rsidRDefault="00A63B3B" w:rsidP="00A63B3B">
      <w:pPr>
        <w:rPr>
          <w:rFonts w:ascii="Times New Roman" w:hAnsi="Times New Roman" w:cs="Times New Roman"/>
          <w:lang w:val="en-US"/>
        </w:rPr>
      </w:pPr>
    </w:p>
    <w:p w:rsidR="00D223BE" w:rsidRPr="00100D6C" w:rsidRDefault="00F539AF" w:rsidP="00F539AF">
      <w:pPr>
        <w:jc w:val="both"/>
        <w:rPr>
          <w:rFonts w:ascii="Times New Roman" w:hAnsi="Times New Roman" w:cs="Times New Roman"/>
          <w:lang w:val="en-US"/>
        </w:rPr>
      </w:pPr>
      <w:r w:rsidRPr="00100D6C">
        <w:rPr>
          <w:rFonts w:ascii="Times New Roman" w:hAnsi="Times New Roman" w:cs="Times New Roman"/>
          <w:lang w:val="en-US"/>
        </w:rPr>
        <w:t xml:space="preserve">This section is concerned with – and seeks to offer important qualifications to – a central tenet of the </w:t>
      </w:r>
      <w:r w:rsidR="00490E1C" w:rsidRPr="00100D6C">
        <w:rPr>
          <w:rFonts w:ascii="Times New Roman" w:hAnsi="Times New Roman" w:cs="Times New Roman"/>
          <w:lang w:val="en-US"/>
        </w:rPr>
        <w:t>“</w:t>
      </w:r>
      <w:r w:rsidRPr="00100D6C">
        <w:rPr>
          <w:rFonts w:ascii="Times New Roman" w:hAnsi="Times New Roman" w:cs="Times New Roman"/>
          <w:lang w:val="en-US"/>
        </w:rPr>
        <w:t>no-hierarchy</w:t>
      </w:r>
      <w:r w:rsidR="00490E1C" w:rsidRPr="00100D6C">
        <w:rPr>
          <w:rFonts w:ascii="Times New Roman" w:hAnsi="Times New Roman" w:cs="Times New Roman"/>
          <w:lang w:val="en-US"/>
        </w:rPr>
        <w:t>”</w:t>
      </w:r>
      <w:r w:rsidRPr="00100D6C">
        <w:rPr>
          <w:rFonts w:ascii="Times New Roman" w:hAnsi="Times New Roman" w:cs="Times New Roman"/>
          <w:lang w:val="en-US"/>
        </w:rPr>
        <w:t xml:space="preserve"> thesis, i.e. the view that sources of international law enjoy equal status as law-making procedures and exist in no predetermined order of importance or preponderance. </w:t>
      </w:r>
      <w:r w:rsidR="0098759E" w:rsidRPr="00100D6C">
        <w:rPr>
          <w:rFonts w:ascii="Times New Roman" w:hAnsi="Times New Roman" w:cs="Times New Roman"/>
          <w:lang w:val="en-US"/>
        </w:rPr>
        <w:t>Before it is qualified, this view requires brief explicitation. Though its limitations are well-known</w:t>
      </w:r>
      <w:r w:rsidR="00106CD2" w:rsidRPr="00100D6C">
        <w:rPr>
          <w:rFonts w:ascii="Times New Roman" w:hAnsi="Times New Roman" w:cs="Times New Roman"/>
          <w:lang w:val="en-US"/>
        </w:rPr>
        <w:t xml:space="preserve"> (the provision has been criticized as inadequate, incomplete and outdated)</w:t>
      </w:r>
      <w:r w:rsidR="0098759E" w:rsidRPr="00100D6C">
        <w:rPr>
          <w:rFonts w:ascii="Times New Roman" w:hAnsi="Times New Roman" w:cs="Times New Roman"/>
          <w:lang w:val="en-US"/>
        </w:rPr>
        <w:t xml:space="preserve">, Article 38(1) of the Statute of the International Court of Justice remains the </w:t>
      </w:r>
      <w:r w:rsidR="00793867" w:rsidRPr="00100D6C">
        <w:rPr>
          <w:rFonts w:ascii="Times New Roman" w:hAnsi="Times New Roman" w:cs="Times New Roman"/>
          <w:lang w:val="en-US"/>
        </w:rPr>
        <w:t>starting</w:t>
      </w:r>
      <w:r w:rsidR="001B4966" w:rsidRPr="00100D6C">
        <w:rPr>
          <w:rFonts w:ascii="Times New Roman" w:hAnsi="Times New Roman" w:cs="Times New Roman"/>
          <w:lang w:val="en-US"/>
        </w:rPr>
        <w:t xml:space="preserve"> or rallying</w:t>
      </w:r>
      <w:r w:rsidR="0098759E" w:rsidRPr="00100D6C">
        <w:rPr>
          <w:rFonts w:ascii="Times New Roman" w:hAnsi="Times New Roman" w:cs="Times New Roman"/>
          <w:lang w:val="en-US"/>
        </w:rPr>
        <w:t xml:space="preserve"> point</w:t>
      </w:r>
      <w:r w:rsidR="006D2DE3" w:rsidRPr="00100D6C">
        <w:rPr>
          <w:rFonts w:ascii="Times New Roman" w:hAnsi="Times New Roman" w:cs="Times New Roman"/>
          <w:lang w:val="en-US"/>
        </w:rPr>
        <w:t xml:space="preserve"> </w:t>
      </w:r>
      <w:r w:rsidR="001B4966" w:rsidRPr="00100D6C">
        <w:rPr>
          <w:rFonts w:ascii="Times New Roman" w:hAnsi="Times New Roman" w:cs="Times New Roman"/>
          <w:lang w:val="en-US"/>
        </w:rPr>
        <w:t>for</w:t>
      </w:r>
      <w:r w:rsidR="00106CD2" w:rsidRPr="00100D6C">
        <w:rPr>
          <w:rFonts w:ascii="Times New Roman" w:hAnsi="Times New Roman" w:cs="Times New Roman"/>
          <w:lang w:val="en-US"/>
        </w:rPr>
        <w:t xml:space="preserve"> debates about international law-making and is widely believed to</w:t>
      </w:r>
      <w:r w:rsidR="009819B8" w:rsidRPr="00100D6C">
        <w:rPr>
          <w:rFonts w:ascii="Times New Roman" w:hAnsi="Times New Roman" w:cs="Times New Roman"/>
          <w:lang w:val="en-US"/>
        </w:rPr>
        <w:t xml:space="preserve"> express </w:t>
      </w:r>
      <w:r w:rsidR="00490E1C" w:rsidRPr="00100D6C">
        <w:rPr>
          <w:rFonts w:ascii="Times New Roman" w:hAnsi="Times New Roman" w:cs="Times New Roman"/>
          <w:lang w:val="en-US"/>
        </w:rPr>
        <w:t>“</w:t>
      </w:r>
      <w:r w:rsidR="009819B8" w:rsidRPr="00100D6C">
        <w:rPr>
          <w:rFonts w:ascii="Times New Roman" w:hAnsi="Times New Roman" w:cs="Times New Roman"/>
          <w:lang w:val="en-US"/>
        </w:rPr>
        <w:t>the universal perception as to the enumeration of sources of international law</w:t>
      </w:r>
      <w:r w:rsidR="00490E1C" w:rsidRPr="00100D6C">
        <w:rPr>
          <w:rFonts w:ascii="Times New Roman" w:hAnsi="Times New Roman" w:cs="Times New Roman"/>
          <w:lang w:val="en-US"/>
        </w:rPr>
        <w:t>.”</w:t>
      </w:r>
      <w:r w:rsidR="00106CD2" w:rsidRPr="00100D6C">
        <w:rPr>
          <w:rStyle w:val="FootnoteReference"/>
          <w:rFonts w:ascii="Times New Roman" w:hAnsi="Times New Roman" w:cs="Times New Roman"/>
          <w:lang w:val="en-US"/>
        </w:rPr>
        <w:footnoteReference w:id="11"/>
      </w:r>
      <w:r w:rsidR="00C86701" w:rsidRPr="00100D6C">
        <w:rPr>
          <w:rFonts w:ascii="Times New Roman" w:hAnsi="Times New Roman" w:cs="Times New Roman"/>
          <w:lang w:val="en-US"/>
        </w:rPr>
        <w:t xml:space="preserve"> Sources are listed in Article 38 in a specific sequence (</w:t>
      </w:r>
      <w:r w:rsidR="00C86701" w:rsidRPr="00100D6C">
        <w:rPr>
          <w:rFonts w:ascii="Times New Roman" w:hAnsi="Times New Roman" w:cs="Times New Roman"/>
          <w:i/>
          <w:lang w:val="en-US"/>
        </w:rPr>
        <w:t xml:space="preserve">a </w:t>
      </w:r>
      <w:r w:rsidR="00C86701" w:rsidRPr="00100D6C">
        <w:rPr>
          <w:rFonts w:ascii="Times New Roman" w:hAnsi="Times New Roman" w:cs="Times New Roman"/>
          <w:lang w:val="en-US"/>
        </w:rPr>
        <w:t xml:space="preserve">to </w:t>
      </w:r>
      <w:r w:rsidR="00C86701" w:rsidRPr="00100D6C">
        <w:rPr>
          <w:rFonts w:ascii="Times New Roman" w:hAnsi="Times New Roman" w:cs="Times New Roman"/>
          <w:i/>
          <w:lang w:val="en-US"/>
        </w:rPr>
        <w:t>d</w:t>
      </w:r>
      <w:r w:rsidR="00C86701" w:rsidRPr="00100D6C">
        <w:rPr>
          <w:rFonts w:ascii="Times New Roman" w:hAnsi="Times New Roman" w:cs="Times New Roman"/>
          <w:lang w:val="en-US"/>
        </w:rPr>
        <w:t xml:space="preserve">) in what looks, superficially, like a </w:t>
      </w:r>
      <w:r w:rsidR="007F56C3" w:rsidRPr="00100D6C">
        <w:rPr>
          <w:rFonts w:ascii="Times New Roman" w:hAnsi="Times New Roman" w:cs="Times New Roman"/>
          <w:lang w:val="en-US"/>
        </w:rPr>
        <w:t xml:space="preserve">rough </w:t>
      </w:r>
      <w:r w:rsidR="00C86701" w:rsidRPr="00100D6C">
        <w:rPr>
          <w:rFonts w:ascii="Times New Roman" w:hAnsi="Times New Roman" w:cs="Times New Roman"/>
          <w:lang w:val="en-US"/>
        </w:rPr>
        <w:t>hierarchy.</w:t>
      </w:r>
      <w:r w:rsidR="00C86701" w:rsidRPr="00100D6C">
        <w:rPr>
          <w:rStyle w:val="FootnoteReference"/>
          <w:rFonts w:ascii="Times New Roman" w:hAnsi="Times New Roman" w:cs="Times New Roman"/>
          <w:lang w:val="en-US"/>
        </w:rPr>
        <w:footnoteReference w:id="12"/>
      </w:r>
      <w:r w:rsidR="00950ACE" w:rsidRPr="00100D6C">
        <w:rPr>
          <w:rFonts w:ascii="Times New Roman" w:hAnsi="Times New Roman" w:cs="Times New Roman"/>
          <w:lang w:val="en-US"/>
        </w:rPr>
        <w:t xml:space="preserve"> During the drafting of Article 38, it was suggested that the </w:t>
      </w:r>
      <w:r w:rsidR="00950ACE" w:rsidRPr="00100D6C">
        <w:rPr>
          <w:rFonts w:ascii="Times New Roman" w:hAnsi="Times New Roman" w:cs="Times New Roman"/>
          <w:lang w:val="en-US"/>
        </w:rPr>
        <w:lastRenderedPageBreak/>
        <w:t>sources listed in the provision should be considered in that specific order, with treaties prevailing over custom and custom prevailing over general principles.</w:t>
      </w:r>
      <w:r w:rsidR="00950ACE" w:rsidRPr="00100D6C">
        <w:rPr>
          <w:rStyle w:val="FootnoteReference"/>
          <w:rFonts w:ascii="Times New Roman" w:hAnsi="Times New Roman" w:cs="Times New Roman"/>
          <w:lang w:val="en-US"/>
        </w:rPr>
        <w:footnoteReference w:id="13"/>
      </w:r>
      <w:r w:rsidR="00950ACE" w:rsidRPr="00100D6C">
        <w:rPr>
          <w:rFonts w:ascii="Times New Roman" w:hAnsi="Times New Roman" w:cs="Times New Roman"/>
          <w:lang w:val="en-US"/>
        </w:rPr>
        <w:t xml:space="preserve"> The proposal was rejected, however, and as a result t</w:t>
      </w:r>
      <w:r w:rsidR="00B57BC1" w:rsidRPr="00100D6C">
        <w:rPr>
          <w:rFonts w:ascii="Times New Roman" w:hAnsi="Times New Roman" w:cs="Times New Roman"/>
          <w:lang w:val="en-US"/>
        </w:rPr>
        <w:t>he order in which the sources are enumerated</w:t>
      </w:r>
      <w:r w:rsidR="00D9066E" w:rsidRPr="00100D6C">
        <w:rPr>
          <w:rFonts w:ascii="Times New Roman" w:hAnsi="Times New Roman" w:cs="Times New Roman"/>
          <w:lang w:val="en-US"/>
        </w:rPr>
        <w:t xml:space="preserve"> in Article 38</w:t>
      </w:r>
      <w:r w:rsidR="00B57BC1" w:rsidRPr="00100D6C">
        <w:rPr>
          <w:rFonts w:ascii="Times New Roman" w:hAnsi="Times New Roman" w:cs="Times New Roman"/>
          <w:lang w:val="en-US"/>
        </w:rPr>
        <w:t xml:space="preserve"> is generally thought to be of no legal </w:t>
      </w:r>
      <w:r w:rsidR="002301ED" w:rsidRPr="00100D6C">
        <w:rPr>
          <w:rFonts w:ascii="Times New Roman" w:hAnsi="Times New Roman" w:cs="Times New Roman"/>
          <w:lang w:val="en-US"/>
        </w:rPr>
        <w:t>relevance</w:t>
      </w:r>
      <w:r w:rsidR="00E0377A" w:rsidRPr="00100D6C">
        <w:rPr>
          <w:rFonts w:ascii="Times New Roman" w:hAnsi="Times New Roman" w:cs="Times New Roman"/>
          <w:lang w:val="en-US"/>
        </w:rPr>
        <w:t>, though</w:t>
      </w:r>
      <w:r w:rsidR="0073582A" w:rsidRPr="00100D6C">
        <w:rPr>
          <w:rFonts w:ascii="Times New Roman" w:hAnsi="Times New Roman" w:cs="Times New Roman"/>
          <w:lang w:val="en-US"/>
        </w:rPr>
        <w:t xml:space="preserve"> </w:t>
      </w:r>
      <w:r w:rsidR="00E0377A" w:rsidRPr="00100D6C">
        <w:rPr>
          <w:rFonts w:ascii="Times New Roman" w:hAnsi="Times New Roman" w:cs="Times New Roman"/>
          <w:lang w:val="en-US"/>
        </w:rPr>
        <w:t>m</w:t>
      </w:r>
      <w:r w:rsidR="00B57BC1" w:rsidRPr="00100D6C">
        <w:rPr>
          <w:rFonts w:ascii="Times New Roman" w:hAnsi="Times New Roman" w:cs="Times New Roman"/>
          <w:lang w:val="en-US"/>
        </w:rPr>
        <w:t xml:space="preserve">ost scholars highlight the </w:t>
      </w:r>
      <w:r w:rsidR="00B57BC1" w:rsidRPr="00100D6C">
        <w:rPr>
          <w:rFonts w:ascii="Times New Roman" w:hAnsi="Times New Roman" w:cs="Times New Roman"/>
          <w:i/>
          <w:lang w:val="en-US"/>
        </w:rPr>
        <w:t>summa divisio</w:t>
      </w:r>
      <w:r w:rsidR="00A970F3" w:rsidRPr="00100D6C">
        <w:rPr>
          <w:rFonts w:ascii="Times New Roman" w:hAnsi="Times New Roman" w:cs="Times New Roman"/>
          <w:i/>
          <w:lang w:val="en-US"/>
        </w:rPr>
        <w:t xml:space="preserve"> </w:t>
      </w:r>
      <w:r w:rsidR="00E14A53" w:rsidRPr="00100D6C">
        <w:rPr>
          <w:rFonts w:ascii="Times New Roman" w:hAnsi="Times New Roman" w:cs="Times New Roman"/>
          <w:lang w:val="en-US"/>
        </w:rPr>
        <w:t>which the provision establishes</w:t>
      </w:r>
      <w:r w:rsidR="002301ED" w:rsidRPr="00100D6C">
        <w:rPr>
          <w:rFonts w:ascii="Times New Roman" w:hAnsi="Times New Roman" w:cs="Times New Roman"/>
          <w:lang w:val="en-US"/>
        </w:rPr>
        <w:t xml:space="preserve"> between</w:t>
      </w:r>
      <w:r w:rsidR="00B57BC1" w:rsidRPr="00100D6C">
        <w:rPr>
          <w:rFonts w:ascii="Times New Roman" w:hAnsi="Times New Roman" w:cs="Times New Roman"/>
          <w:lang w:val="en-US"/>
        </w:rPr>
        <w:t xml:space="preserve"> primary and subsidiary sources of international law</w:t>
      </w:r>
      <w:r w:rsidR="002301ED" w:rsidRPr="00100D6C">
        <w:rPr>
          <w:rFonts w:ascii="Times New Roman" w:hAnsi="Times New Roman" w:cs="Times New Roman"/>
          <w:lang w:val="en-US"/>
        </w:rPr>
        <w:t xml:space="preserve">, the former (treaties and custom) </w:t>
      </w:r>
      <w:r w:rsidR="00E14A53" w:rsidRPr="00100D6C">
        <w:rPr>
          <w:rFonts w:ascii="Times New Roman" w:hAnsi="Times New Roman" w:cs="Times New Roman"/>
          <w:lang w:val="en-US"/>
        </w:rPr>
        <w:t>standing as</w:t>
      </w:r>
      <w:r w:rsidR="002301ED" w:rsidRPr="00100D6C">
        <w:rPr>
          <w:rFonts w:ascii="Times New Roman" w:hAnsi="Times New Roman" w:cs="Times New Roman"/>
          <w:lang w:val="en-US"/>
        </w:rPr>
        <w:t xml:space="preserve"> th</w:t>
      </w:r>
      <w:r w:rsidR="008B1361" w:rsidRPr="00100D6C">
        <w:rPr>
          <w:rFonts w:ascii="Times New Roman" w:hAnsi="Times New Roman" w:cs="Times New Roman"/>
          <w:lang w:val="en-US"/>
        </w:rPr>
        <w:t>e only true sources of law</w:t>
      </w:r>
      <w:r w:rsidR="002301ED" w:rsidRPr="00100D6C">
        <w:rPr>
          <w:rFonts w:ascii="Times New Roman" w:hAnsi="Times New Roman" w:cs="Times New Roman"/>
          <w:lang w:val="en-US"/>
        </w:rPr>
        <w:t xml:space="preserve"> whilst the latter</w:t>
      </w:r>
      <w:r w:rsidR="00E14A53" w:rsidRPr="00100D6C">
        <w:rPr>
          <w:rFonts w:ascii="Times New Roman" w:hAnsi="Times New Roman" w:cs="Times New Roman"/>
          <w:lang w:val="en-US"/>
        </w:rPr>
        <w:t xml:space="preserve"> (judicial decisions and doctrinal writings) are said to serve only the interpretation and ascertainment of existing norms</w:t>
      </w:r>
      <w:r w:rsidR="001B4966" w:rsidRPr="00100D6C">
        <w:rPr>
          <w:rFonts w:ascii="Times New Roman" w:hAnsi="Times New Roman" w:cs="Times New Roman"/>
          <w:lang w:val="en-US"/>
        </w:rPr>
        <w:t xml:space="preserve">, </w:t>
      </w:r>
      <w:r w:rsidR="00E14A53" w:rsidRPr="00100D6C">
        <w:rPr>
          <w:rFonts w:ascii="Times New Roman" w:hAnsi="Times New Roman" w:cs="Times New Roman"/>
          <w:lang w:val="en-US"/>
        </w:rPr>
        <w:t>lacking the ability</w:t>
      </w:r>
      <w:r w:rsidR="002301ED" w:rsidRPr="00100D6C">
        <w:rPr>
          <w:rFonts w:ascii="Times New Roman" w:hAnsi="Times New Roman" w:cs="Times New Roman"/>
          <w:lang w:val="en-US"/>
        </w:rPr>
        <w:t xml:space="preserve"> to create rights and obligations </w:t>
      </w:r>
      <w:r w:rsidR="002301ED" w:rsidRPr="00100D6C">
        <w:rPr>
          <w:rFonts w:ascii="Times New Roman" w:hAnsi="Times New Roman" w:cs="Times New Roman"/>
          <w:i/>
          <w:lang w:val="en-US"/>
        </w:rPr>
        <w:t>ex nihilo</w:t>
      </w:r>
      <w:r w:rsidR="002301ED" w:rsidRPr="00100D6C">
        <w:rPr>
          <w:rFonts w:ascii="Times New Roman" w:hAnsi="Times New Roman" w:cs="Times New Roman"/>
          <w:lang w:val="en-US"/>
        </w:rPr>
        <w:t>.</w:t>
      </w:r>
      <w:bookmarkStart w:id="7" w:name="_Ref427851248"/>
      <w:r w:rsidR="002301ED" w:rsidRPr="00100D6C">
        <w:rPr>
          <w:rStyle w:val="FootnoteReference"/>
          <w:rFonts w:ascii="Times New Roman" w:hAnsi="Times New Roman" w:cs="Times New Roman"/>
          <w:lang w:val="en-US"/>
        </w:rPr>
        <w:footnoteReference w:id="14"/>
      </w:r>
      <w:bookmarkEnd w:id="7"/>
    </w:p>
    <w:p w:rsidR="002301ED" w:rsidRPr="00100D6C" w:rsidRDefault="00F61F27" w:rsidP="00F539AF">
      <w:pPr>
        <w:jc w:val="both"/>
        <w:rPr>
          <w:rFonts w:ascii="Times New Roman" w:hAnsi="Times New Roman" w:cs="Times New Roman"/>
          <w:lang w:val="en-US"/>
        </w:rPr>
      </w:pPr>
      <w:r w:rsidRPr="00100D6C">
        <w:rPr>
          <w:rFonts w:ascii="Times New Roman" w:hAnsi="Times New Roman" w:cs="Times New Roman"/>
          <w:lang w:val="en-US"/>
        </w:rPr>
        <w:t xml:space="preserve">Beyond this broad </w:t>
      </w:r>
      <w:r w:rsidR="00AB15A0" w:rsidRPr="00100D6C">
        <w:rPr>
          <w:rFonts w:ascii="Times New Roman" w:hAnsi="Times New Roman" w:cs="Times New Roman"/>
          <w:lang w:val="en-US"/>
        </w:rPr>
        <w:t>categorization</w:t>
      </w:r>
      <w:r w:rsidRPr="00100D6C">
        <w:rPr>
          <w:rFonts w:ascii="Times New Roman" w:hAnsi="Times New Roman" w:cs="Times New Roman"/>
          <w:lang w:val="en-US"/>
        </w:rPr>
        <w:t>,</w:t>
      </w:r>
      <w:r w:rsidR="001B4966" w:rsidRPr="00100D6C">
        <w:rPr>
          <w:rFonts w:ascii="Times New Roman" w:hAnsi="Times New Roman" w:cs="Times New Roman"/>
          <w:lang w:val="en-US"/>
        </w:rPr>
        <w:t xml:space="preserve"> however,</w:t>
      </w:r>
      <w:r w:rsidRPr="00100D6C">
        <w:rPr>
          <w:rFonts w:ascii="Times New Roman" w:hAnsi="Times New Roman" w:cs="Times New Roman"/>
          <w:lang w:val="en-US"/>
        </w:rPr>
        <w:t xml:space="preserve"> the consensus remains </w:t>
      </w:r>
      <w:r w:rsidR="001B4966" w:rsidRPr="00100D6C">
        <w:rPr>
          <w:rFonts w:ascii="Times New Roman" w:hAnsi="Times New Roman" w:cs="Times New Roman"/>
          <w:lang w:val="en-US"/>
        </w:rPr>
        <w:t xml:space="preserve">that </w:t>
      </w:r>
      <w:r w:rsidRPr="00100D6C">
        <w:rPr>
          <w:rFonts w:ascii="Times New Roman" w:hAnsi="Times New Roman" w:cs="Times New Roman"/>
          <w:lang w:val="en-US"/>
        </w:rPr>
        <w:t xml:space="preserve">Article 38 does not establish a rigid hierarchy of sources, particularly when it comes to the relationship between customary law and treaties. These are </w:t>
      </w:r>
      <w:r w:rsidR="001B4966" w:rsidRPr="00100D6C">
        <w:rPr>
          <w:rFonts w:ascii="Times New Roman" w:hAnsi="Times New Roman" w:cs="Times New Roman"/>
          <w:lang w:val="en-US"/>
        </w:rPr>
        <w:t>said</w:t>
      </w:r>
      <w:r w:rsidRPr="00100D6C">
        <w:rPr>
          <w:rFonts w:ascii="Times New Roman" w:hAnsi="Times New Roman" w:cs="Times New Roman"/>
          <w:lang w:val="en-US"/>
        </w:rPr>
        <w:t xml:space="preserve"> to exist alongside each other</w:t>
      </w:r>
      <w:r w:rsidR="0051143C" w:rsidRPr="00100D6C">
        <w:rPr>
          <w:rFonts w:ascii="Times New Roman" w:hAnsi="Times New Roman" w:cs="Times New Roman"/>
          <w:lang w:val="en-US"/>
        </w:rPr>
        <w:t xml:space="preserve"> in no particular order of pre-eminence</w:t>
      </w:r>
      <w:r w:rsidR="00A77210" w:rsidRPr="00100D6C">
        <w:rPr>
          <w:rFonts w:ascii="Times New Roman" w:hAnsi="Times New Roman" w:cs="Times New Roman"/>
          <w:lang w:val="en-US"/>
        </w:rPr>
        <w:t>, in a kind of decentralized and pluralistic arrangement where no source ranks higher than the other.</w:t>
      </w:r>
      <w:bookmarkStart w:id="8" w:name="_Ref427915992"/>
      <w:r w:rsidR="00546A46" w:rsidRPr="00100D6C">
        <w:rPr>
          <w:rStyle w:val="FootnoteReference"/>
          <w:rFonts w:ascii="Times New Roman" w:hAnsi="Times New Roman" w:cs="Times New Roman"/>
          <w:lang w:val="en-US"/>
        </w:rPr>
        <w:footnoteReference w:id="15"/>
      </w:r>
      <w:bookmarkEnd w:id="8"/>
      <w:r w:rsidR="00546A46" w:rsidRPr="00100D6C">
        <w:rPr>
          <w:rFonts w:ascii="Times New Roman" w:hAnsi="Times New Roman" w:cs="Times New Roman"/>
          <w:lang w:val="en-US"/>
        </w:rPr>
        <w:t xml:space="preserve"> The fact that a norm was created via one or the other sources listed in article 38 – i.e. its formal pedigree – is thought to be of little or no relevance to its legal status and authority. At a practical level, </w:t>
      </w:r>
      <w:r w:rsidR="00773D18" w:rsidRPr="00100D6C">
        <w:rPr>
          <w:rFonts w:ascii="Times New Roman" w:hAnsi="Times New Roman" w:cs="Times New Roman"/>
          <w:lang w:val="en-US"/>
        </w:rPr>
        <w:t>the absence of</w:t>
      </w:r>
      <w:r w:rsidR="0073582A" w:rsidRPr="00100D6C">
        <w:rPr>
          <w:rFonts w:ascii="Times New Roman" w:hAnsi="Times New Roman" w:cs="Times New Roman"/>
          <w:lang w:val="en-US"/>
        </w:rPr>
        <w:t xml:space="preserve"> </w:t>
      </w:r>
      <w:r w:rsidR="00773D18" w:rsidRPr="00100D6C">
        <w:rPr>
          <w:rFonts w:ascii="Times New Roman" w:hAnsi="Times New Roman" w:cs="Times New Roman"/>
          <w:lang w:val="en-US"/>
        </w:rPr>
        <w:t>inherent hierarchies amo</w:t>
      </w:r>
      <w:r w:rsidR="00385E66" w:rsidRPr="00100D6C">
        <w:rPr>
          <w:rFonts w:ascii="Times New Roman" w:hAnsi="Times New Roman" w:cs="Times New Roman"/>
          <w:lang w:val="en-US"/>
        </w:rPr>
        <w:t>ng sources of international law means that</w:t>
      </w:r>
      <w:r w:rsidR="00773D18" w:rsidRPr="00100D6C">
        <w:rPr>
          <w:rFonts w:ascii="Times New Roman" w:hAnsi="Times New Roman" w:cs="Times New Roman"/>
          <w:lang w:val="en-US"/>
        </w:rPr>
        <w:t xml:space="preserve"> adjudicators are left to resolve conflicts of norms on an </w:t>
      </w:r>
      <w:r w:rsidR="00773D18" w:rsidRPr="00100D6C">
        <w:rPr>
          <w:rFonts w:ascii="Times New Roman" w:hAnsi="Times New Roman" w:cs="Times New Roman"/>
          <w:i/>
          <w:lang w:val="en-US"/>
        </w:rPr>
        <w:t>ad hoc</w:t>
      </w:r>
      <w:r w:rsidR="00773D18" w:rsidRPr="00100D6C">
        <w:rPr>
          <w:rFonts w:ascii="Times New Roman" w:hAnsi="Times New Roman" w:cs="Times New Roman"/>
          <w:lang w:val="en-US"/>
        </w:rPr>
        <w:t xml:space="preserve"> basis, by means of interpretative techniques (e.g. harmonious interpretation) or conflict resolution principles (</w:t>
      </w:r>
      <w:r w:rsidR="00773D18" w:rsidRPr="00100D6C">
        <w:rPr>
          <w:rFonts w:ascii="Times New Roman" w:hAnsi="Times New Roman" w:cs="Times New Roman"/>
          <w:i/>
          <w:lang w:val="en-US"/>
        </w:rPr>
        <w:t>jus cogens</w:t>
      </w:r>
      <w:r w:rsidR="00773D18" w:rsidRPr="00100D6C">
        <w:rPr>
          <w:rFonts w:ascii="Times New Roman" w:hAnsi="Times New Roman" w:cs="Times New Roman"/>
          <w:lang w:val="en-US"/>
        </w:rPr>
        <w:t xml:space="preserve">, </w:t>
      </w:r>
      <w:r w:rsidR="00773D18" w:rsidRPr="00100D6C">
        <w:rPr>
          <w:rFonts w:ascii="Times New Roman" w:hAnsi="Times New Roman" w:cs="Times New Roman"/>
          <w:i/>
          <w:lang w:val="en-US"/>
        </w:rPr>
        <w:t>lex</w:t>
      </w:r>
      <w:r w:rsidR="00A970F3" w:rsidRPr="00100D6C">
        <w:rPr>
          <w:rFonts w:ascii="Times New Roman" w:hAnsi="Times New Roman" w:cs="Times New Roman"/>
          <w:i/>
          <w:lang w:val="en-US"/>
        </w:rPr>
        <w:t xml:space="preserve"> </w:t>
      </w:r>
      <w:r w:rsidR="00773D18" w:rsidRPr="00100D6C">
        <w:rPr>
          <w:rFonts w:ascii="Times New Roman" w:hAnsi="Times New Roman" w:cs="Times New Roman"/>
          <w:i/>
          <w:lang w:val="en-US"/>
        </w:rPr>
        <w:t>specialis</w:t>
      </w:r>
      <w:r w:rsidR="00773D18" w:rsidRPr="00100D6C">
        <w:rPr>
          <w:rFonts w:ascii="Times New Roman" w:hAnsi="Times New Roman" w:cs="Times New Roman"/>
          <w:lang w:val="en-US"/>
        </w:rPr>
        <w:t xml:space="preserve">, </w:t>
      </w:r>
      <w:r w:rsidR="00773D18" w:rsidRPr="00100D6C">
        <w:rPr>
          <w:rFonts w:ascii="Times New Roman" w:hAnsi="Times New Roman" w:cs="Times New Roman"/>
          <w:i/>
          <w:lang w:val="en-US"/>
        </w:rPr>
        <w:t>lex posterior</w:t>
      </w:r>
      <w:r w:rsidR="00773D18" w:rsidRPr="00100D6C">
        <w:rPr>
          <w:rFonts w:ascii="Times New Roman" w:hAnsi="Times New Roman" w:cs="Times New Roman"/>
          <w:lang w:val="en-US"/>
        </w:rPr>
        <w:t>).</w:t>
      </w:r>
      <w:bookmarkStart w:id="9" w:name="_Ref459114395"/>
      <w:r w:rsidR="00D3165F" w:rsidRPr="00100D6C">
        <w:rPr>
          <w:rStyle w:val="FootnoteReference"/>
          <w:rFonts w:ascii="Times New Roman" w:hAnsi="Times New Roman" w:cs="Times New Roman"/>
          <w:lang w:val="en-US"/>
        </w:rPr>
        <w:footnoteReference w:id="16"/>
      </w:r>
      <w:bookmarkEnd w:id="9"/>
      <w:r w:rsidR="00773D18" w:rsidRPr="00100D6C">
        <w:rPr>
          <w:rFonts w:ascii="Times New Roman" w:hAnsi="Times New Roman" w:cs="Times New Roman"/>
          <w:lang w:val="en-US"/>
        </w:rPr>
        <w:t xml:space="preserve"> </w:t>
      </w:r>
      <w:r w:rsidR="00BF4454" w:rsidRPr="00100D6C">
        <w:rPr>
          <w:rFonts w:ascii="Times New Roman" w:hAnsi="Times New Roman" w:cs="Times New Roman"/>
          <w:lang w:val="en-US"/>
        </w:rPr>
        <w:t>Unsurprisingly, t</w:t>
      </w:r>
      <w:r w:rsidR="00773D18" w:rsidRPr="00100D6C">
        <w:rPr>
          <w:rFonts w:ascii="Times New Roman" w:hAnsi="Times New Roman" w:cs="Times New Roman"/>
          <w:lang w:val="en-US"/>
        </w:rPr>
        <w:t xml:space="preserve">hese </w:t>
      </w:r>
      <w:r w:rsidR="00773D18" w:rsidRPr="00100D6C">
        <w:rPr>
          <w:rFonts w:ascii="Times New Roman" w:hAnsi="Times New Roman" w:cs="Times New Roman"/>
          <w:i/>
          <w:lang w:val="en-US"/>
        </w:rPr>
        <w:t>ad hoc</w:t>
      </w:r>
      <w:r w:rsidR="00773D18" w:rsidRPr="00100D6C">
        <w:rPr>
          <w:rFonts w:ascii="Times New Roman" w:hAnsi="Times New Roman" w:cs="Times New Roman"/>
          <w:lang w:val="en-US"/>
        </w:rPr>
        <w:t xml:space="preserve"> resolutions nearly always lead to a prioritization of the tribunal’s own body of law</w:t>
      </w:r>
      <w:r w:rsidR="005944A4" w:rsidRPr="00100D6C">
        <w:rPr>
          <w:rFonts w:ascii="Times New Roman" w:hAnsi="Times New Roman" w:cs="Times New Roman"/>
          <w:lang w:val="en-US"/>
        </w:rPr>
        <w:t xml:space="preserve">, in what may be termed a preference for the law of the forum or, more </w:t>
      </w:r>
      <w:r w:rsidR="00BF4454" w:rsidRPr="00100D6C">
        <w:rPr>
          <w:rFonts w:ascii="Times New Roman" w:hAnsi="Times New Roman" w:cs="Times New Roman"/>
          <w:lang w:val="en-US"/>
        </w:rPr>
        <w:t>accurately perhaps</w:t>
      </w:r>
      <w:r w:rsidR="00077C2E" w:rsidRPr="00100D6C">
        <w:rPr>
          <w:rFonts w:ascii="Times New Roman" w:hAnsi="Times New Roman" w:cs="Times New Roman"/>
          <w:lang w:val="en-US"/>
        </w:rPr>
        <w:t>, hegemonic assertions of jurisdiction</w:t>
      </w:r>
      <w:r w:rsidR="00622FC8" w:rsidRPr="00100D6C">
        <w:rPr>
          <w:rFonts w:ascii="Times New Roman" w:hAnsi="Times New Roman" w:cs="Times New Roman"/>
          <w:lang w:val="en-US"/>
        </w:rPr>
        <w:t xml:space="preserve">. In these hegemonic struggles, conflicts of norms are thus </w:t>
      </w:r>
      <w:r w:rsidR="00D223BE" w:rsidRPr="00100D6C">
        <w:rPr>
          <w:rFonts w:ascii="Times New Roman" w:hAnsi="Times New Roman" w:cs="Times New Roman"/>
          <w:lang w:val="en-US"/>
        </w:rPr>
        <w:t>rarely</w:t>
      </w:r>
      <w:r w:rsidR="00622FC8" w:rsidRPr="00100D6C">
        <w:rPr>
          <w:rFonts w:ascii="Times New Roman" w:hAnsi="Times New Roman" w:cs="Times New Roman"/>
          <w:lang w:val="en-US"/>
        </w:rPr>
        <w:t xml:space="preserve"> resolved in accordance with pre-established hierarchies </w:t>
      </w:r>
      <w:r w:rsidR="00D223BE" w:rsidRPr="00100D6C">
        <w:rPr>
          <w:rFonts w:ascii="Times New Roman" w:hAnsi="Times New Roman" w:cs="Times New Roman"/>
          <w:lang w:val="en-US"/>
        </w:rPr>
        <w:t>and</w:t>
      </w:r>
      <w:r w:rsidR="00622FC8" w:rsidRPr="00100D6C">
        <w:rPr>
          <w:rFonts w:ascii="Times New Roman" w:hAnsi="Times New Roman" w:cs="Times New Roman"/>
          <w:lang w:val="en-US"/>
        </w:rPr>
        <w:t xml:space="preserve"> are instead largely determined by the identity of the adjudicator (who decides) and the project it was set up to defend (trade, human rights, security and so on)</w:t>
      </w:r>
      <w:r w:rsidR="00D223BE" w:rsidRPr="00100D6C">
        <w:rPr>
          <w:rFonts w:ascii="Times New Roman" w:hAnsi="Times New Roman" w:cs="Times New Roman"/>
          <w:lang w:val="en-US"/>
        </w:rPr>
        <w:t>.</w:t>
      </w:r>
      <w:r w:rsidR="00077C2E" w:rsidRPr="00100D6C">
        <w:rPr>
          <w:rStyle w:val="FootnoteReference"/>
          <w:rFonts w:ascii="Times New Roman" w:hAnsi="Times New Roman" w:cs="Times New Roman"/>
          <w:lang w:val="en-US"/>
        </w:rPr>
        <w:footnoteReference w:id="17"/>
      </w:r>
    </w:p>
    <w:p w:rsidR="007E0603" w:rsidRPr="00100D6C" w:rsidRDefault="008F5703" w:rsidP="00F47E11">
      <w:pPr>
        <w:jc w:val="both"/>
        <w:rPr>
          <w:rFonts w:ascii="Times New Roman" w:hAnsi="Times New Roman" w:cs="Times New Roman"/>
          <w:lang w:val="en-US"/>
        </w:rPr>
      </w:pPr>
      <w:r w:rsidRPr="00100D6C">
        <w:rPr>
          <w:rFonts w:ascii="Times New Roman" w:hAnsi="Times New Roman" w:cs="Times New Roman"/>
          <w:lang w:val="en-US"/>
        </w:rPr>
        <w:t>The absence of rigid and formal hierarchies in the doctrine of source</w:t>
      </w:r>
      <w:r w:rsidR="001F24E7" w:rsidRPr="00100D6C">
        <w:rPr>
          <w:rFonts w:ascii="Times New Roman" w:hAnsi="Times New Roman" w:cs="Times New Roman"/>
          <w:lang w:val="en-US"/>
        </w:rPr>
        <w:t>s</w:t>
      </w:r>
      <w:r w:rsidRPr="00100D6C">
        <w:rPr>
          <w:rFonts w:ascii="Times New Roman" w:hAnsi="Times New Roman" w:cs="Times New Roman"/>
          <w:lang w:val="en-US"/>
        </w:rPr>
        <w:t xml:space="preserve"> should not, however, </w:t>
      </w:r>
      <w:r w:rsidR="006D2DE3" w:rsidRPr="00100D6C">
        <w:rPr>
          <w:rFonts w:ascii="Times New Roman" w:hAnsi="Times New Roman" w:cs="Times New Roman"/>
          <w:lang w:val="en-US"/>
        </w:rPr>
        <w:t>serve to conceal</w:t>
      </w:r>
      <w:r w:rsidRPr="00100D6C">
        <w:rPr>
          <w:rFonts w:ascii="Times New Roman" w:hAnsi="Times New Roman" w:cs="Times New Roman"/>
          <w:lang w:val="en-US"/>
        </w:rPr>
        <w:t xml:space="preserve"> the fact that states, adjudicators and legal scholars have, historically, expressed clear preferences for particular sources, and have thus established informal hierarchies, if not of validity, at the very least of importance o</w:t>
      </w:r>
      <w:r w:rsidR="007E0603" w:rsidRPr="00100D6C">
        <w:rPr>
          <w:rFonts w:ascii="Times New Roman" w:hAnsi="Times New Roman" w:cs="Times New Roman"/>
          <w:lang w:val="en-US"/>
        </w:rPr>
        <w:t>r</w:t>
      </w:r>
      <w:r w:rsidRPr="00100D6C">
        <w:rPr>
          <w:rFonts w:ascii="Times New Roman" w:hAnsi="Times New Roman" w:cs="Times New Roman"/>
          <w:lang w:val="en-US"/>
        </w:rPr>
        <w:t xml:space="preserve"> pre-eminence among</w:t>
      </w:r>
      <w:r w:rsidR="007E0603" w:rsidRPr="00100D6C">
        <w:rPr>
          <w:rFonts w:ascii="Times New Roman" w:hAnsi="Times New Roman" w:cs="Times New Roman"/>
          <w:lang w:val="en-US"/>
        </w:rPr>
        <w:t xml:space="preserve"> law-making processes. The theory and practice of sources, in other words, is not entirely alien to what Parry once called </w:t>
      </w:r>
      <w:r w:rsidR="00490E1C" w:rsidRPr="00100D6C">
        <w:rPr>
          <w:rFonts w:ascii="Times New Roman" w:hAnsi="Times New Roman" w:cs="Times New Roman"/>
          <w:lang w:val="en-US"/>
        </w:rPr>
        <w:t>“</w:t>
      </w:r>
      <w:r w:rsidR="007E0603" w:rsidRPr="00100D6C">
        <w:rPr>
          <w:rFonts w:ascii="Times New Roman" w:hAnsi="Times New Roman" w:cs="Times New Roman"/>
          <w:lang w:val="en-US"/>
        </w:rPr>
        <w:t>logical scale</w:t>
      </w:r>
      <w:r w:rsidR="006D2DE3" w:rsidRPr="00100D6C">
        <w:rPr>
          <w:rFonts w:ascii="Times New Roman" w:hAnsi="Times New Roman" w:cs="Times New Roman"/>
          <w:lang w:val="en-US"/>
        </w:rPr>
        <w:t>s</w:t>
      </w:r>
      <w:r w:rsidR="007E0603" w:rsidRPr="00100D6C">
        <w:rPr>
          <w:rFonts w:ascii="Times New Roman" w:hAnsi="Times New Roman" w:cs="Times New Roman"/>
          <w:lang w:val="en-US"/>
        </w:rPr>
        <w:t xml:space="preserve"> of values</w:t>
      </w:r>
      <w:r w:rsidR="00490E1C" w:rsidRPr="00100D6C">
        <w:rPr>
          <w:rFonts w:ascii="Times New Roman" w:hAnsi="Times New Roman" w:cs="Times New Roman"/>
          <w:lang w:val="en-US"/>
        </w:rPr>
        <w:t>”</w:t>
      </w:r>
      <w:r w:rsidR="007E0603" w:rsidRPr="00100D6C">
        <w:rPr>
          <w:rFonts w:ascii="Times New Roman" w:hAnsi="Times New Roman" w:cs="Times New Roman"/>
          <w:lang w:val="en-US"/>
        </w:rPr>
        <w:t xml:space="preserve">, </w:t>
      </w:r>
      <w:r w:rsidR="007E0603" w:rsidRPr="00100D6C">
        <w:rPr>
          <w:rFonts w:ascii="Times New Roman" w:hAnsi="Times New Roman" w:cs="Times New Roman"/>
          <w:lang w:val="en-US"/>
        </w:rPr>
        <w:lastRenderedPageBreak/>
        <w:t xml:space="preserve">i.e. the logical ordering of sources according to specific value </w:t>
      </w:r>
      <w:r w:rsidR="00AB15A0" w:rsidRPr="00100D6C">
        <w:rPr>
          <w:rFonts w:ascii="Times New Roman" w:hAnsi="Times New Roman" w:cs="Times New Roman"/>
          <w:lang w:val="en-US"/>
        </w:rPr>
        <w:t>judgments</w:t>
      </w:r>
      <w:r w:rsidR="007E0603" w:rsidRPr="00100D6C">
        <w:rPr>
          <w:rFonts w:ascii="Times New Roman" w:hAnsi="Times New Roman" w:cs="Times New Roman"/>
          <w:lang w:val="en-US"/>
        </w:rPr>
        <w:t xml:space="preserve"> about their respective merits.</w:t>
      </w:r>
      <w:bookmarkStart w:id="10" w:name="_Ref428203700"/>
      <w:r w:rsidR="007E0603" w:rsidRPr="00100D6C">
        <w:rPr>
          <w:rStyle w:val="FootnoteReference"/>
          <w:rFonts w:ascii="Times New Roman" w:hAnsi="Times New Roman" w:cs="Times New Roman"/>
          <w:lang w:val="en-US"/>
        </w:rPr>
        <w:footnoteReference w:id="18"/>
      </w:r>
      <w:bookmarkEnd w:id="10"/>
      <w:r w:rsidR="00C20A3E" w:rsidRPr="00100D6C">
        <w:rPr>
          <w:rFonts w:ascii="Times New Roman" w:hAnsi="Times New Roman" w:cs="Times New Roman"/>
          <w:lang w:val="en-US"/>
        </w:rPr>
        <w:t xml:space="preserve"> </w:t>
      </w:r>
      <w:r w:rsidR="00223F97" w:rsidRPr="00100D6C">
        <w:rPr>
          <w:rFonts w:ascii="Times New Roman" w:hAnsi="Times New Roman" w:cs="Times New Roman"/>
          <w:lang w:val="en-US"/>
        </w:rPr>
        <w:t>T</w:t>
      </w:r>
      <w:r w:rsidR="007E0603" w:rsidRPr="00100D6C">
        <w:rPr>
          <w:rFonts w:ascii="Times New Roman" w:hAnsi="Times New Roman" w:cs="Times New Roman"/>
          <w:lang w:val="en-US"/>
        </w:rPr>
        <w:t xml:space="preserve">wo such hierarchies are </w:t>
      </w:r>
      <w:r w:rsidR="00AB15A0" w:rsidRPr="00100D6C">
        <w:rPr>
          <w:rFonts w:ascii="Times New Roman" w:hAnsi="Times New Roman" w:cs="Times New Roman"/>
          <w:lang w:val="en-US"/>
        </w:rPr>
        <w:t>analyzed</w:t>
      </w:r>
      <w:r w:rsidR="00223F97" w:rsidRPr="00100D6C">
        <w:rPr>
          <w:rFonts w:ascii="Times New Roman" w:hAnsi="Times New Roman" w:cs="Times New Roman"/>
          <w:lang w:val="en-US"/>
        </w:rPr>
        <w:t xml:space="preserve"> here</w:t>
      </w:r>
      <w:r w:rsidR="007E0603" w:rsidRPr="00100D6C">
        <w:rPr>
          <w:rFonts w:ascii="Times New Roman" w:hAnsi="Times New Roman" w:cs="Times New Roman"/>
          <w:lang w:val="en-US"/>
        </w:rPr>
        <w:t xml:space="preserve">, positing the superiority/primacy (if not the supremacy) of treaty law and customary law respectively. </w:t>
      </w:r>
      <w:r w:rsidR="00F47E11" w:rsidRPr="00100D6C">
        <w:rPr>
          <w:rFonts w:ascii="Times New Roman" w:hAnsi="Times New Roman" w:cs="Times New Roman"/>
          <w:lang w:val="en-US"/>
        </w:rPr>
        <w:t xml:space="preserve">Other orderings are possible, however, and as noted by David Kennedy, </w:t>
      </w:r>
      <w:r w:rsidR="00490E1C" w:rsidRPr="00100D6C">
        <w:rPr>
          <w:rFonts w:ascii="Times New Roman" w:hAnsi="Times New Roman" w:cs="Times New Roman"/>
          <w:lang w:val="en-US"/>
        </w:rPr>
        <w:t>“</w:t>
      </w:r>
      <w:r w:rsidR="00F47E11" w:rsidRPr="00100D6C">
        <w:rPr>
          <w:rFonts w:ascii="Times New Roman" w:hAnsi="Times New Roman" w:cs="Times New Roman"/>
          <w:lang w:val="en-US"/>
        </w:rPr>
        <w:t>advocates of all logically available positions exist</w:t>
      </w:r>
      <w:r w:rsidR="00490E1C" w:rsidRPr="00100D6C">
        <w:rPr>
          <w:rFonts w:ascii="Times New Roman" w:hAnsi="Times New Roman" w:cs="Times New Roman"/>
          <w:lang w:val="en-US"/>
        </w:rPr>
        <w:t>”</w:t>
      </w:r>
      <w:r w:rsidR="00F47E11" w:rsidRPr="00100D6C">
        <w:rPr>
          <w:rFonts w:ascii="Times New Roman" w:hAnsi="Times New Roman" w:cs="Times New Roman"/>
          <w:lang w:val="en-US"/>
        </w:rPr>
        <w:t xml:space="preserve"> </w:t>
      </w:r>
      <w:r w:rsidR="000366ED" w:rsidRPr="00100D6C">
        <w:rPr>
          <w:rFonts w:ascii="Times New Roman" w:hAnsi="Times New Roman" w:cs="Times New Roman"/>
          <w:lang w:val="en-US"/>
        </w:rPr>
        <w:t>regarding</w:t>
      </w:r>
      <w:r w:rsidR="00F47E11" w:rsidRPr="00100D6C">
        <w:rPr>
          <w:rFonts w:ascii="Times New Roman" w:hAnsi="Times New Roman" w:cs="Times New Roman"/>
          <w:lang w:val="en-US"/>
        </w:rPr>
        <w:t xml:space="preserve"> the hierarchical relationship among</w:t>
      </w:r>
      <w:r w:rsidR="00942743" w:rsidRPr="00100D6C">
        <w:rPr>
          <w:rFonts w:ascii="Times New Roman" w:hAnsi="Times New Roman" w:cs="Times New Roman"/>
          <w:lang w:val="en-US"/>
        </w:rPr>
        <w:t xml:space="preserve"> the various Article 38</w:t>
      </w:r>
      <w:r w:rsidR="00F47E11" w:rsidRPr="00100D6C">
        <w:rPr>
          <w:rFonts w:ascii="Times New Roman" w:hAnsi="Times New Roman" w:cs="Times New Roman"/>
          <w:lang w:val="en-US"/>
        </w:rPr>
        <w:t xml:space="preserve"> sources.</w:t>
      </w:r>
      <w:bookmarkStart w:id="11" w:name="_Ref428432179"/>
      <w:r w:rsidR="00F47E11" w:rsidRPr="00100D6C">
        <w:rPr>
          <w:rStyle w:val="FootnoteReference"/>
          <w:rFonts w:ascii="Times New Roman" w:hAnsi="Times New Roman" w:cs="Times New Roman"/>
          <w:lang w:val="en-US"/>
        </w:rPr>
        <w:footnoteReference w:id="19"/>
      </w:r>
      <w:bookmarkEnd w:id="11"/>
    </w:p>
    <w:p w:rsidR="00A63B3B" w:rsidRPr="00865748" w:rsidRDefault="00A63B3B" w:rsidP="00865748">
      <w:pPr>
        <w:pStyle w:val="Heading2"/>
      </w:pPr>
      <w:r w:rsidRPr="00865748">
        <w:br/>
      </w:r>
      <w:bookmarkStart w:id="12" w:name="_Toc459318315"/>
      <w:r w:rsidRPr="00865748">
        <w:t xml:space="preserve">A. </w:t>
      </w:r>
      <w:r w:rsidR="007274F5" w:rsidRPr="00865748">
        <w:t xml:space="preserve">The </w:t>
      </w:r>
      <w:r w:rsidR="00246F30" w:rsidRPr="00865748">
        <w:t>Treaty Primacy</w:t>
      </w:r>
      <w:r w:rsidR="007274F5" w:rsidRPr="00865748">
        <w:t xml:space="preserve"> Thesis</w:t>
      </w:r>
      <w:bookmarkEnd w:id="12"/>
      <w:r w:rsidRPr="00865748">
        <w:br/>
      </w:r>
    </w:p>
    <w:p w:rsidR="00563D51" w:rsidRPr="00100D6C" w:rsidRDefault="007274F5" w:rsidP="007274F5">
      <w:pPr>
        <w:jc w:val="both"/>
        <w:rPr>
          <w:rFonts w:ascii="Times New Roman" w:hAnsi="Times New Roman" w:cs="Times New Roman"/>
          <w:lang w:val="en-US"/>
        </w:rPr>
      </w:pPr>
      <w:r w:rsidRPr="00100D6C">
        <w:rPr>
          <w:rFonts w:ascii="Times New Roman" w:hAnsi="Times New Roman" w:cs="Times New Roman"/>
          <w:lang w:val="en-US"/>
        </w:rPr>
        <w:t xml:space="preserve">Legal reason is, fundamentally, a hierarchical form of reason </w:t>
      </w:r>
      <w:r w:rsidR="00490E1C" w:rsidRPr="00100D6C">
        <w:rPr>
          <w:rFonts w:ascii="Times New Roman" w:hAnsi="Times New Roman" w:cs="Times New Roman"/>
          <w:lang w:val="en-US"/>
        </w:rPr>
        <w:t>“</w:t>
      </w:r>
      <w:r w:rsidRPr="00100D6C">
        <w:rPr>
          <w:rFonts w:ascii="Times New Roman" w:hAnsi="Times New Roman" w:cs="Times New Roman"/>
          <w:lang w:val="en-US"/>
        </w:rPr>
        <w:t>establishing relationships of inferiority and superiority between units and levels of legal discourse</w:t>
      </w:r>
      <w:r w:rsidR="00490E1C" w:rsidRPr="00100D6C">
        <w:rPr>
          <w:rFonts w:ascii="Times New Roman" w:hAnsi="Times New Roman" w:cs="Times New Roman"/>
          <w:lang w:val="en-US"/>
        </w:rPr>
        <w:t>.”</w:t>
      </w:r>
      <w:r w:rsidR="00563D51" w:rsidRPr="00100D6C">
        <w:rPr>
          <w:rStyle w:val="FootnoteReference"/>
          <w:rFonts w:ascii="Times New Roman" w:hAnsi="Times New Roman" w:cs="Times New Roman"/>
          <w:lang w:val="en-US"/>
        </w:rPr>
        <w:footnoteReference w:id="20"/>
      </w:r>
      <w:r w:rsidR="00793867" w:rsidRPr="00100D6C">
        <w:rPr>
          <w:rFonts w:ascii="Times New Roman" w:hAnsi="Times New Roman" w:cs="Times New Roman"/>
          <w:lang w:val="en-US"/>
        </w:rPr>
        <w:t xml:space="preserve"> For this reason, and even though legal scholars are at one is arguing that there is no formal hierarchy among the sources of international law, they generally find it difficult to refrain from passing </w:t>
      </w:r>
      <w:r w:rsidR="00793867" w:rsidRPr="00100D6C">
        <w:rPr>
          <w:rFonts w:ascii="Times New Roman" w:hAnsi="Times New Roman" w:cs="Times New Roman"/>
          <w:i/>
          <w:lang w:val="en-US"/>
        </w:rPr>
        <w:t xml:space="preserve">some form of </w:t>
      </w:r>
      <w:r w:rsidR="00AB15A0" w:rsidRPr="00100D6C">
        <w:rPr>
          <w:rFonts w:ascii="Times New Roman" w:hAnsi="Times New Roman" w:cs="Times New Roman"/>
          <w:i/>
          <w:lang w:val="en-US"/>
        </w:rPr>
        <w:t>judgment</w:t>
      </w:r>
      <w:r w:rsidR="00793867" w:rsidRPr="00100D6C">
        <w:rPr>
          <w:rFonts w:ascii="Times New Roman" w:hAnsi="Times New Roman" w:cs="Times New Roman"/>
          <w:lang w:val="en-US"/>
        </w:rPr>
        <w:t xml:space="preserve"> on the superiority of one or the other sources listed in Article 38</w:t>
      </w:r>
      <w:r w:rsidR="00A87917" w:rsidRPr="00100D6C">
        <w:rPr>
          <w:rFonts w:ascii="Times New Roman" w:hAnsi="Times New Roman" w:cs="Times New Roman"/>
          <w:lang w:val="en-US"/>
        </w:rPr>
        <w:t xml:space="preserve"> (and by</w:t>
      </w:r>
      <w:r w:rsidR="00563D51" w:rsidRPr="00100D6C">
        <w:rPr>
          <w:rFonts w:ascii="Times New Roman" w:hAnsi="Times New Roman" w:cs="Times New Roman"/>
          <w:lang w:val="en-US"/>
        </w:rPr>
        <w:t xml:space="preserve"> implication on the inferiority of</w:t>
      </w:r>
      <w:r w:rsidR="00C20A3E" w:rsidRPr="00100D6C">
        <w:rPr>
          <w:rFonts w:ascii="Times New Roman" w:hAnsi="Times New Roman" w:cs="Times New Roman"/>
          <w:lang w:val="en-US"/>
        </w:rPr>
        <w:t xml:space="preserve"> </w:t>
      </w:r>
      <w:r w:rsidR="00563D51" w:rsidRPr="00100D6C">
        <w:rPr>
          <w:rFonts w:ascii="Times New Roman" w:hAnsi="Times New Roman" w:cs="Times New Roman"/>
          <w:lang w:val="en-US"/>
        </w:rPr>
        <w:t xml:space="preserve">the </w:t>
      </w:r>
      <w:r w:rsidR="00A87917" w:rsidRPr="00100D6C">
        <w:rPr>
          <w:rFonts w:ascii="Times New Roman" w:hAnsi="Times New Roman" w:cs="Times New Roman"/>
          <w:lang w:val="en-US"/>
        </w:rPr>
        <w:t>other</w:t>
      </w:r>
      <w:r w:rsidR="00563D51" w:rsidRPr="00100D6C">
        <w:rPr>
          <w:rFonts w:ascii="Times New Roman" w:hAnsi="Times New Roman" w:cs="Times New Roman"/>
          <w:lang w:val="en-US"/>
        </w:rPr>
        <w:t>s</w:t>
      </w:r>
      <w:r w:rsidR="00A87917" w:rsidRPr="00100D6C">
        <w:rPr>
          <w:rFonts w:ascii="Times New Roman" w:hAnsi="Times New Roman" w:cs="Times New Roman"/>
          <w:lang w:val="en-US"/>
        </w:rPr>
        <w:t>)</w:t>
      </w:r>
      <w:r w:rsidR="00793867" w:rsidRPr="00100D6C">
        <w:rPr>
          <w:rFonts w:ascii="Times New Roman" w:hAnsi="Times New Roman" w:cs="Times New Roman"/>
          <w:lang w:val="en-US"/>
        </w:rPr>
        <w:t xml:space="preserve">. The </w:t>
      </w:r>
      <w:r w:rsidR="00563D51" w:rsidRPr="00100D6C">
        <w:rPr>
          <w:rFonts w:ascii="Times New Roman" w:hAnsi="Times New Roman" w:cs="Times New Roman"/>
          <w:lang w:val="en-US"/>
        </w:rPr>
        <w:t>leading</w:t>
      </w:r>
      <w:r w:rsidR="00793867" w:rsidRPr="00100D6C">
        <w:rPr>
          <w:rFonts w:ascii="Times New Roman" w:hAnsi="Times New Roman" w:cs="Times New Roman"/>
          <w:lang w:val="en-US"/>
        </w:rPr>
        <w:t xml:space="preserve"> view in this regard, at least as far as modern international law is concerned, is that treaties </w:t>
      </w:r>
      <w:r w:rsidR="00A87917" w:rsidRPr="00100D6C">
        <w:rPr>
          <w:rFonts w:ascii="Times New Roman" w:hAnsi="Times New Roman" w:cs="Times New Roman"/>
          <w:lang w:val="en-US"/>
        </w:rPr>
        <w:t>are the</w:t>
      </w:r>
      <w:r w:rsidR="00C20A3E" w:rsidRPr="00100D6C">
        <w:rPr>
          <w:rFonts w:ascii="Times New Roman" w:hAnsi="Times New Roman" w:cs="Times New Roman"/>
          <w:lang w:val="en-US"/>
        </w:rPr>
        <w:t xml:space="preserve"> </w:t>
      </w:r>
      <w:r w:rsidR="00490E1C" w:rsidRPr="00100D6C">
        <w:rPr>
          <w:rFonts w:ascii="Times New Roman" w:hAnsi="Times New Roman" w:cs="Times New Roman"/>
          <w:lang w:val="en-US"/>
        </w:rPr>
        <w:t>“</w:t>
      </w:r>
      <w:r w:rsidR="00563D51" w:rsidRPr="00100D6C">
        <w:rPr>
          <w:rFonts w:ascii="Times New Roman" w:hAnsi="Times New Roman" w:cs="Times New Roman"/>
          <w:lang w:val="en-US"/>
        </w:rPr>
        <w:t>most prominent</w:t>
      </w:r>
      <w:r w:rsidR="00490E1C" w:rsidRPr="00100D6C">
        <w:rPr>
          <w:rFonts w:ascii="Times New Roman" w:hAnsi="Times New Roman" w:cs="Times New Roman"/>
          <w:lang w:val="en-US"/>
        </w:rPr>
        <w:t>”</w:t>
      </w:r>
      <w:r w:rsidR="00563D51" w:rsidRPr="00100D6C">
        <w:rPr>
          <w:rFonts w:ascii="Times New Roman" w:hAnsi="Times New Roman" w:cs="Times New Roman"/>
          <w:lang w:val="en-US"/>
        </w:rPr>
        <w:t xml:space="preserve">, </w:t>
      </w:r>
      <w:r w:rsidR="00490E1C" w:rsidRPr="00100D6C">
        <w:rPr>
          <w:rFonts w:ascii="Times New Roman" w:hAnsi="Times New Roman" w:cs="Times New Roman"/>
          <w:lang w:val="en-US"/>
        </w:rPr>
        <w:t>“</w:t>
      </w:r>
      <w:r w:rsidR="00563D51" w:rsidRPr="00100D6C">
        <w:rPr>
          <w:rFonts w:ascii="Times New Roman" w:hAnsi="Times New Roman" w:cs="Times New Roman"/>
          <w:lang w:val="en-US"/>
        </w:rPr>
        <w:t>most important</w:t>
      </w:r>
      <w:r w:rsidR="00490E1C" w:rsidRPr="00100D6C">
        <w:rPr>
          <w:rFonts w:ascii="Times New Roman" w:hAnsi="Times New Roman" w:cs="Times New Roman"/>
          <w:lang w:val="en-US"/>
        </w:rPr>
        <w:t>”</w:t>
      </w:r>
      <w:r w:rsidR="00563D51" w:rsidRPr="00100D6C">
        <w:rPr>
          <w:rFonts w:ascii="Times New Roman" w:hAnsi="Times New Roman" w:cs="Times New Roman"/>
          <w:lang w:val="en-US"/>
        </w:rPr>
        <w:t xml:space="preserve">, </w:t>
      </w:r>
      <w:r w:rsidR="00490E1C" w:rsidRPr="00100D6C">
        <w:rPr>
          <w:rFonts w:ascii="Times New Roman" w:hAnsi="Times New Roman" w:cs="Times New Roman"/>
          <w:lang w:val="en-US"/>
        </w:rPr>
        <w:t>“</w:t>
      </w:r>
      <w:r w:rsidR="00563D51" w:rsidRPr="00100D6C">
        <w:rPr>
          <w:rFonts w:ascii="Times New Roman" w:hAnsi="Times New Roman" w:cs="Times New Roman"/>
          <w:lang w:val="en-US"/>
        </w:rPr>
        <w:t>most fundamental</w:t>
      </w:r>
      <w:r w:rsidR="00490E1C" w:rsidRPr="00100D6C">
        <w:rPr>
          <w:rFonts w:ascii="Times New Roman" w:hAnsi="Times New Roman" w:cs="Times New Roman"/>
          <w:lang w:val="en-US"/>
        </w:rPr>
        <w:t>”</w:t>
      </w:r>
      <w:r w:rsidR="00563D51" w:rsidRPr="00100D6C">
        <w:rPr>
          <w:rFonts w:ascii="Times New Roman" w:hAnsi="Times New Roman" w:cs="Times New Roman"/>
          <w:lang w:val="en-US"/>
        </w:rPr>
        <w:t xml:space="preserve">, </w:t>
      </w:r>
      <w:r w:rsidR="00490E1C" w:rsidRPr="00100D6C">
        <w:rPr>
          <w:rFonts w:ascii="Times New Roman" w:hAnsi="Times New Roman" w:cs="Times New Roman"/>
          <w:lang w:val="en-US"/>
        </w:rPr>
        <w:t>“</w:t>
      </w:r>
      <w:r w:rsidR="00563D51" w:rsidRPr="00100D6C">
        <w:rPr>
          <w:rFonts w:ascii="Times New Roman" w:hAnsi="Times New Roman" w:cs="Times New Roman"/>
          <w:lang w:val="en-US"/>
        </w:rPr>
        <w:t>dominant</w:t>
      </w:r>
      <w:r w:rsidR="00490E1C" w:rsidRPr="00100D6C">
        <w:rPr>
          <w:rFonts w:ascii="Times New Roman" w:hAnsi="Times New Roman" w:cs="Times New Roman"/>
          <w:lang w:val="en-US"/>
        </w:rPr>
        <w:t>”</w:t>
      </w:r>
      <w:r w:rsidR="00563D51" w:rsidRPr="00100D6C">
        <w:rPr>
          <w:rFonts w:ascii="Times New Roman" w:hAnsi="Times New Roman" w:cs="Times New Roman"/>
          <w:lang w:val="en-US"/>
        </w:rPr>
        <w:t xml:space="preserve">, </w:t>
      </w:r>
      <w:r w:rsidR="00490E1C" w:rsidRPr="00100D6C">
        <w:rPr>
          <w:rFonts w:ascii="Times New Roman" w:hAnsi="Times New Roman" w:cs="Times New Roman"/>
          <w:lang w:val="en-US"/>
        </w:rPr>
        <w:t>“</w:t>
      </w:r>
      <w:r w:rsidR="00563D51" w:rsidRPr="00100D6C">
        <w:rPr>
          <w:rFonts w:ascii="Times New Roman" w:hAnsi="Times New Roman" w:cs="Times New Roman"/>
          <w:lang w:val="en-US"/>
        </w:rPr>
        <w:t>major</w:t>
      </w:r>
      <w:r w:rsidR="00490E1C" w:rsidRPr="00100D6C">
        <w:rPr>
          <w:rFonts w:ascii="Times New Roman" w:hAnsi="Times New Roman" w:cs="Times New Roman"/>
          <w:lang w:val="en-US"/>
        </w:rPr>
        <w:t>”</w:t>
      </w:r>
      <w:r w:rsidR="005A62F7" w:rsidRPr="00100D6C">
        <w:rPr>
          <w:rFonts w:ascii="Times New Roman" w:hAnsi="Times New Roman" w:cs="Times New Roman"/>
          <w:lang w:val="en-US"/>
        </w:rPr>
        <w:t xml:space="preserve">, </w:t>
      </w:r>
      <w:r w:rsidR="00490E1C" w:rsidRPr="00100D6C">
        <w:rPr>
          <w:rFonts w:ascii="Times New Roman" w:hAnsi="Times New Roman" w:cs="Times New Roman"/>
          <w:lang w:val="en-US"/>
        </w:rPr>
        <w:t>“</w:t>
      </w:r>
      <w:r w:rsidR="005A62F7" w:rsidRPr="00100D6C">
        <w:rPr>
          <w:rFonts w:ascii="Times New Roman" w:hAnsi="Times New Roman" w:cs="Times New Roman"/>
          <w:lang w:val="en-US"/>
        </w:rPr>
        <w:t>principal</w:t>
      </w:r>
      <w:r w:rsidR="00490E1C" w:rsidRPr="00100D6C">
        <w:rPr>
          <w:rFonts w:ascii="Times New Roman" w:hAnsi="Times New Roman" w:cs="Times New Roman"/>
          <w:lang w:val="en-US"/>
        </w:rPr>
        <w:t>”</w:t>
      </w:r>
      <w:r w:rsidR="005A62F7" w:rsidRPr="00100D6C">
        <w:rPr>
          <w:rFonts w:ascii="Times New Roman" w:hAnsi="Times New Roman" w:cs="Times New Roman"/>
          <w:lang w:val="en-US"/>
        </w:rPr>
        <w:t xml:space="preserve"> or </w:t>
      </w:r>
      <w:r w:rsidR="00490E1C" w:rsidRPr="00100D6C">
        <w:rPr>
          <w:rFonts w:ascii="Times New Roman" w:hAnsi="Times New Roman" w:cs="Times New Roman"/>
          <w:lang w:val="en-US"/>
        </w:rPr>
        <w:t>“</w:t>
      </w:r>
      <w:r w:rsidR="005A62F7" w:rsidRPr="00100D6C">
        <w:rPr>
          <w:rFonts w:ascii="Times New Roman" w:hAnsi="Times New Roman" w:cs="Times New Roman"/>
          <w:lang w:val="en-US"/>
        </w:rPr>
        <w:t>primary</w:t>
      </w:r>
      <w:r w:rsidR="00490E1C" w:rsidRPr="00100D6C">
        <w:rPr>
          <w:rFonts w:ascii="Times New Roman" w:hAnsi="Times New Roman" w:cs="Times New Roman"/>
          <w:lang w:val="en-US"/>
        </w:rPr>
        <w:t>”</w:t>
      </w:r>
      <w:r w:rsidR="00563D51" w:rsidRPr="00100D6C">
        <w:rPr>
          <w:rFonts w:ascii="Times New Roman" w:hAnsi="Times New Roman" w:cs="Times New Roman"/>
          <w:lang w:val="en-US"/>
        </w:rPr>
        <w:t xml:space="preserve"> source of international law</w:t>
      </w:r>
      <w:r w:rsidR="005A62F7" w:rsidRPr="00100D6C">
        <w:rPr>
          <w:rFonts w:ascii="Times New Roman" w:hAnsi="Times New Roman" w:cs="Times New Roman"/>
          <w:lang w:val="en-US"/>
        </w:rPr>
        <w:t>.</w:t>
      </w:r>
      <w:bookmarkStart w:id="13" w:name="_Ref428010147"/>
      <w:r w:rsidR="005A62F7" w:rsidRPr="00100D6C">
        <w:rPr>
          <w:rStyle w:val="FootnoteReference"/>
          <w:rFonts w:ascii="Times New Roman" w:hAnsi="Times New Roman" w:cs="Times New Roman"/>
          <w:lang w:val="en-US"/>
        </w:rPr>
        <w:footnoteReference w:id="21"/>
      </w:r>
      <w:bookmarkEnd w:id="13"/>
      <w:r w:rsidR="00C20A3E" w:rsidRPr="00100D6C">
        <w:rPr>
          <w:rFonts w:ascii="Times New Roman" w:hAnsi="Times New Roman" w:cs="Times New Roman"/>
          <w:lang w:val="en-US"/>
        </w:rPr>
        <w:t xml:space="preserve"> </w:t>
      </w:r>
      <w:r w:rsidR="001F24E7" w:rsidRPr="00100D6C">
        <w:rPr>
          <w:rFonts w:ascii="Times New Roman" w:hAnsi="Times New Roman" w:cs="Times New Roman"/>
          <w:lang w:val="en-US"/>
        </w:rPr>
        <w:t xml:space="preserve">To some scholars, </w:t>
      </w:r>
      <w:r w:rsidR="002F4EC6" w:rsidRPr="00100D6C">
        <w:rPr>
          <w:rFonts w:ascii="Times New Roman" w:hAnsi="Times New Roman" w:cs="Times New Roman"/>
          <w:lang w:val="en-US"/>
        </w:rPr>
        <w:t xml:space="preserve">the pre-eminence of treaties is such that international law-making can be usefully divided into </w:t>
      </w:r>
      <w:r w:rsidR="00490E1C" w:rsidRPr="00100D6C">
        <w:rPr>
          <w:rFonts w:ascii="Times New Roman" w:hAnsi="Times New Roman" w:cs="Times New Roman"/>
          <w:lang w:val="en-US"/>
        </w:rPr>
        <w:t>“</w:t>
      </w:r>
      <w:r w:rsidR="002F4EC6" w:rsidRPr="00100D6C">
        <w:rPr>
          <w:rFonts w:ascii="Times New Roman" w:hAnsi="Times New Roman" w:cs="Times New Roman"/>
          <w:lang w:val="en-US"/>
        </w:rPr>
        <w:t>treaty law</w:t>
      </w:r>
      <w:r w:rsidR="00490E1C" w:rsidRPr="00100D6C">
        <w:rPr>
          <w:rFonts w:ascii="Times New Roman" w:hAnsi="Times New Roman" w:cs="Times New Roman"/>
          <w:lang w:val="en-US"/>
        </w:rPr>
        <w:t>”</w:t>
      </w:r>
      <w:r w:rsidR="002F4EC6" w:rsidRPr="00100D6C">
        <w:rPr>
          <w:rFonts w:ascii="Times New Roman" w:hAnsi="Times New Roman" w:cs="Times New Roman"/>
          <w:lang w:val="en-US"/>
        </w:rPr>
        <w:t xml:space="preserve"> and </w:t>
      </w:r>
      <w:r w:rsidR="00490E1C" w:rsidRPr="00100D6C">
        <w:rPr>
          <w:rFonts w:ascii="Times New Roman" w:hAnsi="Times New Roman" w:cs="Times New Roman"/>
          <w:lang w:val="en-US"/>
        </w:rPr>
        <w:t>“</w:t>
      </w:r>
      <w:r w:rsidR="002F4EC6" w:rsidRPr="00100D6C">
        <w:rPr>
          <w:rFonts w:ascii="Times New Roman" w:hAnsi="Times New Roman" w:cs="Times New Roman"/>
          <w:lang w:val="en-US"/>
        </w:rPr>
        <w:t>non-treaty law</w:t>
      </w:r>
      <w:r w:rsidR="00490E1C" w:rsidRPr="00100D6C">
        <w:rPr>
          <w:rFonts w:ascii="Times New Roman" w:hAnsi="Times New Roman" w:cs="Times New Roman"/>
          <w:lang w:val="en-US"/>
        </w:rPr>
        <w:t>.”</w:t>
      </w:r>
      <w:r w:rsidR="002F4EC6" w:rsidRPr="00100D6C">
        <w:rPr>
          <w:rStyle w:val="FootnoteReference"/>
          <w:rFonts w:ascii="Times New Roman" w:hAnsi="Times New Roman" w:cs="Times New Roman"/>
          <w:lang w:val="en-US"/>
        </w:rPr>
        <w:footnoteReference w:id="22"/>
      </w:r>
      <w:r w:rsidR="00C20A3E" w:rsidRPr="00100D6C">
        <w:rPr>
          <w:rFonts w:ascii="Times New Roman" w:hAnsi="Times New Roman" w:cs="Times New Roman"/>
          <w:lang w:val="en-US"/>
        </w:rPr>
        <w:t xml:space="preserve"> </w:t>
      </w:r>
      <w:r w:rsidR="00370D2A" w:rsidRPr="00100D6C">
        <w:rPr>
          <w:rFonts w:ascii="Times New Roman" w:hAnsi="Times New Roman" w:cs="Times New Roman"/>
          <w:lang w:val="en-US"/>
        </w:rPr>
        <w:t xml:space="preserve">Treaties </w:t>
      </w:r>
      <w:r w:rsidR="00D9066E" w:rsidRPr="00100D6C">
        <w:rPr>
          <w:rFonts w:ascii="Times New Roman" w:hAnsi="Times New Roman" w:cs="Times New Roman"/>
          <w:lang w:val="en-US"/>
        </w:rPr>
        <w:t>on the one hand</w:t>
      </w:r>
      <w:r w:rsidR="00490E1C" w:rsidRPr="00100D6C">
        <w:rPr>
          <w:rFonts w:ascii="Times New Roman" w:hAnsi="Times New Roman" w:cs="Times New Roman"/>
          <w:lang w:val="en-US"/>
        </w:rPr>
        <w:t>; e</w:t>
      </w:r>
      <w:r w:rsidR="00D9066E" w:rsidRPr="00100D6C">
        <w:rPr>
          <w:rFonts w:ascii="Times New Roman" w:hAnsi="Times New Roman" w:cs="Times New Roman"/>
          <w:lang w:val="en-US"/>
        </w:rPr>
        <w:t>verything else on the other</w:t>
      </w:r>
      <w:r w:rsidR="00370D2A" w:rsidRPr="00100D6C">
        <w:rPr>
          <w:rFonts w:ascii="Times New Roman" w:hAnsi="Times New Roman" w:cs="Times New Roman"/>
          <w:lang w:val="en-US"/>
        </w:rPr>
        <w:t>.</w:t>
      </w:r>
      <w:r w:rsidR="007F56C3" w:rsidRPr="00100D6C">
        <w:rPr>
          <w:rFonts w:ascii="Times New Roman" w:hAnsi="Times New Roman" w:cs="Times New Roman"/>
          <w:lang w:val="en-US"/>
        </w:rPr>
        <w:t xml:space="preserve"> In fact, it is not rare for legal scholars to regard treaties and internation</w:t>
      </w:r>
      <w:r w:rsidR="008918AC" w:rsidRPr="00100D6C">
        <w:rPr>
          <w:rFonts w:ascii="Times New Roman" w:hAnsi="Times New Roman" w:cs="Times New Roman"/>
          <w:lang w:val="en-US"/>
        </w:rPr>
        <w:t>al law as one and the same</w:t>
      </w:r>
      <w:r w:rsidR="007F56C3" w:rsidRPr="00100D6C">
        <w:rPr>
          <w:rFonts w:ascii="Times New Roman" w:hAnsi="Times New Roman" w:cs="Times New Roman"/>
          <w:lang w:val="en-US"/>
        </w:rPr>
        <w:t>.</w:t>
      </w:r>
    </w:p>
    <w:p w:rsidR="0076673C" w:rsidRPr="00100D6C" w:rsidRDefault="00445537" w:rsidP="007274F5">
      <w:pPr>
        <w:jc w:val="both"/>
        <w:rPr>
          <w:rFonts w:ascii="Times New Roman" w:hAnsi="Times New Roman" w:cs="Times New Roman"/>
          <w:lang w:val="en-US"/>
        </w:rPr>
      </w:pPr>
      <w:r w:rsidRPr="00100D6C">
        <w:rPr>
          <w:rFonts w:ascii="Times New Roman" w:hAnsi="Times New Roman" w:cs="Times New Roman"/>
          <w:lang w:val="en-US"/>
        </w:rPr>
        <w:t xml:space="preserve">The </w:t>
      </w:r>
      <w:r w:rsidR="00490E1C" w:rsidRPr="00100D6C">
        <w:rPr>
          <w:rFonts w:ascii="Times New Roman" w:hAnsi="Times New Roman" w:cs="Times New Roman"/>
          <w:lang w:val="en-US"/>
        </w:rPr>
        <w:t>“</w:t>
      </w:r>
      <w:r w:rsidR="00246F30" w:rsidRPr="00100D6C">
        <w:rPr>
          <w:rFonts w:ascii="Times New Roman" w:hAnsi="Times New Roman" w:cs="Times New Roman"/>
          <w:lang w:val="en-US"/>
        </w:rPr>
        <w:t>treaty primacy</w:t>
      </w:r>
      <w:r w:rsidR="00490E1C" w:rsidRPr="00100D6C">
        <w:rPr>
          <w:rFonts w:ascii="Times New Roman" w:hAnsi="Times New Roman" w:cs="Times New Roman"/>
          <w:lang w:val="en-US"/>
        </w:rPr>
        <w:t>”</w:t>
      </w:r>
      <w:r w:rsidRPr="00100D6C">
        <w:rPr>
          <w:rFonts w:ascii="Times New Roman" w:hAnsi="Times New Roman" w:cs="Times New Roman"/>
          <w:lang w:val="en-US"/>
        </w:rPr>
        <w:t xml:space="preserve"> thesis come</w:t>
      </w:r>
      <w:r w:rsidR="00544FBE" w:rsidRPr="00100D6C">
        <w:rPr>
          <w:rFonts w:ascii="Times New Roman" w:hAnsi="Times New Roman" w:cs="Times New Roman"/>
          <w:lang w:val="en-US"/>
        </w:rPr>
        <w:t xml:space="preserve">s in various degrees and forms, which can be </w:t>
      </w:r>
      <w:r w:rsidR="00AB15A0" w:rsidRPr="00100D6C">
        <w:rPr>
          <w:rFonts w:ascii="Times New Roman" w:hAnsi="Times New Roman" w:cs="Times New Roman"/>
          <w:lang w:val="en-US"/>
        </w:rPr>
        <w:t>categorized</w:t>
      </w:r>
      <w:r w:rsidR="00544FBE" w:rsidRPr="00100D6C">
        <w:rPr>
          <w:rFonts w:ascii="Times New Roman" w:hAnsi="Times New Roman" w:cs="Times New Roman"/>
          <w:lang w:val="en-US"/>
        </w:rPr>
        <w:t xml:space="preserve"> in two principal streams of arguments. The first stream posits that treaties and custom are normatively equivalent but that, </w:t>
      </w:r>
      <w:r w:rsidR="00544FBE" w:rsidRPr="00100D6C">
        <w:rPr>
          <w:rFonts w:ascii="Times New Roman" w:hAnsi="Times New Roman" w:cs="Times New Roman"/>
          <w:i/>
          <w:lang w:val="en-US"/>
        </w:rPr>
        <w:t>as a matter of procedural order</w:t>
      </w:r>
      <w:r w:rsidR="00544FBE" w:rsidRPr="00100D6C">
        <w:rPr>
          <w:rFonts w:ascii="Times New Roman" w:hAnsi="Times New Roman" w:cs="Times New Roman"/>
          <w:lang w:val="en-US"/>
        </w:rPr>
        <w:t>, treaties</w:t>
      </w:r>
      <w:r w:rsidR="002F032B" w:rsidRPr="00100D6C">
        <w:rPr>
          <w:rFonts w:ascii="Times New Roman" w:hAnsi="Times New Roman" w:cs="Times New Roman"/>
          <w:lang w:val="en-US"/>
        </w:rPr>
        <w:t xml:space="preserve"> take priority over other sources of international law. When deciding a case, the argument goes, courts and tribunals </w:t>
      </w:r>
      <w:r w:rsidR="004B78A7" w:rsidRPr="00100D6C">
        <w:rPr>
          <w:rFonts w:ascii="Times New Roman" w:hAnsi="Times New Roman" w:cs="Times New Roman"/>
          <w:lang w:val="en-US"/>
        </w:rPr>
        <w:t xml:space="preserve">do routinely – and should as a matter of principle – </w:t>
      </w:r>
      <w:r w:rsidR="002F032B" w:rsidRPr="00100D6C">
        <w:rPr>
          <w:rFonts w:ascii="Times New Roman" w:hAnsi="Times New Roman" w:cs="Times New Roman"/>
          <w:lang w:val="en-US"/>
        </w:rPr>
        <w:t xml:space="preserve">look at treaties first, before considering </w:t>
      </w:r>
      <w:r w:rsidR="00DB0A72" w:rsidRPr="00100D6C">
        <w:rPr>
          <w:rFonts w:ascii="Times New Roman" w:hAnsi="Times New Roman" w:cs="Times New Roman"/>
          <w:lang w:val="en-US"/>
        </w:rPr>
        <w:t>non-treaty</w:t>
      </w:r>
      <w:r w:rsidR="002F032B" w:rsidRPr="00100D6C">
        <w:rPr>
          <w:rFonts w:ascii="Times New Roman" w:hAnsi="Times New Roman" w:cs="Times New Roman"/>
          <w:lang w:val="en-US"/>
        </w:rPr>
        <w:t xml:space="preserve"> sources.</w:t>
      </w:r>
      <w:bookmarkStart w:id="14" w:name="_Ref445907154"/>
      <w:r w:rsidR="00951768" w:rsidRPr="00100D6C">
        <w:rPr>
          <w:rStyle w:val="FootnoteReference"/>
          <w:rFonts w:ascii="Times New Roman" w:hAnsi="Times New Roman" w:cs="Times New Roman"/>
          <w:lang w:val="en-US"/>
        </w:rPr>
        <w:footnoteReference w:id="23"/>
      </w:r>
      <w:bookmarkEnd w:id="14"/>
      <w:r w:rsidR="009E1F07" w:rsidRPr="00100D6C">
        <w:rPr>
          <w:rFonts w:ascii="Times New Roman" w:hAnsi="Times New Roman" w:cs="Times New Roman"/>
          <w:lang w:val="en-US"/>
        </w:rPr>
        <w:t xml:space="preserve"> </w:t>
      </w:r>
      <w:r w:rsidR="002F032B" w:rsidRPr="00100D6C">
        <w:rPr>
          <w:rFonts w:ascii="Times New Roman" w:hAnsi="Times New Roman" w:cs="Times New Roman"/>
          <w:lang w:val="en-US"/>
        </w:rPr>
        <w:t xml:space="preserve">This view is based on two </w:t>
      </w:r>
      <w:r w:rsidR="00D9066E" w:rsidRPr="00100D6C">
        <w:rPr>
          <w:rFonts w:ascii="Times New Roman" w:hAnsi="Times New Roman" w:cs="Times New Roman"/>
          <w:lang w:val="en-US"/>
        </w:rPr>
        <w:t>principal</w:t>
      </w:r>
      <w:r w:rsidR="002F032B" w:rsidRPr="00100D6C">
        <w:rPr>
          <w:rFonts w:ascii="Times New Roman" w:hAnsi="Times New Roman" w:cs="Times New Roman"/>
          <w:lang w:val="en-US"/>
        </w:rPr>
        <w:t xml:space="preserve"> justifications.</w:t>
      </w:r>
      <w:r w:rsidR="00F82606" w:rsidRPr="00100D6C">
        <w:rPr>
          <w:rFonts w:ascii="Times New Roman" w:hAnsi="Times New Roman" w:cs="Times New Roman"/>
          <w:lang w:val="en-US"/>
        </w:rPr>
        <w:t xml:space="preserve"> The first </w:t>
      </w:r>
      <w:r w:rsidR="00750911" w:rsidRPr="00100D6C">
        <w:rPr>
          <w:rFonts w:ascii="Times New Roman" w:hAnsi="Times New Roman" w:cs="Times New Roman"/>
          <w:lang w:val="en-US"/>
        </w:rPr>
        <w:t>is a pragmatic consideration</w:t>
      </w:r>
      <w:r w:rsidR="00F82606" w:rsidRPr="00100D6C">
        <w:rPr>
          <w:rFonts w:ascii="Times New Roman" w:hAnsi="Times New Roman" w:cs="Times New Roman"/>
          <w:lang w:val="en-US"/>
        </w:rPr>
        <w:t xml:space="preserve">. Treaties are generally thought to be superior instruments for resolving disputes owing to their written character, which confers a greater degree of precision and textual determinacy to treaty norms. Treaty norms are easier to </w:t>
      </w:r>
      <w:r w:rsidR="00750911" w:rsidRPr="00100D6C">
        <w:rPr>
          <w:rFonts w:ascii="Times New Roman" w:hAnsi="Times New Roman" w:cs="Times New Roman"/>
          <w:lang w:val="en-US"/>
        </w:rPr>
        <w:t>locate, ascertain</w:t>
      </w:r>
      <w:r w:rsidR="00F82606" w:rsidRPr="00100D6C">
        <w:rPr>
          <w:rFonts w:ascii="Times New Roman" w:hAnsi="Times New Roman" w:cs="Times New Roman"/>
          <w:lang w:val="en-US"/>
        </w:rPr>
        <w:t xml:space="preserve"> and apply</w:t>
      </w:r>
      <w:r w:rsidR="00750911" w:rsidRPr="00100D6C">
        <w:rPr>
          <w:rFonts w:ascii="Times New Roman" w:hAnsi="Times New Roman" w:cs="Times New Roman"/>
          <w:lang w:val="en-US"/>
        </w:rPr>
        <w:t xml:space="preserve"> than other norms</w:t>
      </w:r>
      <w:r w:rsidR="00A84768" w:rsidRPr="00100D6C">
        <w:rPr>
          <w:rFonts w:ascii="Times New Roman" w:hAnsi="Times New Roman" w:cs="Times New Roman"/>
          <w:lang w:val="en-US"/>
        </w:rPr>
        <w:t xml:space="preserve">, particularly customary norms, the precise content of which can be difficult and </w:t>
      </w:r>
      <w:r w:rsidR="0085121E" w:rsidRPr="00100D6C">
        <w:rPr>
          <w:rFonts w:ascii="Times New Roman" w:hAnsi="Times New Roman" w:cs="Times New Roman"/>
          <w:lang w:val="en-US"/>
        </w:rPr>
        <w:t>onerous</w:t>
      </w:r>
      <w:r w:rsidR="00A84768" w:rsidRPr="00100D6C">
        <w:rPr>
          <w:rFonts w:ascii="Times New Roman" w:hAnsi="Times New Roman" w:cs="Times New Roman"/>
          <w:lang w:val="en-US"/>
        </w:rPr>
        <w:t xml:space="preserve"> to establish.</w:t>
      </w:r>
      <w:r w:rsidR="0085121E" w:rsidRPr="00100D6C">
        <w:rPr>
          <w:rFonts w:ascii="Times New Roman" w:hAnsi="Times New Roman" w:cs="Times New Roman"/>
          <w:lang w:val="en-US"/>
        </w:rPr>
        <w:t xml:space="preserve"> As noted by Beckett, </w:t>
      </w:r>
      <w:r w:rsidR="00677F0F" w:rsidRPr="00100D6C">
        <w:rPr>
          <w:rFonts w:ascii="Times New Roman" w:hAnsi="Times New Roman" w:cs="Times New Roman"/>
          <w:lang w:val="en-US"/>
        </w:rPr>
        <w:t>“</w:t>
      </w:r>
      <w:r w:rsidR="00CE6B54" w:rsidRPr="00100D6C">
        <w:rPr>
          <w:rFonts w:ascii="Times New Roman" w:hAnsi="Times New Roman" w:cs="Times New Roman"/>
          <w:lang w:val="en-US"/>
        </w:rPr>
        <w:t xml:space="preserve">state practice is </w:t>
      </w:r>
      <w:r w:rsidR="00CE6B54" w:rsidRPr="00100D6C">
        <w:rPr>
          <w:rFonts w:ascii="Times New Roman" w:hAnsi="Times New Roman" w:cs="Times New Roman"/>
          <w:lang w:val="en-US"/>
        </w:rPr>
        <w:lastRenderedPageBreak/>
        <w:t xml:space="preserve">widely dispersed, often awkward to identify, hard to weigh, and generally not uniform </w:t>
      </w:r>
      <w:r w:rsidR="00677F0F" w:rsidRPr="00100D6C">
        <w:rPr>
          <w:rFonts w:ascii="Times New Roman" w:hAnsi="Times New Roman" w:cs="Times New Roman"/>
          <w:lang w:val="en-US"/>
        </w:rPr>
        <w:t>….</w:t>
      </w:r>
      <w:r w:rsidR="00CE6B54" w:rsidRPr="00100D6C">
        <w:rPr>
          <w:rFonts w:ascii="Times New Roman" w:hAnsi="Times New Roman" w:cs="Times New Roman"/>
          <w:lang w:val="en-US"/>
        </w:rPr>
        <w:t xml:space="preserve"> It is easier to consult a written source</w:t>
      </w:r>
      <w:r w:rsidR="00677F0F" w:rsidRPr="00100D6C">
        <w:rPr>
          <w:rFonts w:ascii="Times New Roman" w:hAnsi="Times New Roman" w:cs="Times New Roman"/>
          <w:lang w:val="en-US"/>
        </w:rPr>
        <w:t>.”</w:t>
      </w:r>
      <w:bookmarkStart w:id="15" w:name="_Ref428347004"/>
      <w:r w:rsidR="00D9066E" w:rsidRPr="00100D6C">
        <w:rPr>
          <w:rStyle w:val="FootnoteReference"/>
          <w:rFonts w:ascii="Times New Roman" w:hAnsi="Times New Roman" w:cs="Times New Roman"/>
          <w:lang w:val="en-US"/>
        </w:rPr>
        <w:footnoteReference w:id="24"/>
      </w:r>
      <w:bookmarkEnd w:id="15"/>
      <w:r w:rsidR="00C20A3E" w:rsidRPr="00100D6C">
        <w:rPr>
          <w:rFonts w:ascii="Times New Roman" w:hAnsi="Times New Roman" w:cs="Times New Roman"/>
          <w:lang w:val="en-US"/>
        </w:rPr>
        <w:t xml:space="preserve"> </w:t>
      </w:r>
      <w:r w:rsidR="00A84768" w:rsidRPr="00100D6C">
        <w:rPr>
          <w:rFonts w:ascii="Times New Roman" w:hAnsi="Times New Roman" w:cs="Times New Roman"/>
          <w:lang w:val="en-US"/>
        </w:rPr>
        <w:t>Treaty law is also, by and large, devoid of the ontological</w:t>
      </w:r>
      <w:r w:rsidR="0076673C" w:rsidRPr="00100D6C">
        <w:rPr>
          <w:rFonts w:ascii="Times New Roman" w:hAnsi="Times New Roman" w:cs="Times New Roman"/>
          <w:lang w:val="en-US"/>
        </w:rPr>
        <w:t xml:space="preserve"> and methodological</w:t>
      </w:r>
      <w:r w:rsidR="00A84768" w:rsidRPr="00100D6C">
        <w:rPr>
          <w:rFonts w:ascii="Times New Roman" w:hAnsi="Times New Roman" w:cs="Times New Roman"/>
          <w:lang w:val="en-US"/>
        </w:rPr>
        <w:t xml:space="preserve"> uncertainties that are characteristic of customary law.</w:t>
      </w:r>
      <w:r w:rsidR="0076673C" w:rsidRPr="00100D6C">
        <w:rPr>
          <w:rFonts w:ascii="Times New Roman" w:hAnsi="Times New Roman" w:cs="Times New Roman"/>
          <w:lang w:val="en-US"/>
        </w:rPr>
        <w:t xml:space="preserve"> Proving a treaty norm is </w:t>
      </w:r>
      <w:r w:rsidR="00CE6B54" w:rsidRPr="00100D6C">
        <w:rPr>
          <w:rFonts w:ascii="Times New Roman" w:hAnsi="Times New Roman" w:cs="Times New Roman"/>
          <w:lang w:val="en-US"/>
        </w:rPr>
        <w:t>generally unproblematic</w:t>
      </w:r>
      <w:r w:rsidR="0085121E" w:rsidRPr="00100D6C">
        <w:rPr>
          <w:rFonts w:ascii="Times New Roman" w:hAnsi="Times New Roman" w:cs="Times New Roman"/>
          <w:lang w:val="en-US"/>
        </w:rPr>
        <w:t>. There is hardly ever any dispute about the existence of a treaty</w:t>
      </w:r>
      <w:r w:rsidR="00CE6B54" w:rsidRPr="00100D6C">
        <w:rPr>
          <w:rFonts w:ascii="Times New Roman" w:hAnsi="Times New Roman" w:cs="Times New Roman"/>
          <w:lang w:val="en-US"/>
        </w:rPr>
        <w:t>:</w:t>
      </w:r>
      <w:r w:rsidR="00C20A3E" w:rsidRPr="00100D6C">
        <w:rPr>
          <w:rFonts w:ascii="Times New Roman" w:hAnsi="Times New Roman" w:cs="Times New Roman"/>
          <w:lang w:val="en-US"/>
        </w:rPr>
        <w:t xml:space="preserve"> </w:t>
      </w:r>
      <w:r w:rsidR="0085121E" w:rsidRPr="00100D6C">
        <w:rPr>
          <w:rFonts w:ascii="Times New Roman" w:hAnsi="Times New Roman" w:cs="Times New Roman"/>
          <w:lang w:val="en-US"/>
        </w:rPr>
        <w:t>A treaty is either in force between the parties, or it isn’t.</w:t>
      </w:r>
      <w:r w:rsidR="00CE6B54" w:rsidRPr="00100D6C">
        <w:rPr>
          <w:rStyle w:val="FootnoteReference"/>
          <w:rFonts w:ascii="Times New Roman" w:hAnsi="Times New Roman" w:cs="Times New Roman"/>
          <w:lang w:val="en-US"/>
        </w:rPr>
        <w:footnoteReference w:id="25"/>
      </w:r>
      <w:r w:rsidR="00C20A3E" w:rsidRPr="00100D6C">
        <w:rPr>
          <w:rFonts w:ascii="Times New Roman" w:hAnsi="Times New Roman" w:cs="Times New Roman"/>
          <w:lang w:val="en-US"/>
        </w:rPr>
        <w:t xml:space="preserve"> </w:t>
      </w:r>
      <w:r w:rsidR="00CE6B54" w:rsidRPr="00100D6C">
        <w:rPr>
          <w:rFonts w:ascii="Times New Roman" w:hAnsi="Times New Roman" w:cs="Times New Roman"/>
          <w:lang w:val="en-US"/>
        </w:rPr>
        <w:t xml:space="preserve">Proving custom, by contrast, is a far more uncertain </w:t>
      </w:r>
      <w:r w:rsidR="005957E5" w:rsidRPr="00100D6C">
        <w:rPr>
          <w:rFonts w:ascii="Times New Roman" w:hAnsi="Times New Roman" w:cs="Times New Roman"/>
          <w:lang w:val="en-US"/>
        </w:rPr>
        <w:t>enterprise</w:t>
      </w:r>
      <w:r w:rsidR="00CE6B54" w:rsidRPr="00100D6C">
        <w:rPr>
          <w:rFonts w:ascii="Times New Roman" w:hAnsi="Times New Roman" w:cs="Times New Roman"/>
          <w:lang w:val="en-US"/>
        </w:rPr>
        <w:t xml:space="preserve"> that nearly always give</w:t>
      </w:r>
      <w:r w:rsidR="00DD6144" w:rsidRPr="00100D6C">
        <w:rPr>
          <w:rFonts w:ascii="Times New Roman" w:hAnsi="Times New Roman" w:cs="Times New Roman"/>
          <w:lang w:val="en-US"/>
        </w:rPr>
        <w:t>s</w:t>
      </w:r>
      <w:r w:rsidR="00CE6B54" w:rsidRPr="00100D6C">
        <w:rPr>
          <w:rFonts w:ascii="Times New Roman" w:hAnsi="Times New Roman" w:cs="Times New Roman"/>
          <w:lang w:val="en-US"/>
        </w:rPr>
        <w:t xml:space="preserve"> rise to serious controversies and</w:t>
      </w:r>
      <w:r w:rsidR="008722A1" w:rsidRPr="00100D6C">
        <w:rPr>
          <w:rFonts w:ascii="Times New Roman" w:hAnsi="Times New Roman" w:cs="Times New Roman"/>
          <w:lang w:val="en-US"/>
        </w:rPr>
        <w:t xml:space="preserve"> often</w:t>
      </w:r>
      <w:r w:rsidR="00CE6B54" w:rsidRPr="00100D6C">
        <w:rPr>
          <w:rFonts w:ascii="Times New Roman" w:hAnsi="Times New Roman" w:cs="Times New Roman"/>
          <w:lang w:val="en-US"/>
        </w:rPr>
        <w:t xml:space="preserve"> leave adjudicators (or codifiers) exposed to criticism.</w:t>
      </w:r>
      <w:r w:rsidR="008722A1" w:rsidRPr="00100D6C">
        <w:rPr>
          <w:rStyle w:val="FootnoteReference"/>
          <w:rFonts w:ascii="Times New Roman" w:hAnsi="Times New Roman" w:cs="Times New Roman"/>
          <w:lang w:val="en-US"/>
        </w:rPr>
        <w:footnoteReference w:id="26"/>
      </w:r>
      <w:r w:rsidR="008722A1" w:rsidRPr="00100D6C">
        <w:rPr>
          <w:rFonts w:ascii="Times New Roman" w:hAnsi="Times New Roman" w:cs="Times New Roman"/>
          <w:lang w:val="en-US"/>
        </w:rPr>
        <w:t xml:space="preserve"> In these circumstances, it is not surprising that courts and tribunals</w:t>
      </w:r>
      <w:r w:rsidR="005957E5" w:rsidRPr="00100D6C">
        <w:rPr>
          <w:rFonts w:ascii="Times New Roman" w:hAnsi="Times New Roman" w:cs="Times New Roman"/>
          <w:lang w:val="en-US"/>
        </w:rPr>
        <w:t xml:space="preserve"> should</w:t>
      </w:r>
      <w:r w:rsidR="008722A1" w:rsidRPr="00100D6C">
        <w:rPr>
          <w:rFonts w:ascii="Times New Roman" w:hAnsi="Times New Roman" w:cs="Times New Roman"/>
          <w:lang w:val="en-US"/>
        </w:rPr>
        <w:t>, as a matter of practice, demonstrate a preference for</w:t>
      </w:r>
      <w:r w:rsidR="00460A42" w:rsidRPr="00100D6C">
        <w:rPr>
          <w:rFonts w:ascii="Times New Roman" w:hAnsi="Times New Roman" w:cs="Times New Roman"/>
          <w:lang w:val="en-US"/>
        </w:rPr>
        <w:t xml:space="preserve"> the formality and definition of</w:t>
      </w:r>
      <w:r w:rsidR="008722A1" w:rsidRPr="00100D6C">
        <w:rPr>
          <w:rFonts w:ascii="Times New Roman" w:hAnsi="Times New Roman" w:cs="Times New Roman"/>
          <w:lang w:val="en-US"/>
        </w:rPr>
        <w:t xml:space="preserve"> treaty law. </w:t>
      </w:r>
      <w:r w:rsidR="005957E5" w:rsidRPr="00100D6C">
        <w:rPr>
          <w:rFonts w:ascii="Times New Roman" w:hAnsi="Times New Roman" w:cs="Times New Roman"/>
          <w:lang w:val="en-US"/>
        </w:rPr>
        <w:t xml:space="preserve">Noting this point, Charlesworth writes of a </w:t>
      </w:r>
      <w:r w:rsidR="00677F0F" w:rsidRPr="00100D6C">
        <w:rPr>
          <w:rFonts w:ascii="Times New Roman" w:hAnsi="Times New Roman" w:cs="Times New Roman"/>
          <w:lang w:val="en-US"/>
        </w:rPr>
        <w:t>“</w:t>
      </w:r>
      <w:r w:rsidR="005957E5" w:rsidRPr="00100D6C">
        <w:rPr>
          <w:rFonts w:ascii="Times New Roman" w:hAnsi="Times New Roman" w:cs="Times New Roman"/>
          <w:lang w:val="en-US"/>
        </w:rPr>
        <w:t>hierarchy of sources in terms of ease of identification</w:t>
      </w:r>
      <w:r w:rsidR="00677F0F" w:rsidRPr="00100D6C">
        <w:rPr>
          <w:rFonts w:ascii="Times New Roman" w:hAnsi="Times New Roman" w:cs="Times New Roman"/>
          <w:lang w:val="en-US"/>
        </w:rPr>
        <w:t>.”</w:t>
      </w:r>
      <w:bookmarkStart w:id="16" w:name="_Ref450816691"/>
      <w:r w:rsidR="008B1361" w:rsidRPr="00100D6C">
        <w:rPr>
          <w:rStyle w:val="FootnoteReference"/>
          <w:rFonts w:ascii="Times New Roman" w:hAnsi="Times New Roman" w:cs="Times New Roman"/>
          <w:lang w:val="en-US"/>
        </w:rPr>
        <w:footnoteReference w:id="27"/>
      </w:r>
      <w:bookmarkEnd w:id="16"/>
    </w:p>
    <w:p w:rsidR="002F032B" w:rsidRPr="00100D6C" w:rsidRDefault="002354A5" w:rsidP="007274F5">
      <w:pPr>
        <w:jc w:val="both"/>
        <w:rPr>
          <w:rFonts w:ascii="Times New Roman" w:hAnsi="Times New Roman" w:cs="Times New Roman"/>
          <w:lang w:val="en-US"/>
        </w:rPr>
      </w:pPr>
      <w:r w:rsidRPr="00100D6C">
        <w:rPr>
          <w:rFonts w:ascii="Times New Roman" w:hAnsi="Times New Roman" w:cs="Times New Roman"/>
          <w:lang w:val="en-US"/>
        </w:rPr>
        <w:t xml:space="preserve">That treaties should enjoy procedural or operational priority is also justified by a principled consideration. This </w:t>
      </w:r>
      <w:r w:rsidR="002F032B" w:rsidRPr="00100D6C">
        <w:rPr>
          <w:rFonts w:ascii="Times New Roman" w:hAnsi="Times New Roman" w:cs="Times New Roman"/>
          <w:lang w:val="en-US"/>
        </w:rPr>
        <w:t xml:space="preserve">stems from the </w:t>
      </w:r>
      <w:r w:rsidR="004B78A7" w:rsidRPr="00100D6C">
        <w:rPr>
          <w:rFonts w:ascii="Times New Roman" w:hAnsi="Times New Roman" w:cs="Times New Roman"/>
          <w:lang w:val="en-US"/>
        </w:rPr>
        <w:t>notion that states, by concluding treaties, are purposely ‘opting out’ of general (often understood as customary) international law to establish a special, derogatory regime</w:t>
      </w:r>
      <w:r w:rsidR="00DB0A72" w:rsidRPr="00100D6C">
        <w:rPr>
          <w:rFonts w:ascii="Times New Roman" w:hAnsi="Times New Roman" w:cs="Times New Roman"/>
          <w:lang w:val="en-US"/>
        </w:rPr>
        <w:t xml:space="preserve"> (i.e. a </w:t>
      </w:r>
      <w:r w:rsidR="00DB0A72" w:rsidRPr="00100D6C">
        <w:rPr>
          <w:rFonts w:ascii="Times New Roman" w:hAnsi="Times New Roman" w:cs="Times New Roman"/>
          <w:i/>
          <w:lang w:val="en-US"/>
        </w:rPr>
        <w:t>lex</w:t>
      </w:r>
      <w:r w:rsidR="00A970F3" w:rsidRPr="00100D6C">
        <w:rPr>
          <w:rFonts w:ascii="Times New Roman" w:hAnsi="Times New Roman" w:cs="Times New Roman"/>
          <w:i/>
          <w:lang w:val="en-US"/>
        </w:rPr>
        <w:t xml:space="preserve"> </w:t>
      </w:r>
      <w:r w:rsidR="00DB0A72" w:rsidRPr="00100D6C">
        <w:rPr>
          <w:rFonts w:ascii="Times New Roman" w:hAnsi="Times New Roman" w:cs="Times New Roman"/>
          <w:i/>
          <w:lang w:val="en-US"/>
        </w:rPr>
        <w:t>specialis</w:t>
      </w:r>
      <w:r w:rsidR="00DB0A72" w:rsidRPr="00100D6C">
        <w:rPr>
          <w:rFonts w:ascii="Times New Roman" w:hAnsi="Times New Roman" w:cs="Times New Roman"/>
          <w:lang w:val="en-US"/>
        </w:rPr>
        <w:t>)</w:t>
      </w:r>
      <w:r w:rsidR="004B78A7" w:rsidRPr="00100D6C">
        <w:rPr>
          <w:rFonts w:ascii="Times New Roman" w:hAnsi="Times New Roman" w:cs="Times New Roman"/>
          <w:lang w:val="en-US"/>
        </w:rPr>
        <w:t xml:space="preserve"> in a given area of cooperation.</w:t>
      </w:r>
      <w:r w:rsidR="00DB0A72" w:rsidRPr="00100D6C">
        <w:rPr>
          <w:rFonts w:ascii="Times New Roman" w:hAnsi="Times New Roman" w:cs="Times New Roman"/>
          <w:lang w:val="en-US"/>
        </w:rPr>
        <w:t xml:space="preserve"> This argument is found in its purest expression in the writings of Hersch</w:t>
      </w:r>
      <w:r w:rsidR="00143828" w:rsidRPr="00100D6C">
        <w:rPr>
          <w:rFonts w:ascii="Times New Roman" w:hAnsi="Times New Roman" w:cs="Times New Roman"/>
          <w:lang w:val="en-US"/>
        </w:rPr>
        <w:t xml:space="preserve"> </w:t>
      </w:r>
      <w:r w:rsidR="00DB0A72" w:rsidRPr="00100D6C">
        <w:rPr>
          <w:rFonts w:ascii="Times New Roman" w:hAnsi="Times New Roman" w:cs="Times New Roman"/>
          <w:lang w:val="en-US"/>
        </w:rPr>
        <w:t xml:space="preserve">Lauterpacht. </w:t>
      </w:r>
      <w:r w:rsidR="00F82606" w:rsidRPr="00100D6C">
        <w:rPr>
          <w:rFonts w:ascii="Times New Roman" w:hAnsi="Times New Roman" w:cs="Times New Roman"/>
          <w:lang w:val="en-US"/>
        </w:rPr>
        <w:t>Using a domestic law analogy, Lauterpacht considers that t</w:t>
      </w:r>
      <w:r w:rsidR="00DB0A72" w:rsidRPr="00100D6C">
        <w:rPr>
          <w:rFonts w:ascii="Times New Roman" w:hAnsi="Times New Roman" w:cs="Times New Roman"/>
          <w:lang w:val="en-US"/>
        </w:rPr>
        <w:t>he rights and duties of states:</w:t>
      </w:r>
    </w:p>
    <w:p w:rsidR="000F50FE" w:rsidRPr="00100D6C" w:rsidRDefault="00677F0F" w:rsidP="000F50FE">
      <w:pPr>
        <w:spacing w:line="240" w:lineRule="auto"/>
        <w:ind w:left="567"/>
        <w:jc w:val="both"/>
        <w:rPr>
          <w:rFonts w:ascii="Times New Roman" w:hAnsi="Times New Roman" w:cs="Times New Roman"/>
          <w:lang w:val="en-US"/>
        </w:rPr>
      </w:pPr>
      <w:r w:rsidRPr="00100D6C">
        <w:rPr>
          <w:rFonts w:ascii="Times New Roman" w:hAnsi="Times New Roman" w:cs="Times New Roman"/>
          <w:lang w:val="en-US"/>
        </w:rPr>
        <w:t>“</w:t>
      </w:r>
      <w:r w:rsidR="00DB0A72" w:rsidRPr="00100D6C">
        <w:rPr>
          <w:rFonts w:ascii="Times New Roman" w:hAnsi="Times New Roman" w:cs="Times New Roman"/>
          <w:lang w:val="en-US"/>
        </w:rPr>
        <w:t>are determined, in the first instance, by their agreement as expressed in treaties, just as in the case of individuals their rights are specifically determined by an y contract which is binding upon them. When a controversy arises between two or more States with regard to a matter regulated by a treaty, it is natural that the parties should invoke and that the adjudicating agency should apply, in the first instance, the provi</w:t>
      </w:r>
      <w:r w:rsidR="002354A5" w:rsidRPr="00100D6C">
        <w:rPr>
          <w:rFonts w:ascii="Times New Roman" w:hAnsi="Times New Roman" w:cs="Times New Roman"/>
          <w:lang w:val="en-US"/>
        </w:rPr>
        <w:t xml:space="preserve">sions of the treaty in question </w:t>
      </w:r>
      <w:r w:rsidR="00B717DF" w:rsidRPr="00100D6C">
        <w:rPr>
          <w:rFonts w:ascii="Times New Roman" w:hAnsi="Times New Roman" w:cs="Times New Roman"/>
          <w:lang w:val="en-US"/>
        </w:rPr>
        <w:t>….</w:t>
      </w:r>
      <w:r w:rsidR="00DB0A72" w:rsidRPr="00100D6C">
        <w:rPr>
          <w:rFonts w:ascii="Times New Roman" w:hAnsi="Times New Roman" w:cs="Times New Roman"/>
          <w:lang w:val="en-US"/>
        </w:rPr>
        <w:t xml:space="preserve"> In the above sense, treaties must be considered as ranking first in the hierarchical order of th</w:t>
      </w:r>
      <w:bookmarkStart w:id="17" w:name="_Ref428196622"/>
      <w:r w:rsidR="00B717DF" w:rsidRPr="00100D6C">
        <w:rPr>
          <w:rFonts w:ascii="Times New Roman" w:hAnsi="Times New Roman" w:cs="Times New Roman"/>
          <w:lang w:val="en-US"/>
        </w:rPr>
        <w:t>e sources of international law.</w:t>
      </w:r>
      <w:r w:rsidRPr="00100D6C">
        <w:rPr>
          <w:rFonts w:ascii="Times New Roman" w:hAnsi="Times New Roman" w:cs="Times New Roman"/>
          <w:lang w:val="en-US"/>
        </w:rPr>
        <w:t>”</w:t>
      </w:r>
      <w:r w:rsidR="002354A5" w:rsidRPr="00100D6C">
        <w:rPr>
          <w:rStyle w:val="FootnoteReference"/>
          <w:rFonts w:ascii="Times New Roman" w:hAnsi="Times New Roman" w:cs="Times New Roman"/>
          <w:lang w:val="en-US"/>
        </w:rPr>
        <w:footnoteReference w:id="28"/>
      </w:r>
      <w:bookmarkEnd w:id="17"/>
    </w:p>
    <w:p w:rsidR="00D9066E" w:rsidRPr="00100D6C" w:rsidRDefault="000F50FE" w:rsidP="000F50FE">
      <w:pPr>
        <w:jc w:val="both"/>
        <w:rPr>
          <w:rFonts w:ascii="Times New Roman" w:hAnsi="Times New Roman" w:cs="Times New Roman"/>
          <w:lang w:val="en-US"/>
        </w:rPr>
      </w:pPr>
      <w:r w:rsidRPr="00100D6C">
        <w:rPr>
          <w:rFonts w:ascii="Times New Roman" w:hAnsi="Times New Roman" w:cs="Times New Roman"/>
          <w:lang w:val="en-US"/>
        </w:rPr>
        <w:t xml:space="preserve">The notion that treaties should take precedence as </w:t>
      </w:r>
      <w:r w:rsidRPr="00100D6C">
        <w:rPr>
          <w:rFonts w:ascii="Times New Roman" w:hAnsi="Times New Roman" w:cs="Times New Roman"/>
          <w:i/>
          <w:lang w:val="en-US"/>
        </w:rPr>
        <w:t>lex</w:t>
      </w:r>
      <w:r w:rsidR="00143828" w:rsidRPr="00100D6C">
        <w:rPr>
          <w:rFonts w:ascii="Times New Roman" w:hAnsi="Times New Roman" w:cs="Times New Roman"/>
          <w:i/>
          <w:lang w:val="en-US"/>
        </w:rPr>
        <w:t xml:space="preserve"> </w:t>
      </w:r>
      <w:r w:rsidRPr="00100D6C">
        <w:rPr>
          <w:rFonts w:ascii="Times New Roman" w:hAnsi="Times New Roman" w:cs="Times New Roman"/>
          <w:i/>
          <w:lang w:val="en-US"/>
        </w:rPr>
        <w:t>specialis inter partes</w:t>
      </w:r>
      <w:r w:rsidRPr="00100D6C">
        <w:rPr>
          <w:rFonts w:ascii="Times New Roman" w:hAnsi="Times New Roman" w:cs="Times New Roman"/>
          <w:lang w:val="en-US"/>
        </w:rPr>
        <w:t xml:space="preserve"> has been </w:t>
      </w:r>
      <w:r w:rsidR="00AB15A0" w:rsidRPr="00100D6C">
        <w:rPr>
          <w:rFonts w:ascii="Times New Roman" w:hAnsi="Times New Roman" w:cs="Times New Roman"/>
          <w:lang w:val="en-US"/>
        </w:rPr>
        <w:t>recognized</w:t>
      </w:r>
      <w:r w:rsidRPr="00100D6C">
        <w:rPr>
          <w:rFonts w:ascii="Times New Roman" w:hAnsi="Times New Roman" w:cs="Times New Roman"/>
          <w:lang w:val="en-US"/>
        </w:rPr>
        <w:t xml:space="preserve"> on various occasions in positive law. The 1907 Hague Convention (XII) relative to the Creation of an International Prize Court, for instance, explicitly provided that </w:t>
      </w:r>
      <w:r w:rsidR="00677F0F" w:rsidRPr="00100D6C">
        <w:rPr>
          <w:rFonts w:ascii="Times New Roman" w:hAnsi="Times New Roman" w:cs="Times New Roman"/>
          <w:lang w:val="en-US"/>
        </w:rPr>
        <w:t>“</w:t>
      </w:r>
      <w:r w:rsidRPr="00100D6C">
        <w:rPr>
          <w:rFonts w:ascii="Times New Roman" w:hAnsi="Times New Roman" w:cs="Times New Roman"/>
          <w:lang w:val="en-US"/>
        </w:rPr>
        <w:t>if the question of law to be decided is covered by a treat in force between [the parties], the Court is governed by the provisions in the said treaty. In the absence of such provisions, the Court shall apply the rules of international law</w:t>
      </w:r>
      <w:r w:rsidR="00677F0F" w:rsidRPr="00100D6C">
        <w:rPr>
          <w:rFonts w:ascii="Times New Roman" w:hAnsi="Times New Roman" w:cs="Times New Roman"/>
          <w:lang w:val="en-US"/>
        </w:rPr>
        <w:t>.”</w:t>
      </w:r>
      <w:r w:rsidR="004B310A" w:rsidRPr="00100D6C">
        <w:rPr>
          <w:rStyle w:val="FootnoteReference"/>
          <w:rFonts w:ascii="Times New Roman" w:hAnsi="Times New Roman" w:cs="Times New Roman"/>
          <w:lang w:val="en-US"/>
        </w:rPr>
        <w:footnoteReference w:id="29"/>
      </w:r>
      <w:r w:rsidRPr="00100D6C">
        <w:rPr>
          <w:rFonts w:ascii="Times New Roman" w:hAnsi="Times New Roman" w:cs="Times New Roman"/>
          <w:lang w:val="en-US"/>
        </w:rPr>
        <w:t xml:space="preserve"> Though this procedural </w:t>
      </w:r>
      <w:r w:rsidR="00B23F7E" w:rsidRPr="00100D6C">
        <w:rPr>
          <w:rFonts w:ascii="Times New Roman" w:hAnsi="Times New Roman" w:cs="Times New Roman"/>
          <w:lang w:val="en-US"/>
        </w:rPr>
        <w:t>sequencing</w:t>
      </w:r>
      <w:r w:rsidRPr="00100D6C">
        <w:rPr>
          <w:rFonts w:ascii="Times New Roman" w:hAnsi="Times New Roman" w:cs="Times New Roman"/>
          <w:lang w:val="en-US"/>
        </w:rPr>
        <w:t xml:space="preserve"> was not</w:t>
      </w:r>
      <w:r w:rsidR="009E1F07" w:rsidRPr="00100D6C">
        <w:rPr>
          <w:rFonts w:ascii="Times New Roman" w:hAnsi="Times New Roman" w:cs="Times New Roman"/>
          <w:lang w:val="en-US"/>
        </w:rPr>
        <w:t xml:space="preserve"> </w:t>
      </w:r>
      <w:r w:rsidRPr="00100D6C">
        <w:rPr>
          <w:rFonts w:ascii="Times New Roman" w:hAnsi="Times New Roman" w:cs="Times New Roman"/>
          <w:lang w:val="en-US"/>
        </w:rPr>
        <w:t xml:space="preserve">repeated in Article 38, the ICJ has itself stated </w:t>
      </w:r>
      <w:r w:rsidR="00B23F7E" w:rsidRPr="00100D6C">
        <w:rPr>
          <w:rFonts w:ascii="Times New Roman" w:hAnsi="Times New Roman" w:cs="Times New Roman"/>
          <w:lang w:val="en-US"/>
        </w:rPr>
        <w:t xml:space="preserve">on several occasions </w:t>
      </w:r>
      <w:r w:rsidRPr="00100D6C">
        <w:rPr>
          <w:rFonts w:ascii="Times New Roman" w:hAnsi="Times New Roman" w:cs="Times New Roman"/>
          <w:lang w:val="en-US"/>
        </w:rPr>
        <w:t xml:space="preserve">that </w:t>
      </w:r>
      <w:r w:rsidR="00677F0F" w:rsidRPr="00100D6C">
        <w:rPr>
          <w:rFonts w:ascii="Times New Roman" w:hAnsi="Times New Roman" w:cs="Times New Roman"/>
          <w:lang w:val="en-US"/>
        </w:rPr>
        <w:t>“</w:t>
      </w:r>
      <w:r w:rsidRPr="00100D6C">
        <w:rPr>
          <w:rFonts w:ascii="Times New Roman" w:hAnsi="Times New Roman" w:cs="Times New Roman"/>
          <w:lang w:val="en-US"/>
        </w:rPr>
        <w:t>rules of [general] international law can, by agreement, be derogated from in particular cases or as between particular parties</w:t>
      </w:r>
      <w:bookmarkStart w:id="18" w:name="_Ref428358885"/>
      <w:r w:rsidR="00677F0F" w:rsidRPr="00100D6C">
        <w:rPr>
          <w:rFonts w:ascii="Times New Roman" w:hAnsi="Times New Roman" w:cs="Times New Roman"/>
          <w:lang w:val="en-US"/>
        </w:rPr>
        <w:t>”</w:t>
      </w:r>
      <w:r w:rsidR="00971B2B" w:rsidRPr="00100D6C">
        <w:rPr>
          <w:rStyle w:val="FootnoteReference"/>
          <w:rFonts w:ascii="Times New Roman" w:hAnsi="Times New Roman" w:cs="Times New Roman"/>
          <w:lang w:val="en-US"/>
        </w:rPr>
        <w:footnoteReference w:id="30"/>
      </w:r>
      <w:bookmarkEnd w:id="18"/>
      <w:r w:rsidR="00B23F7E" w:rsidRPr="00100D6C">
        <w:rPr>
          <w:rFonts w:ascii="Times New Roman" w:hAnsi="Times New Roman" w:cs="Times New Roman"/>
          <w:lang w:val="en-US"/>
        </w:rPr>
        <w:t xml:space="preserve"> and that </w:t>
      </w:r>
      <w:r w:rsidR="00677F0F" w:rsidRPr="00100D6C">
        <w:rPr>
          <w:rFonts w:ascii="Times New Roman" w:hAnsi="Times New Roman" w:cs="Times New Roman"/>
          <w:lang w:val="en-US"/>
        </w:rPr>
        <w:t>“</w:t>
      </w:r>
      <w:r w:rsidR="00B23F7E" w:rsidRPr="00100D6C">
        <w:rPr>
          <w:rFonts w:ascii="Times New Roman" w:hAnsi="Times New Roman" w:cs="Times New Roman"/>
          <w:lang w:val="en-US"/>
        </w:rPr>
        <w:t xml:space="preserve">in general, treaty rules being </w:t>
      </w:r>
      <w:r w:rsidR="00B23F7E" w:rsidRPr="00100D6C">
        <w:rPr>
          <w:rFonts w:ascii="Times New Roman" w:hAnsi="Times New Roman" w:cs="Times New Roman"/>
          <w:i/>
          <w:lang w:val="en-US"/>
        </w:rPr>
        <w:t>lex</w:t>
      </w:r>
      <w:r w:rsidR="00C20A3E" w:rsidRPr="00100D6C">
        <w:rPr>
          <w:rFonts w:ascii="Times New Roman" w:hAnsi="Times New Roman" w:cs="Times New Roman"/>
          <w:i/>
          <w:lang w:val="en-US"/>
        </w:rPr>
        <w:t xml:space="preserve"> </w:t>
      </w:r>
      <w:r w:rsidR="00B23F7E" w:rsidRPr="00100D6C">
        <w:rPr>
          <w:rFonts w:ascii="Times New Roman" w:hAnsi="Times New Roman" w:cs="Times New Roman"/>
          <w:i/>
          <w:lang w:val="en-US"/>
        </w:rPr>
        <w:t>specialis</w:t>
      </w:r>
      <w:r w:rsidR="00B23F7E" w:rsidRPr="00100D6C">
        <w:rPr>
          <w:rFonts w:ascii="Times New Roman" w:hAnsi="Times New Roman" w:cs="Times New Roman"/>
          <w:lang w:val="en-US"/>
        </w:rPr>
        <w:t xml:space="preserve">, it would not be appropriate that a State should bring a claim based on customary-law rule if it has by treaty </w:t>
      </w:r>
      <w:r w:rsidR="00B23F7E" w:rsidRPr="00100D6C">
        <w:rPr>
          <w:rFonts w:ascii="Times New Roman" w:hAnsi="Times New Roman" w:cs="Times New Roman"/>
          <w:lang w:val="en-US"/>
        </w:rPr>
        <w:lastRenderedPageBreak/>
        <w:t>already provided means for settlement of such a claim</w:t>
      </w:r>
      <w:r w:rsidR="00677F0F" w:rsidRPr="00100D6C">
        <w:rPr>
          <w:rFonts w:ascii="Times New Roman" w:hAnsi="Times New Roman" w:cs="Times New Roman"/>
          <w:lang w:val="en-US"/>
        </w:rPr>
        <w:t>.”</w:t>
      </w:r>
      <w:r w:rsidR="00971B2B" w:rsidRPr="00100D6C">
        <w:rPr>
          <w:rStyle w:val="FootnoteReference"/>
          <w:rFonts w:ascii="Times New Roman" w:hAnsi="Times New Roman" w:cs="Times New Roman"/>
          <w:lang w:val="en-US"/>
        </w:rPr>
        <w:footnoteReference w:id="31"/>
      </w:r>
      <w:r w:rsidR="00B23F7E" w:rsidRPr="00100D6C">
        <w:rPr>
          <w:rFonts w:ascii="Times New Roman" w:hAnsi="Times New Roman" w:cs="Times New Roman"/>
          <w:lang w:val="en-US"/>
        </w:rPr>
        <w:t xml:space="preserve"> The International Law Commission, in its study on the fragmentation of international l</w:t>
      </w:r>
      <w:r w:rsidR="004B310A" w:rsidRPr="00100D6C">
        <w:rPr>
          <w:rFonts w:ascii="Times New Roman" w:hAnsi="Times New Roman" w:cs="Times New Roman"/>
          <w:lang w:val="en-US"/>
        </w:rPr>
        <w:t xml:space="preserve">aw, noted this jurisprudence, holding that </w:t>
      </w:r>
      <w:r w:rsidR="00836F91" w:rsidRPr="00100D6C">
        <w:rPr>
          <w:rFonts w:ascii="Times New Roman" w:hAnsi="Times New Roman" w:cs="Times New Roman"/>
          <w:lang w:val="en-US"/>
        </w:rPr>
        <w:t>“</w:t>
      </w:r>
      <w:r w:rsidR="004B310A" w:rsidRPr="00100D6C">
        <w:rPr>
          <w:rFonts w:ascii="Times New Roman" w:hAnsi="Times New Roman" w:cs="Times New Roman"/>
          <w:lang w:val="en-US"/>
        </w:rPr>
        <w:t xml:space="preserve">international tribunals give precedence to treaty law in matters where there is customary law as well – a practice that highlights the dispositive nature of custom and the tribunals’ deference to agreements as the </w:t>
      </w:r>
      <w:r w:rsidR="00836F91" w:rsidRPr="00100D6C">
        <w:rPr>
          <w:rFonts w:ascii="Times New Roman" w:hAnsi="Times New Roman" w:cs="Times New Roman"/>
          <w:lang w:val="en-US"/>
        </w:rPr>
        <w:t>‘</w:t>
      </w:r>
      <w:r w:rsidR="004B310A" w:rsidRPr="00100D6C">
        <w:rPr>
          <w:rFonts w:ascii="Times New Roman" w:hAnsi="Times New Roman" w:cs="Times New Roman"/>
          <w:lang w:val="en-US"/>
        </w:rPr>
        <w:t>hardest</w:t>
      </w:r>
      <w:r w:rsidR="00836F91" w:rsidRPr="00100D6C">
        <w:rPr>
          <w:rFonts w:ascii="Times New Roman" w:hAnsi="Times New Roman" w:cs="Times New Roman"/>
          <w:lang w:val="en-US"/>
        </w:rPr>
        <w:t>’</w:t>
      </w:r>
      <w:r w:rsidR="004B310A" w:rsidRPr="00100D6C">
        <w:rPr>
          <w:rFonts w:ascii="Times New Roman" w:hAnsi="Times New Roman" w:cs="Times New Roman"/>
          <w:lang w:val="en-US"/>
        </w:rPr>
        <w:t xml:space="preserve"> and presumably most legitimate basis on which their decisions can be based</w:t>
      </w:r>
      <w:r w:rsidR="00836F91" w:rsidRPr="00100D6C">
        <w:rPr>
          <w:rFonts w:ascii="Times New Roman" w:hAnsi="Times New Roman" w:cs="Times New Roman"/>
          <w:lang w:val="en-US"/>
        </w:rPr>
        <w:t>.”</w:t>
      </w:r>
      <w:r w:rsidR="00971B2B" w:rsidRPr="00100D6C">
        <w:rPr>
          <w:rStyle w:val="FootnoteReference"/>
          <w:rFonts w:ascii="Times New Roman" w:hAnsi="Times New Roman" w:cs="Times New Roman"/>
          <w:lang w:val="en-US"/>
        </w:rPr>
        <w:footnoteReference w:id="32"/>
      </w:r>
    </w:p>
    <w:p w:rsidR="00DB70C8" w:rsidRPr="00100D6C" w:rsidRDefault="00704E4F" w:rsidP="007274F5">
      <w:pPr>
        <w:jc w:val="both"/>
        <w:rPr>
          <w:rFonts w:ascii="Times New Roman" w:hAnsi="Times New Roman" w:cs="Times New Roman"/>
          <w:lang w:val="en-US"/>
        </w:rPr>
      </w:pPr>
      <w:r w:rsidRPr="00100D6C">
        <w:rPr>
          <w:rFonts w:ascii="Times New Roman" w:hAnsi="Times New Roman" w:cs="Times New Roman"/>
          <w:lang w:val="en-US"/>
        </w:rPr>
        <w:t>Th</w:t>
      </w:r>
      <w:r w:rsidR="00F20934" w:rsidRPr="00100D6C">
        <w:rPr>
          <w:rFonts w:ascii="Times New Roman" w:hAnsi="Times New Roman" w:cs="Times New Roman"/>
          <w:lang w:val="en-US"/>
        </w:rPr>
        <w:t>e</w:t>
      </w:r>
      <w:r w:rsidRPr="00100D6C">
        <w:rPr>
          <w:rFonts w:ascii="Times New Roman" w:hAnsi="Times New Roman" w:cs="Times New Roman"/>
          <w:lang w:val="en-US"/>
        </w:rPr>
        <w:t xml:space="preserve"> procedural </w:t>
      </w:r>
      <w:r w:rsidR="00951768" w:rsidRPr="00100D6C">
        <w:rPr>
          <w:rFonts w:ascii="Times New Roman" w:hAnsi="Times New Roman" w:cs="Times New Roman"/>
          <w:lang w:val="en-US"/>
        </w:rPr>
        <w:t>pri</w:t>
      </w:r>
      <w:r w:rsidR="00836F91" w:rsidRPr="00100D6C">
        <w:rPr>
          <w:rFonts w:ascii="Times New Roman" w:hAnsi="Times New Roman" w:cs="Times New Roman"/>
          <w:lang w:val="en-US"/>
        </w:rPr>
        <w:t>ority</w:t>
      </w:r>
      <w:r w:rsidRPr="00100D6C">
        <w:rPr>
          <w:rFonts w:ascii="Times New Roman" w:hAnsi="Times New Roman" w:cs="Times New Roman"/>
          <w:lang w:val="en-US"/>
        </w:rPr>
        <w:t xml:space="preserve"> of treaty law constitutes the first version of the </w:t>
      </w:r>
      <w:r w:rsidR="00836F91" w:rsidRPr="00100D6C">
        <w:rPr>
          <w:rFonts w:ascii="Times New Roman" w:hAnsi="Times New Roman" w:cs="Times New Roman"/>
          <w:lang w:val="en-US"/>
        </w:rPr>
        <w:t>“</w:t>
      </w:r>
      <w:r w:rsidR="00246F30" w:rsidRPr="00100D6C">
        <w:rPr>
          <w:rFonts w:ascii="Times New Roman" w:hAnsi="Times New Roman" w:cs="Times New Roman"/>
          <w:lang w:val="en-US"/>
        </w:rPr>
        <w:t>treaty primacy</w:t>
      </w:r>
      <w:r w:rsidR="00836F91" w:rsidRPr="00100D6C">
        <w:rPr>
          <w:rFonts w:ascii="Times New Roman" w:hAnsi="Times New Roman" w:cs="Times New Roman"/>
          <w:lang w:val="en-US"/>
        </w:rPr>
        <w:t>”</w:t>
      </w:r>
      <w:r w:rsidRPr="00100D6C">
        <w:rPr>
          <w:rFonts w:ascii="Times New Roman" w:hAnsi="Times New Roman" w:cs="Times New Roman"/>
          <w:lang w:val="en-US"/>
        </w:rPr>
        <w:t xml:space="preserve"> thesis. The second version of the thesis is rather different. It posits that treaty law is not just operationally, but normatively superior </w:t>
      </w:r>
      <w:r w:rsidR="00836F91" w:rsidRPr="00100D6C">
        <w:rPr>
          <w:rFonts w:ascii="Times New Roman" w:hAnsi="Times New Roman" w:cs="Times New Roman"/>
          <w:lang w:val="en-US"/>
        </w:rPr>
        <w:t xml:space="preserve">to </w:t>
      </w:r>
      <w:r w:rsidRPr="00100D6C">
        <w:rPr>
          <w:rFonts w:ascii="Times New Roman" w:hAnsi="Times New Roman" w:cs="Times New Roman"/>
          <w:lang w:val="en-US"/>
        </w:rPr>
        <w:t xml:space="preserve">(i.e. </w:t>
      </w:r>
      <w:r w:rsidRPr="00100D6C">
        <w:rPr>
          <w:rFonts w:ascii="Times New Roman" w:hAnsi="Times New Roman" w:cs="Times New Roman"/>
          <w:i/>
          <w:lang w:val="en-US"/>
        </w:rPr>
        <w:t>better</w:t>
      </w:r>
      <w:r w:rsidR="00836F91" w:rsidRPr="00100D6C">
        <w:rPr>
          <w:rFonts w:ascii="Times New Roman" w:hAnsi="Times New Roman" w:cs="Times New Roman"/>
          <w:i/>
          <w:lang w:val="en-US"/>
        </w:rPr>
        <w:t xml:space="preserve"> </w:t>
      </w:r>
      <w:r w:rsidR="00836F91" w:rsidRPr="00100D6C">
        <w:rPr>
          <w:rFonts w:ascii="Times New Roman" w:hAnsi="Times New Roman" w:cs="Times New Roman"/>
          <w:lang w:val="en-US"/>
        </w:rPr>
        <w:t>than</w:t>
      </w:r>
      <w:r w:rsidRPr="00100D6C">
        <w:rPr>
          <w:rFonts w:ascii="Times New Roman" w:hAnsi="Times New Roman" w:cs="Times New Roman"/>
          <w:lang w:val="en-US"/>
        </w:rPr>
        <w:t xml:space="preserve">) </w:t>
      </w:r>
      <w:r w:rsidR="00ED0206" w:rsidRPr="00100D6C">
        <w:rPr>
          <w:rFonts w:ascii="Times New Roman" w:hAnsi="Times New Roman" w:cs="Times New Roman"/>
          <w:lang w:val="en-US"/>
        </w:rPr>
        <w:t>other</w:t>
      </w:r>
      <w:r w:rsidR="00C20A3E" w:rsidRPr="00100D6C">
        <w:rPr>
          <w:rFonts w:ascii="Times New Roman" w:hAnsi="Times New Roman" w:cs="Times New Roman"/>
          <w:lang w:val="en-US"/>
        </w:rPr>
        <w:t xml:space="preserve"> </w:t>
      </w:r>
      <w:r w:rsidR="00F20934" w:rsidRPr="00100D6C">
        <w:rPr>
          <w:rFonts w:ascii="Times New Roman" w:hAnsi="Times New Roman" w:cs="Times New Roman"/>
          <w:lang w:val="en-US"/>
        </w:rPr>
        <w:t>law-making processes.</w:t>
      </w:r>
      <w:r w:rsidRPr="00100D6C">
        <w:rPr>
          <w:rFonts w:ascii="Times New Roman" w:hAnsi="Times New Roman" w:cs="Times New Roman"/>
          <w:lang w:val="en-US"/>
        </w:rPr>
        <w:t xml:space="preserve"> The argument here is that the treaty is, comparatively, a </w:t>
      </w:r>
      <w:r w:rsidR="00836F91" w:rsidRPr="00100D6C">
        <w:rPr>
          <w:rFonts w:ascii="Times New Roman" w:hAnsi="Times New Roman" w:cs="Times New Roman"/>
          <w:lang w:val="en-US"/>
        </w:rPr>
        <w:t>“</w:t>
      </w:r>
      <w:r w:rsidRPr="00100D6C">
        <w:rPr>
          <w:rFonts w:ascii="Times New Roman" w:hAnsi="Times New Roman" w:cs="Times New Roman"/>
          <w:lang w:val="en-US"/>
        </w:rPr>
        <w:t>first-class</w:t>
      </w:r>
      <w:r w:rsidR="00836F91" w:rsidRPr="00100D6C">
        <w:rPr>
          <w:rFonts w:ascii="Times New Roman" w:hAnsi="Times New Roman" w:cs="Times New Roman"/>
          <w:lang w:val="en-US"/>
        </w:rPr>
        <w:t>”</w:t>
      </w:r>
      <w:r w:rsidR="00C20A3E" w:rsidRPr="00100D6C">
        <w:rPr>
          <w:rFonts w:ascii="Times New Roman" w:hAnsi="Times New Roman" w:cs="Times New Roman"/>
          <w:lang w:val="en-US"/>
        </w:rPr>
        <w:t xml:space="preserve"> source of international law that</w:t>
      </w:r>
      <w:r w:rsidRPr="00100D6C">
        <w:rPr>
          <w:rFonts w:ascii="Times New Roman" w:hAnsi="Times New Roman" w:cs="Times New Roman"/>
          <w:lang w:val="en-US"/>
        </w:rPr>
        <w:t xml:space="preserve"> possesses </w:t>
      </w:r>
      <w:r w:rsidR="00F20934" w:rsidRPr="00100D6C">
        <w:rPr>
          <w:rFonts w:ascii="Times New Roman" w:hAnsi="Times New Roman" w:cs="Times New Roman"/>
          <w:lang w:val="en-US"/>
        </w:rPr>
        <w:t>unique</w:t>
      </w:r>
      <w:r w:rsidRPr="00100D6C">
        <w:rPr>
          <w:rFonts w:ascii="Times New Roman" w:hAnsi="Times New Roman" w:cs="Times New Roman"/>
          <w:lang w:val="en-US"/>
        </w:rPr>
        <w:t xml:space="preserve"> qualities </w:t>
      </w:r>
      <w:r w:rsidR="00F80799" w:rsidRPr="00100D6C">
        <w:rPr>
          <w:rFonts w:ascii="Times New Roman" w:hAnsi="Times New Roman" w:cs="Times New Roman"/>
          <w:lang w:val="en-US"/>
        </w:rPr>
        <w:t>and attributes</w:t>
      </w:r>
      <w:r w:rsidR="00F20934" w:rsidRPr="00100D6C">
        <w:rPr>
          <w:rFonts w:ascii="Times New Roman" w:hAnsi="Times New Roman" w:cs="Times New Roman"/>
          <w:lang w:val="en-US"/>
        </w:rPr>
        <w:t>.</w:t>
      </w:r>
      <w:r w:rsidR="00C20A3E" w:rsidRPr="00100D6C">
        <w:rPr>
          <w:rFonts w:ascii="Times New Roman" w:hAnsi="Times New Roman" w:cs="Times New Roman"/>
          <w:lang w:val="en-US"/>
        </w:rPr>
        <w:t xml:space="preserve"> </w:t>
      </w:r>
      <w:r w:rsidR="00F20934" w:rsidRPr="00100D6C">
        <w:rPr>
          <w:rFonts w:ascii="Times New Roman" w:hAnsi="Times New Roman" w:cs="Times New Roman"/>
          <w:lang w:val="en-US"/>
        </w:rPr>
        <w:t>Though lega</w:t>
      </w:r>
      <w:r w:rsidR="00836F91" w:rsidRPr="00100D6C">
        <w:rPr>
          <w:rFonts w:ascii="Times New Roman" w:hAnsi="Times New Roman" w:cs="Times New Roman"/>
          <w:lang w:val="en-US"/>
        </w:rPr>
        <w:t>l scholars have expressed a</w:t>
      </w:r>
      <w:r w:rsidR="00F20934" w:rsidRPr="00100D6C">
        <w:rPr>
          <w:rFonts w:ascii="Times New Roman" w:hAnsi="Times New Roman" w:cs="Times New Roman"/>
          <w:lang w:val="en-US"/>
        </w:rPr>
        <w:t xml:space="preserve"> wide range of views in this regard, treaty law is</w:t>
      </w:r>
      <w:r w:rsidR="00ED0206" w:rsidRPr="00100D6C">
        <w:rPr>
          <w:rFonts w:ascii="Times New Roman" w:hAnsi="Times New Roman" w:cs="Times New Roman"/>
          <w:lang w:val="en-US"/>
        </w:rPr>
        <w:t xml:space="preserve"> generally</w:t>
      </w:r>
      <w:r w:rsidR="00F20934" w:rsidRPr="00100D6C">
        <w:rPr>
          <w:rFonts w:ascii="Times New Roman" w:hAnsi="Times New Roman" w:cs="Times New Roman"/>
          <w:lang w:val="en-US"/>
        </w:rPr>
        <w:t xml:space="preserve"> thought to possess three essential qualities that set it apart from other sources: ontological determinacy, practical versatility, and process legitimacy. Ontological determinacy refers to the fact, already alluded to, that the nature of treaties as a source of international law is </w:t>
      </w:r>
      <w:r w:rsidR="00836F91" w:rsidRPr="00100D6C">
        <w:rPr>
          <w:rFonts w:ascii="Times New Roman" w:hAnsi="Times New Roman" w:cs="Times New Roman"/>
          <w:lang w:val="en-US"/>
        </w:rPr>
        <w:t>“</w:t>
      </w:r>
      <w:r w:rsidR="00F20934" w:rsidRPr="00100D6C">
        <w:rPr>
          <w:rFonts w:ascii="Times New Roman" w:hAnsi="Times New Roman" w:cs="Times New Roman"/>
          <w:lang w:val="en-US"/>
        </w:rPr>
        <w:t>unambiguous and uncontroversial</w:t>
      </w:r>
      <w:r w:rsidR="00836F91" w:rsidRPr="00100D6C">
        <w:rPr>
          <w:rFonts w:ascii="Times New Roman" w:hAnsi="Times New Roman" w:cs="Times New Roman"/>
          <w:lang w:val="en-US"/>
        </w:rPr>
        <w:t>.”</w:t>
      </w:r>
      <w:r w:rsidR="00A1433A" w:rsidRPr="00100D6C">
        <w:rPr>
          <w:rStyle w:val="FootnoteReference"/>
          <w:rFonts w:ascii="Times New Roman" w:hAnsi="Times New Roman" w:cs="Times New Roman"/>
          <w:lang w:val="en-US"/>
        </w:rPr>
        <w:footnoteReference w:id="33"/>
      </w:r>
      <w:r w:rsidR="00ED0206" w:rsidRPr="00100D6C">
        <w:rPr>
          <w:rFonts w:ascii="Times New Roman" w:hAnsi="Times New Roman" w:cs="Times New Roman"/>
          <w:lang w:val="en-US"/>
        </w:rPr>
        <w:t xml:space="preserve"> Compared to customary law - whose nature, constitutive elements and methods of ascertainment remain matters of intense debate – the law of treaties appears remarkably </w:t>
      </w:r>
      <w:r w:rsidR="005908CB" w:rsidRPr="00100D6C">
        <w:rPr>
          <w:rFonts w:ascii="Times New Roman" w:hAnsi="Times New Roman" w:cs="Times New Roman"/>
          <w:lang w:val="en-US"/>
        </w:rPr>
        <w:t>reliable and well-settled, to the point that it has become practically unthinkable today to challenge its content</w:t>
      </w:r>
      <w:r w:rsidR="00ED0206" w:rsidRPr="00100D6C">
        <w:rPr>
          <w:rFonts w:ascii="Times New Roman" w:hAnsi="Times New Roman" w:cs="Times New Roman"/>
          <w:lang w:val="en-US"/>
        </w:rPr>
        <w:t>.</w:t>
      </w:r>
      <w:r w:rsidR="004B6539" w:rsidRPr="00100D6C">
        <w:rPr>
          <w:rStyle w:val="FootnoteReference"/>
          <w:rFonts w:ascii="Times New Roman" w:hAnsi="Times New Roman" w:cs="Times New Roman"/>
          <w:lang w:val="en-US"/>
        </w:rPr>
        <w:footnoteReference w:id="34"/>
      </w:r>
      <w:r w:rsidR="00ED0206" w:rsidRPr="00100D6C">
        <w:rPr>
          <w:rFonts w:ascii="Times New Roman" w:hAnsi="Times New Roman" w:cs="Times New Roman"/>
          <w:lang w:val="en-US"/>
        </w:rPr>
        <w:t xml:space="preserve"> Though some areas of the law of treaties are open-ended or subject to continued discussion (e.g. treaty interpretation, reservations), the Vienna Convention on the Law of Treaties</w:t>
      </w:r>
      <w:r w:rsidR="00D46C73" w:rsidRPr="00100D6C">
        <w:rPr>
          <w:rFonts w:ascii="Times New Roman" w:hAnsi="Times New Roman" w:cs="Times New Roman"/>
          <w:lang w:val="en-US"/>
        </w:rPr>
        <w:t xml:space="preserve">, the argument goes, offers </w:t>
      </w:r>
      <w:r w:rsidR="00836F91" w:rsidRPr="00100D6C">
        <w:rPr>
          <w:rFonts w:ascii="Times New Roman" w:hAnsi="Times New Roman" w:cs="Times New Roman"/>
          <w:lang w:val="en-US"/>
        </w:rPr>
        <w:t>“</w:t>
      </w:r>
      <w:r w:rsidR="00D46C73" w:rsidRPr="00100D6C">
        <w:rPr>
          <w:rFonts w:ascii="Times New Roman" w:hAnsi="Times New Roman" w:cs="Times New Roman"/>
          <w:lang w:val="en-US"/>
        </w:rPr>
        <w:t>consummate clarity</w:t>
      </w:r>
      <w:bookmarkStart w:id="19" w:name="_Ref428029119"/>
      <w:r w:rsidR="00836F91" w:rsidRPr="00100D6C">
        <w:rPr>
          <w:rFonts w:ascii="Times New Roman" w:hAnsi="Times New Roman" w:cs="Times New Roman"/>
          <w:lang w:val="en-US"/>
        </w:rPr>
        <w:t>”</w:t>
      </w:r>
      <w:r w:rsidR="00A1433A" w:rsidRPr="00100D6C">
        <w:rPr>
          <w:rStyle w:val="FootnoteReference"/>
          <w:rFonts w:ascii="Times New Roman" w:hAnsi="Times New Roman" w:cs="Times New Roman"/>
          <w:lang w:val="en-US"/>
        </w:rPr>
        <w:footnoteReference w:id="35"/>
      </w:r>
      <w:bookmarkEnd w:id="19"/>
      <w:r w:rsidR="00C20A3E" w:rsidRPr="00100D6C">
        <w:rPr>
          <w:rFonts w:ascii="Times New Roman" w:hAnsi="Times New Roman" w:cs="Times New Roman"/>
          <w:lang w:val="en-US"/>
        </w:rPr>
        <w:t xml:space="preserve"> </w:t>
      </w:r>
      <w:r w:rsidR="009B13D2" w:rsidRPr="00100D6C">
        <w:rPr>
          <w:rFonts w:ascii="Times New Roman" w:hAnsi="Times New Roman" w:cs="Times New Roman"/>
          <w:lang w:val="en-US"/>
        </w:rPr>
        <w:t>to treaty law as a source of rights and obligations</w:t>
      </w:r>
      <w:r w:rsidR="00092D66" w:rsidRPr="00100D6C">
        <w:rPr>
          <w:rFonts w:ascii="Times New Roman" w:hAnsi="Times New Roman" w:cs="Times New Roman"/>
          <w:lang w:val="en-US"/>
        </w:rPr>
        <w:t xml:space="preserve"> and effectively functions as a form of </w:t>
      </w:r>
      <w:r w:rsidR="00836F91" w:rsidRPr="00100D6C">
        <w:rPr>
          <w:rFonts w:ascii="Times New Roman" w:hAnsi="Times New Roman" w:cs="Times New Roman"/>
          <w:lang w:val="en-US"/>
        </w:rPr>
        <w:t>“</w:t>
      </w:r>
      <w:r w:rsidR="00092D66" w:rsidRPr="00100D6C">
        <w:rPr>
          <w:rFonts w:ascii="Times New Roman" w:hAnsi="Times New Roman" w:cs="Times New Roman"/>
          <w:lang w:val="en-US"/>
        </w:rPr>
        <w:t>meta law</w:t>
      </w:r>
      <w:r w:rsidR="00836F91" w:rsidRPr="00100D6C">
        <w:rPr>
          <w:rFonts w:ascii="Times New Roman" w:hAnsi="Times New Roman" w:cs="Times New Roman"/>
          <w:lang w:val="en-US"/>
        </w:rPr>
        <w:t>”</w:t>
      </w:r>
      <w:r w:rsidR="00092D66" w:rsidRPr="00100D6C">
        <w:rPr>
          <w:rFonts w:ascii="Times New Roman" w:hAnsi="Times New Roman" w:cs="Times New Roman"/>
          <w:lang w:val="en-US"/>
        </w:rPr>
        <w:t xml:space="preserve">, a </w:t>
      </w:r>
      <w:r w:rsidR="00836F91" w:rsidRPr="00100D6C">
        <w:rPr>
          <w:rFonts w:ascii="Times New Roman" w:hAnsi="Times New Roman" w:cs="Times New Roman"/>
          <w:lang w:val="en-US"/>
        </w:rPr>
        <w:t>“</w:t>
      </w:r>
      <w:r w:rsidR="00092D66" w:rsidRPr="00100D6C">
        <w:rPr>
          <w:rFonts w:ascii="Times New Roman" w:hAnsi="Times New Roman" w:cs="Times New Roman"/>
          <w:lang w:val="en-US"/>
        </w:rPr>
        <w:t>stable legal code</w:t>
      </w:r>
      <w:r w:rsidR="00836F91" w:rsidRPr="00100D6C">
        <w:rPr>
          <w:rFonts w:ascii="Times New Roman" w:hAnsi="Times New Roman" w:cs="Times New Roman"/>
          <w:lang w:val="en-US"/>
        </w:rPr>
        <w:t>”</w:t>
      </w:r>
      <w:r w:rsidR="00092D66" w:rsidRPr="00100D6C">
        <w:rPr>
          <w:rFonts w:ascii="Times New Roman" w:hAnsi="Times New Roman" w:cs="Times New Roman"/>
          <w:lang w:val="en-US"/>
        </w:rPr>
        <w:t xml:space="preserve"> that regulates the whole life-cycle of treaties, from their </w:t>
      </w:r>
      <w:r w:rsidR="00D12CB0" w:rsidRPr="00100D6C">
        <w:rPr>
          <w:rFonts w:ascii="Times New Roman" w:hAnsi="Times New Roman" w:cs="Times New Roman"/>
          <w:lang w:val="en-US"/>
        </w:rPr>
        <w:t>making, identification and validation, to their</w:t>
      </w:r>
      <w:r w:rsidR="00F307C4" w:rsidRPr="00100D6C">
        <w:rPr>
          <w:rFonts w:ascii="Times New Roman" w:hAnsi="Times New Roman" w:cs="Times New Roman"/>
          <w:lang w:val="en-US"/>
        </w:rPr>
        <w:t xml:space="preserve"> application, interpretation, modification and termination</w:t>
      </w:r>
      <w:r w:rsidR="00F0599C" w:rsidRPr="00100D6C">
        <w:rPr>
          <w:rFonts w:ascii="Times New Roman" w:hAnsi="Times New Roman" w:cs="Times New Roman"/>
          <w:lang w:val="en-US"/>
        </w:rPr>
        <w:t>.</w:t>
      </w:r>
      <w:r w:rsidR="00A1433A" w:rsidRPr="00100D6C">
        <w:rPr>
          <w:rStyle w:val="FootnoteReference"/>
          <w:rFonts w:ascii="Times New Roman" w:hAnsi="Times New Roman" w:cs="Times New Roman"/>
          <w:lang w:val="en-US"/>
        </w:rPr>
        <w:footnoteReference w:id="36"/>
      </w:r>
      <w:r w:rsidR="00092D66" w:rsidRPr="00100D6C">
        <w:rPr>
          <w:rFonts w:ascii="Times New Roman" w:hAnsi="Times New Roman" w:cs="Times New Roman"/>
          <w:lang w:val="en-US"/>
        </w:rPr>
        <w:t xml:space="preserve"> Treaties thus enjoy a degree of </w:t>
      </w:r>
      <w:r w:rsidR="00836F91" w:rsidRPr="00100D6C">
        <w:rPr>
          <w:rFonts w:ascii="Times New Roman" w:hAnsi="Times New Roman" w:cs="Times New Roman"/>
          <w:lang w:val="en-US"/>
        </w:rPr>
        <w:t>“</w:t>
      </w:r>
      <w:r w:rsidR="00092D66" w:rsidRPr="00100D6C">
        <w:rPr>
          <w:rFonts w:ascii="Times New Roman" w:hAnsi="Times New Roman" w:cs="Times New Roman"/>
          <w:lang w:val="en-US"/>
        </w:rPr>
        <w:t>source determinacy</w:t>
      </w:r>
      <w:r w:rsidR="00836F91" w:rsidRPr="00100D6C">
        <w:rPr>
          <w:rFonts w:ascii="Times New Roman" w:hAnsi="Times New Roman" w:cs="Times New Roman"/>
          <w:lang w:val="en-US"/>
        </w:rPr>
        <w:t>”</w:t>
      </w:r>
      <w:r w:rsidR="00092D66" w:rsidRPr="00100D6C">
        <w:rPr>
          <w:rFonts w:ascii="Times New Roman" w:hAnsi="Times New Roman" w:cs="Times New Roman"/>
          <w:lang w:val="en-US"/>
        </w:rPr>
        <w:t xml:space="preserve"> unknown to other law-making processes,</w:t>
      </w:r>
      <w:r w:rsidR="00C20A3E" w:rsidRPr="00100D6C">
        <w:rPr>
          <w:rFonts w:ascii="Times New Roman" w:hAnsi="Times New Roman" w:cs="Times New Roman"/>
          <w:lang w:val="en-US"/>
        </w:rPr>
        <w:t xml:space="preserve"> </w:t>
      </w:r>
      <w:r w:rsidR="00A1433A" w:rsidRPr="00100D6C">
        <w:rPr>
          <w:rFonts w:ascii="Times New Roman" w:hAnsi="Times New Roman" w:cs="Times New Roman"/>
          <w:lang w:val="en-US"/>
        </w:rPr>
        <w:t>promoting</w:t>
      </w:r>
      <w:r w:rsidR="00DB70C8" w:rsidRPr="00100D6C">
        <w:rPr>
          <w:rFonts w:ascii="Times New Roman" w:hAnsi="Times New Roman" w:cs="Times New Roman"/>
          <w:lang w:val="en-US"/>
        </w:rPr>
        <w:t xml:space="preserve"> legal certainty and security </w:t>
      </w:r>
      <w:r w:rsidR="00A1433A" w:rsidRPr="00100D6C">
        <w:rPr>
          <w:rFonts w:ascii="Times New Roman" w:hAnsi="Times New Roman" w:cs="Times New Roman"/>
          <w:lang w:val="en-US"/>
        </w:rPr>
        <w:t>in</w:t>
      </w:r>
      <w:r w:rsidR="00DB70C8" w:rsidRPr="00100D6C">
        <w:rPr>
          <w:rFonts w:ascii="Times New Roman" w:hAnsi="Times New Roman" w:cs="Times New Roman"/>
          <w:lang w:val="en-US"/>
        </w:rPr>
        <w:t xml:space="preserve"> international relations.</w:t>
      </w:r>
      <w:r w:rsidR="003E2443" w:rsidRPr="00100D6C">
        <w:rPr>
          <w:rStyle w:val="FootnoteReference"/>
          <w:rFonts w:ascii="Times New Roman" w:hAnsi="Times New Roman" w:cs="Times New Roman"/>
          <w:lang w:val="en-US"/>
        </w:rPr>
        <w:footnoteReference w:id="37"/>
      </w:r>
    </w:p>
    <w:p w:rsidR="00BE4BC4" w:rsidRPr="00100D6C" w:rsidRDefault="00A1433A" w:rsidP="007274F5">
      <w:pPr>
        <w:jc w:val="both"/>
        <w:rPr>
          <w:rFonts w:ascii="Times New Roman" w:hAnsi="Times New Roman" w:cs="Times New Roman"/>
          <w:lang w:val="en-US"/>
        </w:rPr>
      </w:pPr>
      <w:r w:rsidRPr="00100D6C">
        <w:rPr>
          <w:rFonts w:ascii="Times New Roman" w:hAnsi="Times New Roman" w:cs="Times New Roman"/>
          <w:lang w:val="en-US"/>
        </w:rPr>
        <w:t xml:space="preserve">As well as enjoying determinacy, treaties are generally </w:t>
      </w:r>
      <w:r w:rsidR="00AB15A0" w:rsidRPr="00100D6C">
        <w:rPr>
          <w:rFonts w:ascii="Times New Roman" w:hAnsi="Times New Roman" w:cs="Times New Roman"/>
          <w:lang w:val="en-US"/>
        </w:rPr>
        <w:t>favored</w:t>
      </w:r>
      <w:r w:rsidRPr="00100D6C">
        <w:rPr>
          <w:rFonts w:ascii="Times New Roman" w:hAnsi="Times New Roman" w:cs="Times New Roman"/>
          <w:lang w:val="en-US"/>
        </w:rPr>
        <w:t xml:space="preserve"> for their practical versatility. </w:t>
      </w:r>
      <w:r w:rsidR="004B6539" w:rsidRPr="00100D6C">
        <w:rPr>
          <w:rFonts w:ascii="Times New Roman" w:hAnsi="Times New Roman" w:cs="Times New Roman"/>
          <w:lang w:val="en-US"/>
        </w:rPr>
        <w:t>Treaties can be used for a variety of purposes</w:t>
      </w:r>
      <w:r w:rsidR="005C7B88" w:rsidRPr="00100D6C">
        <w:rPr>
          <w:rFonts w:ascii="Times New Roman" w:hAnsi="Times New Roman" w:cs="Times New Roman"/>
          <w:lang w:val="en-US"/>
        </w:rPr>
        <w:t xml:space="preserve"> and</w:t>
      </w:r>
      <w:r w:rsidR="004B6539" w:rsidRPr="00100D6C">
        <w:rPr>
          <w:rFonts w:ascii="Times New Roman" w:hAnsi="Times New Roman" w:cs="Times New Roman"/>
          <w:lang w:val="en-US"/>
        </w:rPr>
        <w:t xml:space="preserve"> in a variety of contexts</w:t>
      </w:r>
      <w:r w:rsidR="00BE4BC4" w:rsidRPr="00100D6C">
        <w:rPr>
          <w:rFonts w:ascii="Times New Roman" w:hAnsi="Times New Roman" w:cs="Times New Roman"/>
          <w:lang w:val="en-US"/>
        </w:rPr>
        <w:t>, from the dramatic</w:t>
      </w:r>
      <w:r w:rsidR="005C7B88" w:rsidRPr="00100D6C">
        <w:rPr>
          <w:rFonts w:ascii="Times New Roman" w:hAnsi="Times New Roman" w:cs="Times New Roman"/>
          <w:lang w:val="en-US"/>
        </w:rPr>
        <w:t xml:space="preserve"> (war)</w:t>
      </w:r>
      <w:r w:rsidR="00BE4BC4" w:rsidRPr="00100D6C">
        <w:rPr>
          <w:rFonts w:ascii="Times New Roman" w:hAnsi="Times New Roman" w:cs="Times New Roman"/>
          <w:lang w:val="en-US"/>
        </w:rPr>
        <w:t xml:space="preserve"> to the mundane</w:t>
      </w:r>
      <w:r w:rsidR="005C7B88" w:rsidRPr="00100D6C">
        <w:rPr>
          <w:rFonts w:ascii="Times New Roman" w:hAnsi="Times New Roman" w:cs="Times New Roman"/>
          <w:lang w:val="en-US"/>
        </w:rPr>
        <w:t xml:space="preserve"> (duty free shopping)</w:t>
      </w:r>
      <w:r w:rsidR="004B6539" w:rsidRPr="00100D6C">
        <w:rPr>
          <w:rFonts w:ascii="Times New Roman" w:hAnsi="Times New Roman" w:cs="Times New Roman"/>
          <w:lang w:val="en-US"/>
        </w:rPr>
        <w:t>.</w:t>
      </w:r>
      <w:r w:rsidR="005C7B88" w:rsidRPr="00100D6C">
        <w:rPr>
          <w:rStyle w:val="FootnoteReference"/>
          <w:rFonts w:ascii="Times New Roman" w:hAnsi="Times New Roman" w:cs="Times New Roman"/>
          <w:lang w:val="en-US"/>
        </w:rPr>
        <w:footnoteReference w:id="38"/>
      </w:r>
      <w:r w:rsidR="004B6539" w:rsidRPr="00100D6C">
        <w:rPr>
          <w:rFonts w:ascii="Times New Roman" w:hAnsi="Times New Roman" w:cs="Times New Roman"/>
          <w:lang w:val="en-US"/>
        </w:rPr>
        <w:t xml:space="preserve"> They can be used to codify or restate pre-existing customary law, or to make a fresh start and create new rules</w:t>
      </w:r>
      <w:r w:rsidR="00E52237" w:rsidRPr="00100D6C">
        <w:rPr>
          <w:rFonts w:ascii="Times New Roman" w:hAnsi="Times New Roman" w:cs="Times New Roman"/>
          <w:lang w:val="en-US"/>
        </w:rPr>
        <w:t xml:space="preserve"> almost instantly</w:t>
      </w:r>
      <w:r w:rsidR="004B6539" w:rsidRPr="00100D6C">
        <w:rPr>
          <w:rFonts w:ascii="Times New Roman" w:hAnsi="Times New Roman" w:cs="Times New Roman"/>
          <w:lang w:val="en-US"/>
        </w:rPr>
        <w:t>.</w:t>
      </w:r>
      <w:r w:rsidR="005C7B88" w:rsidRPr="00100D6C">
        <w:rPr>
          <w:rStyle w:val="FootnoteReference"/>
          <w:rFonts w:ascii="Times New Roman" w:hAnsi="Times New Roman" w:cs="Times New Roman"/>
          <w:lang w:val="en-US"/>
        </w:rPr>
        <w:footnoteReference w:id="39"/>
      </w:r>
      <w:r w:rsidR="004B6539" w:rsidRPr="00100D6C">
        <w:rPr>
          <w:rFonts w:ascii="Times New Roman" w:hAnsi="Times New Roman" w:cs="Times New Roman"/>
          <w:lang w:val="en-US"/>
        </w:rPr>
        <w:t xml:space="preserve"> They can be used to regulate bilateral relations, or </w:t>
      </w:r>
      <w:r w:rsidR="00E52237" w:rsidRPr="00100D6C">
        <w:rPr>
          <w:rFonts w:ascii="Times New Roman" w:hAnsi="Times New Roman" w:cs="Times New Roman"/>
          <w:lang w:val="en-US"/>
        </w:rPr>
        <w:t>for</w:t>
      </w:r>
      <w:r w:rsidR="00C20A3E" w:rsidRPr="00100D6C">
        <w:rPr>
          <w:rFonts w:ascii="Times New Roman" w:hAnsi="Times New Roman" w:cs="Times New Roman"/>
          <w:lang w:val="en-US"/>
        </w:rPr>
        <w:t xml:space="preserve"> </w:t>
      </w:r>
      <w:r w:rsidR="001E2CCC" w:rsidRPr="00100D6C">
        <w:rPr>
          <w:rFonts w:ascii="Times New Roman" w:hAnsi="Times New Roman" w:cs="Times New Roman"/>
          <w:lang w:val="en-US"/>
        </w:rPr>
        <w:t>larger</w:t>
      </w:r>
      <w:r w:rsidR="004B6539" w:rsidRPr="00100D6C">
        <w:rPr>
          <w:rFonts w:ascii="Times New Roman" w:hAnsi="Times New Roman" w:cs="Times New Roman"/>
          <w:lang w:val="en-US"/>
        </w:rPr>
        <w:t xml:space="preserve"> legislative ambitions</w:t>
      </w:r>
      <w:r w:rsidR="00E83BDF" w:rsidRPr="00100D6C">
        <w:rPr>
          <w:rFonts w:ascii="Times New Roman" w:hAnsi="Times New Roman" w:cs="Times New Roman"/>
          <w:lang w:val="en-US"/>
        </w:rPr>
        <w:t>, laying down whole regime</w:t>
      </w:r>
      <w:r w:rsidR="005C7B88" w:rsidRPr="00100D6C">
        <w:rPr>
          <w:rFonts w:ascii="Times New Roman" w:hAnsi="Times New Roman" w:cs="Times New Roman"/>
          <w:lang w:val="en-US"/>
        </w:rPr>
        <w:t>s</w:t>
      </w:r>
      <w:r w:rsidR="00E83BDF" w:rsidRPr="00100D6C">
        <w:rPr>
          <w:rFonts w:ascii="Times New Roman" w:hAnsi="Times New Roman" w:cs="Times New Roman"/>
          <w:lang w:val="en-US"/>
        </w:rPr>
        <w:t xml:space="preserve"> to govern</w:t>
      </w:r>
      <w:r w:rsidR="005C7B88" w:rsidRPr="00100D6C">
        <w:rPr>
          <w:rFonts w:ascii="Times New Roman" w:hAnsi="Times New Roman" w:cs="Times New Roman"/>
          <w:lang w:val="en-US"/>
        </w:rPr>
        <w:t xml:space="preserve"> holistically</w:t>
      </w:r>
      <w:r w:rsidR="00C20A3E" w:rsidRPr="00100D6C">
        <w:rPr>
          <w:rFonts w:ascii="Times New Roman" w:hAnsi="Times New Roman" w:cs="Times New Roman"/>
          <w:lang w:val="en-US"/>
        </w:rPr>
        <w:t xml:space="preserve"> </w:t>
      </w:r>
      <w:r w:rsidR="005C7B88" w:rsidRPr="00100D6C">
        <w:rPr>
          <w:rFonts w:ascii="Times New Roman" w:hAnsi="Times New Roman" w:cs="Times New Roman"/>
          <w:lang w:val="en-US"/>
        </w:rPr>
        <w:t>areas</w:t>
      </w:r>
      <w:r w:rsidR="00E83BDF" w:rsidRPr="00100D6C">
        <w:rPr>
          <w:rFonts w:ascii="Times New Roman" w:hAnsi="Times New Roman" w:cs="Times New Roman"/>
          <w:lang w:val="en-US"/>
        </w:rPr>
        <w:t xml:space="preserve"> such as humanitarian law or climate change. They can serve to articulate general principles of law</w:t>
      </w:r>
      <w:r w:rsidR="00BE4BC4" w:rsidRPr="00100D6C">
        <w:rPr>
          <w:rFonts w:ascii="Times New Roman" w:hAnsi="Times New Roman" w:cs="Times New Roman"/>
          <w:lang w:val="en-US"/>
        </w:rPr>
        <w:t xml:space="preserve"> </w:t>
      </w:r>
      <w:r w:rsidR="00BE4BC4" w:rsidRPr="00100D6C">
        <w:rPr>
          <w:rFonts w:ascii="Times New Roman" w:hAnsi="Times New Roman" w:cs="Times New Roman"/>
          <w:lang w:val="en-US"/>
        </w:rPr>
        <w:lastRenderedPageBreak/>
        <w:t xml:space="preserve">(sovereign equality, non intervention, self-determination), but equally to adopt highly </w:t>
      </w:r>
      <w:r w:rsidR="001E2CCC" w:rsidRPr="00100D6C">
        <w:rPr>
          <w:rFonts w:ascii="Times New Roman" w:hAnsi="Times New Roman" w:cs="Times New Roman"/>
          <w:lang w:val="en-US"/>
        </w:rPr>
        <w:t>specific</w:t>
      </w:r>
      <w:r w:rsidR="00BE4BC4" w:rsidRPr="00100D6C">
        <w:rPr>
          <w:rFonts w:ascii="Times New Roman" w:hAnsi="Times New Roman" w:cs="Times New Roman"/>
          <w:lang w:val="en-US"/>
        </w:rPr>
        <w:t xml:space="preserve"> technical standards on commodity prices or water pollution. A number of things, to finish, can only be done by way of treaties, most notably the setting up of internatio</w:t>
      </w:r>
      <w:r w:rsidR="003E4E88" w:rsidRPr="00100D6C">
        <w:rPr>
          <w:rFonts w:ascii="Times New Roman" w:hAnsi="Times New Roman" w:cs="Times New Roman"/>
          <w:lang w:val="en-US"/>
        </w:rPr>
        <w:t>nal institutions like the UN or</w:t>
      </w:r>
      <w:r w:rsidR="00C20A3E" w:rsidRPr="00100D6C">
        <w:rPr>
          <w:rFonts w:ascii="Times New Roman" w:hAnsi="Times New Roman" w:cs="Times New Roman"/>
          <w:lang w:val="en-US"/>
        </w:rPr>
        <w:t xml:space="preserve"> the</w:t>
      </w:r>
      <w:r w:rsidR="00BE4BC4" w:rsidRPr="00100D6C">
        <w:rPr>
          <w:rFonts w:ascii="Times New Roman" w:hAnsi="Times New Roman" w:cs="Times New Roman"/>
          <w:lang w:val="en-US"/>
        </w:rPr>
        <w:t xml:space="preserve"> EU</w:t>
      </w:r>
      <w:r w:rsidR="005C7B88" w:rsidRPr="00100D6C">
        <w:rPr>
          <w:rFonts w:ascii="Times New Roman" w:hAnsi="Times New Roman" w:cs="Times New Roman"/>
          <w:lang w:val="en-US"/>
        </w:rPr>
        <w:t>.</w:t>
      </w:r>
      <w:r w:rsidR="001E2CCC" w:rsidRPr="00100D6C">
        <w:rPr>
          <w:rStyle w:val="FootnoteReference"/>
          <w:rFonts w:ascii="Times New Roman" w:hAnsi="Times New Roman" w:cs="Times New Roman"/>
          <w:lang w:val="en-US"/>
        </w:rPr>
        <w:footnoteReference w:id="40"/>
      </w:r>
    </w:p>
    <w:p w:rsidR="003E4E88" w:rsidRPr="00100D6C" w:rsidRDefault="00F80799" w:rsidP="00537938">
      <w:pPr>
        <w:jc w:val="both"/>
        <w:rPr>
          <w:rFonts w:ascii="Times New Roman" w:hAnsi="Times New Roman" w:cs="Times New Roman"/>
          <w:lang w:val="en-US"/>
        </w:rPr>
      </w:pPr>
      <w:r w:rsidRPr="00100D6C">
        <w:rPr>
          <w:rFonts w:ascii="Times New Roman" w:hAnsi="Times New Roman" w:cs="Times New Roman"/>
          <w:lang w:val="en-US"/>
        </w:rPr>
        <w:t>Lastly, and critically, the treaty is generally viewed as superior to other sources by reason of its</w:t>
      </w:r>
      <w:r w:rsidR="003A0CFE" w:rsidRPr="00100D6C">
        <w:rPr>
          <w:rFonts w:ascii="Times New Roman" w:hAnsi="Times New Roman" w:cs="Times New Roman"/>
          <w:lang w:val="en-US"/>
        </w:rPr>
        <w:t xml:space="preserve"> perceived</w:t>
      </w:r>
      <w:r w:rsidRPr="00100D6C">
        <w:rPr>
          <w:rFonts w:ascii="Times New Roman" w:hAnsi="Times New Roman" w:cs="Times New Roman"/>
          <w:lang w:val="en-US"/>
        </w:rPr>
        <w:t xml:space="preserve"> legitimacy as a law-making process. Treaty making</w:t>
      </w:r>
      <w:r w:rsidR="00072917" w:rsidRPr="00100D6C">
        <w:rPr>
          <w:rFonts w:ascii="Times New Roman" w:hAnsi="Times New Roman" w:cs="Times New Roman"/>
          <w:lang w:val="en-US"/>
        </w:rPr>
        <w:t>, to begin,</w:t>
      </w:r>
      <w:r w:rsidRPr="00100D6C">
        <w:rPr>
          <w:rFonts w:ascii="Times New Roman" w:hAnsi="Times New Roman" w:cs="Times New Roman"/>
          <w:lang w:val="en-US"/>
        </w:rPr>
        <w:t xml:space="preserve"> is premised on the principle of freedom of contract</w:t>
      </w:r>
      <w:r w:rsidR="00072917" w:rsidRPr="00100D6C">
        <w:rPr>
          <w:rFonts w:ascii="Times New Roman" w:hAnsi="Times New Roman" w:cs="Times New Roman"/>
          <w:lang w:val="en-US"/>
        </w:rPr>
        <w:t xml:space="preserve"> (though the exercise of this freedom is rarely unconstrained, see below)</w:t>
      </w:r>
      <w:r w:rsidRPr="00100D6C">
        <w:rPr>
          <w:rFonts w:ascii="Times New Roman" w:hAnsi="Times New Roman" w:cs="Times New Roman"/>
          <w:lang w:val="en-US"/>
        </w:rPr>
        <w:t>.</w:t>
      </w:r>
      <w:r w:rsidR="00072917" w:rsidRPr="00100D6C">
        <w:rPr>
          <w:rFonts w:ascii="Times New Roman" w:hAnsi="Times New Roman" w:cs="Times New Roman"/>
          <w:lang w:val="en-US"/>
        </w:rPr>
        <w:t xml:space="preserve"> States are free to sign up to a treaty </w:t>
      </w:r>
      <w:r w:rsidR="007F50B1" w:rsidRPr="00100D6C">
        <w:rPr>
          <w:rFonts w:ascii="Times New Roman" w:hAnsi="Times New Roman" w:cs="Times New Roman"/>
          <w:lang w:val="en-US"/>
        </w:rPr>
        <w:t>or to choose not to become a party</w:t>
      </w:r>
      <w:r w:rsidR="00072917" w:rsidRPr="00100D6C">
        <w:rPr>
          <w:rFonts w:ascii="Times New Roman" w:hAnsi="Times New Roman" w:cs="Times New Roman"/>
          <w:lang w:val="en-US"/>
        </w:rPr>
        <w:t>.</w:t>
      </w:r>
      <w:r w:rsidR="00135828" w:rsidRPr="00100D6C">
        <w:rPr>
          <w:rStyle w:val="FootnoteReference"/>
          <w:rFonts w:ascii="Times New Roman" w:hAnsi="Times New Roman" w:cs="Times New Roman"/>
          <w:lang w:val="en-US"/>
        </w:rPr>
        <w:footnoteReference w:id="41"/>
      </w:r>
      <w:r w:rsidR="000366ED" w:rsidRPr="00100D6C">
        <w:rPr>
          <w:rFonts w:ascii="Times New Roman" w:hAnsi="Times New Roman" w:cs="Times New Roman"/>
          <w:lang w:val="en-US"/>
        </w:rPr>
        <w:t xml:space="preserve"> </w:t>
      </w:r>
      <w:r w:rsidR="007F50B1" w:rsidRPr="00100D6C">
        <w:rPr>
          <w:rFonts w:ascii="Times New Roman" w:hAnsi="Times New Roman" w:cs="Times New Roman"/>
          <w:lang w:val="en-US"/>
        </w:rPr>
        <w:t>They enjoy full freedom as regards the modalities and form of agreement. They are free to enter reservations</w:t>
      </w:r>
      <w:r w:rsidR="00072917" w:rsidRPr="00100D6C">
        <w:rPr>
          <w:rFonts w:ascii="Times New Roman" w:hAnsi="Times New Roman" w:cs="Times New Roman"/>
          <w:lang w:val="en-US"/>
        </w:rPr>
        <w:t xml:space="preserve">, limiting or modifying the effect of the treaty in its application to them. </w:t>
      </w:r>
      <w:r w:rsidR="007F50B1" w:rsidRPr="00100D6C">
        <w:rPr>
          <w:rFonts w:ascii="Times New Roman" w:hAnsi="Times New Roman" w:cs="Times New Roman"/>
          <w:lang w:val="en-US"/>
        </w:rPr>
        <w:t>And States are free, of course, to withdraw from treaties</w:t>
      </w:r>
      <w:r w:rsidR="003463A4" w:rsidRPr="00100D6C">
        <w:rPr>
          <w:rFonts w:ascii="Times New Roman" w:hAnsi="Times New Roman" w:cs="Times New Roman"/>
          <w:lang w:val="en-US"/>
        </w:rPr>
        <w:t xml:space="preserve"> (in accordance with their provisions)</w:t>
      </w:r>
      <w:r w:rsidR="007F50B1" w:rsidRPr="00100D6C">
        <w:rPr>
          <w:rFonts w:ascii="Times New Roman" w:hAnsi="Times New Roman" w:cs="Times New Roman"/>
          <w:lang w:val="en-US"/>
        </w:rPr>
        <w:t>, as was recently illustrated by the withdrawal of Latin American States from the ICSID Convention.</w:t>
      </w:r>
      <w:r w:rsidR="00C1429D" w:rsidRPr="00100D6C">
        <w:rPr>
          <w:rStyle w:val="FootnoteReference"/>
          <w:rFonts w:ascii="Times New Roman" w:hAnsi="Times New Roman" w:cs="Times New Roman"/>
          <w:lang w:val="en-US"/>
        </w:rPr>
        <w:footnoteReference w:id="42"/>
      </w:r>
      <w:r w:rsidR="00C20A3E" w:rsidRPr="00100D6C">
        <w:rPr>
          <w:rFonts w:ascii="Times New Roman" w:hAnsi="Times New Roman" w:cs="Times New Roman"/>
          <w:lang w:val="en-US"/>
        </w:rPr>
        <w:t xml:space="preserve"> </w:t>
      </w:r>
      <w:r w:rsidR="00186A7A" w:rsidRPr="00100D6C">
        <w:rPr>
          <w:rFonts w:ascii="Times New Roman" w:hAnsi="Times New Roman" w:cs="Times New Roman"/>
          <w:lang w:val="en-US"/>
        </w:rPr>
        <w:t xml:space="preserve">Treaty making is thus, in principle, a conscious, deliberative process </w:t>
      </w:r>
      <w:r w:rsidR="00C1429D" w:rsidRPr="00100D6C">
        <w:rPr>
          <w:rFonts w:ascii="Times New Roman" w:hAnsi="Times New Roman" w:cs="Times New Roman"/>
          <w:lang w:val="en-US"/>
        </w:rPr>
        <w:t>respectful</w:t>
      </w:r>
      <w:r w:rsidR="00186A7A" w:rsidRPr="00100D6C">
        <w:rPr>
          <w:rFonts w:ascii="Times New Roman" w:hAnsi="Times New Roman" w:cs="Times New Roman"/>
          <w:lang w:val="en-US"/>
        </w:rPr>
        <w:t xml:space="preserve"> o</w:t>
      </w:r>
      <w:r w:rsidR="00C1429D" w:rsidRPr="00100D6C">
        <w:rPr>
          <w:rFonts w:ascii="Times New Roman" w:hAnsi="Times New Roman" w:cs="Times New Roman"/>
          <w:lang w:val="en-US"/>
        </w:rPr>
        <w:t>f</w:t>
      </w:r>
      <w:r w:rsidR="00186A7A" w:rsidRPr="00100D6C">
        <w:rPr>
          <w:rFonts w:ascii="Times New Roman" w:hAnsi="Times New Roman" w:cs="Times New Roman"/>
          <w:lang w:val="en-US"/>
        </w:rPr>
        <w:t xml:space="preserve"> State consent and </w:t>
      </w:r>
      <w:r w:rsidR="00135828" w:rsidRPr="00100D6C">
        <w:rPr>
          <w:rFonts w:ascii="Times New Roman" w:hAnsi="Times New Roman" w:cs="Times New Roman"/>
          <w:lang w:val="en-US"/>
        </w:rPr>
        <w:t>contractual autonomy</w:t>
      </w:r>
      <w:r w:rsidR="00186A7A" w:rsidRPr="00100D6C">
        <w:rPr>
          <w:rFonts w:ascii="Times New Roman" w:hAnsi="Times New Roman" w:cs="Times New Roman"/>
          <w:lang w:val="en-US"/>
        </w:rPr>
        <w:t xml:space="preserve">. It is also, to </w:t>
      </w:r>
      <w:r w:rsidR="00B043F5" w:rsidRPr="00100D6C">
        <w:rPr>
          <w:rFonts w:ascii="Times New Roman" w:hAnsi="Times New Roman" w:cs="Times New Roman"/>
          <w:lang w:val="en-US"/>
        </w:rPr>
        <w:t>an</w:t>
      </w:r>
      <w:r w:rsidR="00186A7A" w:rsidRPr="00100D6C">
        <w:rPr>
          <w:rFonts w:ascii="Times New Roman" w:hAnsi="Times New Roman" w:cs="Times New Roman"/>
          <w:lang w:val="en-US"/>
        </w:rPr>
        <w:t xml:space="preserve"> </w:t>
      </w:r>
      <w:r w:rsidR="005C3702" w:rsidRPr="00100D6C">
        <w:rPr>
          <w:rFonts w:ascii="Times New Roman" w:hAnsi="Times New Roman" w:cs="Times New Roman"/>
          <w:lang w:val="en-US"/>
        </w:rPr>
        <w:t>extent, subjected to</w:t>
      </w:r>
      <w:r w:rsidR="00186A7A" w:rsidRPr="00100D6C">
        <w:rPr>
          <w:rFonts w:ascii="Times New Roman" w:hAnsi="Times New Roman" w:cs="Times New Roman"/>
          <w:lang w:val="en-US"/>
        </w:rPr>
        <w:t xml:space="preserve"> democratic scrutiny. Treaty negotiations, </w:t>
      </w:r>
      <w:r w:rsidR="00B45CA9" w:rsidRPr="00100D6C">
        <w:rPr>
          <w:rFonts w:ascii="Times New Roman" w:hAnsi="Times New Roman" w:cs="Times New Roman"/>
          <w:lang w:val="en-US"/>
        </w:rPr>
        <w:t>in important areas such as climate change or trade/investment, are largely covered by the media and the subject of public debate.</w:t>
      </w:r>
      <w:r w:rsidR="00C20A3E" w:rsidRPr="00100D6C">
        <w:rPr>
          <w:rFonts w:ascii="Times New Roman" w:hAnsi="Times New Roman" w:cs="Times New Roman"/>
          <w:lang w:val="en-US"/>
        </w:rPr>
        <w:t xml:space="preserve"> </w:t>
      </w:r>
      <w:r w:rsidR="00B45CA9" w:rsidRPr="00100D6C">
        <w:rPr>
          <w:rFonts w:ascii="Times New Roman" w:hAnsi="Times New Roman" w:cs="Times New Roman"/>
          <w:lang w:val="en-US"/>
        </w:rPr>
        <w:t>Civil society is increasingly involved in treaty making, with the participation of NGOs in intergovernmental conferences and proc</w:t>
      </w:r>
      <w:r w:rsidR="007E5335" w:rsidRPr="00100D6C">
        <w:rPr>
          <w:rFonts w:ascii="Times New Roman" w:hAnsi="Times New Roman" w:cs="Times New Roman"/>
          <w:lang w:val="en-US"/>
        </w:rPr>
        <w:t>eedings.</w:t>
      </w:r>
      <w:r w:rsidR="00C1429D" w:rsidRPr="00100D6C">
        <w:rPr>
          <w:rStyle w:val="FootnoteReference"/>
          <w:rFonts w:ascii="Times New Roman" w:hAnsi="Times New Roman" w:cs="Times New Roman"/>
          <w:lang w:val="en-US"/>
        </w:rPr>
        <w:footnoteReference w:id="43"/>
      </w:r>
      <w:r w:rsidR="007E5335" w:rsidRPr="00100D6C">
        <w:rPr>
          <w:rFonts w:ascii="Times New Roman" w:hAnsi="Times New Roman" w:cs="Times New Roman"/>
          <w:lang w:val="en-US"/>
        </w:rPr>
        <w:t xml:space="preserve"> And in many instances, treaty ratification </w:t>
      </w:r>
      <w:r w:rsidR="00537938" w:rsidRPr="00100D6C">
        <w:rPr>
          <w:rFonts w:ascii="Times New Roman" w:hAnsi="Times New Roman" w:cs="Times New Roman"/>
          <w:lang w:val="en-US"/>
        </w:rPr>
        <w:t xml:space="preserve">involves a domestic </w:t>
      </w:r>
      <w:r w:rsidR="00B043F5" w:rsidRPr="00100D6C">
        <w:rPr>
          <w:rFonts w:ascii="Times New Roman" w:hAnsi="Times New Roman" w:cs="Times New Roman"/>
          <w:lang w:val="en-US"/>
        </w:rPr>
        <w:t>“</w:t>
      </w:r>
      <w:r w:rsidR="00537938" w:rsidRPr="00100D6C">
        <w:rPr>
          <w:rFonts w:ascii="Times New Roman" w:hAnsi="Times New Roman" w:cs="Times New Roman"/>
          <w:lang w:val="en-US"/>
        </w:rPr>
        <w:t>chain of legitimacy</w:t>
      </w:r>
      <w:r w:rsidR="00B043F5" w:rsidRPr="00100D6C">
        <w:rPr>
          <w:rFonts w:ascii="Times New Roman" w:hAnsi="Times New Roman" w:cs="Times New Roman"/>
          <w:lang w:val="en-US"/>
        </w:rPr>
        <w:t>”</w:t>
      </w:r>
      <w:r w:rsidR="00537938" w:rsidRPr="00100D6C">
        <w:rPr>
          <w:rFonts w:ascii="Times New Roman" w:hAnsi="Times New Roman" w:cs="Times New Roman"/>
          <w:lang w:val="en-US"/>
        </w:rPr>
        <w:t xml:space="preserve"> where treaties must be approved by the Parliament or some representative institution, and sometimes even by popular referendum.</w:t>
      </w:r>
      <w:r w:rsidR="00127A29" w:rsidRPr="00100D6C">
        <w:rPr>
          <w:rStyle w:val="FootnoteReference"/>
          <w:rFonts w:ascii="Times New Roman" w:hAnsi="Times New Roman" w:cs="Times New Roman"/>
          <w:lang w:val="en-US"/>
        </w:rPr>
        <w:footnoteReference w:id="44"/>
      </w:r>
      <w:r w:rsidR="00C20A3E" w:rsidRPr="00100D6C">
        <w:rPr>
          <w:rFonts w:ascii="Times New Roman" w:hAnsi="Times New Roman" w:cs="Times New Roman"/>
          <w:lang w:val="en-US"/>
        </w:rPr>
        <w:t xml:space="preserve"> </w:t>
      </w:r>
      <w:r w:rsidR="00032F6C" w:rsidRPr="00100D6C">
        <w:rPr>
          <w:rFonts w:ascii="Times New Roman" w:hAnsi="Times New Roman" w:cs="Times New Roman"/>
          <w:lang w:val="en-US"/>
        </w:rPr>
        <w:t>Treaty making, for the above reasons, is often regarded as comparatively more transparent and democratic than other law-making processes</w:t>
      </w:r>
      <w:r w:rsidR="003E4E88" w:rsidRPr="00100D6C">
        <w:rPr>
          <w:rFonts w:ascii="Times New Roman" w:hAnsi="Times New Roman" w:cs="Times New Roman"/>
          <w:lang w:val="en-US"/>
        </w:rPr>
        <w:t xml:space="preserve"> (especially the nebulous process of customary law formation)</w:t>
      </w:r>
      <w:r w:rsidR="00032F6C" w:rsidRPr="00100D6C">
        <w:rPr>
          <w:rFonts w:ascii="Times New Roman" w:hAnsi="Times New Roman" w:cs="Times New Roman"/>
          <w:lang w:val="en-US"/>
        </w:rPr>
        <w:t xml:space="preserve">, a fact that is said to increase the effectiveness of international law, as norms generated through legitimate processes are thought to exert greater </w:t>
      </w:r>
      <w:r w:rsidR="00EE1462" w:rsidRPr="00100D6C">
        <w:rPr>
          <w:rFonts w:ascii="Times New Roman" w:hAnsi="Times New Roman" w:cs="Times New Roman"/>
          <w:lang w:val="en-US"/>
        </w:rPr>
        <w:t>“</w:t>
      </w:r>
      <w:r w:rsidR="00032F6C" w:rsidRPr="00100D6C">
        <w:rPr>
          <w:rFonts w:ascii="Times New Roman" w:hAnsi="Times New Roman" w:cs="Times New Roman"/>
          <w:lang w:val="en-US"/>
        </w:rPr>
        <w:t>compliance pull</w:t>
      </w:r>
      <w:r w:rsidR="00EE1462" w:rsidRPr="00100D6C">
        <w:rPr>
          <w:rFonts w:ascii="Times New Roman" w:hAnsi="Times New Roman" w:cs="Times New Roman"/>
          <w:lang w:val="en-US"/>
        </w:rPr>
        <w:t>”</w:t>
      </w:r>
      <w:r w:rsidR="003A0CFE" w:rsidRPr="00100D6C">
        <w:rPr>
          <w:rFonts w:ascii="Times New Roman" w:hAnsi="Times New Roman" w:cs="Times New Roman"/>
          <w:lang w:val="en-US"/>
        </w:rPr>
        <w:t xml:space="preserve"> and thus harder to disobey.</w:t>
      </w:r>
      <w:r w:rsidR="00ED18F2" w:rsidRPr="00100D6C">
        <w:rPr>
          <w:rStyle w:val="FootnoteReference"/>
          <w:rFonts w:ascii="Times New Roman" w:hAnsi="Times New Roman" w:cs="Times New Roman"/>
          <w:lang w:val="en-US"/>
        </w:rPr>
        <w:footnoteReference w:id="45"/>
      </w:r>
    </w:p>
    <w:p w:rsidR="00A63B3B" w:rsidRPr="00100D6C" w:rsidRDefault="00A63B3B" w:rsidP="00865748">
      <w:pPr>
        <w:pStyle w:val="Heading2"/>
      </w:pPr>
      <w:r w:rsidRPr="00100D6C">
        <w:br/>
      </w:r>
      <w:bookmarkStart w:id="20" w:name="_Toc459318316"/>
      <w:r w:rsidRPr="00100D6C">
        <w:t xml:space="preserve">B. </w:t>
      </w:r>
      <w:r w:rsidR="00246F30" w:rsidRPr="00100D6C">
        <w:t xml:space="preserve">The </w:t>
      </w:r>
      <w:r w:rsidR="005008EC" w:rsidRPr="00100D6C">
        <w:t>Custom Primacy</w:t>
      </w:r>
      <w:r w:rsidR="00246F30" w:rsidRPr="00100D6C">
        <w:t xml:space="preserve"> Thesis</w:t>
      </w:r>
      <w:bookmarkEnd w:id="20"/>
      <w:r w:rsidRPr="00100D6C">
        <w:br/>
      </w:r>
    </w:p>
    <w:p w:rsidR="00246F30" w:rsidRPr="00100D6C" w:rsidRDefault="00B33145" w:rsidP="00246F30">
      <w:pPr>
        <w:jc w:val="both"/>
        <w:rPr>
          <w:rFonts w:ascii="Times New Roman" w:hAnsi="Times New Roman" w:cs="Times New Roman"/>
          <w:lang w:val="en-US"/>
        </w:rPr>
      </w:pPr>
      <w:r w:rsidRPr="00100D6C">
        <w:rPr>
          <w:rFonts w:ascii="Times New Roman" w:hAnsi="Times New Roman" w:cs="Times New Roman"/>
          <w:lang w:val="en-US"/>
        </w:rPr>
        <w:t xml:space="preserve">The </w:t>
      </w:r>
      <w:r w:rsidR="005008EC" w:rsidRPr="00100D6C">
        <w:rPr>
          <w:rFonts w:ascii="Times New Roman" w:hAnsi="Times New Roman" w:cs="Times New Roman"/>
          <w:lang w:val="en-US"/>
        </w:rPr>
        <w:t>“</w:t>
      </w:r>
      <w:r w:rsidRPr="00100D6C">
        <w:rPr>
          <w:rFonts w:ascii="Times New Roman" w:hAnsi="Times New Roman" w:cs="Times New Roman"/>
          <w:lang w:val="en-US"/>
        </w:rPr>
        <w:t>treaty primacy</w:t>
      </w:r>
      <w:r w:rsidR="005008EC" w:rsidRPr="00100D6C">
        <w:rPr>
          <w:rFonts w:ascii="Times New Roman" w:hAnsi="Times New Roman" w:cs="Times New Roman"/>
          <w:lang w:val="en-US"/>
        </w:rPr>
        <w:t>”</w:t>
      </w:r>
      <w:r w:rsidRPr="00100D6C">
        <w:rPr>
          <w:rFonts w:ascii="Times New Roman" w:hAnsi="Times New Roman" w:cs="Times New Roman"/>
          <w:lang w:val="en-US"/>
        </w:rPr>
        <w:t xml:space="preserve"> thesis has become dominant in the contemporary doctrine of sources. Very few would deny that treaties have come to assume a central role in international law-making, both quantitatively and qualitatively. That thesis has</w:t>
      </w:r>
      <w:r w:rsidR="002F2327" w:rsidRPr="00100D6C">
        <w:rPr>
          <w:rFonts w:ascii="Times New Roman" w:hAnsi="Times New Roman" w:cs="Times New Roman"/>
          <w:lang w:val="en-US"/>
        </w:rPr>
        <w:t>, however,</w:t>
      </w:r>
      <w:r w:rsidRPr="00100D6C">
        <w:rPr>
          <w:rFonts w:ascii="Times New Roman" w:hAnsi="Times New Roman" w:cs="Times New Roman"/>
          <w:lang w:val="en-US"/>
        </w:rPr>
        <w:t xml:space="preserve"> always coexisted with other</w:t>
      </w:r>
      <w:r w:rsidR="00185842" w:rsidRPr="00100D6C">
        <w:rPr>
          <w:rFonts w:ascii="Times New Roman" w:hAnsi="Times New Roman" w:cs="Times New Roman"/>
          <w:lang w:val="en-US"/>
        </w:rPr>
        <w:t>s that</w:t>
      </w:r>
      <w:r w:rsidR="00C20A3E" w:rsidRPr="00100D6C">
        <w:rPr>
          <w:rFonts w:ascii="Times New Roman" w:hAnsi="Times New Roman" w:cs="Times New Roman"/>
          <w:lang w:val="en-US"/>
        </w:rPr>
        <w:t xml:space="preserve"> </w:t>
      </w:r>
      <w:r w:rsidR="002F2327" w:rsidRPr="00100D6C">
        <w:rPr>
          <w:rFonts w:ascii="Times New Roman" w:hAnsi="Times New Roman" w:cs="Times New Roman"/>
          <w:lang w:val="en-US"/>
        </w:rPr>
        <w:t xml:space="preserve">posit that custom ranks higher, normatively, than treaty law. As with the </w:t>
      </w:r>
      <w:r w:rsidR="005008EC" w:rsidRPr="00100D6C">
        <w:rPr>
          <w:rFonts w:ascii="Times New Roman" w:hAnsi="Times New Roman" w:cs="Times New Roman"/>
          <w:lang w:val="en-US"/>
        </w:rPr>
        <w:t>“</w:t>
      </w:r>
      <w:r w:rsidR="002F2327" w:rsidRPr="00100D6C">
        <w:rPr>
          <w:rFonts w:ascii="Times New Roman" w:hAnsi="Times New Roman" w:cs="Times New Roman"/>
          <w:lang w:val="en-US"/>
        </w:rPr>
        <w:t>treaty primacy</w:t>
      </w:r>
      <w:r w:rsidR="005008EC" w:rsidRPr="00100D6C">
        <w:rPr>
          <w:rFonts w:ascii="Times New Roman" w:hAnsi="Times New Roman" w:cs="Times New Roman"/>
          <w:lang w:val="en-US"/>
        </w:rPr>
        <w:t>”</w:t>
      </w:r>
      <w:r w:rsidR="002F2327" w:rsidRPr="00100D6C">
        <w:rPr>
          <w:rFonts w:ascii="Times New Roman" w:hAnsi="Times New Roman" w:cs="Times New Roman"/>
          <w:lang w:val="en-US"/>
        </w:rPr>
        <w:t xml:space="preserve"> thesis, </w:t>
      </w:r>
      <w:r w:rsidR="003C1D10" w:rsidRPr="00100D6C">
        <w:rPr>
          <w:rFonts w:ascii="Times New Roman" w:hAnsi="Times New Roman" w:cs="Times New Roman"/>
          <w:lang w:val="en-US"/>
        </w:rPr>
        <w:t>there exist several versions of the “custom primacy” thesis, three of which are discussed here.</w:t>
      </w:r>
    </w:p>
    <w:p w:rsidR="00786338" w:rsidRPr="00100D6C" w:rsidRDefault="000F30BE" w:rsidP="00246F30">
      <w:pPr>
        <w:jc w:val="both"/>
        <w:rPr>
          <w:rFonts w:ascii="Times New Roman" w:hAnsi="Times New Roman" w:cs="Times New Roman"/>
          <w:lang w:val="en-US"/>
        </w:rPr>
      </w:pPr>
      <w:r w:rsidRPr="00100D6C">
        <w:rPr>
          <w:rFonts w:ascii="Times New Roman" w:hAnsi="Times New Roman" w:cs="Times New Roman"/>
          <w:lang w:val="en-US"/>
        </w:rPr>
        <w:t>The first version of the thesis posits that custom is superior to other sources – in particular treaty law – in</w:t>
      </w:r>
      <w:r w:rsidR="005008EC" w:rsidRPr="00100D6C">
        <w:rPr>
          <w:rFonts w:ascii="Times New Roman" w:hAnsi="Times New Roman" w:cs="Times New Roman"/>
          <w:lang w:val="en-US"/>
        </w:rPr>
        <w:t>asmuch as</w:t>
      </w:r>
      <w:r w:rsidRPr="00100D6C">
        <w:rPr>
          <w:rFonts w:ascii="Times New Roman" w:hAnsi="Times New Roman" w:cs="Times New Roman"/>
          <w:lang w:val="en-US"/>
        </w:rPr>
        <w:t xml:space="preserve"> it precedes </w:t>
      </w:r>
      <w:r w:rsidR="00006FC1" w:rsidRPr="00100D6C">
        <w:rPr>
          <w:rFonts w:ascii="Times New Roman" w:hAnsi="Times New Roman" w:cs="Times New Roman"/>
          <w:lang w:val="en-US"/>
        </w:rPr>
        <w:t>and</w:t>
      </w:r>
      <w:r w:rsidRPr="00100D6C">
        <w:rPr>
          <w:rFonts w:ascii="Times New Roman" w:hAnsi="Times New Roman" w:cs="Times New Roman"/>
          <w:lang w:val="en-US"/>
        </w:rPr>
        <w:t xml:space="preserve"> pre-determines them</w:t>
      </w:r>
      <w:r w:rsidR="00006FC1" w:rsidRPr="00100D6C">
        <w:rPr>
          <w:rFonts w:ascii="Times New Roman" w:hAnsi="Times New Roman" w:cs="Times New Roman"/>
          <w:lang w:val="en-US"/>
        </w:rPr>
        <w:t xml:space="preserve">, in other words that there can be no treaty law without a pre-existing framework of customary law governing its formation. This argument has a long </w:t>
      </w:r>
      <w:r w:rsidR="00006FC1" w:rsidRPr="00100D6C">
        <w:rPr>
          <w:rFonts w:ascii="Times New Roman" w:hAnsi="Times New Roman" w:cs="Times New Roman"/>
          <w:lang w:val="en-US"/>
        </w:rPr>
        <w:lastRenderedPageBreak/>
        <w:t>history. Writing at the turn of the 20</w:t>
      </w:r>
      <w:r w:rsidR="00006FC1" w:rsidRPr="00100D6C">
        <w:rPr>
          <w:rFonts w:ascii="Times New Roman" w:hAnsi="Times New Roman" w:cs="Times New Roman"/>
          <w:vertAlign w:val="superscript"/>
          <w:lang w:val="en-US"/>
        </w:rPr>
        <w:t>th</w:t>
      </w:r>
      <w:r w:rsidR="00006FC1" w:rsidRPr="00100D6C">
        <w:rPr>
          <w:rFonts w:ascii="Times New Roman" w:hAnsi="Times New Roman" w:cs="Times New Roman"/>
          <w:lang w:val="en-US"/>
        </w:rPr>
        <w:t xml:space="preserve"> century, Oppenheim </w:t>
      </w:r>
      <w:r w:rsidR="005008EC" w:rsidRPr="00100D6C">
        <w:rPr>
          <w:rFonts w:ascii="Times New Roman" w:hAnsi="Times New Roman" w:cs="Times New Roman"/>
          <w:lang w:val="en-US"/>
        </w:rPr>
        <w:t xml:space="preserve">notoriously </w:t>
      </w:r>
      <w:r w:rsidR="00006FC1" w:rsidRPr="00100D6C">
        <w:rPr>
          <w:rFonts w:ascii="Times New Roman" w:hAnsi="Times New Roman" w:cs="Times New Roman"/>
          <w:lang w:val="en-US"/>
        </w:rPr>
        <w:t xml:space="preserve">stated that custom </w:t>
      </w:r>
      <w:r w:rsidR="005008EC" w:rsidRPr="00100D6C">
        <w:rPr>
          <w:rFonts w:ascii="Times New Roman" w:hAnsi="Times New Roman" w:cs="Times New Roman"/>
          <w:lang w:val="en-US"/>
        </w:rPr>
        <w:t>“</w:t>
      </w:r>
      <w:r w:rsidR="00006FC1" w:rsidRPr="00100D6C">
        <w:rPr>
          <w:rFonts w:ascii="Times New Roman" w:hAnsi="Times New Roman" w:cs="Times New Roman"/>
          <w:lang w:val="en-US"/>
        </w:rPr>
        <w:t>is the original source of international law</w:t>
      </w:r>
      <w:r w:rsidR="005008EC" w:rsidRPr="00100D6C">
        <w:rPr>
          <w:rFonts w:ascii="Times New Roman" w:hAnsi="Times New Roman" w:cs="Times New Roman"/>
          <w:lang w:val="en-US"/>
        </w:rPr>
        <w:t>.”</w:t>
      </w:r>
      <w:bookmarkStart w:id="21" w:name="_Ref447718962"/>
      <w:r w:rsidR="00006FC1" w:rsidRPr="00100D6C">
        <w:rPr>
          <w:rStyle w:val="FootnoteReference"/>
          <w:rFonts w:ascii="Times New Roman" w:hAnsi="Times New Roman" w:cs="Times New Roman"/>
          <w:lang w:val="en-US"/>
        </w:rPr>
        <w:footnoteReference w:id="46"/>
      </w:r>
      <w:bookmarkEnd w:id="21"/>
      <w:r w:rsidR="00C20A3E" w:rsidRPr="00100D6C">
        <w:rPr>
          <w:rFonts w:ascii="Times New Roman" w:hAnsi="Times New Roman" w:cs="Times New Roman"/>
          <w:lang w:val="en-US"/>
        </w:rPr>
        <w:t xml:space="preserve"> What he meant</w:t>
      </w:r>
      <w:r w:rsidR="00006FC1" w:rsidRPr="00100D6C">
        <w:rPr>
          <w:rFonts w:ascii="Times New Roman" w:hAnsi="Times New Roman" w:cs="Times New Roman"/>
          <w:lang w:val="en-US"/>
        </w:rPr>
        <w:t xml:space="preserve"> was not so much that, chronologically, custom came first and treaties second, but rather that custom was not dependent on any other source to exist, whereas treaties could only exist against the background of custom: </w:t>
      </w:r>
      <w:r w:rsidR="005008EC" w:rsidRPr="00100D6C">
        <w:rPr>
          <w:rFonts w:ascii="Times New Roman" w:hAnsi="Times New Roman" w:cs="Times New Roman"/>
          <w:lang w:val="en-US"/>
        </w:rPr>
        <w:t>“</w:t>
      </w:r>
      <w:r w:rsidR="00006FC1" w:rsidRPr="00100D6C">
        <w:rPr>
          <w:rFonts w:ascii="Times New Roman" w:hAnsi="Times New Roman" w:cs="Times New Roman"/>
          <w:lang w:val="en-US"/>
        </w:rPr>
        <w:t>treaties are a source the power of which derives from custom. For the fact that treaties can stipulate rules of international conduct at all is based on the customary rule of the Law of Nations that treaties are binding upon the contracting parties</w:t>
      </w:r>
      <w:r w:rsidR="005008EC" w:rsidRPr="00100D6C">
        <w:rPr>
          <w:rFonts w:ascii="Times New Roman" w:hAnsi="Times New Roman" w:cs="Times New Roman"/>
          <w:lang w:val="en-US"/>
        </w:rPr>
        <w:t>.”</w:t>
      </w:r>
      <w:r w:rsidR="00266943" w:rsidRPr="00100D6C">
        <w:rPr>
          <w:rStyle w:val="FootnoteReference"/>
          <w:rFonts w:ascii="Times New Roman" w:hAnsi="Times New Roman" w:cs="Times New Roman"/>
          <w:lang w:val="en-US"/>
        </w:rPr>
        <w:footnoteReference w:id="47"/>
      </w:r>
    </w:p>
    <w:p w:rsidR="00CD0309" w:rsidRPr="00100D6C" w:rsidRDefault="00C1348F" w:rsidP="00246F30">
      <w:pPr>
        <w:jc w:val="both"/>
        <w:rPr>
          <w:rFonts w:ascii="Times New Roman" w:hAnsi="Times New Roman" w:cs="Times New Roman"/>
          <w:lang w:val="en-US"/>
        </w:rPr>
      </w:pPr>
      <w:r w:rsidRPr="00100D6C">
        <w:rPr>
          <w:rFonts w:ascii="Times New Roman" w:hAnsi="Times New Roman" w:cs="Times New Roman"/>
          <w:lang w:val="en-US"/>
        </w:rPr>
        <w:t xml:space="preserve">The limits of this theory are well known. As Lauterpacht famously noted, if one subscribes to the view that treaties are binding only because there is a customary rule to that effect, </w:t>
      </w:r>
      <w:r w:rsidR="005008EC" w:rsidRPr="00100D6C">
        <w:rPr>
          <w:rFonts w:ascii="Times New Roman" w:hAnsi="Times New Roman" w:cs="Times New Roman"/>
          <w:lang w:val="en-US"/>
        </w:rPr>
        <w:t>“</w:t>
      </w:r>
      <w:r w:rsidRPr="00100D6C">
        <w:rPr>
          <w:rFonts w:ascii="Times New Roman" w:hAnsi="Times New Roman" w:cs="Times New Roman"/>
          <w:lang w:val="en-US"/>
        </w:rPr>
        <w:t>there remains the question why custom is binding</w:t>
      </w:r>
      <w:r w:rsidR="005008EC" w:rsidRPr="00100D6C">
        <w:rPr>
          <w:rFonts w:ascii="Times New Roman" w:hAnsi="Times New Roman" w:cs="Times New Roman"/>
          <w:lang w:val="en-US"/>
        </w:rPr>
        <w:t>.”</w:t>
      </w:r>
      <w:r w:rsidR="00266943" w:rsidRPr="00100D6C">
        <w:rPr>
          <w:rStyle w:val="FootnoteReference"/>
          <w:rFonts w:ascii="Times New Roman" w:hAnsi="Times New Roman" w:cs="Times New Roman"/>
          <w:lang w:val="en-US"/>
        </w:rPr>
        <w:footnoteReference w:id="48"/>
      </w:r>
      <w:r w:rsidR="009B38BD" w:rsidRPr="00100D6C">
        <w:rPr>
          <w:rFonts w:ascii="Times New Roman" w:hAnsi="Times New Roman" w:cs="Times New Roman"/>
          <w:lang w:val="en-US"/>
        </w:rPr>
        <w:t xml:space="preserve"> It has, however, proved remarkably resilient. Kelsen, in his </w:t>
      </w:r>
      <w:r w:rsidR="009B38BD" w:rsidRPr="00100D6C">
        <w:rPr>
          <w:rFonts w:ascii="Times New Roman" w:hAnsi="Times New Roman" w:cs="Times New Roman"/>
          <w:i/>
          <w:lang w:val="en-US"/>
        </w:rPr>
        <w:t>General Theory of Law and State</w:t>
      </w:r>
      <w:r w:rsidR="009B38BD" w:rsidRPr="00100D6C">
        <w:rPr>
          <w:rFonts w:ascii="Times New Roman" w:hAnsi="Times New Roman" w:cs="Times New Roman"/>
          <w:lang w:val="en-US"/>
        </w:rPr>
        <w:t xml:space="preserve">, observed that </w:t>
      </w:r>
      <w:r w:rsidR="005008EC" w:rsidRPr="00100D6C">
        <w:rPr>
          <w:rFonts w:ascii="Times New Roman" w:hAnsi="Times New Roman" w:cs="Times New Roman"/>
          <w:lang w:val="en-US"/>
        </w:rPr>
        <w:t>“</w:t>
      </w:r>
      <w:r w:rsidR="009B38BD" w:rsidRPr="00100D6C">
        <w:rPr>
          <w:rFonts w:ascii="Times New Roman" w:hAnsi="Times New Roman" w:cs="Times New Roman"/>
          <w:lang w:val="en-US"/>
        </w:rPr>
        <w:t xml:space="preserve">if we ask why a treaty is valid, we are led to the general norm which obligates the States to behave in conformity with the treaties they have concluded, a norm commonly expressed by the phrase </w:t>
      </w:r>
      <w:r w:rsidR="009B38BD" w:rsidRPr="00100D6C">
        <w:rPr>
          <w:rFonts w:ascii="Times New Roman" w:hAnsi="Times New Roman" w:cs="Times New Roman"/>
          <w:i/>
          <w:lang w:val="en-US"/>
        </w:rPr>
        <w:t>pacta</w:t>
      </w:r>
      <w:r w:rsidR="00A970F3" w:rsidRPr="00100D6C">
        <w:rPr>
          <w:rFonts w:ascii="Times New Roman" w:hAnsi="Times New Roman" w:cs="Times New Roman"/>
          <w:i/>
          <w:lang w:val="en-US"/>
        </w:rPr>
        <w:t xml:space="preserve"> </w:t>
      </w:r>
      <w:r w:rsidR="009B38BD" w:rsidRPr="00100D6C">
        <w:rPr>
          <w:rFonts w:ascii="Times New Roman" w:hAnsi="Times New Roman" w:cs="Times New Roman"/>
          <w:i/>
          <w:lang w:val="en-US"/>
        </w:rPr>
        <w:t>sunt</w:t>
      </w:r>
      <w:r w:rsidR="00A970F3" w:rsidRPr="00100D6C">
        <w:rPr>
          <w:rFonts w:ascii="Times New Roman" w:hAnsi="Times New Roman" w:cs="Times New Roman"/>
          <w:i/>
          <w:lang w:val="en-US"/>
        </w:rPr>
        <w:t xml:space="preserve"> </w:t>
      </w:r>
      <w:r w:rsidR="009B38BD" w:rsidRPr="00100D6C">
        <w:rPr>
          <w:rFonts w:ascii="Times New Roman" w:hAnsi="Times New Roman" w:cs="Times New Roman"/>
          <w:i/>
          <w:lang w:val="en-US"/>
        </w:rPr>
        <w:t>servanda</w:t>
      </w:r>
      <w:r w:rsidR="009B38BD" w:rsidRPr="00100D6C">
        <w:rPr>
          <w:rFonts w:ascii="Times New Roman" w:hAnsi="Times New Roman" w:cs="Times New Roman"/>
          <w:lang w:val="en-US"/>
        </w:rPr>
        <w:t>. This is a norm of general international law, and general international law is created by custom</w:t>
      </w:r>
      <w:r w:rsidR="00266943" w:rsidRPr="00100D6C">
        <w:rPr>
          <w:rFonts w:ascii="Times New Roman" w:hAnsi="Times New Roman" w:cs="Times New Roman"/>
          <w:lang w:val="en-US"/>
        </w:rPr>
        <w:t xml:space="preserve"> </w:t>
      </w:r>
      <w:r w:rsidR="005008EC" w:rsidRPr="00100D6C">
        <w:rPr>
          <w:rFonts w:ascii="Times New Roman" w:hAnsi="Times New Roman" w:cs="Times New Roman"/>
          <w:lang w:val="en-US"/>
        </w:rPr>
        <w:t>….</w:t>
      </w:r>
      <w:r w:rsidR="009B38BD" w:rsidRPr="00100D6C">
        <w:rPr>
          <w:rFonts w:ascii="Times New Roman" w:hAnsi="Times New Roman" w:cs="Times New Roman"/>
          <w:lang w:val="en-US"/>
        </w:rPr>
        <w:t xml:space="preserve"> Customary international law </w:t>
      </w:r>
      <w:r w:rsidR="005008EC" w:rsidRPr="00100D6C">
        <w:rPr>
          <w:rFonts w:ascii="Times New Roman" w:hAnsi="Times New Roman" w:cs="Times New Roman"/>
          <w:lang w:val="en-US"/>
        </w:rPr>
        <w:t>….</w:t>
      </w:r>
      <w:r w:rsidR="009B38BD" w:rsidRPr="00100D6C">
        <w:rPr>
          <w:rFonts w:ascii="Times New Roman" w:hAnsi="Times New Roman" w:cs="Times New Roman"/>
          <w:lang w:val="en-US"/>
        </w:rPr>
        <w:t xml:space="preserve"> is the first stage within the international legal order</w:t>
      </w:r>
      <w:r w:rsidR="005008EC" w:rsidRPr="00100D6C">
        <w:rPr>
          <w:rFonts w:ascii="Times New Roman" w:hAnsi="Times New Roman" w:cs="Times New Roman"/>
          <w:lang w:val="en-US"/>
        </w:rPr>
        <w:t>.”</w:t>
      </w:r>
      <w:r w:rsidR="00266943" w:rsidRPr="00100D6C">
        <w:rPr>
          <w:rStyle w:val="FootnoteReference"/>
          <w:rFonts w:ascii="Times New Roman" w:hAnsi="Times New Roman" w:cs="Times New Roman"/>
          <w:lang w:val="en-US"/>
        </w:rPr>
        <w:footnoteReference w:id="49"/>
      </w:r>
      <w:r w:rsidR="00786338" w:rsidRPr="00100D6C">
        <w:rPr>
          <w:rFonts w:ascii="Times New Roman" w:hAnsi="Times New Roman" w:cs="Times New Roman"/>
          <w:lang w:val="en-US"/>
        </w:rPr>
        <w:t xml:space="preserve"> Reuter, a leading scholar of the law of treaties and a firm believer in the </w:t>
      </w:r>
      <w:r w:rsidR="00D41C18" w:rsidRPr="00100D6C">
        <w:rPr>
          <w:rFonts w:ascii="Times New Roman" w:hAnsi="Times New Roman" w:cs="Times New Roman"/>
          <w:lang w:val="en-US"/>
        </w:rPr>
        <w:t>“</w:t>
      </w:r>
      <w:r w:rsidR="00786338" w:rsidRPr="00100D6C">
        <w:rPr>
          <w:rFonts w:ascii="Times New Roman" w:hAnsi="Times New Roman" w:cs="Times New Roman"/>
          <w:lang w:val="en-US"/>
        </w:rPr>
        <w:t>central position</w:t>
      </w:r>
      <w:r w:rsidR="00D41C18" w:rsidRPr="00100D6C">
        <w:rPr>
          <w:rFonts w:ascii="Times New Roman" w:hAnsi="Times New Roman" w:cs="Times New Roman"/>
          <w:lang w:val="en-US"/>
        </w:rPr>
        <w:t>”</w:t>
      </w:r>
      <w:r w:rsidR="00786338" w:rsidRPr="00100D6C">
        <w:rPr>
          <w:rFonts w:ascii="Times New Roman" w:hAnsi="Times New Roman" w:cs="Times New Roman"/>
          <w:lang w:val="en-US"/>
        </w:rPr>
        <w:t xml:space="preserve"> of treaty law in international life, conceded that </w:t>
      </w:r>
      <w:r w:rsidR="00D41C18" w:rsidRPr="00100D6C">
        <w:rPr>
          <w:rFonts w:ascii="Times New Roman" w:hAnsi="Times New Roman" w:cs="Times New Roman"/>
          <w:lang w:val="en-US"/>
        </w:rPr>
        <w:t>“</w:t>
      </w:r>
      <w:r w:rsidR="00786338" w:rsidRPr="00100D6C">
        <w:rPr>
          <w:rFonts w:ascii="Times New Roman" w:hAnsi="Times New Roman" w:cs="Times New Roman"/>
          <w:lang w:val="en-US"/>
        </w:rPr>
        <w:t>treaties are binding by virtue not of a treaty but of customary rules. In that sense, international custom is even more central than the law of treaties since it is the very pillar on which treaties rest. If one were to speak of a ‘constitution’ of the international community, it would have to be a customary one</w:t>
      </w:r>
      <w:r w:rsidR="00D41C18" w:rsidRPr="00100D6C">
        <w:rPr>
          <w:rFonts w:ascii="Times New Roman" w:hAnsi="Times New Roman" w:cs="Times New Roman"/>
          <w:lang w:val="en-US"/>
        </w:rPr>
        <w:t>.”</w:t>
      </w:r>
      <w:r w:rsidR="00266943" w:rsidRPr="00100D6C">
        <w:rPr>
          <w:rStyle w:val="FootnoteReference"/>
          <w:rFonts w:ascii="Times New Roman" w:hAnsi="Times New Roman" w:cs="Times New Roman"/>
          <w:lang w:val="en-US"/>
        </w:rPr>
        <w:footnoteReference w:id="50"/>
      </w:r>
      <w:r w:rsidR="00C20A3E" w:rsidRPr="00100D6C">
        <w:rPr>
          <w:rFonts w:ascii="Times New Roman" w:hAnsi="Times New Roman" w:cs="Times New Roman"/>
          <w:lang w:val="en-US"/>
        </w:rPr>
        <w:t xml:space="preserve"> </w:t>
      </w:r>
      <w:r w:rsidR="00CD0309" w:rsidRPr="00100D6C">
        <w:rPr>
          <w:rFonts w:ascii="Times New Roman" w:hAnsi="Times New Roman" w:cs="Times New Roman"/>
          <w:lang w:val="en-US"/>
        </w:rPr>
        <w:t xml:space="preserve">Crawford, in his recent Hague Lectures, took the same view, arguing that </w:t>
      </w:r>
      <w:r w:rsidR="00D41C18" w:rsidRPr="00100D6C">
        <w:rPr>
          <w:rFonts w:ascii="Times New Roman" w:hAnsi="Times New Roman" w:cs="Times New Roman"/>
          <w:lang w:val="en-US"/>
        </w:rPr>
        <w:t>“</w:t>
      </w:r>
      <w:r w:rsidR="00CD0309" w:rsidRPr="00100D6C">
        <w:rPr>
          <w:rFonts w:ascii="Times New Roman" w:hAnsi="Times New Roman" w:cs="Times New Roman"/>
          <w:lang w:val="en-US"/>
        </w:rPr>
        <w:t xml:space="preserve">international law is a customary law system, despite all the treaties: even the principle </w:t>
      </w:r>
      <w:r w:rsidR="00CD0309" w:rsidRPr="00100D6C">
        <w:rPr>
          <w:rFonts w:ascii="Times New Roman" w:hAnsi="Times New Roman" w:cs="Times New Roman"/>
          <w:i/>
          <w:lang w:val="en-US"/>
        </w:rPr>
        <w:t>pacta</w:t>
      </w:r>
      <w:r w:rsidR="00A970F3" w:rsidRPr="00100D6C">
        <w:rPr>
          <w:rFonts w:ascii="Times New Roman" w:hAnsi="Times New Roman" w:cs="Times New Roman"/>
          <w:i/>
          <w:lang w:val="en-US"/>
        </w:rPr>
        <w:t xml:space="preserve"> </w:t>
      </w:r>
      <w:r w:rsidR="00CD0309" w:rsidRPr="00100D6C">
        <w:rPr>
          <w:rFonts w:ascii="Times New Roman" w:hAnsi="Times New Roman" w:cs="Times New Roman"/>
          <w:i/>
          <w:lang w:val="en-US"/>
        </w:rPr>
        <w:t>sunt</w:t>
      </w:r>
      <w:r w:rsidR="00A970F3" w:rsidRPr="00100D6C">
        <w:rPr>
          <w:rFonts w:ascii="Times New Roman" w:hAnsi="Times New Roman" w:cs="Times New Roman"/>
          <w:i/>
          <w:lang w:val="en-US"/>
        </w:rPr>
        <w:t xml:space="preserve"> </w:t>
      </w:r>
      <w:r w:rsidR="00CD0309" w:rsidRPr="00100D6C">
        <w:rPr>
          <w:rFonts w:ascii="Times New Roman" w:hAnsi="Times New Roman" w:cs="Times New Roman"/>
          <w:i/>
          <w:lang w:val="en-US"/>
        </w:rPr>
        <w:t>servanda</w:t>
      </w:r>
      <w:r w:rsidR="00CD0309" w:rsidRPr="00100D6C">
        <w:rPr>
          <w:rFonts w:ascii="Times New Roman" w:hAnsi="Times New Roman" w:cs="Times New Roman"/>
          <w:lang w:val="en-US"/>
        </w:rPr>
        <w:t>, the obligation to comply with treaties, is a customary law obligation</w:t>
      </w:r>
      <w:r w:rsidR="00D41C18" w:rsidRPr="00100D6C">
        <w:rPr>
          <w:rFonts w:ascii="Times New Roman" w:hAnsi="Times New Roman" w:cs="Times New Roman"/>
          <w:lang w:val="en-US"/>
        </w:rPr>
        <w:t>.”</w:t>
      </w:r>
      <w:r w:rsidR="00185842" w:rsidRPr="00100D6C">
        <w:rPr>
          <w:rStyle w:val="FootnoteReference"/>
          <w:rFonts w:ascii="Times New Roman" w:hAnsi="Times New Roman" w:cs="Times New Roman"/>
          <w:lang w:val="en-US"/>
        </w:rPr>
        <w:footnoteReference w:id="51"/>
      </w:r>
      <w:r w:rsidR="00A970F3" w:rsidRPr="00100D6C">
        <w:rPr>
          <w:rFonts w:ascii="Times New Roman" w:hAnsi="Times New Roman" w:cs="Times New Roman"/>
          <w:lang w:val="en-US"/>
        </w:rPr>
        <w:t xml:space="preserve"> </w:t>
      </w:r>
      <w:r w:rsidR="00967944" w:rsidRPr="00100D6C">
        <w:rPr>
          <w:rFonts w:ascii="Times New Roman" w:hAnsi="Times New Roman" w:cs="Times New Roman"/>
          <w:lang w:val="en-US"/>
        </w:rPr>
        <w:t>Common to all these views about the primacy of custom is the notion that customary law has a</w:t>
      </w:r>
      <w:r w:rsidR="00185842" w:rsidRPr="00100D6C">
        <w:rPr>
          <w:rFonts w:ascii="Times New Roman" w:hAnsi="Times New Roman" w:cs="Times New Roman"/>
          <w:lang w:val="en-US"/>
        </w:rPr>
        <w:t xml:space="preserve"> privileged</w:t>
      </w:r>
      <w:r w:rsidR="00185108" w:rsidRPr="00100D6C">
        <w:rPr>
          <w:rFonts w:ascii="Times New Roman" w:hAnsi="Times New Roman" w:cs="Times New Roman"/>
          <w:lang w:val="en-US"/>
        </w:rPr>
        <w:t xml:space="preserve">, elemental </w:t>
      </w:r>
      <w:r w:rsidR="00185842" w:rsidRPr="00100D6C">
        <w:rPr>
          <w:rFonts w:ascii="Times New Roman" w:hAnsi="Times New Roman" w:cs="Times New Roman"/>
          <w:lang w:val="en-US"/>
        </w:rPr>
        <w:t xml:space="preserve">status </w:t>
      </w:r>
      <w:r w:rsidR="00D41C18" w:rsidRPr="00100D6C">
        <w:rPr>
          <w:rFonts w:ascii="Times New Roman" w:hAnsi="Times New Roman" w:cs="Times New Roman"/>
          <w:lang w:val="en-US"/>
        </w:rPr>
        <w:t>“</w:t>
      </w:r>
      <w:r w:rsidR="00185842" w:rsidRPr="00100D6C">
        <w:rPr>
          <w:rFonts w:ascii="Times New Roman" w:hAnsi="Times New Roman" w:cs="Times New Roman"/>
          <w:lang w:val="en-US"/>
        </w:rPr>
        <w:t>at the heart</w:t>
      </w:r>
      <w:r w:rsidR="00D41C18" w:rsidRPr="00100D6C">
        <w:rPr>
          <w:rFonts w:ascii="Times New Roman" w:hAnsi="Times New Roman" w:cs="Times New Roman"/>
          <w:lang w:val="en-US"/>
        </w:rPr>
        <w:t>”</w:t>
      </w:r>
      <w:r w:rsidR="00185842" w:rsidRPr="00100D6C">
        <w:rPr>
          <w:rFonts w:ascii="Times New Roman" w:hAnsi="Times New Roman" w:cs="Times New Roman"/>
          <w:lang w:val="en-US"/>
        </w:rPr>
        <w:t xml:space="preserve"> of the international </w:t>
      </w:r>
      <w:r w:rsidR="00967944" w:rsidRPr="00100D6C">
        <w:rPr>
          <w:rFonts w:ascii="Times New Roman" w:hAnsi="Times New Roman" w:cs="Times New Roman"/>
          <w:lang w:val="en-US"/>
        </w:rPr>
        <w:t>legal order</w:t>
      </w:r>
      <w:r w:rsidR="00A970F3" w:rsidRPr="00100D6C">
        <w:rPr>
          <w:rFonts w:ascii="Times New Roman" w:hAnsi="Times New Roman" w:cs="Times New Roman"/>
          <w:lang w:val="en-US"/>
        </w:rPr>
        <w:t xml:space="preserve"> </w:t>
      </w:r>
      <w:r w:rsidR="00967944" w:rsidRPr="00100D6C">
        <w:rPr>
          <w:rFonts w:ascii="Times New Roman" w:hAnsi="Times New Roman" w:cs="Times New Roman"/>
          <w:lang w:val="en-US"/>
        </w:rPr>
        <w:t xml:space="preserve">and represents </w:t>
      </w:r>
      <w:r w:rsidR="004C7575" w:rsidRPr="00100D6C">
        <w:rPr>
          <w:rFonts w:ascii="Times New Roman" w:hAnsi="Times New Roman" w:cs="Times New Roman"/>
          <w:lang w:val="en-US"/>
        </w:rPr>
        <w:t>the</w:t>
      </w:r>
      <w:r w:rsidR="00185842" w:rsidRPr="00100D6C">
        <w:rPr>
          <w:rFonts w:ascii="Times New Roman" w:hAnsi="Times New Roman" w:cs="Times New Roman"/>
          <w:lang w:val="en-US"/>
        </w:rPr>
        <w:t xml:space="preserve"> source of all sources</w:t>
      </w:r>
      <w:r w:rsidR="00967944" w:rsidRPr="00100D6C">
        <w:rPr>
          <w:rFonts w:ascii="Times New Roman" w:hAnsi="Times New Roman" w:cs="Times New Roman"/>
          <w:lang w:val="en-US"/>
        </w:rPr>
        <w:t>,</w:t>
      </w:r>
      <w:r w:rsidR="004C7575" w:rsidRPr="00100D6C">
        <w:rPr>
          <w:rFonts w:ascii="Times New Roman" w:hAnsi="Times New Roman" w:cs="Times New Roman"/>
          <w:lang w:val="en-US"/>
        </w:rPr>
        <w:t xml:space="preserve"> the background that</w:t>
      </w:r>
      <w:r w:rsidR="00A970F3" w:rsidRPr="00100D6C">
        <w:rPr>
          <w:rFonts w:ascii="Times New Roman" w:hAnsi="Times New Roman" w:cs="Times New Roman"/>
          <w:lang w:val="en-US"/>
        </w:rPr>
        <w:t xml:space="preserve"> </w:t>
      </w:r>
      <w:r w:rsidR="00967944" w:rsidRPr="00100D6C">
        <w:rPr>
          <w:rFonts w:ascii="Times New Roman" w:hAnsi="Times New Roman" w:cs="Times New Roman"/>
          <w:lang w:val="en-US"/>
        </w:rPr>
        <w:t>determin</w:t>
      </w:r>
      <w:r w:rsidR="004C7575" w:rsidRPr="00100D6C">
        <w:rPr>
          <w:rFonts w:ascii="Times New Roman" w:hAnsi="Times New Roman" w:cs="Times New Roman"/>
          <w:lang w:val="en-US"/>
        </w:rPr>
        <w:t>es</w:t>
      </w:r>
      <w:r w:rsidR="00CD0309" w:rsidRPr="00100D6C">
        <w:rPr>
          <w:rFonts w:ascii="Times New Roman" w:hAnsi="Times New Roman" w:cs="Times New Roman"/>
          <w:lang w:val="en-US"/>
        </w:rPr>
        <w:t xml:space="preserve"> the condition of validity of all other legal norms and processes.</w:t>
      </w:r>
      <w:r w:rsidR="00185842" w:rsidRPr="00100D6C">
        <w:rPr>
          <w:rStyle w:val="FootnoteReference"/>
          <w:rFonts w:ascii="Times New Roman" w:hAnsi="Times New Roman" w:cs="Times New Roman"/>
          <w:lang w:val="en-US"/>
        </w:rPr>
        <w:footnoteReference w:id="52"/>
      </w:r>
    </w:p>
    <w:p w:rsidR="00BD32D6" w:rsidRPr="00100D6C" w:rsidRDefault="00967944" w:rsidP="00246F30">
      <w:pPr>
        <w:jc w:val="both"/>
        <w:rPr>
          <w:rFonts w:ascii="Times New Roman" w:hAnsi="Times New Roman" w:cs="Times New Roman"/>
          <w:lang w:val="en-US"/>
        </w:rPr>
      </w:pPr>
      <w:r w:rsidRPr="00100D6C">
        <w:rPr>
          <w:rFonts w:ascii="Times New Roman" w:hAnsi="Times New Roman" w:cs="Times New Roman"/>
          <w:lang w:val="en-US"/>
        </w:rPr>
        <w:t xml:space="preserve">This first version of the </w:t>
      </w:r>
      <w:r w:rsidR="00185108" w:rsidRPr="00100D6C">
        <w:rPr>
          <w:rFonts w:ascii="Times New Roman" w:hAnsi="Times New Roman" w:cs="Times New Roman"/>
          <w:lang w:val="en-US"/>
        </w:rPr>
        <w:t>“</w:t>
      </w:r>
      <w:r w:rsidRPr="00100D6C">
        <w:rPr>
          <w:rFonts w:ascii="Times New Roman" w:hAnsi="Times New Roman" w:cs="Times New Roman"/>
          <w:lang w:val="en-US"/>
        </w:rPr>
        <w:t>custom primacy</w:t>
      </w:r>
      <w:r w:rsidR="00185108" w:rsidRPr="00100D6C">
        <w:rPr>
          <w:rFonts w:ascii="Times New Roman" w:hAnsi="Times New Roman" w:cs="Times New Roman"/>
          <w:lang w:val="en-US"/>
        </w:rPr>
        <w:t>”</w:t>
      </w:r>
      <w:r w:rsidRPr="00100D6C">
        <w:rPr>
          <w:rFonts w:ascii="Times New Roman" w:hAnsi="Times New Roman" w:cs="Times New Roman"/>
          <w:lang w:val="en-US"/>
        </w:rPr>
        <w:t xml:space="preserve"> thesis, it should be noted, is not so much concerned with custom as a law-making proces</w:t>
      </w:r>
      <w:r w:rsidR="00E210A0" w:rsidRPr="00100D6C">
        <w:rPr>
          <w:rFonts w:ascii="Times New Roman" w:hAnsi="Times New Roman" w:cs="Times New Roman"/>
          <w:lang w:val="en-US"/>
        </w:rPr>
        <w:t>s as it is with certain basic,</w:t>
      </w:r>
      <w:r w:rsidRPr="00100D6C">
        <w:rPr>
          <w:rFonts w:ascii="Times New Roman" w:hAnsi="Times New Roman" w:cs="Times New Roman"/>
          <w:lang w:val="en-US"/>
        </w:rPr>
        <w:t xml:space="preserve"> foundational principles (e.g. </w:t>
      </w:r>
      <w:r w:rsidRPr="00100D6C">
        <w:rPr>
          <w:rFonts w:ascii="Times New Roman" w:hAnsi="Times New Roman" w:cs="Times New Roman"/>
          <w:i/>
          <w:lang w:val="en-US"/>
        </w:rPr>
        <w:t>pacta</w:t>
      </w:r>
      <w:r w:rsidR="00A970F3" w:rsidRPr="00100D6C">
        <w:rPr>
          <w:rFonts w:ascii="Times New Roman" w:hAnsi="Times New Roman" w:cs="Times New Roman"/>
          <w:i/>
          <w:lang w:val="en-US"/>
        </w:rPr>
        <w:t xml:space="preserve"> </w:t>
      </w:r>
      <w:r w:rsidRPr="00100D6C">
        <w:rPr>
          <w:rFonts w:ascii="Times New Roman" w:hAnsi="Times New Roman" w:cs="Times New Roman"/>
          <w:i/>
          <w:lang w:val="en-US"/>
        </w:rPr>
        <w:t>sunt</w:t>
      </w:r>
      <w:r w:rsidR="00A970F3" w:rsidRPr="00100D6C">
        <w:rPr>
          <w:rFonts w:ascii="Times New Roman" w:hAnsi="Times New Roman" w:cs="Times New Roman"/>
          <w:i/>
          <w:lang w:val="en-US"/>
        </w:rPr>
        <w:t xml:space="preserve"> </w:t>
      </w:r>
      <w:r w:rsidRPr="00100D6C">
        <w:rPr>
          <w:rFonts w:ascii="Times New Roman" w:hAnsi="Times New Roman" w:cs="Times New Roman"/>
          <w:i/>
          <w:lang w:val="en-US"/>
        </w:rPr>
        <w:t>servanda</w:t>
      </w:r>
      <w:r w:rsidRPr="00100D6C">
        <w:rPr>
          <w:rFonts w:ascii="Times New Roman" w:hAnsi="Times New Roman" w:cs="Times New Roman"/>
          <w:lang w:val="en-US"/>
        </w:rPr>
        <w:t>) that happen to be of a customary nature.</w:t>
      </w:r>
      <w:r w:rsidRPr="00100D6C">
        <w:rPr>
          <w:rStyle w:val="FootnoteReference"/>
          <w:rFonts w:ascii="Times New Roman" w:hAnsi="Times New Roman" w:cs="Times New Roman"/>
          <w:lang w:val="en-US"/>
        </w:rPr>
        <w:footnoteReference w:id="53"/>
      </w:r>
      <w:r w:rsidRPr="00100D6C">
        <w:rPr>
          <w:rFonts w:ascii="Times New Roman" w:hAnsi="Times New Roman" w:cs="Times New Roman"/>
          <w:lang w:val="en-US"/>
        </w:rPr>
        <w:t xml:space="preserve"> The second and third versions of the thesis, by contrast, have more to do with custom as a process and its comparative merits.</w:t>
      </w:r>
      <w:r w:rsidR="00A31B96" w:rsidRPr="00100D6C">
        <w:rPr>
          <w:rFonts w:ascii="Times New Roman" w:hAnsi="Times New Roman" w:cs="Times New Roman"/>
          <w:lang w:val="en-US"/>
        </w:rPr>
        <w:t xml:space="preserve"> The second version of the thesis, to begin with, posits that custom is the only process capable of producing law </w:t>
      </w:r>
      <w:r w:rsidR="00A31B96" w:rsidRPr="00100D6C">
        <w:rPr>
          <w:rFonts w:ascii="Times New Roman" w:hAnsi="Times New Roman" w:cs="Times New Roman"/>
          <w:i/>
          <w:lang w:val="en-US"/>
        </w:rPr>
        <w:t>in the proper sense of the term</w:t>
      </w:r>
      <w:r w:rsidR="00A31B96" w:rsidRPr="00100D6C">
        <w:rPr>
          <w:rFonts w:ascii="Times New Roman" w:hAnsi="Times New Roman" w:cs="Times New Roman"/>
          <w:lang w:val="en-US"/>
        </w:rPr>
        <w:t xml:space="preserve">, i.e. </w:t>
      </w:r>
      <w:r w:rsidR="00227CED" w:rsidRPr="00100D6C">
        <w:rPr>
          <w:rFonts w:ascii="Times New Roman" w:hAnsi="Times New Roman" w:cs="Times New Roman"/>
          <w:lang w:val="en-US"/>
        </w:rPr>
        <w:t>rules of general validity, applicable to the legal order as a whole</w:t>
      </w:r>
      <w:r w:rsidR="00292100" w:rsidRPr="00100D6C">
        <w:rPr>
          <w:rFonts w:ascii="Times New Roman" w:hAnsi="Times New Roman" w:cs="Times New Roman"/>
          <w:lang w:val="en-US"/>
        </w:rPr>
        <w:t xml:space="preserve"> and to all legal subjects</w:t>
      </w:r>
      <w:r w:rsidR="00A31B96" w:rsidRPr="00100D6C">
        <w:rPr>
          <w:rFonts w:ascii="Times New Roman" w:hAnsi="Times New Roman" w:cs="Times New Roman"/>
          <w:lang w:val="en-US"/>
        </w:rPr>
        <w:t xml:space="preserve">. This view was notoriously put forward by Fitzmaurice, who argued that treaties </w:t>
      </w:r>
      <w:r w:rsidR="00AE5FDC" w:rsidRPr="00100D6C">
        <w:rPr>
          <w:rFonts w:ascii="Times New Roman" w:hAnsi="Times New Roman" w:cs="Times New Roman"/>
          <w:lang w:val="en-US"/>
        </w:rPr>
        <w:t>ought to be viewed as mere</w:t>
      </w:r>
      <w:r w:rsidR="00A31B96" w:rsidRPr="00100D6C">
        <w:rPr>
          <w:rFonts w:ascii="Times New Roman" w:hAnsi="Times New Roman" w:cs="Times New Roman"/>
          <w:lang w:val="en-US"/>
        </w:rPr>
        <w:t xml:space="preserve"> contracts </w:t>
      </w:r>
      <w:r w:rsidR="00AE5FDC" w:rsidRPr="00100D6C">
        <w:rPr>
          <w:rFonts w:ascii="Times New Roman" w:hAnsi="Times New Roman" w:cs="Times New Roman"/>
          <w:lang w:val="en-US"/>
        </w:rPr>
        <w:t>which can do little</w:t>
      </w:r>
      <w:r w:rsidR="00A31B96" w:rsidRPr="00100D6C">
        <w:rPr>
          <w:rFonts w:ascii="Times New Roman" w:hAnsi="Times New Roman" w:cs="Times New Roman"/>
          <w:lang w:val="en-US"/>
        </w:rPr>
        <w:t xml:space="preserve"> more than create specific </w:t>
      </w:r>
      <w:r w:rsidR="00227CED" w:rsidRPr="00100D6C">
        <w:rPr>
          <w:rFonts w:ascii="Times New Roman" w:hAnsi="Times New Roman" w:cs="Times New Roman"/>
          <w:lang w:val="en-US"/>
        </w:rPr>
        <w:t>rules</w:t>
      </w:r>
      <w:r w:rsidR="00A31B96" w:rsidRPr="00100D6C">
        <w:rPr>
          <w:rFonts w:ascii="Times New Roman" w:hAnsi="Times New Roman" w:cs="Times New Roman"/>
          <w:lang w:val="en-US"/>
        </w:rPr>
        <w:t xml:space="preserve">, </w:t>
      </w:r>
      <w:r w:rsidR="00227CED" w:rsidRPr="00100D6C">
        <w:rPr>
          <w:rFonts w:ascii="Times New Roman" w:hAnsi="Times New Roman" w:cs="Times New Roman"/>
          <w:lang w:val="en-US"/>
        </w:rPr>
        <w:t>applicable to</w:t>
      </w:r>
      <w:r w:rsidR="00A31B96" w:rsidRPr="00100D6C">
        <w:rPr>
          <w:rFonts w:ascii="Times New Roman" w:hAnsi="Times New Roman" w:cs="Times New Roman"/>
          <w:lang w:val="en-US"/>
        </w:rPr>
        <w:t xml:space="preserve"> specific</w:t>
      </w:r>
      <w:r w:rsidR="00227CED" w:rsidRPr="00100D6C">
        <w:rPr>
          <w:rFonts w:ascii="Times New Roman" w:hAnsi="Times New Roman" w:cs="Times New Roman"/>
          <w:lang w:val="en-US"/>
        </w:rPr>
        <w:t xml:space="preserve"> parties,</w:t>
      </w:r>
      <w:r w:rsidR="00A31B96" w:rsidRPr="00100D6C">
        <w:rPr>
          <w:rFonts w:ascii="Times New Roman" w:hAnsi="Times New Roman" w:cs="Times New Roman"/>
          <w:lang w:val="en-US"/>
        </w:rPr>
        <w:t xml:space="preserve"> in specific contexts. </w:t>
      </w:r>
      <w:r w:rsidR="00227CED" w:rsidRPr="00100D6C">
        <w:rPr>
          <w:rFonts w:ascii="Times New Roman" w:hAnsi="Times New Roman" w:cs="Times New Roman"/>
          <w:lang w:val="en-US"/>
        </w:rPr>
        <w:t xml:space="preserve">Unable to produce genuine rules of law, treaties, he concluded, cannot be considered </w:t>
      </w:r>
      <w:r w:rsidR="00292100" w:rsidRPr="00100D6C">
        <w:rPr>
          <w:rFonts w:ascii="Times New Roman" w:hAnsi="Times New Roman" w:cs="Times New Roman"/>
          <w:lang w:val="en-US"/>
        </w:rPr>
        <w:t xml:space="preserve">as sources of international law </w:t>
      </w:r>
      <w:r w:rsidR="00227CED" w:rsidRPr="00100D6C">
        <w:rPr>
          <w:rFonts w:ascii="Times New Roman" w:hAnsi="Times New Roman" w:cs="Times New Roman"/>
          <w:lang w:val="en-US"/>
        </w:rPr>
        <w:t xml:space="preserve">but merely as sources of rights and obligations. They may lead to the emergence of law proper if their provisions </w:t>
      </w:r>
      <w:r w:rsidR="00210E2D" w:rsidRPr="00100D6C">
        <w:rPr>
          <w:rFonts w:ascii="Times New Roman" w:hAnsi="Times New Roman" w:cs="Times New Roman"/>
          <w:lang w:val="en-US"/>
        </w:rPr>
        <w:t xml:space="preserve">pass into the general corpus of customary </w:t>
      </w:r>
      <w:r w:rsidR="00210E2D" w:rsidRPr="00100D6C">
        <w:rPr>
          <w:rFonts w:ascii="Times New Roman" w:hAnsi="Times New Roman" w:cs="Times New Roman"/>
          <w:lang w:val="en-US"/>
        </w:rPr>
        <w:lastRenderedPageBreak/>
        <w:t>international law</w:t>
      </w:r>
      <w:r w:rsidR="00227CED" w:rsidRPr="00100D6C">
        <w:rPr>
          <w:rFonts w:ascii="Times New Roman" w:hAnsi="Times New Roman" w:cs="Times New Roman"/>
          <w:lang w:val="en-US"/>
        </w:rPr>
        <w:t xml:space="preserve">. </w:t>
      </w:r>
      <w:r w:rsidR="00B0622A" w:rsidRPr="00100D6C">
        <w:rPr>
          <w:rFonts w:ascii="Times New Roman" w:hAnsi="Times New Roman" w:cs="Times New Roman"/>
          <w:lang w:val="en-US"/>
        </w:rPr>
        <w:t>Owing to</w:t>
      </w:r>
      <w:r w:rsidR="00227CED" w:rsidRPr="00100D6C">
        <w:rPr>
          <w:rFonts w:ascii="Times New Roman" w:hAnsi="Times New Roman" w:cs="Times New Roman"/>
          <w:lang w:val="en-US"/>
        </w:rPr>
        <w:t xml:space="preserve"> their contractual </w:t>
      </w:r>
      <w:r w:rsidR="00B0622A" w:rsidRPr="00100D6C">
        <w:rPr>
          <w:rFonts w:ascii="Times New Roman" w:hAnsi="Times New Roman" w:cs="Times New Roman"/>
          <w:lang w:val="en-US"/>
        </w:rPr>
        <w:t>nature</w:t>
      </w:r>
      <w:r w:rsidR="00227CED" w:rsidRPr="00100D6C">
        <w:rPr>
          <w:rFonts w:ascii="Times New Roman" w:hAnsi="Times New Roman" w:cs="Times New Roman"/>
          <w:lang w:val="en-US"/>
        </w:rPr>
        <w:t>,</w:t>
      </w:r>
      <w:r w:rsidR="00B0622A" w:rsidRPr="00100D6C">
        <w:rPr>
          <w:rFonts w:ascii="Times New Roman" w:hAnsi="Times New Roman" w:cs="Times New Roman"/>
          <w:lang w:val="en-US"/>
        </w:rPr>
        <w:t xml:space="preserve"> however,</w:t>
      </w:r>
      <w:r w:rsidR="00227CED" w:rsidRPr="00100D6C">
        <w:rPr>
          <w:rFonts w:ascii="Times New Roman" w:hAnsi="Times New Roman" w:cs="Times New Roman"/>
          <w:lang w:val="en-US"/>
        </w:rPr>
        <w:t xml:space="preserve"> Fitzmaurice viewed treaties as </w:t>
      </w:r>
      <w:r w:rsidR="00B0622A" w:rsidRPr="00100D6C">
        <w:rPr>
          <w:rFonts w:ascii="Times New Roman" w:hAnsi="Times New Roman" w:cs="Times New Roman"/>
          <w:lang w:val="en-US"/>
        </w:rPr>
        <w:t>“</w:t>
      </w:r>
      <w:r w:rsidR="00227CED" w:rsidRPr="00100D6C">
        <w:rPr>
          <w:rFonts w:ascii="Times New Roman" w:hAnsi="Times New Roman" w:cs="Times New Roman"/>
          <w:lang w:val="en-US"/>
        </w:rPr>
        <w:t>no more a source of law than an ordinary private law contract</w:t>
      </w:r>
      <w:r w:rsidR="00B0622A" w:rsidRPr="00100D6C">
        <w:rPr>
          <w:rFonts w:ascii="Times New Roman" w:hAnsi="Times New Roman" w:cs="Times New Roman"/>
          <w:lang w:val="en-US"/>
        </w:rPr>
        <w:t>.”</w:t>
      </w:r>
      <w:r w:rsidR="00210E2D" w:rsidRPr="00100D6C">
        <w:rPr>
          <w:rStyle w:val="FootnoteReference"/>
          <w:rFonts w:ascii="Times New Roman" w:hAnsi="Times New Roman" w:cs="Times New Roman"/>
          <w:lang w:val="en-US"/>
        </w:rPr>
        <w:footnoteReference w:id="54"/>
      </w:r>
    </w:p>
    <w:p w:rsidR="00CD0309" w:rsidRPr="00100D6C" w:rsidRDefault="00210E2D" w:rsidP="00246F30">
      <w:pPr>
        <w:jc w:val="both"/>
        <w:rPr>
          <w:rFonts w:ascii="Times New Roman" w:hAnsi="Times New Roman" w:cs="Times New Roman"/>
          <w:lang w:val="en-US"/>
        </w:rPr>
      </w:pPr>
      <w:r w:rsidRPr="00100D6C">
        <w:rPr>
          <w:rFonts w:ascii="Times New Roman" w:hAnsi="Times New Roman" w:cs="Times New Roman"/>
          <w:lang w:val="en-US"/>
        </w:rPr>
        <w:t>This view of treaties</w:t>
      </w:r>
      <w:r w:rsidR="00BD32D6" w:rsidRPr="00100D6C">
        <w:rPr>
          <w:rFonts w:ascii="Times New Roman" w:hAnsi="Times New Roman" w:cs="Times New Roman"/>
          <w:lang w:val="en-US"/>
        </w:rPr>
        <w:t xml:space="preserve"> as</w:t>
      </w:r>
      <w:r w:rsidRPr="00100D6C">
        <w:rPr>
          <w:rFonts w:ascii="Times New Roman" w:hAnsi="Times New Roman" w:cs="Times New Roman"/>
          <w:lang w:val="en-US"/>
        </w:rPr>
        <w:t xml:space="preserve"> a </w:t>
      </w:r>
      <w:r w:rsidR="00BD32D6" w:rsidRPr="00100D6C">
        <w:rPr>
          <w:rFonts w:ascii="Times New Roman" w:hAnsi="Times New Roman" w:cs="Times New Roman"/>
          <w:lang w:val="en-US"/>
        </w:rPr>
        <w:t>mere source</w:t>
      </w:r>
      <w:r w:rsidRPr="00100D6C">
        <w:rPr>
          <w:rFonts w:ascii="Times New Roman" w:hAnsi="Times New Roman" w:cs="Times New Roman"/>
          <w:lang w:val="en-US"/>
        </w:rPr>
        <w:t xml:space="preserve"> of obligations has had a certain influence and was espoused by </w:t>
      </w:r>
      <w:r w:rsidR="00BD32D6" w:rsidRPr="00100D6C">
        <w:rPr>
          <w:rFonts w:ascii="Times New Roman" w:hAnsi="Times New Roman" w:cs="Times New Roman"/>
          <w:lang w:val="en-US"/>
        </w:rPr>
        <w:t>many scholars</w:t>
      </w:r>
      <w:r w:rsidR="005D7FD6" w:rsidRPr="00100D6C">
        <w:rPr>
          <w:rFonts w:ascii="Times New Roman" w:hAnsi="Times New Roman" w:cs="Times New Roman"/>
          <w:lang w:val="en-US"/>
        </w:rPr>
        <w:t xml:space="preserve"> after Fitzmaurice</w:t>
      </w:r>
      <w:r w:rsidR="00BD32D6" w:rsidRPr="00100D6C">
        <w:rPr>
          <w:rFonts w:ascii="Times New Roman" w:hAnsi="Times New Roman" w:cs="Times New Roman"/>
          <w:lang w:val="en-US"/>
        </w:rPr>
        <w:t xml:space="preserve">. Parry, for instance, while </w:t>
      </w:r>
      <w:r w:rsidR="00AB15A0" w:rsidRPr="00100D6C">
        <w:rPr>
          <w:rFonts w:ascii="Times New Roman" w:hAnsi="Times New Roman" w:cs="Times New Roman"/>
          <w:lang w:val="en-US"/>
        </w:rPr>
        <w:t>recognizing</w:t>
      </w:r>
      <w:r w:rsidR="00BD32D6" w:rsidRPr="00100D6C">
        <w:rPr>
          <w:rFonts w:ascii="Times New Roman" w:hAnsi="Times New Roman" w:cs="Times New Roman"/>
          <w:lang w:val="en-US"/>
        </w:rPr>
        <w:t xml:space="preserve"> that treaties are of paramount importance when determining the rights and duties of States </w:t>
      </w:r>
      <w:r w:rsidR="00BD32D6" w:rsidRPr="00100D6C">
        <w:rPr>
          <w:rFonts w:ascii="Times New Roman" w:hAnsi="Times New Roman" w:cs="Times New Roman"/>
          <w:i/>
          <w:lang w:val="en-US"/>
        </w:rPr>
        <w:t>inter se</w:t>
      </w:r>
      <w:r w:rsidR="00BD32D6" w:rsidRPr="00100D6C">
        <w:rPr>
          <w:rFonts w:ascii="Times New Roman" w:hAnsi="Times New Roman" w:cs="Times New Roman"/>
          <w:lang w:val="en-US"/>
        </w:rPr>
        <w:t xml:space="preserve">, argued that the contribution of treaties to </w:t>
      </w:r>
      <w:r w:rsidR="00B0622A" w:rsidRPr="00100D6C">
        <w:rPr>
          <w:rFonts w:ascii="Times New Roman" w:hAnsi="Times New Roman" w:cs="Times New Roman"/>
          <w:lang w:val="en-US"/>
        </w:rPr>
        <w:t>“</w:t>
      </w:r>
      <w:r w:rsidR="00BD32D6" w:rsidRPr="00100D6C">
        <w:rPr>
          <w:rFonts w:ascii="Times New Roman" w:hAnsi="Times New Roman" w:cs="Times New Roman"/>
          <w:lang w:val="en-US"/>
        </w:rPr>
        <w:t xml:space="preserve">the whole content and stuff of the international legal system </w:t>
      </w:r>
      <w:r w:rsidR="00B0622A" w:rsidRPr="00100D6C">
        <w:rPr>
          <w:rFonts w:ascii="Times New Roman" w:hAnsi="Times New Roman" w:cs="Times New Roman"/>
          <w:lang w:val="en-US"/>
        </w:rPr>
        <w:t>….</w:t>
      </w:r>
      <w:r w:rsidR="00BD32D6" w:rsidRPr="00100D6C">
        <w:rPr>
          <w:rFonts w:ascii="Times New Roman" w:hAnsi="Times New Roman" w:cs="Times New Roman"/>
          <w:lang w:val="en-US"/>
        </w:rPr>
        <w:t xml:space="preserve"> is relatively small</w:t>
      </w:r>
      <w:r w:rsidR="00B0622A" w:rsidRPr="00100D6C">
        <w:rPr>
          <w:rFonts w:ascii="Times New Roman" w:hAnsi="Times New Roman" w:cs="Times New Roman"/>
          <w:lang w:val="en-US"/>
        </w:rPr>
        <w:t>.”</w:t>
      </w:r>
      <w:r w:rsidR="00A57BC9" w:rsidRPr="00100D6C">
        <w:rPr>
          <w:rStyle w:val="FootnoteReference"/>
          <w:rFonts w:ascii="Times New Roman" w:hAnsi="Times New Roman" w:cs="Times New Roman"/>
          <w:lang w:val="en-US"/>
        </w:rPr>
        <w:footnoteReference w:id="55"/>
      </w:r>
      <w:r w:rsidR="00BD32D6" w:rsidRPr="00100D6C">
        <w:rPr>
          <w:rFonts w:ascii="Times New Roman" w:hAnsi="Times New Roman" w:cs="Times New Roman"/>
          <w:lang w:val="en-US"/>
        </w:rPr>
        <w:t xml:space="preserve"> To Parry, the treaty is essentially peripheral as a source of international law. It is custom, in his view, that defines the </w:t>
      </w:r>
      <w:r w:rsidR="00173626" w:rsidRPr="00100D6C">
        <w:rPr>
          <w:rFonts w:ascii="Times New Roman" w:hAnsi="Times New Roman" w:cs="Times New Roman"/>
          <w:lang w:val="en-US"/>
        </w:rPr>
        <w:t>basic constitutional structure and general principles of international law as a system</w:t>
      </w:r>
      <w:r w:rsidR="00B0622A" w:rsidRPr="00100D6C">
        <w:rPr>
          <w:rFonts w:ascii="Times New Roman" w:hAnsi="Times New Roman" w:cs="Times New Roman"/>
          <w:lang w:val="en-US"/>
        </w:rPr>
        <w:t>. The treaty, for its part, is simply “</w:t>
      </w:r>
      <w:r w:rsidR="00173626" w:rsidRPr="00100D6C">
        <w:rPr>
          <w:rFonts w:ascii="Times New Roman" w:hAnsi="Times New Roman" w:cs="Times New Roman"/>
          <w:lang w:val="en-US"/>
        </w:rPr>
        <w:t>the contract of the international legal system</w:t>
      </w:r>
      <w:r w:rsidR="00B0622A" w:rsidRPr="00100D6C">
        <w:rPr>
          <w:rFonts w:ascii="Times New Roman" w:hAnsi="Times New Roman" w:cs="Times New Roman"/>
          <w:lang w:val="en-US"/>
        </w:rPr>
        <w:t>”</w:t>
      </w:r>
      <w:r w:rsidR="00173626" w:rsidRPr="00100D6C">
        <w:rPr>
          <w:rFonts w:ascii="Times New Roman" w:hAnsi="Times New Roman" w:cs="Times New Roman"/>
          <w:lang w:val="en-US"/>
        </w:rPr>
        <w:t xml:space="preserve"> and in the same way that one can learn about English law without reading a single contract, or even a single statute,</w:t>
      </w:r>
      <w:r w:rsidR="00BD32D6" w:rsidRPr="00100D6C">
        <w:rPr>
          <w:rFonts w:ascii="Times New Roman" w:hAnsi="Times New Roman" w:cs="Times New Roman"/>
          <w:lang w:val="en-US"/>
        </w:rPr>
        <w:t xml:space="preserve"> </w:t>
      </w:r>
      <w:r w:rsidR="00B0622A" w:rsidRPr="00100D6C">
        <w:rPr>
          <w:rFonts w:ascii="Times New Roman" w:hAnsi="Times New Roman" w:cs="Times New Roman"/>
          <w:lang w:val="en-US"/>
        </w:rPr>
        <w:t>“</w:t>
      </w:r>
      <w:r w:rsidR="00BD32D6" w:rsidRPr="00100D6C">
        <w:rPr>
          <w:rFonts w:ascii="Times New Roman" w:hAnsi="Times New Roman" w:cs="Times New Roman"/>
          <w:lang w:val="en-US"/>
        </w:rPr>
        <w:t>one can have a very fair idea of international law without having read a single treaty and one cannot gain any coherent idea of the essence of international law by reading treaties alone</w:t>
      </w:r>
      <w:r w:rsidR="00B0622A" w:rsidRPr="00100D6C">
        <w:rPr>
          <w:rFonts w:ascii="Times New Roman" w:hAnsi="Times New Roman" w:cs="Times New Roman"/>
          <w:lang w:val="en-US"/>
        </w:rPr>
        <w:t>.”</w:t>
      </w:r>
      <w:r w:rsidR="00A57BC9" w:rsidRPr="00100D6C">
        <w:rPr>
          <w:rStyle w:val="FootnoteReference"/>
          <w:rFonts w:ascii="Times New Roman" w:hAnsi="Times New Roman" w:cs="Times New Roman"/>
          <w:lang w:val="en-US"/>
        </w:rPr>
        <w:footnoteReference w:id="56"/>
      </w:r>
      <w:r w:rsidR="00C43EB9" w:rsidRPr="00100D6C">
        <w:rPr>
          <w:rFonts w:ascii="Times New Roman" w:hAnsi="Times New Roman" w:cs="Times New Roman"/>
          <w:lang w:val="en-US"/>
        </w:rPr>
        <w:t xml:space="preserve"> </w:t>
      </w:r>
      <w:r w:rsidR="005D7FD6" w:rsidRPr="00100D6C">
        <w:rPr>
          <w:rFonts w:ascii="Times New Roman" w:hAnsi="Times New Roman" w:cs="Times New Roman"/>
          <w:lang w:val="en-US"/>
        </w:rPr>
        <w:t xml:space="preserve">Brownlie, to provide another example, </w:t>
      </w:r>
      <w:r w:rsidR="00A57BC9" w:rsidRPr="00100D6C">
        <w:rPr>
          <w:rFonts w:ascii="Times New Roman" w:hAnsi="Times New Roman" w:cs="Times New Roman"/>
          <w:lang w:val="en-US"/>
        </w:rPr>
        <w:t xml:space="preserve">listed treaties alongside General Assembly resolutions and drafts adopted by the International Law Commission as </w:t>
      </w:r>
      <w:r w:rsidR="009B4A44" w:rsidRPr="00100D6C">
        <w:rPr>
          <w:rFonts w:ascii="Times New Roman" w:hAnsi="Times New Roman" w:cs="Times New Roman"/>
          <w:lang w:val="en-US"/>
        </w:rPr>
        <w:t>“</w:t>
      </w:r>
      <w:r w:rsidR="00A57BC9" w:rsidRPr="00100D6C">
        <w:rPr>
          <w:rFonts w:ascii="Times New Roman" w:hAnsi="Times New Roman" w:cs="Times New Roman"/>
          <w:lang w:val="en-US"/>
        </w:rPr>
        <w:t>material sources</w:t>
      </w:r>
      <w:r w:rsidR="009B4A44" w:rsidRPr="00100D6C">
        <w:rPr>
          <w:rFonts w:ascii="Times New Roman" w:hAnsi="Times New Roman" w:cs="Times New Roman"/>
          <w:lang w:val="en-US"/>
        </w:rPr>
        <w:t>”</w:t>
      </w:r>
      <w:r w:rsidR="00A57BC9" w:rsidRPr="00100D6C">
        <w:rPr>
          <w:rFonts w:ascii="Times New Roman" w:hAnsi="Times New Roman" w:cs="Times New Roman"/>
          <w:lang w:val="en-US"/>
        </w:rPr>
        <w:t xml:space="preserve"> exercising direct influence on the co</w:t>
      </w:r>
      <w:r w:rsidR="009B4A44" w:rsidRPr="00100D6C">
        <w:rPr>
          <w:rFonts w:ascii="Times New Roman" w:hAnsi="Times New Roman" w:cs="Times New Roman"/>
          <w:lang w:val="en-US"/>
        </w:rPr>
        <w:t>ntent of the law, rather than</w:t>
      </w:r>
      <w:r w:rsidR="00A57BC9" w:rsidRPr="00100D6C">
        <w:rPr>
          <w:rFonts w:ascii="Times New Roman" w:hAnsi="Times New Roman" w:cs="Times New Roman"/>
          <w:lang w:val="en-US"/>
        </w:rPr>
        <w:t xml:space="preserve"> </w:t>
      </w:r>
      <w:r w:rsidR="009B4A44" w:rsidRPr="00100D6C">
        <w:rPr>
          <w:rFonts w:ascii="Times New Roman" w:hAnsi="Times New Roman" w:cs="Times New Roman"/>
          <w:lang w:val="en-US"/>
        </w:rPr>
        <w:t>“</w:t>
      </w:r>
      <w:r w:rsidR="00A57BC9" w:rsidRPr="00100D6C">
        <w:rPr>
          <w:rFonts w:ascii="Times New Roman" w:hAnsi="Times New Roman" w:cs="Times New Roman"/>
          <w:lang w:val="en-US"/>
        </w:rPr>
        <w:t>formal sources</w:t>
      </w:r>
      <w:r w:rsidR="009B4A44" w:rsidRPr="00100D6C">
        <w:rPr>
          <w:rFonts w:ascii="Times New Roman" w:hAnsi="Times New Roman" w:cs="Times New Roman"/>
          <w:lang w:val="en-US"/>
        </w:rPr>
        <w:t>”</w:t>
      </w:r>
      <w:r w:rsidR="00A57BC9" w:rsidRPr="00100D6C">
        <w:rPr>
          <w:rFonts w:ascii="Times New Roman" w:hAnsi="Times New Roman" w:cs="Times New Roman"/>
          <w:lang w:val="en-US"/>
        </w:rPr>
        <w:t xml:space="preserve"> of law proper – a distinction that </w:t>
      </w:r>
      <w:r w:rsidR="00CD586B" w:rsidRPr="00100D6C">
        <w:rPr>
          <w:rFonts w:ascii="Times New Roman" w:hAnsi="Times New Roman" w:cs="Times New Roman"/>
          <w:lang w:val="en-US"/>
        </w:rPr>
        <w:t>endured</w:t>
      </w:r>
      <w:r w:rsidR="009B4A44" w:rsidRPr="00100D6C">
        <w:rPr>
          <w:rFonts w:ascii="Times New Roman" w:hAnsi="Times New Roman" w:cs="Times New Roman"/>
          <w:lang w:val="en-US"/>
        </w:rPr>
        <w:t xml:space="preserve"> until</w:t>
      </w:r>
      <w:r w:rsidR="00A57BC9" w:rsidRPr="00100D6C">
        <w:rPr>
          <w:rFonts w:ascii="Times New Roman" w:hAnsi="Times New Roman" w:cs="Times New Roman"/>
          <w:lang w:val="en-US"/>
        </w:rPr>
        <w:t xml:space="preserve"> Crawford’s re</w:t>
      </w:r>
      <w:r w:rsidR="00C43EB9" w:rsidRPr="00100D6C">
        <w:rPr>
          <w:rFonts w:ascii="Times New Roman" w:hAnsi="Times New Roman" w:cs="Times New Roman"/>
          <w:lang w:val="en-US"/>
        </w:rPr>
        <w:t>-</w:t>
      </w:r>
      <w:r w:rsidR="00A57BC9" w:rsidRPr="00100D6C">
        <w:rPr>
          <w:rFonts w:ascii="Times New Roman" w:hAnsi="Times New Roman" w:cs="Times New Roman"/>
          <w:lang w:val="en-US"/>
        </w:rPr>
        <w:t>edition of Brownlie’s c</w:t>
      </w:r>
      <w:r w:rsidR="00C43EB9" w:rsidRPr="00100D6C">
        <w:rPr>
          <w:rFonts w:ascii="Times New Roman" w:hAnsi="Times New Roman" w:cs="Times New Roman"/>
          <w:lang w:val="en-US"/>
        </w:rPr>
        <w:t>lassical</w:t>
      </w:r>
      <w:r w:rsidR="00A57BC9" w:rsidRPr="00100D6C">
        <w:rPr>
          <w:rFonts w:ascii="Times New Roman" w:hAnsi="Times New Roman" w:cs="Times New Roman"/>
          <w:lang w:val="en-US"/>
        </w:rPr>
        <w:t xml:space="preserve"> textbook.</w:t>
      </w:r>
      <w:r w:rsidR="00145AE7" w:rsidRPr="00100D6C">
        <w:rPr>
          <w:rStyle w:val="FootnoteReference"/>
          <w:rFonts w:ascii="Times New Roman" w:hAnsi="Times New Roman" w:cs="Times New Roman"/>
          <w:lang w:val="en-US"/>
        </w:rPr>
        <w:footnoteReference w:id="57"/>
      </w:r>
      <w:r w:rsidR="00A57BC9" w:rsidRPr="00100D6C">
        <w:rPr>
          <w:rFonts w:ascii="Times New Roman" w:hAnsi="Times New Roman" w:cs="Times New Roman"/>
          <w:lang w:val="en-US"/>
        </w:rPr>
        <w:t xml:space="preserve"> The point in these arguments about sources is that a hierarchy of sorts is introduced</w:t>
      </w:r>
      <w:r w:rsidR="00C43EB9" w:rsidRPr="00100D6C">
        <w:rPr>
          <w:rFonts w:ascii="Times New Roman" w:hAnsi="Times New Roman" w:cs="Times New Roman"/>
          <w:lang w:val="en-US"/>
        </w:rPr>
        <w:t xml:space="preserve"> </w:t>
      </w:r>
      <w:r w:rsidR="00A57BC9" w:rsidRPr="00100D6C">
        <w:rPr>
          <w:rFonts w:ascii="Times New Roman" w:hAnsi="Times New Roman" w:cs="Times New Roman"/>
          <w:lang w:val="en-US"/>
        </w:rPr>
        <w:t>between custom as legislation and treaties as contracts.</w:t>
      </w:r>
    </w:p>
    <w:p w:rsidR="00C06664" w:rsidRPr="00100D6C" w:rsidRDefault="00513984" w:rsidP="00246F30">
      <w:pPr>
        <w:jc w:val="both"/>
        <w:rPr>
          <w:rFonts w:ascii="Times New Roman" w:hAnsi="Times New Roman" w:cs="Times New Roman"/>
          <w:lang w:val="en-US"/>
        </w:rPr>
      </w:pPr>
      <w:r w:rsidRPr="00100D6C">
        <w:rPr>
          <w:rFonts w:ascii="Times New Roman" w:hAnsi="Times New Roman" w:cs="Times New Roman"/>
          <w:lang w:val="en-US"/>
        </w:rPr>
        <w:t xml:space="preserve">The third version of the </w:t>
      </w:r>
      <w:r w:rsidR="009B4A44" w:rsidRPr="00100D6C">
        <w:rPr>
          <w:rFonts w:ascii="Times New Roman" w:hAnsi="Times New Roman" w:cs="Times New Roman"/>
          <w:lang w:val="en-US"/>
        </w:rPr>
        <w:t>“</w:t>
      </w:r>
      <w:r w:rsidRPr="00100D6C">
        <w:rPr>
          <w:rFonts w:ascii="Times New Roman" w:hAnsi="Times New Roman" w:cs="Times New Roman"/>
          <w:lang w:val="en-US"/>
        </w:rPr>
        <w:t>custom primacy</w:t>
      </w:r>
      <w:r w:rsidR="009B4A44" w:rsidRPr="00100D6C">
        <w:rPr>
          <w:rFonts w:ascii="Times New Roman" w:hAnsi="Times New Roman" w:cs="Times New Roman"/>
          <w:lang w:val="en-US"/>
        </w:rPr>
        <w:t>”</w:t>
      </w:r>
      <w:r w:rsidRPr="00100D6C">
        <w:rPr>
          <w:rFonts w:ascii="Times New Roman" w:hAnsi="Times New Roman" w:cs="Times New Roman"/>
          <w:lang w:val="en-US"/>
        </w:rPr>
        <w:t xml:space="preserve"> thesis, to finish, is more directly concerned with the specific attributes which custom is said to possess as a law-making process. To some legal scholars, customary law, as a formal source, is normatively superior (</w:t>
      </w:r>
      <w:r w:rsidRPr="00100D6C">
        <w:rPr>
          <w:rFonts w:ascii="Times New Roman" w:hAnsi="Times New Roman" w:cs="Times New Roman"/>
          <w:i/>
          <w:lang w:val="en-US"/>
        </w:rPr>
        <w:t>better</w:t>
      </w:r>
      <w:r w:rsidRPr="00100D6C">
        <w:rPr>
          <w:rFonts w:ascii="Times New Roman" w:hAnsi="Times New Roman" w:cs="Times New Roman"/>
          <w:lang w:val="en-US"/>
        </w:rPr>
        <w:t>) t</w:t>
      </w:r>
      <w:r w:rsidR="001A1F08" w:rsidRPr="00100D6C">
        <w:rPr>
          <w:rFonts w:ascii="Times New Roman" w:hAnsi="Times New Roman" w:cs="Times New Roman"/>
          <w:lang w:val="en-US"/>
        </w:rPr>
        <w:t>o</w:t>
      </w:r>
      <w:r w:rsidRPr="00100D6C">
        <w:rPr>
          <w:rFonts w:ascii="Times New Roman" w:hAnsi="Times New Roman" w:cs="Times New Roman"/>
          <w:lang w:val="en-US"/>
        </w:rPr>
        <w:t xml:space="preserve"> other sources in its ability to generate universally applicable norms, i.e. norms which are binding on any and all States at once. Whilst treaties may theoretically achieve universal participation, the argument goes, this remains</w:t>
      </w:r>
      <w:r w:rsidR="001A1F08" w:rsidRPr="00100D6C">
        <w:rPr>
          <w:rFonts w:ascii="Times New Roman" w:hAnsi="Times New Roman" w:cs="Times New Roman"/>
          <w:lang w:val="en-US"/>
        </w:rPr>
        <w:t xml:space="preserve"> an</w:t>
      </w:r>
      <w:r w:rsidRPr="00100D6C">
        <w:rPr>
          <w:rFonts w:ascii="Times New Roman" w:hAnsi="Times New Roman" w:cs="Times New Roman"/>
          <w:lang w:val="en-US"/>
        </w:rPr>
        <w:t xml:space="preserve"> extremely rare</w:t>
      </w:r>
      <w:r w:rsidR="001A1F08" w:rsidRPr="00100D6C">
        <w:rPr>
          <w:rFonts w:ascii="Times New Roman" w:hAnsi="Times New Roman" w:cs="Times New Roman"/>
          <w:lang w:val="en-US"/>
        </w:rPr>
        <w:t xml:space="preserve"> occurrence</w:t>
      </w:r>
      <w:r w:rsidRPr="00100D6C">
        <w:rPr>
          <w:rFonts w:ascii="Times New Roman" w:hAnsi="Times New Roman" w:cs="Times New Roman"/>
          <w:lang w:val="en-US"/>
        </w:rPr>
        <w:t xml:space="preserve"> and the universality of treaties is, in any event, likely to be undermined by reservations and other </w:t>
      </w:r>
      <w:r w:rsidR="001A1F08" w:rsidRPr="00100D6C">
        <w:rPr>
          <w:rFonts w:ascii="Times New Roman" w:hAnsi="Times New Roman" w:cs="Times New Roman"/>
          <w:lang w:val="en-US"/>
        </w:rPr>
        <w:t>flexibility mechanisms.</w:t>
      </w:r>
      <w:r w:rsidR="009B4A44" w:rsidRPr="00100D6C">
        <w:rPr>
          <w:rStyle w:val="FootnoteReference"/>
          <w:rFonts w:ascii="Times New Roman" w:hAnsi="Times New Roman" w:cs="Times New Roman"/>
          <w:lang w:val="en-US"/>
        </w:rPr>
        <w:footnoteReference w:id="58"/>
      </w:r>
      <w:r w:rsidR="00B100E9" w:rsidRPr="00100D6C">
        <w:rPr>
          <w:rFonts w:ascii="Times New Roman" w:hAnsi="Times New Roman" w:cs="Times New Roman"/>
          <w:lang w:val="en-US"/>
        </w:rPr>
        <w:t xml:space="preserve"> </w:t>
      </w:r>
      <w:r w:rsidR="001A1F08" w:rsidRPr="00100D6C">
        <w:rPr>
          <w:rFonts w:ascii="Times New Roman" w:hAnsi="Times New Roman" w:cs="Times New Roman"/>
          <w:lang w:val="en-US"/>
        </w:rPr>
        <w:t>Norms generated through the customary process,</w:t>
      </w:r>
      <w:r w:rsidR="00B100E9" w:rsidRPr="00100D6C">
        <w:rPr>
          <w:rFonts w:ascii="Times New Roman" w:hAnsi="Times New Roman" w:cs="Times New Roman"/>
          <w:lang w:val="en-US"/>
        </w:rPr>
        <w:t xml:space="preserve"> </w:t>
      </w:r>
      <w:r w:rsidR="00583D2E" w:rsidRPr="00100D6C">
        <w:rPr>
          <w:rFonts w:ascii="Times New Roman" w:hAnsi="Times New Roman" w:cs="Times New Roman"/>
          <w:lang w:val="en-US"/>
        </w:rPr>
        <w:t>by contrast</w:t>
      </w:r>
      <w:r w:rsidR="001A1F08" w:rsidRPr="00100D6C">
        <w:rPr>
          <w:rFonts w:ascii="Times New Roman" w:hAnsi="Times New Roman" w:cs="Times New Roman"/>
          <w:lang w:val="en-US"/>
        </w:rPr>
        <w:t xml:space="preserve">, do not necessitate all states to opt in </w:t>
      </w:r>
      <w:r w:rsidR="00F0696A" w:rsidRPr="00100D6C">
        <w:rPr>
          <w:rFonts w:ascii="Times New Roman" w:hAnsi="Times New Roman" w:cs="Times New Roman"/>
          <w:lang w:val="en-US"/>
        </w:rPr>
        <w:t>to become universal.</w:t>
      </w:r>
      <w:r w:rsidR="00B100E9" w:rsidRPr="00100D6C">
        <w:rPr>
          <w:rFonts w:ascii="Times New Roman" w:hAnsi="Times New Roman" w:cs="Times New Roman"/>
          <w:lang w:val="en-US"/>
        </w:rPr>
        <w:t xml:space="preserve"> </w:t>
      </w:r>
      <w:r w:rsidR="00F0696A" w:rsidRPr="00100D6C">
        <w:rPr>
          <w:rFonts w:ascii="Times New Roman" w:hAnsi="Times New Roman" w:cs="Times New Roman"/>
          <w:lang w:val="en-US"/>
        </w:rPr>
        <w:t>Customary norms</w:t>
      </w:r>
      <w:r w:rsidR="001A1F08" w:rsidRPr="00100D6C">
        <w:rPr>
          <w:rFonts w:ascii="Times New Roman" w:hAnsi="Times New Roman" w:cs="Times New Roman"/>
          <w:lang w:val="en-US"/>
        </w:rPr>
        <w:t xml:space="preserve"> are </w:t>
      </w:r>
      <w:r w:rsidR="001A1F08" w:rsidRPr="00100D6C">
        <w:rPr>
          <w:rFonts w:ascii="Times New Roman" w:hAnsi="Times New Roman" w:cs="Times New Roman"/>
          <w:i/>
          <w:lang w:val="en-US"/>
        </w:rPr>
        <w:t xml:space="preserve">born </w:t>
      </w:r>
      <w:r w:rsidR="001A1F08" w:rsidRPr="00100D6C">
        <w:rPr>
          <w:rFonts w:ascii="Times New Roman" w:hAnsi="Times New Roman" w:cs="Times New Roman"/>
          <w:lang w:val="en-US"/>
        </w:rPr>
        <w:t xml:space="preserve">universal and states are not permitted to opt out of customary law unless they have persistently and unambiguously objected to its formation, </w:t>
      </w:r>
      <w:r w:rsidR="00583D2E" w:rsidRPr="00100D6C">
        <w:rPr>
          <w:rFonts w:ascii="Times New Roman" w:hAnsi="Times New Roman" w:cs="Times New Roman"/>
          <w:lang w:val="en-US"/>
        </w:rPr>
        <w:t xml:space="preserve">a possibility that has played such a limited role in practice that it has become essentially </w:t>
      </w:r>
      <w:r w:rsidR="00B100E9" w:rsidRPr="00100D6C">
        <w:rPr>
          <w:rFonts w:ascii="Times New Roman" w:hAnsi="Times New Roman" w:cs="Times New Roman"/>
          <w:lang w:val="en-US"/>
        </w:rPr>
        <w:t>theoretical</w:t>
      </w:r>
      <w:r w:rsidR="001A1F08" w:rsidRPr="00100D6C">
        <w:rPr>
          <w:rFonts w:ascii="Times New Roman" w:hAnsi="Times New Roman" w:cs="Times New Roman"/>
          <w:lang w:val="en-US"/>
        </w:rPr>
        <w:t>.</w:t>
      </w:r>
      <w:r w:rsidR="000755AD" w:rsidRPr="00100D6C">
        <w:rPr>
          <w:rStyle w:val="FootnoteReference"/>
          <w:rFonts w:ascii="Times New Roman" w:hAnsi="Times New Roman" w:cs="Times New Roman"/>
          <w:lang w:val="en-US"/>
        </w:rPr>
        <w:footnoteReference w:id="59"/>
      </w:r>
      <w:r w:rsidR="00C06664" w:rsidRPr="00100D6C">
        <w:rPr>
          <w:rFonts w:ascii="Times New Roman" w:hAnsi="Times New Roman" w:cs="Times New Roman"/>
          <w:lang w:val="en-US"/>
        </w:rPr>
        <w:t xml:space="preserve"> As was stated unambiguously by the ICJ, </w:t>
      </w:r>
      <w:r w:rsidR="00CD586B" w:rsidRPr="00100D6C">
        <w:rPr>
          <w:rFonts w:ascii="Times New Roman" w:hAnsi="Times New Roman" w:cs="Times New Roman"/>
          <w:lang w:val="en-US"/>
        </w:rPr>
        <w:t>“</w:t>
      </w:r>
      <w:r w:rsidR="00C06664" w:rsidRPr="00100D6C">
        <w:rPr>
          <w:rFonts w:ascii="Times New Roman" w:hAnsi="Times New Roman" w:cs="Times New Roman"/>
          <w:lang w:val="en-US"/>
        </w:rPr>
        <w:t>customary rules and obligations, by their very nature, must have equal force for all members of the international community and cannot therefore be the subject of any right of unilateral exclusion</w:t>
      </w:r>
      <w:r w:rsidR="00CD586B" w:rsidRPr="00100D6C">
        <w:rPr>
          <w:rFonts w:ascii="Times New Roman" w:hAnsi="Times New Roman" w:cs="Times New Roman"/>
          <w:lang w:val="en-US"/>
        </w:rPr>
        <w:t>.”</w:t>
      </w:r>
      <w:r w:rsidR="00C43EB9" w:rsidRPr="00100D6C">
        <w:rPr>
          <w:rStyle w:val="FootnoteReference"/>
          <w:rFonts w:ascii="Times New Roman" w:hAnsi="Times New Roman" w:cs="Times New Roman"/>
          <w:lang w:val="en-US"/>
        </w:rPr>
        <w:footnoteReference w:id="60"/>
      </w:r>
      <w:r w:rsidR="00B100E9" w:rsidRPr="00100D6C">
        <w:rPr>
          <w:rFonts w:ascii="Times New Roman" w:hAnsi="Times New Roman" w:cs="Times New Roman"/>
          <w:lang w:val="en-US"/>
        </w:rPr>
        <w:t xml:space="preserve"> </w:t>
      </w:r>
    </w:p>
    <w:p w:rsidR="003E56E4" w:rsidRPr="00100D6C" w:rsidRDefault="00B100E9" w:rsidP="003D3F3C">
      <w:pPr>
        <w:jc w:val="both"/>
        <w:rPr>
          <w:rFonts w:ascii="Times New Roman" w:hAnsi="Times New Roman" w:cs="Times New Roman"/>
          <w:lang w:val="en-US"/>
        </w:rPr>
      </w:pPr>
      <w:r w:rsidRPr="00100D6C">
        <w:rPr>
          <w:rFonts w:ascii="Times New Roman" w:hAnsi="Times New Roman" w:cs="Times New Roman"/>
          <w:lang w:val="en-US"/>
        </w:rPr>
        <w:t>Customary law, in this sense, offers the promise of majority rule and universal legality.</w:t>
      </w:r>
      <w:r w:rsidR="00B50F82" w:rsidRPr="00100D6C">
        <w:rPr>
          <w:rFonts w:ascii="Times New Roman" w:hAnsi="Times New Roman" w:cs="Times New Roman"/>
          <w:lang w:val="en-US"/>
        </w:rPr>
        <w:t xml:space="preserve"> Majoritarian universality is thus the great strength, the </w:t>
      </w:r>
      <w:r w:rsidR="00CD586B" w:rsidRPr="00100D6C">
        <w:rPr>
          <w:rFonts w:ascii="Times New Roman" w:hAnsi="Times New Roman" w:cs="Times New Roman"/>
          <w:lang w:val="en-US"/>
        </w:rPr>
        <w:t>“</w:t>
      </w:r>
      <w:r w:rsidR="00B50F82" w:rsidRPr="00100D6C">
        <w:rPr>
          <w:rFonts w:ascii="Times New Roman" w:hAnsi="Times New Roman" w:cs="Times New Roman"/>
          <w:lang w:val="en-US"/>
        </w:rPr>
        <w:t>unique selling point</w:t>
      </w:r>
      <w:r w:rsidR="00CD586B" w:rsidRPr="00100D6C">
        <w:rPr>
          <w:rFonts w:ascii="Times New Roman" w:hAnsi="Times New Roman" w:cs="Times New Roman"/>
          <w:lang w:val="en-US"/>
        </w:rPr>
        <w:t>”</w:t>
      </w:r>
      <w:r w:rsidR="00B50F82" w:rsidRPr="00100D6C">
        <w:rPr>
          <w:rFonts w:ascii="Times New Roman" w:hAnsi="Times New Roman" w:cs="Times New Roman"/>
          <w:lang w:val="en-US"/>
        </w:rPr>
        <w:t xml:space="preserve"> of customary international law.</w:t>
      </w:r>
      <w:r w:rsidR="00B50F82" w:rsidRPr="00100D6C">
        <w:rPr>
          <w:rStyle w:val="FootnoteReference"/>
          <w:rFonts w:ascii="Times New Roman" w:hAnsi="Times New Roman" w:cs="Times New Roman"/>
          <w:lang w:val="en-US"/>
        </w:rPr>
        <w:footnoteReference w:id="61"/>
      </w:r>
      <w:r w:rsidR="00CD586B" w:rsidRPr="00100D6C">
        <w:rPr>
          <w:rFonts w:ascii="Times New Roman" w:hAnsi="Times New Roman" w:cs="Times New Roman"/>
          <w:lang w:val="en-US"/>
        </w:rPr>
        <w:t xml:space="preserve"> Whether this prospect</w:t>
      </w:r>
      <w:r w:rsidRPr="00100D6C">
        <w:rPr>
          <w:rFonts w:ascii="Times New Roman" w:hAnsi="Times New Roman" w:cs="Times New Roman"/>
          <w:lang w:val="en-US"/>
        </w:rPr>
        <w:t xml:space="preserve"> is attractive and legitimate is, of course, ver</w:t>
      </w:r>
      <w:bookmarkStart w:id="22" w:name="_GoBack"/>
      <w:bookmarkEnd w:id="22"/>
      <w:r w:rsidRPr="00100D6C">
        <w:rPr>
          <w:rFonts w:ascii="Times New Roman" w:hAnsi="Times New Roman" w:cs="Times New Roman"/>
          <w:lang w:val="en-US"/>
        </w:rPr>
        <w:t xml:space="preserve">y much a matter of perspective and circumstances. </w:t>
      </w:r>
      <w:r w:rsidR="003D3F3C" w:rsidRPr="00100D6C">
        <w:rPr>
          <w:rFonts w:ascii="Times New Roman" w:hAnsi="Times New Roman" w:cs="Times New Roman"/>
          <w:lang w:val="en-US"/>
        </w:rPr>
        <w:t>C</w:t>
      </w:r>
      <w:r w:rsidR="0026466F" w:rsidRPr="00100D6C">
        <w:rPr>
          <w:rFonts w:ascii="Times New Roman" w:hAnsi="Times New Roman" w:cs="Times New Roman"/>
          <w:lang w:val="en-US"/>
        </w:rPr>
        <w:t xml:space="preserve">reating legal norms without the consent of all </w:t>
      </w:r>
      <w:r w:rsidR="00100D6C" w:rsidRPr="00100D6C">
        <w:rPr>
          <w:rFonts w:ascii="Times New Roman" w:hAnsi="Times New Roman" w:cs="Times New Roman"/>
          <w:lang w:val="en-US"/>
        </w:rPr>
        <w:t>concerned states</w:t>
      </w:r>
      <w:r w:rsidR="0026466F" w:rsidRPr="00100D6C">
        <w:rPr>
          <w:rFonts w:ascii="Times New Roman" w:hAnsi="Times New Roman" w:cs="Times New Roman"/>
          <w:lang w:val="en-US"/>
        </w:rPr>
        <w:t xml:space="preserve"> </w:t>
      </w:r>
      <w:r w:rsidR="00C43EB9" w:rsidRPr="00100D6C">
        <w:rPr>
          <w:rFonts w:ascii="Times New Roman" w:hAnsi="Times New Roman" w:cs="Times New Roman"/>
          <w:lang w:val="en-US"/>
        </w:rPr>
        <w:t xml:space="preserve">would </w:t>
      </w:r>
      <w:r w:rsidR="003D3F3C" w:rsidRPr="00100D6C">
        <w:rPr>
          <w:rFonts w:ascii="Times New Roman" w:hAnsi="Times New Roman" w:cs="Times New Roman"/>
          <w:lang w:val="en-US"/>
        </w:rPr>
        <w:t>certainly</w:t>
      </w:r>
      <w:r w:rsidR="0026466F" w:rsidRPr="00100D6C">
        <w:rPr>
          <w:rFonts w:ascii="Times New Roman" w:hAnsi="Times New Roman" w:cs="Times New Roman"/>
          <w:lang w:val="en-US"/>
        </w:rPr>
        <w:t xml:space="preserve"> </w:t>
      </w:r>
      <w:r w:rsidR="0026466F" w:rsidRPr="00100D6C">
        <w:rPr>
          <w:rFonts w:ascii="Times New Roman" w:hAnsi="Times New Roman" w:cs="Times New Roman"/>
          <w:lang w:val="en-US"/>
        </w:rPr>
        <w:lastRenderedPageBreak/>
        <w:t>appear illegitimate to most 19th century legal positivists</w:t>
      </w:r>
      <w:r w:rsidR="008E4641">
        <w:rPr>
          <w:rFonts w:ascii="Times New Roman" w:hAnsi="Times New Roman" w:cs="Times New Roman"/>
          <w:lang w:val="en-US"/>
        </w:rPr>
        <w:t>, and the classical position of the International Court of Justice has consistently been that international rules only exist</w:t>
      </w:r>
      <w:r w:rsidR="00541EAB">
        <w:rPr>
          <w:rFonts w:ascii="Times New Roman" w:hAnsi="Times New Roman" w:cs="Times New Roman"/>
          <w:lang w:val="en-US"/>
        </w:rPr>
        <w:t xml:space="preserve"> if and where they have been developed with the consent of those concerned</w:t>
      </w:r>
      <w:r w:rsidR="008E4641">
        <w:rPr>
          <w:rFonts w:ascii="Times New Roman" w:hAnsi="Times New Roman" w:cs="Times New Roman"/>
          <w:lang w:val="en-US"/>
        </w:rPr>
        <w:t>.</w:t>
      </w:r>
      <w:r w:rsidR="008E4641">
        <w:rPr>
          <w:rStyle w:val="FootnoteReference"/>
          <w:rFonts w:ascii="Times New Roman" w:hAnsi="Times New Roman" w:cs="Times New Roman"/>
          <w:lang w:val="en-US"/>
        </w:rPr>
        <w:footnoteReference w:id="62"/>
      </w:r>
      <w:r w:rsidR="003D3F3C" w:rsidRPr="00100D6C">
        <w:rPr>
          <w:rFonts w:ascii="Times New Roman" w:hAnsi="Times New Roman" w:cs="Times New Roman"/>
          <w:lang w:val="en-US"/>
        </w:rPr>
        <w:t xml:space="preserve"> </w:t>
      </w:r>
      <w:r w:rsidR="008E4641">
        <w:rPr>
          <w:rFonts w:ascii="Times New Roman" w:hAnsi="Times New Roman" w:cs="Times New Roman"/>
          <w:lang w:val="en-US"/>
        </w:rPr>
        <w:t>The notion of non-consensual law-making</w:t>
      </w:r>
      <w:r w:rsidR="003D3F3C" w:rsidRPr="00100D6C">
        <w:rPr>
          <w:rFonts w:ascii="Times New Roman" w:hAnsi="Times New Roman" w:cs="Times New Roman"/>
          <w:lang w:val="en-US"/>
        </w:rPr>
        <w:t xml:space="preserve"> always did, </w:t>
      </w:r>
      <w:r w:rsidR="00417D0D" w:rsidRPr="00100D6C">
        <w:rPr>
          <w:rFonts w:ascii="Times New Roman" w:hAnsi="Times New Roman" w:cs="Times New Roman"/>
          <w:lang w:val="en-US"/>
        </w:rPr>
        <w:t>however</w:t>
      </w:r>
      <w:r w:rsidR="003D3F3C" w:rsidRPr="00100D6C">
        <w:rPr>
          <w:rFonts w:ascii="Times New Roman" w:hAnsi="Times New Roman" w:cs="Times New Roman"/>
          <w:lang w:val="en-US"/>
        </w:rPr>
        <w:t xml:space="preserve">, appeal to </w:t>
      </w:r>
      <w:r w:rsidR="00CD0726" w:rsidRPr="00100D6C">
        <w:rPr>
          <w:rFonts w:ascii="Times New Roman" w:hAnsi="Times New Roman" w:cs="Times New Roman"/>
          <w:lang w:val="en-US"/>
        </w:rPr>
        <w:t>scholars</w:t>
      </w:r>
      <w:r w:rsidR="003D3F3C" w:rsidRPr="00100D6C">
        <w:rPr>
          <w:rFonts w:ascii="Times New Roman" w:hAnsi="Times New Roman" w:cs="Times New Roman"/>
          <w:lang w:val="en-US"/>
        </w:rPr>
        <w:t xml:space="preserve"> committed to the idea of universal law and frustrated with the strict contractual nature of treaties and the limits inherent in voluntary law-making.</w:t>
      </w:r>
      <w:r w:rsidR="003223DF" w:rsidRPr="00100D6C">
        <w:rPr>
          <w:rStyle w:val="FootnoteReference"/>
          <w:rFonts w:ascii="Times New Roman" w:hAnsi="Times New Roman" w:cs="Times New Roman"/>
          <w:lang w:val="en-US"/>
        </w:rPr>
        <w:footnoteReference w:id="63"/>
      </w:r>
      <w:r w:rsidR="003D3F3C" w:rsidRPr="00100D6C">
        <w:rPr>
          <w:rFonts w:ascii="Times New Roman" w:hAnsi="Times New Roman" w:cs="Times New Roman"/>
          <w:lang w:val="en-US"/>
        </w:rPr>
        <w:t xml:space="preserve"> </w:t>
      </w:r>
      <w:r w:rsidR="00CD0726" w:rsidRPr="00100D6C">
        <w:rPr>
          <w:rFonts w:ascii="Times New Roman" w:hAnsi="Times New Roman" w:cs="Times New Roman"/>
          <w:lang w:val="en-US"/>
        </w:rPr>
        <w:t xml:space="preserve">In recent years, </w:t>
      </w:r>
      <w:r w:rsidR="000F6921" w:rsidRPr="00100D6C">
        <w:rPr>
          <w:rFonts w:ascii="Times New Roman" w:hAnsi="Times New Roman" w:cs="Times New Roman"/>
          <w:lang w:val="en-US"/>
        </w:rPr>
        <w:t>this frustration has known something of a renewal, most notably in debates concerning global public goods. Many scholars have highlighted what they see as the in</w:t>
      </w:r>
      <w:r w:rsidR="00C43EB9" w:rsidRPr="00100D6C">
        <w:rPr>
          <w:rFonts w:ascii="Times New Roman" w:hAnsi="Times New Roman" w:cs="Times New Roman"/>
          <w:lang w:val="en-US"/>
        </w:rPr>
        <w:t>herent inadequacy of treaty law</w:t>
      </w:r>
      <w:r w:rsidR="000F6921" w:rsidRPr="00100D6C">
        <w:rPr>
          <w:rFonts w:ascii="Times New Roman" w:hAnsi="Times New Roman" w:cs="Times New Roman"/>
          <w:lang w:val="en-US"/>
        </w:rPr>
        <w:t xml:space="preserve"> and its emphasis on state consent in dealing with global public good challenges such as climate change mitigation, fisheries depletion, the management of pandemics</w:t>
      </w:r>
      <w:r w:rsidR="00406D36" w:rsidRPr="00100D6C">
        <w:rPr>
          <w:rFonts w:ascii="Times New Roman" w:hAnsi="Times New Roman" w:cs="Times New Roman"/>
          <w:lang w:val="en-US"/>
        </w:rPr>
        <w:t>, or global security threats</w:t>
      </w:r>
      <w:r w:rsidR="000F6921" w:rsidRPr="00100D6C">
        <w:rPr>
          <w:rFonts w:ascii="Times New Roman" w:hAnsi="Times New Roman" w:cs="Times New Roman"/>
          <w:lang w:val="en-US"/>
        </w:rPr>
        <w:t>.</w:t>
      </w:r>
      <w:r w:rsidR="00C43EB9" w:rsidRPr="00100D6C">
        <w:rPr>
          <w:rStyle w:val="FootnoteReference"/>
          <w:rFonts w:ascii="Times New Roman" w:hAnsi="Times New Roman" w:cs="Times New Roman"/>
          <w:lang w:val="en-US"/>
        </w:rPr>
        <w:footnoteReference w:id="64"/>
      </w:r>
      <w:r w:rsidR="00406D36" w:rsidRPr="00100D6C">
        <w:rPr>
          <w:rFonts w:ascii="Times New Roman" w:hAnsi="Times New Roman" w:cs="Times New Roman"/>
          <w:lang w:val="en-US"/>
        </w:rPr>
        <w:t xml:space="preserve"> </w:t>
      </w:r>
      <w:r w:rsidR="0088096D" w:rsidRPr="00100D6C">
        <w:rPr>
          <w:rFonts w:ascii="Times New Roman" w:hAnsi="Times New Roman" w:cs="Times New Roman"/>
          <w:lang w:val="en-US"/>
        </w:rPr>
        <w:t xml:space="preserve">To resolve such problems, the argument goes, </w:t>
      </w:r>
      <w:r w:rsidR="00417D0D" w:rsidRPr="00100D6C">
        <w:rPr>
          <w:rFonts w:ascii="Times New Roman" w:hAnsi="Times New Roman" w:cs="Times New Roman"/>
          <w:lang w:val="en-US"/>
        </w:rPr>
        <w:t xml:space="preserve">global rules must be developed which are binding on all states. Because we cannot expect rules, especially in such controversial areas, to receive the specific individual consent of </w:t>
      </w:r>
      <w:r w:rsidR="003E56E4" w:rsidRPr="00100D6C">
        <w:rPr>
          <w:rFonts w:ascii="Times New Roman" w:hAnsi="Times New Roman" w:cs="Times New Roman"/>
          <w:lang w:val="en-US"/>
        </w:rPr>
        <w:t xml:space="preserve">each and every one of the nearly two hundred states composing the international community today, these rules must be developed </w:t>
      </w:r>
      <w:r w:rsidR="00100D6C">
        <w:rPr>
          <w:rFonts w:ascii="Times New Roman" w:hAnsi="Times New Roman" w:cs="Times New Roman"/>
          <w:lang w:val="en-US"/>
        </w:rPr>
        <w:t>"</w:t>
      </w:r>
      <w:r w:rsidR="0088096D" w:rsidRPr="00100D6C">
        <w:rPr>
          <w:rFonts w:ascii="Times New Roman" w:hAnsi="Times New Roman" w:cs="Times New Roman"/>
          <w:lang w:val="en-US"/>
        </w:rPr>
        <w:t>regardless of the attitude of any particular state</w:t>
      </w:r>
      <w:r w:rsidR="00100D6C">
        <w:rPr>
          <w:rFonts w:ascii="Times New Roman" w:hAnsi="Times New Roman" w:cs="Times New Roman"/>
          <w:lang w:val="en-US"/>
        </w:rPr>
        <w:t>"</w:t>
      </w:r>
      <w:r w:rsidR="00C43EB9" w:rsidRPr="00100D6C">
        <w:rPr>
          <w:rStyle w:val="FootnoteReference"/>
          <w:rFonts w:ascii="Times New Roman" w:hAnsi="Times New Roman" w:cs="Times New Roman"/>
          <w:lang w:val="en-US"/>
        </w:rPr>
        <w:footnoteReference w:id="65"/>
      </w:r>
      <w:r w:rsidR="0088096D" w:rsidRPr="00100D6C">
        <w:rPr>
          <w:rFonts w:ascii="Times New Roman" w:hAnsi="Times New Roman" w:cs="Times New Roman"/>
          <w:lang w:val="en-US"/>
        </w:rPr>
        <w:t>, i.e. without or perhaps even against the will of individuals states.</w:t>
      </w:r>
      <w:r w:rsidR="00C43EB9" w:rsidRPr="00100D6C">
        <w:rPr>
          <w:rStyle w:val="FootnoteReference"/>
          <w:rFonts w:ascii="Times New Roman" w:hAnsi="Times New Roman" w:cs="Times New Roman"/>
          <w:lang w:val="en-US"/>
        </w:rPr>
        <w:footnoteReference w:id="66"/>
      </w:r>
      <w:r w:rsidR="0088096D" w:rsidRPr="00100D6C">
        <w:rPr>
          <w:rFonts w:ascii="Times New Roman" w:hAnsi="Times New Roman" w:cs="Times New Roman"/>
          <w:lang w:val="en-US"/>
        </w:rPr>
        <w:t xml:space="preserve"> Treaty making, in this context, becomes problematic</w:t>
      </w:r>
      <w:r w:rsidR="00D875A1" w:rsidRPr="00100D6C">
        <w:rPr>
          <w:rFonts w:ascii="Times New Roman" w:hAnsi="Times New Roman" w:cs="Times New Roman"/>
          <w:lang w:val="en-US"/>
        </w:rPr>
        <w:t xml:space="preserve"> in that it gives any state the right to object to the formation of any proposed rule of international law.</w:t>
      </w:r>
      <w:r w:rsidR="003E56E4" w:rsidRPr="00100D6C">
        <w:rPr>
          <w:rFonts w:ascii="Times New Roman" w:hAnsi="Times New Roman" w:cs="Times New Roman"/>
          <w:lang w:val="en-US"/>
        </w:rPr>
        <w:t xml:space="preserve"> </w:t>
      </w:r>
      <w:r w:rsidR="00D875A1" w:rsidRPr="00100D6C">
        <w:rPr>
          <w:rFonts w:ascii="Times New Roman" w:hAnsi="Times New Roman" w:cs="Times New Roman"/>
          <w:lang w:val="en-US"/>
        </w:rPr>
        <w:t>A</w:t>
      </w:r>
      <w:r w:rsidR="003E56E4" w:rsidRPr="00100D6C">
        <w:rPr>
          <w:rFonts w:ascii="Times New Roman" w:hAnsi="Times New Roman" w:cs="Times New Roman"/>
          <w:lang w:val="en-US"/>
        </w:rPr>
        <w:t xml:space="preserve">n excessive commitment to consent </w:t>
      </w:r>
      <w:r w:rsidR="00834903">
        <w:rPr>
          <w:rFonts w:ascii="Times New Roman" w:hAnsi="Times New Roman" w:cs="Times New Roman"/>
          <w:lang w:val="en-US"/>
        </w:rPr>
        <w:t>is thus perceived as</w:t>
      </w:r>
      <w:r w:rsidR="00D875A1" w:rsidRPr="00100D6C">
        <w:rPr>
          <w:rFonts w:ascii="Times New Roman" w:hAnsi="Times New Roman" w:cs="Times New Roman"/>
          <w:lang w:val="en-US"/>
        </w:rPr>
        <w:t xml:space="preserve"> </w:t>
      </w:r>
      <w:r w:rsidR="003E56E4" w:rsidRPr="00100D6C">
        <w:rPr>
          <w:rFonts w:ascii="Times New Roman" w:hAnsi="Times New Roman" w:cs="Times New Roman"/>
          <w:lang w:val="en-US"/>
        </w:rPr>
        <w:t>crippl</w:t>
      </w:r>
      <w:r w:rsidR="00834903">
        <w:rPr>
          <w:rFonts w:ascii="Times New Roman" w:hAnsi="Times New Roman" w:cs="Times New Roman"/>
          <w:lang w:val="en-US"/>
        </w:rPr>
        <w:t>ing</w:t>
      </w:r>
      <w:r w:rsidR="003E56E4" w:rsidRPr="00100D6C">
        <w:rPr>
          <w:rFonts w:ascii="Times New Roman" w:hAnsi="Times New Roman" w:cs="Times New Roman"/>
          <w:lang w:val="en-US"/>
        </w:rPr>
        <w:t xml:space="preserve"> efforts to develop the international norms which the world so desperately needs.</w:t>
      </w:r>
      <w:r w:rsidR="00C43EB9" w:rsidRPr="00100D6C">
        <w:rPr>
          <w:rStyle w:val="FootnoteReference"/>
          <w:rFonts w:ascii="Times New Roman" w:hAnsi="Times New Roman" w:cs="Times New Roman"/>
          <w:lang w:val="en-US"/>
        </w:rPr>
        <w:footnoteReference w:id="67"/>
      </w:r>
    </w:p>
    <w:p w:rsidR="009C52EE" w:rsidRPr="00100D6C" w:rsidRDefault="003E56E4" w:rsidP="003D3F3C">
      <w:pPr>
        <w:jc w:val="both"/>
        <w:rPr>
          <w:rFonts w:ascii="Times New Roman" w:hAnsi="Times New Roman" w:cs="Times New Roman"/>
          <w:lang w:val="en-US"/>
        </w:rPr>
      </w:pPr>
      <w:r w:rsidRPr="00100D6C">
        <w:rPr>
          <w:rFonts w:ascii="Times New Roman" w:hAnsi="Times New Roman" w:cs="Times New Roman"/>
          <w:lang w:val="en-US"/>
        </w:rPr>
        <w:t xml:space="preserve">The limits of treaty making in addressing global public good problems has prompted a </w:t>
      </w:r>
      <w:r w:rsidR="003223DF" w:rsidRPr="00100D6C">
        <w:rPr>
          <w:rFonts w:ascii="Times New Roman" w:hAnsi="Times New Roman" w:cs="Times New Roman"/>
          <w:lang w:val="en-US"/>
        </w:rPr>
        <w:t>(re)</w:t>
      </w:r>
      <w:r w:rsidRPr="00100D6C">
        <w:rPr>
          <w:rFonts w:ascii="Times New Roman" w:hAnsi="Times New Roman" w:cs="Times New Roman"/>
          <w:lang w:val="en-US"/>
        </w:rPr>
        <w:t>turn to non-consensual law-making processes. Some scholars have argued for the use of international institutions with major</w:t>
      </w:r>
      <w:r w:rsidR="00D875A1" w:rsidRPr="00100D6C">
        <w:rPr>
          <w:rFonts w:ascii="Times New Roman" w:hAnsi="Times New Roman" w:cs="Times New Roman"/>
          <w:lang w:val="en-US"/>
        </w:rPr>
        <w:t>itarian voting rules</w:t>
      </w:r>
      <w:r w:rsidRPr="00100D6C">
        <w:rPr>
          <w:rFonts w:ascii="Times New Roman" w:hAnsi="Times New Roman" w:cs="Times New Roman"/>
          <w:lang w:val="en-US"/>
        </w:rPr>
        <w:t>.</w:t>
      </w:r>
      <w:r w:rsidR="00D875A1" w:rsidRPr="00100D6C">
        <w:rPr>
          <w:rStyle w:val="FootnoteReference"/>
          <w:rFonts w:ascii="Times New Roman" w:hAnsi="Times New Roman" w:cs="Times New Roman"/>
          <w:lang w:val="en-US"/>
        </w:rPr>
        <w:footnoteReference w:id="68"/>
      </w:r>
      <w:r w:rsidRPr="00100D6C">
        <w:rPr>
          <w:rFonts w:ascii="Times New Roman" w:hAnsi="Times New Roman" w:cs="Times New Roman"/>
          <w:lang w:val="en-US"/>
        </w:rPr>
        <w:t xml:space="preserve"> Others, however, have simply </w:t>
      </w:r>
      <w:r w:rsidR="009C52EE" w:rsidRPr="00100D6C">
        <w:rPr>
          <w:rFonts w:ascii="Times New Roman" w:hAnsi="Times New Roman" w:cs="Times New Roman"/>
          <w:lang w:val="en-US"/>
        </w:rPr>
        <w:t xml:space="preserve">advocated a wider use of custom as a way to achieve universal norms without the specific support of every member of the global community. </w:t>
      </w:r>
      <w:r w:rsidR="008A72DB">
        <w:rPr>
          <w:rFonts w:ascii="Times New Roman" w:hAnsi="Times New Roman" w:cs="Times New Roman"/>
          <w:lang w:val="en-US"/>
        </w:rPr>
        <w:t xml:space="preserve">Justice </w:t>
      </w:r>
      <w:r w:rsidR="009C52EE" w:rsidRPr="00100D6C">
        <w:rPr>
          <w:rFonts w:ascii="Times New Roman" w:hAnsi="Times New Roman" w:cs="Times New Roman"/>
          <w:lang w:val="en-US"/>
        </w:rPr>
        <w:t>Weeramantry, for instance, has claimed that custom is vastly superior to the treaty as an instrument for dealing with global public good challenges. Pointing to the near impossibility of obtainin</w:t>
      </w:r>
      <w:r w:rsidR="008A72DB">
        <w:rPr>
          <w:rFonts w:ascii="Times New Roman" w:hAnsi="Times New Roman" w:cs="Times New Roman"/>
          <w:lang w:val="en-US"/>
        </w:rPr>
        <w:t>g universal treaty ratification</w:t>
      </w:r>
      <w:r w:rsidR="009C52EE" w:rsidRPr="00100D6C">
        <w:rPr>
          <w:rFonts w:ascii="Times New Roman" w:hAnsi="Times New Roman" w:cs="Times New Roman"/>
          <w:lang w:val="en-US"/>
        </w:rPr>
        <w:t xml:space="preserve">, he argues that </w:t>
      </w:r>
      <w:r w:rsidR="008A72DB">
        <w:rPr>
          <w:rFonts w:ascii="Times New Roman" w:hAnsi="Times New Roman" w:cs="Times New Roman"/>
          <w:lang w:val="en-US"/>
        </w:rPr>
        <w:t>"</w:t>
      </w:r>
      <w:r w:rsidR="009C52EE" w:rsidRPr="00100D6C">
        <w:rPr>
          <w:rFonts w:ascii="Times New Roman" w:hAnsi="Times New Roman" w:cs="Times New Roman"/>
          <w:lang w:val="en-US"/>
        </w:rPr>
        <w:t>we need to have resort to a set of principles that do not owe their existence to an act of specific state consent but reach beyond state consent to the primordial verities and principles on which the international order is founded</w:t>
      </w:r>
      <w:r w:rsidR="008A72DB">
        <w:rPr>
          <w:rFonts w:ascii="Times New Roman" w:hAnsi="Times New Roman" w:cs="Times New Roman"/>
          <w:lang w:val="en-US"/>
        </w:rPr>
        <w:t>."</w:t>
      </w:r>
      <w:r w:rsidR="00D875A1" w:rsidRPr="00100D6C">
        <w:rPr>
          <w:rStyle w:val="FootnoteReference"/>
          <w:rFonts w:ascii="Times New Roman" w:hAnsi="Times New Roman" w:cs="Times New Roman"/>
          <w:lang w:val="en-US"/>
        </w:rPr>
        <w:footnoteReference w:id="69"/>
      </w:r>
      <w:r w:rsidR="009C52EE" w:rsidRPr="00100D6C">
        <w:rPr>
          <w:rFonts w:ascii="Times New Roman" w:hAnsi="Times New Roman" w:cs="Times New Roman"/>
          <w:lang w:val="en-US"/>
        </w:rPr>
        <w:t xml:space="preserve"> In his view, </w:t>
      </w:r>
      <w:r w:rsidR="008A72DB">
        <w:rPr>
          <w:rFonts w:ascii="Times New Roman" w:hAnsi="Times New Roman" w:cs="Times New Roman"/>
          <w:lang w:val="en-US"/>
        </w:rPr>
        <w:t>"</w:t>
      </w:r>
      <w:r w:rsidR="009C52EE" w:rsidRPr="00100D6C">
        <w:rPr>
          <w:rFonts w:ascii="Times New Roman" w:hAnsi="Times New Roman" w:cs="Times New Roman"/>
          <w:lang w:val="en-US"/>
        </w:rPr>
        <w:t>customary international law provides such a source which will need to be increasingly relied upon in a future where unexpected and urgent problems of an unprecedented nature will keep arising, for which treaty law cannot provide the solution</w:t>
      </w:r>
      <w:r w:rsidR="008A72DB">
        <w:rPr>
          <w:rFonts w:ascii="Times New Roman" w:hAnsi="Times New Roman" w:cs="Times New Roman"/>
          <w:lang w:val="en-US"/>
        </w:rPr>
        <w:t>."</w:t>
      </w:r>
      <w:r w:rsidR="0058302A" w:rsidRPr="00100D6C">
        <w:rPr>
          <w:rStyle w:val="FootnoteReference"/>
          <w:rFonts w:ascii="Times New Roman" w:hAnsi="Times New Roman" w:cs="Times New Roman"/>
          <w:lang w:val="en-US"/>
        </w:rPr>
        <w:footnoteReference w:id="70"/>
      </w:r>
    </w:p>
    <w:p w:rsidR="000B2457" w:rsidRDefault="00801518" w:rsidP="003D3F3C">
      <w:pPr>
        <w:jc w:val="both"/>
        <w:rPr>
          <w:rFonts w:ascii="Times New Roman" w:hAnsi="Times New Roman" w:cs="Times New Roman"/>
          <w:lang w:val="en-US"/>
        </w:rPr>
      </w:pPr>
      <w:r w:rsidRPr="00100D6C">
        <w:rPr>
          <w:rFonts w:ascii="Times New Roman" w:hAnsi="Times New Roman" w:cs="Times New Roman"/>
          <w:lang w:val="en-US"/>
        </w:rPr>
        <w:t xml:space="preserve">The superiority of custom as a </w:t>
      </w:r>
      <w:r w:rsidR="000F2551" w:rsidRPr="00100D6C">
        <w:rPr>
          <w:rFonts w:ascii="Times New Roman" w:hAnsi="Times New Roman" w:cs="Times New Roman"/>
          <w:lang w:val="en-US"/>
        </w:rPr>
        <w:t xml:space="preserve">source capable of producing legal universals is of course rooted in a particular vision of the world and of the role of law in it. </w:t>
      </w:r>
      <w:r w:rsidR="0058302A" w:rsidRPr="00100D6C">
        <w:rPr>
          <w:rFonts w:ascii="Times New Roman" w:hAnsi="Times New Roman" w:cs="Times New Roman"/>
          <w:lang w:val="en-US"/>
        </w:rPr>
        <w:t>T</w:t>
      </w:r>
      <w:r w:rsidR="000F2551" w:rsidRPr="00100D6C">
        <w:rPr>
          <w:rFonts w:ascii="Times New Roman" w:hAnsi="Times New Roman" w:cs="Times New Roman"/>
          <w:lang w:val="en-US"/>
        </w:rPr>
        <w:t>he universal as a project is always</w:t>
      </w:r>
      <w:r w:rsidR="0058302A" w:rsidRPr="00100D6C">
        <w:rPr>
          <w:rFonts w:ascii="Times New Roman" w:hAnsi="Times New Roman" w:cs="Times New Roman"/>
          <w:lang w:val="en-US"/>
        </w:rPr>
        <w:t xml:space="preserve"> </w:t>
      </w:r>
      <w:r w:rsidR="000F2551" w:rsidRPr="00100D6C">
        <w:rPr>
          <w:rFonts w:ascii="Times New Roman" w:hAnsi="Times New Roman" w:cs="Times New Roman"/>
          <w:lang w:val="en-US"/>
        </w:rPr>
        <w:lastRenderedPageBreak/>
        <w:t>particularly located. The primacy of custom is here justified on utilitarian (</w:t>
      </w:r>
      <w:r w:rsidR="00BF0F33" w:rsidRPr="00100D6C">
        <w:rPr>
          <w:rFonts w:ascii="Times New Roman" w:hAnsi="Times New Roman" w:cs="Times New Roman"/>
          <w:lang w:val="en-US"/>
        </w:rPr>
        <w:t>solving global public good problems</w:t>
      </w:r>
      <w:r w:rsidR="000F2551" w:rsidRPr="00100D6C">
        <w:rPr>
          <w:rFonts w:ascii="Times New Roman" w:hAnsi="Times New Roman" w:cs="Times New Roman"/>
          <w:lang w:val="en-US"/>
        </w:rPr>
        <w:t>) and semi-naturalist</w:t>
      </w:r>
      <w:r w:rsidR="00745A9F" w:rsidRPr="00100D6C">
        <w:rPr>
          <w:rFonts w:ascii="Times New Roman" w:hAnsi="Times New Roman" w:cs="Times New Roman"/>
          <w:lang w:val="en-US"/>
        </w:rPr>
        <w:t xml:space="preserve"> grounds</w:t>
      </w:r>
      <w:r w:rsidR="000F2551" w:rsidRPr="00100D6C">
        <w:rPr>
          <w:rFonts w:ascii="Times New Roman" w:hAnsi="Times New Roman" w:cs="Times New Roman"/>
          <w:lang w:val="en-US"/>
        </w:rPr>
        <w:t xml:space="preserve"> (the </w:t>
      </w:r>
      <w:r w:rsidR="008A72DB">
        <w:rPr>
          <w:rFonts w:ascii="Times New Roman" w:hAnsi="Times New Roman" w:cs="Times New Roman"/>
          <w:lang w:val="en-US"/>
        </w:rPr>
        <w:t>"</w:t>
      </w:r>
      <w:r w:rsidR="000F2551" w:rsidRPr="00100D6C">
        <w:rPr>
          <w:rFonts w:ascii="Times New Roman" w:hAnsi="Times New Roman" w:cs="Times New Roman"/>
          <w:lang w:val="en-US"/>
        </w:rPr>
        <w:t>primordial verities and princip</w:t>
      </w:r>
      <w:r w:rsidR="00745A9F" w:rsidRPr="00100D6C">
        <w:rPr>
          <w:rFonts w:ascii="Times New Roman" w:hAnsi="Times New Roman" w:cs="Times New Roman"/>
          <w:lang w:val="en-US"/>
        </w:rPr>
        <w:t>les</w:t>
      </w:r>
      <w:r w:rsidR="008A72DB">
        <w:rPr>
          <w:rFonts w:ascii="Times New Roman" w:hAnsi="Times New Roman" w:cs="Times New Roman"/>
          <w:lang w:val="en-US"/>
        </w:rPr>
        <w:t>"</w:t>
      </w:r>
      <w:r w:rsidR="00745A9F" w:rsidRPr="00100D6C">
        <w:rPr>
          <w:rFonts w:ascii="Times New Roman" w:hAnsi="Times New Roman" w:cs="Times New Roman"/>
          <w:lang w:val="en-US"/>
        </w:rPr>
        <w:t xml:space="preserve"> of the international order).</w:t>
      </w:r>
      <w:r w:rsidR="000F2551" w:rsidRPr="00100D6C">
        <w:rPr>
          <w:rFonts w:ascii="Times New Roman" w:hAnsi="Times New Roman" w:cs="Times New Roman"/>
          <w:lang w:val="en-US"/>
        </w:rPr>
        <w:t xml:space="preserve"> </w:t>
      </w:r>
      <w:r w:rsidR="00745A9F" w:rsidRPr="00100D6C">
        <w:rPr>
          <w:rFonts w:ascii="Times New Roman" w:hAnsi="Times New Roman" w:cs="Times New Roman"/>
          <w:lang w:val="en-US"/>
        </w:rPr>
        <w:t>A</w:t>
      </w:r>
      <w:r w:rsidR="000F2551" w:rsidRPr="00100D6C">
        <w:rPr>
          <w:rFonts w:ascii="Times New Roman" w:hAnsi="Times New Roman" w:cs="Times New Roman"/>
          <w:lang w:val="en-US"/>
        </w:rPr>
        <w:t xml:space="preserve">nd output legitimacy (generating </w:t>
      </w:r>
      <w:r w:rsidR="00511470" w:rsidRPr="00100D6C">
        <w:rPr>
          <w:rFonts w:ascii="Times New Roman" w:hAnsi="Times New Roman" w:cs="Times New Roman"/>
          <w:lang w:val="en-US"/>
        </w:rPr>
        <w:t>norms despite opposition by a reluctant minority</w:t>
      </w:r>
      <w:r w:rsidR="000F2551" w:rsidRPr="00100D6C">
        <w:rPr>
          <w:rFonts w:ascii="Times New Roman" w:hAnsi="Times New Roman" w:cs="Times New Roman"/>
          <w:lang w:val="en-US"/>
        </w:rPr>
        <w:t xml:space="preserve">) matters more than normative </w:t>
      </w:r>
      <w:r w:rsidR="00745A9F" w:rsidRPr="00100D6C">
        <w:rPr>
          <w:rFonts w:ascii="Times New Roman" w:hAnsi="Times New Roman" w:cs="Times New Roman"/>
          <w:lang w:val="en-US"/>
        </w:rPr>
        <w:t xml:space="preserve">legitimacy </w:t>
      </w:r>
      <w:r w:rsidR="000F2551" w:rsidRPr="00100D6C">
        <w:rPr>
          <w:rFonts w:ascii="Times New Roman" w:hAnsi="Times New Roman" w:cs="Times New Roman"/>
          <w:lang w:val="en-US"/>
        </w:rPr>
        <w:t xml:space="preserve">(the </w:t>
      </w:r>
      <w:r w:rsidR="008A72DB">
        <w:rPr>
          <w:rFonts w:ascii="Times New Roman" w:hAnsi="Times New Roman" w:cs="Times New Roman"/>
          <w:lang w:val="en-US"/>
        </w:rPr>
        <w:t>"</w:t>
      </w:r>
      <w:r w:rsidR="00745A9F" w:rsidRPr="00100D6C">
        <w:rPr>
          <w:rFonts w:ascii="Times New Roman" w:hAnsi="Times New Roman" w:cs="Times New Roman"/>
          <w:lang w:val="en-US"/>
        </w:rPr>
        <w:t>justness</w:t>
      </w:r>
      <w:r w:rsidR="008A72DB">
        <w:rPr>
          <w:rFonts w:ascii="Times New Roman" w:hAnsi="Times New Roman" w:cs="Times New Roman"/>
          <w:lang w:val="en-US"/>
        </w:rPr>
        <w:t>"</w:t>
      </w:r>
      <w:r w:rsidR="00745A9F" w:rsidRPr="00100D6C">
        <w:rPr>
          <w:rFonts w:ascii="Times New Roman" w:hAnsi="Times New Roman" w:cs="Times New Roman"/>
          <w:lang w:val="en-US"/>
        </w:rPr>
        <w:t xml:space="preserve"> of norms and institutional arrangements)</w:t>
      </w:r>
      <w:r w:rsidR="000F2551" w:rsidRPr="00100D6C">
        <w:rPr>
          <w:rFonts w:ascii="Times New Roman" w:hAnsi="Times New Roman" w:cs="Times New Roman"/>
          <w:lang w:val="en-US"/>
        </w:rPr>
        <w:t xml:space="preserve"> </w:t>
      </w:r>
      <w:r w:rsidR="00745A9F" w:rsidRPr="00100D6C">
        <w:rPr>
          <w:rFonts w:ascii="Times New Roman" w:hAnsi="Times New Roman" w:cs="Times New Roman"/>
          <w:lang w:val="en-US"/>
        </w:rPr>
        <w:t xml:space="preserve">or </w:t>
      </w:r>
      <w:r w:rsidR="000F2551" w:rsidRPr="00100D6C">
        <w:rPr>
          <w:rFonts w:ascii="Times New Roman" w:hAnsi="Times New Roman" w:cs="Times New Roman"/>
          <w:lang w:val="en-US"/>
        </w:rPr>
        <w:t>process</w:t>
      </w:r>
      <w:r w:rsidR="00745A9F" w:rsidRPr="00100D6C">
        <w:rPr>
          <w:rFonts w:ascii="Times New Roman" w:hAnsi="Times New Roman" w:cs="Times New Roman"/>
          <w:lang w:val="en-US"/>
        </w:rPr>
        <w:t xml:space="preserve"> legitimacy (who decides and according to what procedures)</w:t>
      </w:r>
      <w:r w:rsidR="000F2551" w:rsidRPr="00100D6C">
        <w:rPr>
          <w:rFonts w:ascii="Times New Roman" w:hAnsi="Times New Roman" w:cs="Times New Roman"/>
          <w:lang w:val="en-US"/>
        </w:rPr>
        <w:t>.</w:t>
      </w:r>
      <w:r w:rsidR="00745A9F" w:rsidRPr="00100D6C">
        <w:rPr>
          <w:rFonts w:ascii="Times New Roman" w:hAnsi="Times New Roman" w:cs="Times New Roman"/>
          <w:lang w:val="en-US"/>
        </w:rPr>
        <w:t xml:space="preserve"> Unsurprisingly, these justifications for the primacy of custom do not resonate with everyone and some states and scholars have historically resisted custom as a legitimate method for making</w:t>
      </w:r>
      <w:r w:rsidR="00511470" w:rsidRPr="00100D6C">
        <w:rPr>
          <w:rFonts w:ascii="Times New Roman" w:hAnsi="Times New Roman" w:cs="Times New Roman"/>
          <w:lang w:val="en-US"/>
        </w:rPr>
        <w:t xml:space="preserve"> (universally applicable)</w:t>
      </w:r>
      <w:r w:rsidR="00745A9F" w:rsidRPr="00100D6C">
        <w:rPr>
          <w:rFonts w:ascii="Times New Roman" w:hAnsi="Times New Roman" w:cs="Times New Roman"/>
          <w:lang w:val="en-US"/>
        </w:rPr>
        <w:t xml:space="preserve"> international law</w:t>
      </w:r>
      <w:r w:rsidR="00511470" w:rsidRPr="00100D6C">
        <w:rPr>
          <w:rFonts w:ascii="Times New Roman" w:hAnsi="Times New Roman" w:cs="Times New Roman"/>
          <w:lang w:val="en-US"/>
        </w:rPr>
        <w:t>s</w:t>
      </w:r>
      <w:r w:rsidR="00745A9F" w:rsidRPr="00100D6C">
        <w:rPr>
          <w:rFonts w:ascii="Times New Roman" w:hAnsi="Times New Roman" w:cs="Times New Roman"/>
          <w:lang w:val="en-US"/>
        </w:rPr>
        <w:t>.</w:t>
      </w:r>
      <w:r w:rsidR="00511470" w:rsidRPr="00100D6C">
        <w:rPr>
          <w:rFonts w:ascii="Times New Roman" w:hAnsi="Times New Roman" w:cs="Times New Roman"/>
          <w:lang w:val="en-US"/>
        </w:rPr>
        <w:t xml:space="preserve"> </w:t>
      </w:r>
      <w:r w:rsidR="007C01A8" w:rsidRPr="00100D6C">
        <w:rPr>
          <w:rFonts w:ascii="Times New Roman" w:hAnsi="Times New Roman" w:cs="Times New Roman"/>
          <w:lang w:val="en-US"/>
        </w:rPr>
        <w:t xml:space="preserve">In the immediate post-colonial era, in particular, the approach of Third World States and scholars to international law was </w:t>
      </w:r>
      <w:r w:rsidR="008A72DB" w:rsidRPr="00100D6C">
        <w:rPr>
          <w:rFonts w:ascii="Times New Roman" w:hAnsi="Times New Roman" w:cs="Times New Roman"/>
          <w:lang w:val="en-US"/>
        </w:rPr>
        <w:t>characterized</w:t>
      </w:r>
      <w:r w:rsidR="007C01A8" w:rsidRPr="00100D6C">
        <w:rPr>
          <w:rFonts w:ascii="Times New Roman" w:hAnsi="Times New Roman" w:cs="Times New Roman"/>
          <w:lang w:val="en-US"/>
        </w:rPr>
        <w:t xml:space="preserve"> by a clear rejection of custom. Importantly, this was not simply a rejection of </w:t>
      </w:r>
      <w:r w:rsidR="00446D98" w:rsidRPr="00100D6C">
        <w:rPr>
          <w:rFonts w:ascii="Times New Roman" w:hAnsi="Times New Roman" w:cs="Times New Roman"/>
          <w:lang w:val="en-US"/>
        </w:rPr>
        <w:t>specific</w:t>
      </w:r>
      <w:r w:rsidR="007C01A8" w:rsidRPr="00100D6C">
        <w:rPr>
          <w:rFonts w:ascii="Times New Roman" w:hAnsi="Times New Roman" w:cs="Times New Roman"/>
          <w:lang w:val="en-US"/>
        </w:rPr>
        <w:t xml:space="preserve"> customary norms, thought to express relationships of domination, inequality or pr</w:t>
      </w:r>
      <w:r w:rsidR="00BF0F33" w:rsidRPr="00100D6C">
        <w:rPr>
          <w:rFonts w:ascii="Times New Roman" w:hAnsi="Times New Roman" w:cs="Times New Roman"/>
          <w:lang w:val="en-US"/>
        </w:rPr>
        <w:t>ivilege. The rejection</w:t>
      </w:r>
      <w:r w:rsidR="007C01A8" w:rsidRPr="00100D6C">
        <w:rPr>
          <w:rFonts w:ascii="Times New Roman" w:hAnsi="Times New Roman" w:cs="Times New Roman"/>
          <w:lang w:val="en-US"/>
        </w:rPr>
        <w:t xml:space="preserve"> was much </w:t>
      </w:r>
      <w:r w:rsidR="008A72DB">
        <w:rPr>
          <w:rFonts w:ascii="Times New Roman" w:hAnsi="Times New Roman" w:cs="Times New Roman"/>
          <w:lang w:val="en-US"/>
        </w:rPr>
        <w:t>deeper</w:t>
      </w:r>
      <w:r w:rsidR="007C01A8" w:rsidRPr="00100D6C">
        <w:rPr>
          <w:rFonts w:ascii="Times New Roman" w:hAnsi="Times New Roman" w:cs="Times New Roman"/>
          <w:lang w:val="en-US"/>
        </w:rPr>
        <w:t xml:space="preserve"> and concerned custom as a law-making process more generally. Custom as a process was deemed both illegitimate and ineffective. </w:t>
      </w:r>
      <w:r w:rsidR="000B2457" w:rsidRPr="00100D6C">
        <w:rPr>
          <w:rFonts w:ascii="Times New Roman" w:hAnsi="Times New Roman" w:cs="Times New Roman"/>
          <w:lang w:val="en-US"/>
        </w:rPr>
        <w:t>It was deemed anti-democratic</w:t>
      </w:r>
      <w:r w:rsidR="008E4641">
        <w:rPr>
          <w:rFonts w:ascii="Times New Roman" w:hAnsi="Times New Roman" w:cs="Times New Roman"/>
          <w:lang w:val="en-US"/>
        </w:rPr>
        <w:t>,</w:t>
      </w:r>
      <w:r w:rsidR="000B2457" w:rsidRPr="00100D6C">
        <w:rPr>
          <w:rFonts w:ascii="Times New Roman" w:hAnsi="Times New Roman" w:cs="Times New Roman"/>
          <w:lang w:val="en-US"/>
        </w:rPr>
        <w:t xml:space="preserve"> for it was created in accordance with the needs of powerful</w:t>
      </w:r>
      <w:r w:rsidR="008A72DB">
        <w:rPr>
          <w:rFonts w:ascii="Times New Roman" w:hAnsi="Times New Roman" w:cs="Times New Roman"/>
          <w:lang w:val="en-US"/>
        </w:rPr>
        <w:t xml:space="preserve"> (Western)</w:t>
      </w:r>
      <w:r w:rsidR="008E4641">
        <w:rPr>
          <w:rFonts w:ascii="Times New Roman" w:hAnsi="Times New Roman" w:cs="Times New Roman"/>
          <w:lang w:val="en-US"/>
        </w:rPr>
        <w:t xml:space="preserve"> nations</w:t>
      </w:r>
      <w:r w:rsidR="000B2457" w:rsidRPr="00100D6C">
        <w:rPr>
          <w:rFonts w:ascii="Times New Roman" w:hAnsi="Times New Roman" w:cs="Times New Roman"/>
          <w:lang w:val="en-US"/>
        </w:rPr>
        <w:t xml:space="preserve"> and then imposed onto the silent</w:t>
      </w:r>
      <w:r w:rsidR="008A72DB">
        <w:rPr>
          <w:rFonts w:ascii="Times New Roman" w:hAnsi="Times New Roman" w:cs="Times New Roman"/>
          <w:lang w:val="en-US"/>
        </w:rPr>
        <w:t xml:space="preserve"> (non-Western)</w:t>
      </w:r>
      <w:r w:rsidR="000B2457" w:rsidRPr="00100D6C">
        <w:rPr>
          <w:rFonts w:ascii="Times New Roman" w:hAnsi="Times New Roman" w:cs="Times New Roman"/>
          <w:lang w:val="en-US"/>
        </w:rPr>
        <w:t xml:space="preserve"> majority.</w:t>
      </w:r>
      <w:r w:rsidR="008A72DB">
        <w:rPr>
          <w:rStyle w:val="FootnoteReference"/>
          <w:rFonts w:ascii="Times New Roman" w:hAnsi="Times New Roman" w:cs="Times New Roman"/>
          <w:lang w:val="en-US"/>
        </w:rPr>
        <w:footnoteReference w:id="71"/>
      </w:r>
      <w:r w:rsidR="000B2457" w:rsidRPr="00100D6C">
        <w:rPr>
          <w:rFonts w:ascii="Times New Roman" w:hAnsi="Times New Roman" w:cs="Times New Roman"/>
          <w:lang w:val="en-US"/>
        </w:rPr>
        <w:t xml:space="preserve"> And it was deemed ineffective because it made the prospect of radical transformation of the legal system remote. Newly independent states were in need of institutions and structures allowing rapid modification and adaptation of the law, a need to which custom, with its slow and undecided tempo, was ill-adapted. </w:t>
      </w:r>
      <w:r w:rsidR="0024334B" w:rsidRPr="00100D6C">
        <w:rPr>
          <w:rFonts w:ascii="Times New Roman" w:hAnsi="Times New Roman" w:cs="Times New Roman"/>
          <w:lang w:val="en-US"/>
        </w:rPr>
        <w:t xml:space="preserve">Custom was thus perceived as a largely deficient source of international </w:t>
      </w:r>
      <w:r w:rsidR="0010407B" w:rsidRPr="00100D6C">
        <w:rPr>
          <w:rFonts w:ascii="Times New Roman" w:hAnsi="Times New Roman" w:cs="Times New Roman"/>
          <w:lang w:val="en-US"/>
        </w:rPr>
        <w:t>law:</w:t>
      </w:r>
      <w:r w:rsidR="0024334B" w:rsidRPr="00100D6C">
        <w:rPr>
          <w:rFonts w:ascii="Times New Roman" w:hAnsi="Times New Roman" w:cs="Times New Roman"/>
          <w:lang w:val="en-US"/>
        </w:rPr>
        <w:t xml:space="preserve"> </w:t>
      </w:r>
      <w:r w:rsidR="008A72DB">
        <w:rPr>
          <w:rFonts w:ascii="Times New Roman" w:hAnsi="Times New Roman" w:cs="Times New Roman"/>
          <w:lang w:val="en-US"/>
        </w:rPr>
        <w:t>"</w:t>
      </w:r>
      <w:r w:rsidR="0024334B" w:rsidRPr="00100D6C">
        <w:rPr>
          <w:rFonts w:ascii="Times New Roman" w:hAnsi="Times New Roman" w:cs="Times New Roman"/>
          <w:lang w:val="en-US"/>
        </w:rPr>
        <w:t>backward looking, conservative because static, iniquitous in its content, ponderous in its formation, custom as traditionally conceived cannot be of real use in the development of new rules, and could actually be an obstacle to any attempt at change</w:t>
      </w:r>
      <w:r w:rsidR="008A72DB">
        <w:rPr>
          <w:rFonts w:ascii="Times New Roman" w:hAnsi="Times New Roman" w:cs="Times New Roman"/>
          <w:lang w:val="en-US"/>
        </w:rPr>
        <w:t>."</w:t>
      </w:r>
      <w:r w:rsidR="0058302A" w:rsidRPr="00100D6C">
        <w:rPr>
          <w:rStyle w:val="FootnoteReference"/>
          <w:rFonts w:ascii="Times New Roman" w:hAnsi="Times New Roman" w:cs="Times New Roman"/>
          <w:lang w:val="en-US"/>
        </w:rPr>
        <w:footnoteReference w:id="72"/>
      </w:r>
      <w:r w:rsidR="0024334B" w:rsidRPr="00100D6C">
        <w:rPr>
          <w:rFonts w:ascii="Times New Roman" w:hAnsi="Times New Roman" w:cs="Times New Roman"/>
          <w:lang w:val="en-US"/>
        </w:rPr>
        <w:t xml:space="preserve"> Most Afro-Asian states, as a result, expressed a clear preference for reforming the law through deliberative mechanisms such as conferences, treaties and resolutions.</w:t>
      </w:r>
      <w:r w:rsidR="00BF0F33" w:rsidRPr="00100D6C">
        <w:rPr>
          <w:rStyle w:val="FootnoteReference"/>
          <w:rFonts w:ascii="Times New Roman" w:hAnsi="Times New Roman" w:cs="Times New Roman"/>
          <w:lang w:val="en-US"/>
        </w:rPr>
        <w:footnoteReference w:id="73"/>
      </w:r>
    </w:p>
    <w:p w:rsidR="00801518" w:rsidRPr="00100D6C" w:rsidRDefault="00865748" w:rsidP="00865748">
      <w:pPr>
        <w:pStyle w:val="Heading2"/>
      </w:pPr>
      <w:bookmarkStart w:id="23" w:name="_Toc459318317"/>
      <w:r>
        <w:br/>
      </w:r>
      <w:r w:rsidR="00A63B3B" w:rsidRPr="00100D6C">
        <w:t>C. C</w:t>
      </w:r>
      <w:r w:rsidR="006E2B01" w:rsidRPr="00100D6C">
        <w:t>onclusion on informal hierarchies</w:t>
      </w:r>
      <w:bookmarkEnd w:id="23"/>
      <w:r w:rsidR="00A63B3B" w:rsidRPr="00100D6C">
        <w:br/>
      </w:r>
    </w:p>
    <w:p w:rsidR="006E2B01" w:rsidRPr="00100D6C" w:rsidRDefault="006E2B01" w:rsidP="003D3F3C">
      <w:pPr>
        <w:jc w:val="both"/>
        <w:rPr>
          <w:rFonts w:ascii="Times New Roman" w:hAnsi="Times New Roman" w:cs="Times New Roman"/>
          <w:lang w:val="en-US"/>
        </w:rPr>
      </w:pPr>
      <w:r w:rsidRPr="00100D6C">
        <w:rPr>
          <w:rFonts w:ascii="Times New Roman" w:hAnsi="Times New Roman" w:cs="Times New Roman"/>
          <w:lang w:val="en-US"/>
        </w:rPr>
        <w:t>Doctrines about the sources of international law generally begin with an abstract definition of the sources listed in Article 38 and nearly always posit, as a general rule, that there exists no formal hierarchy among them. Beyond this, however, and as the above makes clear, the discourse on sources is replete with hierarchical discussions elaborating the procedural, practical or normative superiority of some sources over others. Inte</w:t>
      </w:r>
      <w:r w:rsidR="00EF5BC9" w:rsidRPr="00100D6C">
        <w:rPr>
          <w:rFonts w:ascii="Times New Roman" w:hAnsi="Times New Roman" w:cs="Times New Roman"/>
          <w:lang w:val="en-US"/>
        </w:rPr>
        <w:t>rnational law about sources, in this sense, is first and foremost a set of doctrinal boundaries and hierarchies. Critically, though, these hierarchies are not rigid, pre-determined or definitive but rather fluid</w:t>
      </w:r>
      <w:r w:rsidR="00A97A68" w:rsidRPr="00100D6C">
        <w:rPr>
          <w:rFonts w:ascii="Times New Roman" w:hAnsi="Times New Roman" w:cs="Times New Roman"/>
          <w:lang w:val="en-US"/>
        </w:rPr>
        <w:t xml:space="preserve"> and transient</w:t>
      </w:r>
      <w:r w:rsidR="00EF5BC9" w:rsidRPr="00100D6C">
        <w:rPr>
          <w:rFonts w:ascii="Times New Roman" w:hAnsi="Times New Roman" w:cs="Times New Roman"/>
          <w:lang w:val="en-US"/>
        </w:rPr>
        <w:t>. The hierarchical arguments discussed above are not always, to begin with, mutually exclusive. I</w:t>
      </w:r>
      <w:r w:rsidR="00143828" w:rsidRPr="00100D6C">
        <w:rPr>
          <w:rFonts w:ascii="Times New Roman" w:hAnsi="Times New Roman" w:cs="Times New Roman"/>
          <w:lang w:val="en-US"/>
        </w:rPr>
        <w:t>t may be possible for instance</w:t>
      </w:r>
      <w:r w:rsidR="00EF5BC9" w:rsidRPr="00100D6C">
        <w:rPr>
          <w:rFonts w:ascii="Times New Roman" w:hAnsi="Times New Roman" w:cs="Times New Roman"/>
          <w:lang w:val="en-US"/>
        </w:rPr>
        <w:t xml:space="preserve"> to argue that treaties</w:t>
      </w:r>
      <w:r w:rsidR="00143828" w:rsidRPr="00100D6C">
        <w:rPr>
          <w:rFonts w:ascii="Times New Roman" w:hAnsi="Times New Roman" w:cs="Times New Roman"/>
          <w:lang w:val="en-US"/>
        </w:rPr>
        <w:t xml:space="preserve"> take precedence over custom as a matter of procedural or operational priority, and at the same time that treaty law remains somehow subordinate to customary law, as the latter determines its conditions of validity and interpretation. Lauterpacht is a case in point here, having argued on different occasions that, operationally, treaty law </w:t>
      </w:r>
      <w:r w:rsidR="0034413D">
        <w:rPr>
          <w:rFonts w:ascii="Times New Roman" w:hAnsi="Times New Roman" w:cs="Times New Roman"/>
          <w:lang w:val="en-US"/>
        </w:rPr>
        <w:t>"</w:t>
      </w:r>
      <w:r w:rsidR="00143828" w:rsidRPr="00100D6C">
        <w:rPr>
          <w:rFonts w:ascii="Times New Roman" w:hAnsi="Times New Roman" w:cs="Times New Roman"/>
          <w:lang w:val="en-US"/>
        </w:rPr>
        <w:t>ranks first in the hierarchical order of the sources of international law</w:t>
      </w:r>
      <w:r w:rsidR="0034413D">
        <w:rPr>
          <w:rFonts w:ascii="Times New Roman" w:hAnsi="Times New Roman" w:cs="Times New Roman"/>
          <w:lang w:val="en-US"/>
        </w:rPr>
        <w:t>"</w:t>
      </w:r>
      <w:r w:rsidR="005616CA" w:rsidRPr="00100D6C">
        <w:rPr>
          <w:rStyle w:val="FootnoteReference"/>
          <w:rFonts w:ascii="Times New Roman" w:hAnsi="Times New Roman" w:cs="Times New Roman"/>
          <w:lang w:val="en-US"/>
        </w:rPr>
        <w:footnoteReference w:id="74"/>
      </w:r>
      <w:r w:rsidR="00143828" w:rsidRPr="00100D6C">
        <w:rPr>
          <w:rFonts w:ascii="Times New Roman" w:hAnsi="Times New Roman" w:cs="Times New Roman"/>
          <w:lang w:val="en-US"/>
        </w:rPr>
        <w:t xml:space="preserve"> and, at the same time, that </w:t>
      </w:r>
      <w:r w:rsidR="0034413D">
        <w:rPr>
          <w:rFonts w:ascii="Times New Roman" w:hAnsi="Times New Roman" w:cs="Times New Roman"/>
          <w:lang w:val="en-US"/>
        </w:rPr>
        <w:t>"</w:t>
      </w:r>
      <w:r w:rsidR="00143828" w:rsidRPr="00100D6C">
        <w:rPr>
          <w:rFonts w:ascii="Times New Roman" w:hAnsi="Times New Roman" w:cs="Times New Roman"/>
          <w:lang w:val="en-US"/>
        </w:rPr>
        <w:t xml:space="preserve">in the international sphere, where legislation in the true sense of the </w:t>
      </w:r>
      <w:r w:rsidR="00143828" w:rsidRPr="00100D6C">
        <w:rPr>
          <w:rFonts w:ascii="Times New Roman" w:hAnsi="Times New Roman" w:cs="Times New Roman"/>
          <w:lang w:val="en-US"/>
        </w:rPr>
        <w:lastRenderedPageBreak/>
        <w:t>world is non-existent, custom is still the primary source: it supplies the framework, the background and the principal instrument of the interpretation of treaties</w:t>
      </w:r>
      <w:r w:rsidR="0034413D">
        <w:rPr>
          <w:rFonts w:ascii="Times New Roman" w:hAnsi="Times New Roman" w:cs="Times New Roman"/>
          <w:lang w:val="en-US"/>
        </w:rPr>
        <w:t>."</w:t>
      </w:r>
      <w:r w:rsidR="005616CA" w:rsidRPr="00100D6C">
        <w:rPr>
          <w:rStyle w:val="FootnoteReference"/>
          <w:rFonts w:ascii="Times New Roman" w:hAnsi="Times New Roman" w:cs="Times New Roman"/>
          <w:lang w:val="en-US"/>
        </w:rPr>
        <w:footnoteReference w:id="75"/>
      </w:r>
    </w:p>
    <w:p w:rsidR="00143828" w:rsidRPr="00100D6C" w:rsidRDefault="00143828" w:rsidP="003D3F3C">
      <w:pPr>
        <w:jc w:val="both"/>
        <w:rPr>
          <w:rFonts w:ascii="Times New Roman" w:hAnsi="Times New Roman" w:cs="Times New Roman"/>
          <w:lang w:val="en-US"/>
        </w:rPr>
      </w:pPr>
      <w:r w:rsidRPr="00100D6C">
        <w:rPr>
          <w:rFonts w:ascii="Times New Roman" w:hAnsi="Times New Roman" w:cs="Times New Roman"/>
          <w:lang w:val="en-US"/>
        </w:rPr>
        <w:t xml:space="preserve">More importantly though, these arguments about sources hierarchies are rarely, if ever, </w:t>
      </w:r>
      <w:r w:rsidR="00A97A68" w:rsidRPr="00100D6C">
        <w:rPr>
          <w:rFonts w:ascii="Times New Roman" w:hAnsi="Times New Roman" w:cs="Times New Roman"/>
          <w:lang w:val="en-US"/>
        </w:rPr>
        <w:t xml:space="preserve">fixed or set in stone. They are more often than not context-dependent and determined by the project or strategy pursued by the lawyers making them. </w:t>
      </w:r>
      <w:r w:rsidR="00962A93" w:rsidRPr="00100D6C">
        <w:rPr>
          <w:rFonts w:ascii="Times New Roman" w:hAnsi="Times New Roman" w:cs="Times New Roman"/>
          <w:lang w:val="en-US"/>
        </w:rPr>
        <w:t>T</w:t>
      </w:r>
      <w:r w:rsidR="00A97A68" w:rsidRPr="00100D6C">
        <w:rPr>
          <w:rFonts w:ascii="Times New Roman" w:hAnsi="Times New Roman" w:cs="Times New Roman"/>
          <w:lang w:val="en-US"/>
        </w:rPr>
        <w:t>hese informal hierarchies reflect and continue the problematics and desires that motivate them.</w:t>
      </w:r>
      <w:r w:rsidR="00962A93" w:rsidRPr="00100D6C">
        <w:rPr>
          <w:rFonts w:ascii="Times New Roman" w:hAnsi="Times New Roman" w:cs="Times New Roman"/>
          <w:lang w:val="en-US"/>
        </w:rPr>
        <w:t xml:space="preserve"> Arguments about the primacy of treaty law are generally driven by a desire for determinacy and consent-based legitimacy. Arguments about the primacy of custom are generally driven by a desire for </w:t>
      </w:r>
      <w:r w:rsidR="003D6FDF" w:rsidRPr="00100D6C">
        <w:rPr>
          <w:rFonts w:ascii="Times New Roman" w:hAnsi="Times New Roman" w:cs="Times New Roman"/>
          <w:lang w:val="en-US"/>
        </w:rPr>
        <w:t>autonomy (from consent)</w:t>
      </w:r>
      <w:r w:rsidR="00962A93" w:rsidRPr="00100D6C">
        <w:rPr>
          <w:rFonts w:ascii="Times New Roman" w:hAnsi="Times New Roman" w:cs="Times New Roman"/>
          <w:lang w:val="en-US"/>
        </w:rPr>
        <w:t xml:space="preserve"> and universality. As contexts and desires shift, so too do sources hierarchies.</w:t>
      </w:r>
      <w:r w:rsidR="0034413D">
        <w:rPr>
          <w:rFonts w:ascii="Times New Roman" w:hAnsi="Times New Roman" w:cs="Times New Roman"/>
          <w:lang w:val="en-US"/>
        </w:rPr>
        <w:t xml:space="preserve"> In the classical doctrine of international law, the main hierarchy was not between treaties and custom but one between natural (divine) law and man-made rules. To a 19th century scholar, normative hierarchies had to reflect a positivist concern with state consent, thus giving priority to treaties as the ideal type of sources. To a 20th century Third World scholar, the hierarchy of sources is one typically characterized by a rejection of traditional sources and a preference for mechanisms giving force to the numerical strength of the non-Western world (e.g. GA resolutions). Source hierarchies are thus historically contingent.</w:t>
      </w:r>
      <w:r w:rsidR="00AB2548">
        <w:rPr>
          <w:rStyle w:val="FootnoteReference"/>
          <w:rFonts w:ascii="Times New Roman" w:hAnsi="Times New Roman" w:cs="Times New Roman"/>
          <w:lang w:val="en-US"/>
        </w:rPr>
        <w:footnoteReference w:id="76"/>
      </w:r>
      <w:r w:rsidR="0034413D">
        <w:rPr>
          <w:rFonts w:ascii="Times New Roman" w:hAnsi="Times New Roman" w:cs="Times New Roman"/>
          <w:lang w:val="en-US"/>
        </w:rPr>
        <w:t xml:space="preserve"> They are also functionally determined. Each source possesses specific design features (determinacy, flexibility, universality and so on) that make it suitable to deal with particular classes of cooperation problems. States may prefer the design features of treaties when tackling problems with high distributional</w:t>
      </w:r>
      <w:r w:rsidR="00AB2548">
        <w:rPr>
          <w:rFonts w:ascii="Times New Roman" w:hAnsi="Times New Roman" w:cs="Times New Roman"/>
          <w:lang w:val="en-US"/>
        </w:rPr>
        <w:t xml:space="preserve"> costs (e.g. climate change) but express preference for custom in dealing with problems that require norms articulated at a high level of generality or in domains where rules benefit all states in equal proportion (e.g. state immunities).</w:t>
      </w:r>
      <w:r w:rsidR="00AB2548">
        <w:rPr>
          <w:rStyle w:val="FootnoteReference"/>
          <w:rFonts w:ascii="Times New Roman" w:hAnsi="Times New Roman" w:cs="Times New Roman"/>
          <w:lang w:val="en-US"/>
        </w:rPr>
        <w:footnoteReference w:id="77"/>
      </w:r>
      <w:r w:rsidR="00AB2548">
        <w:rPr>
          <w:rFonts w:ascii="Times New Roman" w:hAnsi="Times New Roman" w:cs="Times New Roman"/>
          <w:lang w:val="en-US"/>
        </w:rPr>
        <w:t xml:space="preserve"> Likewise, th</w:t>
      </w:r>
      <w:r w:rsidR="00962A93" w:rsidRPr="00100D6C">
        <w:rPr>
          <w:rFonts w:ascii="Times New Roman" w:hAnsi="Times New Roman" w:cs="Times New Roman"/>
          <w:lang w:val="en-US"/>
        </w:rPr>
        <w:t>e same lawyer might argue the superiority of the treaty in one context (as a legal scholar for instance) and, the next day, argue the primacy of customary law in another context (as a legal adviser, counsel or judge).</w:t>
      </w:r>
      <w:r w:rsidR="00737970" w:rsidRPr="00100D6C">
        <w:rPr>
          <w:rFonts w:ascii="Times New Roman" w:hAnsi="Times New Roman" w:cs="Times New Roman"/>
          <w:lang w:val="en-US"/>
        </w:rPr>
        <w:t xml:space="preserve"> And even within one and the same context, arguments about source hierarchies t</w:t>
      </w:r>
      <w:r w:rsidR="005616CA" w:rsidRPr="00100D6C">
        <w:rPr>
          <w:rFonts w:ascii="Times New Roman" w:hAnsi="Times New Roman" w:cs="Times New Roman"/>
          <w:lang w:val="en-US"/>
        </w:rPr>
        <w:t>ypically</w:t>
      </w:r>
      <w:r w:rsidR="00737970" w:rsidRPr="00100D6C">
        <w:rPr>
          <w:rFonts w:ascii="Times New Roman" w:hAnsi="Times New Roman" w:cs="Times New Roman"/>
          <w:lang w:val="en-US"/>
        </w:rPr>
        <w:t xml:space="preserve"> fluctuate between the </w:t>
      </w:r>
      <w:r w:rsidR="00AB2548">
        <w:rPr>
          <w:rFonts w:ascii="Times New Roman" w:hAnsi="Times New Roman" w:cs="Times New Roman"/>
          <w:lang w:val="en-US"/>
        </w:rPr>
        <w:t>"</w:t>
      </w:r>
      <w:r w:rsidR="00737970" w:rsidRPr="00100D6C">
        <w:rPr>
          <w:rFonts w:ascii="Times New Roman" w:hAnsi="Times New Roman" w:cs="Times New Roman"/>
          <w:lang w:val="en-US"/>
        </w:rPr>
        <w:t>treaty primacy</w:t>
      </w:r>
      <w:r w:rsidR="00AB2548">
        <w:rPr>
          <w:rFonts w:ascii="Times New Roman" w:hAnsi="Times New Roman" w:cs="Times New Roman"/>
          <w:lang w:val="en-US"/>
        </w:rPr>
        <w:t>"</w:t>
      </w:r>
      <w:r w:rsidR="00737970" w:rsidRPr="00100D6C">
        <w:rPr>
          <w:rFonts w:ascii="Times New Roman" w:hAnsi="Times New Roman" w:cs="Times New Roman"/>
          <w:lang w:val="en-US"/>
        </w:rPr>
        <w:t xml:space="preserve"> and </w:t>
      </w:r>
      <w:r w:rsidR="00AB2548">
        <w:rPr>
          <w:rFonts w:ascii="Times New Roman" w:hAnsi="Times New Roman" w:cs="Times New Roman"/>
          <w:lang w:val="en-US"/>
        </w:rPr>
        <w:t>"</w:t>
      </w:r>
      <w:r w:rsidR="00737970" w:rsidRPr="00100D6C">
        <w:rPr>
          <w:rFonts w:ascii="Times New Roman" w:hAnsi="Times New Roman" w:cs="Times New Roman"/>
          <w:lang w:val="en-US"/>
        </w:rPr>
        <w:t>custom primacy</w:t>
      </w:r>
      <w:r w:rsidR="00AB2548">
        <w:rPr>
          <w:rFonts w:ascii="Times New Roman" w:hAnsi="Times New Roman" w:cs="Times New Roman"/>
          <w:lang w:val="en-US"/>
        </w:rPr>
        <w:t>"</w:t>
      </w:r>
      <w:r w:rsidR="00737970" w:rsidRPr="00100D6C">
        <w:rPr>
          <w:rFonts w:ascii="Times New Roman" w:hAnsi="Times New Roman" w:cs="Times New Roman"/>
          <w:lang w:val="en-US"/>
        </w:rPr>
        <w:t xml:space="preserve"> theses, mediating the tension between</w:t>
      </w:r>
      <w:r w:rsidR="007D2A22" w:rsidRPr="00100D6C">
        <w:rPr>
          <w:rFonts w:ascii="Times New Roman" w:hAnsi="Times New Roman" w:cs="Times New Roman"/>
          <w:lang w:val="en-US"/>
        </w:rPr>
        <w:t xml:space="preserve"> determinacy and generality, consensualism and non-consensualism, sovereignty and community.</w:t>
      </w:r>
      <w:r w:rsidR="007D2A22" w:rsidRPr="00100D6C">
        <w:rPr>
          <w:rStyle w:val="FootnoteReference"/>
          <w:rFonts w:ascii="Times New Roman" w:hAnsi="Times New Roman" w:cs="Times New Roman"/>
          <w:lang w:val="en-US"/>
        </w:rPr>
        <w:footnoteReference w:id="78"/>
      </w:r>
    </w:p>
    <w:p w:rsidR="00460A42" w:rsidRPr="00100D6C" w:rsidRDefault="00865748" w:rsidP="00865748">
      <w:pPr>
        <w:pStyle w:val="Heading1"/>
      </w:pPr>
      <w:bookmarkStart w:id="24" w:name="_Toc459318318"/>
      <w:r>
        <w:t>II</w:t>
      </w:r>
      <w:r w:rsidR="00460A42" w:rsidRPr="00100D6C">
        <w:t>. Material Hierarchies and the Pragmatics of Sources</w:t>
      </w:r>
      <w:bookmarkEnd w:id="24"/>
    </w:p>
    <w:p w:rsidR="00A34E3F" w:rsidRPr="00100D6C" w:rsidRDefault="00A34E3F" w:rsidP="00460A42">
      <w:pPr>
        <w:pStyle w:val="ListParagraph"/>
        <w:rPr>
          <w:rFonts w:ascii="Times New Roman" w:hAnsi="Times New Roman" w:cs="Times New Roman"/>
          <w:b/>
          <w:lang w:val="en-US"/>
        </w:rPr>
      </w:pPr>
    </w:p>
    <w:p w:rsidR="008A6893" w:rsidRPr="00100D6C" w:rsidRDefault="00AB2548" w:rsidP="000F569A">
      <w:pPr>
        <w:pStyle w:val="ListParagraph"/>
        <w:ind w:left="0"/>
        <w:jc w:val="both"/>
        <w:rPr>
          <w:rFonts w:ascii="Times New Roman" w:hAnsi="Times New Roman" w:cs="Times New Roman"/>
          <w:lang w:val="en-US"/>
        </w:rPr>
      </w:pPr>
      <w:r>
        <w:rPr>
          <w:rFonts w:ascii="Times New Roman" w:hAnsi="Times New Roman" w:cs="Times New Roman"/>
          <w:lang w:val="en-US"/>
        </w:rPr>
        <w:t>The previous section</w:t>
      </w:r>
      <w:r w:rsidR="00A34E3F" w:rsidRPr="00100D6C">
        <w:rPr>
          <w:rFonts w:ascii="Times New Roman" w:hAnsi="Times New Roman" w:cs="Times New Roman"/>
          <w:lang w:val="en-US"/>
        </w:rPr>
        <w:t xml:space="preserve"> was concerned with the first </w:t>
      </w:r>
      <w:r w:rsidR="000F569A" w:rsidRPr="00100D6C">
        <w:rPr>
          <w:rFonts w:ascii="Times New Roman" w:hAnsi="Times New Roman" w:cs="Times New Roman"/>
          <w:lang w:val="en-US"/>
        </w:rPr>
        <w:t xml:space="preserve">facet </w:t>
      </w:r>
      <w:r w:rsidR="00A34E3F" w:rsidRPr="00100D6C">
        <w:rPr>
          <w:rFonts w:ascii="Times New Roman" w:hAnsi="Times New Roman" w:cs="Times New Roman"/>
          <w:lang w:val="en-US"/>
        </w:rPr>
        <w:t xml:space="preserve">of the </w:t>
      </w:r>
      <w:r>
        <w:rPr>
          <w:rFonts w:ascii="Times New Roman" w:hAnsi="Times New Roman" w:cs="Times New Roman"/>
          <w:lang w:val="en-US"/>
        </w:rPr>
        <w:t>"</w:t>
      </w:r>
      <w:r w:rsidR="00A34E3F" w:rsidRPr="00100D6C">
        <w:rPr>
          <w:rFonts w:ascii="Times New Roman" w:hAnsi="Times New Roman" w:cs="Times New Roman"/>
          <w:lang w:val="en-US"/>
        </w:rPr>
        <w:t>no-hierarchy</w:t>
      </w:r>
      <w:r>
        <w:rPr>
          <w:rFonts w:ascii="Times New Roman" w:hAnsi="Times New Roman" w:cs="Times New Roman"/>
          <w:lang w:val="en-US"/>
        </w:rPr>
        <w:t>"</w:t>
      </w:r>
      <w:r w:rsidR="00A34E3F" w:rsidRPr="00100D6C">
        <w:rPr>
          <w:rFonts w:ascii="Times New Roman" w:hAnsi="Times New Roman" w:cs="Times New Roman"/>
          <w:lang w:val="en-US"/>
        </w:rPr>
        <w:t xml:space="preserve"> thesis,</w:t>
      </w:r>
      <w:r w:rsidR="000F569A" w:rsidRPr="00100D6C">
        <w:rPr>
          <w:rFonts w:ascii="Times New Roman" w:hAnsi="Times New Roman" w:cs="Times New Roman"/>
          <w:lang w:val="en-US"/>
        </w:rPr>
        <w:t xml:space="preserve"> i.e.</w:t>
      </w:r>
      <w:r w:rsidR="00A34E3F" w:rsidRPr="00100D6C">
        <w:rPr>
          <w:rFonts w:ascii="Times New Roman" w:hAnsi="Times New Roman" w:cs="Times New Roman"/>
          <w:lang w:val="en-US"/>
        </w:rPr>
        <w:t xml:space="preserve"> the notion that there </w:t>
      </w:r>
      <w:r w:rsidR="000F569A" w:rsidRPr="00100D6C">
        <w:rPr>
          <w:rFonts w:ascii="Times New Roman" w:hAnsi="Times New Roman" w:cs="Times New Roman"/>
          <w:lang w:val="en-US"/>
        </w:rPr>
        <w:t>exists</w:t>
      </w:r>
      <w:r w:rsidR="00A34E3F" w:rsidRPr="00100D6C">
        <w:rPr>
          <w:rFonts w:ascii="Times New Roman" w:hAnsi="Times New Roman" w:cs="Times New Roman"/>
          <w:lang w:val="en-US"/>
        </w:rPr>
        <w:t xml:space="preserve"> no a-priori hierarchy of validity or</w:t>
      </w:r>
      <w:r w:rsidR="000F569A" w:rsidRPr="00100D6C">
        <w:rPr>
          <w:rFonts w:ascii="Times New Roman" w:hAnsi="Times New Roman" w:cs="Times New Roman"/>
          <w:lang w:val="en-US"/>
        </w:rPr>
        <w:t xml:space="preserve"> importance among formal sources of international law.</w:t>
      </w:r>
      <w:r w:rsidR="00304C6E" w:rsidRPr="00100D6C">
        <w:rPr>
          <w:rFonts w:ascii="Times New Roman" w:hAnsi="Times New Roman" w:cs="Times New Roman"/>
          <w:lang w:val="en-US"/>
        </w:rPr>
        <w:t xml:space="preserve"> I now turn to the second,</w:t>
      </w:r>
      <w:r>
        <w:rPr>
          <w:rFonts w:ascii="Times New Roman" w:hAnsi="Times New Roman" w:cs="Times New Roman"/>
          <w:lang w:val="en-US"/>
        </w:rPr>
        <w:t xml:space="preserve"> perhaps more problematic</w:t>
      </w:r>
      <w:r w:rsidR="000F569A" w:rsidRPr="00100D6C">
        <w:rPr>
          <w:rFonts w:ascii="Times New Roman" w:hAnsi="Times New Roman" w:cs="Times New Roman"/>
          <w:lang w:val="en-US"/>
        </w:rPr>
        <w:t xml:space="preserve"> aspect of the no-hierarchy thesis, namely the view that law-making processes, in the way that they operate, are in essence non-hierarchical. </w:t>
      </w:r>
      <w:r w:rsidR="008A6893" w:rsidRPr="00100D6C">
        <w:rPr>
          <w:rFonts w:ascii="Times New Roman" w:hAnsi="Times New Roman" w:cs="Times New Roman"/>
          <w:lang w:val="en-US"/>
        </w:rPr>
        <w:t xml:space="preserve">This section offers a short introduction to the founding </w:t>
      </w:r>
      <w:r w:rsidR="00B93046" w:rsidRPr="00100D6C">
        <w:rPr>
          <w:rFonts w:ascii="Times New Roman" w:hAnsi="Times New Roman" w:cs="Times New Roman"/>
          <w:lang w:val="en-US"/>
        </w:rPr>
        <w:t>principle</w:t>
      </w:r>
      <w:r>
        <w:rPr>
          <w:rFonts w:ascii="Times New Roman" w:hAnsi="Times New Roman" w:cs="Times New Roman"/>
          <w:lang w:val="en-US"/>
        </w:rPr>
        <w:t xml:space="preserve"> of legislative equality</w:t>
      </w:r>
      <w:r w:rsidR="008A6893" w:rsidRPr="00100D6C">
        <w:rPr>
          <w:rFonts w:ascii="Times New Roman" w:hAnsi="Times New Roman" w:cs="Times New Roman"/>
          <w:lang w:val="en-US"/>
        </w:rPr>
        <w:t xml:space="preserve"> in international law before examining some of the hierarchies of </w:t>
      </w:r>
      <w:r w:rsidR="00E53CBC" w:rsidRPr="00100D6C">
        <w:rPr>
          <w:rFonts w:ascii="Times New Roman" w:hAnsi="Times New Roman" w:cs="Times New Roman"/>
          <w:lang w:val="en-US"/>
        </w:rPr>
        <w:t xml:space="preserve">status, </w:t>
      </w:r>
      <w:r w:rsidR="008A6893" w:rsidRPr="00100D6C">
        <w:rPr>
          <w:rFonts w:ascii="Times New Roman" w:hAnsi="Times New Roman" w:cs="Times New Roman"/>
          <w:lang w:val="en-US"/>
        </w:rPr>
        <w:t>worth and influence that characterize law-making in the international system. As noted above, these hierarchies do not concern the relationship between various sources in the formal sense of the term. The</w:t>
      </w:r>
      <w:r w:rsidR="00725590" w:rsidRPr="00100D6C">
        <w:rPr>
          <w:rFonts w:ascii="Times New Roman" w:hAnsi="Times New Roman" w:cs="Times New Roman"/>
          <w:lang w:val="en-US"/>
        </w:rPr>
        <w:t>se</w:t>
      </w:r>
      <w:r w:rsidR="008A6893" w:rsidRPr="00100D6C">
        <w:rPr>
          <w:rFonts w:ascii="Times New Roman" w:hAnsi="Times New Roman" w:cs="Times New Roman"/>
          <w:lang w:val="en-US"/>
        </w:rPr>
        <w:t xml:space="preserve"> are material hierarchies that manifest themselves in the concrete workings of sources as law-making proce</w:t>
      </w:r>
      <w:r w:rsidR="003C1340" w:rsidRPr="00100D6C">
        <w:rPr>
          <w:rFonts w:ascii="Times New Roman" w:hAnsi="Times New Roman" w:cs="Times New Roman"/>
          <w:lang w:val="en-US"/>
        </w:rPr>
        <w:t>sses, i.e. in their pragmatics.</w:t>
      </w:r>
      <w:r w:rsidR="008A6893" w:rsidRPr="00100D6C">
        <w:rPr>
          <w:rFonts w:ascii="Times New Roman" w:hAnsi="Times New Roman" w:cs="Times New Roman"/>
          <w:lang w:val="en-US"/>
        </w:rPr>
        <w:t xml:space="preserve"> These are hierarchies of sources nonetheless and</w:t>
      </w:r>
      <w:r w:rsidR="00725590" w:rsidRPr="00100D6C">
        <w:rPr>
          <w:rFonts w:ascii="Times New Roman" w:hAnsi="Times New Roman" w:cs="Times New Roman"/>
          <w:lang w:val="en-US"/>
        </w:rPr>
        <w:t xml:space="preserve">, as explained below, to the extent that these </w:t>
      </w:r>
      <w:r w:rsidR="00725590" w:rsidRPr="00100D6C">
        <w:rPr>
          <w:rFonts w:ascii="Times New Roman" w:hAnsi="Times New Roman" w:cs="Times New Roman"/>
          <w:lang w:val="en-US"/>
        </w:rPr>
        <w:lastRenderedPageBreak/>
        <w:t>hierarchies are</w:t>
      </w:r>
      <w:r w:rsidR="0025707D" w:rsidRPr="00100D6C">
        <w:rPr>
          <w:rFonts w:ascii="Times New Roman" w:hAnsi="Times New Roman" w:cs="Times New Roman"/>
          <w:lang w:val="en-US"/>
        </w:rPr>
        <w:t xml:space="preserve"> accommodated and</w:t>
      </w:r>
      <w:r w:rsidR="00C2197A" w:rsidRPr="00100D6C">
        <w:rPr>
          <w:rFonts w:ascii="Times New Roman" w:hAnsi="Times New Roman" w:cs="Times New Roman"/>
          <w:lang w:val="en-US"/>
        </w:rPr>
        <w:t xml:space="preserve"> sanctioned</w:t>
      </w:r>
      <w:r w:rsidR="00725590" w:rsidRPr="00100D6C">
        <w:rPr>
          <w:rFonts w:ascii="Times New Roman" w:hAnsi="Times New Roman" w:cs="Times New Roman"/>
          <w:lang w:val="en-US"/>
        </w:rPr>
        <w:t xml:space="preserve"> by the international legal system, they cannot </w:t>
      </w:r>
      <w:r w:rsidR="00A63B3B" w:rsidRPr="00100D6C">
        <w:rPr>
          <w:rFonts w:ascii="Times New Roman" w:hAnsi="Times New Roman" w:cs="Times New Roman"/>
          <w:lang w:val="en-US"/>
        </w:rPr>
        <w:t xml:space="preserve">simply </w:t>
      </w:r>
      <w:r w:rsidR="00725590" w:rsidRPr="00100D6C">
        <w:rPr>
          <w:rFonts w:ascii="Times New Roman" w:hAnsi="Times New Roman" w:cs="Times New Roman"/>
          <w:lang w:val="en-US"/>
        </w:rPr>
        <w:t xml:space="preserve">be discarded as belonging to the </w:t>
      </w:r>
      <w:r w:rsidR="00BA582E" w:rsidRPr="00100D6C">
        <w:rPr>
          <w:rFonts w:ascii="Times New Roman" w:hAnsi="Times New Roman" w:cs="Times New Roman"/>
          <w:lang w:val="en-US"/>
        </w:rPr>
        <w:t>domain</w:t>
      </w:r>
      <w:r w:rsidR="00725590" w:rsidRPr="00100D6C">
        <w:rPr>
          <w:rFonts w:ascii="Times New Roman" w:hAnsi="Times New Roman" w:cs="Times New Roman"/>
          <w:lang w:val="en-US"/>
        </w:rPr>
        <w:t xml:space="preserve"> of politics, i.e. as something that does not concern international law </w:t>
      </w:r>
      <w:r w:rsidR="00A63B3B" w:rsidRPr="00100D6C">
        <w:rPr>
          <w:rFonts w:ascii="Times New Roman" w:hAnsi="Times New Roman" w:cs="Times New Roman"/>
          <w:lang w:val="en-US"/>
        </w:rPr>
        <w:t>strictly speaking</w:t>
      </w:r>
      <w:r w:rsidR="00725590" w:rsidRPr="00100D6C">
        <w:rPr>
          <w:rFonts w:ascii="Times New Roman" w:hAnsi="Times New Roman" w:cs="Times New Roman"/>
          <w:lang w:val="en-US"/>
        </w:rPr>
        <w:t xml:space="preserve">. These </w:t>
      </w:r>
      <w:r w:rsidR="00A63B3B" w:rsidRPr="00100D6C">
        <w:rPr>
          <w:rFonts w:ascii="Times New Roman" w:hAnsi="Times New Roman" w:cs="Times New Roman"/>
          <w:lang w:val="en-US"/>
        </w:rPr>
        <w:t xml:space="preserve">material </w:t>
      </w:r>
      <w:r w:rsidR="00725590" w:rsidRPr="00100D6C">
        <w:rPr>
          <w:rFonts w:ascii="Times New Roman" w:hAnsi="Times New Roman" w:cs="Times New Roman"/>
          <w:lang w:val="en-US"/>
        </w:rPr>
        <w:t xml:space="preserve">hierarchies are integral to the </w:t>
      </w:r>
      <w:r w:rsidR="00765C66" w:rsidRPr="00100D6C">
        <w:rPr>
          <w:rFonts w:ascii="Times New Roman" w:hAnsi="Times New Roman" w:cs="Times New Roman"/>
          <w:lang w:val="en-US"/>
        </w:rPr>
        <w:t>fabric and structure of international law</w:t>
      </w:r>
      <w:r w:rsidR="00E53CBC" w:rsidRPr="00100D6C">
        <w:rPr>
          <w:rFonts w:ascii="Times New Roman" w:hAnsi="Times New Roman" w:cs="Times New Roman"/>
          <w:lang w:val="en-US"/>
        </w:rPr>
        <w:t>, a</w:t>
      </w:r>
      <w:r w:rsidR="00AD2F90" w:rsidRPr="00100D6C">
        <w:rPr>
          <w:rFonts w:ascii="Times New Roman" w:hAnsi="Times New Roman" w:cs="Times New Roman"/>
          <w:lang w:val="en-US"/>
        </w:rPr>
        <w:t xml:space="preserve"> fact that is</w:t>
      </w:r>
      <w:r w:rsidR="00E53CBC" w:rsidRPr="00100D6C">
        <w:rPr>
          <w:rFonts w:ascii="Times New Roman" w:hAnsi="Times New Roman" w:cs="Times New Roman"/>
          <w:lang w:val="en-US"/>
        </w:rPr>
        <w:t xml:space="preserve"> rarely </w:t>
      </w:r>
      <w:r w:rsidR="00AD2F90" w:rsidRPr="00100D6C">
        <w:rPr>
          <w:rFonts w:ascii="Times New Roman" w:hAnsi="Times New Roman" w:cs="Times New Roman"/>
          <w:lang w:val="en-US"/>
        </w:rPr>
        <w:t>acknowledged</w:t>
      </w:r>
      <w:r w:rsidR="00E53CBC" w:rsidRPr="00100D6C">
        <w:rPr>
          <w:rFonts w:ascii="Times New Roman" w:hAnsi="Times New Roman" w:cs="Times New Roman"/>
          <w:lang w:val="en-US"/>
        </w:rPr>
        <w:t xml:space="preserve"> in the context of debates on </w:t>
      </w:r>
      <w:r w:rsidR="006748F1" w:rsidRPr="00100D6C">
        <w:rPr>
          <w:rFonts w:ascii="Times New Roman" w:hAnsi="Times New Roman" w:cs="Times New Roman"/>
          <w:lang w:val="en-US"/>
        </w:rPr>
        <w:t>(the hierarchy of) sources</w:t>
      </w:r>
      <w:r w:rsidR="00E53CBC" w:rsidRPr="00100D6C">
        <w:rPr>
          <w:rFonts w:ascii="Times New Roman" w:hAnsi="Times New Roman" w:cs="Times New Roman"/>
          <w:lang w:val="en-US"/>
        </w:rPr>
        <w:t>.</w:t>
      </w:r>
    </w:p>
    <w:p w:rsidR="00A63B3B" w:rsidRPr="00100D6C" w:rsidRDefault="00A63B3B" w:rsidP="000F569A">
      <w:pPr>
        <w:pStyle w:val="ListParagraph"/>
        <w:ind w:left="0"/>
        <w:jc w:val="both"/>
        <w:rPr>
          <w:rFonts w:ascii="Times New Roman" w:hAnsi="Times New Roman" w:cs="Times New Roman"/>
          <w:lang w:val="en-US"/>
        </w:rPr>
      </w:pPr>
    </w:p>
    <w:p w:rsidR="00A63B3B" w:rsidRPr="00100D6C" w:rsidRDefault="00A63B3B" w:rsidP="00865748">
      <w:pPr>
        <w:pStyle w:val="Heading2"/>
      </w:pPr>
      <w:bookmarkStart w:id="25" w:name="_Toc459318319"/>
      <w:r w:rsidRPr="00100D6C">
        <w:t xml:space="preserve">A. The </w:t>
      </w:r>
      <w:r w:rsidR="00CB14C7" w:rsidRPr="00100D6C">
        <w:t>principle</w:t>
      </w:r>
      <w:r w:rsidRPr="00100D6C">
        <w:t xml:space="preserve"> of legislative equality</w:t>
      </w:r>
      <w:bookmarkEnd w:id="25"/>
    </w:p>
    <w:p w:rsidR="00504949" w:rsidRPr="00100D6C" w:rsidRDefault="003C1340" w:rsidP="00857E93">
      <w:pPr>
        <w:jc w:val="both"/>
        <w:rPr>
          <w:rFonts w:ascii="Times New Roman" w:hAnsi="Times New Roman" w:cs="Times New Roman"/>
          <w:lang w:val="en-US"/>
        </w:rPr>
      </w:pPr>
      <w:r w:rsidRPr="00100D6C">
        <w:rPr>
          <w:rFonts w:ascii="Times New Roman" w:hAnsi="Times New Roman" w:cs="Times New Roman"/>
          <w:lang w:val="en-US"/>
        </w:rPr>
        <w:br/>
        <w:t xml:space="preserve">It is a commonplace to say that international law, as a system, is premised on the </w:t>
      </w:r>
      <w:r w:rsidR="004500CA" w:rsidRPr="00100D6C">
        <w:rPr>
          <w:rFonts w:ascii="Times New Roman" w:hAnsi="Times New Roman" w:cs="Times New Roman"/>
          <w:lang w:val="en-US"/>
        </w:rPr>
        <w:t>sovereign equality of</w:t>
      </w:r>
      <w:r w:rsidR="00857E93" w:rsidRPr="00100D6C">
        <w:rPr>
          <w:rFonts w:ascii="Times New Roman" w:hAnsi="Times New Roman" w:cs="Times New Roman"/>
          <w:lang w:val="en-US"/>
        </w:rPr>
        <w:t xml:space="preserve"> states. Since at least the middle of the 18th century, publicists of all schools and dispositions - naturalists and positivists alike - have </w:t>
      </w:r>
      <w:r w:rsidR="00EE6FFF" w:rsidRPr="00100D6C">
        <w:rPr>
          <w:rFonts w:ascii="Times New Roman" w:hAnsi="Times New Roman" w:cs="Times New Roman"/>
          <w:lang w:val="en-US"/>
        </w:rPr>
        <w:t>highlighted the equality of states as one of</w:t>
      </w:r>
      <w:r w:rsidR="00C05A25">
        <w:rPr>
          <w:rFonts w:ascii="Times New Roman" w:hAnsi="Times New Roman" w:cs="Times New Roman"/>
          <w:lang w:val="en-US"/>
        </w:rPr>
        <w:t xml:space="preserve"> the</w:t>
      </w:r>
      <w:r w:rsidR="00EE6FFF" w:rsidRPr="00100D6C">
        <w:rPr>
          <w:rFonts w:ascii="Times New Roman" w:hAnsi="Times New Roman" w:cs="Times New Roman"/>
          <w:lang w:val="en-US"/>
        </w:rPr>
        <w:t xml:space="preserve"> primary postulates of the law of nations.</w:t>
      </w:r>
      <w:bookmarkStart w:id="26" w:name="_Ref447541879"/>
      <w:r w:rsidR="00EE6FFF" w:rsidRPr="00100D6C">
        <w:rPr>
          <w:rStyle w:val="FootnoteReference"/>
          <w:rFonts w:ascii="Times New Roman" w:hAnsi="Times New Roman" w:cs="Times New Roman"/>
          <w:lang w:val="en-US"/>
        </w:rPr>
        <w:footnoteReference w:id="79"/>
      </w:r>
      <w:bookmarkEnd w:id="26"/>
      <w:r w:rsidR="00A83A63" w:rsidRPr="00100D6C">
        <w:rPr>
          <w:rFonts w:ascii="Times New Roman" w:hAnsi="Times New Roman" w:cs="Times New Roman"/>
          <w:lang w:val="en-US"/>
        </w:rPr>
        <w:t xml:space="preserve"> </w:t>
      </w:r>
      <w:r w:rsidR="00FB3520" w:rsidRPr="00100D6C">
        <w:rPr>
          <w:rFonts w:ascii="Times New Roman" w:hAnsi="Times New Roman" w:cs="Times New Roman"/>
          <w:lang w:val="en-US"/>
        </w:rPr>
        <w:t xml:space="preserve">As famously noted by Chief Justice Marshall in the </w:t>
      </w:r>
      <w:r w:rsidR="00FB3520" w:rsidRPr="00100D6C">
        <w:rPr>
          <w:rFonts w:ascii="Times New Roman" w:hAnsi="Times New Roman" w:cs="Times New Roman"/>
          <w:i/>
          <w:lang w:val="en-US"/>
        </w:rPr>
        <w:t>Antelope</w:t>
      </w:r>
      <w:r w:rsidR="00FB3520" w:rsidRPr="00100D6C">
        <w:rPr>
          <w:rFonts w:ascii="Times New Roman" w:hAnsi="Times New Roman" w:cs="Times New Roman"/>
          <w:lang w:val="en-US"/>
        </w:rPr>
        <w:t xml:space="preserve"> Case: </w:t>
      </w:r>
      <w:r w:rsidR="00C05A25">
        <w:rPr>
          <w:rFonts w:ascii="Times New Roman" w:hAnsi="Times New Roman" w:cs="Times New Roman"/>
          <w:lang w:val="en-US"/>
        </w:rPr>
        <w:t>"</w:t>
      </w:r>
      <w:r w:rsidR="00FB3520" w:rsidRPr="00100D6C">
        <w:rPr>
          <w:rFonts w:ascii="Times New Roman" w:hAnsi="Times New Roman" w:cs="Times New Roman"/>
          <w:lang w:val="en-US"/>
        </w:rPr>
        <w:t>no principle of general law is more universally acknowledged than the perfect equality of nations</w:t>
      </w:r>
      <w:r w:rsidR="00C05A25">
        <w:rPr>
          <w:rFonts w:ascii="Times New Roman" w:hAnsi="Times New Roman" w:cs="Times New Roman"/>
          <w:lang w:val="en-US"/>
        </w:rPr>
        <w:t>."</w:t>
      </w:r>
      <w:r w:rsidR="00103A17" w:rsidRPr="00100D6C">
        <w:rPr>
          <w:rStyle w:val="FootnoteReference"/>
          <w:rFonts w:ascii="Times New Roman" w:hAnsi="Times New Roman" w:cs="Times New Roman"/>
          <w:lang w:val="en-US"/>
        </w:rPr>
        <w:footnoteReference w:id="80"/>
      </w:r>
      <w:r w:rsidR="00FB3520" w:rsidRPr="00100D6C">
        <w:rPr>
          <w:rFonts w:ascii="Times New Roman" w:hAnsi="Times New Roman" w:cs="Times New Roman"/>
          <w:lang w:val="en-US"/>
        </w:rPr>
        <w:t xml:space="preserve"> </w:t>
      </w:r>
      <w:r w:rsidR="0041526A" w:rsidRPr="00100D6C">
        <w:rPr>
          <w:rFonts w:ascii="Times New Roman" w:hAnsi="Times New Roman" w:cs="Times New Roman"/>
          <w:lang w:val="en-US"/>
        </w:rPr>
        <w:t xml:space="preserve">At times criticized but never </w:t>
      </w:r>
      <w:r w:rsidR="00D00134" w:rsidRPr="00100D6C">
        <w:rPr>
          <w:rFonts w:ascii="Times New Roman" w:hAnsi="Times New Roman" w:cs="Times New Roman"/>
          <w:lang w:val="en-US"/>
        </w:rPr>
        <w:t>abandoned</w:t>
      </w:r>
      <w:r w:rsidR="00FB3520" w:rsidRPr="00100D6C">
        <w:rPr>
          <w:rFonts w:ascii="Times New Roman" w:hAnsi="Times New Roman" w:cs="Times New Roman"/>
          <w:lang w:val="en-US"/>
        </w:rPr>
        <w:t xml:space="preserve">, the principle </w:t>
      </w:r>
      <w:r w:rsidR="0041526A" w:rsidRPr="00100D6C">
        <w:rPr>
          <w:rFonts w:ascii="Times New Roman" w:hAnsi="Times New Roman" w:cs="Times New Roman"/>
          <w:lang w:val="en-US"/>
        </w:rPr>
        <w:t>has, through the centuries,</w:t>
      </w:r>
      <w:r w:rsidR="00FB3520" w:rsidRPr="00100D6C">
        <w:rPr>
          <w:rFonts w:ascii="Times New Roman" w:hAnsi="Times New Roman" w:cs="Times New Roman"/>
          <w:lang w:val="en-US"/>
        </w:rPr>
        <w:t xml:space="preserve"> </w:t>
      </w:r>
      <w:r w:rsidR="00C05A25">
        <w:rPr>
          <w:rFonts w:ascii="Times New Roman" w:hAnsi="Times New Roman" w:cs="Times New Roman"/>
          <w:lang w:val="en-US"/>
        </w:rPr>
        <w:t>"</w:t>
      </w:r>
      <w:r w:rsidR="00FB3520" w:rsidRPr="00100D6C">
        <w:rPr>
          <w:rFonts w:ascii="Times New Roman" w:hAnsi="Times New Roman" w:cs="Times New Roman"/>
          <w:lang w:val="en-US"/>
        </w:rPr>
        <w:t>clung with tenacity to the trunk of legal science</w:t>
      </w:r>
      <w:r w:rsidR="00C05A25">
        <w:rPr>
          <w:rFonts w:ascii="Times New Roman" w:hAnsi="Times New Roman" w:cs="Times New Roman"/>
          <w:lang w:val="en-US"/>
        </w:rPr>
        <w:t>."</w:t>
      </w:r>
      <w:r w:rsidR="004C2D1E" w:rsidRPr="00100D6C">
        <w:rPr>
          <w:rStyle w:val="FootnoteReference"/>
          <w:rFonts w:ascii="Times New Roman" w:hAnsi="Times New Roman" w:cs="Times New Roman"/>
          <w:lang w:val="en-US"/>
        </w:rPr>
        <w:footnoteReference w:id="81"/>
      </w:r>
      <w:r w:rsidR="00FB3520" w:rsidRPr="00100D6C">
        <w:rPr>
          <w:rFonts w:ascii="Times New Roman" w:hAnsi="Times New Roman" w:cs="Times New Roman"/>
          <w:lang w:val="en-US"/>
        </w:rPr>
        <w:t xml:space="preserve"> </w:t>
      </w:r>
      <w:r w:rsidR="0021588B" w:rsidRPr="00100D6C">
        <w:rPr>
          <w:rFonts w:ascii="Times New Roman" w:hAnsi="Times New Roman" w:cs="Times New Roman"/>
          <w:lang w:val="en-US"/>
        </w:rPr>
        <w:t>Reaffirmed in</w:t>
      </w:r>
      <w:r w:rsidR="00504949" w:rsidRPr="00100D6C">
        <w:rPr>
          <w:rFonts w:ascii="Times New Roman" w:hAnsi="Times New Roman" w:cs="Times New Roman"/>
          <w:lang w:val="en-US"/>
        </w:rPr>
        <w:t xml:space="preserve"> major textbooks and in leading international documents - from the Montevideo Convention to the UN Charter or the UN Declaration on Friendly Relations among States</w:t>
      </w:r>
      <w:bookmarkStart w:id="27" w:name="_Ref447545602"/>
      <w:r w:rsidR="002A362F" w:rsidRPr="00100D6C">
        <w:rPr>
          <w:rStyle w:val="FootnoteReference"/>
          <w:rFonts w:ascii="Times New Roman" w:hAnsi="Times New Roman" w:cs="Times New Roman"/>
          <w:lang w:val="en-US"/>
        </w:rPr>
        <w:footnoteReference w:id="82"/>
      </w:r>
      <w:bookmarkEnd w:id="27"/>
      <w:r w:rsidR="00504949" w:rsidRPr="00100D6C">
        <w:rPr>
          <w:rFonts w:ascii="Times New Roman" w:hAnsi="Times New Roman" w:cs="Times New Roman"/>
          <w:lang w:val="en-US"/>
        </w:rPr>
        <w:t xml:space="preserve"> - </w:t>
      </w:r>
      <w:r w:rsidR="00E60AAF" w:rsidRPr="00100D6C">
        <w:rPr>
          <w:rFonts w:ascii="Times New Roman" w:hAnsi="Times New Roman" w:cs="Times New Roman"/>
          <w:lang w:val="en-US"/>
        </w:rPr>
        <w:t>sovereign equality</w:t>
      </w:r>
      <w:r w:rsidR="00504949" w:rsidRPr="00100D6C">
        <w:rPr>
          <w:rFonts w:ascii="Times New Roman" w:hAnsi="Times New Roman" w:cs="Times New Roman"/>
          <w:lang w:val="en-US"/>
        </w:rPr>
        <w:t>, to this day, continues to be regarded as</w:t>
      </w:r>
      <w:r w:rsidR="00501C1B" w:rsidRPr="00100D6C">
        <w:rPr>
          <w:rFonts w:ascii="Times New Roman" w:hAnsi="Times New Roman" w:cs="Times New Roman"/>
          <w:lang w:val="en-US"/>
        </w:rPr>
        <w:t xml:space="preserve"> </w:t>
      </w:r>
      <w:r w:rsidR="00E60AAF" w:rsidRPr="00100D6C">
        <w:rPr>
          <w:rFonts w:ascii="Times New Roman" w:hAnsi="Times New Roman" w:cs="Times New Roman"/>
          <w:lang w:val="en-US"/>
        </w:rPr>
        <w:t>a</w:t>
      </w:r>
      <w:r w:rsidR="00501C1B" w:rsidRPr="00100D6C">
        <w:rPr>
          <w:rFonts w:ascii="Times New Roman" w:hAnsi="Times New Roman" w:cs="Times New Roman"/>
          <w:lang w:val="en-US"/>
        </w:rPr>
        <w:t xml:space="preserve"> canonical</w:t>
      </w:r>
      <w:r w:rsidR="00E60AAF" w:rsidRPr="00100D6C">
        <w:rPr>
          <w:rFonts w:ascii="Times New Roman" w:hAnsi="Times New Roman" w:cs="Times New Roman"/>
          <w:lang w:val="en-US"/>
        </w:rPr>
        <w:t xml:space="preserve"> principle and is</w:t>
      </w:r>
      <w:r w:rsidR="00501C1B" w:rsidRPr="00100D6C">
        <w:rPr>
          <w:rFonts w:ascii="Times New Roman" w:hAnsi="Times New Roman" w:cs="Times New Roman"/>
          <w:lang w:val="en-US"/>
        </w:rPr>
        <w:t xml:space="preserve"> routinely reiterated by courts and tribunals as one of the basic constitutional doctrines of international law.</w:t>
      </w:r>
      <w:r w:rsidR="000C5BF4" w:rsidRPr="00100D6C">
        <w:rPr>
          <w:rStyle w:val="FootnoteReference"/>
          <w:rFonts w:ascii="Times New Roman" w:hAnsi="Times New Roman" w:cs="Times New Roman"/>
          <w:lang w:val="en-US"/>
        </w:rPr>
        <w:footnoteReference w:id="83"/>
      </w:r>
      <w:r w:rsidR="00504949" w:rsidRPr="00100D6C">
        <w:rPr>
          <w:rFonts w:ascii="Times New Roman" w:hAnsi="Times New Roman" w:cs="Times New Roman"/>
          <w:lang w:val="en-US"/>
        </w:rPr>
        <w:t xml:space="preserve"> While </w:t>
      </w:r>
      <w:r w:rsidR="0021588B" w:rsidRPr="00100D6C">
        <w:rPr>
          <w:rFonts w:ascii="Times New Roman" w:hAnsi="Times New Roman" w:cs="Times New Roman"/>
          <w:lang w:val="en-US"/>
        </w:rPr>
        <w:t xml:space="preserve">the orthodoxy of sovereign equality readily acknowledges the pervasive </w:t>
      </w:r>
      <w:r w:rsidR="0041526A" w:rsidRPr="00100D6C">
        <w:rPr>
          <w:rFonts w:ascii="Times New Roman" w:hAnsi="Times New Roman" w:cs="Times New Roman"/>
          <w:lang w:val="en-US"/>
        </w:rPr>
        <w:t>inequalities</w:t>
      </w:r>
      <w:r w:rsidR="00504949" w:rsidRPr="00100D6C">
        <w:rPr>
          <w:rFonts w:ascii="Times New Roman" w:hAnsi="Times New Roman" w:cs="Times New Roman"/>
          <w:lang w:val="en-US"/>
        </w:rPr>
        <w:t xml:space="preserve"> and power differentials among states</w:t>
      </w:r>
      <w:r w:rsidR="0041526A" w:rsidRPr="00100D6C">
        <w:rPr>
          <w:rFonts w:ascii="Times New Roman" w:hAnsi="Times New Roman" w:cs="Times New Roman"/>
          <w:lang w:val="en-US"/>
        </w:rPr>
        <w:t xml:space="preserve"> in the </w:t>
      </w:r>
      <w:r w:rsidR="00CC39A6">
        <w:rPr>
          <w:rFonts w:ascii="Times New Roman" w:hAnsi="Times New Roman" w:cs="Times New Roman"/>
          <w:lang w:val="en-US"/>
        </w:rPr>
        <w:t>"</w:t>
      </w:r>
      <w:r w:rsidR="0041526A" w:rsidRPr="00100D6C">
        <w:rPr>
          <w:rFonts w:ascii="Times New Roman" w:hAnsi="Times New Roman" w:cs="Times New Roman"/>
          <w:lang w:val="en-US"/>
        </w:rPr>
        <w:t>real world</w:t>
      </w:r>
      <w:r w:rsidR="00CC39A6">
        <w:rPr>
          <w:rFonts w:ascii="Times New Roman" w:hAnsi="Times New Roman" w:cs="Times New Roman"/>
          <w:lang w:val="en-US"/>
        </w:rPr>
        <w:t>"</w:t>
      </w:r>
      <w:r w:rsidR="0041526A" w:rsidRPr="00100D6C">
        <w:rPr>
          <w:rFonts w:ascii="Times New Roman" w:hAnsi="Times New Roman" w:cs="Times New Roman"/>
          <w:lang w:val="en-US"/>
        </w:rPr>
        <w:t xml:space="preserve"> of international relations</w:t>
      </w:r>
      <w:r w:rsidR="0021588B" w:rsidRPr="00100D6C">
        <w:rPr>
          <w:rFonts w:ascii="Times New Roman" w:hAnsi="Times New Roman" w:cs="Times New Roman"/>
          <w:lang w:val="en-US"/>
        </w:rPr>
        <w:t xml:space="preserve"> (</w:t>
      </w:r>
      <w:r w:rsidR="00CC39A6">
        <w:rPr>
          <w:rFonts w:ascii="Times New Roman" w:hAnsi="Times New Roman" w:cs="Times New Roman"/>
          <w:lang w:val="en-US"/>
        </w:rPr>
        <w:t>"</w:t>
      </w:r>
      <w:r w:rsidR="0021588B" w:rsidRPr="00100D6C">
        <w:rPr>
          <w:rFonts w:ascii="Times New Roman" w:hAnsi="Times New Roman" w:cs="Times New Roman"/>
          <w:lang w:val="en-US"/>
        </w:rPr>
        <w:t>of course some states are more equal than others</w:t>
      </w:r>
      <w:r w:rsidR="00CC39A6">
        <w:rPr>
          <w:rFonts w:ascii="Times New Roman" w:hAnsi="Times New Roman" w:cs="Times New Roman"/>
          <w:lang w:val="en-US"/>
        </w:rPr>
        <w:t>"</w:t>
      </w:r>
      <w:r w:rsidR="0021588B" w:rsidRPr="00100D6C">
        <w:rPr>
          <w:rFonts w:ascii="Times New Roman" w:hAnsi="Times New Roman" w:cs="Times New Roman"/>
          <w:lang w:val="en-US"/>
        </w:rPr>
        <w:t>)</w:t>
      </w:r>
      <w:r w:rsidR="00501C1B" w:rsidRPr="00100D6C">
        <w:rPr>
          <w:rStyle w:val="FootnoteReference"/>
          <w:rFonts w:ascii="Times New Roman" w:hAnsi="Times New Roman" w:cs="Times New Roman"/>
          <w:lang w:val="en-US"/>
        </w:rPr>
        <w:footnoteReference w:id="84"/>
      </w:r>
      <w:r w:rsidR="00504949" w:rsidRPr="00100D6C">
        <w:rPr>
          <w:rFonts w:ascii="Times New Roman" w:hAnsi="Times New Roman" w:cs="Times New Roman"/>
          <w:lang w:val="en-US"/>
        </w:rPr>
        <w:t xml:space="preserve">, </w:t>
      </w:r>
      <w:r w:rsidR="0021588B" w:rsidRPr="00100D6C">
        <w:rPr>
          <w:rFonts w:ascii="Times New Roman" w:hAnsi="Times New Roman" w:cs="Times New Roman"/>
          <w:lang w:val="en-US"/>
        </w:rPr>
        <w:t>these are usually relegated to the realm of the political</w:t>
      </w:r>
      <w:r w:rsidR="00D00134" w:rsidRPr="00100D6C">
        <w:rPr>
          <w:rFonts w:ascii="Times New Roman" w:hAnsi="Times New Roman" w:cs="Times New Roman"/>
          <w:lang w:val="en-US"/>
        </w:rPr>
        <w:t xml:space="preserve"> - outside the law -</w:t>
      </w:r>
      <w:r w:rsidR="0021588B" w:rsidRPr="00100D6C">
        <w:rPr>
          <w:rFonts w:ascii="Times New Roman" w:hAnsi="Times New Roman" w:cs="Times New Roman"/>
          <w:lang w:val="en-US"/>
        </w:rPr>
        <w:t xml:space="preserve"> in a way that only serves to reinforce the alleged autonomy of the legal domain and  international law's </w:t>
      </w:r>
      <w:r w:rsidR="00D00134" w:rsidRPr="00100D6C">
        <w:rPr>
          <w:rFonts w:ascii="Times New Roman" w:hAnsi="Times New Roman" w:cs="Times New Roman"/>
          <w:lang w:val="en-US"/>
        </w:rPr>
        <w:t>egalitarian promise</w:t>
      </w:r>
      <w:r w:rsidR="0021588B" w:rsidRPr="00100D6C">
        <w:rPr>
          <w:rFonts w:ascii="Times New Roman" w:hAnsi="Times New Roman" w:cs="Times New Roman"/>
          <w:lang w:val="en-US"/>
        </w:rPr>
        <w:t>.</w:t>
      </w:r>
    </w:p>
    <w:p w:rsidR="000838F8" w:rsidRPr="00100D6C" w:rsidRDefault="00B93046" w:rsidP="00857E93">
      <w:pPr>
        <w:jc w:val="both"/>
        <w:rPr>
          <w:rFonts w:ascii="Times New Roman" w:hAnsi="Times New Roman" w:cs="Times New Roman"/>
          <w:lang w:val="en-US"/>
        </w:rPr>
      </w:pPr>
      <w:r w:rsidRPr="00100D6C">
        <w:rPr>
          <w:rFonts w:ascii="Times New Roman" w:hAnsi="Times New Roman" w:cs="Times New Roman"/>
          <w:lang w:val="en-US"/>
        </w:rPr>
        <w:t xml:space="preserve">The principle of sovereign equality - perhaps because of its canonical status - is rarely examined in much depth and has no fixed or stable meaning. </w:t>
      </w:r>
      <w:r w:rsidR="000838F8" w:rsidRPr="00100D6C">
        <w:rPr>
          <w:rFonts w:ascii="Times New Roman" w:hAnsi="Times New Roman" w:cs="Times New Roman"/>
          <w:lang w:val="en-US"/>
        </w:rPr>
        <w:t xml:space="preserve">At minimum, however, it is generally thought to possess formal, existential and substantive implications. Formally, states are said to be </w:t>
      </w:r>
      <w:r w:rsidR="00CE7D63">
        <w:rPr>
          <w:rFonts w:ascii="Times New Roman" w:hAnsi="Times New Roman" w:cs="Times New Roman"/>
          <w:lang w:val="en-US"/>
        </w:rPr>
        <w:t>"</w:t>
      </w:r>
      <w:r w:rsidR="000838F8" w:rsidRPr="00100D6C">
        <w:rPr>
          <w:rFonts w:ascii="Times New Roman" w:hAnsi="Times New Roman" w:cs="Times New Roman"/>
          <w:lang w:val="en-US"/>
        </w:rPr>
        <w:t>equal before the law</w:t>
      </w:r>
      <w:r w:rsidR="00CE7D63">
        <w:rPr>
          <w:rFonts w:ascii="Times New Roman" w:hAnsi="Times New Roman" w:cs="Times New Roman"/>
          <w:lang w:val="en-US"/>
        </w:rPr>
        <w:t>"</w:t>
      </w:r>
      <w:r w:rsidR="000838F8" w:rsidRPr="00100D6C">
        <w:rPr>
          <w:rFonts w:ascii="Times New Roman" w:hAnsi="Times New Roman" w:cs="Times New Roman"/>
          <w:lang w:val="en-US"/>
        </w:rPr>
        <w:t>, i.e. to have equal capacity to vindicate and exercise their rights, most notably in courts and tribunals where their claims are treated as having equal value and dignity.</w:t>
      </w:r>
      <w:r w:rsidR="000838F8" w:rsidRPr="00100D6C">
        <w:rPr>
          <w:rStyle w:val="FootnoteReference"/>
          <w:rFonts w:ascii="Times New Roman" w:hAnsi="Times New Roman" w:cs="Times New Roman"/>
          <w:lang w:val="en-US"/>
        </w:rPr>
        <w:footnoteReference w:id="85"/>
      </w:r>
      <w:r w:rsidR="000838F8" w:rsidRPr="00100D6C">
        <w:rPr>
          <w:rFonts w:ascii="Times New Roman" w:hAnsi="Times New Roman" w:cs="Times New Roman"/>
          <w:lang w:val="en-US"/>
        </w:rPr>
        <w:t xml:space="preserve"> Existentially, all states are </w:t>
      </w:r>
      <w:r w:rsidR="000838F8" w:rsidRPr="00100D6C">
        <w:rPr>
          <w:rFonts w:ascii="Times New Roman" w:hAnsi="Times New Roman" w:cs="Times New Roman"/>
          <w:lang w:val="en-US"/>
        </w:rPr>
        <w:lastRenderedPageBreak/>
        <w:t>said to possess self-definitional agency, i.e. the freedom to choose their political, social, economic and cultural system.</w:t>
      </w:r>
      <w:bookmarkStart w:id="28" w:name="_Ref447718308"/>
      <w:r w:rsidR="000838F8" w:rsidRPr="00100D6C">
        <w:rPr>
          <w:rStyle w:val="FootnoteReference"/>
          <w:rFonts w:ascii="Times New Roman" w:hAnsi="Times New Roman" w:cs="Times New Roman"/>
          <w:lang w:val="en-US"/>
        </w:rPr>
        <w:footnoteReference w:id="86"/>
      </w:r>
      <w:bookmarkEnd w:id="28"/>
      <w:r w:rsidR="000838F8" w:rsidRPr="00100D6C">
        <w:rPr>
          <w:rFonts w:ascii="Times New Roman" w:hAnsi="Times New Roman" w:cs="Times New Roman"/>
          <w:lang w:val="en-US"/>
        </w:rPr>
        <w:t xml:space="preserve"> Substantively, to finish, all states - big or small - are said to possess a bundle of </w:t>
      </w:r>
      <w:r w:rsidR="004500CA" w:rsidRPr="00100D6C">
        <w:rPr>
          <w:rFonts w:ascii="Times New Roman" w:hAnsi="Times New Roman" w:cs="Times New Roman"/>
          <w:lang w:val="en-US"/>
        </w:rPr>
        <w:t>fundamental</w:t>
      </w:r>
      <w:r w:rsidR="000838F8" w:rsidRPr="00100D6C">
        <w:rPr>
          <w:rFonts w:ascii="Times New Roman" w:hAnsi="Times New Roman" w:cs="Times New Roman"/>
          <w:lang w:val="en-US"/>
        </w:rPr>
        <w:t xml:space="preserve"> rights and </w:t>
      </w:r>
      <w:r w:rsidR="004500CA" w:rsidRPr="00100D6C">
        <w:rPr>
          <w:rFonts w:ascii="Times New Roman" w:hAnsi="Times New Roman" w:cs="Times New Roman"/>
          <w:lang w:val="en-US"/>
        </w:rPr>
        <w:t>privileges</w:t>
      </w:r>
      <w:r w:rsidR="000838F8" w:rsidRPr="00100D6C">
        <w:rPr>
          <w:rFonts w:ascii="Times New Roman" w:hAnsi="Times New Roman" w:cs="Times New Roman"/>
          <w:lang w:val="en-US"/>
        </w:rPr>
        <w:t xml:space="preserve">, including the right to territorial integrity, the right to freely dispose of </w:t>
      </w:r>
      <w:r w:rsidR="000A4E4D" w:rsidRPr="00100D6C">
        <w:rPr>
          <w:rFonts w:ascii="Times New Roman" w:hAnsi="Times New Roman" w:cs="Times New Roman"/>
          <w:lang w:val="en-US"/>
        </w:rPr>
        <w:t>their</w:t>
      </w:r>
      <w:r w:rsidR="000838F8" w:rsidRPr="00100D6C">
        <w:rPr>
          <w:rFonts w:ascii="Times New Roman" w:hAnsi="Times New Roman" w:cs="Times New Roman"/>
          <w:lang w:val="en-US"/>
        </w:rPr>
        <w:t xml:space="preserve"> natural resources, sovereign immunities, the right to self-help, </w:t>
      </w:r>
      <w:r w:rsidR="00B90504" w:rsidRPr="00100D6C">
        <w:rPr>
          <w:rFonts w:ascii="Times New Roman" w:hAnsi="Times New Roman" w:cs="Times New Roman"/>
          <w:lang w:val="en-US"/>
        </w:rPr>
        <w:t xml:space="preserve">and </w:t>
      </w:r>
      <w:r w:rsidR="000838F8" w:rsidRPr="00100D6C">
        <w:rPr>
          <w:rFonts w:ascii="Times New Roman" w:hAnsi="Times New Roman" w:cs="Times New Roman"/>
          <w:lang w:val="en-US"/>
        </w:rPr>
        <w:t>the right</w:t>
      </w:r>
      <w:r w:rsidR="00B90504" w:rsidRPr="00100D6C">
        <w:rPr>
          <w:rFonts w:ascii="Times New Roman" w:hAnsi="Times New Roman" w:cs="Times New Roman"/>
          <w:lang w:val="en-US"/>
        </w:rPr>
        <w:t xml:space="preserve"> to</w:t>
      </w:r>
      <w:r w:rsidR="000838F8" w:rsidRPr="00100D6C">
        <w:rPr>
          <w:rFonts w:ascii="Times New Roman" w:hAnsi="Times New Roman" w:cs="Times New Roman"/>
          <w:lang w:val="en-US"/>
        </w:rPr>
        <w:t xml:space="preserve"> make treaties, join international organizations like the UN and litigate in international courts such as the International Court of Justice.</w:t>
      </w:r>
      <w:r w:rsidR="000838F8" w:rsidRPr="00100D6C">
        <w:rPr>
          <w:rStyle w:val="FootnoteReference"/>
          <w:rFonts w:ascii="Times New Roman" w:hAnsi="Times New Roman" w:cs="Times New Roman"/>
          <w:lang w:val="en-US"/>
        </w:rPr>
        <w:footnoteReference w:id="87"/>
      </w:r>
    </w:p>
    <w:p w:rsidR="001A33F7" w:rsidRPr="00100D6C" w:rsidRDefault="000D6EFA" w:rsidP="00857E93">
      <w:pPr>
        <w:jc w:val="both"/>
        <w:rPr>
          <w:rFonts w:ascii="Times New Roman" w:hAnsi="Times New Roman" w:cs="Times New Roman"/>
          <w:lang w:val="en-US"/>
        </w:rPr>
      </w:pPr>
      <w:r>
        <w:rPr>
          <w:rFonts w:ascii="Times New Roman" w:hAnsi="Times New Roman" w:cs="Times New Roman"/>
          <w:lang w:val="en-US"/>
        </w:rPr>
        <w:t>In addition to the above</w:t>
      </w:r>
      <w:r w:rsidR="002B1B89" w:rsidRPr="00100D6C">
        <w:rPr>
          <w:rFonts w:ascii="Times New Roman" w:hAnsi="Times New Roman" w:cs="Times New Roman"/>
          <w:lang w:val="en-US"/>
        </w:rPr>
        <w:t xml:space="preserve">, sovereign equality is also understood to have important implications for </w:t>
      </w:r>
      <w:r>
        <w:rPr>
          <w:rFonts w:ascii="Times New Roman" w:hAnsi="Times New Roman" w:cs="Times New Roman"/>
          <w:lang w:val="en-US"/>
        </w:rPr>
        <w:t>international law-making</w:t>
      </w:r>
      <w:r w:rsidR="002B1B89" w:rsidRPr="00100D6C">
        <w:rPr>
          <w:rFonts w:ascii="Times New Roman" w:hAnsi="Times New Roman" w:cs="Times New Roman"/>
          <w:lang w:val="en-US"/>
        </w:rPr>
        <w:t xml:space="preserve"> (i.e. for sources). This is what McNair calls </w:t>
      </w:r>
      <w:r>
        <w:rPr>
          <w:rFonts w:ascii="Times New Roman" w:hAnsi="Times New Roman" w:cs="Times New Roman"/>
          <w:lang w:val="en-US"/>
        </w:rPr>
        <w:t>"</w:t>
      </w:r>
      <w:r w:rsidR="002B1B89" w:rsidRPr="00100D6C">
        <w:rPr>
          <w:rFonts w:ascii="Times New Roman" w:hAnsi="Times New Roman" w:cs="Times New Roman"/>
          <w:lang w:val="en-US"/>
        </w:rPr>
        <w:t>equality for law-making purposes</w:t>
      </w:r>
      <w:r>
        <w:rPr>
          <w:rFonts w:ascii="Times New Roman" w:hAnsi="Times New Roman" w:cs="Times New Roman"/>
          <w:lang w:val="en-US"/>
        </w:rPr>
        <w:t>"</w:t>
      </w:r>
      <w:r w:rsidR="002B1B89" w:rsidRPr="00100D6C">
        <w:rPr>
          <w:rFonts w:ascii="Times New Roman" w:hAnsi="Times New Roman" w:cs="Times New Roman"/>
          <w:lang w:val="en-US"/>
        </w:rPr>
        <w:t xml:space="preserve"> or what Simpson, more recently,</w:t>
      </w:r>
      <w:r w:rsidR="008756F0" w:rsidRPr="00100D6C">
        <w:rPr>
          <w:rFonts w:ascii="Times New Roman" w:hAnsi="Times New Roman" w:cs="Times New Roman"/>
          <w:lang w:val="en-US"/>
        </w:rPr>
        <w:t xml:space="preserve"> has</w:t>
      </w:r>
      <w:r w:rsidR="002B1B89" w:rsidRPr="00100D6C">
        <w:rPr>
          <w:rFonts w:ascii="Times New Roman" w:hAnsi="Times New Roman" w:cs="Times New Roman"/>
          <w:lang w:val="en-US"/>
        </w:rPr>
        <w:t xml:space="preserve"> dubbed </w:t>
      </w:r>
      <w:r>
        <w:rPr>
          <w:rFonts w:ascii="Times New Roman" w:hAnsi="Times New Roman" w:cs="Times New Roman"/>
          <w:lang w:val="en-US"/>
        </w:rPr>
        <w:t>"</w:t>
      </w:r>
      <w:r w:rsidR="002B1B89" w:rsidRPr="00100D6C">
        <w:rPr>
          <w:rFonts w:ascii="Times New Roman" w:hAnsi="Times New Roman" w:cs="Times New Roman"/>
          <w:lang w:val="en-US"/>
        </w:rPr>
        <w:t>legislative equality</w:t>
      </w:r>
      <w:r>
        <w:rPr>
          <w:rFonts w:ascii="Times New Roman" w:hAnsi="Times New Roman" w:cs="Times New Roman"/>
          <w:lang w:val="en-US"/>
        </w:rPr>
        <w:t>"</w:t>
      </w:r>
      <w:r w:rsidR="002B1B89" w:rsidRPr="00100D6C">
        <w:rPr>
          <w:rFonts w:ascii="Times New Roman" w:hAnsi="Times New Roman" w:cs="Times New Roman"/>
          <w:lang w:val="en-US"/>
        </w:rPr>
        <w:t>.</w:t>
      </w:r>
      <w:r w:rsidR="00503B7C" w:rsidRPr="00100D6C">
        <w:rPr>
          <w:rStyle w:val="FootnoteReference"/>
          <w:rFonts w:ascii="Times New Roman" w:hAnsi="Times New Roman" w:cs="Times New Roman"/>
          <w:lang w:val="en-US"/>
        </w:rPr>
        <w:footnoteReference w:id="88"/>
      </w:r>
      <w:r w:rsidR="008756F0" w:rsidRPr="00100D6C">
        <w:rPr>
          <w:rFonts w:ascii="Times New Roman" w:hAnsi="Times New Roman" w:cs="Times New Roman"/>
          <w:lang w:val="en-US"/>
        </w:rPr>
        <w:t xml:space="preserve"> The notion of legislative equality boils down to two broad principles. </w:t>
      </w:r>
      <w:r w:rsidR="00C33DE0" w:rsidRPr="00100D6C">
        <w:rPr>
          <w:rFonts w:ascii="Times New Roman" w:hAnsi="Times New Roman" w:cs="Times New Roman"/>
          <w:lang w:val="en-US"/>
        </w:rPr>
        <w:t xml:space="preserve">At a fundamental level, states </w:t>
      </w:r>
      <w:r w:rsidR="00747588" w:rsidRPr="00100D6C">
        <w:rPr>
          <w:rFonts w:ascii="Times New Roman" w:hAnsi="Times New Roman" w:cs="Times New Roman"/>
          <w:lang w:val="en-US"/>
        </w:rPr>
        <w:t xml:space="preserve">are equal in that they </w:t>
      </w:r>
      <w:r w:rsidR="00C33DE0" w:rsidRPr="00100D6C">
        <w:rPr>
          <w:rFonts w:ascii="Times New Roman" w:hAnsi="Times New Roman" w:cs="Times New Roman"/>
          <w:lang w:val="en-US"/>
        </w:rPr>
        <w:t xml:space="preserve">are presumed to be obligated only to the extent of their actual or constructive consent, i.e. they cannot be subjected to obligations to which they have not </w:t>
      </w:r>
      <w:r w:rsidR="00203211" w:rsidRPr="00100D6C">
        <w:rPr>
          <w:rFonts w:ascii="Times New Roman" w:hAnsi="Times New Roman" w:cs="Times New Roman"/>
          <w:lang w:val="en-US"/>
        </w:rPr>
        <w:t>consented</w:t>
      </w:r>
      <w:r w:rsidR="00C33DE0" w:rsidRPr="00100D6C">
        <w:rPr>
          <w:rFonts w:ascii="Times New Roman" w:hAnsi="Times New Roman" w:cs="Times New Roman"/>
          <w:lang w:val="en-US"/>
        </w:rPr>
        <w:t xml:space="preserve">. This is the famous </w:t>
      </w:r>
      <w:r w:rsidR="00C33DE0" w:rsidRPr="00100D6C">
        <w:rPr>
          <w:rFonts w:ascii="Times New Roman" w:hAnsi="Times New Roman" w:cs="Times New Roman"/>
          <w:i/>
          <w:lang w:val="en-US"/>
        </w:rPr>
        <w:t>Lotus</w:t>
      </w:r>
      <w:r w:rsidR="00C33DE0" w:rsidRPr="00100D6C">
        <w:rPr>
          <w:rFonts w:ascii="Times New Roman" w:hAnsi="Times New Roman" w:cs="Times New Roman"/>
          <w:lang w:val="en-US"/>
        </w:rPr>
        <w:t xml:space="preserve"> principle according to which </w:t>
      </w:r>
      <w:r>
        <w:rPr>
          <w:rFonts w:ascii="Times New Roman" w:hAnsi="Times New Roman" w:cs="Times New Roman"/>
          <w:lang w:val="en-US"/>
        </w:rPr>
        <w:t>"</w:t>
      </w:r>
      <w:r w:rsidR="00C33DE0" w:rsidRPr="00100D6C">
        <w:rPr>
          <w:rFonts w:ascii="Times New Roman" w:hAnsi="Times New Roman" w:cs="Times New Roman"/>
          <w:lang w:val="en-US"/>
        </w:rPr>
        <w:t xml:space="preserve">the rules of law abiding upon States </w:t>
      </w:r>
      <w:r>
        <w:rPr>
          <w:rFonts w:ascii="Times New Roman" w:hAnsi="Times New Roman" w:cs="Times New Roman"/>
          <w:lang w:val="en-US"/>
        </w:rPr>
        <w:t>....</w:t>
      </w:r>
      <w:r w:rsidR="00C33DE0" w:rsidRPr="00100D6C">
        <w:rPr>
          <w:rFonts w:ascii="Times New Roman" w:hAnsi="Times New Roman" w:cs="Times New Roman"/>
          <w:lang w:val="en-US"/>
        </w:rPr>
        <w:t xml:space="preserve"> emanate from their own free will [</w:t>
      </w:r>
      <w:r w:rsidR="00D808B4" w:rsidRPr="00100D6C">
        <w:rPr>
          <w:rFonts w:ascii="Times New Roman" w:hAnsi="Times New Roman" w:cs="Times New Roman"/>
          <w:lang w:val="en-US"/>
        </w:rPr>
        <w:t xml:space="preserve">and are] </w:t>
      </w:r>
      <w:r w:rsidR="00C33DE0" w:rsidRPr="00100D6C">
        <w:rPr>
          <w:rFonts w:ascii="Times New Roman" w:hAnsi="Times New Roman" w:cs="Times New Roman"/>
          <w:lang w:val="en-US"/>
        </w:rPr>
        <w:t xml:space="preserve">established </w:t>
      </w:r>
      <w:r>
        <w:rPr>
          <w:rFonts w:ascii="Times New Roman" w:hAnsi="Times New Roman" w:cs="Times New Roman"/>
          <w:lang w:val="en-US"/>
        </w:rPr>
        <w:t>....</w:t>
      </w:r>
      <w:r w:rsidR="00C33DE0" w:rsidRPr="00100D6C">
        <w:rPr>
          <w:rFonts w:ascii="Times New Roman" w:hAnsi="Times New Roman" w:cs="Times New Roman"/>
          <w:lang w:val="en-US"/>
        </w:rPr>
        <w:t xml:space="preserve"> between co-existing independent communities</w:t>
      </w:r>
      <w:r>
        <w:rPr>
          <w:rFonts w:ascii="Times New Roman" w:hAnsi="Times New Roman" w:cs="Times New Roman"/>
          <w:lang w:val="en-US"/>
        </w:rPr>
        <w:t>."</w:t>
      </w:r>
      <w:r w:rsidR="00503B7C" w:rsidRPr="00100D6C">
        <w:rPr>
          <w:rStyle w:val="FootnoteReference"/>
          <w:rFonts w:ascii="Times New Roman" w:hAnsi="Times New Roman" w:cs="Times New Roman"/>
          <w:lang w:val="en-US"/>
        </w:rPr>
        <w:footnoteReference w:id="89"/>
      </w:r>
      <w:r w:rsidR="00C33DE0" w:rsidRPr="00100D6C">
        <w:rPr>
          <w:rFonts w:ascii="Times New Roman" w:hAnsi="Times New Roman" w:cs="Times New Roman"/>
          <w:lang w:val="en-US"/>
        </w:rPr>
        <w:t xml:space="preserve"> At a more practical or procedural level, sovereign equality requires states to be given an equal say in the creation of international norms. Traditionally, this has been taken to mean that states are entitled, in international proceedings, to equality of representation and equality of vote,</w:t>
      </w:r>
      <w:r w:rsidR="001A33F7" w:rsidRPr="00100D6C">
        <w:rPr>
          <w:rFonts w:ascii="Times New Roman" w:hAnsi="Times New Roman" w:cs="Times New Roman"/>
          <w:lang w:val="en-US"/>
        </w:rPr>
        <w:t xml:space="preserve"> and to an equal role in the formation of customary and treaty law.</w:t>
      </w:r>
      <w:r w:rsidR="005A1B94" w:rsidRPr="00100D6C">
        <w:rPr>
          <w:rStyle w:val="FootnoteReference"/>
          <w:rFonts w:ascii="Times New Roman" w:hAnsi="Times New Roman" w:cs="Times New Roman"/>
          <w:lang w:val="en-US"/>
        </w:rPr>
        <w:footnoteReference w:id="90"/>
      </w:r>
      <w:r w:rsidR="001A33F7" w:rsidRPr="00100D6C">
        <w:rPr>
          <w:rFonts w:ascii="Times New Roman" w:hAnsi="Times New Roman" w:cs="Times New Roman"/>
          <w:lang w:val="en-US"/>
        </w:rPr>
        <w:t xml:space="preserve"> </w:t>
      </w:r>
      <w:r w:rsidR="009E35D9" w:rsidRPr="00100D6C">
        <w:rPr>
          <w:rFonts w:ascii="Times New Roman" w:hAnsi="Times New Roman" w:cs="Times New Roman"/>
          <w:lang w:val="en-US"/>
        </w:rPr>
        <w:t xml:space="preserve">States are said to have the same </w:t>
      </w:r>
      <w:r>
        <w:rPr>
          <w:rFonts w:ascii="Times New Roman" w:hAnsi="Times New Roman" w:cs="Times New Roman"/>
          <w:lang w:val="en-US"/>
        </w:rPr>
        <w:t>"</w:t>
      </w:r>
      <w:r w:rsidR="009E35D9" w:rsidRPr="00100D6C">
        <w:rPr>
          <w:rFonts w:ascii="Times New Roman" w:hAnsi="Times New Roman" w:cs="Times New Roman"/>
          <w:lang w:val="en-US"/>
        </w:rPr>
        <w:t>capacity for rights</w:t>
      </w:r>
      <w:r>
        <w:rPr>
          <w:rFonts w:ascii="Times New Roman" w:hAnsi="Times New Roman" w:cs="Times New Roman"/>
          <w:lang w:val="en-US"/>
        </w:rPr>
        <w:t>"</w:t>
      </w:r>
      <w:r w:rsidR="009E35D9" w:rsidRPr="00100D6C">
        <w:rPr>
          <w:rFonts w:ascii="Times New Roman" w:hAnsi="Times New Roman" w:cs="Times New Roman"/>
          <w:lang w:val="en-US"/>
        </w:rPr>
        <w:t xml:space="preserve"> and </w:t>
      </w:r>
      <w:r w:rsidR="00D00134" w:rsidRPr="00100D6C">
        <w:rPr>
          <w:rFonts w:ascii="Times New Roman" w:hAnsi="Times New Roman" w:cs="Times New Roman"/>
          <w:lang w:val="en-US"/>
        </w:rPr>
        <w:t>equal competence</w:t>
      </w:r>
      <w:r w:rsidR="009E35D9" w:rsidRPr="00100D6C">
        <w:rPr>
          <w:rFonts w:ascii="Times New Roman" w:hAnsi="Times New Roman" w:cs="Times New Roman"/>
          <w:lang w:val="en-US"/>
        </w:rPr>
        <w:t xml:space="preserve"> to make and enforce laws. </w:t>
      </w:r>
      <w:r w:rsidR="001A33F7" w:rsidRPr="00100D6C">
        <w:rPr>
          <w:rFonts w:ascii="Times New Roman" w:hAnsi="Times New Roman" w:cs="Times New Roman"/>
          <w:lang w:val="en-US"/>
        </w:rPr>
        <w:t xml:space="preserve">International law-making, on this view, is thus predicated on a (liberal) vision of states as independent, autonomous agents </w:t>
      </w:r>
      <w:r w:rsidR="00D00134" w:rsidRPr="00100D6C">
        <w:rPr>
          <w:rFonts w:ascii="Times New Roman" w:hAnsi="Times New Roman" w:cs="Times New Roman"/>
          <w:lang w:val="en-US"/>
        </w:rPr>
        <w:t>that</w:t>
      </w:r>
      <w:r w:rsidR="001A33F7" w:rsidRPr="00100D6C">
        <w:rPr>
          <w:rFonts w:ascii="Times New Roman" w:hAnsi="Times New Roman" w:cs="Times New Roman"/>
          <w:lang w:val="en-US"/>
        </w:rPr>
        <w:t xml:space="preserve"> </w:t>
      </w:r>
      <w:r w:rsidR="00D00134" w:rsidRPr="00100D6C">
        <w:rPr>
          <w:rFonts w:ascii="Times New Roman" w:hAnsi="Times New Roman" w:cs="Times New Roman"/>
          <w:lang w:val="en-US"/>
        </w:rPr>
        <w:t>engage in</w:t>
      </w:r>
      <w:r w:rsidR="001A33F7" w:rsidRPr="00100D6C">
        <w:rPr>
          <w:rFonts w:ascii="Times New Roman" w:hAnsi="Times New Roman" w:cs="Times New Roman"/>
          <w:lang w:val="en-US"/>
        </w:rPr>
        <w:t xml:space="preserve"> international juridical transactions on an equal footing and produc</w:t>
      </w:r>
      <w:r w:rsidR="00D00134" w:rsidRPr="00100D6C">
        <w:rPr>
          <w:rFonts w:ascii="Times New Roman" w:hAnsi="Times New Roman" w:cs="Times New Roman"/>
          <w:lang w:val="en-US"/>
        </w:rPr>
        <w:t>e</w:t>
      </w:r>
      <w:r w:rsidR="001A33F7" w:rsidRPr="00100D6C">
        <w:rPr>
          <w:rFonts w:ascii="Times New Roman" w:hAnsi="Times New Roman" w:cs="Times New Roman"/>
          <w:lang w:val="en-US"/>
        </w:rPr>
        <w:t xml:space="preserve"> norms through conscious, regular and deliberate processes.</w:t>
      </w:r>
      <w:r w:rsidR="007C75C7" w:rsidRPr="00100D6C">
        <w:rPr>
          <w:rStyle w:val="FootnoteReference"/>
          <w:rFonts w:ascii="Times New Roman" w:hAnsi="Times New Roman" w:cs="Times New Roman"/>
          <w:lang w:val="en-US"/>
        </w:rPr>
        <w:footnoteReference w:id="91"/>
      </w:r>
    </w:p>
    <w:p w:rsidR="002A7C15" w:rsidRPr="00100D6C" w:rsidRDefault="002A7C15" w:rsidP="00857E93">
      <w:pPr>
        <w:jc w:val="both"/>
        <w:rPr>
          <w:rFonts w:ascii="Times New Roman" w:hAnsi="Times New Roman" w:cs="Times New Roman"/>
          <w:lang w:val="en-US"/>
        </w:rPr>
      </w:pPr>
      <w:r w:rsidRPr="00100D6C">
        <w:rPr>
          <w:rFonts w:ascii="Times New Roman" w:hAnsi="Times New Roman" w:cs="Times New Roman"/>
          <w:lang w:val="en-US"/>
        </w:rPr>
        <w:t xml:space="preserve">Legislative equality has never existed in a pure, unadulterated form in international law. It has always been the site of intense negotiations and, to an extent, the history of international law can be read has a history of struggles for sovereign equality, with great powers attempting to weaken or deflect the </w:t>
      </w:r>
      <w:r w:rsidRPr="00100D6C">
        <w:rPr>
          <w:rFonts w:ascii="Times New Roman" w:hAnsi="Times New Roman" w:cs="Times New Roman"/>
          <w:lang w:val="en-US"/>
        </w:rPr>
        <w:lastRenderedPageBreak/>
        <w:t>principle</w:t>
      </w:r>
      <w:r w:rsidR="00ED7D4E" w:rsidRPr="00100D6C">
        <w:rPr>
          <w:rFonts w:ascii="Times New Roman" w:hAnsi="Times New Roman" w:cs="Times New Roman"/>
          <w:lang w:val="en-US"/>
        </w:rPr>
        <w:t xml:space="preserve"> and smaller states investing</w:t>
      </w:r>
      <w:r w:rsidRPr="00100D6C">
        <w:rPr>
          <w:rFonts w:ascii="Times New Roman" w:hAnsi="Times New Roman" w:cs="Times New Roman"/>
          <w:lang w:val="en-US"/>
        </w:rPr>
        <w:t xml:space="preserve"> it in the hope t</w:t>
      </w:r>
      <w:r w:rsidR="00464B1B" w:rsidRPr="00100D6C">
        <w:rPr>
          <w:rFonts w:ascii="Times New Roman" w:hAnsi="Times New Roman" w:cs="Times New Roman"/>
          <w:lang w:val="en-US"/>
        </w:rPr>
        <w:t xml:space="preserve">hat it may one day deliver </w:t>
      </w:r>
      <w:r w:rsidRPr="00100D6C">
        <w:rPr>
          <w:rFonts w:ascii="Times New Roman" w:hAnsi="Times New Roman" w:cs="Times New Roman"/>
          <w:lang w:val="en-US"/>
        </w:rPr>
        <w:t>substantive benefits.</w:t>
      </w:r>
      <w:bookmarkStart w:id="29" w:name="_Ref447898716"/>
      <w:r w:rsidRPr="00100D6C">
        <w:rPr>
          <w:rStyle w:val="FootnoteReference"/>
          <w:rFonts w:ascii="Times New Roman" w:hAnsi="Times New Roman" w:cs="Times New Roman"/>
          <w:lang w:val="en-US"/>
        </w:rPr>
        <w:footnoteReference w:id="92"/>
      </w:r>
      <w:bookmarkEnd w:id="29"/>
      <w:r w:rsidR="00ED7D4E" w:rsidRPr="00100D6C">
        <w:rPr>
          <w:rFonts w:ascii="Times New Roman" w:hAnsi="Times New Roman" w:cs="Times New Roman"/>
          <w:lang w:val="en-US"/>
        </w:rPr>
        <w:t xml:space="preserve"> What is certain is that</w:t>
      </w:r>
      <w:r w:rsidRPr="00100D6C">
        <w:rPr>
          <w:rFonts w:ascii="Times New Roman" w:hAnsi="Times New Roman" w:cs="Times New Roman"/>
          <w:lang w:val="en-US"/>
        </w:rPr>
        <w:t xml:space="preserve"> account</w:t>
      </w:r>
      <w:r w:rsidR="00ED7D4E" w:rsidRPr="00100D6C">
        <w:rPr>
          <w:rFonts w:ascii="Times New Roman" w:hAnsi="Times New Roman" w:cs="Times New Roman"/>
          <w:lang w:val="en-US"/>
        </w:rPr>
        <w:t>s</w:t>
      </w:r>
      <w:r w:rsidRPr="00100D6C">
        <w:rPr>
          <w:rFonts w:ascii="Times New Roman" w:hAnsi="Times New Roman" w:cs="Times New Roman"/>
          <w:lang w:val="en-US"/>
        </w:rPr>
        <w:t xml:space="preserve"> of inter</w:t>
      </w:r>
      <w:r w:rsidR="00ED7D4E" w:rsidRPr="00100D6C">
        <w:rPr>
          <w:rFonts w:ascii="Times New Roman" w:hAnsi="Times New Roman" w:cs="Times New Roman"/>
          <w:lang w:val="en-US"/>
        </w:rPr>
        <w:t>national law</w:t>
      </w:r>
      <w:r w:rsidR="00AA1413" w:rsidRPr="00100D6C">
        <w:rPr>
          <w:rFonts w:ascii="Times New Roman" w:hAnsi="Times New Roman" w:cs="Times New Roman"/>
          <w:lang w:val="en-US"/>
        </w:rPr>
        <w:t xml:space="preserve">-making </w:t>
      </w:r>
      <w:r w:rsidR="00ED7D4E" w:rsidRPr="00100D6C">
        <w:rPr>
          <w:rFonts w:ascii="Times New Roman" w:hAnsi="Times New Roman" w:cs="Times New Roman"/>
          <w:lang w:val="en-US"/>
        </w:rPr>
        <w:t>that remain</w:t>
      </w:r>
      <w:r w:rsidRPr="00100D6C">
        <w:rPr>
          <w:rFonts w:ascii="Times New Roman" w:hAnsi="Times New Roman" w:cs="Times New Roman"/>
          <w:lang w:val="en-US"/>
        </w:rPr>
        <w:t xml:space="preserve"> exclusively predicated </w:t>
      </w:r>
      <w:r w:rsidR="007112A3">
        <w:rPr>
          <w:rFonts w:ascii="Times New Roman" w:hAnsi="Times New Roman" w:cs="Times New Roman"/>
          <w:lang w:val="en-US"/>
        </w:rPr>
        <w:t>up</w:t>
      </w:r>
      <w:r w:rsidRPr="00100D6C">
        <w:rPr>
          <w:rFonts w:ascii="Times New Roman" w:hAnsi="Times New Roman" w:cs="Times New Roman"/>
          <w:lang w:val="en-US"/>
        </w:rPr>
        <w:t xml:space="preserve">on the </w:t>
      </w:r>
      <w:r w:rsidR="00ED7D4E" w:rsidRPr="00100D6C">
        <w:rPr>
          <w:rFonts w:ascii="Times New Roman" w:hAnsi="Times New Roman" w:cs="Times New Roman"/>
          <w:lang w:val="en-US"/>
        </w:rPr>
        <w:t>presumption</w:t>
      </w:r>
      <w:r w:rsidRPr="00100D6C">
        <w:rPr>
          <w:rFonts w:ascii="Times New Roman" w:hAnsi="Times New Roman" w:cs="Times New Roman"/>
          <w:lang w:val="en-US"/>
        </w:rPr>
        <w:t xml:space="preserve"> of legislative equality </w:t>
      </w:r>
      <w:r w:rsidR="00ED7D4E" w:rsidRPr="00100D6C">
        <w:rPr>
          <w:rFonts w:ascii="Times New Roman" w:hAnsi="Times New Roman" w:cs="Times New Roman"/>
          <w:lang w:val="en-US"/>
        </w:rPr>
        <w:t>are at best deceptive and at worse dangerous</w:t>
      </w:r>
      <w:r w:rsidR="00771067" w:rsidRPr="00100D6C">
        <w:rPr>
          <w:rFonts w:ascii="Times New Roman" w:hAnsi="Times New Roman" w:cs="Times New Roman"/>
          <w:lang w:val="en-US"/>
        </w:rPr>
        <w:t xml:space="preserve">, </w:t>
      </w:r>
      <w:r w:rsidR="00ED7D4E" w:rsidRPr="00100D6C">
        <w:rPr>
          <w:rFonts w:ascii="Times New Roman" w:hAnsi="Times New Roman" w:cs="Times New Roman"/>
          <w:lang w:val="en-US"/>
        </w:rPr>
        <w:t>politically and epistemologically. Despite a broad commitment to sovereign equality, the international legal system is indeed</w:t>
      </w:r>
      <w:r w:rsidR="00AA1413" w:rsidRPr="00100D6C">
        <w:rPr>
          <w:rFonts w:ascii="Times New Roman" w:hAnsi="Times New Roman" w:cs="Times New Roman"/>
          <w:lang w:val="en-US"/>
        </w:rPr>
        <w:t xml:space="preserve"> profoundly</w:t>
      </w:r>
      <w:r w:rsidR="00ED7D4E" w:rsidRPr="00100D6C">
        <w:rPr>
          <w:rFonts w:ascii="Times New Roman" w:hAnsi="Times New Roman" w:cs="Times New Roman"/>
          <w:lang w:val="en-US"/>
        </w:rPr>
        <w:t xml:space="preserve"> structured</w:t>
      </w:r>
      <w:r w:rsidR="008B7C11" w:rsidRPr="00100D6C">
        <w:rPr>
          <w:rFonts w:ascii="Times New Roman" w:hAnsi="Times New Roman" w:cs="Times New Roman"/>
          <w:lang w:val="en-US"/>
        </w:rPr>
        <w:t xml:space="preserve"> by a variety of </w:t>
      </w:r>
      <w:r w:rsidR="00ED7D4E" w:rsidRPr="00100D6C">
        <w:rPr>
          <w:rFonts w:ascii="Times New Roman" w:hAnsi="Times New Roman" w:cs="Times New Roman"/>
          <w:lang w:val="en-US"/>
        </w:rPr>
        <w:t xml:space="preserve">hierarchies that affect not simply </w:t>
      </w:r>
      <w:r w:rsidR="008B7C11" w:rsidRPr="00100D6C">
        <w:rPr>
          <w:rFonts w:ascii="Times New Roman" w:hAnsi="Times New Roman" w:cs="Times New Roman"/>
          <w:lang w:val="en-US"/>
        </w:rPr>
        <w:t>the substance of legal norms</w:t>
      </w:r>
      <w:r w:rsidR="00AA1413" w:rsidRPr="00100D6C">
        <w:rPr>
          <w:rFonts w:ascii="Times New Roman" w:hAnsi="Times New Roman" w:cs="Times New Roman"/>
          <w:lang w:val="en-US"/>
        </w:rPr>
        <w:t xml:space="preserve"> but the very process</w:t>
      </w:r>
      <w:r w:rsidR="00D808B4" w:rsidRPr="00100D6C">
        <w:rPr>
          <w:rFonts w:ascii="Times New Roman" w:hAnsi="Times New Roman" w:cs="Times New Roman"/>
          <w:lang w:val="en-US"/>
        </w:rPr>
        <w:t>es</w:t>
      </w:r>
      <w:r w:rsidR="00ED7D4E" w:rsidRPr="00100D6C">
        <w:rPr>
          <w:rFonts w:ascii="Times New Roman" w:hAnsi="Times New Roman" w:cs="Times New Roman"/>
          <w:lang w:val="en-US"/>
        </w:rPr>
        <w:t xml:space="preserve"> of law-making. </w:t>
      </w:r>
      <w:r w:rsidR="008B7C11" w:rsidRPr="00100D6C">
        <w:rPr>
          <w:rFonts w:ascii="Times New Roman" w:hAnsi="Times New Roman" w:cs="Times New Roman"/>
          <w:lang w:val="en-US"/>
        </w:rPr>
        <w:t>These hierarchies, at times, simply operate as factual hierarchies of influence. As the rest of this section will demonstrate, however, they are more often than not sanctioned or institutionali</w:t>
      </w:r>
      <w:r w:rsidR="007112A3">
        <w:rPr>
          <w:rFonts w:ascii="Times New Roman" w:hAnsi="Times New Roman" w:cs="Times New Roman"/>
          <w:lang w:val="en-US"/>
        </w:rPr>
        <w:t>z</w:t>
      </w:r>
      <w:r w:rsidR="008B7C11" w:rsidRPr="00100D6C">
        <w:rPr>
          <w:rFonts w:ascii="Times New Roman" w:hAnsi="Times New Roman" w:cs="Times New Roman"/>
          <w:lang w:val="en-US"/>
        </w:rPr>
        <w:t xml:space="preserve">ed by the legal system itself. When this happens, they become legalized hierarchies that shape the making of international law from within, and not simply from without, as a mere matter of </w:t>
      </w:r>
      <w:r w:rsidR="000A4E4D" w:rsidRPr="00100D6C">
        <w:rPr>
          <w:rFonts w:ascii="Times New Roman" w:hAnsi="Times New Roman" w:cs="Times New Roman"/>
          <w:lang w:val="en-US"/>
        </w:rPr>
        <w:t xml:space="preserve">international </w:t>
      </w:r>
      <w:r w:rsidR="008B7C11" w:rsidRPr="00100D6C">
        <w:rPr>
          <w:rFonts w:ascii="Times New Roman" w:hAnsi="Times New Roman" w:cs="Times New Roman"/>
          <w:lang w:val="en-US"/>
        </w:rPr>
        <w:t>political economy.</w:t>
      </w:r>
    </w:p>
    <w:p w:rsidR="004C41A2" w:rsidRPr="00100D6C" w:rsidRDefault="00A2348A" w:rsidP="00865748">
      <w:pPr>
        <w:pStyle w:val="Heading2"/>
      </w:pPr>
      <w:r w:rsidRPr="00100D6C">
        <w:br/>
      </w:r>
      <w:bookmarkStart w:id="30" w:name="_Toc459318320"/>
      <w:r w:rsidR="004C41A2" w:rsidRPr="00100D6C">
        <w:t>B. Hierarchies of Influe</w:t>
      </w:r>
      <w:r w:rsidR="00B45963" w:rsidRPr="00100D6C">
        <w:t>nce: Great Powers, Great</w:t>
      </w:r>
      <w:r w:rsidR="002521C4" w:rsidRPr="00100D6C">
        <w:t xml:space="preserve"> (White)</w:t>
      </w:r>
      <w:r w:rsidR="004C41A2" w:rsidRPr="00100D6C">
        <w:t xml:space="preserve"> Men</w:t>
      </w:r>
      <w:r w:rsidR="00B45963" w:rsidRPr="00100D6C">
        <w:t>,</w:t>
      </w:r>
      <w:r w:rsidR="004C41A2" w:rsidRPr="00100D6C">
        <w:t xml:space="preserve"> and the Making of International Law</w:t>
      </w:r>
      <w:bookmarkEnd w:id="30"/>
    </w:p>
    <w:p w:rsidR="001A33F7" w:rsidRPr="00100D6C" w:rsidRDefault="001A33F7" w:rsidP="00857E93">
      <w:pPr>
        <w:jc w:val="both"/>
        <w:rPr>
          <w:rFonts w:ascii="Times New Roman" w:hAnsi="Times New Roman" w:cs="Times New Roman"/>
          <w:lang w:val="en-US"/>
        </w:rPr>
      </w:pPr>
    </w:p>
    <w:p w:rsidR="008B7C11" w:rsidRPr="00100D6C" w:rsidRDefault="00243415" w:rsidP="00857E93">
      <w:pPr>
        <w:jc w:val="both"/>
        <w:rPr>
          <w:rFonts w:ascii="Times New Roman" w:hAnsi="Times New Roman" w:cs="Times New Roman"/>
          <w:lang w:val="en-US"/>
        </w:rPr>
      </w:pPr>
      <w:r w:rsidRPr="00100D6C">
        <w:rPr>
          <w:rFonts w:ascii="Times New Roman" w:hAnsi="Times New Roman" w:cs="Times New Roman"/>
          <w:lang w:val="en-US"/>
        </w:rPr>
        <w:t xml:space="preserve">Law is the outcome of power struggles. It is both an expansion of and a </w:t>
      </w:r>
      <w:r w:rsidR="00342451" w:rsidRPr="00100D6C">
        <w:rPr>
          <w:rFonts w:ascii="Times New Roman" w:hAnsi="Times New Roman" w:cs="Times New Roman"/>
          <w:lang w:val="en-US"/>
        </w:rPr>
        <w:t>constraint</w:t>
      </w:r>
      <w:r w:rsidRPr="00100D6C">
        <w:rPr>
          <w:rFonts w:ascii="Times New Roman" w:hAnsi="Times New Roman" w:cs="Times New Roman"/>
          <w:lang w:val="en-US"/>
        </w:rPr>
        <w:t xml:space="preserve"> on power</w:t>
      </w:r>
      <w:r w:rsidR="00A04308" w:rsidRPr="00100D6C">
        <w:rPr>
          <w:rFonts w:ascii="Times New Roman" w:hAnsi="Times New Roman" w:cs="Times New Roman"/>
          <w:lang w:val="en-US"/>
        </w:rPr>
        <w:t xml:space="preserve"> structures</w:t>
      </w:r>
      <w:r w:rsidRPr="00100D6C">
        <w:rPr>
          <w:rFonts w:ascii="Times New Roman" w:hAnsi="Times New Roman" w:cs="Times New Roman"/>
          <w:lang w:val="en-US"/>
        </w:rPr>
        <w:t>, a legitimizer and a civilizer.</w:t>
      </w:r>
      <w:r w:rsidR="00A04308" w:rsidRPr="00100D6C">
        <w:rPr>
          <w:rFonts w:ascii="Times New Roman" w:hAnsi="Times New Roman" w:cs="Times New Roman"/>
          <w:lang w:val="en-US"/>
        </w:rPr>
        <w:t xml:space="preserve"> In any legal system, powerful agents</w:t>
      </w:r>
      <w:r w:rsidR="00216BBB" w:rsidRPr="00100D6C">
        <w:rPr>
          <w:rFonts w:ascii="Times New Roman" w:hAnsi="Times New Roman" w:cs="Times New Roman"/>
          <w:lang w:val="en-US"/>
        </w:rPr>
        <w:t xml:space="preserve"> are subject to the law but</w:t>
      </w:r>
      <w:r w:rsidR="00A04308" w:rsidRPr="00100D6C">
        <w:rPr>
          <w:rFonts w:ascii="Times New Roman" w:hAnsi="Times New Roman" w:cs="Times New Roman"/>
          <w:lang w:val="en-US"/>
        </w:rPr>
        <w:t xml:space="preserve"> are able to mobilize their resources (material, cultural, economic and otherwise) to influence the legislative process and produce </w:t>
      </w:r>
      <w:r w:rsidR="007112A3">
        <w:rPr>
          <w:rFonts w:ascii="Times New Roman" w:hAnsi="Times New Roman" w:cs="Times New Roman"/>
          <w:lang w:val="en-US"/>
        </w:rPr>
        <w:t>favo</w:t>
      </w:r>
      <w:r w:rsidR="000A4E4D" w:rsidRPr="00100D6C">
        <w:rPr>
          <w:rFonts w:ascii="Times New Roman" w:hAnsi="Times New Roman" w:cs="Times New Roman"/>
          <w:lang w:val="en-US"/>
        </w:rPr>
        <w:t xml:space="preserve">rable </w:t>
      </w:r>
      <w:r w:rsidR="00A04308" w:rsidRPr="00100D6C">
        <w:rPr>
          <w:rFonts w:ascii="Times New Roman" w:hAnsi="Times New Roman" w:cs="Times New Roman"/>
          <w:lang w:val="en-US"/>
        </w:rPr>
        <w:t>outcomes. This is a basic fact of juridical life to which international law is</w:t>
      </w:r>
      <w:r w:rsidR="00C6421C" w:rsidRPr="00100D6C">
        <w:rPr>
          <w:rFonts w:ascii="Times New Roman" w:hAnsi="Times New Roman" w:cs="Times New Roman"/>
          <w:lang w:val="en-US"/>
        </w:rPr>
        <w:t xml:space="preserve"> </w:t>
      </w:r>
      <w:r w:rsidR="004925F2" w:rsidRPr="00100D6C">
        <w:rPr>
          <w:rFonts w:ascii="Times New Roman" w:hAnsi="Times New Roman" w:cs="Times New Roman"/>
          <w:lang w:val="en-US"/>
        </w:rPr>
        <w:t>evidently</w:t>
      </w:r>
      <w:r w:rsidR="00A04308" w:rsidRPr="00100D6C">
        <w:rPr>
          <w:rFonts w:ascii="Times New Roman" w:hAnsi="Times New Roman" w:cs="Times New Roman"/>
          <w:lang w:val="en-US"/>
        </w:rPr>
        <w:t xml:space="preserve"> not immune.</w:t>
      </w:r>
      <w:r w:rsidR="009C4FC5" w:rsidRPr="00100D6C">
        <w:rPr>
          <w:rFonts w:ascii="Times New Roman" w:hAnsi="Times New Roman" w:cs="Times New Roman"/>
          <w:lang w:val="en-US"/>
        </w:rPr>
        <w:t xml:space="preserve"> In the international system, as in all legal systems in the world, </w:t>
      </w:r>
      <w:r w:rsidR="007112A3">
        <w:rPr>
          <w:rFonts w:ascii="Times New Roman" w:hAnsi="Times New Roman" w:cs="Times New Roman"/>
          <w:lang w:val="en-US"/>
        </w:rPr>
        <w:t xml:space="preserve">dominant actors - in particular </w:t>
      </w:r>
      <w:r w:rsidR="00B16997">
        <w:rPr>
          <w:rFonts w:ascii="Times New Roman" w:hAnsi="Times New Roman" w:cs="Times New Roman"/>
          <w:lang w:val="en-US"/>
        </w:rPr>
        <w:t>g</w:t>
      </w:r>
      <w:r w:rsidR="007112A3">
        <w:rPr>
          <w:rFonts w:ascii="Times New Roman" w:hAnsi="Times New Roman" w:cs="Times New Roman"/>
          <w:lang w:val="en-US"/>
        </w:rPr>
        <w:t xml:space="preserve">reat </w:t>
      </w:r>
      <w:r w:rsidR="00B16997">
        <w:rPr>
          <w:rFonts w:ascii="Times New Roman" w:hAnsi="Times New Roman" w:cs="Times New Roman"/>
          <w:lang w:val="en-US"/>
        </w:rPr>
        <w:t>p</w:t>
      </w:r>
      <w:r w:rsidR="007112A3">
        <w:rPr>
          <w:rFonts w:ascii="Times New Roman" w:hAnsi="Times New Roman" w:cs="Times New Roman"/>
          <w:lang w:val="en-US"/>
        </w:rPr>
        <w:t>owers - influence the law-making process and its distributive consequences.</w:t>
      </w:r>
      <w:r w:rsidR="009C4FC5" w:rsidRPr="00100D6C">
        <w:rPr>
          <w:rStyle w:val="FootnoteReference"/>
          <w:rFonts w:ascii="Times New Roman" w:hAnsi="Times New Roman" w:cs="Times New Roman"/>
          <w:lang w:val="en-US"/>
        </w:rPr>
        <w:footnoteReference w:id="93"/>
      </w:r>
    </w:p>
    <w:p w:rsidR="00BE5AE9" w:rsidRPr="00100D6C" w:rsidRDefault="00E65237" w:rsidP="00857E93">
      <w:pPr>
        <w:jc w:val="both"/>
        <w:rPr>
          <w:rFonts w:ascii="Times New Roman" w:hAnsi="Times New Roman" w:cs="Times New Roman"/>
          <w:lang w:val="en-US"/>
        </w:rPr>
      </w:pPr>
      <w:r w:rsidRPr="00100D6C">
        <w:rPr>
          <w:rFonts w:ascii="Times New Roman" w:hAnsi="Times New Roman" w:cs="Times New Roman"/>
          <w:lang w:val="en-US"/>
        </w:rPr>
        <w:t>The influence</w:t>
      </w:r>
      <w:r w:rsidR="004925F2" w:rsidRPr="00100D6C">
        <w:rPr>
          <w:rFonts w:ascii="Times New Roman" w:hAnsi="Times New Roman" w:cs="Times New Roman"/>
          <w:lang w:val="en-US"/>
        </w:rPr>
        <w:t xml:space="preserve"> of great powers is felt at</w:t>
      </w:r>
      <w:r w:rsidRPr="00100D6C">
        <w:rPr>
          <w:rFonts w:ascii="Times New Roman" w:hAnsi="Times New Roman" w:cs="Times New Roman"/>
          <w:lang w:val="en-US"/>
        </w:rPr>
        <w:t xml:space="preserve"> different levels of the international legislative process. </w:t>
      </w:r>
      <w:r w:rsidR="00507648" w:rsidRPr="00100D6C">
        <w:rPr>
          <w:rFonts w:ascii="Times New Roman" w:hAnsi="Times New Roman" w:cs="Times New Roman"/>
          <w:lang w:val="en-US"/>
        </w:rPr>
        <w:t>In treaty-making</w:t>
      </w:r>
      <w:r w:rsidR="00AF6D1A" w:rsidRPr="00100D6C">
        <w:rPr>
          <w:rFonts w:ascii="Times New Roman" w:hAnsi="Times New Roman" w:cs="Times New Roman"/>
          <w:lang w:val="en-US"/>
        </w:rPr>
        <w:t xml:space="preserve">, </w:t>
      </w:r>
      <w:r w:rsidR="007112A3">
        <w:rPr>
          <w:rFonts w:ascii="Times New Roman" w:hAnsi="Times New Roman" w:cs="Times New Roman"/>
          <w:lang w:val="en-US"/>
        </w:rPr>
        <w:t>g</w:t>
      </w:r>
      <w:r w:rsidR="00AF6D1A" w:rsidRPr="00100D6C">
        <w:rPr>
          <w:rFonts w:ascii="Times New Roman" w:hAnsi="Times New Roman" w:cs="Times New Roman"/>
          <w:lang w:val="en-US"/>
        </w:rPr>
        <w:t xml:space="preserve">reat powers have historically </w:t>
      </w:r>
      <w:r w:rsidR="001D5780" w:rsidRPr="00100D6C">
        <w:rPr>
          <w:rFonts w:ascii="Times New Roman" w:hAnsi="Times New Roman" w:cs="Times New Roman"/>
          <w:lang w:val="en-US"/>
        </w:rPr>
        <w:t xml:space="preserve">enjoyed </w:t>
      </w:r>
      <w:r w:rsidR="004925F2" w:rsidRPr="00100D6C">
        <w:rPr>
          <w:rFonts w:ascii="Times New Roman" w:hAnsi="Times New Roman" w:cs="Times New Roman"/>
          <w:lang w:val="en-US"/>
        </w:rPr>
        <w:t>quasi-hegemonic privileges</w:t>
      </w:r>
      <w:r w:rsidR="001D5780" w:rsidRPr="00100D6C">
        <w:rPr>
          <w:rFonts w:ascii="Times New Roman" w:hAnsi="Times New Roman" w:cs="Times New Roman"/>
          <w:lang w:val="en-US"/>
        </w:rPr>
        <w:t xml:space="preserve">. </w:t>
      </w:r>
      <w:r w:rsidR="00C0782B" w:rsidRPr="00100D6C">
        <w:rPr>
          <w:rFonts w:ascii="Times New Roman" w:hAnsi="Times New Roman" w:cs="Times New Roman"/>
          <w:lang w:val="en-US"/>
        </w:rPr>
        <w:t>For</w:t>
      </w:r>
      <w:r w:rsidR="001D5780" w:rsidRPr="00100D6C">
        <w:rPr>
          <w:rFonts w:ascii="Times New Roman" w:hAnsi="Times New Roman" w:cs="Times New Roman"/>
          <w:lang w:val="en-US"/>
        </w:rPr>
        <w:t xml:space="preserve"> three centuries following the Treaties of </w:t>
      </w:r>
      <w:r w:rsidR="009B31F7" w:rsidRPr="00100D6C">
        <w:rPr>
          <w:rFonts w:ascii="Times New Roman" w:hAnsi="Times New Roman" w:cs="Times New Roman"/>
          <w:lang w:val="en-US"/>
        </w:rPr>
        <w:t>Westphalia</w:t>
      </w:r>
      <w:r w:rsidR="008340D2" w:rsidRPr="00100D6C">
        <w:rPr>
          <w:rFonts w:ascii="Times New Roman" w:hAnsi="Times New Roman" w:cs="Times New Roman"/>
          <w:lang w:val="en-US"/>
        </w:rPr>
        <w:t>, as European nations expanded their i</w:t>
      </w:r>
      <w:r w:rsidR="00B75FAE" w:rsidRPr="00100D6C">
        <w:rPr>
          <w:rFonts w:ascii="Times New Roman" w:hAnsi="Times New Roman" w:cs="Times New Roman"/>
          <w:lang w:val="en-US"/>
        </w:rPr>
        <w:t>nfluence across the globe, they</w:t>
      </w:r>
      <w:r w:rsidR="008340D2" w:rsidRPr="00100D6C">
        <w:rPr>
          <w:rFonts w:ascii="Times New Roman" w:hAnsi="Times New Roman" w:cs="Times New Roman"/>
          <w:lang w:val="en-US"/>
        </w:rPr>
        <w:t xml:space="preserve"> organi</w:t>
      </w:r>
      <w:r w:rsidR="007112A3">
        <w:rPr>
          <w:rFonts w:ascii="Times New Roman" w:hAnsi="Times New Roman" w:cs="Times New Roman"/>
          <w:lang w:val="en-US"/>
        </w:rPr>
        <w:t>z</w:t>
      </w:r>
      <w:r w:rsidR="008340D2" w:rsidRPr="00100D6C">
        <w:rPr>
          <w:rFonts w:ascii="Times New Roman" w:hAnsi="Times New Roman" w:cs="Times New Roman"/>
          <w:lang w:val="en-US"/>
        </w:rPr>
        <w:t>ed and formali</w:t>
      </w:r>
      <w:r w:rsidR="007112A3">
        <w:rPr>
          <w:rFonts w:ascii="Times New Roman" w:hAnsi="Times New Roman" w:cs="Times New Roman"/>
          <w:lang w:val="en-US"/>
        </w:rPr>
        <w:t>z</w:t>
      </w:r>
      <w:r w:rsidR="008340D2" w:rsidRPr="00100D6C">
        <w:rPr>
          <w:rFonts w:ascii="Times New Roman" w:hAnsi="Times New Roman" w:cs="Times New Roman"/>
          <w:lang w:val="en-US"/>
        </w:rPr>
        <w:t xml:space="preserve">ed their relationship with </w:t>
      </w:r>
      <w:r w:rsidR="00D25D3E" w:rsidRPr="00100D6C">
        <w:rPr>
          <w:rFonts w:ascii="Times New Roman" w:hAnsi="Times New Roman" w:cs="Times New Roman"/>
          <w:lang w:val="en-US"/>
        </w:rPr>
        <w:t>polities on the periphery</w:t>
      </w:r>
      <w:r w:rsidR="008340D2" w:rsidRPr="00100D6C">
        <w:rPr>
          <w:rFonts w:ascii="Times New Roman" w:hAnsi="Times New Roman" w:cs="Times New Roman"/>
          <w:lang w:val="en-US"/>
        </w:rPr>
        <w:t xml:space="preserve"> through treaties.</w:t>
      </w:r>
      <w:r w:rsidR="00FB4EB9" w:rsidRPr="00100D6C">
        <w:rPr>
          <w:rStyle w:val="FootnoteReference"/>
          <w:rFonts w:ascii="Times New Roman" w:hAnsi="Times New Roman" w:cs="Times New Roman"/>
          <w:lang w:val="en-US"/>
        </w:rPr>
        <w:footnoteReference w:id="94"/>
      </w:r>
      <w:r w:rsidR="008340D2" w:rsidRPr="00100D6C">
        <w:rPr>
          <w:rFonts w:ascii="Times New Roman" w:hAnsi="Times New Roman" w:cs="Times New Roman"/>
          <w:lang w:val="en-US"/>
        </w:rPr>
        <w:t xml:space="preserve"> Th</w:t>
      </w:r>
      <w:r w:rsidR="008B5E50" w:rsidRPr="00100D6C">
        <w:rPr>
          <w:rFonts w:ascii="Times New Roman" w:hAnsi="Times New Roman" w:cs="Times New Roman"/>
          <w:lang w:val="en-US"/>
        </w:rPr>
        <w:t>o</w:t>
      </w:r>
      <w:r w:rsidR="008340D2" w:rsidRPr="00100D6C">
        <w:rPr>
          <w:rFonts w:ascii="Times New Roman" w:hAnsi="Times New Roman" w:cs="Times New Roman"/>
          <w:lang w:val="en-US"/>
        </w:rPr>
        <w:t>se treaties</w:t>
      </w:r>
      <w:r w:rsidR="00B75FAE" w:rsidRPr="00100D6C">
        <w:rPr>
          <w:rFonts w:ascii="Times New Roman" w:hAnsi="Times New Roman" w:cs="Times New Roman"/>
          <w:lang w:val="en-US"/>
        </w:rPr>
        <w:t xml:space="preserve"> - used to acquire territories, secure trade benefits, and protect </w:t>
      </w:r>
      <w:r w:rsidR="0009359E" w:rsidRPr="00100D6C">
        <w:rPr>
          <w:rFonts w:ascii="Times New Roman" w:hAnsi="Times New Roman" w:cs="Times New Roman"/>
          <w:lang w:val="en-US"/>
        </w:rPr>
        <w:t xml:space="preserve">the property rights of </w:t>
      </w:r>
      <w:r w:rsidR="00F83BF0" w:rsidRPr="00100D6C">
        <w:rPr>
          <w:rFonts w:ascii="Times New Roman" w:hAnsi="Times New Roman" w:cs="Times New Roman"/>
          <w:lang w:val="en-US"/>
        </w:rPr>
        <w:t xml:space="preserve">European </w:t>
      </w:r>
      <w:r w:rsidR="0009359E" w:rsidRPr="00100D6C">
        <w:rPr>
          <w:rFonts w:ascii="Times New Roman" w:hAnsi="Times New Roman" w:cs="Times New Roman"/>
          <w:lang w:val="en-US"/>
        </w:rPr>
        <w:t>citizens</w:t>
      </w:r>
      <w:r w:rsidR="00DB6887" w:rsidRPr="00100D6C">
        <w:rPr>
          <w:rFonts w:ascii="Times New Roman" w:hAnsi="Times New Roman" w:cs="Times New Roman"/>
          <w:lang w:val="en-US"/>
        </w:rPr>
        <w:t xml:space="preserve"> - were not</w:t>
      </w:r>
      <w:r w:rsidR="00B75FAE" w:rsidRPr="00100D6C">
        <w:rPr>
          <w:rFonts w:ascii="Times New Roman" w:hAnsi="Times New Roman" w:cs="Times New Roman"/>
          <w:lang w:val="en-US"/>
        </w:rPr>
        <w:t xml:space="preserve"> negotiated by nations treating each other as equals </w:t>
      </w:r>
      <w:r w:rsidR="005E42C2" w:rsidRPr="00100D6C">
        <w:rPr>
          <w:rFonts w:ascii="Times New Roman" w:hAnsi="Times New Roman" w:cs="Times New Roman"/>
          <w:lang w:val="en-US"/>
        </w:rPr>
        <w:t>but</w:t>
      </w:r>
      <w:r w:rsidR="00B75FAE" w:rsidRPr="00100D6C">
        <w:rPr>
          <w:rFonts w:ascii="Times New Roman" w:hAnsi="Times New Roman" w:cs="Times New Roman"/>
          <w:lang w:val="en-US"/>
        </w:rPr>
        <w:t xml:space="preserve"> were more often than not imposed on non-European states under </w:t>
      </w:r>
      <w:r w:rsidR="00216BBB" w:rsidRPr="00100D6C">
        <w:rPr>
          <w:rFonts w:ascii="Times New Roman" w:hAnsi="Times New Roman" w:cs="Times New Roman"/>
          <w:lang w:val="en-US"/>
        </w:rPr>
        <w:t>duress</w:t>
      </w:r>
      <w:r w:rsidR="00F83BF0" w:rsidRPr="00100D6C">
        <w:rPr>
          <w:rFonts w:ascii="Times New Roman" w:hAnsi="Times New Roman" w:cs="Times New Roman"/>
          <w:lang w:val="en-US"/>
        </w:rPr>
        <w:t xml:space="preserve">, with </w:t>
      </w:r>
      <w:r w:rsidR="004925F2" w:rsidRPr="00100D6C">
        <w:rPr>
          <w:rFonts w:ascii="Times New Roman" w:hAnsi="Times New Roman" w:cs="Times New Roman"/>
          <w:lang w:val="en-US"/>
        </w:rPr>
        <w:t>flawless</w:t>
      </w:r>
      <w:r w:rsidR="00F83BF0" w:rsidRPr="00100D6C">
        <w:rPr>
          <w:rFonts w:ascii="Times New Roman" w:hAnsi="Times New Roman" w:cs="Times New Roman"/>
          <w:lang w:val="en-US"/>
        </w:rPr>
        <w:t xml:space="preserve"> legal validity</w:t>
      </w:r>
      <w:r w:rsidR="00B75FAE" w:rsidRPr="00100D6C">
        <w:rPr>
          <w:rFonts w:ascii="Times New Roman" w:hAnsi="Times New Roman" w:cs="Times New Roman"/>
          <w:lang w:val="en-US"/>
        </w:rPr>
        <w:t>.</w:t>
      </w:r>
      <w:r w:rsidR="008B5E50" w:rsidRPr="00100D6C">
        <w:rPr>
          <w:rStyle w:val="FootnoteReference"/>
          <w:rFonts w:ascii="Times New Roman" w:hAnsi="Times New Roman" w:cs="Times New Roman"/>
          <w:lang w:val="en-US"/>
        </w:rPr>
        <w:footnoteReference w:id="95"/>
      </w:r>
      <w:r w:rsidR="00F83BF0" w:rsidRPr="00100D6C">
        <w:rPr>
          <w:rFonts w:ascii="Times New Roman" w:hAnsi="Times New Roman" w:cs="Times New Roman"/>
          <w:lang w:val="en-US"/>
        </w:rPr>
        <w:t xml:space="preserve"> </w:t>
      </w:r>
      <w:r w:rsidR="008B5E50" w:rsidRPr="00100D6C">
        <w:rPr>
          <w:rFonts w:ascii="Times New Roman" w:hAnsi="Times New Roman" w:cs="Times New Roman"/>
          <w:lang w:val="en-US"/>
        </w:rPr>
        <w:t>W</w:t>
      </w:r>
      <w:r w:rsidR="00F83BF0" w:rsidRPr="00100D6C">
        <w:rPr>
          <w:rFonts w:ascii="Times New Roman" w:hAnsi="Times New Roman" w:cs="Times New Roman"/>
          <w:lang w:val="en-US"/>
        </w:rPr>
        <w:t>ithin Europe, treaty-making was deeply shaped by power differentials</w:t>
      </w:r>
      <w:r w:rsidR="008B5E50" w:rsidRPr="00100D6C">
        <w:rPr>
          <w:rFonts w:ascii="Times New Roman" w:hAnsi="Times New Roman" w:cs="Times New Roman"/>
          <w:lang w:val="en-US"/>
        </w:rPr>
        <w:t xml:space="preserve"> too</w:t>
      </w:r>
      <w:r w:rsidR="00F83BF0" w:rsidRPr="00100D6C">
        <w:rPr>
          <w:rFonts w:ascii="Times New Roman" w:hAnsi="Times New Roman" w:cs="Times New Roman"/>
          <w:lang w:val="en-US"/>
        </w:rPr>
        <w:t xml:space="preserve">, despite Westphalia's egalitarian promise. Nowhere was this more obvious </w:t>
      </w:r>
      <w:r w:rsidR="009B2FCD" w:rsidRPr="00100D6C">
        <w:rPr>
          <w:rFonts w:ascii="Times New Roman" w:hAnsi="Times New Roman" w:cs="Times New Roman"/>
          <w:lang w:val="en-US"/>
        </w:rPr>
        <w:t>than in the 19th century</w:t>
      </w:r>
      <w:r w:rsidR="00F83BF0" w:rsidRPr="00100D6C">
        <w:rPr>
          <w:rFonts w:ascii="Times New Roman" w:hAnsi="Times New Roman" w:cs="Times New Roman"/>
          <w:lang w:val="en-US"/>
        </w:rPr>
        <w:t xml:space="preserve"> Concert system. </w:t>
      </w:r>
      <w:r w:rsidR="00DB6887" w:rsidRPr="00100D6C">
        <w:rPr>
          <w:rFonts w:ascii="Times New Roman" w:hAnsi="Times New Roman" w:cs="Times New Roman"/>
          <w:lang w:val="en-US"/>
        </w:rPr>
        <w:t>The Congress of Vie</w:t>
      </w:r>
      <w:r w:rsidR="00B16997">
        <w:rPr>
          <w:rFonts w:ascii="Times New Roman" w:hAnsi="Times New Roman" w:cs="Times New Roman"/>
          <w:lang w:val="en-US"/>
        </w:rPr>
        <w:t>nna in 1815 heralded an era of g</w:t>
      </w:r>
      <w:r w:rsidR="00DB6887" w:rsidRPr="00100D6C">
        <w:rPr>
          <w:rFonts w:ascii="Times New Roman" w:hAnsi="Times New Roman" w:cs="Times New Roman"/>
          <w:lang w:val="en-US"/>
        </w:rPr>
        <w:t xml:space="preserve">reat power management in Europe in which the four (then five) </w:t>
      </w:r>
      <w:r w:rsidR="00B16997">
        <w:rPr>
          <w:rFonts w:ascii="Times New Roman" w:hAnsi="Times New Roman" w:cs="Times New Roman"/>
          <w:lang w:val="en-US"/>
        </w:rPr>
        <w:t>g</w:t>
      </w:r>
      <w:r w:rsidR="00DB6887" w:rsidRPr="00100D6C">
        <w:rPr>
          <w:rFonts w:ascii="Times New Roman" w:hAnsi="Times New Roman" w:cs="Times New Roman"/>
          <w:lang w:val="en-US"/>
        </w:rPr>
        <w:t>reat powers of the day</w:t>
      </w:r>
      <w:r w:rsidR="00216BBB" w:rsidRPr="00100D6C">
        <w:rPr>
          <w:rFonts w:ascii="Times New Roman" w:hAnsi="Times New Roman" w:cs="Times New Roman"/>
          <w:lang w:val="en-US"/>
        </w:rPr>
        <w:t xml:space="preserve"> made decisions for the rest of Europe with little or no participation by other </w:t>
      </w:r>
      <w:r w:rsidR="00B16997">
        <w:rPr>
          <w:rFonts w:ascii="Times New Roman" w:hAnsi="Times New Roman" w:cs="Times New Roman"/>
          <w:lang w:val="en-US"/>
        </w:rPr>
        <w:t>s</w:t>
      </w:r>
      <w:r w:rsidR="00216BBB" w:rsidRPr="00100D6C">
        <w:rPr>
          <w:rFonts w:ascii="Times New Roman" w:hAnsi="Times New Roman" w:cs="Times New Roman"/>
          <w:lang w:val="en-US"/>
        </w:rPr>
        <w:t xml:space="preserve">tates. In the Concert system, the </w:t>
      </w:r>
      <w:r w:rsidR="00B16997">
        <w:rPr>
          <w:rFonts w:ascii="Times New Roman" w:hAnsi="Times New Roman" w:cs="Times New Roman"/>
          <w:lang w:val="en-US"/>
        </w:rPr>
        <w:t>g</w:t>
      </w:r>
      <w:r w:rsidR="00216BBB" w:rsidRPr="00100D6C">
        <w:rPr>
          <w:rFonts w:ascii="Times New Roman" w:hAnsi="Times New Roman" w:cs="Times New Roman"/>
          <w:lang w:val="en-US"/>
        </w:rPr>
        <w:t>reat powers</w:t>
      </w:r>
      <w:r w:rsidR="005F6BF1" w:rsidRPr="00100D6C">
        <w:rPr>
          <w:rFonts w:ascii="Times New Roman" w:hAnsi="Times New Roman" w:cs="Times New Roman"/>
          <w:lang w:val="en-US"/>
        </w:rPr>
        <w:t xml:space="preserve"> </w:t>
      </w:r>
      <w:r w:rsidR="00FC269B" w:rsidRPr="00100D6C">
        <w:rPr>
          <w:rFonts w:ascii="Times New Roman" w:hAnsi="Times New Roman" w:cs="Times New Roman"/>
          <w:lang w:val="en-US"/>
        </w:rPr>
        <w:t>decided the fate of small countries,</w:t>
      </w:r>
      <w:r w:rsidR="00216BBB" w:rsidRPr="00100D6C">
        <w:rPr>
          <w:rFonts w:ascii="Times New Roman" w:hAnsi="Times New Roman" w:cs="Times New Roman"/>
          <w:lang w:val="en-US"/>
        </w:rPr>
        <w:t xml:space="preserve"> rearranged the map of Europe and laid down rules of international law on the status of international rivers, the status of diplomatic representatives or the suppression of the slave trade</w:t>
      </w:r>
      <w:r w:rsidR="00FC269B" w:rsidRPr="00100D6C">
        <w:rPr>
          <w:rFonts w:ascii="Times New Roman" w:hAnsi="Times New Roman" w:cs="Times New Roman"/>
          <w:lang w:val="en-US"/>
        </w:rPr>
        <w:t xml:space="preserve">. The </w:t>
      </w:r>
      <w:r w:rsidR="00B16997">
        <w:rPr>
          <w:rFonts w:ascii="Times New Roman" w:hAnsi="Times New Roman" w:cs="Times New Roman"/>
          <w:lang w:val="en-US"/>
        </w:rPr>
        <w:t>g</w:t>
      </w:r>
      <w:r w:rsidR="00FC269B" w:rsidRPr="00100D6C">
        <w:rPr>
          <w:rFonts w:ascii="Times New Roman" w:hAnsi="Times New Roman" w:cs="Times New Roman"/>
          <w:lang w:val="en-US"/>
        </w:rPr>
        <w:t xml:space="preserve">reat five acted as self-appointed law-makers and other states accepted the rules laid down by them. </w:t>
      </w:r>
      <w:r w:rsidR="005C5E7B" w:rsidRPr="00100D6C">
        <w:rPr>
          <w:rFonts w:ascii="Times New Roman" w:hAnsi="Times New Roman" w:cs="Times New Roman"/>
          <w:lang w:val="en-US"/>
        </w:rPr>
        <w:t>Agreements</w:t>
      </w:r>
      <w:r w:rsidR="00BE5AE9" w:rsidRPr="00100D6C">
        <w:rPr>
          <w:rFonts w:ascii="Times New Roman" w:hAnsi="Times New Roman" w:cs="Times New Roman"/>
          <w:lang w:val="en-US"/>
        </w:rPr>
        <w:t xml:space="preserve"> were signed, but these </w:t>
      </w:r>
      <w:r w:rsidR="00BE5AE9" w:rsidRPr="00100D6C">
        <w:rPr>
          <w:rFonts w:ascii="Times New Roman" w:hAnsi="Times New Roman" w:cs="Times New Roman"/>
          <w:lang w:val="en-US"/>
        </w:rPr>
        <w:lastRenderedPageBreak/>
        <w:t xml:space="preserve">merely </w:t>
      </w:r>
      <w:r w:rsidR="005C5E7B" w:rsidRPr="00100D6C">
        <w:rPr>
          <w:rFonts w:ascii="Times New Roman" w:hAnsi="Times New Roman" w:cs="Times New Roman"/>
          <w:lang w:val="en-US"/>
        </w:rPr>
        <w:t>endorsed</w:t>
      </w:r>
      <w:r w:rsidR="00BE5AE9" w:rsidRPr="00100D6C">
        <w:rPr>
          <w:rFonts w:ascii="Times New Roman" w:hAnsi="Times New Roman" w:cs="Times New Roman"/>
          <w:lang w:val="en-US"/>
        </w:rPr>
        <w:t xml:space="preserve"> the pre-determination</w:t>
      </w:r>
      <w:r w:rsidR="004C186A" w:rsidRPr="00100D6C">
        <w:rPr>
          <w:rFonts w:ascii="Times New Roman" w:hAnsi="Times New Roman" w:cs="Times New Roman"/>
          <w:lang w:val="en-US"/>
        </w:rPr>
        <w:t>s</w:t>
      </w:r>
      <w:r w:rsidR="00BE5AE9" w:rsidRPr="00100D6C">
        <w:rPr>
          <w:rFonts w:ascii="Times New Roman" w:hAnsi="Times New Roman" w:cs="Times New Roman"/>
          <w:lang w:val="en-US"/>
        </w:rPr>
        <w:t xml:space="preserve"> of the leading states.</w:t>
      </w:r>
      <w:r w:rsidR="004C186A" w:rsidRPr="00100D6C">
        <w:rPr>
          <w:rFonts w:ascii="Times New Roman" w:hAnsi="Times New Roman" w:cs="Times New Roman"/>
          <w:lang w:val="en-US"/>
        </w:rPr>
        <w:t xml:space="preserve"> The </w:t>
      </w:r>
      <w:r w:rsidR="00B16997">
        <w:rPr>
          <w:rFonts w:ascii="Times New Roman" w:hAnsi="Times New Roman" w:cs="Times New Roman"/>
          <w:lang w:val="en-US"/>
        </w:rPr>
        <w:t>g</w:t>
      </w:r>
      <w:r w:rsidR="004C186A" w:rsidRPr="00100D6C">
        <w:rPr>
          <w:rFonts w:ascii="Times New Roman" w:hAnsi="Times New Roman" w:cs="Times New Roman"/>
          <w:lang w:val="en-US"/>
        </w:rPr>
        <w:t xml:space="preserve">reat powers made the law, and smaller powers </w:t>
      </w:r>
      <w:r w:rsidR="00C0782B" w:rsidRPr="00100D6C">
        <w:rPr>
          <w:rFonts w:ascii="Times New Roman" w:hAnsi="Times New Roman" w:cs="Times New Roman"/>
          <w:lang w:val="en-US"/>
        </w:rPr>
        <w:t>ratified</w:t>
      </w:r>
      <w:r w:rsidR="004C186A" w:rsidRPr="00100D6C">
        <w:rPr>
          <w:rFonts w:ascii="Times New Roman" w:hAnsi="Times New Roman" w:cs="Times New Roman"/>
          <w:lang w:val="en-US"/>
        </w:rPr>
        <w:t xml:space="preserve"> the treaties.</w:t>
      </w:r>
      <w:r w:rsidR="005E42C2" w:rsidRPr="00100D6C">
        <w:rPr>
          <w:rStyle w:val="FootnoteReference"/>
          <w:rFonts w:ascii="Times New Roman" w:hAnsi="Times New Roman" w:cs="Times New Roman"/>
          <w:lang w:val="en-US"/>
        </w:rPr>
        <w:footnoteReference w:id="96"/>
      </w:r>
    </w:p>
    <w:p w:rsidR="00130B49" w:rsidRPr="00100D6C" w:rsidRDefault="00A17BDD" w:rsidP="00130B49">
      <w:pPr>
        <w:jc w:val="both"/>
        <w:rPr>
          <w:rFonts w:ascii="Times New Roman" w:hAnsi="Times New Roman" w:cs="Times New Roman"/>
          <w:lang w:val="en-US"/>
        </w:rPr>
      </w:pPr>
      <w:r w:rsidRPr="00100D6C">
        <w:rPr>
          <w:rFonts w:ascii="Times New Roman" w:hAnsi="Times New Roman" w:cs="Times New Roman"/>
          <w:lang w:val="en-US"/>
        </w:rPr>
        <w:t xml:space="preserve">The Concert </w:t>
      </w:r>
      <w:r w:rsidR="00B16997">
        <w:rPr>
          <w:rFonts w:ascii="Times New Roman" w:hAnsi="Times New Roman" w:cs="Times New Roman"/>
          <w:lang w:val="en-US"/>
        </w:rPr>
        <w:t>s</w:t>
      </w:r>
      <w:r w:rsidRPr="00100D6C">
        <w:rPr>
          <w:rFonts w:ascii="Times New Roman" w:hAnsi="Times New Roman" w:cs="Times New Roman"/>
          <w:lang w:val="en-US"/>
        </w:rPr>
        <w:t>y</w:t>
      </w:r>
      <w:r w:rsidR="00B16997">
        <w:rPr>
          <w:rFonts w:ascii="Times New Roman" w:hAnsi="Times New Roman" w:cs="Times New Roman"/>
          <w:lang w:val="en-US"/>
        </w:rPr>
        <w:t>stem provided an international "learning experience"</w:t>
      </w:r>
      <w:r w:rsidRPr="00100D6C">
        <w:rPr>
          <w:rFonts w:ascii="Times New Roman" w:hAnsi="Times New Roman" w:cs="Times New Roman"/>
          <w:lang w:val="en-US"/>
        </w:rPr>
        <w:t xml:space="preserve"> that foreshadowed many of the legislative and institution-making procedures of the twentieth-century.</w:t>
      </w:r>
      <w:r w:rsidRPr="00100D6C">
        <w:rPr>
          <w:rStyle w:val="FootnoteReference"/>
          <w:rFonts w:ascii="Times New Roman" w:hAnsi="Times New Roman" w:cs="Times New Roman"/>
          <w:lang w:val="en-US"/>
        </w:rPr>
        <w:footnoteReference w:id="97"/>
      </w:r>
      <w:r w:rsidRPr="00100D6C">
        <w:rPr>
          <w:rFonts w:ascii="Times New Roman" w:hAnsi="Times New Roman" w:cs="Times New Roman"/>
          <w:lang w:val="en-US"/>
        </w:rPr>
        <w:t xml:space="preserve"> </w:t>
      </w:r>
      <w:r w:rsidR="00B9334E" w:rsidRPr="00100D6C">
        <w:rPr>
          <w:rFonts w:ascii="Times New Roman" w:hAnsi="Times New Roman" w:cs="Times New Roman"/>
          <w:lang w:val="en-US"/>
        </w:rPr>
        <w:t xml:space="preserve">All </w:t>
      </w:r>
      <w:r w:rsidR="00625B57" w:rsidRPr="00100D6C">
        <w:rPr>
          <w:rFonts w:ascii="Times New Roman" w:hAnsi="Times New Roman" w:cs="Times New Roman"/>
          <w:lang w:val="en-US"/>
        </w:rPr>
        <w:t xml:space="preserve">conferences held on matters of war, peace and security since the end of the Concert system have </w:t>
      </w:r>
      <w:r w:rsidR="00B9334E" w:rsidRPr="00100D6C">
        <w:rPr>
          <w:rFonts w:ascii="Times New Roman" w:hAnsi="Times New Roman" w:cs="Times New Roman"/>
          <w:lang w:val="en-US"/>
        </w:rPr>
        <w:t xml:space="preserve">borne the mark of </w:t>
      </w:r>
      <w:r w:rsidR="00B16997">
        <w:rPr>
          <w:rFonts w:ascii="Times New Roman" w:hAnsi="Times New Roman" w:cs="Times New Roman"/>
          <w:lang w:val="en-US"/>
        </w:rPr>
        <w:t>g</w:t>
      </w:r>
      <w:r w:rsidR="00B9334E" w:rsidRPr="00100D6C">
        <w:rPr>
          <w:rFonts w:ascii="Times New Roman" w:hAnsi="Times New Roman" w:cs="Times New Roman"/>
          <w:lang w:val="en-US"/>
        </w:rPr>
        <w:t>reat power preponderance. The Hague Peace Conferences of 1899 and 1907 - though based on a complete equality</w:t>
      </w:r>
      <w:r w:rsidR="004C68BD" w:rsidRPr="00100D6C">
        <w:rPr>
          <w:rFonts w:ascii="Times New Roman" w:hAnsi="Times New Roman" w:cs="Times New Roman"/>
          <w:lang w:val="en-US"/>
        </w:rPr>
        <w:t xml:space="preserve"> of representation (one State - one vote) and the rule of unanimity on all material decisions - exhibited an overwhelming inequality of influence among the </w:t>
      </w:r>
      <w:r w:rsidR="00922CCC" w:rsidRPr="00100D6C">
        <w:rPr>
          <w:rFonts w:ascii="Times New Roman" w:hAnsi="Times New Roman" w:cs="Times New Roman"/>
          <w:lang w:val="en-US"/>
        </w:rPr>
        <w:t>participants</w:t>
      </w:r>
      <w:r w:rsidR="004C68BD" w:rsidRPr="00100D6C">
        <w:rPr>
          <w:rFonts w:ascii="Times New Roman" w:hAnsi="Times New Roman" w:cs="Times New Roman"/>
          <w:lang w:val="en-US"/>
        </w:rPr>
        <w:t xml:space="preserve">. The Conferences were convened at the initiative of Russia. The proceedings - including the agenda and procedure - were determined by </w:t>
      </w:r>
      <w:r w:rsidR="00922CCC" w:rsidRPr="00100D6C">
        <w:rPr>
          <w:rFonts w:ascii="Times New Roman" w:hAnsi="Times New Roman" w:cs="Times New Roman"/>
          <w:lang w:val="en-US"/>
        </w:rPr>
        <w:t>dominant military powers</w:t>
      </w:r>
      <w:r w:rsidR="004C68BD" w:rsidRPr="00100D6C">
        <w:rPr>
          <w:rFonts w:ascii="Times New Roman" w:hAnsi="Times New Roman" w:cs="Times New Roman"/>
          <w:lang w:val="en-US"/>
        </w:rPr>
        <w:t>. Treaty provisions were largely based on the US Lieber Code or framed by delegates of the great powers. And</w:t>
      </w:r>
      <w:r w:rsidR="00922CCC" w:rsidRPr="00100D6C">
        <w:rPr>
          <w:rFonts w:ascii="Times New Roman" w:hAnsi="Times New Roman" w:cs="Times New Roman"/>
          <w:lang w:val="en-US"/>
        </w:rPr>
        <w:t xml:space="preserve"> on several occasions</w:t>
      </w:r>
      <w:r w:rsidR="004C68BD" w:rsidRPr="00100D6C">
        <w:rPr>
          <w:rFonts w:ascii="Times New Roman" w:hAnsi="Times New Roman" w:cs="Times New Roman"/>
          <w:lang w:val="en-US"/>
        </w:rPr>
        <w:t xml:space="preserve"> proposals supported by large majorities were abandoned </w:t>
      </w:r>
      <w:r w:rsidR="00922CCC" w:rsidRPr="00100D6C">
        <w:rPr>
          <w:rFonts w:ascii="Times New Roman" w:hAnsi="Times New Roman" w:cs="Times New Roman"/>
          <w:lang w:val="en-US"/>
        </w:rPr>
        <w:t>simply because of the opposition of a few of the great powers.</w:t>
      </w:r>
      <w:r w:rsidR="00130B49" w:rsidRPr="00100D6C">
        <w:rPr>
          <w:rStyle w:val="FootnoteReference"/>
          <w:rFonts w:ascii="Times New Roman" w:hAnsi="Times New Roman" w:cs="Times New Roman"/>
          <w:lang w:val="en-US"/>
        </w:rPr>
        <w:footnoteReference w:id="98"/>
      </w:r>
      <w:r w:rsidR="00922CCC" w:rsidRPr="00100D6C">
        <w:rPr>
          <w:rFonts w:ascii="Times New Roman" w:hAnsi="Times New Roman" w:cs="Times New Roman"/>
          <w:lang w:val="en-US"/>
        </w:rPr>
        <w:t xml:space="preserve"> While the principle of equality was formally preserved at The Hague, </w:t>
      </w:r>
      <w:r w:rsidR="00B16997">
        <w:rPr>
          <w:rFonts w:ascii="Times New Roman" w:hAnsi="Times New Roman" w:cs="Times New Roman"/>
          <w:lang w:val="en-US"/>
        </w:rPr>
        <w:t>g</w:t>
      </w:r>
      <w:r w:rsidR="00DC3915" w:rsidRPr="00100D6C">
        <w:rPr>
          <w:rFonts w:ascii="Times New Roman" w:hAnsi="Times New Roman" w:cs="Times New Roman"/>
          <w:lang w:val="en-US"/>
        </w:rPr>
        <w:t xml:space="preserve">reat powers were able </w:t>
      </w:r>
      <w:r w:rsidR="0078751A" w:rsidRPr="00100D6C">
        <w:rPr>
          <w:rFonts w:ascii="Times New Roman" w:hAnsi="Times New Roman" w:cs="Times New Roman"/>
          <w:lang w:val="en-US"/>
        </w:rPr>
        <w:t>to force their views upon the Conference or by their concerted opposition to prevent the adoption of unacceptable proposals.</w:t>
      </w:r>
      <w:r w:rsidR="001B0C41" w:rsidRPr="00100D6C">
        <w:rPr>
          <w:rFonts w:ascii="Times New Roman" w:hAnsi="Times New Roman" w:cs="Times New Roman"/>
          <w:lang w:val="en-US"/>
        </w:rPr>
        <w:t xml:space="preserve"> Claims of strict equality put forward by some smaller </w:t>
      </w:r>
      <w:r w:rsidR="00130B49" w:rsidRPr="00100D6C">
        <w:rPr>
          <w:rFonts w:ascii="Times New Roman" w:hAnsi="Times New Roman" w:cs="Times New Roman"/>
          <w:lang w:val="en-US"/>
        </w:rPr>
        <w:t>states - most famously by Barbos</w:t>
      </w:r>
      <w:r w:rsidR="001B0C41" w:rsidRPr="00100D6C">
        <w:rPr>
          <w:rFonts w:ascii="Times New Roman" w:hAnsi="Times New Roman" w:cs="Times New Roman"/>
          <w:lang w:val="en-US"/>
        </w:rPr>
        <w:t xml:space="preserve">a of Brazil - were </w:t>
      </w:r>
      <w:r w:rsidR="001A6142" w:rsidRPr="00100D6C">
        <w:rPr>
          <w:rFonts w:ascii="Times New Roman" w:hAnsi="Times New Roman" w:cs="Times New Roman"/>
          <w:lang w:val="en-US"/>
        </w:rPr>
        <w:t>derided</w:t>
      </w:r>
      <w:r w:rsidR="001B0C41" w:rsidRPr="00100D6C">
        <w:rPr>
          <w:rFonts w:ascii="Times New Roman" w:hAnsi="Times New Roman" w:cs="Times New Roman"/>
          <w:lang w:val="en-US"/>
        </w:rPr>
        <w:t xml:space="preserve"> as </w:t>
      </w:r>
      <w:r w:rsidR="00B16997">
        <w:rPr>
          <w:rFonts w:ascii="Times New Roman" w:hAnsi="Times New Roman" w:cs="Times New Roman"/>
          <w:lang w:val="en-US"/>
        </w:rPr>
        <w:t>"</w:t>
      </w:r>
      <w:r w:rsidR="001B0C41" w:rsidRPr="00100D6C">
        <w:rPr>
          <w:rFonts w:ascii="Times New Roman" w:hAnsi="Times New Roman" w:cs="Times New Roman"/>
          <w:lang w:val="en-US"/>
        </w:rPr>
        <w:t>theoretical</w:t>
      </w:r>
      <w:r w:rsidR="00B16997">
        <w:rPr>
          <w:rFonts w:ascii="Times New Roman" w:hAnsi="Times New Roman" w:cs="Times New Roman"/>
          <w:lang w:val="en-US"/>
        </w:rPr>
        <w:t>"</w:t>
      </w:r>
      <w:r w:rsidR="00694BFC" w:rsidRPr="00100D6C">
        <w:rPr>
          <w:rFonts w:ascii="Times New Roman" w:hAnsi="Times New Roman" w:cs="Times New Roman"/>
          <w:lang w:val="en-US"/>
        </w:rPr>
        <w:t xml:space="preserve">, </w:t>
      </w:r>
      <w:r w:rsidR="00B16997">
        <w:rPr>
          <w:rFonts w:ascii="Times New Roman" w:hAnsi="Times New Roman" w:cs="Times New Roman"/>
          <w:lang w:val="en-US"/>
        </w:rPr>
        <w:t>"</w:t>
      </w:r>
      <w:r w:rsidR="00694BFC" w:rsidRPr="00100D6C">
        <w:rPr>
          <w:rFonts w:ascii="Times New Roman" w:hAnsi="Times New Roman" w:cs="Times New Roman"/>
          <w:lang w:val="en-US"/>
        </w:rPr>
        <w:t>foolish</w:t>
      </w:r>
      <w:r w:rsidR="00B16997">
        <w:rPr>
          <w:rFonts w:ascii="Times New Roman" w:hAnsi="Times New Roman" w:cs="Times New Roman"/>
          <w:lang w:val="en-US"/>
        </w:rPr>
        <w:t>"</w:t>
      </w:r>
      <w:r w:rsidR="001B0C41" w:rsidRPr="00100D6C">
        <w:rPr>
          <w:rFonts w:ascii="Times New Roman" w:hAnsi="Times New Roman" w:cs="Times New Roman"/>
          <w:lang w:val="en-US"/>
        </w:rPr>
        <w:t xml:space="preserve"> or</w:t>
      </w:r>
      <w:r w:rsidR="00B16997">
        <w:rPr>
          <w:rFonts w:ascii="Times New Roman" w:hAnsi="Times New Roman" w:cs="Times New Roman"/>
          <w:lang w:val="en-US"/>
        </w:rPr>
        <w:t xml:space="preserve"> "</w:t>
      </w:r>
      <w:r w:rsidR="00694BFC" w:rsidRPr="00100D6C">
        <w:rPr>
          <w:rFonts w:ascii="Times New Roman" w:hAnsi="Times New Roman" w:cs="Times New Roman"/>
          <w:lang w:val="en-US"/>
        </w:rPr>
        <w:t>exuberant</w:t>
      </w:r>
      <w:r w:rsidR="00B16997">
        <w:rPr>
          <w:rFonts w:ascii="Times New Roman" w:hAnsi="Times New Roman" w:cs="Times New Roman"/>
          <w:lang w:val="en-US"/>
        </w:rPr>
        <w:t>"</w:t>
      </w:r>
      <w:r w:rsidR="001B0C41" w:rsidRPr="00100D6C">
        <w:rPr>
          <w:rFonts w:ascii="Times New Roman" w:hAnsi="Times New Roman" w:cs="Times New Roman"/>
          <w:lang w:val="en-US"/>
        </w:rPr>
        <w:t xml:space="preserve"> by great power delegates, who insisted that the </w:t>
      </w:r>
      <w:r w:rsidR="00B16997">
        <w:rPr>
          <w:rFonts w:ascii="Times New Roman" w:hAnsi="Times New Roman" w:cs="Times New Roman"/>
          <w:lang w:val="en-US"/>
        </w:rPr>
        <w:t>"</w:t>
      </w:r>
      <w:r w:rsidR="001B0C41" w:rsidRPr="00100D6C">
        <w:rPr>
          <w:rFonts w:ascii="Times New Roman" w:hAnsi="Times New Roman" w:cs="Times New Roman"/>
          <w:lang w:val="en-US"/>
        </w:rPr>
        <w:t>useful role</w:t>
      </w:r>
      <w:r w:rsidR="00B16997">
        <w:rPr>
          <w:rFonts w:ascii="Times New Roman" w:hAnsi="Times New Roman" w:cs="Times New Roman"/>
          <w:lang w:val="en-US"/>
        </w:rPr>
        <w:t>"</w:t>
      </w:r>
      <w:r w:rsidR="001B0C41" w:rsidRPr="00100D6C">
        <w:rPr>
          <w:rFonts w:ascii="Times New Roman" w:hAnsi="Times New Roman" w:cs="Times New Roman"/>
          <w:lang w:val="en-US"/>
        </w:rPr>
        <w:t xml:space="preserve"> of smaller nations should remain </w:t>
      </w:r>
      <w:r w:rsidR="00B16997">
        <w:rPr>
          <w:rFonts w:ascii="Times New Roman" w:hAnsi="Times New Roman" w:cs="Times New Roman"/>
          <w:lang w:val="en-US"/>
        </w:rPr>
        <w:t>"</w:t>
      </w:r>
      <w:r w:rsidR="001B0C41" w:rsidRPr="00100D6C">
        <w:rPr>
          <w:rFonts w:ascii="Times New Roman" w:hAnsi="Times New Roman" w:cs="Times New Roman"/>
          <w:lang w:val="en-US"/>
        </w:rPr>
        <w:t>spontaneous and disinterested</w:t>
      </w:r>
      <w:r w:rsidR="00B16997">
        <w:rPr>
          <w:rFonts w:ascii="Times New Roman" w:hAnsi="Times New Roman" w:cs="Times New Roman"/>
          <w:lang w:val="en-US"/>
        </w:rPr>
        <w:t>"</w:t>
      </w:r>
      <w:r w:rsidR="001B0C41" w:rsidRPr="00100D6C">
        <w:rPr>
          <w:rFonts w:ascii="Times New Roman" w:hAnsi="Times New Roman" w:cs="Times New Roman"/>
          <w:lang w:val="en-US"/>
        </w:rPr>
        <w:t xml:space="preserve"> and be limited to </w:t>
      </w:r>
      <w:r w:rsidR="00130B49" w:rsidRPr="00100D6C">
        <w:rPr>
          <w:rFonts w:ascii="Times New Roman" w:hAnsi="Times New Roman" w:cs="Times New Roman"/>
          <w:lang w:val="en-US"/>
        </w:rPr>
        <w:t xml:space="preserve">raising awareness to </w:t>
      </w:r>
      <w:r w:rsidR="00B16997">
        <w:rPr>
          <w:rFonts w:ascii="Times New Roman" w:hAnsi="Times New Roman" w:cs="Times New Roman"/>
          <w:lang w:val="en-US"/>
        </w:rPr>
        <w:t>"</w:t>
      </w:r>
      <w:r w:rsidR="00130B49" w:rsidRPr="00100D6C">
        <w:rPr>
          <w:rFonts w:ascii="Times New Roman" w:hAnsi="Times New Roman" w:cs="Times New Roman"/>
          <w:lang w:val="en-US"/>
        </w:rPr>
        <w:t>just causes</w:t>
      </w:r>
      <w:r w:rsidR="00B16997">
        <w:rPr>
          <w:rFonts w:ascii="Times New Roman" w:hAnsi="Times New Roman" w:cs="Times New Roman"/>
          <w:lang w:val="en-US"/>
        </w:rPr>
        <w:t>"</w:t>
      </w:r>
      <w:r w:rsidR="00130B49" w:rsidRPr="00100D6C">
        <w:rPr>
          <w:rFonts w:ascii="Times New Roman" w:hAnsi="Times New Roman" w:cs="Times New Roman"/>
          <w:lang w:val="en-US"/>
        </w:rPr>
        <w:t xml:space="preserve"> </w:t>
      </w:r>
      <w:r w:rsidR="00E56E4A" w:rsidRPr="00100D6C">
        <w:rPr>
          <w:rFonts w:ascii="Times New Roman" w:hAnsi="Times New Roman" w:cs="Times New Roman"/>
          <w:lang w:val="en-US"/>
        </w:rPr>
        <w:t>or</w:t>
      </w:r>
      <w:r w:rsidR="00130B49" w:rsidRPr="00100D6C">
        <w:rPr>
          <w:rFonts w:ascii="Times New Roman" w:hAnsi="Times New Roman" w:cs="Times New Roman"/>
          <w:lang w:val="en-US"/>
        </w:rPr>
        <w:t xml:space="preserve"> </w:t>
      </w:r>
      <w:r w:rsidR="00B16997">
        <w:rPr>
          <w:rFonts w:ascii="Times New Roman" w:hAnsi="Times New Roman" w:cs="Times New Roman"/>
          <w:lang w:val="en-US"/>
        </w:rPr>
        <w:t>"</w:t>
      </w:r>
      <w:r w:rsidR="00130B49" w:rsidRPr="00100D6C">
        <w:rPr>
          <w:rFonts w:ascii="Times New Roman" w:hAnsi="Times New Roman" w:cs="Times New Roman"/>
          <w:lang w:val="en-US"/>
        </w:rPr>
        <w:t>bringing harmony into the conflicting views of the Great Powers</w:t>
      </w:r>
      <w:r w:rsidR="00B16997">
        <w:rPr>
          <w:rFonts w:ascii="Times New Roman" w:hAnsi="Times New Roman" w:cs="Times New Roman"/>
          <w:lang w:val="en-US"/>
        </w:rPr>
        <w:t>."</w:t>
      </w:r>
      <w:r w:rsidR="001A6142" w:rsidRPr="00100D6C">
        <w:rPr>
          <w:rStyle w:val="FootnoteReference"/>
          <w:rFonts w:ascii="Times New Roman" w:hAnsi="Times New Roman" w:cs="Times New Roman"/>
          <w:lang w:val="en-US"/>
        </w:rPr>
        <w:footnoteReference w:id="99"/>
      </w:r>
    </w:p>
    <w:p w:rsidR="001B0C41" w:rsidRPr="00100D6C" w:rsidRDefault="00273A58" w:rsidP="00857E93">
      <w:pPr>
        <w:jc w:val="both"/>
        <w:rPr>
          <w:rFonts w:ascii="Times New Roman" w:hAnsi="Times New Roman" w:cs="Times New Roman"/>
          <w:lang w:val="en-US"/>
        </w:rPr>
      </w:pPr>
      <w:r w:rsidRPr="00100D6C">
        <w:rPr>
          <w:rFonts w:ascii="Times New Roman" w:hAnsi="Times New Roman" w:cs="Times New Roman"/>
          <w:lang w:val="en-US"/>
        </w:rPr>
        <w:t xml:space="preserve">There was little equality at the Paris Peace Conference too. Negotiations concerning the peace treaty with Germany and the </w:t>
      </w:r>
      <w:r w:rsidR="000E2A9E" w:rsidRPr="00100D6C">
        <w:rPr>
          <w:rFonts w:ascii="Times New Roman" w:hAnsi="Times New Roman" w:cs="Times New Roman"/>
          <w:lang w:val="en-US"/>
        </w:rPr>
        <w:t>League of Nations Covenant</w:t>
      </w:r>
      <w:r w:rsidRPr="00100D6C">
        <w:rPr>
          <w:rFonts w:ascii="Times New Roman" w:hAnsi="Times New Roman" w:cs="Times New Roman"/>
          <w:lang w:val="en-US"/>
        </w:rPr>
        <w:t xml:space="preserve"> were confined to the </w:t>
      </w:r>
      <w:r w:rsidR="001B191B">
        <w:rPr>
          <w:rFonts w:ascii="Times New Roman" w:hAnsi="Times New Roman" w:cs="Times New Roman"/>
          <w:lang w:val="en-US"/>
        </w:rPr>
        <w:t>"</w:t>
      </w:r>
      <w:r w:rsidRPr="00100D6C">
        <w:rPr>
          <w:rFonts w:ascii="Times New Roman" w:hAnsi="Times New Roman" w:cs="Times New Roman"/>
          <w:lang w:val="en-US"/>
        </w:rPr>
        <w:t>Council of F</w:t>
      </w:r>
      <w:r w:rsidR="000E2A9E" w:rsidRPr="00100D6C">
        <w:rPr>
          <w:rFonts w:ascii="Times New Roman" w:hAnsi="Times New Roman" w:cs="Times New Roman"/>
          <w:lang w:val="en-US"/>
        </w:rPr>
        <w:t>ive</w:t>
      </w:r>
      <w:r w:rsidR="001B191B">
        <w:rPr>
          <w:rFonts w:ascii="Times New Roman" w:hAnsi="Times New Roman" w:cs="Times New Roman"/>
          <w:lang w:val="en-US"/>
        </w:rPr>
        <w:t>"</w:t>
      </w:r>
      <w:r w:rsidRPr="00100D6C">
        <w:rPr>
          <w:rFonts w:ascii="Times New Roman" w:hAnsi="Times New Roman" w:cs="Times New Roman"/>
          <w:lang w:val="en-US"/>
        </w:rPr>
        <w:t xml:space="preserve"> (sometimes expanded to a </w:t>
      </w:r>
      <w:r w:rsidR="001B191B">
        <w:rPr>
          <w:rFonts w:ascii="Times New Roman" w:hAnsi="Times New Roman" w:cs="Times New Roman"/>
          <w:lang w:val="en-US"/>
        </w:rPr>
        <w:t>"</w:t>
      </w:r>
      <w:r w:rsidRPr="00100D6C">
        <w:rPr>
          <w:rFonts w:ascii="Times New Roman" w:hAnsi="Times New Roman" w:cs="Times New Roman"/>
          <w:lang w:val="en-US"/>
        </w:rPr>
        <w:t>Council of Ten</w:t>
      </w:r>
      <w:r w:rsidR="001B191B">
        <w:rPr>
          <w:rFonts w:ascii="Times New Roman" w:hAnsi="Times New Roman" w:cs="Times New Roman"/>
          <w:lang w:val="en-US"/>
        </w:rPr>
        <w:t>"</w:t>
      </w:r>
      <w:r w:rsidRPr="00100D6C">
        <w:rPr>
          <w:rFonts w:ascii="Times New Roman" w:hAnsi="Times New Roman" w:cs="Times New Roman"/>
          <w:lang w:val="en-US"/>
        </w:rPr>
        <w:t>) and were conducted in utmost secrecy</w:t>
      </w:r>
      <w:r w:rsidR="008C5EC3" w:rsidRPr="00100D6C">
        <w:rPr>
          <w:rFonts w:ascii="Times New Roman" w:hAnsi="Times New Roman" w:cs="Times New Roman"/>
          <w:lang w:val="en-US"/>
        </w:rPr>
        <w:t xml:space="preserve">, despite President Wilson's Fourteen Points and his declared commitment to </w:t>
      </w:r>
      <w:r w:rsidR="001B191B">
        <w:rPr>
          <w:rFonts w:ascii="Times New Roman" w:hAnsi="Times New Roman" w:cs="Times New Roman"/>
          <w:lang w:val="en-US"/>
        </w:rPr>
        <w:t>"</w:t>
      </w:r>
      <w:r w:rsidR="008C5EC3" w:rsidRPr="00100D6C">
        <w:rPr>
          <w:rFonts w:ascii="Times New Roman" w:hAnsi="Times New Roman" w:cs="Times New Roman"/>
          <w:lang w:val="en-US"/>
        </w:rPr>
        <w:t>open diplomacy</w:t>
      </w:r>
      <w:r w:rsidR="001B191B">
        <w:rPr>
          <w:rFonts w:ascii="Times New Roman" w:hAnsi="Times New Roman" w:cs="Times New Roman"/>
          <w:lang w:val="en-US"/>
        </w:rPr>
        <w:t>"</w:t>
      </w:r>
      <w:r w:rsidR="008C5EC3" w:rsidRPr="00100D6C">
        <w:rPr>
          <w:rFonts w:ascii="Times New Roman" w:hAnsi="Times New Roman" w:cs="Times New Roman"/>
          <w:lang w:val="en-US"/>
        </w:rPr>
        <w:t>.</w:t>
      </w:r>
      <w:r w:rsidR="001B191B">
        <w:rPr>
          <w:rStyle w:val="FootnoteReference"/>
          <w:rFonts w:ascii="Times New Roman" w:hAnsi="Times New Roman" w:cs="Times New Roman"/>
          <w:lang w:val="en-US"/>
        </w:rPr>
        <w:footnoteReference w:id="100"/>
      </w:r>
      <w:r w:rsidR="0085488D" w:rsidRPr="00100D6C">
        <w:rPr>
          <w:rFonts w:ascii="Times New Roman" w:hAnsi="Times New Roman" w:cs="Times New Roman"/>
          <w:lang w:val="en-US"/>
        </w:rPr>
        <w:t xml:space="preserve"> Decisions were made by the </w:t>
      </w:r>
      <w:r w:rsidR="006E6107" w:rsidRPr="00100D6C">
        <w:rPr>
          <w:rFonts w:ascii="Times New Roman" w:hAnsi="Times New Roman" w:cs="Times New Roman"/>
          <w:lang w:val="en-US"/>
        </w:rPr>
        <w:t>Allied powers</w:t>
      </w:r>
      <w:r w:rsidR="0085488D" w:rsidRPr="00100D6C">
        <w:rPr>
          <w:rFonts w:ascii="Times New Roman" w:hAnsi="Times New Roman" w:cs="Times New Roman"/>
          <w:lang w:val="en-US"/>
        </w:rPr>
        <w:t xml:space="preserve"> behind closed doors, in gatherings where no secretaries were admitted and no official minutes were recorded. It was then left to smaller countries to ratify them.</w:t>
      </w:r>
      <w:r w:rsidR="000E2A9E" w:rsidRPr="00100D6C">
        <w:rPr>
          <w:rFonts w:ascii="Times New Roman" w:hAnsi="Times New Roman" w:cs="Times New Roman"/>
          <w:lang w:val="en-US"/>
        </w:rPr>
        <w:t xml:space="preserve"> </w:t>
      </w:r>
      <w:r w:rsidR="001B191B">
        <w:rPr>
          <w:rFonts w:ascii="Times New Roman" w:hAnsi="Times New Roman" w:cs="Times New Roman"/>
          <w:lang w:val="en-US"/>
        </w:rPr>
        <w:t>"</w:t>
      </w:r>
      <w:r w:rsidR="000E2A9E" w:rsidRPr="00100D6C">
        <w:rPr>
          <w:rFonts w:ascii="Times New Roman" w:hAnsi="Times New Roman" w:cs="Times New Roman"/>
          <w:lang w:val="en-US"/>
        </w:rPr>
        <w:t>Conferen</w:t>
      </w:r>
      <w:r w:rsidR="00A54D4F" w:rsidRPr="00100D6C">
        <w:rPr>
          <w:rFonts w:ascii="Times New Roman" w:hAnsi="Times New Roman" w:cs="Times New Roman"/>
          <w:lang w:val="en-US"/>
        </w:rPr>
        <w:t>tial</w:t>
      </w:r>
      <w:r w:rsidR="000E2A9E" w:rsidRPr="00100D6C">
        <w:rPr>
          <w:rFonts w:ascii="Times New Roman" w:hAnsi="Times New Roman" w:cs="Times New Roman"/>
          <w:lang w:val="en-US"/>
        </w:rPr>
        <w:t xml:space="preserve"> tsarism</w:t>
      </w:r>
      <w:r w:rsidR="001B191B">
        <w:rPr>
          <w:rFonts w:ascii="Times New Roman" w:hAnsi="Times New Roman" w:cs="Times New Roman"/>
          <w:lang w:val="en-US"/>
        </w:rPr>
        <w:t>"</w:t>
      </w:r>
      <w:r w:rsidR="000E2A9E" w:rsidRPr="00100D6C">
        <w:rPr>
          <w:rFonts w:ascii="Times New Roman" w:hAnsi="Times New Roman" w:cs="Times New Roman"/>
          <w:lang w:val="en-US"/>
        </w:rPr>
        <w:t xml:space="preserve"> was pervasive during the </w:t>
      </w:r>
      <w:r w:rsidR="00E56E4A" w:rsidRPr="00100D6C">
        <w:rPr>
          <w:rFonts w:ascii="Times New Roman" w:hAnsi="Times New Roman" w:cs="Times New Roman"/>
          <w:lang w:val="en-US"/>
        </w:rPr>
        <w:t>negotiations</w:t>
      </w:r>
      <w:r w:rsidR="000E2A9E" w:rsidRPr="00100D6C">
        <w:rPr>
          <w:rFonts w:ascii="Times New Roman" w:hAnsi="Times New Roman" w:cs="Times New Roman"/>
          <w:lang w:val="en-US"/>
        </w:rPr>
        <w:t xml:space="preserve">. As one </w:t>
      </w:r>
      <w:r w:rsidR="00454D4B" w:rsidRPr="00100D6C">
        <w:rPr>
          <w:rFonts w:ascii="Times New Roman" w:hAnsi="Times New Roman" w:cs="Times New Roman"/>
          <w:lang w:val="en-US"/>
        </w:rPr>
        <w:t>observer</w:t>
      </w:r>
      <w:r w:rsidR="000E2A9E" w:rsidRPr="00100D6C">
        <w:rPr>
          <w:rFonts w:ascii="Times New Roman" w:hAnsi="Times New Roman" w:cs="Times New Roman"/>
          <w:lang w:val="en-US"/>
        </w:rPr>
        <w:t xml:space="preserve"> reported, when a Canadian delegate spoke of the </w:t>
      </w:r>
      <w:r w:rsidR="001B191B">
        <w:rPr>
          <w:rFonts w:ascii="Times New Roman" w:hAnsi="Times New Roman" w:cs="Times New Roman"/>
          <w:lang w:val="en-US"/>
        </w:rPr>
        <w:t>"</w:t>
      </w:r>
      <w:r w:rsidR="000E2A9E" w:rsidRPr="00100D6C">
        <w:rPr>
          <w:rFonts w:ascii="Times New Roman" w:hAnsi="Times New Roman" w:cs="Times New Roman"/>
          <w:lang w:val="en-US"/>
        </w:rPr>
        <w:t>proposals</w:t>
      </w:r>
      <w:r w:rsidR="001B191B">
        <w:rPr>
          <w:rFonts w:ascii="Times New Roman" w:hAnsi="Times New Roman" w:cs="Times New Roman"/>
          <w:lang w:val="en-US"/>
        </w:rPr>
        <w:t>"</w:t>
      </w:r>
      <w:r w:rsidR="000E2A9E" w:rsidRPr="00100D6C">
        <w:rPr>
          <w:rFonts w:ascii="Times New Roman" w:hAnsi="Times New Roman" w:cs="Times New Roman"/>
          <w:lang w:val="en-US"/>
        </w:rPr>
        <w:t xml:space="preserve"> of the </w:t>
      </w:r>
      <w:r w:rsidR="001B191B">
        <w:rPr>
          <w:rFonts w:ascii="Times New Roman" w:hAnsi="Times New Roman" w:cs="Times New Roman"/>
          <w:lang w:val="en-US"/>
        </w:rPr>
        <w:t>g</w:t>
      </w:r>
      <w:r w:rsidR="000E2A9E" w:rsidRPr="00100D6C">
        <w:rPr>
          <w:rFonts w:ascii="Times New Roman" w:hAnsi="Times New Roman" w:cs="Times New Roman"/>
          <w:lang w:val="en-US"/>
        </w:rPr>
        <w:t xml:space="preserve">reat </w:t>
      </w:r>
      <w:r w:rsidR="001B191B">
        <w:rPr>
          <w:rFonts w:ascii="Times New Roman" w:hAnsi="Times New Roman" w:cs="Times New Roman"/>
          <w:lang w:val="en-US"/>
        </w:rPr>
        <w:t>p</w:t>
      </w:r>
      <w:r w:rsidR="000E2A9E" w:rsidRPr="00100D6C">
        <w:rPr>
          <w:rFonts w:ascii="Times New Roman" w:hAnsi="Times New Roman" w:cs="Times New Roman"/>
          <w:lang w:val="en-US"/>
        </w:rPr>
        <w:t>owers, he was immediately corrected by Clemenceau</w:t>
      </w:r>
      <w:r w:rsidR="00454D4B" w:rsidRPr="00100D6C">
        <w:rPr>
          <w:rFonts w:ascii="Times New Roman" w:hAnsi="Times New Roman" w:cs="Times New Roman"/>
          <w:lang w:val="en-US"/>
        </w:rPr>
        <w:t>, who intimated that these were not proposals but decisions, which were definitive and final.</w:t>
      </w:r>
      <w:r w:rsidR="00454D4B" w:rsidRPr="00100D6C">
        <w:rPr>
          <w:rStyle w:val="FootnoteReference"/>
          <w:rFonts w:ascii="Times New Roman" w:hAnsi="Times New Roman" w:cs="Times New Roman"/>
          <w:lang w:val="en-US"/>
        </w:rPr>
        <w:footnoteReference w:id="101"/>
      </w:r>
      <w:r w:rsidR="00814F19" w:rsidRPr="00100D6C">
        <w:rPr>
          <w:rFonts w:ascii="Times New Roman" w:hAnsi="Times New Roman" w:cs="Times New Roman"/>
          <w:lang w:val="en-US"/>
        </w:rPr>
        <w:t xml:space="preserve"> The same logic presided over the drafting of the UN Charter. Great powers were not prepared for the Charter to be drafted by a conference of large and small states.</w:t>
      </w:r>
      <w:r w:rsidR="004B17C0" w:rsidRPr="00100D6C">
        <w:rPr>
          <w:rFonts w:ascii="Times New Roman" w:hAnsi="Times New Roman" w:cs="Times New Roman"/>
          <w:lang w:val="en-US"/>
        </w:rPr>
        <w:t xml:space="preserve"> A full-scale conference, it was feared, would lead to innumerable difficulties and inefficiencies, causing great delay in the setting up of the new postwar security organization. It was therefore decided that the most effective way to prepare the Charter was for the </w:t>
      </w:r>
      <w:r w:rsidR="00F3291F">
        <w:rPr>
          <w:rFonts w:ascii="Times New Roman" w:hAnsi="Times New Roman" w:cs="Times New Roman"/>
          <w:lang w:val="en-US"/>
        </w:rPr>
        <w:t>g</w:t>
      </w:r>
      <w:r w:rsidR="004B17C0" w:rsidRPr="00100D6C">
        <w:rPr>
          <w:rFonts w:ascii="Times New Roman" w:hAnsi="Times New Roman" w:cs="Times New Roman"/>
          <w:lang w:val="en-US"/>
        </w:rPr>
        <w:t xml:space="preserve">reat powers to reach an agreement first among themselves, and then to subject it to smaller countries for (marginal) </w:t>
      </w:r>
      <w:r w:rsidR="009A4DFA" w:rsidRPr="00100D6C">
        <w:rPr>
          <w:rFonts w:ascii="Times New Roman" w:hAnsi="Times New Roman" w:cs="Times New Roman"/>
          <w:lang w:val="en-US"/>
        </w:rPr>
        <w:t>amendments</w:t>
      </w:r>
      <w:r w:rsidR="004B17C0" w:rsidRPr="00100D6C">
        <w:rPr>
          <w:rFonts w:ascii="Times New Roman" w:hAnsi="Times New Roman" w:cs="Times New Roman"/>
          <w:lang w:val="en-US"/>
        </w:rPr>
        <w:t xml:space="preserve"> and adoption</w:t>
      </w:r>
      <w:r w:rsidR="00F3291F">
        <w:rPr>
          <w:rFonts w:ascii="Times New Roman" w:hAnsi="Times New Roman" w:cs="Times New Roman"/>
          <w:lang w:val="en-US"/>
        </w:rPr>
        <w:t xml:space="preserve"> at a plenary meeting</w:t>
      </w:r>
      <w:r w:rsidR="004B17C0" w:rsidRPr="00100D6C">
        <w:rPr>
          <w:rFonts w:ascii="Times New Roman" w:hAnsi="Times New Roman" w:cs="Times New Roman"/>
          <w:lang w:val="en-US"/>
        </w:rPr>
        <w:t xml:space="preserve">. Although equality of </w:t>
      </w:r>
      <w:r w:rsidR="004B17C0" w:rsidRPr="00100D6C">
        <w:rPr>
          <w:rFonts w:ascii="Times New Roman" w:hAnsi="Times New Roman" w:cs="Times New Roman"/>
          <w:lang w:val="en-US"/>
        </w:rPr>
        <w:lastRenderedPageBreak/>
        <w:t>representation and voting was maintained in San Francisco, the</w:t>
      </w:r>
      <w:r w:rsidR="00EB4149">
        <w:rPr>
          <w:rFonts w:ascii="Times New Roman" w:hAnsi="Times New Roman" w:cs="Times New Roman"/>
          <w:lang w:val="en-US"/>
        </w:rPr>
        <w:t xml:space="preserve"> process was openly elitist and the</w:t>
      </w:r>
      <w:r w:rsidR="004B17C0" w:rsidRPr="00100D6C">
        <w:rPr>
          <w:rFonts w:ascii="Times New Roman" w:hAnsi="Times New Roman" w:cs="Times New Roman"/>
          <w:lang w:val="en-US"/>
        </w:rPr>
        <w:t xml:space="preserve"> main purpose of the Conference was no other than to get the smaller nations to approve a plan already worked out by the great powers</w:t>
      </w:r>
      <w:r w:rsidR="000B0E44" w:rsidRPr="00100D6C">
        <w:rPr>
          <w:rFonts w:ascii="Times New Roman" w:hAnsi="Times New Roman" w:cs="Times New Roman"/>
          <w:lang w:val="en-US"/>
        </w:rPr>
        <w:t xml:space="preserve"> (United States, Great Britain, Soviet Union, and later China)</w:t>
      </w:r>
      <w:r w:rsidR="004B17C0" w:rsidRPr="00100D6C">
        <w:rPr>
          <w:rFonts w:ascii="Times New Roman" w:hAnsi="Times New Roman" w:cs="Times New Roman"/>
          <w:lang w:val="en-US"/>
        </w:rPr>
        <w:t xml:space="preserve"> at the Dumbarton Oaks conference.</w:t>
      </w:r>
      <w:r w:rsidR="000B0E44" w:rsidRPr="00100D6C">
        <w:rPr>
          <w:rStyle w:val="FootnoteReference"/>
          <w:rFonts w:ascii="Times New Roman" w:hAnsi="Times New Roman" w:cs="Times New Roman"/>
          <w:lang w:val="en-US"/>
        </w:rPr>
        <w:footnoteReference w:id="102"/>
      </w:r>
    </w:p>
    <w:p w:rsidR="00241060" w:rsidRPr="00100D6C" w:rsidRDefault="00BA04DF" w:rsidP="00A66F19">
      <w:pPr>
        <w:jc w:val="both"/>
        <w:rPr>
          <w:rFonts w:ascii="Times New Roman" w:hAnsi="Times New Roman" w:cs="Times New Roman"/>
          <w:lang w:val="en-US"/>
        </w:rPr>
      </w:pPr>
      <w:r w:rsidRPr="00100D6C">
        <w:rPr>
          <w:rFonts w:ascii="Times New Roman" w:hAnsi="Times New Roman" w:cs="Times New Roman"/>
          <w:lang w:val="en-US"/>
        </w:rPr>
        <w:t xml:space="preserve">Treaty-making has, since Paris and San Francisco, become </w:t>
      </w:r>
      <w:r w:rsidR="004717A4" w:rsidRPr="00100D6C">
        <w:rPr>
          <w:rFonts w:ascii="Times New Roman" w:hAnsi="Times New Roman" w:cs="Times New Roman"/>
          <w:lang w:val="en-US"/>
        </w:rPr>
        <w:t>more accepting of genuine participation by smaller nations and more intolerant of brute ass</w:t>
      </w:r>
      <w:r w:rsidR="009964D4" w:rsidRPr="00100D6C">
        <w:rPr>
          <w:rFonts w:ascii="Times New Roman" w:hAnsi="Times New Roman" w:cs="Times New Roman"/>
          <w:lang w:val="en-US"/>
        </w:rPr>
        <w:t>ertions of power</w:t>
      </w:r>
      <w:r w:rsidR="004717A4" w:rsidRPr="00100D6C">
        <w:rPr>
          <w:rFonts w:ascii="Times New Roman" w:hAnsi="Times New Roman" w:cs="Times New Roman"/>
          <w:lang w:val="en-US"/>
        </w:rPr>
        <w:t>. The dominant status of great powers remain</w:t>
      </w:r>
      <w:r w:rsidR="00CC1F44" w:rsidRPr="00100D6C">
        <w:rPr>
          <w:rFonts w:ascii="Times New Roman" w:hAnsi="Times New Roman" w:cs="Times New Roman"/>
          <w:lang w:val="en-US"/>
        </w:rPr>
        <w:t>s</w:t>
      </w:r>
      <w:r w:rsidR="004717A4" w:rsidRPr="00100D6C">
        <w:rPr>
          <w:rFonts w:ascii="Times New Roman" w:hAnsi="Times New Roman" w:cs="Times New Roman"/>
          <w:lang w:val="en-US"/>
        </w:rPr>
        <w:t xml:space="preserve"> a pervasive feature of the legislative process however. Great power</w:t>
      </w:r>
      <w:r w:rsidR="00781A53" w:rsidRPr="00100D6C">
        <w:rPr>
          <w:rFonts w:ascii="Times New Roman" w:hAnsi="Times New Roman" w:cs="Times New Roman"/>
          <w:lang w:val="en-US"/>
        </w:rPr>
        <w:t>s</w:t>
      </w:r>
      <w:r w:rsidR="004717A4" w:rsidRPr="00100D6C">
        <w:rPr>
          <w:rFonts w:ascii="Times New Roman" w:hAnsi="Times New Roman" w:cs="Times New Roman"/>
          <w:lang w:val="en-US"/>
        </w:rPr>
        <w:t xml:space="preserve"> retain overwhelming influence in setting the terms of reference for international negotiations. In the field of investment law, </w:t>
      </w:r>
      <w:r w:rsidR="009964D4" w:rsidRPr="00100D6C">
        <w:rPr>
          <w:rFonts w:ascii="Times New Roman" w:hAnsi="Times New Roman" w:cs="Times New Roman"/>
          <w:lang w:val="en-US"/>
        </w:rPr>
        <w:t xml:space="preserve">to give but one </w:t>
      </w:r>
      <w:r w:rsidR="00A66F19" w:rsidRPr="00100D6C">
        <w:rPr>
          <w:rFonts w:ascii="Times New Roman" w:hAnsi="Times New Roman" w:cs="Times New Roman"/>
          <w:lang w:val="en-US"/>
        </w:rPr>
        <w:t xml:space="preserve">salient </w:t>
      </w:r>
      <w:r w:rsidR="009964D4" w:rsidRPr="00100D6C">
        <w:rPr>
          <w:rFonts w:ascii="Times New Roman" w:hAnsi="Times New Roman" w:cs="Times New Roman"/>
          <w:lang w:val="en-US"/>
        </w:rPr>
        <w:t>example</w:t>
      </w:r>
      <w:r w:rsidR="004717A4" w:rsidRPr="00100D6C">
        <w:rPr>
          <w:rFonts w:ascii="Times New Roman" w:hAnsi="Times New Roman" w:cs="Times New Roman"/>
          <w:lang w:val="en-US"/>
        </w:rPr>
        <w:t xml:space="preserve">, it has become habitual for leading capital exporting countries (mostly Western countries) to draft </w:t>
      </w:r>
      <w:r w:rsidR="00DE28A8">
        <w:rPr>
          <w:rFonts w:ascii="Times New Roman" w:hAnsi="Times New Roman" w:cs="Times New Roman"/>
          <w:lang w:val="en-US"/>
        </w:rPr>
        <w:t>"</w:t>
      </w:r>
      <w:r w:rsidR="004717A4" w:rsidRPr="00100D6C">
        <w:rPr>
          <w:rFonts w:ascii="Times New Roman" w:hAnsi="Times New Roman" w:cs="Times New Roman"/>
          <w:lang w:val="en-US"/>
        </w:rPr>
        <w:t>model investment treaties</w:t>
      </w:r>
      <w:r w:rsidR="00DE28A8">
        <w:rPr>
          <w:rFonts w:ascii="Times New Roman" w:hAnsi="Times New Roman" w:cs="Times New Roman"/>
          <w:lang w:val="en-US"/>
        </w:rPr>
        <w:t>"</w:t>
      </w:r>
      <w:r w:rsidR="004717A4" w:rsidRPr="00100D6C">
        <w:rPr>
          <w:rFonts w:ascii="Times New Roman" w:hAnsi="Times New Roman" w:cs="Times New Roman"/>
          <w:lang w:val="en-US"/>
        </w:rPr>
        <w:t xml:space="preserve"> whic</w:t>
      </w:r>
      <w:r w:rsidR="00250DF5" w:rsidRPr="00100D6C">
        <w:rPr>
          <w:rFonts w:ascii="Times New Roman" w:hAnsi="Times New Roman" w:cs="Times New Roman"/>
          <w:lang w:val="en-US"/>
        </w:rPr>
        <w:t>h provide the blueprint for agreements concluded</w:t>
      </w:r>
      <w:r w:rsidR="004717A4" w:rsidRPr="00100D6C">
        <w:rPr>
          <w:rFonts w:ascii="Times New Roman" w:hAnsi="Times New Roman" w:cs="Times New Roman"/>
          <w:lang w:val="en-US"/>
        </w:rPr>
        <w:t xml:space="preserve"> with capital exporting countries (mostly developing countries)</w:t>
      </w:r>
      <w:r w:rsidR="00A66F19" w:rsidRPr="00100D6C">
        <w:rPr>
          <w:rFonts w:ascii="Times New Roman" w:hAnsi="Times New Roman" w:cs="Times New Roman"/>
          <w:lang w:val="en-US"/>
        </w:rPr>
        <w:t xml:space="preserve">, in conditions that </w:t>
      </w:r>
      <w:r w:rsidR="00247D2C" w:rsidRPr="00100D6C">
        <w:rPr>
          <w:rFonts w:ascii="Times New Roman" w:hAnsi="Times New Roman" w:cs="Times New Roman"/>
          <w:lang w:val="en-US"/>
        </w:rPr>
        <w:t>are often less like negotiations among equals</w:t>
      </w:r>
      <w:r w:rsidR="00581F2A" w:rsidRPr="00100D6C">
        <w:rPr>
          <w:rFonts w:ascii="Times New Roman" w:hAnsi="Times New Roman" w:cs="Times New Roman"/>
          <w:lang w:val="en-US"/>
        </w:rPr>
        <w:t xml:space="preserve"> than an</w:t>
      </w:r>
      <w:r w:rsidR="00247D2C" w:rsidRPr="00100D6C">
        <w:rPr>
          <w:rFonts w:ascii="Times New Roman" w:hAnsi="Times New Roman" w:cs="Times New Roman"/>
          <w:lang w:val="en-US"/>
        </w:rPr>
        <w:t xml:space="preserve"> imposition of asymmetrical </w:t>
      </w:r>
      <w:r w:rsidR="00DE28A8">
        <w:rPr>
          <w:rFonts w:ascii="Times New Roman" w:hAnsi="Times New Roman" w:cs="Times New Roman"/>
          <w:lang w:val="en-US"/>
        </w:rPr>
        <w:t>"</w:t>
      </w:r>
      <w:r w:rsidR="00247D2C" w:rsidRPr="00100D6C">
        <w:rPr>
          <w:rFonts w:ascii="Times New Roman" w:hAnsi="Times New Roman" w:cs="Times New Roman"/>
          <w:lang w:val="en-US"/>
        </w:rPr>
        <w:t>contracts of adhesion</w:t>
      </w:r>
      <w:r w:rsidR="00DE28A8">
        <w:rPr>
          <w:rFonts w:ascii="Times New Roman" w:hAnsi="Times New Roman" w:cs="Times New Roman"/>
          <w:lang w:val="en-US"/>
        </w:rPr>
        <w:t>"</w:t>
      </w:r>
      <w:r w:rsidR="00247D2C" w:rsidRPr="00100D6C">
        <w:rPr>
          <w:rFonts w:ascii="Times New Roman" w:hAnsi="Times New Roman" w:cs="Times New Roman"/>
          <w:lang w:val="en-US"/>
        </w:rPr>
        <w:t>, reminiscent of the capitulation agreements once imposed by colonial rulers against the periphery.</w:t>
      </w:r>
      <w:r w:rsidR="00250DF5" w:rsidRPr="00100D6C">
        <w:rPr>
          <w:rStyle w:val="FootnoteReference"/>
          <w:rFonts w:ascii="Times New Roman" w:hAnsi="Times New Roman" w:cs="Times New Roman"/>
          <w:lang w:val="en-US"/>
        </w:rPr>
        <w:footnoteReference w:id="103"/>
      </w:r>
      <w:r w:rsidR="00A54D4F" w:rsidRPr="00100D6C">
        <w:rPr>
          <w:rFonts w:ascii="Times New Roman" w:hAnsi="Times New Roman" w:cs="Times New Roman"/>
          <w:lang w:val="en-US"/>
        </w:rPr>
        <w:t xml:space="preserve"> In multilateral negotiations, conferential tsarism remains </w:t>
      </w:r>
      <w:r w:rsidR="00FE025D" w:rsidRPr="00100D6C">
        <w:rPr>
          <w:rFonts w:ascii="Times New Roman" w:hAnsi="Times New Roman" w:cs="Times New Roman"/>
          <w:lang w:val="en-US"/>
        </w:rPr>
        <w:t>an enduring, if controversial</w:t>
      </w:r>
      <w:r w:rsidR="00902FD5" w:rsidRPr="00100D6C">
        <w:rPr>
          <w:rFonts w:ascii="Times New Roman" w:hAnsi="Times New Roman" w:cs="Times New Roman"/>
          <w:lang w:val="en-US"/>
        </w:rPr>
        <w:t>,</w:t>
      </w:r>
      <w:r w:rsidR="00FE025D" w:rsidRPr="00100D6C">
        <w:rPr>
          <w:rFonts w:ascii="Times New Roman" w:hAnsi="Times New Roman" w:cs="Times New Roman"/>
          <w:lang w:val="en-US"/>
        </w:rPr>
        <w:t xml:space="preserve"> feature of treaty-making.</w:t>
      </w:r>
      <w:r w:rsidR="00902FD5" w:rsidRPr="00100D6C">
        <w:rPr>
          <w:rFonts w:ascii="Times New Roman" w:hAnsi="Times New Roman" w:cs="Times New Roman"/>
          <w:lang w:val="en-US"/>
        </w:rPr>
        <w:t xml:space="preserve"> Recent climate talks have for instance demonstrated a return, in the name of efficiency, to 19th century </w:t>
      </w:r>
      <w:r w:rsidR="00235767" w:rsidRPr="00100D6C">
        <w:rPr>
          <w:rFonts w:ascii="Times New Roman" w:hAnsi="Times New Roman" w:cs="Times New Roman"/>
          <w:lang w:val="en-US"/>
        </w:rPr>
        <w:t xml:space="preserve">legislative practices. </w:t>
      </w:r>
      <w:r w:rsidR="00956311" w:rsidRPr="00100D6C">
        <w:rPr>
          <w:rFonts w:ascii="Times New Roman" w:hAnsi="Times New Roman" w:cs="Times New Roman"/>
          <w:lang w:val="en-US"/>
        </w:rPr>
        <w:t>D</w:t>
      </w:r>
      <w:r w:rsidR="00235767" w:rsidRPr="00100D6C">
        <w:rPr>
          <w:rFonts w:ascii="Times New Roman" w:hAnsi="Times New Roman" w:cs="Times New Roman"/>
          <w:lang w:val="en-US"/>
        </w:rPr>
        <w:t xml:space="preserve">uring the 2009 Copenhagen </w:t>
      </w:r>
      <w:r w:rsidR="003F039A" w:rsidRPr="00100D6C">
        <w:rPr>
          <w:rFonts w:ascii="Times New Roman" w:hAnsi="Times New Roman" w:cs="Times New Roman"/>
          <w:lang w:val="en-US"/>
        </w:rPr>
        <w:t>climate summit</w:t>
      </w:r>
      <w:r w:rsidR="00235767" w:rsidRPr="00100D6C">
        <w:rPr>
          <w:rFonts w:ascii="Times New Roman" w:hAnsi="Times New Roman" w:cs="Times New Roman"/>
          <w:lang w:val="en-US"/>
        </w:rPr>
        <w:t>, a small group of great and emerging powers - citing political expedience and time constraints - broker</w:t>
      </w:r>
      <w:r w:rsidR="00956311" w:rsidRPr="00100D6C">
        <w:rPr>
          <w:rFonts w:ascii="Times New Roman" w:hAnsi="Times New Roman" w:cs="Times New Roman"/>
          <w:lang w:val="en-US"/>
        </w:rPr>
        <w:t>ed</w:t>
      </w:r>
      <w:r w:rsidR="00235767" w:rsidRPr="00100D6C">
        <w:rPr>
          <w:rFonts w:ascii="Times New Roman" w:hAnsi="Times New Roman" w:cs="Times New Roman"/>
          <w:lang w:val="en-US"/>
        </w:rPr>
        <w:t xml:space="preserve"> a deal</w:t>
      </w:r>
      <w:r w:rsidR="00A82A57" w:rsidRPr="00100D6C">
        <w:rPr>
          <w:rFonts w:ascii="Times New Roman" w:hAnsi="Times New Roman" w:cs="Times New Roman"/>
          <w:lang w:val="en-US"/>
        </w:rPr>
        <w:t xml:space="preserve"> </w:t>
      </w:r>
      <w:r w:rsidR="00235767" w:rsidRPr="00100D6C">
        <w:rPr>
          <w:rFonts w:ascii="Times New Roman" w:hAnsi="Times New Roman" w:cs="Times New Roman"/>
          <w:lang w:val="en-US"/>
        </w:rPr>
        <w:t>in secret in the dying hours of the conference</w:t>
      </w:r>
      <w:r w:rsidR="00AD279A" w:rsidRPr="00100D6C">
        <w:rPr>
          <w:rFonts w:ascii="Times New Roman" w:hAnsi="Times New Roman" w:cs="Times New Roman"/>
          <w:lang w:val="en-US"/>
        </w:rPr>
        <w:t xml:space="preserve"> (the so-called </w:t>
      </w:r>
      <w:r w:rsidR="00DE28A8">
        <w:rPr>
          <w:rFonts w:ascii="Times New Roman" w:hAnsi="Times New Roman" w:cs="Times New Roman"/>
          <w:lang w:val="en-US"/>
        </w:rPr>
        <w:t>"</w:t>
      </w:r>
      <w:r w:rsidR="00AD279A" w:rsidRPr="00100D6C">
        <w:rPr>
          <w:rFonts w:ascii="Times New Roman" w:hAnsi="Times New Roman" w:cs="Times New Roman"/>
          <w:lang w:val="en-US"/>
        </w:rPr>
        <w:t>leaders' agreement</w:t>
      </w:r>
      <w:r w:rsidR="00DE28A8">
        <w:rPr>
          <w:rFonts w:ascii="Times New Roman" w:hAnsi="Times New Roman" w:cs="Times New Roman"/>
          <w:lang w:val="en-US"/>
        </w:rPr>
        <w:t>"</w:t>
      </w:r>
      <w:r w:rsidR="00AD279A" w:rsidRPr="00100D6C">
        <w:rPr>
          <w:rFonts w:ascii="Times New Roman" w:hAnsi="Times New Roman" w:cs="Times New Roman"/>
          <w:lang w:val="en-US"/>
        </w:rPr>
        <w:t xml:space="preserve">) </w:t>
      </w:r>
      <w:r w:rsidR="00235767" w:rsidRPr="00100D6C">
        <w:rPr>
          <w:rFonts w:ascii="Times New Roman" w:hAnsi="Times New Roman" w:cs="Times New Roman"/>
          <w:lang w:val="en-US"/>
        </w:rPr>
        <w:t>and present</w:t>
      </w:r>
      <w:r w:rsidR="00956311" w:rsidRPr="00100D6C">
        <w:rPr>
          <w:rFonts w:ascii="Times New Roman" w:hAnsi="Times New Roman" w:cs="Times New Roman"/>
          <w:lang w:val="en-US"/>
        </w:rPr>
        <w:t>ed</w:t>
      </w:r>
      <w:r w:rsidR="00235767" w:rsidRPr="00100D6C">
        <w:rPr>
          <w:rFonts w:ascii="Times New Roman" w:hAnsi="Times New Roman" w:cs="Times New Roman"/>
          <w:lang w:val="en-US"/>
        </w:rPr>
        <w:t xml:space="preserve"> it as a fait accompli to the rest of the delegates, </w:t>
      </w:r>
      <w:r w:rsidR="00A82A57" w:rsidRPr="00100D6C">
        <w:rPr>
          <w:rFonts w:ascii="Times New Roman" w:hAnsi="Times New Roman" w:cs="Times New Roman"/>
          <w:lang w:val="en-US"/>
        </w:rPr>
        <w:t xml:space="preserve">with President Obama publicly announcing the outlines of the accord at a press conference before the end of the proceedings, leaving </w:t>
      </w:r>
      <w:r w:rsidR="00DE28A8">
        <w:rPr>
          <w:rFonts w:ascii="Times New Roman" w:hAnsi="Times New Roman" w:cs="Times New Roman"/>
          <w:lang w:val="en-US"/>
        </w:rPr>
        <w:t>little</w:t>
      </w:r>
      <w:r w:rsidR="00A82A57" w:rsidRPr="00100D6C">
        <w:rPr>
          <w:rFonts w:ascii="Times New Roman" w:hAnsi="Times New Roman" w:cs="Times New Roman"/>
          <w:lang w:val="en-US"/>
        </w:rPr>
        <w:t xml:space="preserve"> choice to other nations but so sign up to the take-it-or-leave-it </w:t>
      </w:r>
      <w:r w:rsidR="009A4DFA" w:rsidRPr="00100D6C">
        <w:rPr>
          <w:rFonts w:ascii="Times New Roman" w:hAnsi="Times New Roman" w:cs="Times New Roman"/>
          <w:lang w:val="en-US"/>
        </w:rPr>
        <w:t>agreement</w:t>
      </w:r>
      <w:r w:rsidR="00A82A57" w:rsidRPr="00100D6C">
        <w:rPr>
          <w:rFonts w:ascii="Times New Roman" w:hAnsi="Times New Roman" w:cs="Times New Roman"/>
          <w:lang w:val="en-US"/>
        </w:rPr>
        <w:t>.</w:t>
      </w:r>
      <w:r w:rsidR="00A82A57" w:rsidRPr="00100D6C">
        <w:rPr>
          <w:rStyle w:val="FootnoteReference"/>
          <w:rFonts w:ascii="Times New Roman" w:hAnsi="Times New Roman" w:cs="Times New Roman"/>
          <w:lang w:val="en-US"/>
        </w:rPr>
        <w:footnoteReference w:id="104"/>
      </w:r>
    </w:p>
    <w:p w:rsidR="00D07F63" w:rsidRPr="00100D6C" w:rsidRDefault="009E46A8" w:rsidP="00857E93">
      <w:pPr>
        <w:jc w:val="both"/>
        <w:rPr>
          <w:rFonts w:ascii="Times New Roman" w:hAnsi="Times New Roman" w:cs="Times New Roman"/>
          <w:lang w:val="en-US"/>
        </w:rPr>
      </w:pPr>
      <w:r w:rsidRPr="00100D6C">
        <w:rPr>
          <w:rFonts w:ascii="Times New Roman" w:hAnsi="Times New Roman" w:cs="Times New Roman"/>
          <w:lang w:val="en-US"/>
        </w:rPr>
        <w:t xml:space="preserve">Great powers, to finish, are able to marshal </w:t>
      </w:r>
      <w:r w:rsidR="00C85AFD">
        <w:rPr>
          <w:rFonts w:ascii="Times New Roman" w:hAnsi="Times New Roman" w:cs="Times New Roman"/>
          <w:lang w:val="en-US"/>
        </w:rPr>
        <w:t>"</w:t>
      </w:r>
      <w:r w:rsidRPr="00100D6C">
        <w:rPr>
          <w:rFonts w:ascii="Times New Roman" w:hAnsi="Times New Roman" w:cs="Times New Roman"/>
          <w:lang w:val="en-US"/>
        </w:rPr>
        <w:t>soft power</w:t>
      </w:r>
      <w:r w:rsidR="00C85AFD">
        <w:rPr>
          <w:rFonts w:ascii="Times New Roman" w:hAnsi="Times New Roman" w:cs="Times New Roman"/>
          <w:lang w:val="en-US"/>
        </w:rPr>
        <w:t>"</w:t>
      </w:r>
      <w:r w:rsidRPr="00100D6C">
        <w:rPr>
          <w:rFonts w:ascii="Times New Roman" w:hAnsi="Times New Roman" w:cs="Times New Roman"/>
          <w:lang w:val="en-US"/>
        </w:rPr>
        <w:t xml:space="preserve"> to influence </w:t>
      </w:r>
      <w:r w:rsidR="00515A8F" w:rsidRPr="00100D6C">
        <w:rPr>
          <w:rFonts w:ascii="Times New Roman" w:hAnsi="Times New Roman" w:cs="Times New Roman"/>
          <w:lang w:val="en-US"/>
        </w:rPr>
        <w:t>treaty-making</w:t>
      </w:r>
      <w:r w:rsidRPr="00100D6C">
        <w:rPr>
          <w:rFonts w:ascii="Times New Roman" w:hAnsi="Times New Roman" w:cs="Times New Roman"/>
          <w:lang w:val="en-US"/>
        </w:rPr>
        <w:t>.</w:t>
      </w:r>
      <w:r w:rsidR="00533CA4" w:rsidRPr="00100D6C">
        <w:rPr>
          <w:rStyle w:val="FootnoteReference"/>
          <w:rFonts w:ascii="Times New Roman" w:hAnsi="Times New Roman" w:cs="Times New Roman"/>
          <w:lang w:val="en-US"/>
        </w:rPr>
        <w:footnoteReference w:id="105"/>
      </w:r>
      <w:r w:rsidRPr="00100D6C">
        <w:rPr>
          <w:rFonts w:ascii="Times New Roman" w:hAnsi="Times New Roman" w:cs="Times New Roman"/>
          <w:lang w:val="en-US"/>
        </w:rPr>
        <w:t xml:space="preserve"> As well as</w:t>
      </w:r>
      <w:r w:rsidR="00A20E19" w:rsidRPr="00100D6C">
        <w:rPr>
          <w:rFonts w:ascii="Times New Roman" w:hAnsi="Times New Roman" w:cs="Times New Roman"/>
          <w:lang w:val="en-US"/>
        </w:rPr>
        <w:t xml:space="preserve"> the </w:t>
      </w:r>
      <w:r w:rsidR="005B6D45" w:rsidRPr="00100D6C">
        <w:rPr>
          <w:rFonts w:ascii="Times New Roman" w:hAnsi="Times New Roman" w:cs="Times New Roman"/>
          <w:lang w:val="en-US"/>
        </w:rPr>
        <w:t>ability to apply economic and political pressures on other states</w:t>
      </w:r>
      <w:r w:rsidRPr="00100D6C">
        <w:rPr>
          <w:rFonts w:ascii="Times New Roman" w:hAnsi="Times New Roman" w:cs="Times New Roman"/>
          <w:lang w:val="en-US"/>
        </w:rPr>
        <w:t xml:space="preserve">, great powers possess ideational, cultural and human resources which they can </w:t>
      </w:r>
      <w:r w:rsidR="002237BC" w:rsidRPr="00100D6C">
        <w:rPr>
          <w:rFonts w:ascii="Times New Roman" w:hAnsi="Times New Roman" w:cs="Times New Roman"/>
          <w:lang w:val="en-US"/>
        </w:rPr>
        <w:t>mobilize</w:t>
      </w:r>
      <w:r w:rsidRPr="00100D6C">
        <w:rPr>
          <w:rFonts w:ascii="Times New Roman" w:hAnsi="Times New Roman" w:cs="Times New Roman"/>
          <w:lang w:val="en-US"/>
        </w:rPr>
        <w:t xml:space="preserve"> to secure </w:t>
      </w:r>
      <w:r w:rsidR="002237BC" w:rsidRPr="00100D6C">
        <w:rPr>
          <w:rFonts w:ascii="Times New Roman" w:hAnsi="Times New Roman" w:cs="Times New Roman"/>
          <w:lang w:val="en-US"/>
        </w:rPr>
        <w:t>favorable</w:t>
      </w:r>
      <w:r w:rsidR="00726CEF" w:rsidRPr="00100D6C">
        <w:rPr>
          <w:rFonts w:ascii="Times New Roman" w:hAnsi="Times New Roman" w:cs="Times New Roman"/>
          <w:lang w:val="en-US"/>
        </w:rPr>
        <w:t xml:space="preserve"> outcomes</w:t>
      </w:r>
      <w:r w:rsidRPr="00100D6C">
        <w:rPr>
          <w:rFonts w:ascii="Times New Roman" w:hAnsi="Times New Roman" w:cs="Times New Roman"/>
          <w:lang w:val="en-US"/>
        </w:rPr>
        <w:t xml:space="preserve"> in ways which are often not available to smaller nations.</w:t>
      </w:r>
      <w:r w:rsidR="00A20E19" w:rsidRPr="00100D6C">
        <w:rPr>
          <w:rFonts w:ascii="Times New Roman" w:hAnsi="Times New Roman" w:cs="Times New Roman"/>
          <w:lang w:val="en-US"/>
        </w:rPr>
        <w:t xml:space="preserve"> Leading states can draw upon large pools of experts, skilled negotiators and communicators</w:t>
      </w:r>
      <w:r w:rsidR="00533CA4" w:rsidRPr="00100D6C">
        <w:rPr>
          <w:rFonts w:ascii="Times New Roman" w:hAnsi="Times New Roman" w:cs="Times New Roman"/>
          <w:lang w:val="en-US"/>
        </w:rPr>
        <w:t xml:space="preserve"> to disseminate their ideas and make their claims seem legitimate in the eyes of others</w:t>
      </w:r>
      <w:r w:rsidR="00D07F63" w:rsidRPr="00100D6C">
        <w:rPr>
          <w:rFonts w:ascii="Times New Roman" w:hAnsi="Times New Roman" w:cs="Times New Roman"/>
          <w:lang w:val="en-US"/>
        </w:rPr>
        <w:t>.</w:t>
      </w:r>
      <w:r w:rsidR="00726CEF" w:rsidRPr="00100D6C">
        <w:rPr>
          <w:rFonts w:ascii="Times New Roman" w:hAnsi="Times New Roman" w:cs="Times New Roman"/>
          <w:lang w:val="en-US"/>
        </w:rPr>
        <w:t xml:space="preserve"> </w:t>
      </w:r>
      <w:r w:rsidR="00D07F63" w:rsidRPr="00100D6C">
        <w:rPr>
          <w:rFonts w:ascii="Times New Roman" w:hAnsi="Times New Roman" w:cs="Times New Roman"/>
          <w:lang w:val="en-US"/>
        </w:rPr>
        <w:t>T</w:t>
      </w:r>
      <w:r w:rsidR="00726CEF" w:rsidRPr="00100D6C">
        <w:rPr>
          <w:rFonts w:ascii="Times New Roman" w:hAnsi="Times New Roman" w:cs="Times New Roman"/>
          <w:lang w:val="en-US"/>
        </w:rPr>
        <w:t>heir bureaucracies</w:t>
      </w:r>
      <w:r w:rsidR="00D07F63" w:rsidRPr="00100D6C">
        <w:rPr>
          <w:rFonts w:ascii="Times New Roman" w:hAnsi="Times New Roman" w:cs="Times New Roman"/>
          <w:lang w:val="en-US"/>
        </w:rPr>
        <w:t xml:space="preserve"> </w:t>
      </w:r>
      <w:r w:rsidR="0059109C" w:rsidRPr="00100D6C">
        <w:rPr>
          <w:rFonts w:ascii="Times New Roman" w:hAnsi="Times New Roman" w:cs="Times New Roman"/>
          <w:lang w:val="en-US"/>
        </w:rPr>
        <w:t>possess the breadth</w:t>
      </w:r>
      <w:r w:rsidR="00726CEF" w:rsidRPr="00100D6C">
        <w:rPr>
          <w:rFonts w:ascii="Times New Roman" w:hAnsi="Times New Roman" w:cs="Times New Roman"/>
          <w:lang w:val="en-US"/>
        </w:rPr>
        <w:t xml:space="preserve"> and depth of regulatory knowledge necessary to effectively </w:t>
      </w:r>
      <w:r w:rsidR="00D07F63" w:rsidRPr="00100D6C">
        <w:rPr>
          <w:rFonts w:ascii="Times New Roman" w:hAnsi="Times New Roman" w:cs="Times New Roman"/>
          <w:lang w:val="en-US"/>
        </w:rPr>
        <w:t xml:space="preserve">control and influence law-making in the functionally specialized </w:t>
      </w:r>
      <w:r w:rsidR="0059109C" w:rsidRPr="00100D6C">
        <w:rPr>
          <w:rFonts w:ascii="Times New Roman" w:hAnsi="Times New Roman" w:cs="Times New Roman"/>
          <w:lang w:val="en-US"/>
        </w:rPr>
        <w:t>institutions</w:t>
      </w:r>
      <w:r w:rsidR="00D07F63" w:rsidRPr="00100D6C">
        <w:rPr>
          <w:rFonts w:ascii="Times New Roman" w:hAnsi="Times New Roman" w:cs="Times New Roman"/>
          <w:lang w:val="en-US"/>
        </w:rPr>
        <w:t xml:space="preserve"> which now determine policies in areas such as market regulation, development, environment, transportation, public health, education and so on. Smaller states, by contrast, often experience difficulties in staffing their missions to the organizations and international gatherings where treaties and agreements are negotiated</w:t>
      </w:r>
      <w:r w:rsidR="00533CA4" w:rsidRPr="00100D6C">
        <w:rPr>
          <w:rFonts w:ascii="Times New Roman" w:hAnsi="Times New Roman" w:cs="Times New Roman"/>
          <w:lang w:val="en-US"/>
        </w:rPr>
        <w:t xml:space="preserve">. They lack the soft co-optive and institutional power needed to </w:t>
      </w:r>
      <w:r w:rsidR="00533CA4" w:rsidRPr="00100D6C">
        <w:rPr>
          <w:rFonts w:ascii="Times New Roman" w:hAnsi="Times New Roman" w:cs="Times New Roman"/>
          <w:lang w:val="en-US"/>
        </w:rPr>
        <w:lastRenderedPageBreak/>
        <w:t>persuade other actors to define their interests in ways consistent with their own</w:t>
      </w:r>
      <w:r w:rsidR="00D07F63" w:rsidRPr="00100D6C">
        <w:rPr>
          <w:rFonts w:ascii="Times New Roman" w:hAnsi="Times New Roman" w:cs="Times New Roman"/>
          <w:lang w:val="en-US"/>
        </w:rPr>
        <w:t xml:space="preserve">. </w:t>
      </w:r>
      <w:r w:rsidR="00FC5D42" w:rsidRPr="00100D6C">
        <w:rPr>
          <w:rFonts w:ascii="Times New Roman" w:hAnsi="Times New Roman" w:cs="Times New Roman"/>
          <w:lang w:val="en-US"/>
        </w:rPr>
        <w:t xml:space="preserve">Diplomacy, </w:t>
      </w:r>
      <w:r w:rsidR="002237BC">
        <w:rPr>
          <w:rFonts w:ascii="Times New Roman" w:hAnsi="Times New Roman" w:cs="Times New Roman"/>
          <w:lang w:val="en-US"/>
        </w:rPr>
        <w:t>for those reasons</w:t>
      </w:r>
      <w:r w:rsidR="00FC5D42" w:rsidRPr="00100D6C">
        <w:rPr>
          <w:rFonts w:ascii="Times New Roman" w:hAnsi="Times New Roman" w:cs="Times New Roman"/>
          <w:lang w:val="en-US"/>
        </w:rPr>
        <w:t>, is</w:t>
      </w:r>
      <w:r w:rsidR="0059109C" w:rsidRPr="00100D6C">
        <w:rPr>
          <w:rFonts w:ascii="Times New Roman" w:hAnsi="Times New Roman" w:cs="Times New Roman"/>
          <w:lang w:val="en-US"/>
        </w:rPr>
        <w:t xml:space="preserve"> therefore</w:t>
      </w:r>
      <w:r w:rsidR="00FC5D42" w:rsidRPr="00100D6C">
        <w:rPr>
          <w:rFonts w:ascii="Times New Roman" w:hAnsi="Times New Roman" w:cs="Times New Roman"/>
          <w:lang w:val="en-US"/>
        </w:rPr>
        <w:t xml:space="preserve"> skewed in </w:t>
      </w:r>
      <w:r w:rsidR="002237BC" w:rsidRPr="00100D6C">
        <w:rPr>
          <w:rFonts w:ascii="Times New Roman" w:hAnsi="Times New Roman" w:cs="Times New Roman"/>
          <w:lang w:val="en-US"/>
        </w:rPr>
        <w:t>favor</w:t>
      </w:r>
      <w:r w:rsidR="00FC5D42" w:rsidRPr="00100D6C">
        <w:rPr>
          <w:rFonts w:ascii="Times New Roman" w:hAnsi="Times New Roman" w:cs="Times New Roman"/>
          <w:lang w:val="en-US"/>
        </w:rPr>
        <w:t xml:space="preserve"> of the more affluent and powerful countries.</w:t>
      </w:r>
      <w:r w:rsidR="00F1540E" w:rsidRPr="00100D6C">
        <w:rPr>
          <w:rStyle w:val="FootnoteReference"/>
          <w:rFonts w:ascii="Times New Roman" w:hAnsi="Times New Roman" w:cs="Times New Roman"/>
          <w:lang w:val="en-US"/>
        </w:rPr>
        <w:footnoteReference w:id="106"/>
      </w:r>
    </w:p>
    <w:p w:rsidR="0095650E" w:rsidRPr="00100D6C" w:rsidRDefault="003238DF" w:rsidP="009A4788">
      <w:pPr>
        <w:jc w:val="both"/>
        <w:rPr>
          <w:rFonts w:ascii="Times New Roman" w:hAnsi="Times New Roman" w:cs="Times New Roman"/>
          <w:lang w:val="en-US"/>
        </w:rPr>
      </w:pPr>
      <w:r w:rsidRPr="00100D6C">
        <w:rPr>
          <w:rFonts w:ascii="Times New Roman" w:hAnsi="Times New Roman" w:cs="Times New Roman"/>
          <w:lang w:val="en-US"/>
        </w:rPr>
        <w:t>T</w:t>
      </w:r>
      <w:r w:rsidR="0060429E" w:rsidRPr="00100D6C">
        <w:rPr>
          <w:rFonts w:ascii="Times New Roman" w:hAnsi="Times New Roman" w:cs="Times New Roman"/>
          <w:lang w:val="en-US"/>
        </w:rPr>
        <w:t xml:space="preserve">he power of individual states, to be sure, </w:t>
      </w:r>
      <w:r w:rsidR="00956311" w:rsidRPr="00100D6C">
        <w:rPr>
          <w:rFonts w:ascii="Times New Roman" w:hAnsi="Times New Roman" w:cs="Times New Roman"/>
          <w:lang w:val="en-US"/>
        </w:rPr>
        <w:t>can</w:t>
      </w:r>
      <w:r w:rsidR="00351ADF" w:rsidRPr="00100D6C">
        <w:rPr>
          <w:rFonts w:ascii="Times New Roman" w:hAnsi="Times New Roman" w:cs="Times New Roman"/>
          <w:lang w:val="en-US"/>
        </w:rPr>
        <w:t xml:space="preserve"> sometimes</w:t>
      </w:r>
      <w:r w:rsidR="00956311" w:rsidRPr="00100D6C">
        <w:rPr>
          <w:rFonts w:ascii="Times New Roman" w:hAnsi="Times New Roman" w:cs="Times New Roman"/>
          <w:lang w:val="en-US"/>
        </w:rPr>
        <w:t xml:space="preserve"> be balanced by the </w:t>
      </w:r>
      <w:r w:rsidR="002237BC">
        <w:rPr>
          <w:rFonts w:ascii="Times New Roman" w:hAnsi="Times New Roman" w:cs="Times New Roman"/>
          <w:lang w:val="en-US"/>
        </w:rPr>
        <w:t>"</w:t>
      </w:r>
      <w:r w:rsidR="00956311" w:rsidRPr="00100D6C">
        <w:rPr>
          <w:rFonts w:ascii="Times New Roman" w:hAnsi="Times New Roman" w:cs="Times New Roman"/>
          <w:lang w:val="en-US"/>
        </w:rPr>
        <w:t>power of numbers</w:t>
      </w:r>
      <w:r w:rsidR="002237BC">
        <w:rPr>
          <w:rFonts w:ascii="Times New Roman" w:hAnsi="Times New Roman" w:cs="Times New Roman"/>
          <w:lang w:val="en-US"/>
        </w:rPr>
        <w:t>"</w:t>
      </w:r>
      <w:r w:rsidR="00956311" w:rsidRPr="00100D6C">
        <w:rPr>
          <w:rFonts w:ascii="Times New Roman" w:hAnsi="Times New Roman" w:cs="Times New Roman"/>
          <w:lang w:val="en-US"/>
        </w:rPr>
        <w:t xml:space="preserve">. On some occasions, smaller </w:t>
      </w:r>
      <w:r w:rsidR="00351ADF" w:rsidRPr="00100D6C">
        <w:rPr>
          <w:rFonts w:ascii="Times New Roman" w:hAnsi="Times New Roman" w:cs="Times New Roman"/>
          <w:lang w:val="en-US"/>
        </w:rPr>
        <w:t xml:space="preserve">nations have been successful in negotiating </w:t>
      </w:r>
      <w:r w:rsidR="002237BC" w:rsidRPr="00100D6C">
        <w:rPr>
          <w:rFonts w:ascii="Times New Roman" w:hAnsi="Times New Roman" w:cs="Times New Roman"/>
          <w:lang w:val="en-US"/>
        </w:rPr>
        <w:t>favorable</w:t>
      </w:r>
      <w:r w:rsidR="00351ADF" w:rsidRPr="00100D6C">
        <w:rPr>
          <w:rFonts w:ascii="Times New Roman" w:hAnsi="Times New Roman" w:cs="Times New Roman"/>
          <w:lang w:val="en-US"/>
        </w:rPr>
        <w:t xml:space="preserve"> provisions by </w:t>
      </w:r>
      <w:r w:rsidR="002237BC" w:rsidRPr="00100D6C">
        <w:rPr>
          <w:rFonts w:ascii="Times New Roman" w:hAnsi="Times New Roman" w:cs="Times New Roman"/>
          <w:lang w:val="en-US"/>
        </w:rPr>
        <w:t>mobilizing</w:t>
      </w:r>
      <w:r w:rsidR="00351ADF" w:rsidRPr="00100D6C">
        <w:rPr>
          <w:rFonts w:ascii="Times New Roman" w:hAnsi="Times New Roman" w:cs="Times New Roman"/>
          <w:lang w:val="en-US"/>
        </w:rPr>
        <w:t xml:space="preserve"> the power of the majority</w:t>
      </w:r>
      <w:r w:rsidR="006D554C" w:rsidRPr="00100D6C">
        <w:rPr>
          <w:rFonts w:ascii="Times New Roman" w:hAnsi="Times New Roman" w:cs="Times New Roman"/>
          <w:lang w:val="en-US"/>
        </w:rPr>
        <w:t xml:space="preserve">, a power which the UN has </w:t>
      </w:r>
      <w:r w:rsidR="00676C1F" w:rsidRPr="00100D6C">
        <w:rPr>
          <w:rFonts w:ascii="Times New Roman" w:hAnsi="Times New Roman" w:cs="Times New Roman"/>
          <w:lang w:val="en-US"/>
        </w:rPr>
        <w:t xml:space="preserve">to an extent </w:t>
      </w:r>
      <w:r w:rsidR="006D554C" w:rsidRPr="00100D6C">
        <w:rPr>
          <w:rFonts w:ascii="Times New Roman" w:hAnsi="Times New Roman" w:cs="Times New Roman"/>
          <w:lang w:val="en-US"/>
        </w:rPr>
        <w:t>entrenched in institutions such as the General Assembly</w:t>
      </w:r>
      <w:r w:rsidR="00351ADF" w:rsidRPr="00100D6C">
        <w:rPr>
          <w:rFonts w:ascii="Times New Roman" w:hAnsi="Times New Roman" w:cs="Times New Roman"/>
          <w:lang w:val="en-US"/>
        </w:rPr>
        <w:t>. Developing countries have, for instance, secured recognition for principles such as the right to self-determination, permanent sovereignty over natural resources or the principle of common but differentiated responsibilities. These are, however, rare, moderate and often precarious successes.</w:t>
      </w:r>
      <w:r w:rsidR="002237BC">
        <w:rPr>
          <w:rStyle w:val="FootnoteReference"/>
          <w:rFonts w:ascii="Times New Roman" w:hAnsi="Times New Roman" w:cs="Times New Roman"/>
          <w:lang w:val="en-US"/>
        </w:rPr>
        <w:footnoteReference w:id="107"/>
      </w:r>
      <w:r w:rsidR="00351ADF" w:rsidRPr="00100D6C">
        <w:rPr>
          <w:rFonts w:ascii="Times New Roman" w:hAnsi="Times New Roman" w:cs="Times New Roman"/>
          <w:lang w:val="en-US"/>
        </w:rPr>
        <w:t xml:space="preserve"> </w:t>
      </w:r>
      <w:r w:rsidR="006D34AE" w:rsidRPr="00100D6C">
        <w:rPr>
          <w:rFonts w:ascii="Times New Roman" w:hAnsi="Times New Roman" w:cs="Times New Roman"/>
          <w:lang w:val="en-US"/>
        </w:rPr>
        <w:t>More often than not</w:t>
      </w:r>
      <w:r w:rsidR="00351ADF" w:rsidRPr="00100D6C">
        <w:rPr>
          <w:rFonts w:ascii="Times New Roman" w:hAnsi="Times New Roman" w:cs="Times New Roman"/>
          <w:lang w:val="en-US"/>
        </w:rPr>
        <w:t>, great powers are able to block proposals supported by overwhelming majorities.</w:t>
      </w:r>
      <w:r w:rsidR="006D34AE" w:rsidRPr="00100D6C">
        <w:rPr>
          <w:rFonts w:ascii="Times New Roman" w:hAnsi="Times New Roman" w:cs="Times New Roman"/>
          <w:lang w:val="en-US"/>
        </w:rPr>
        <w:t xml:space="preserve"> This is especially true </w:t>
      </w:r>
      <w:r w:rsidR="00F1540E" w:rsidRPr="00100D6C">
        <w:rPr>
          <w:rFonts w:ascii="Times New Roman" w:hAnsi="Times New Roman" w:cs="Times New Roman"/>
          <w:lang w:val="en-US"/>
        </w:rPr>
        <w:t>given</w:t>
      </w:r>
      <w:r w:rsidR="006D34AE" w:rsidRPr="00100D6C">
        <w:rPr>
          <w:rFonts w:ascii="Times New Roman" w:hAnsi="Times New Roman" w:cs="Times New Roman"/>
          <w:lang w:val="en-US"/>
        </w:rPr>
        <w:t xml:space="preserve"> the fragmentation of the legislative process in increasingly narrow functionalist regimes, </w:t>
      </w:r>
      <w:r w:rsidR="009B2FCD" w:rsidRPr="00100D6C">
        <w:rPr>
          <w:rFonts w:ascii="Times New Roman" w:hAnsi="Times New Roman" w:cs="Times New Roman"/>
          <w:lang w:val="en-US"/>
        </w:rPr>
        <w:t xml:space="preserve">a phenomenon that </w:t>
      </w:r>
      <w:r w:rsidR="006D34AE" w:rsidRPr="00100D6C">
        <w:rPr>
          <w:rFonts w:ascii="Times New Roman" w:hAnsi="Times New Roman" w:cs="Times New Roman"/>
          <w:lang w:val="en-US"/>
        </w:rPr>
        <w:t>limits the opportunities for weaker actors to build cross-issue coalitions and increase their bargaining power.</w:t>
      </w:r>
      <w:r w:rsidR="006D34AE" w:rsidRPr="00100D6C">
        <w:rPr>
          <w:rStyle w:val="FootnoteReference"/>
          <w:rFonts w:ascii="Times New Roman" w:hAnsi="Times New Roman" w:cs="Times New Roman"/>
          <w:lang w:val="en-US"/>
        </w:rPr>
        <w:footnoteReference w:id="108"/>
      </w:r>
      <w:r w:rsidR="00351ADF" w:rsidRPr="00100D6C">
        <w:rPr>
          <w:rFonts w:ascii="Times New Roman" w:hAnsi="Times New Roman" w:cs="Times New Roman"/>
          <w:lang w:val="en-US"/>
        </w:rPr>
        <w:t xml:space="preserve"> In the WTO context, </w:t>
      </w:r>
      <w:r w:rsidR="006D554C" w:rsidRPr="00100D6C">
        <w:rPr>
          <w:rFonts w:ascii="Times New Roman" w:hAnsi="Times New Roman" w:cs="Times New Roman"/>
          <w:lang w:val="en-US"/>
        </w:rPr>
        <w:t xml:space="preserve">to provide </w:t>
      </w:r>
      <w:r w:rsidR="00F1540E" w:rsidRPr="00100D6C">
        <w:rPr>
          <w:rFonts w:ascii="Times New Roman" w:hAnsi="Times New Roman" w:cs="Times New Roman"/>
          <w:lang w:val="en-US"/>
        </w:rPr>
        <w:t>a</w:t>
      </w:r>
      <w:r w:rsidR="006D554C" w:rsidRPr="00100D6C">
        <w:rPr>
          <w:rFonts w:ascii="Times New Roman" w:hAnsi="Times New Roman" w:cs="Times New Roman"/>
          <w:lang w:val="en-US"/>
        </w:rPr>
        <w:t xml:space="preserve"> recent</w:t>
      </w:r>
      <w:r w:rsidR="00351ADF" w:rsidRPr="00100D6C">
        <w:rPr>
          <w:rFonts w:ascii="Times New Roman" w:hAnsi="Times New Roman" w:cs="Times New Roman"/>
          <w:lang w:val="en-US"/>
        </w:rPr>
        <w:t xml:space="preserve"> example,</w:t>
      </w:r>
      <w:r w:rsidR="006D554C" w:rsidRPr="00100D6C">
        <w:rPr>
          <w:rFonts w:ascii="Times New Roman" w:hAnsi="Times New Roman" w:cs="Times New Roman"/>
          <w:lang w:val="en-US"/>
        </w:rPr>
        <w:t xml:space="preserve"> a cycle of</w:t>
      </w:r>
      <w:r w:rsidR="00351ADF" w:rsidRPr="00100D6C">
        <w:rPr>
          <w:rFonts w:ascii="Times New Roman" w:hAnsi="Times New Roman" w:cs="Times New Roman"/>
          <w:lang w:val="en-US"/>
        </w:rPr>
        <w:t xml:space="preserve"> </w:t>
      </w:r>
      <w:r w:rsidR="006D554C" w:rsidRPr="00100D6C">
        <w:rPr>
          <w:rFonts w:ascii="Times New Roman" w:hAnsi="Times New Roman" w:cs="Times New Roman"/>
          <w:lang w:val="en-US"/>
        </w:rPr>
        <w:t>negotiation</w:t>
      </w:r>
      <w:r w:rsidR="00351ADF" w:rsidRPr="00100D6C">
        <w:rPr>
          <w:rFonts w:ascii="Times New Roman" w:hAnsi="Times New Roman" w:cs="Times New Roman"/>
          <w:lang w:val="en-US"/>
        </w:rPr>
        <w:t>s</w:t>
      </w:r>
      <w:r w:rsidR="006D554C" w:rsidRPr="00100D6C">
        <w:rPr>
          <w:rFonts w:ascii="Times New Roman" w:hAnsi="Times New Roman" w:cs="Times New Roman"/>
          <w:lang w:val="en-US"/>
        </w:rPr>
        <w:t xml:space="preserve"> known as the </w:t>
      </w:r>
      <w:r w:rsidR="00181117">
        <w:rPr>
          <w:rFonts w:ascii="Times New Roman" w:hAnsi="Times New Roman" w:cs="Times New Roman"/>
          <w:lang w:val="en-US"/>
        </w:rPr>
        <w:t>"</w:t>
      </w:r>
      <w:r w:rsidR="006D554C" w:rsidRPr="00100D6C">
        <w:rPr>
          <w:rFonts w:ascii="Times New Roman" w:hAnsi="Times New Roman" w:cs="Times New Roman"/>
          <w:lang w:val="en-US"/>
        </w:rPr>
        <w:t>Doha Round</w:t>
      </w:r>
      <w:r w:rsidR="00181117">
        <w:rPr>
          <w:rFonts w:ascii="Times New Roman" w:hAnsi="Times New Roman" w:cs="Times New Roman"/>
          <w:lang w:val="en-US"/>
        </w:rPr>
        <w:t>"</w:t>
      </w:r>
      <w:r w:rsidR="006D554C" w:rsidRPr="00100D6C">
        <w:rPr>
          <w:rFonts w:ascii="Times New Roman" w:hAnsi="Times New Roman" w:cs="Times New Roman"/>
          <w:lang w:val="en-US"/>
        </w:rPr>
        <w:t xml:space="preserve"> was </w:t>
      </w:r>
      <w:r w:rsidR="00351ADF" w:rsidRPr="00100D6C">
        <w:rPr>
          <w:rFonts w:ascii="Times New Roman" w:hAnsi="Times New Roman" w:cs="Times New Roman"/>
          <w:lang w:val="en-US"/>
        </w:rPr>
        <w:t>initiated in 2001 to</w:t>
      </w:r>
      <w:r w:rsidR="009A4788" w:rsidRPr="00100D6C">
        <w:rPr>
          <w:rFonts w:ascii="Times New Roman" w:hAnsi="Times New Roman" w:cs="Times New Roman"/>
          <w:lang w:val="en-US"/>
        </w:rPr>
        <w:t xml:space="preserve"> tackle some of the fundamental inequities of the world trading system, </w:t>
      </w:r>
      <w:r w:rsidR="00351ADF" w:rsidRPr="00100D6C">
        <w:rPr>
          <w:rFonts w:ascii="Times New Roman" w:hAnsi="Times New Roman" w:cs="Times New Roman"/>
          <w:lang w:val="en-US"/>
        </w:rPr>
        <w:t>in light of the needs and interests of developing countries</w:t>
      </w:r>
      <w:r w:rsidR="00244453" w:rsidRPr="00100D6C">
        <w:rPr>
          <w:rFonts w:ascii="Times New Roman" w:hAnsi="Times New Roman" w:cs="Times New Roman"/>
          <w:lang w:val="en-US"/>
        </w:rPr>
        <w:t>.</w:t>
      </w:r>
      <w:r w:rsidR="009A4788" w:rsidRPr="00100D6C">
        <w:rPr>
          <w:rFonts w:ascii="Times New Roman" w:hAnsi="Times New Roman" w:cs="Times New Roman"/>
          <w:lang w:val="en-US"/>
        </w:rPr>
        <w:t xml:space="preserve"> </w:t>
      </w:r>
      <w:r w:rsidR="0095650E" w:rsidRPr="00100D6C">
        <w:rPr>
          <w:rFonts w:ascii="Times New Roman" w:hAnsi="Times New Roman" w:cs="Times New Roman"/>
          <w:lang w:val="en-US"/>
        </w:rPr>
        <w:t>Small and emerging powers, however, have been unable to gain enough leverage to overcome the unwillingness of a few leading economies (EU, US and Japan in particular) to make concessions on issues such as farm subsidies and tariffs</w:t>
      </w:r>
      <w:r w:rsidR="009B2FCD" w:rsidRPr="00100D6C">
        <w:rPr>
          <w:rFonts w:ascii="Times New Roman" w:hAnsi="Times New Roman" w:cs="Times New Roman"/>
          <w:lang w:val="en-US"/>
        </w:rPr>
        <w:t>, despite a united front on at least some of the policy proposals</w:t>
      </w:r>
      <w:r w:rsidR="0095650E" w:rsidRPr="00100D6C">
        <w:rPr>
          <w:rFonts w:ascii="Times New Roman" w:hAnsi="Times New Roman" w:cs="Times New Roman"/>
          <w:lang w:val="en-US"/>
        </w:rPr>
        <w:t>. The Doha Agenda was eventually abandoned in December 2015, having failed to achieve any meaningful reform of the trading system.</w:t>
      </w:r>
      <w:r w:rsidR="00F1540E" w:rsidRPr="00100D6C">
        <w:rPr>
          <w:rStyle w:val="FootnoteReference"/>
          <w:rFonts w:ascii="Times New Roman" w:hAnsi="Times New Roman" w:cs="Times New Roman"/>
          <w:lang w:val="en-US"/>
        </w:rPr>
        <w:footnoteReference w:id="109"/>
      </w:r>
    </w:p>
    <w:p w:rsidR="00DE1049" w:rsidRPr="00100D6C" w:rsidRDefault="006D34AE" w:rsidP="00CA43DD">
      <w:pPr>
        <w:jc w:val="both"/>
        <w:rPr>
          <w:rFonts w:ascii="Times New Roman" w:hAnsi="Times New Roman" w:cs="Times New Roman"/>
          <w:lang w:val="en-US"/>
        </w:rPr>
      </w:pPr>
      <w:r w:rsidRPr="00100D6C">
        <w:rPr>
          <w:rFonts w:ascii="Times New Roman" w:hAnsi="Times New Roman" w:cs="Times New Roman"/>
          <w:lang w:val="en-US"/>
        </w:rPr>
        <w:t>If treaty-making is the work of power, so too is the formation of customary international law (CIL).</w:t>
      </w:r>
      <w:r w:rsidR="00F1540E" w:rsidRPr="00100D6C">
        <w:rPr>
          <w:rStyle w:val="FootnoteReference"/>
          <w:rFonts w:ascii="Times New Roman" w:hAnsi="Times New Roman" w:cs="Times New Roman"/>
          <w:lang w:val="en-US"/>
        </w:rPr>
        <w:footnoteReference w:id="110"/>
      </w:r>
      <w:r w:rsidRPr="00100D6C">
        <w:rPr>
          <w:rFonts w:ascii="Times New Roman" w:hAnsi="Times New Roman" w:cs="Times New Roman"/>
          <w:lang w:val="en-US"/>
        </w:rPr>
        <w:t xml:space="preserve"> </w:t>
      </w:r>
      <w:r w:rsidR="005B6D45" w:rsidRPr="00100D6C">
        <w:rPr>
          <w:rFonts w:ascii="Times New Roman" w:hAnsi="Times New Roman" w:cs="Times New Roman"/>
          <w:lang w:val="en-US"/>
        </w:rPr>
        <w:t>With regards to state practice - the primary element of CIL - powerful</w:t>
      </w:r>
      <w:r w:rsidR="00F9661B" w:rsidRPr="00100D6C">
        <w:rPr>
          <w:rFonts w:ascii="Times New Roman" w:hAnsi="Times New Roman" w:cs="Times New Roman"/>
          <w:lang w:val="en-US"/>
        </w:rPr>
        <w:t xml:space="preserve"> states possess the ability to engage in practice across a far wider range of issues than smaller nations, and their actions traditionally carry much greater weight in the formation of custom. As observed once by De Visscher, if the formation of CIL is akin to the gradual formation of a road across vacant land, then </w:t>
      </w:r>
      <w:r w:rsidR="00181117">
        <w:rPr>
          <w:rFonts w:ascii="Times New Roman" w:hAnsi="Times New Roman" w:cs="Times New Roman"/>
          <w:lang w:val="en-US"/>
        </w:rPr>
        <w:t>"</w:t>
      </w:r>
      <w:r w:rsidR="00F9661B" w:rsidRPr="00100D6C">
        <w:rPr>
          <w:rFonts w:ascii="Times New Roman" w:hAnsi="Times New Roman" w:cs="Times New Roman"/>
          <w:lang w:val="en-US"/>
        </w:rPr>
        <w:t>among the users are always some who mark the soil more deeply with their footprints than others, either because of their weight, which is to say their power in the world, or because their interests bring them more frequently this way</w:t>
      </w:r>
      <w:r w:rsidR="00181117">
        <w:rPr>
          <w:rFonts w:ascii="Times New Roman" w:hAnsi="Times New Roman" w:cs="Times New Roman"/>
          <w:lang w:val="en-US"/>
        </w:rPr>
        <w:t>."</w:t>
      </w:r>
      <w:r w:rsidR="00F1540E" w:rsidRPr="00100D6C">
        <w:rPr>
          <w:rStyle w:val="FootnoteReference"/>
          <w:rFonts w:ascii="Times New Roman" w:hAnsi="Times New Roman" w:cs="Times New Roman"/>
          <w:lang w:val="en-US"/>
        </w:rPr>
        <w:footnoteReference w:id="111"/>
      </w:r>
      <w:r w:rsidR="00F9661B" w:rsidRPr="00100D6C">
        <w:rPr>
          <w:rFonts w:ascii="Times New Roman" w:hAnsi="Times New Roman" w:cs="Times New Roman"/>
          <w:lang w:val="en-US"/>
        </w:rPr>
        <w:t xml:space="preserve"> </w:t>
      </w:r>
      <w:r w:rsidR="00CA43DD" w:rsidRPr="00100D6C">
        <w:rPr>
          <w:rFonts w:ascii="Times New Roman" w:hAnsi="Times New Roman" w:cs="Times New Roman"/>
          <w:lang w:val="en-US"/>
        </w:rPr>
        <w:t>H</w:t>
      </w:r>
      <w:r w:rsidR="0012352A" w:rsidRPr="00100D6C">
        <w:rPr>
          <w:rFonts w:ascii="Times New Roman" w:hAnsi="Times New Roman" w:cs="Times New Roman"/>
          <w:lang w:val="en-US"/>
        </w:rPr>
        <w:t xml:space="preserve">istorically, </w:t>
      </w:r>
      <w:r w:rsidR="00CA43DD" w:rsidRPr="00100D6C">
        <w:rPr>
          <w:rFonts w:ascii="Times New Roman" w:hAnsi="Times New Roman" w:cs="Times New Roman"/>
          <w:lang w:val="en-US"/>
        </w:rPr>
        <w:t xml:space="preserve">the conduct of powerful states has been treated as more decisive - i.e. as more authoritative as </w:t>
      </w:r>
      <w:r w:rsidR="00352489" w:rsidRPr="00100D6C">
        <w:rPr>
          <w:rFonts w:ascii="Times New Roman" w:hAnsi="Times New Roman" w:cs="Times New Roman"/>
          <w:lang w:val="en-US"/>
        </w:rPr>
        <w:t xml:space="preserve">a </w:t>
      </w:r>
      <w:r w:rsidR="00CA43DD" w:rsidRPr="00100D6C">
        <w:rPr>
          <w:rFonts w:ascii="Times New Roman" w:hAnsi="Times New Roman" w:cs="Times New Roman"/>
          <w:lang w:val="en-US"/>
        </w:rPr>
        <w:t xml:space="preserve">source of law - than that of less powerful ones. </w:t>
      </w:r>
      <w:r w:rsidR="00352489" w:rsidRPr="00100D6C">
        <w:rPr>
          <w:rFonts w:ascii="Times New Roman" w:hAnsi="Times New Roman" w:cs="Times New Roman"/>
          <w:lang w:val="en-US"/>
        </w:rPr>
        <w:t>In many areas</w:t>
      </w:r>
      <w:r w:rsidR="001A4F04" w:rsidRPr="00100D6C">
        <w:rPr>
          <w:rFonts w:ascii="Times New Roman" w:hAnsi="Times New Roman" w:cs="Times New Roman"/>
          <w:lang w:val="en-US"/>
        </w:rPr>
        <w:t xml:space="preserve"> (e.g. maritime law, space law, law of immunities)</w:t>
      </w:r>
      <w:r w:rsidR="00352489" w:rsidRPr="00100D6C">
        <w:rPr>
          <w:rFonts w:ascii="Times New Roman" w:hAnsi="Times New Roman" w:cs="Times New Roman"/>
          <w:lang w:val="en-US"/>
        </w:rPr>
        <w:t xml:space="preserve">, CIL </w:t>
      </w:r>
      <w:r w:rsidR="0013411E" w:rsidRPr="00100D6C">
        <w:rPr>
          <w:rFonts w:ascii="Times New Roman" w:hAnsi="Times New Roman" w:cs="Times New Roman"/>
          <w:lang w:val="en-US"/>
        </w:rPr>
        <w:t>has in fact developed under the influence of</w:t>
      </w:r>
      <w:r w:rsidR="00181117">
        <w:rPr>
          <w:rFonts w:ascii="Times New Roman" w:hAnsi="Times New Roman" w:cs="Times New Roman"/>
          <w:lang w:val="en-US"/>
        </w:rPr>
        <w:t xml:space="preserve"> remarkably few s</w:t>
      </w:r>
      <w:r w:rsidR="00352489" w:rsidRPr="00100D6C">
        <w:rPr>
          <w:rFonts w:ascii="Times New Roman" w:hAnsi="Times New Roman" w:cs="Times New Roman"/>
          <w:lang w:val="en-US"/>
        </w:rPr>
        <w:t>tates.</w:t>
      </w:r>
      <w:r w:rsidR="0013411E" w:rsidRPr="00100D6C">
        <w:rPr>
          <w:rStyle w:val="FootnoteReference"/>
          <w:rFonts w:ascii="Times New Roman" w:hAnsi="Times New Roman" w:cs="Times New Roman"/>
          <w:lang w:val="en-US"/>
        </w:rPr>
        <w:footnoteReference w:id="112"/>
      </w:r>
      <w:r w:rsidR="00352489" w:rsidRPr="00100D6C">
        <w:rPr>
          <w:rFonts w:ascii="Times New Roman" w:hAnsi="Times New Roman" w:cs="Times New Roman"/>
          <w:lang w:val="en-US"/>
        </w:rPr>
        <w:t xml:space="preserve"> </w:t>
      </w:r>
      <w:r w:rsidR="00357ECC" w:rsidRPr="00100D6C">
        <w:rPr>
          <w:rFonts w:ascii="Times New Roman" w:hAnsi="Times New Roman" w:cs="Times New Roman"/>
          <w:lang w:val="en-US"/>
        </w:rPr>
        <w:t>Though it is generally said that state practice must</w:t>
      </w:r>
      <w:r w:rsidR="000F03F6" w:rsidRPr="00100D6C">
        <w:rPr>
          <w:rFonts w:ascii="Times New Roman" w:hAnsi="Times New Roman" w:cs="Times New Roman"/>
          <w:lang w:val="en-US"/>
        </w:rPr>
        <w:t xml:space="preserve"> nowadays</w:t>
      </w:r>
      <w:r w:rsidR="00357ECC" w:rsidRPr="00100D6C">
        <w:rPr>
          <w:rFonts w:ascii="Times New Roman" w:hAnsi="Times New Roman" w:cs="Times New Roman"/>
          <w:lang w:val="en-US"/>
        </w:rPr>
        <w:t xml:space="preserve"> be</w:t>
      </w:r>
      <w:r w:rsidR="000F03F6" w:rsidRPr="00100D6C">
        <w:rPr>
          <w:rFonts w:ascii="Times New Roman" w:hAnsi="Times New Roman" w:cs="Times New Roman"/>
          <w:lang w:val="en-US"/>
        </w:rPr>
        <w:t xml:space="preserve"> </w:t>
      </w:r>
      <w:r w:rsidR="00181117">
        <w:rPr>
          <w:rFonts w:ascii="Times New Roman" w:hAnsi="Times New Roman" w:cs="Times New Roman"/>
          <w:lang w:val="en-US"/>
        </w:rPr>
        <w:lastRenderedPageBreak/>
        <w:t>"</w:t>
      </w:r>
      <w:r w:rsidR="000F03F6" w:rsidRPr="00100D6C">
        <w:rPr>
          <w:rFonts w:ascii="Times New Roman" w:hAnsi="Times New Roman" w:cs="Times New Roman"/>
          <w:lang w:val="en-US"/>
        </w:rPr>
        <w:t>widespread</w:t>
      </w:r>
      <w:r w:rsidR="00181117">
        <w:rPr>
          <w:rFonts w:ascii="Times New Roman" w:hAnsi="Times New Roman" w:cs="Times New Roman"/>
          <w:lang w:val="en-US"/>
        </w:rPr>
        <w:t>"</w:t>
      </w:r>
      <w:r w:rsidR="000F03F6" w:rsidRPr="00100D6C">
        <w:rPr>
          <w:rFonts w:ascii="Times New Roman" w:hAnsi="Times New Roman" w:cs="Times New Roman"/>
          <w:lang w:val="en-US"/>
        </w:rPr>
        <w:t xml:space="preserve"> and</w:t>
      </w:r>
      <w:r w:rsidR="00357ECC" w:rsidRPr="00100D6C">
        <w:rPr>
          <w:rFonts w:ascii="Times New Roman" w:hAnsi="Times New Roman" w:cs="Times New Roman"/>
          <w:lang w:val="en-US"/>
        </w:rPr>
        <w:t xml:space="preserve"> </w:t>
      </w:r>
      <w:r w:rsidR="00181117">
        <w:rPr>
          <w:rFonts w:ascii="Times New Roman" w:hAnsi="Times New Roman" w:cs="Times New Roman"/>
          <w:lang w:val="en-US"/>
        </w:rPr>
        <w:t>"</w:t>
      </w:r>
      <w:r w:rsidR="00357ECC" w:rsidRPr="00100D6C">
        <w:rPr>
          <w:rFonts w:ascii="Times New Roman" w:hAnsi="Times New Roman" w:cs="Times New Roman"/>
          <w:lang w:val="en-US"/>
        </w:rPr>
        <w:t>representative</w:t>
      </w:r>
      <w:r w:rsidR="00181117">
        <w:rPr>
          <w:rFonts w:ascii="Times New Roman" w:hAnsi="Times New Roman" w:cs="Times New Roman"/>
          <w:lang w:val="en-US"/>
        </w:rPr>
        <w:t>"</w:t>
      </w:r>
      <w:r w:rsidR="002D27E8" w:rsidRPr="00100D6C">
        <w:rPr>
          <w:rStyle w:val="FootnoteReference"/>
          <w:rFonts w:ascii="Times New Roman" w:hAnsi="Times New Roman" w:cs="Times New Roman"/>
          <w:lang w:val="en-US"/>
        </w:rPr>
        <w:footnoteReference w:id="113"/>
      </w:r>
      <w:r w:rsidR="00DE1049" w:rsidRPr="00100D6C">
        <w:rPr>
          <w:rFonts w:ascii="Times New Roman" w:hAnsi="Times New Roman" w:cs="Times New Roman"/>
          <w:lang w:val="en-US"/>
        </w:rPr>
        <w:t xml:space="preserve">, it </w:t>
      </w:r>
      <w:r w:rsidR="000F03F6" w:rsidRPr="00100D6C">
        <w:rPr>
          <w:rFonts w:ascii="Times New Roman" w:hAnsi="Times New Roman" w:cs="Times New Roman"/>
          <w:lang w:val="en-US"/>
        </w:rPr>
        <w:t>remains the case</w:t>
      </w:r>
      <w:r w:rsidR="00DE1049" w:rsidRPr="00100D6C">
        <w:rPr>
          <w:rFonts w:ascii="Times New Roman" w:hAnsi="Times New Roman" w:cs="Times New Roman"/>
          <w:lang w:val="en-US"/>
        </w:rPr>
        <w:t xml:space="preserve"> that the practice of the most dominant states </w:t>
      </w:r>
      <w:r w:rsidR="00881921" w:rsidRPr="00100D6C">
        <w:rPr>
          <w:rFonts w:ascii="Times New Roman" w:hAnsi="Times New Roman" w:cs="Times New Roman"/>
          <w:lang w:val="en-US"/>
        </w:rPr>
        <w:t>possesses</w:t>
      </w:r>
      <w:r w:rsidR="00DE1049" w:rsidRPr="00100D6C">
        <w:rPr>
          <w:rFonts w:ascii="Times New Roman" w:hAnsi="Times New Roman" w:cs="Times New Roman"/>
          <w:lang w:val="en-US"/>
        </w:rPr>
        <w:t xml:space="preserve"> a particular force in the formation of CIL</w:t>
      </w:r>
      <w:r w:rsidR="00881921" w:rsidRPr="00100D6C">
        <w:rPr>
          <w:rFonts w:ascii="Times New Roman" w:hAnsi="Times New Roman" w:cs="Times New Roman"/>
          <w:lang w:val="en-US"/>
        </w:rPr>
        <w:t xml:space="preserve"> and that, conversely, a practice that is not supported by the world's major powers will not</w:t>
      </w:r>
      <w:r w:rsidR="000F03F6" w:rsidRPr="00100D6C">
        <w:rPr>
          <w:rFonts w:ascii="Times New Roman" w:hAnsi="Times New Roman" w:cs="Times New Roman"/>
          <w:lang w:val="en-US"/>
        </w:rPr>
        <w:t xml:space="preserve"> normally</w:t>
      </w:r>
      <w:r w:rsidR="00881921" w:rsidRPr="00100D6C">
        <w:rPr>
          <w:rFonts w:ascii="Times New Roman" w:hAnsi="Times New Roman" w:cs="Times New Roman"/>
          <w:lang w:val="en-US"/>
        </w:rPr>
        <w:t xml:space="preserve"> give rise to general customary rules.</w:t>
      </w:r>
      <w:bookmarkStart w:id="31" w:name="_Ref450750935"/>
      <w:r w:rsidR="00400D9F" w:rsidRPr="00100D6C">
        <w:rPr>
          <w:rStyle w:val="FootnoteReference"/>
          <w:rFonts w:ascii="Times New Roman" w:hAnsi="Times New Roman" w:cs="Times New Roman"/>
          <w:lang w:val="en-US"/>
        </w:rPr>
        <w:footnoteReference w:id="114"/>
      </w:r>
      <w:bookmarkEnd w:id="31"/>
      <w:r w:rsidR="00881921" w:rsidRPr="00100D6C">
        <w:rPr>
          <w:rFonts w:ascii="Times New Roman" w:hAnsi="Times New Roman" w:cs="Times New Roman"/>
          <w:lang w:val="en-US"/>
        </w:rPr>
        <w:t xml:space="preserve"> Great powers, to finish, exert special influence on the formation of CIL in more indirect ways, whether it be by influencing or controlling how other states </w:t>
      </w:r>
      <w:r w:rsidR="00B1095E" w:rsidRPr="00100D6C">
        <w:rPr>
          <w:rFonts w:ascii="Times New Roman" w:hAnsi="Times New Roman" w:cs="Times New Roman"/>
          <w:lang w:val="en-US"/>
        </w:rPr>
        <w:t xml:space="preserve">behave (i.e. their practice), </w:t>
      </w:r>
      <w:r w:rsidR="0013411E" w:rsidRPr="00100D6C">
        <w:rPr>
          <w:rFonts w:ascii="Times New Roman" w:hAnsi="Times New Roman" w:cs="Times New Roman"/>
          <w:lang w:val="en-US"/>
        </w:rPr>
        <w:t xml:space="preserve">or through </w:t>
      </w:r>
      <w:r w:rsidR="00B1095E" w:rsidRPr="00100D6C">
        <w:rPr>
          <w:rFonts w:ascii="Times New Roman" w:hAnsi="Times New Roman" w:cs="Times New Roman"/>
          <w:lang w:val="en-US"/>
        </w:rPr>
        <w:t>the historical role of Western lawyers in formulating CIL</w:t>
      </w:r>
      <w:r w:rsidR="0013411E" w:rsidRPr="00100D6C">
        <w:rPr>
          <w:rFonts w:ascii="Times New Roman" w:hAnsi="Times New Roman" w:cs="Times New Roman"/>
          <w:lang w:val="en-US"/>
        </w:rPr>
        <w:t xml:space="preserve"> and</w:t>
      </w:r>
      <w:r w:rsidR="00B1095E" w:rsidRPr="00100D6C">
        <w:rPr>
          <w:rFonts w:ascii="Times New Roman" w:hAnsi="Times New Roman" w:cs="Times New Roman"/>
          <w:lang w:val="en-US"/>
        </w:rPr>
        <w:t xml:space="preserve"> their influence </w:t>
      </w:r>
      <w:r w:rsidR="0013411E" w:rsidRPr="00100D6C">
        <w:rPr>
          <w:rFonts w:ascii="Times New Roman" w:hAnsi="Times New Roman" w:cs="Times New Roman"/>
          <w:lang w:val="en-US"/>
        </w:rPr>
        <w:t>within</w:t>
      </w:r>
      <w:r w:rsidR="00B1095E" w:rsidRPr="00100D6C">
        <w:rPr>
          <w:rFonts w:ascii="Times New Roman" w:hAnsi="Times New Roman" w:cs="Times New Roman"/>
          <w:lang w:val="en-US"/>
        </w:rPr>
        <w:t xml:space="preserve"> bodies such as the ICJ or the ILC</w:t>
      </w:r>
      <w:r w:rsidR="00771067" w:rsidRPr="00100D6C">
        <w:rPr>
          <w:rFonts w:ascii="Times New Roman" w:hAnsi="Times New Roman" w:cs="Times New Roman"/>
          <w:lang w:val="en-US"/>
        </w:rPr>
        <w:t xml:space="preserve">, which play a leading </w:t>
      </w:r>
      <w:r w:rsidR="005400F3" w:rsidRPr="00100D6C">
        <w:rPr>
          <w:rFonts w:ascii="Times New Roman" w:hAnsi="Times New Roman" w:cs="Times New Roman"/>
          <w:lang w:val="en-US"/>
        </w:rPr>
        <w:t>part</w:t>
      </w:r>
      <w:r w:rsidR="00B1095E" w:rsidRPr="00100D6C">
        <w:rPr>
          <w:rFonts w:ascii="Times New Roman" w:hAnsi="Times New Roman" w:cs="Times New Roman"/>
          <w:lang w:val="en-US"/>
        </w:rPr>
        <w:t xml:space="preserve"> in the identification and codification of customary law.</w:t>
      </w:r>
      <w:r w:rsidR="00B1095E" w:rsidRPr="00100D6C">
        <w:rPr>
          <w:rStyle w:val="FootnoteReference"/>
          <w:rFonts w:ascii="Times New Roman" w:hAnsi="Times New Roman" w:cs="Times New Roman"/>
          <w:lang w:val="en-US"/>
        </w:rPr>
        <w:footnoteReference w:id="115"/>
      </w:r>
    </w:p>
    <w:p w:rsidR="00547748" w:rsidRDefault="0044490F" w:rsidP="00CA43DD">
      <w:pPr>
        <w:jc w:val="both"/>
        <w:rPr>
          <w:rFonts w:ascii="Times New Roman" w:hAnsi="Times New Roman" w:cs="Times New Roman"/>
          <w:lang w:val="en-US"/>
        </w:rPr>
      </w:pPr>
      <w:r w:rsidRPr="00100D6C">
        <w:rPr>
          <w:rFonts w:ascii="Times New Roman" w:hAnsi="Times New Roman" w:cs="Times New Roman"/>
          <w:lang w:val="en-US"/>
        </w:rPr>
        <w:t>P</w:t>
      </w:r>
      <w:r w:rsidR="003A711D" w:rsidRPr="00100D6C">
        <w:rPr>
          <w:rFonts w:ascii="Times New Roman" w:hAnsi="Times New Roman" w:cs="Times New Roman"/>
          <w:lang w:val="en-US"/>
        </w:rPr>
        <w:t xml:space="preserve">ower hierarchies among sovereign states have always been superimposed with other, no less </w:t>
      </w:r>
      <w:r w:rsidRPr="00100D6C">
        <w:rPr>
          <w:rFonts w:ascii="Times New Roman" w:hAnsi="Times New Roman" w:cs="Times New Roman"/>
          <w:lang w:val="en-US"/>
        </w:rPr>
        <w:t>significant hierarchies. Chief among those are gender hierarchies. International diplomacy and law-making take place in t</w:t>
      </w:r>
      <w:r w:rsidR="00E93DB6" w:rsidRPr="00100D6C">
        <w:rPr>
          <w:rFonts w:ascii="Times New Roman" w:hAnsi="Times New Roman" w:cs="Times New Roman"/>
          <w:lang w:val="en-US"/>
        </w:rPr>
        <w:t>raditionally and predominantly male</w:t>
      </w:r>
      <w:r w:rsidRPr="00100D6C">
        <w:rPr>
          <w:rFonts w:ascii="Times New Roman" w:hAnsi="Times New Roman" w:cs="Times New Roman"/>
          <w:lang w:val="en-US"/>
        </w:rPr>
        <w:t xml:space="preserve"> spaces. </w:t>
      </w:r>
      <w:r w:rsidR="008B0B1C" w:rsidRPr="00100D6C">
        <w:rPr>
          <w:rFonts w:ascii="Times New Roman" w:hAnsi="Times New Roman" w:cs="Times New Roman"/>
          <w:lang w:val="en-US"/>
        </w:rPr>
        <w:t>International law is designed</w:t>
      </w:r>
      <w:r w:rsidR="00DF7854" w:rsidRPr="00100D6C">
        <w:rPr>
          <w:rFonts w:ascii="Times New Roman" w:hAnsi="Times New Roman" w:cs="Times New Roman"/>
          <w:lang w:val="en-US"/>
        </w:rPr>
        <w:t xml:space="preserve"> by and for states, the overwhelming majority of which are governed by men.</w:t>
      </w:r>
      <w:r w:rsidR="005B2B05">
        <w:rPr>
          <w:rFonts w:ascii="Times New Roman" w:hAnsi="Times New Roman" w:cs="Times New Roman"/>
          <w:lang w:val="en-US"/>
        </w:rPr>
        <w:t xml:space="preserve"> </w:t>
      </w:r>
      <w:r w:rsidR="00000C1D">
        <w:rPr>
          <w:rFonts w:ascii="Times New Roman" w:hAnsi="Times New Roman" w:cs="Times New Roman"/>
          <w:lang w:val="en-US"/>
        </w:rPr>
        <w:t>At the time of writing</w:t>
      </w:r>
      <w:r w:rsidR="008F55EB">
        <w:rPr>
          <w:rFonts w:ascii="Times New Roman" w:hAnsi="Times New Roman" w:cs="Times New Roman"/>
          <w:lang w:val="en-US"/>
        </w:rPr>
        <w:t xml:space="preserve">, </w:t>
      </w:r>
      <w:r w:rsidR="00000C1D">
        <w:rPr>
          <w:rFonts w:ascii="Times New Roman" w:hAnsi="Times New Roman" w:cs="Times New Roman"/>
          <w:lang w:val="en-US"/>
        </w:rPr>
        <w:t xml:space="preserve">there </w:t>
      </w:r>
      <w:r w:rsidR="00547748">
        <w:rPr>
          <w:rFonts w:ascii="Times New Roman" w:hAnsi="Times New Roman" w:cs="Times New Roman"/>
          <w:lang w:val="en-US"/>
        </w:rPr>
        <w:t>were</w:t>
      </w:r>
      <w:r w:rsidR="00000C1D">
        <w:rPr>
          <w:rFonts w:ascii="Times New Roman" w:hAnsi="Times New Roman" w:cs="Times New Roman"/>
          <w:lang w:val="en-US"/>
        </w:rPr>
        <w:t xml:space="preserve"> a mere 18 female heads of state and/or government (excluding figurehead monarchs) and only 17% of government ministers worldwide </w:t>
      </w:r>
      <w:r w:rsidR="00547748">
        <w:rPr>
          <w:rFonts w:ascii="Times New Roman" w:hAnsi="Times New Roman" w:cs="Times New Roman"/>
          <w:lang w:val="en-US"/>
        </w:rPr>
        <w:t>were</w:t>
      </w:r>
      <w:r w:rsidR="00000C1D">
        <w:rPr>
          <w:rFonts w:ascii="Times New Roman" w:hAnsi="Times New Roman" w:cs="Times New Roman"/>
          <w:lang w:val="en-US"/>
        </w:rPr>
        <w:t xml:space="preserve"> women.</w:t>
      </w:r>
      <w:r w:rsidR="00000C1D">
        <w:rPr>
          <w:rStyle w:val="FootnoteReference"/>
          <w:rFonts w:ascii="Times New Roman" w:hAnsi="Times New Roman" w:cs="Times New Roman"/>
          <w:lang w:val="en-US"/>
        </w:rPr>
        <w:footnoteReference w:id="116"/>
      </w:r>
      <w:r w:rsidR="00DF7854" w:rsidRPr="00100D6C">
        <w:rPr>
          <w:rFonts w:ascii="Times New Roman" w:hAnsi="Times New Roman" w:cs="Times New Roman"/>
          <w:lang w:val="en-US"/>
        </w:rPr>
        <w:t xml:space="preserve"> </w:t>
      </w:r>
      <w:r w:rsidR="008B0B1C" w:rsidRPr="00100D6C">
        <w:rPr>
          <w:rFonts w:ascii="Times New Roman" w:hAnsi="Times New Roman" w:cs="Times New Roman"/>
          <w:lang w:val="en-US"/>
        </w:rPr>
        <w:t>Gendere</w:t>
      </w:r>
      <w:r w:rsidR="008E7464" w:rsidRPr="00100D6C">
        <w:rPr>
          <w:rFonts w:ascii="Times New Roman" w:hAnsi="Times New Roman" w:cs="Times New Roman"/>
          <w:lang w:val="en-US"/>
        </w:rPr>
        <w:t>d states, unsurprisingly</w:t>
      </w:r>
      <w:r w:rsidR="008B0B1C" w:rsidRPr="00100D6C">
        <w:rPr>
          <w:rFonts w:ascii="Times New Roman" w:hAnsi="Times New Roman" w:cs="Times New Roman"/>
          <w:lang w:val="en-US"/>
        </w:rPr>
        <w:t>, set up gendered institutions. Major international organizations such as the UN are high</w:t>
      </w:r>
      <w:r w:rsidR="00B23980" w:rsidRPr="00100D6C">
        <w:rPr>
          <w:rFonts w:ascii="Times New Roman" w:hAnsi="Times New Roman" w:cs="Times New Roman"/>
          <w:lang w:val="en-US"/>
        </w:rPr>
        <w:t>ly patriarchal organizations, with limited or marginalized women presence.</w:t>
      </w:r>
      <w:bookmarkStart w:id="32" w:name="_Ref448495784"/>
      <w:r w:rsidR="00B45963" w:rsidRPr="00100D6C">
        <w:rPr>
          <w:rStyle w:val="FootnoteReference"/>
          <w:rFonts w:ascii="Times New Roman" w:hAnsi="Times New Roman" w:cs="Times New Roman"/>
          <w:lang w:val="en-US"/>
        </w:rPr>
        <w:footnoteReference w:id="117"/>
      </w:r>
      <w:bookmarkEnd w:id="32"/>
      <w:r w:rsidR="00B23980" w:rsidRPr="00100D6C">
        <w:rPr>
          <w:rFonts w:ascii="Times New Roman" w:hAnsi="Times New Roman" w:cs="Times New Roman"/>
          <w:lang w:val="en-US"/>
        </w:rPr>
        <w:t xml:space="preserve"> Since 1945, UN Secretaries-General have </w:t>
      </w:r>
      <w:r w:rsidR="004754B2" w:rsidRPr="00100D6C">
        <w:rPr>
          <w:rFonts w:ascii="Times New Roman" w:hAnsi="Times New Roman" w:cs="Times New Roman"/>
          <w:lang w:val="en-US"/>
        </w:rPr>
        <w:t xml:space="preserve">all </w:t>
      </w:r>
      <w:r w:rsidR="00B23980" w:rsidRPr="00100D6C">
        <w:rPr>
          <w:rFonts w:ascii="Times New Roman" w:hAnsi="Times New Roman" w:cs="Times New Roman"/>
          <w:lang w:val="en-US"/>
        </w:rPr>
        <w:t>been men. As of 1 January 2016, all but one members of the Security Council were men and only 23 percent of all Senior UN Officials</w:t>
      </w:r>
      <w:r w:rsidR="004754B2" w:rsidRPr="00100D6C">
        <w:rPr>
          <w:rFonts w:ascii="Times New Roman" w:hAnsi="Times New Roman" w:cs="Times New Roman"/>
          <w:lang w:val="en-US"/>
        </w:rPr>
        <w:t xml:space="preserve"> were</w:t>
      </w:r>
      <w:r w:rsidR="00B23980" w:rsidRPr="00100D6C">
        <w:rPr>
          <w:rFonts w:ascii="Times New Roman" w:hAnsi="Times New Roman" w:cs="Times New Roman"/>
          <w:lang w:val="en-US"/>
        </w:rPr>
        <w:t xml:space="preserve"> women</w:t>
      </w:r>
      <w:r w:rsidR="006F79AD" w:rsidRPr="00100D6C">
        <w:rPr>
          <w:rFonts w:ascii="Times New Roman" w:hAnsi="Times New Roman" w:cs="Times New Roman"/>
          <w:lang w:val="en-US"/>
        </w:rPr>
        <w:t xml:space="preserve">, with a majority working in </w:t>
      </w:r>
      <w:r w:rsidR="00547748">
        <w:rPr>
          <w:rFonts w:ascii="Times New Roman" w:hAnsi="Times New Roman" w:cs="Times New Roman"/>
          <w:lang w:val="en-US"/>
        </w:rPr>
        <w:t>"</w:t>
      </w:r>
      <w:r w:rsidR="006F79AD" w:rsidRPr="00100D6C">
        <w:rPr>
          <w:rFonts w:ascii="Times New Roman" w:hAnsi="Times New Roman" w:cs="Times New Roman"/>
          <w:lang w:val="en-US"/>
        </w:rPr>
        <w:t>soft</w:t>
      </w:r>
      <w:r w:rsidR="00547748">
        <w:rPr>
          <w:rFonts w:ascii="Times New Roman" w:hAnsi="Times New Roman" w:cs="Times New Roman"/>
          <w:lang w:val="en-US"/>
        </w:rPr>
        <w:t>"</w:t>
      </w:r>
      <w:r w:rsidR="006F79AD" w:rsidRPr="00100D6C">
        <w:rPr>
          <w:rFonts w:ascii="Times New Roman" w:hAnsi="Times New Roman" w:cs="Times New Roman"/>
          <w:lang w:val="en-US"/>
        </w:rPr>
        <w:t xml:space="preserve"> corners, i.e. </w:t>
      </w:r>
      <w:r w:rsidR="00547748">
        <w:rPr>
          <w:rFonts w:ascii="Times New Roman" w:hAnsi="Times New Roman" w:cs="Times New Roman"/>
          <w:lang w:val="en-US"/>
        </w:rPr>
        <w:t xml:space="preserve">on </w:t>
      </w:r>
      <w:r w:rsidR="006F79AD" w:rsidRPr="00100D6C">
        <w:rPr>
          <w:rFonts w:ascii="Times New Roman" w:hAnsi="Times New Roman" w:cs="Times New Roman"/>
          <w:lang w:val="en-US"/>
        </w:rPr>
        <w:t xml:space="preserve">subjects traditionally associated with </w:t>
      </w:r>
      <w:r w:rsidR="00547748">
        <w:rPr>
          <w:rFonts w:ascii="Times New Roman" w:hAnsi="Times New Roman" w:cs="Times New Roman"/>
          <w:lang w:val="en-US"/>
        </w:rPr>
        <w:t>"</w:t>
      </w:r>
      <w:r w:rsidR="006F79AD" w:rsidRPr="00100D6C">
        <w:rPr>
          <w:rFonts w:ascii="Times New Roman" w:hAnsi="Times New Roman" w:cs="Times New Roman"/>
          <w:lang w:val="en-US"/>
        </w:rPr>
        <w:t>feminine</w:t>
      </w:r>
      <w:r w:rsidR="00547748">
        <w:rPr>
          <w:rFonts w:ascii="Times New Roman" w:hAnsi="Times New Roman" w:cs="Times New Roman"/>
          <w:lang w:val="en-US"/>
        </w:rPr>
        <w:t>"</w:t>
      </w:r>
      <w:r w:rsidR="006F79AD" w:rsidRPr="00100D6C">
        <w:rPr>
          <w:rFonts w:ascii="Times New Roman" w:hAnsi="Times New Roman" w:cs="Times New Roman"/>
          <w:lang w:val="en-US"/>
        </w:rPr>
        <w:t xml:space="preserve"> concerns (sexual violence, children's rights, </w:t>
      </w:r>
      <w:r w:rsidR="008E7464" w:rsidRPr="00100D6C">
        <w:rPr>
          <w:rFonts w:ascii="Times New Roman" w:hAnsi="Times New Roman" w:cs="Times New Roman"/>
          <w:lang w:val="en-US"/>
        </w:rPr>
        <w:t>refugees</w:t>
      </w:r>
      <w:r w:rsidR="006F79AD" w:rsidRPr="00100D6C">
        <w:rPr>
          <w:rFonts w:ascii="Times New Roman" w:hAnsi="Times New Roman" w:cs="Times New Roman"/>
          <w:lang w:val="en-US"/>
        </w:rPr>
        <w:t>, education) or in positions of</w:t>
      </w:r>
      <w:r w:rsidR="008E7464" w:rsidRPr="00100D6C">
        <w:rPr>
          <w:rFonts w:ascii="Times New Roman" w:hAnsi="Times New Roman" w:cs="Times New Roman"/>
          <w:lang w:val="en-US"/>
        </w:rPr>
        <w:t xml:space="preserve"> relative</w:t>
      </w:r>
      <w:r w:rsidR="00547748">
        <w:rPr>
          <w:rFonts w:ascii="Times New Roman" w:hAnsi="Times New Roman" w:cs="Times New Roman"/>
          <w:lang w:val="en-US"/>
        </w:rPr>
        <w:t>ly</w:t>
      </w:r>
      <w:r w:rsidR="006F79AD" w:rsidRPr="00100D6C">
        <w:rPr>
          <w:rFonts w:ascii="Times New Roman" w:hAnsi="Times New Roman" w:cs="Times New Roman"/>
          <w:lang w:val="en-US"/>
        </w:rPr>
        <w:t xml:space="preserve"> low prestige</w:t>
      </w:r>
      <w:r w:rsidR="008E7464" w:rsidRPr="00100D6C">
        <w:rPr>
          <w:rFonts w:ascii="Times New Roman" w:hAnsi="Times New Roman" w:cs="Times New Roman"/>
          <w:lang w:val="en-US"/>
        </w:rPr>
        <w:t xml:space="preserve"> (e.g. conference management, budget and accounts)</w:t>
      </w:r>
      <w:r w:rsidR="00547748">
        <w:rPr>
          <w:rFonts w:ascii="Times New Roman" w:hAnsi="Times New Roman" w:cs="Times New Roman"/>
          <w:lang w:val="en-US"/>
        </w:rPr>
        <w:t>,</w:t>
      </w:r>
      <w:r w:rsidR="006F79AD" w:rsidRPr="00100D6C">
        <w:rPr>
          <w:rFonts w:ascii="Times New Roman" w:hAnsi="Times New Roman" w:cs="Times New Roman"/>
          <w:lang w:val="en-US"/>
        </w:rPr>
        <w:t xml:space="preserve"> compared with</w:t>
      </w:r>
      <w:r w:rsidR="00547748">
        <w:rPr>
          <w:rFonts w:ascii="Times New Roman" w:hAnsi="Times New Roman" w:cs="Times New Roman"/>
          <w:lang w:val="en-US"/>
        </w:rPr>
        <w:t xml:space="preserve"> the</w:t>
      </w:r>
      <w:r w:rsidR="006F79AD" w:rsidRPr="00100D6C">
        <w:rPr>
          <w:rFonts w:ascii="Times New Roman" w:hAnsi="Times New Roman" w:cs="Times New Roman"/>
          <w:lang w:val="en-US"/>
        </w:rPr>
        <w:t xml:space="preserve"> </w:t>
      </w:r>
      <w:r w:rsidR="00547748">
        <w:rPr>
          <w:rFonts w:ascii="Times New Roman" w:hAnsi="Times New Roman" w:cs="Times New Roman"/>
          <w:lang w:val="en-US"/>
        </w:rPr>
        <w:t>"</w:t>
      </w:r>
      <w:r w:rsidR="006F79AD" w:rsidRPr="00100D6C">
        <w:rPr>
          <w:rFonts w:ascii="Times New Roman" w:hAnsi="Times New Roman" w:cs="Times New Roman"/>
          <w:lang w:val="en-US"/>
        </w:rPr>
        <w:t>hard</w:t>
      </w:r>
      <w:r w:rsidR="00547748">
        <w:rPr>
          <w:rFonts w:ascii="Times New Roman" w:hAnsi="Times New Roman" w:cs="Times New Roman"/>
          <w:lang w:val="en-US"/>
        </w:rPr>
        <w:t>"</w:t>
      </w:r>
      <w:r w:rsidR="006F79AD" w:rsidRPr="00100D6C">
        <w:rPr>
          <w:rFonts w:ascii="Times New Roman" w:hAnsi="Times New Roman" w:cs="Times New Roman"/>
          <w:lang w:val="en-US"/>
        </w:rPr>
        <w:t xml:space="preserve"> </w:t>
      </w:r>
      <w:r w:rsidR="008E7464" w:rsidRPr="00100D6C">
        <w:rPr>
          <w:rFonts w:ascii="Times New Roman" w:hAnsi="Times New Roman" w:cs="Times New Roman"/>
          <w:lang w:val="en-US"/>
        </w:rPr>
        <w:t xml:space="preserve">portfolios </w:t>
      </w:r>
      <w:r w:rsidR="001C54E4" w:rsidRPr="00100D6C">
        <w:rPr>
          <w:rFonts w:ascii="Times New Roman" w:hAnsi="Times New Roman" w:cs="Times New Roman"/>
          <w:lang w:val="en-US"/>
        </w:rPr>
        <w:t>(</w:t>
      </w:r>
      <w:r w:rsidR="006F79AD" w:rsidRPr="00100D6C">
        <w:rPr>
          <w:rFonts w:ascii="Times New Roman" w:hAnsi="Times New Roman" w:cs="Times New Roman"/>
          <w:lang w:val="en-US"/>
        </w:rPr>
        <w:t xml:space="preserve">political affairs, economic development, </w:t>
      </w:r>
      <w:r w:rsidR="008E7464" w:rsidRPr="00100D6C">
        <w:rPr>
          <w:rFonts w:ascii="Times New Roman" w:hAnsi="Times New Roman" w:cs="Times New Roman"/>
          <w:lang w:val="en-US"/>
        </w:rPr>
        <w:t>or peacekeeping</w:t>
      </w:r>
      <w:r w:rsidR="001C54E4" w:rsidRPr="00100D6C">
        <w:rPr>
          <w:rFonts w:ascii="Times New Roman" w:hAnsi="Times New Roman" w:cs="Times New Roman"/>
          <w:lang w:val="en-US"/>
        </w:rPr>
        <w:t>)</w:t>
      </w:r>
      <w:r w:rsidR="008E7464" w:rsidRPr="00100D6C">
        <w:rPr>
          <w:rFonts w:ascii="Times New Roman" w:hAnsi="Times New Roman" w:cs="Times New Roman"/>
          <w:lang w:val="en-US"/>
        </w:rPr>
        <w:t>, all traditionally trusted by men.</w:t>
      </w:r>
      <w:r w:rsidR="00B45963" w:rsidRPr="00100D6C">
        <w:rPr>
          <w:rStyle w:val="FootnoteReference"/>
          <w:rFonts w:ascii="Times New Roman" w:hAnsi="Times New Roman" w:cs="Times New Roman"/>
          <w:lang w:val="en-US"/>
        </w:rPr>
        <w:footnoteReference w:id="118"/>
      </w:r>
    </w:p>
    <w:p w:rsidR="00B23980" w:rsidRPr="00100D6C" w:rsidRDefault="004754B2" w:rsidP="00CA43DD">
      <w:pPr>
        <w:jc w:val="both"/>
        <w:rPr>
          <w:rFonts w:ascii="Times New Roman" w:hAnsi="Times New Roman" w:cs="Times New Roman"/>
          <w:lang w:val="en-US"/>
        </w:rPr>
      </w:pPr>
      <w:r w:rsidRPr="00100D6C">
        <w:rPr>
          <w:rFonts w:ascii="Times New Roman" w:hAnsi="Times New Roman" w:cs="Times New Roman"/>
          <w:lang w:val="en-US"/>
        </w:rPr>
        <w:t>The invisibility of women becomes even more acute when looking at UN bodies with special functions regarding the progressive development and implementation of international law.</w:t>
      </w:r>
      <w:r w:rsidR="001C54E4" w:rsidRPr="00100D6C">
        <w:rPr>
          <w:rFonts w:ascii="Times New Roman" w:hAnsi="Times New Roman" w:cs="Times New Roman"/>
          <w:lang w:val="en-US"/>
        </w:rPr>
        <w:t xml:space="preserve"> Only four women have ever </w:t>
      </w:r>
      <w:r w:rsidR="00E359EE" w:rsidRPr="00100D6C">
        <w:rPr>
          <w:rFonts w:ascii="Times New Roman" w:hAnsi="Times New Roman" w:cs="Times New Roman"/>
          <w:lang w:val="en-US"/>
        </w:rPr>
        <w:t>served on the</w:t>
      </w:r>
      <w:r w:rsidR="001C54E4" w:rsidRPr="00100D6C">
        <w:rPr>
          <w:rFonts w:ascii="Times New Roman" w:hAnsi="Times New Roman" w:cs="Times New Roman"/>
          <w:lang w:val="en-US"/>
        </w:rPr>
        <w:t xml:space="preserve"> International Law Commission</w:t>
      </w:r>
      <w:r w:rsidR="00E359EE" w:rsidRPr="00100D6C">
        <w:rPr>
          <w:rFonts w:ascii="Times New Roman" w:hAnsi="Times New Roman" w:cs="Times New Roman"/>
          <w:lang w:val="en-US"/>
        </w:rPr>
        <w:t xml:space="preserve"> and of the 58 Special Rapporteurs appointed since 1949, </w:t>
      </w:r>
      <w:r w:rsidRPr="00100D6C">
        <w:rPr>
          <w:rFonts w:ascii="Times New Roman" w:hAnsi="Times New Roman" w:cs="Times New Roman"/>
          <w:lang w:val="en-US"/>
        </w:rPr>
        <w:t>all but two</w:t>
      </w:r>
      <w:r w:rsidR="00E359EE" w:rsidRPr="00100D6C">
        <w:rPr>
          <w:rFonts w:ascii="Times New Roman" w:hAnsi="Times New Roman" w:cs="Times New Roman"/>
          <w:lang w:val="en-US"/>
        </w:rPr>
        <w:t xml:space="preserve"> were men.</w:t>
      </w:r>
      <w:r w:rsidR="00FA0C6E" w:rsidRPr="00100D6C">
        <w:rPr>
          <w:rStyle w:val="FootnoteReference"/>
          <w:rFonts w:ascii="Times New Roman" w:hAnsi="Times New Roman" w:cs="Times New Roman"/>
          <w:lang w:val="en-US"/>
        </w:rPr>
        <w:footnoteReference w:id="119"/>
      </w:r>
      <w:r w:rsidR="00E359EE" w:rsidRPr="00100D6C">
        <w:rPr>
          <w:rFonts w:ascii="Times New Roman" w:hAnsi="Times New Roman" w:cs="Times New Roman"/>
          <w:lang w:val="en-US"/>
        </w:rPr>
        <w:t xml:space="preserve"> As for the International Court of Justice, only 4 </w:t>
      </w:r>
      <w:r w:rsidR="00E359EE" w:rsidRPr="00100D6C">
        <w:rPr>
          <w:rFonts w:ascii="Times New Roman" w:hAnsi="Times New Roman" w:cs="Times New Roman"/>
          <w:lang w:val="en-US"/>
        </w:rPr>
        <w:lastRenderedPageBreak/>
        <w:t xml:space="preserve">women have ever sat on the bench out of the 106 judges </w:t>
      </w:r>
      <w:r w:rsidRPr="00100D6C">
        <w:rPr>
          <w:rFonts w:ascii="Times New Roman" w:hAnsi="Times New Roman" w:cs="Times New Roman"/>
          <w:lang w:val="en-US"/>
        </w:rPr>
        <w:t>elected since 1946, the first (Rosalyn Higgins) being appointed in 1995</w:t>
      </w:r>
      <w:r w:rsidR="000326E1" w:rsidRPr="00100D6C">
        <w:rPr>
          <w:rFonts w:ascii="Times New Roman" w:hAnsi="Times New Roman" w:cs="Times New Roman"/>
          <w:lang w:val="en-US"/>
        </w:rPr>
        <w:t xml:space="preserve">, </w:t>
      </w:r>
      <w:r w:rsidR="002E4E68" w:rsidRPr="00100D6C">
        <w:rPr>
          <w:rFonts w:ascii="Times New Roman" w:hAnsi="Times New Roman" w:cs="Times New Roman"/>
          <w:lang w:val="en-US"/>
        </w:rPr>
        <w:t xml:space="preserve">fifty years after the Court's </w:t>
      </w:r>
      <w:r w:rsidR="0011332C">
        <w:rPr>
          <w:rFonts w:ascii="Times New Roman" w:hAnsi="Times New Roman" w:cs="Times New Roman"/>
          <w:lang w:val="en-US"/>
        </w:rPr>
        <w:t>establishment</w:t>
      </w:r>
      <w:r w:rsidR="000326E1" w:rsidRPr="00100D6C">
        <w:rPr>
          <w:rFonts w:ascii="Times New Roman" w:hAnsi="Times New Roman" w:cs="Times New Roman"/>
          <w:lang w:val="en-US"/>
        </w:rPr>
        <w:t>.</w:t>
      </w:r>
      <w:r w:rsidR="00FA0C6E" w:rsidRPr="00100D6C">
        <w:rPr>
          <w:rStyle w:val="FootnoteReference"/>
          <w:rFonts w:ascii="Times New Roman" w:hAnsi="Times New Roman" w:cs="Times New Roman"/>
          <w:lang w:val="en-US"/>
        </w:rPr>
        <w:footnoteReference w:id="120"/>
      </w:r>
    </w:p>
    <w:p w:rsidR="00B45963" w:rsidRPr="00100D6C" w:rsidRDefault="00E93DB6" w:rsidP="00CA43DD">
      <w:pPr>
        <w:jc w:val="both"/>
        <w:rPr>
          <w:rFonts w:ascii="Times New Roman" w:hAnsi="Times New Roman" w:cs="Times New Roman"/>
          <w:lang w:val="en-US"/>
        </w:rPr>
      </w:pPr>
      <w:r w:rsidRPr="00100D6C">
        <w:rPr>
          <w:rFonts w:ascii="Times New Roman" w:hAnsi="Times New Roman" w:cs="Times New Roman"/>
          <w:lang w:val="en-US"/>
        </w:rPr>
        <w:t xml:space="preserve">The exclusion of women from law-making processes has important normative </w:t>
      </w:r>
      <w:r w:rsidR="0011332C">
        <w:rPr>
          <w:rFonts w:ascii="Times New Roman" w:hAnsi="Times New Roman" w:cs="Times New Roman"/>
          <w:lang w:val="en-US"/>
        </w:rPr>
        <w:t>consequences</w:t>
      </w:r>
      <w:r w:rsidRPr="00100D6C">
        <w:rPr>
          <w:rFonts w:ascii="Times New Roman" w:hAnsi="Times New Roman" w:cs="Times New Roman"/>
          <w:lang w:val="en-US"/>
        </w:rPr>
        <w:t xml:space="preserve">. It </w:t>
      </w:r>
      <w:r w:rsidR="006A1D30" w:rsidRPr="00100D6C">
        <w:rPr>
          <w:rFonts w:ascii="Times New Roman" w:hAnsi="Times New Roman" w:cs="Times New Roman"/>
          <w:lang w:val="en-US"/>
        </w:rPr>
        <w:t>undermines</w:t>
      </w:r>
      <w:r w:rsidRPr="00100D6C">
        <w:rPr>
          <w:rFonts w:ascii="Times New Roman" w:hAnsi="Times New Roman" w:cs="Times New Roman"/>
          <w:lang w:val="en-US"/>
        </w:rPr>
        <w:t xml:space="preserve"> international law's democratic legitimacy, to </w:t>
      </w:r>
      <w:r w:rsidR="0011332C">
        <w:rPr>
          <w:rFonts w:ascii="Times New Roman" w:hAnsi="Times New Roman" w:cs="Times New Roman"/>
          <w:lang w:val="en-US"/>
        </w:rPr>
        <w:t>start</w:t>
      </w:r>
      <w:r w:rsidRPr="00100D6C">
        <w:rPr>
          <w:rFonts w:ascii="Times New Roman" w:hAnsi="Times New Roman" w:cs="Times New Roman"/>
          <w:lang w:val="en-US"/>
        </w:rPr>
        <w:t xml:space="preserve"> with, as women are prevented from participating in dec</w:t>
      </w:r>
      <w:r w:rsidR="006A1D30" w:rsidRPr="00100D6C">
        <w:rPr>
          <w:rFonts w:ascii="Times New Roman" w:hAnsi="Times New Roman" w:cs="Times New Roman"/>
          <w:lang w:val="en-US"/>
        </w:rPr>
        <w:t>isions that affect their lives.</w:t>
      </w:r>
      <w:r w:rsidR="00FA0C6E" w:rsidRPr="00100D6C">
        <w:rPr>
          <w:rStyle w:val="FootnoteReference"/>
          <w:rFonts w:ascii="Times New Roman" w:hAnsi="Times New Roman" w:cs="Times New Roman"/>
          <w:lang w:val="en-US"/>
        </w:rPr>
        <w:footnoteReference w:id="121"/>
      </w:r>
      <w:r w:rsidR="008F05B9" w:rsidRPr="00100D6C">
        <w:rPr>
          <w:rFonts w:ascii="Times New Roman" w:hAnsi="Times New Roman" w:cs="Times New Roman"/>
          <w:lang w:val="en-US"/>
        </w:rPr>
        <w:t xml:space="preserve"> </w:t>
      </w:r>
      <w:r w:rsidR="006350C0" w:rsidRPr="00100D6C">
        <w:rPr>
          <w:rFonts w:ascii="Times New Roman" w:hAnsi="Times New Roman" w:cs="Times New Roman"/>
          <w:lang w:val="en-US"/>
        </w:rPr>
        <w:t>But it does also bear</w:t>
      </w:r>
      <w:r w:rsidR="006A1D30" w:rsidRPr="00100D6C">
        <w:rPr>
          <w:rFonts w:ascii="Times New Roman" w:hAnsi="Times New Roman" w:cs="Times New Roman"/>
          <w:lang w:val="en-US"/>
        </w:rPr>
        <w:t xml:space="preserve"> on normative outputs.</w:t>
      </w:r>
      <w:r w:rsidR="000D28A9" w:rsidRPr="00100D6C">
        <w:rPr>
          <w:rFonts w:ascii="Times New Roman" w:hAnsi="Times New Roman" w:cs="Times New Roman"/>
          <w:lang w:val="en-US"/>
        </w:rPr>
        <w:t xml:space="preserve"> Women's issues or interests tend to be marginalized or consigned to separate spheres that are easily ignored</w:t>
      </w:r>
      <w:r w:rsidR="006F07D3">
        <w:rPr>
          <w:rFonts w:ascii="Times New Roman" w:hAnsi="Times New Roman" w:cs="Times New Roman"/>
          <w:lang w:val="en-US"/>
        </w:rPr>
        <w:t>,</w:t>
      </w:r>
      <w:r w:rsidR="000D28A9" w:rsidRPr="00100D6C">
        <w:rPr>
          <w:rFonts w:ascii="Times New Roman" w:hAnsi="Times New Roman" w:cs="Times New Roman"/>
          <w:lang w:val="en-US"/>
        </w:rPr>
        <w:t xml:space="preserve"> </w:t>
      </w:r>
      <w:r w:rsidR="006F07D3">
        <w:rPr>
          <w:rFonts w:ascii="Times New Roman" w:hAnsi="Times New Roman" w:cs="Times New Roman"/>
          <w:lang w:val="en-US"/>
        </w:rPr>
        <w:t xml:space="preserve">are </w:t>
      </w:r>
      <w:r w:rsidR="007C7D59" w:rsidRPr="00100D6C">
        <w:rPr>
          <w:rFonts w:ascii="Times New Roman" w:hAnsi="Times New Roman" w:cs="Times New Roman"/>
          <w:lang w:val="en-US"/>
        </w:rPr>
        <w:t xml:space="preserve">typically </w:t>
      </w:r>
      <w:r w:rsidR="006F07D3">
        <w:rPr>
          <w:rFonts w:ascii="Times New Roman" w:hAnsi="Times New Roman" w:cs="Times New Roman"/>
          <w:lang w:val="en-US"/>
        </w:rPr>
        <w:t>articulated in soft</w:t>
      </w:r>
      <w:r w:rsidR="007C7D59" w:rsidRPr="00100D6C">
        <w:rPr>
          <w:rFonts w:ascii="Times New Roman" w:hAnsi="Times New Roman" w:cs="Times New Roman"/>
          <w:lang w:val="en-US"/>
        </w:rPr>
        <w:t xml:space="preserve"> language</w:t>
      </w:r>
      <w:r w:rsidR="006F07D3">
        <w:rPr>
          <w:rFonts w:ascii="Times New Roman" w:hAnsi="Times New Roman" w:cs="Times New Roman"/>
          <w:lang w:val="en-US"/>
        </w:rPr>
        <w:t>, and</w:t>
      </w:r>
      <w:r w:rsidR="007C7D59" w:rsidRPr="00100D6C">
        <w:rPr>
          <w:rFonts w:ascii="Times New Roman" w:hAnsi="Times New Roman" w:cs="Times New Roman"/>
          <w:lang w:val="en-US"/>
        </w:rPr>
        <w:t xml:space="preserve"> </w:t>
      </w:r>
      <w:r w:rsidR="006F07D3">
        <w:rPr>
          <w:rFonts w:ascii="Times New Roman" w:hAnsi="Times New Roman" w:cs="Times New Roman"/>
          <w:lang w:val="en-US"/>
        </w:rPr>
        <w:t>have weak</w:t>
      </w:r>
      <w:r w:rsidR="007C7D59" w:rsidRPr="00100D6C">
        <w:rPr>
          <w:rFonts w:ascii="Times New Roman" w:hAnsi="Times New Roman" w:cs="Times New Roman"/>
          <w:lang w:val="en-US"/>
        </w:rPr>
        <w:t xml:space="preserve"> compliance mechanisms.</w:t>
      </w:r>
      <w:r w:rsidR="009027BE" w:rsidRPr="00100D6C">
        <w:rPr>
          <w:rStyle w:val="FootnoteReference"/>
          <w:rFonts w:ascii="Times New Roman" w:hAnsi="Times New Roman" w:cs="Times New Roman"/>
          <w:lang w:val="en-US"/>
        </w:rPr>
        <w:footnoteReference w:id="122"/>
      </w:r>
      <w:r w:rsidR="007C7D59" w:rsidRPr="00100D6C">
        <w:rPr>
          <w:rFonts w:ascii="Times New Roman" w:hAnsi="Times New Roman" w:cs="Times New Roman"/>
          <w:lang w:val="en-US"/>
        </w:rPr>
        <w:t xml:space="preserve"> Gendered institutions produce decisions, norms and regimes that are</w:t>
      </w:r>
      <w:r w:rsidR="00B45963" w:rsidRPr="00100D6C">
        <w:rPr>
          <w:rFonts w:ascii="Times New Roman" w:hAnsi="Times New Roman" w:cs="Times New Roman"/>
          <w:lang w:val="en-US"/>
        </w:rPr>
        <w:t xml:space="preserve"> largely</w:t>
      </w:r>
      <w:r w:rsidR="007C7D59" w:rsidRPr="00100D6C">
        <w:rPr>
          <w:rFonts w:ascii="Times New Roman" w:hAnsi="Times New Roman" w:cs="Times New Roman"/>
          <w:lang w:val="en-US"/>
        </w:rPr>
        <w:t xml:space="preserve"> constructed and defined by male experiences. </w:t>
      </w:r>
      <w:r w:rsidR="00266644" w:rsidRPr="00100D6C">
        <w:rPr>
          <w:rFonts w:ascii="Times New Roman" w:hAnsi="Times New Roman" w:cs="Times New Roman"/>
          <w:lang w:val="en-US"/>
        </w:rPr>
        <w:t xml:space="preserve">The human rights regime, to give but the most obvious example, does not for instance deal in categories that fit the experiences of women. </w:t>
      </w:r>
      <w:r w:rsidR="008F05B9" w:rsidRPr="00100D6C">
        <w:rPr>
          <w:rFonts w:ascii="Times New Roman" w:hAnsi="Times New Roman" w:cs="Times New Roman"/>
          <w:lang w:val="en-US"/>
        </w:rPr>
        <w:t>It</w:t>
      </w:r>
      <w:r w:rsidR="00266644" w:rsidRPr="00100D6C">
        <w:rPr>
          <w:rFonts w:ascii="Times New Roman" w:hAnsi="Times New Roman" w:cs="Times New Roman"/>
          <w:lang w:val="en-US"/>
        </w:rPr>
        <w:t xml:space="preserve"> has</w:t>
      </w:r>
      <w:r w:rsidR="00224555">
        <w:rPr>
          <w:rFonts w:ascii="Times New Roman" w:hAnsi="Times New Roman" w:cs="Times New Roman"/>
          <w:lang w:val="en-US"/>
        </w:rPr>
        <w:t xml:space="preserve"> for instance</w:t>
      </w:r>
      <w:r w:rsidR="00266644" w:rsidRPr="00100D6C">
        <w:rPr>
          <w:rFonts w:ascii="Times New Roman" w:hAnsi="Times New Roman" w:cs="Times New Roman"/>
          <w:lang w:val="en-US"/>
        </w:rPr>
        <w:t xml:space="preserve"> historically reified civil and political rights at the expense of social, economic and cultural rights, with adverse consequences for women who suffer disproportionately from structural socio-economic inequalities.</w:t>
      </w:r>
      <w:r w:rsidR="00224555">
        <w:rPr>
          <w:rStyle w:val="FootnoteReference"/>
          <w:rFonts w:ascii="Times New Roman" w:hAnsi="Times New Roman" w:cs="Times New Roman"/>
          <w:lang w:val="en-US"/>
        </w:rPr>
        <w:footnoteReference w:id="123"/>
      </w:r>
      <w:r w:rsidR="00266644" w:rsidRPr="00100D6C">
        <w:rPr>
          <w:rFonts w:ascii="Times New Roman" w:hAnsi="Times New Roman" w:cs="Times New Roman"/>
          <w:lang w:val="en-US"/>
        </w:rPr>
        <w:t xml:space="preserve"> Individual rights, likewise, have</w:t>
      </w:r>
      <w:r w:rsidR="00043B75">
        <w:rPr>
          <w:rFonts w:ascii="Times New Roman" w:hAnsi="Times New Roman" w:cs="Times New Roman"/>
          <w:lang w:val="en-US"/>
        </w:rPr>
        <w:t xml:space="preserve"> typically</w:t>
      </w:r>
      <w:r w:rsidR="00266644" w:rsidRPr="00100D6C">
        <w:rPr>
          <w:rFonts w:ascii="Times New Roman" w:hAnsi="Times New Roman" w:cs="Times New Roman"/>
          <w:lang w:val="en-US"/>
        </w:rPr>
        <w:t xml:space="preserve"> been </w:t>
      </w:r>
      <w:r w:rsidR="00043B75" w:rsidRPr="00100D6C">
        <w:rPr>
          <w:rFonts w:ascii="Times New Roman" w:hAnsi="Times New Roman" w:cs="Times New Roman"/>
          <w:lang w:val="en-US"/>
        </w:rPr>
        <w:t>conceptualized</w:t>
      </w:r>
      <w:r w:rsidR="00266644" w:rsidRPr="00100D6C">
        <w:rPr>
          <w:rFonts w:ascii="Times New Roman" w:hAnsi="Times New Roman" w:cs="Times New Roman"/>
          <w:lang w:val="en-US"/>
        </w:rPr>
        <w:t xml:space="preserve"> and applied in a gendered manner. Whilst for instance women's rights are most often violated within the family, the right to family life has traditionally been interpreted as a duty of </w:t>
      </w:r>
      <w:r w:rsidR="00043B75">
        <w:rPr>
          <w:rFonts w:ascii="Times New Roman" w:hAnsi="Times New Roman" w:cs="Times New Roman"/>
          <w:lang w:val="en-US"/>
        </w:rPr>
        <w:t>"</w:t>
      </w:r>
      <w:r w:rsidR="00266644" w:rsidRPr="00100D6C">
        <w:rPr>
          <w:rFonts w:ascii="Times New Roman" w:hAnsi="Times New Roman" w:cs="Times New Roman"/>
          <w:lang w:val="en-US"/>
        </w:rPr>
        <w:t>non-interference</w:t>
      </w:r>
      <w:r w:rsidR="00043B75">
        <w:rPr>
          <w:rFonts w:ascii="Times New Roman" w:hAnsi="Times New Roman" w:cs="Times New Roman"/>
          <w:lang w:val="en-US"/>
        </w:rPr>
        <w:t>"</w:t>
      </w:r>
      <w:r w:rsidR="00266644" w:rsidRPr="00100D6C">
        <w:rPr>
          <w:rFonts w:ascii="Times New Roman" w:hAnsi="Times New Roman" w:cs="Times New Roman"/>
          <w:lang w:val="en-US"/>
        </w:rPr>
        <w:t xml:space="preserve"> in the private family sphere, preventing the application and development of human rights standards in relationships between men and women.</w:t>
      </w:r>
      <w:r w:rsidR="00C702EE" w:rsidRPr="00100D6C">
        <w:rPr>
          <w:rStyle w:val="FootnoteReference"/>
          <w:rFonts w:ascii="Times New Roman" w:hAnsi="Times New Roman" w:cs="Times New Roman"/>
          <w:lang w:val="en-US"/>
        </w:rPr>
        <w:footnoteReference w:id="124"/>
      </w:r>
      <w:r w:rsidR="008F05B9" w:rsidRPr="00100D6C">
        <w:rPr>
          <w:rFonts w:ascii="Times New Roman" w:hAnsi="Times New Roman" w:cs="Times New Roman"/>
          <w:lang w:val="en-US"/>
        </w:rPr>
        <w:t xml:space="preserve"> The gendered nature of law-making, to finish, means that when engagement with women's issues does occur (for instance Security Council resolutions on sexual violence during armed conflicts), </w:t>
      </w:r>
      <w:r w:rsidR="00043B75">
        <w:rPr>
          <w:rFonts w:ascii="Times New Roman" w:hAnsi="Times New Roman" w:cs="Times New Roman"/>
          <w:lang w:val="en-US"/>
        </w:rPr>
        <w:t>international law</w:t>
      </w:r>
      <w:r w:rsidR="008F05B9" w:rsidRPr="00100D6C">
        <w:rPr>
          <w:rFonts w:ascii="Times New Roman" w:hAnsi="Times New Roman" w:cs="Times New Roman"/>
          <w:lang w:val="en-US"/>
        </w:rPr>
        <w:t xml:space="preserve"> tends to</w:t>
      </w:r>
      <w:r w:rsidR="00B57CCD" w:rsidRPr="00100D6C">
        <w:rPr>
          <w:rFonts w:ascii="Times New Roman" w:hAnsi="Times New Roman" w:cs="Times New Roman"/>
          <w:lang w:val="en-US"/>
        </w:rPr>
        <w:t xml:space="preserve"> reinforce masculinist assumptions and institutional preferences which are harmful to women (for instance the stereotypical representation of women as </w:t>
      </w:r>
      <w:r w:rsidR="00043B75">
        <w:rPr>
          <w:rFonts w:ascii="Times New Roman" w:hAnsi="Times New Roman" w:cs="Times New Roman"/>
          <w:lang w:val="en-US"/>
        </w:rPr>
        <w:t>"</w:t>
      </w:r>
      <w:r w:rsidR="00B57CCD" w:rsidRPr="00100D6C">
        <w:rPr>
          <w:rFonts w:ascii="Times New Roman" w:hAnsi="Times New Roman" w:cs="Times New Roman"/>
          <w:lang w:val="en-US"/>
        </w:rPr>
        <w:t>victims</w:t>
      </w:r>
      <w:r w:rsidR="00043B75">
        <w:rPr>
          <w:rFonts w:ascii="Times New Roman" w:hAnsi="Times New Roman" w:cs="Times New Roman"/>
          <w:lang w:val="en-US"/>
        </w:rPr>
        <w:t>"</w:t>
      </w:r>
      <w:r w:rsidR="00B45963" w:rsidRPr="00100D6C">
        <w:rPr>
          <w:rFonts w:ascii="Times New Roman" w:hAnsi="Times New Roman" w:cs="Times New Roman"/>
          <w:lang w:val="en-US"/>
        </w:rPr>
        <w:t xml:space="preserve">, </w:t>
      </w:r>
      <w:r w:rsidR="00BA655C" w:rsidRPr="00100D6C">
        <w:rPr>
          <w:rFonts w:ascii="Times New Roman" w:hAnsi="Times New Roman" w:cs="Times New Roman"/>
          <w:lang w:val="en-US"/>
        </w:rPr>
        <w:t xml:space="preserve">the UN's commitment to </w:t>
      </w:r>
      <w:r w:rsidR="00B57CCD" w:rsidRPr="00100D6C">
        <w:rPr>
          <w:rFonts w:ascii="Times New Roman" w:hAnsi="Times New Roman" w:cs="Times New Roman"/>
          <w:lang w:val="en-US"/>
        </w:rPr>
        <w:t>globalization and militarism</w:t>
      </w:r>
      <w:r w:rsidR="00B45963" w:rsidRPr="00100D6C">
        <w:rPr>
          <w:rFonts w:ascii="Times New Roman" w:hAnsi="Times New Roman" w:cs="Times New Roman"/>
          <w:lang w:val="en-US"/>
        </w:rPr>
        <w:t>, and the hegemonic position of the Security Council</w:t>
      </w:r>
      <w:r w:rsidR="00B57CCD" w:rsidRPr="00100D6C">
        <w:rPr>
          <w:rFonts w:ascii="Times New Roman" w:hAnsi="Times New Roman" w:cs="Times New Roman"/>
          <w:lang w:val="en-US"/>
        </w:rPr>
        <w:t>).</w:t>
      </w:r>
      <w:r w:rsidR="009027BE" w:rsidRPr="00100D6C">
        <w:rPr>
          <w:rStyle w:val="FootnoteReference"/>
          <w:rFonts w:ascii="Times New Roman" w:hAnsi="Times New Roman" w:cs="Times New Roman"/>
          <w:lang w:val="en-US"/>
        </w:rPr>
        <w:footnoteReference w:id="125"/>
      </w:r>
    </w:p>
    <w:p w:rsidR="008F05B9" w:rsidRPr="00100D6C" w:rsidRDefault="00865748" w:rsidP="00865748">
      <w:pPr>
        <w:pStyle w:val="Heading2"/>
      </w:pPr>
      <w:bookmarkStart w:id="33" w:name="_Toc459318321"/>
      <w:r>
        <w:br/>
      </w:r>
      <w:r w:rsidR="00B45963" w:rsidRPr="00100D6C">
        <w:t>C. Legalized Hierarchies</w:t>
      </w:r>
      <w:bookmarkEnd w:id="33"/>
    </w:p>
    <w:p w:rsidR="00B57CCD" w:rsidRPr="00100D6C" w:rsidRDefault="00B57CCD" w:rsidP="00CA43DD">
      <w:pPr>
        <w:jc w:val="both"/>
        <w:rPr>
          <w:rFonts w:ascii="Times New Roman" w:hAnsi="Times New Roman" w:cs="Times New Roman"/>
          <w:lang w:val="en-US"/>
        </w:rPr>
      </w:pPr>
    </w:p>
    <w:p w:rsidR="00B57CCD" w:rsidRPr="00100D6C" w:rsidRDefault="00E7644E" w:rsidP="00CA43DD">
      <w:pPr>
        <w:jc w:val="both"/>
        <w:rPr>
          <w:rFonts w:ascii="Times New Roman" w:hAnsi="Times New Roman" w:cs="Times New Roman"/>
          <w:lang w:val="en-US"/>
        </w:rPr>
      </w:pPr>
      <w:r>
        <w:rPr>
          <w:rFonts w:ascii="Times New Roman" w:hAnsi="Times New Roman" w:cs="Times New Roman"/>
          <w:lang w:val="en-US"/>
        </w:rPr>
        <w:t>The structure of international law-making, as the above makes clear, is one dominated by oligarchy and patriarchy.</w:t>
      </w:r>
      <w:r w:rsidR="00D5301E" w:rsidRPr="00100D6C">
        <w:rPr>
          <w:rFonts w:ascii="Times New Roman" w:hAnsi="Times New Roman" w:cs="Times New Roman"/>
          <w:lang w:val="en-US"/>
        </w:rPr>
        <w:t xml:space="preserve"> There is, i</w:t>
      </w:r>
      <w:r w:rsidR="007F598A" w:rsidRPr="00100D6C">
        <w:rPr>
          <w:rFonts w:ascii="Times New Roman" w:hAnsi="Times New Roman" w:cs="Times New Roman"/>
          <w:lang w:val="en-US"/>
        </w:rPr>
        <w:t>t turns out</w:t>
      </w:r>
      <w:r w:rsidR="00D5301E" w:rsidRPr="00100D6C">
        <w:rPr>
          <w:rFonts w:ascii="Times New Roman" w:hAnsi="Times New Roman" w:cs="Times New Roman"/>
          <w:lang w:val="en-US"/>
        </w:rPr>
        <w:t xml:space="preserve">, </w:t>
      </w:r>
      <w:r w:rsidR="00781642">
        <w:rPr>
          <w:rFonts w:ascii="Times New Roman" w:hAnsi="Times New Roman" w:cs="Times New Roman"/>
          <w:lang w:val="en-US"/>
        </w:rPr>
        <w:t>a significant discrepancy between the pragmatics of sources and the foundational principle of legislative equality.</w:t>
      </w:r>
      <w:r w:rsidR="00D5301E" w:rsidRPr="00100D6C">
        <w:rPr>
          <w:rFonts w:ascii="Times New Roman" w:hAnsi="Times New Roman" w:cs="Times New Roman"/>
          <w:lang w:val="en-US"/>
        </w:rPr>
        <w:t xml:space="preserve"> When confronted with this problem, international lawyers have traditionally deployed a variety of strategies to reconcile </w:t>
      </w:r>
      <w:r w:rsidR="00781642">
        <w:rPr>
          <w:rFonts w:ascii="Times New Roman" w:hAnsi="Times New Roman" w:cs="Times New Roman"/>
          <w:lang w:val="en-US"/>
        </w:rPr>
        <w:t xml:space="preserve">material </w:t>
      </w:r>
      <w:r w:rsidR="00D5301E" w:rsidRPr="00100D6C">
        <w:rPr>
          <w:rFonts w:ascii="Times New Roman" w:hAnsi="Times New Roman" w:cs="Times New Roman"/>
          <w:lang w:val="en-US"/>
        </w:rPr>
        <w:t>hierarchies of influence and international law's</w:t>
      </w:r>
      <w:r w:rsidR="00781642">
        <w:rPr>
          <w:rFonts w:ascii="Times New Roman" w:hAnsi="Times New Roman" w:cs="Times New Roman"/>
          <w:lang w:val="en-US"/>
        </w:rPr>
        <w:t xml:space="preserve"> formal</w:t>
      </w:r>
      <w:r w:rsidR="00D5301E" w:rsidRPr="00100D6C">
        <w:rPr>
          <w:rFonts w:ascii="Times New Roman" w:hAnsi="Times New Roman" w:cs="Times New Roman"/>
          <w:lang w:val="en-US"/>
        </w:rPr>
        <w:t xml:space="preserve"> commitment to </w:t>
      </w:r>
      <w:r w:rsidR="00781642">
        <w:rPr>
          <w:rFonts w:ascii="Times New Roman" w:hAnsi="Times New Roman" w:cs="Times New Roman"/>
          <w:lang w:val="en-US"/>
        </w:rPr>
        <w:t>sovereign</w:t>
      </w:r>
      <w:r w:rsidR="00D5301E" w:rsidRPr="00100D6C">
        <w:rPr>
          <w:rFonts w:ascii="Times New Roman" w:hAnsi="Times New Roman" w:cs="Times New Roman"/>
          <w:lang w:val="en-US"/>
        </w:rPr>
        <w:t xml:space="preserve"> equality. </w:t>
      </w:r>
      <w:r w:rsidR="000E5D81">
        <w:rPr>
          <w:rFonts w:ascii="Times New Roman" w:hAnsi="Times New Roman" w:cs="Times New Roman"/>
          <w:lang w:val="en-US"/>
        </w:rPr>
        <w:t xml:space="preserve">A classical posture of international lawyers in this regard is one that politely acknowledges the existence of legislative hierarchies but confines them to the political domain, outside the law, as a mere fact of international </w:t>
      </w:r>
      <w:r w:rsidR="000E5D81">
        <w:rPr>
          <w:rFonts w:ascii="Times New Roman" w:hAnsi="Times New Roman" w:cs="Times New Roman"/>
          <w:lang w:val="en-US"/>
        </w:rPr>
        <w:lastRenderedPageBreak/>
        <w:t>life ("of course hierarchies exist. But these are political, not legal hierarchies"). This narrative is deceiving.</w:t>
      </w:r>
      <w:r w:rsidR="007F598A" w:rsidRPr="00100D6C">
        <w:rPr>
          <w:rFonts w:ascii="Times New Roman" w:hAnsi="Times New Roman" w:cs="Times New Roman"/>
          <w:lang w:val="en-US"/>
        </w:rPr>
        <w:t xml:space="preserve"> It creates a false di</w:t>
      </w:r>
      <w:r w:rsidR="000E5D81">
        <w:rPr>
          <w:rFonts w:ascii="Times New Roman" w:hAnsi="Times New Roman" w:cs="Times New Roman"/>
          <w:lang w:val="en-US"/>
        </w:rPr>
        <w:t>chotomy</w:t>
      </w:r>
      <w:r w:rsidR="007F598A" w:rsidRPr="00100D6C">
        <w:rPr>
          <w:rFonts w:ascii="Times New Roman" w:hAnsi="Times New Roman" w:cs="Times New Roman"/>
          <w:lang w:val="en-US"/>
        </w:rPr>
        <w:t xml:space="preserve"> between </w:t>
      </w:r>
      <w:r w:rsidR="007F598A" w:rsidRPr="00100D6C">
        <w:rPr>
          <w:rFonts w:ascii="Times New Roman" w:hAnsi="Times New Roman" w:cs="Times New Roman"/>
          <w:i/>
          <w:lang w:val="en-US"/>
        </w:rPr>
        <w:t>de facto</w:t>
      </w:r>
      <w:r w:rsidR="007F598A" w:rsidRPr="00100D6C">
        <w:rPr>
          <w:rFonts w:ascii="Times New Roman" w:hAnsi="Times New Roman" w:cs="Times New Roman"/>
          <w:lang w:val="en-US"/>
        </w:rPr>
        <w:t xml:space="preserve"> and </w:t>
      </w:r>
      <w:r w:rsidR="007F598A" w:rsidRPr="00100D6C">
        <w:rPr>
          <w:rFonts w:ascii="Times New Roman" w:hAnsi="Times New Roman" w:cs="Times New Roman"/>
          <w:i/>
          <w:lang w:val="en-US"/>
        </w:rPr>
        <w:t>de jure</w:t>
      </w:r>
      <w:r w:rsidR="007F598A" w:rsidRPr="00100D6C">
        <w:rPr>
          <w:rFonts w:ascii="Times New Roman" w:hAnsi="Times New Roman" w:cs="Times New Roman"/>
          <w:lang w:val="en-US"/>
        </w:rPr>
        <w:t xml:space="preserve"> hierarchies</w:t>
      </w:r>
      <w:r w:rsidR="00422FED" w:rsidRPr="00100D6C">
        <w:rPr>
          <w:rFonts w:ascii="Times New Roman" w:hAnsi="Times New Roman" w:cs="Times New Roman"/>
          <w:lang w:val="en-US"/>
        </w:rPr>
        <w:t xml:space="preserve"> which neglects the </w:t>
      </w:r>
      <w:r w:rsidR="000E5D81">
        <w:rPr>
          <w:rFonts w:ascii="Times New Roman" w:hAnsi="Times New Roman" w:cs="Times New Roman"/>
          <w:lang w:val="en-US"/>
        </w:rPr>
        <w:t>manner</w:t>
      </w:r>
      <w:r w:rsidR="00422FED" w:rsidRPr="00100D6C">
        <w:rPr>
          <w:rFonts w:ascii="Times New Roman" w:hAnsi="Times New Roman" w:cs="Times New Roman"/>
          <w:lang w:val="en-US"/>
        </w:rPr>
        <w:t xml:space="preserve"> in which hierarchies of influence are in reality internalized by the international legal </w:t>
      </w:r>
      <w:r w:rsidR="009E0144" w:rsidRPr="00100D6C">
        <w:rPr>
          <w:rFonts w:ascii="Times New Roman" w:hAnsi="Times New Roman" w:cs="Times New Roman"/>
          <w:lang w:val="en-US"/>
        </w:rPr>
        <w:t>order, including by its system of sources.</w:t>
      </w:r>
    </w:p>
    <w:p w:rsidR="00F34466" w:rsidRPr="00100D6C" w:rsidRDefault="00301971" w:rsidP="00F34466">
      <w:pPr>
        <w:jc w:val="both"/>
        <w:rPr>
          <w:rFonts w:ascii="Times New Roman" w:hAnsi="Times New Roman" w:cs="Times New Roman"/>
          <w:lang w:val="en-US"/>
        </w:rPr>
      </w:pPr>
      <w:r w:rsidRPr="00100D6C">
        <w:rPr>
          <w:rFonts w:ascii="Times New Roman" w:hAnsi="Times New Roman" w:cs="Times New Roman"/>
          <w:lang w:val="en-US"/>
        </w:rPr>
        <w:t>International law</w:t>
      </w:r>
      <w:r w:rsidR="00CD22BE">
        <w:rPr>
          <w:rFonts w:ascii="Times New Roman" w:hAnsi="Times New Roman" w:cs="Times New Roman"/>
          <w:lang w:val="en-US"/>
        </w:rPr>
        <w:t xml:space="preserve"> (by which I mean </w:t>
      </w:r>
      <w:r w:rsidR="00CD22BE" w:rsidRPr="00CD22BE">
        <w:rPr>
          <w:rFonts w:ascii="Times New Roman" w:hAnsi="Times New Roman" w:cs="Times New Roman"/>
          <w:i/>
          <w:lang w:val="en-US"/>
        </w:rPr>
        <w:t>actual</w:t>
      </w:r>
      <w:r w:rsidR="00CD22BE">
        <w:rPr>
          <w:rFonts w:ascii="Times New Roman" w:hAnsi="Times New Roman" w:cs="Times New Roman"/>
          <w:lang w:val="en-US"/>
        </w:rPr>
        <w:t xml:space="preserve">, positive law, and not just </w:t>
      </w:r>
      <w:r w:rsidR="00E204A1">
        <w:rPr>
          <w:rFonts w:ascii="Times New Roman" w:hAnsi="Times New Roman" w:cs="Times New Roman"/>
          <w:lang w:val="en-US"/>
        </w:rPr>
        <w:t>diplomatic practice</w:t>
      </w:r>
      <w:r w:rsidR="00CD22BE">
        <w:rPr>
          <w:rFonts w:ascii="Times New Roman" w:hAnsi="Times New Roman" w:cs="Times New Roman"/>
          <w:lang w:val="en-US"/>
        </w:rPr>
        <w:t>),</w:t>
      </w:r>
      <w:r w:rsidRPr="00100D6C">
        <w:rPr>
          <w:rFonts w:ascii="Times New Roman" w:hAnsi="Times New Roman" w:cs="Times New Roman"/>
          <w:lang w:val="en-US"/>
        </w:rPr>
        <w:t xml:space="preserve"> to start with, has historically been very </w:t>
      </w:r>
      <w:r w:rsidR="00B66858" w:rsidRPr="00100D6C">
        <w:rPr>
          <w:rFonts w:ascii="Times New Roman" w:hAnsi="Times New Roman" w:cs="Times New Roman"/>
          <w:lang w:val="en-US"/>
        </w:rPr>
        <w:t>acc</w:t>
      </w:r>
      <w:r w:rsidR="00A344AF" w:rsidRPr="00100D6C">
        <w:rPr>
          <w:rFonts w:ascii="Times New Roman" w:hAnsi="Times New Roman" w:cs="Times New Roman"/>
          <w:lang w:val="en-US"/>
        </w:rPr>
        <w:t>epting</w:t>
      </w:r>
      <w:r w:rsidRPr="00100D6C">
        <w:rPr>
          <w:rFonts w:ascii="Times New Roman" w:hAnsi="Times New Roman" w:cs="Times New Roman"/>
          <w:lang w:val="en-US"/>
        </w:rPr>
        <w:t xml:space="preserve"> of deviations from the principle of legislative equality.</w:t>
      </w:r>
      <w:r w:rsidR="00B66858" w:rsidRPr="00100D6C">
        <w:rPr>
          <w:rFonts w:ascii="Times New Roman" w:hAnsi="Times New Roman" w:cs="Times New Roman"/>
          <w:lang w:val="en-US"/>
        </w:rPr>
        <w:t xml:space="preserve"> Nowhere is this more visible perhaps than in the law of treaties and its liberal attitude towards coercion</w:t>
      </w:r>
      <w:r w:rsidR="007C15FC" w:rsidRPr="00100D6C">
        <w:rPr>
          <w:rFonts w:ascii="Times New Roman" w:hAnsi="Times New Roman" w:cs="Times New Roman"/>
          <w:lang w:val="en-US"/>
        </w:rPr>
        <w:t>. As noted above,</w:t>
      </w:r>
      <w:r w:rsidR="00805426" w:rsidRPr="00100D6C">
        <w:rPr>
          <w:rFonts w:ascii="Times New Roman" w:hAnsi="Times New Roman" w:cs="Times New Roman"/>
          <w:lang w:val="en-US"/>
        </w:rPr>
        <w:t xml:space="preserve"> international law has traditionally regarded treaties procure</w:t>
      </w:r>
      <w:r w:rsidR="00A54B4E" w:rsidRPr="00100D6C">
        <w:rPr>
          <w:rFonts w:ascii="Times New Roman" w:hAnsi="Times New Roman" w:cs="Times New Roman"/>
          <w:lang w:val="en-US"/>
        </w:rPr>
        <w:t>d</w:t>
      </w:r>
      <w:r w:rsidR="00805426" w:rsidRPr="00100D6C">
        <w:rPr>
          <w:rFonts w:ascii="Times New Roman" w:hAnsi="Times New Roman" w:cs="Times New Roman"/>
          <w:lang w:val="en-US"/>
        </w:rPr>
        <w:t xml:space="preserve"> by the threat or use of force as fully valid, save for situations involving coercion of the individual representatives of the state. From Grotius to Oppenheim, the dominant view has classically been that treaties concluded as a result of force</w:t>
      </w:r>
      <w:r w:rsidR="00232BCA" w:rsidRPr="00100D6C">
        <w:rPr>
          <w:rFonts w:ascii="Times New Roman" w:hAnsi="Times New Roman" w:cs="Times New Roman"/>
          <w:lang w:val="en-US"/>
        </w:rPr>
        <w:t>, whilst morally questionable,</w:t>
      </w:r>
      <w:r w:rsidR="00805426" w:rsidRPr="00100D6C">
        <w:rPr>
          <w:rFonts w:ascii="Times New Roman" w:hAnsi="Times New Roman" w:cs="Times New Roman"/>
          <w:lang w:val="en-US"/>
        </w:rPr>
        <w:t xml:space="preserve"> are </w:t>
      </w:r>
      <w:r w:rsidR="00814B60" w:rsidRPr="00100D6C">
        <w:rPr>
          <w:rFonts w:ascii="Times New Roman" w:hAnsi="Times New Roman" w:cs="Times New Roman"/>
          <w:lang w:val="en-US"/>
        </w:rPr>
        <w:t>just as binding</w:t>
      </w:r>
      <w:r w:rsidR="00805426" w:rsidRPr="00100D6C">
        <w:rPr>
          <w:rFonts w:ascii="Times New Roman" w:hAnsi="Times New Roman" w:cs="Times New Roman"/>
          <w:lang w:val="en-US"/>
        </w:rPr>
        <w:t xml:space="preserve"> as those made willingly, if only because states </w:t>
      </w:r>
      <w:r w:rsidR="00A54B4E" w:rsidRPr="00100D6C">
        <w:rPr>
          <w:rFonts w:ascii="Times New Roman" w:hAnsi="Times New Roman" w:cs="Times New Roman"/>
          <w:lang w:val="en-US"/>
        </w:rPr>
        <w:t>ought to</w:t>
      </w:r>
      <w:r w:rsidR="00805426" w:rsidRPr="00100D6C">
        <w:rPr>
          <w:rFonts w:ascii="Times New Roman" w:hAnsi="Times New Roman" w:cs="Times New Roman"/>
          <w:lang w:val="en-US"/>
        </w:rPr>
        <w:t xml:space="preserve"> be able to end </w:t>
      </w:r>
      <w:r w:rsidR="00545C07" w:rsidRPr="00100D6C">
        <w:rPr>
          <w:rFonts w:ascii="Times New Roman" w:hAnsi="Times New Roman" w:cs="Times New Roman"/>
          <w:lang w:val="en-US"/>
        </w:rPr>
        <w:t>wars</w:t>
      </w:r>
      <w:r w:rsidR="00805426" w:rsidRPr="00100D6C">
        <w:rPr>
          <w:rFonts w:ascii="Times New Roman" w:hAnsi="Times New Roman" w:cs="Times New Roman"/>
          <w:lang w:val="en-US"/>
        </w:rPr>
        <w:t xml:space="preserve"> by way of </w:t>
      </w:r>
      <w:r w:rsidR="00545C07" w:rsidRPr="00100D6C">
        <w:rPr>
          <w:rFonts w:ascii="Times New Roman" w:hAnsi="Times New Roman" w:cs="Times New Roman"/>
          <w:lang w:val="en-US"/>
        </w:rPr>
        <w:t>treaties in the knowledge that these treaties will not subsequently be invalidated on grounds of duress.</w:t>
      </w:r>
      <w:r w:rsidR="00A54B4E" w:rsidRPr="00100D6C">
        <w:rPr>
          <w:rStyle w:val="FootnoteReference"/>
          <w:rFonts w:ascii="Times New Roman" w:hAnsi="Times New Roman" w:cs="Times New Roman"/>
          <w:lang w:val="en-US"/>
        </w:rPr>
        <w:footnoteReference w:id="126"/>
      </w:r>
      <w:r w:rsidR="00A54B4E" w:rsidRPr="00100D6C">
        <w:rPr>
          <w:rFonts w:ascii="Times New Roman" w:hAnsi="Times New Roman" w:cs="Times New Roman"/>
          <w:lang w:val="en-US"/>
        </w:rPr>
        <w:t xml:space="preserve"> </w:t>
      </w:r>
      <w:r w:rsidR="0062111B" w:rsidRPr="00100D6C">
        <w:rPr>
          <w:rFonts w:ascii="Times New Roman" w:hAnsi="Times New Roman" w:cs="Times New Roman"/>
          <w:lang w:val="en-US"/>
        </w:rPr>
        <w:t xml:space="preserve">As international law's </w:t>
      </w:r>
      <w:r w:rsidR="00526A5E" w:rsidRPr="00100D6C">
        <w:rPr>
          <w:rFonts w:ascii="Times New Roman" w:hAnsi="Times New Roman" w:cs="Times New Roman"/>
          <w:lang w:val="en-US"/>
        </w:rPr>
        <w:t>position towards</w:t>
      </w:r>
      <w:r w:rsidR="0062111B" w:rsidRPr="00100D6C">
        <w:rPr>
          <w:rFonts w:ascii="Times New Roman" w:hAnsi="Times New Roman" w:cs="Times New Roman"/>
          <w:lang w:val="en-US"/>
        </w:rPr>
        <w:t xml:space="preserve"> </w:t>
      </w:r>
      <w:r w:rsidR="00526A5E" w:rsidRPr="00100D6C">
        <w:rPr>
          <w:rFonts w:ascii="Times New Roman" w:hAnsi="Times New Roman" w:cs="Times New Roman"/>
          <w:lang w:val="en-US"/>
        </w:rPr>
        <w:t>armed force</w:t>
      </w:r>
      <w:r w:rsidR="0062111B" w:rsidRPr="00100D6C">
        <w:rPr>
          <w:rFonts w:ascii="Times New Roman" w:hAnsi="Times New Roman" w:cs="Times New Roman"/>
          <w:lang w:val="en-US"/>
        </w:rPr>
        <w:t xml:space="preserve"> as a legitimate means of international relations began to change, so too did its </w:t>
      </w:r>
      <w:r w:rsidR="00526A5E" w:rsidRPr="00100D6C">
        <w:rPr>
          <w:rFonts w:ascii="Times New Roman" w:hAnsi="Times New Roman" w:cs="Times New Roman"/>
          <w:lang w:val="en-US"/>
        </w:rPr>
        <w:t>position</w:t>
      </w:r>
      <w:r w:rsidR="0062111B" w:rsidRPr="00100D6C">
        <w:rPr>
          <w:rFonts w:ascii="Times New Roman" w:hAnsi="Times New Roman" w:cs="Times New Roman"/>
          <w:lang w:val="en-US"/>
        </w:rPr>
        <w:t xml:space="preserve"> towards imposed treaties.</w:t>
      </w:r>
      <w:r w:rsidR="00F34466" w:rsidRPr="00100D6C">
        <w:rPr>
          <w:rFonts w:ascii="Times New Roman" w:hAnsi="Times New Roman" w:cs="Times New Roman"/>
          <w:lang w:val="en-US"/>
        </w:rPr>
        <w:t xml:space="preserve"> In the inter-war period, demands began to emerge challenging the traditional view and claiming that treaties imposed by states using illegal force ought not to be recognized as legally binding.</w:t>
      </w:r>
      <w:r w:rsidR="0091493E">
        <w:rPr>
          <w:rStyle w:val="FootnoteReference"/>
          <w:rFonts w:ascii="Times New Roman" w:hAnsi="Times New Roman" w:cs="Times New Roman"/>
          <w:lang w:val="en-US"/>
        </w:rPr>
        <w:footnoteReference w:id="127"/>
      </w:r>
      <w:r w:rsidR="00232BCA" w:rsidRPr="00100D6C">
        <w:rPr>
          <w:rFonts w:ascii="Times New Roman" w:hAnsi="Times New Roman" w:cs="Times New Roman"/>
          <w:lang w:val="en-US"/>
        </w:rPr>
        <w:t xml:space="preserve"> With the gradual development of the principle prohibiting the threat or use of force and the adoption of the UN Charter, the foundations of the traditional doctrine began to erode and</w:t>
      </w:r>
      <w:r w:rsidR="0080241A" w:rsidRPr="00100D6C">
        <w:rPr>
          <w:rFonts w:ascii="Times New Roman" w:hAnsi="Times New Roman" w:cs="Times New Roman"/>
          <w:lang w:val="en-US"/>
        </w:rPr>
        <w:t xml:space="preserve"> a new rule of customary law against imposed treaties progressively crystallized in the post-1945 period. That rule was eventually codified in the 1969 Vienna Convention on the Law of Treaties, which provides that </w:t>
      </w:r>
      <w:r w:rsidR="0091493E">
        <w:rPr>
          <w:rFonts w:ascii="Times New Roman" w:hAnsi="Times New Roman" w:cs="Times New Roman"/>
          <w:lang w:val="en-US"/>
        </w:rPr>
        <w:t>"</w:t>
      </w:r>
      <w:r w:rsidR="0080241A" w:rsidRPr="00100D6C">
        <w:rPr>
          <w:rFonts w:ascii="Times New Roman" w:hAnsi="Times New Roman" w:cs="Times New Roman"/>
          <w:lang w:val="en-US"/>
        </w:rPr>
        <w:t>a treaty is void if its conclusion has been procured by the threat or use of force</w:t>
      </w:r>
      <w:r w:rsidR="0091493E">
        <w:rPr>
          <w:rFonts w:ascii="Times New Roman" w:hAnsi="Times New Roman" w:cs="Times New Roman"/>
          <w:lang w:val="en-US"/>
        </w:rPr>
        <w:t>."</w:t>
      </w:r>
      <w:r w:rsidR="0091493E">
        <w:rPr>
          <w:rStyle w:val="FootnoteReference"/>
          <w:rFonts w:ascii="Times New Roman" w:hAnsi="Times New Roman" w:cs="Times New Roman"/>
          <w:lang w:val="en-US"/>
        </w:rPr>
        <w:footnoteReference w:id="128"/>
      </w:r>
    </w:p>
    <w:p w:rsidR="00397AD0" w:rsidRPr="00100D6C" w:rsidRDefault="00166A4C" w:rsidP="00F1667E">
      <w:pPr>
        <w:jc w:val="both"/>
        <w:rPr>
          <w:rFonts w:ascii="Times New Roman" w:hAnsi="Times New Roman" w:cs="Times New Roman"/>
          <w:lang w:val="en-US"/>
        </w:rPr>
      </w:pPr>
      <w:r w:rsidRPr="00100D6C">
        <w:rPr>
          <w:rFonts w:ascii="Times New Roman" w:hAnsi="Times New Roman" w:cs="Times New Roman"/>
          <w:lang w:val="en-US"/>
        </w:rPr>
        <w:t xml:space="preserve">Critically, </w:t>
      </w:r>
      <w:r w:rsidR="00814B60" w:rsidRPr="00100D6C">
        <w:rPr>
          <w:rFonts w:ascii="Times New Roman" w:hAnsi="Times New Roman" w:cs="Times New Roman"/>
          <w:lang w:val="en-US"/>
        </w:rPr>
        <w:t>though</w:t>
      </w:r>
      <w:r w:rsidRPr="00100D6C">
        <w:rPr>
          <w:rFonts w:ascii="Times New Roman" w:hAnsi="Times New Roman" w:cs="Times New Roman"/>
          <w:lang w:val="en-US"/>
        </w:rPr>
        <w:t>, the</w:t>
      </w:r>
      <w:r w:rsidR="0080241A" w:rsidRPr="00100D6C">
        <w:rPr>
          <w:rFonts w:ascii="Times New Roman" w:hAnsi="Times New Roman" w:cs="Times New Roman"/>
          <w:lang w:val="en-US"/>
        </w:rPr>
        <w:t xml:space="preserve"> new rule of international law providing for the invalidity of imposed treaties is only concerned with the most egregious form</w:t>
      </w:r>
      <w:r w:rsidR="006151F3">
        <w:rPr>
          <w:rFonts w:ascii="Times New Roman" w:hAnsi="Times New Roman" w:cs="Times New Roman"/>
          <w:lang w:val="en-US"/>
        </w:rPr>
        <w:t>s</w:t>
      </w:r>
      <w:r w:rsidR="0080241A" w:rsidRPr="00100D6C">
        <w:rPr>
          <w:rFonts w:ascii="Times New Roman" w:hAnsi="Times New Roman" w:cs="Times New Roman"/>
          <w:lang w:val="en-US"/>
        </w:rPr>
        <w:t xml:space="preserve"> of coercion involving the use or threat of military violence. </w:t>
      </w:r>
      <w:r w:rsidR="001A1E8F" w:rsidRPr="00100D6C">
        <w:rPr>
          <w:rFonts w:ascii="Times New Roman" w:hAnsi="Times New Roman" w:cs="Times New Roman"/>
          <w:lang w:val="en-US"/>
        </w:rPr>
        <w:t xml:space="preserve">During the negotiations of the Vienna Convention, an amendment was submitted by Afro-Asian, Latin American and Communist states proposing that economic and political </w:t>
      </w:r>
      <w:r w:rsidR="00FC0BAD" w:rsidRPr="00100D6C">
        <w:rPr>
          <w:rFonts w:ascii="Times New Roman" w:hAnsi="Times New Roman" w:cs="Times New Roman"/>
          <w:lang w:val="en-US"/>
        </w:rPr>
        <w:t>pressures</w:t>
      </w:r>
      <w:r w:rsidR="001A1E8F" w:rsidRPr="00100D6C">
        <w:rPr>
          <w:rFonts w:ascii="Times New Roman" w:hAnsi="Times New Roman" w:cs="Times New Roman"/>
          <w:lang w:val="en-US"/>
        </w:rPr>
        <w:t xml:space="preserve"> be </w:t>
      </w:r>
      <w:r w:rsidR="00FC0BAD" w:rsidRPr="00100D6C">
        <w:rPr>
          <w:rFonts w:ascii="Times New Roman" w:hAnsi="Times New Roman" w:cs="Times New Roman"/>
          <w:lang w:val="en-US"/>
        </w:rPr>
        <w:t>mentioned explicitly as falling within the concept of coercion, noting</w:t>
      </w:r>
      <w:r w:rsidR="001A1E8F" w:rsidRPr="00100D6C">
        <w:rPr>
          <w:rFonts w:ascii="Times New Roman" w:hAnsi="Times New Roman" w:cs="Times New Roman"/>
          <w:lang w:val="en-US"/>
        </w:rPr>
        <w:t xml:space="preserve"> that the strangulation of a country's economy</w:t>
      </w:r>
      <w:r w:rsidR="00FC0BAD" w:rsidRPr="00100D6C">
        <w:rPr>
          <w:rFonts w:ascii="Times New Roman" w:hAnsi="Times New Roman" w:cs="Times New Roman"/>
          <w:lang w:val="en-US"/>
        </w:rPr>
        <w:t xml:space="preserve"> had become a weapon of choice of Western powers and</w:t>
      </w:r>
      <w:r w:rsidR="001A1E8F" w:rsidRPr="00100D6C">
        <w:rPr>
          <w:rFonts w:ascii="Times New Roman" w:hAnsi="Times New Roman" w:cs="Times New Roman"/>
          <w:lang w:val="en-US"/>
        </w:rPr>
        <w:t xml:space="preserve"> </w:t>
      </w:r>
      <w:r w:rsidR="00EE420E" w:rsidRPr="00100D6C">
        <w:rPr>
          <w:rFonts w:ascii="Times New Roman" w:hAnsi="Times New Roman" w:cs="Times New Roman"/>
          <w:lang w:val="en-US"/>
        </w:rPr>
        <w:t>c</w:t>
      </w:r>
      <w:r w:rsidR="00FC0BAD" w:rsidRPr="00100D6C">
        <w:rPr>
          <w:rFonts w:ascii="Times New Roman" w:hAnsi="Times New Roman" w:cs="Times New Roman"/>
          <w:lang w:val="en-US"/>
        </w:rPr>
        <w:t>ould</w:t>
      </w:r>
      <w:r w:rsidR="00EE420E" w:rsidRPr="00100D6C">
        <w:rPr>
          <w:rFonts w:ascii="Times New Roman" w:hAnsi="Times New Roman" w:cs="Times New Roman"/>
          <w:lang w:val="en-US"/>
        </w:rPr>
        <w:t xml:space="preserve"> be</w:t>
      </w:r>
      <w:r w:rsidR="001A1E8F" w:rsidRPr="00100D6C">
        <w:rPr>
          <w:rFonts w:ascii="Times New Roman" w:hAnsi="Times New Roman" w:cs="Times New Roman"/>
          <w:lang w:val="en-US"/>
        </w:rPr>
        <w:t xml:space="preserve"> equally as coercive as the threat or use of armed force.</w:t>
      </w:r>
      <w:r w:rsidR="00946513" w:rsidRPr="00100D6C">
        <w:rPr>
          <w:rStyle w:val="FootnoteReference"/>
          <w:rFonts w:ascii="Times New Roman" w:hAnsi="Times New Roman" w:cs="Times New Roman"/>
          <w:lang w:val="en-US"/>
        </w:rPr>
        <w:footnoteReference w:id="129"/>
      </w:r>
      <w:r w:rsidR="001A1E8F" w:rsidRPr="00100D6C">
        <w:rPr>
          <w:rFonts w:ascii="Times New Roman" w:hAnsi="Times New Roman" w:cs="Times New Roman"/>
          <w:lang w:val="en-US"/>
        </w:rPr>
        <w:t xml:space="preserve"> </w:t>
      </w:r>
      <w:r w:rsidR="008A176A" w:rsidRPr="00100D6C">
        <w:rPr>
          <w:rFonts w:ascii="Times New Roman" w:hAnsi="Times New Roman" w:cs="Times New Roman"/>
          <w:lang w:val="en-US"/>
        </w:rPr>
        <w:t>The amendment was however vigorously opposed</w:t>
      </w:r>
      <w:r w:rsidR="006151F3">
        <w:rPr>
          <w:rFonts w:ascii="Times New Roman" w:hAnsi="Times New Roman" w:cs="Times New Roman"/>
          <w:lang w:val="en-US"/>
        </w:rPr>
        <w:t>,</w:t>
      </w:r>
      <w:r w:rsidR="008A176A" w:rsidRPr="00100D6C">
        <w:rPr>
          <w:rFonts w:ascii="Times New Roman" w:hAnsi="Times New Roman" w:cs="Times New Roman"/>
          <w:lang w:val="en-US"/>
        </w:rPr>
        <w:t xml:space="preserve"> and</w:t>
      </w:r>
      <w:r w:rsidR="006151F3">
        <w:rPr>
          <w:rFonts w:ascii="Times New Roman" w:hAnsi="Times New Roman" w:cs="Times New Roman"/>
          <w:lang w:val="en-US"/>
        </w:rPr>
        <w:t xml:space="preserve"> ultimately</w:t>
      </w:r>
      <w:r w:rsidR="008A176A" w:rsidRPr="00100D6C">
        <w:rPr>
          <w:rFonts w:ascii="Times New Roman" w:hAnsi="Times New Roman" w:cs="Times New Roman"/>
          <w:lang w:val="en-US"/>
        </w:rPr>
        <w:t xml:space="preserve"> defeated</w:t>
      </w:r>
      <w:r w:rsidR="006151F3">
        <w:rPr>
          <w:rFonts w:ascii="Times New Roman" w:hAnsi="Times New Roman" w:cs="Times New Roman"/>
          <w:lang w:val="en-US"/>
        </w:rPr>
        <w:t>,</w:t>
      </w:r>
      <w:r w:rsidR="008A176A" w:rsidRPr="00100D6C">
        <w:rPr>
          <w:rFonts w:ascii="Times New Roman" w:hAnsi="Times New Roman" w:cs="Times New Roman"/>
          <w:lang w:val="en-US"/>
        </w:rPr>
        <w:t xml:space="preserve"> by the vast majority of Western states, who argued</w:t>
      </w:r>
      <w:r w:rsidR="0055592C" w:rsidRPr="00100D6C">
        <w:rPr>
          <w:rFonts w:ascii="Times New Roman" w:hAnsi="Times New Roman" w:cs="Times New Roman"/>
          <w:lang w:val="en-US"/>
        </w:rPr>
        <w:t xml:space="preserve"> that the standard of economic </w:t>
      </w:r>
      <w:r w:rsidR="0055592C" w:rsidRPr="00100D6C">
        <w:rPr>
          <w:rFonts w:ascii="Times New Roman" w:hAnsi="Times New Roman" w:cs="Times New Roman"/>
          <w:lang w:val="en-US"/>
        </w:rPr>
        <w:lastRenderedPageBreak/>
        <w:t xml:space="preserve">pressure </w:t>
      </w:r>
      <w:r w:rsidR="005E56AD" w:rsidRPr="00100D6C">
        <w:rPr>
          <w:rFonts w:ascii="Times New Roman" w:hAnsi="Times New Roman" w:cs="Times New Roman"/>
          <w:lang w:val="en-US"/>
        </w:rPr>
        <w:t>lacked objective content</w:t>
      </w:r>
      <w:r w:rsidR="0055592C" w:rsidRPr="00100D6C">
        <w:rPr>
          <w:rFonts w:ascii="Times New Roman" w:hAnsi="Times New Roman" w:cs="Times New Roman"/>
          <w:lang w:val="en-US"/>
        </w:rPr>
        <w:t xml:space="preserve"> and</w:t>
      </w:r>
      <w:r w:rsidR="008A176A" w:rsidRPr="00100D6C">
        <w:rPr>
          <w:rFonts w:ascii="Times New Roman" w:hAnsi="Times New Roman" w:cs="Times New Roman"/>
          <w:lang w:val="en-US"/>
        </w:rPr>
        <w:t xml:space="preserve"> that accepting economic </w:t>
      </w:r>
      <w:r w:rsidR="0055592C" w:rsidRPr="00100D6C">
        <w:rPr>
          <w:rFonts w:ascii="Times New Roman" w:hAnsi="Times New Roman" w:cs="Times New Roman"/>
          <w:lang w:val="en-US"/>
        </w:rPr>
        <w:t>duress</w:t>
      </w:r>
      <w:r w:rsidR="008A176A" w:rsidRPr="00100D6C">
        <w:rPr>
          <w:rFonts w:ascii="Times New Roman" w:hAnsi="Times New Roman" w:cs="Times New Roman"/>
          <w:lang w:val="en-US"/>
        </w:rPr>
        <w:t xml:space="preserve"> as a </w:t>
      </w:r>
      <w:r w:rsidR="0055592C" w:rsidRPr="00100D6C">
        <w:rPr>
          <w:rFonts w:ascii="Times New Roman" w:hAnsi="Times New Roman" w:cs="Times New Roman"/>
          <w:lang w:val="en-US"/>
        </w:rPr>
        <w:t>ground</w:t>
      </w:r>
      <w:r w:rsidR="008A176A" w:rsidRPr="00100D6C">
        <w:rPr>
          <w:rFonts w:ascii="Times New Roman" w:hAnsi="Times New Roman" w:cs="Times New Roman"/>
          <w:lang w:val="en-US"/>
        </w:rPr>
        <w:t xml:space="preserve"> of invalidity would prejudice the stability of treaty relations.</w:t>
      </w:r>
      <w:r w:rsidR="005E56AD" w:rsidRPr="00100D6C">
        <w:rPr>
          <w:rStyle w:val="FootnoteReference"/>
          <w:rFonts w:ascii="Times New Roman" w:hAnsi="Times New Roman" w:cs="Times New Roman"/>
          <w:lang w:val="en-US"/>
        </w:rPr>
        <w:footnoteReference w:id="130"/>
      </w:r>
      <w:r w:rsidR="008A176A" w:rsidRPr="00100D6C">
        <w:rPr>
          <w:rFonts w:ascii="Times New Roman" w:hAnsi="Times New Roman" w:cs="Times New Roman"/>
          <w:lang w:val="en-US"/>
        </w:rPr>
        <w:t xml:space="preserve"> That view was also supported by the ILC Rapporteurs, most notably by Waldock, who firmly resisted the </w:t>
      </w:r>
      <w:r w:rsidR="00EE420E" w:rsidRPr="00100D6C">
        <w:rPr>
          <w:rFonts w:ascii="Times New Roman" w:hAnsi="Times New Roman" w:cs="Times New Roman"/>
          <w:lang w:val="en-US"/>
        </w:rPr>
        <w:t>demands of</w:t>
      </w:r>
      <w:r w:rsidR="008A176A" w:rsidRPr="00100D6C">
        <w:rPr>
          <w:rFonts w:ascii="Times New Roman" w:hAnsi="Times New Roman" w:cs="Times New Roman"/>
          <w:lang w:val="en-US"/>
        </w:rPr>
        <w:t xml:space="preserve"> postcolonial states on the ground that extending the meaning of coercion to other forms of pressure would leave the door to the evasion o</w:t>
      </w:r>
      <w:r w:rsidR="00A10422" w:rsidRPr="00100D6C">
        <w:rPr>
          <w:rFonts w:ascii="Times New Roman" w:hAnsi="Times New Roman" w:cs="Times New Roman"/>
          <w:lang w:val="en-US"/>
        </w:rPr>
        <w:t>f treaty obligations wide open</w:t>
      </w:r>
      <w:r w:rsidR="008A176A" w:rsidRPr="00100D6C">
        <w:rPr>
          <w:rFonts w:ascii="Times New Roman" w:hAnsi="Times New Roman" w:cs="Times New Roman"/>
          <w:lang w:val="en-US"/>
        </w:rPr>
        <w:t>.</w:t>
      </w:r>
      <w:r w:rsidR="00526A5E" w:rsidRPr="00100D6C">
        <w:rPr>
          <w:rStyle w:val="FootnoteReference"/>
          <w:rFonts w:ascii="Times New Roman" w:hAnsi="Times New Roman" w:cs="Times New Roman"/>
          <w:lang w:val="en-US"/>
        </w:rPr>
        <w:footnoteReference w:id="131"/>
      </w:r>
      <w:r w:rsidR="008A176A" w:rsidRPr="00100D6C">
        <w:rPr>
          <w:rFonts w:ascii="Times New Roman" w:hAnsi="Times New Roman" w:cs="Times New Roman"/>
          <w:lang w:val="en-US"/>
        </w:rPr>
        <w:t xml:space="preserve"> </w:t>
      </w:r>
      <w:r w:rsidR="0055592C" w:rsidRPr="00100D6C">
        <w:rPr>
          <w:rFonts w:ascii="Times New Roman" w:hAnsi="Times New Roman" w:cs="Times New Roman"/>
          <w:lang w:val="en-US"/>
        </w:rPr>
        <w:t xml:space="preserve">As a compromise between the </w:t>
      </w:r>
      <w:r w:rsidR="004F6C7B" w:rsidRPr="00100D6C">
        <w:rPr>
          <w:rFonts w:ascii="Times New Roman" w:hAnsi="Times New Roman" w:cs="Times New Roman"/>
          <w:lang w:val="en-US"/>
        </w:rPr>
        <w:t xml:space="preserve">two groups of states, a Declaration was attached to the Vienna Convention solemnly condemning the threat or use of pressure </w:t>
      </w:r>
      <w:r w:rsidR="006151F3">
        <w:rPr>
          <w:rFonts w:ascii="Times New Roman" w:hAnsi="Times New Roman" w:cs="Times New Roman"/>
          <w:lang w:val="en-US"/>
        </w:rPr>
        <w:t>"</w:t>
      </w:r>
      <w:r w:rsidR="004F6C7B" w:rsidRPr="00100D6C">
        <w:rPr>
          <w:rFonts w:ascii="Times New Roman" w:hAnsi="Times New Roman" w:cs="Times New Roman"/>
          <w:lang w:val="en-US"/>
        </w:rPr>
        <w:t>in any form, whether military, political, or economic</w:t>
      </w:r>
      <w:r w:rsidR="006151F3">
        <w:rPr>
          <w:rFonts w:ascii="Times New Roman" w:hAnsi="Times New Roman" w:cs="Times New Roman"/>
          <w:lang w:val="en-US"/>
        </w:rPr>
        <w:t>"</w:t>
      </w:r>
      <w:r w:rsidR="004F6C7B" w:rsidRPr="00100D6C">
        <w:rPr>
          <w:rFonts w:ascii="Times New Roman" w:hAnsi="Times New Roman" w:cs="Times New Roman"/>
          <w:lang w:val="en-US"/>
        </w:rPr>
        <w:t xml:space="preserve"> in the conclusion of treaties.</w:t>
      </w:r>
      <w:r w:rsidR="00D84E73" w:rsidRPr="00100D6C">
        <w:rPr>
          <w:rFonts w:ascii="Times New Roman" w:hAnsi="Times New Roman" w:cs="Times New Roman"/>
          <w:lang w:val="en-US"/>
        </w:rPr>
        <w:t xml:space="preserve"> The Declaration, however, is drafted in broad political-declaratory language and does not form part of the Vienna Convention (the Convent</w:t>
      </w:r>
      <w:r w:rsidR="00150375" w:rsidRPr="00100D6C">
        <w:rPr>
          <w:rFonts w:ascii="Times New Roman" w:hAnsi="Times New Roman" w:cs="Times New Roman"/>
          <w:lang w:val="en-US"/>
        </w:rPr>
        <w:t>ion does not refer to it). It lacks legal force and</w:t>
      </w:r>
      <w:r w:rsidR="00EE420E" w:rsidRPr="00100D6C">
        <w:rPr>
          <w:rFonts w:ascii="Times New Roman" w:hAnsi="Times New Roman" w:cs="Times New Roman"/>
          <w:lang w:val="en-US"/>
        </w:rPr>
        <w:t>, as a result, the position today remains that coercion of states by way of economic or political constraint, though undesirable and prejudicial to good relations among states, is not under international law considered as vitiating consent.</w:t>
      </w:r>
      <w:r w:rsidR="00EE420E" w:rsidRPr="00100D6C">
        <w:rPr>
          <w:rStyle w:val="FootnoteReference"/>
          <w:rFonts w:ascii="Times New Roman" w:hAnsi="Times New Roman" w:cs="Times New Roman"/>
          <w:lang w:val="en-US"/>
        </w:rPr>
        <w:footnoteReference w:id="132"/>
      </w:r>
      <w:r w:rsidR="00526A5E" w:rsidRPr="00100D6C">
        <w:rPr>
          <w:rFonts w:ascii="Times New Roman" w:hAnsi="Times New Roman" w:cs="Times New Roman"/>
          <w:lang w:val="en-US"/>
        </w:rPr>
        <w:t xml:space="preserve"> </w:t>
      </w:r>
    </w:p>
    <w:p w:rsidR="00694BFC" w:rsidRPr="00100D6C" w:rsidRDefault="00E65DBA" w:rsidP="00F1667E">
      <w:pPr>
        <w:jc w:val="both"/>
        <w:rPr>
          <w:rFonts w:ascii="Times New Roman" w:hAnsi="Times New Roman" w:cs="Times New Roman"/>
          <w:lang w:val="en-US"/>
        </w:rPr>
      </w:pPr>
      <w:r w:rsidRPr="00100D6C">
        <w:rPr>
          <w:rFonts w:ascii="Times New Roman" w:hAnsi="Times New Roman" w:cs="Times New Roman"/>
          <w:lang w:val="en-US"/>
        </w:rPr>
        <w:t>As the above makes clear, international law as a legal system takes a relaxed</w:t>
      </w:r>
      <w:r w:rsidR="00E733FE" w:rsidRPr="00100D6C">
        <w:rPr>
          <w:rFonts w:ascii="Times New Roman" w:hAnsi="Times New Roman" w:cs="Times New Roman"/>
          <w:lang w:val="en-US"/>
        </w:rPr>
        <w:t xml:space="preserve">, </w:t>
      </w:r>
      <w:r w:rsidR="00E733FE" w:rsidRPr="00100D6C">
        <w:rPr>
          <w:rFonts w:ascii="Times New Roman" w:hAnsi="Times New Roman" w:cs="Times New Roman"/>
          <w:i/>
          <w:lang w:val="en-US"/>
        </w:rPr>
        <w:t>laissez-faire</w:t>
      </w:r>
      <w:r w:rsidR="00EE1782" w:rsidRPr="00100D6C">
        <w:rPr>
          <w:rFonts w:ascii="Times New Roman" w:hAnsi="Times New Roman" w:cs="Times New Roman"/>
          <w:lang w:val="en-US"/>
        </w:rPr>
        <w:t xml:space="preserve"> approach to</w:t>
      </w:r>
      <w:r w:rsidRPr="00100D6C">
        <w:rPr>
          <w:rFonts w:ascii="Times New Roman" w:hAnsi="Times New Roman" w:cs="Times New Roman"/>
          <w:lang w:val="en-US"/>
        </w:rPr>
        <w:t xml:space="preserve"> freedom of consent and </w:t>
      </w:r>
      <w:r w:rsidR="005B1686" w:rsidRPr="00100D6C">
        <w:rPr>
          <w:rFonts w:ascii="Times New Roman" w:hAnsi="Times New Roman" w:cs="Times New Roman"/>
          <w:lang w:val="en-US"/>
        </w:rPr>
        <w:t xml:space="preserve">is largely accommodating of the various </w:t>
      </w:r>
      <w:r w:rsidR="006151F3">
        <w:rPr>
          <w:rFonts w:ascii="Times New Roman" w:hAnsi="Times New Roman" w:cs="Times New Roman"/>
          <w:lang w:val="en-US"/>
        </w:rPr>
        <w:t>"</w:t>
      </w:r>
      <w:r w:rsidR="005B1686" w:rsidRPr="00100D6C">
        <w:rPr>
          <w:rFonts w:ascii="Times New Roman" w:hAnsi="Times New Roman" w:cs="Times New Roman"/>
          <w:lang w:val="en-US"/>
        </w:rPr>
        <w:t>methods of persuasion</w:t>
      </w:r>
      <w:r w:rsidR="006151F3">
        <w:rPr>
          <w:rFonts w:ascii="Times New Roman" w:hAnsi="Times New Roman" w:cs="Times New Roman"/>
          <w:lang w:val="en-US"/>
        </w:rPr>
        <w:t>"</w:t>
      </w:r>
      <w:r w:rsidR="005B1686" w:rsidRPr="00100D6C">
        <w:rPr>
          <w:rFonts w:ascii="Times New Roman" w:hAnsi="Times New Roman" w:cs="Times New Roman"/>
          <w:lang w:val="en-US"/>
        </w:rPr>
        <w:t xml:space="preserve"> used by dominant powers</w:t>
      </w:r>
      <w:r w:rsidRPr="00100D6C">
        <w:rPr>
          <w:rFonts w:ascii="Times New Roman" w:hAnsi="Times New Roman" w:cs="Times New Roman"/>
          <w:lang w:val="en-US"/>
        </w:rPr>
        <w:t xml:space="preserve"> in treaty-makin</w:t>
      </w:r>
      <w:r w:rsidR="005B1686" w:rsidRPr="00100D6C">
        <w:rPr>
          <w:rFonts w:ascii="Times New Roman" w:hAnsi="Times New Roman" w:cs="Times New Roman"/>
          <w:lang w:val="en-US"/>
        </w:rPr>
        <w:t>g.</w:t>
      </w:r>
      <w:r w:rsidR="005B1686" w:rsidRPr="00100D6C">
        <w:rPr>
          <w:rStyle w:val="FootnoteReference"/>
          <w:rFonts w:ascii="Times New Roman" w:hAnsi="Times New Roman" w:cs="Times New Roman"/>
          <w:lang w:val="en-US"/>
        </w:rPr>
        <w:footnoteReference w:id="133"/>
      </w:r>
      <w:r w:rsidRPr="00100D6C">
        <w:rPr>
          <w:rFonts w:ascii="Times New Roman" w:hAnsi="Times New Roman" w:cs="Times New Roman"/>
          <w:lang w:val="en-US"/>
        </w:rPr>
        <w:t xml:space="preserve"> International law doesn't simply tolerate </w:t>
      </w:r>
      <w:r w:rsidR="00303D07" w:rsidRPr="00100D6C">
        <w:rPr>
          <w:rFonts w:ascii="Times New Roman" w:hAnsi="Times New Roman" w:cs="Times New Roman"/>
          <w:lang w:val="en-US"/>
        </w:rPr>
        <w:t>legislative</w:t>
      </w:r>
      <w:r w:rsidRPr="00100D6C">
        <w:rPr>
          <w:rFonts w:ascii="Times New Roman" w:hAnsi="Times New Roman" w:cs="Times New Roman"/>
          <w:lang w:val="en-US"/>
        </w:rPr>
        <w:t xml:space="preserve"> hierarchies, however. In many respects, it serves to </w:t>
      </w:r>
      <w:r w:rsidR="007A5E5F" w:rsidRPr="00100D6C">
        <w:rPr>
          <w:rFonts w:ascii="Times New Roman" w:hAnsi="Times New Roman" w:cs="Times New Roman"/>
          <w:lang w:val="en-US"/>
        </w:rPr>
        <w:t xml:space="preserve">consolidate and entrench </w:t>
      </w:r>
      <w:r w:rsidR="00F1667E" w:rsidRPr="00100D6C">
        <w:rPr>
          <w:rFonts w:ascii="Times New Roman" w:hAnsi="Times New Roman" w:cs="Times New Roman"/>
          <w:lang w:val="en-US"/>
        </w:rPr>
        <w:t>these hierarchies by giving them a legal form.</w:t>
      </w:r>
      <w:r w:rsidR="007D0A57" w:rsidRPr="00100D6C">
        <w:rPr>
          <w:rFonts w:ascii="Times New Roman" w:hAnsi="Times New Roman" w:cs="Times New Roman"/>
          <w:lang w:val="en-US"/>
        </w:rPr>
        <w:t xml:space="preserve"> </w:t>
      </w:r>
      <w:r w:rsidR="00962143">
        <w:rPr>
          <w:rFonts w:ascii="Times New Roman" w:hAnsi="Times New Roman" w:cs="Times New Roman"/>
          <w:lang w:val="en-US"/>
        </w:rPr>
        <w:t>The g</w:t>
      </w:r>
      <w:r w:rsidR="00F1667E" w:rsidRPr="00100D6C">
        <w:rPr>
          <w:rFonts w:ascii="Times New Roman" w:hAnsi="Times New Roman" w:cs="Times New Roman"/>
          <w:lang w:val="en-US"/>
        </w:rPr>
        <w:t xml:space="preserve">reat </w:t>
      </w:r>
      <w:r w:rsidR="00962143">
        <w:rPr>
          <w:rFonts w:ascii="Times New Roman" w:hAnsi="Times New Roman" w:cs="Times New Roman"/>
          <w:lang w:val="en-US"/>
        </w:rPr>
        <w:t>p</w:t>
      </w:r>
      <w:r w:rsidR="00F1667E" w:rsidRPr="00100D6C">
        <w:rPr>
          <w:rFonts w:ascii="Times New Roman" w:hAnsi="Times New Roman" w:cs="Times New Roman"/>
          <w:lang w:val="en-US"/>
        </w:rPr>
        <w:t xml:space="preserve">ower prerogatives of the Concert System were not, for instance, </w:t>
      </w:r>
      <w:r w:rsidR="008574A4" w:rsidRPr="00100D6C">
        <w:rPr>
          <w:rFonts w:ascii="Times New Roman" w:hAnsi="Times New Roman" w:cs="Times New Roman"/>
          <w:lang w:val="en-US"/>
        </w:rPr>
        <w:t xml:space="preserve">a </w:t>
      </w:r>
      <w:r w:rsidR="00397AD0" w:rsidRPr="00100D6C">
        <w:rPr>
          <w:rFonts w:ascii="Times New Roman" w:hAnsi="Times New Roman" w:cs="Times New Roman"/>
          <w:lang w:val="en-US"/>
        </w:rPr>
        <w:t>mere</w:t>
      </w:r>
      <w:r w:rsidR="00F1667E" w:rsidRPr="00100D6C">
        <w:rPr>
          <w:rFonts w:ascii="Times New Roman" w:hAnsi="Times New Roman" w:cs="Times New Roman"/>
          <w:lang w:val="en-US"/>
        </w:rPr>
        <w:t xml:space="preserve"> matter of political domination. As noted by Simpson, the Concert order was a highly </w:t>
      </w:r>
      <w:r w:rsidR="00AB15A0" w:rsidRPr="00100D6C">
        <w:rPr>
          <w:rFonts w:ascii="Times New Roman" w:hAnsi="Times New Roman" w:cs="Times New Roman"/>
          <w:lang w:val="en-US"/>
        </w:rPr>
        <w:t>legalized</w:t>
      </w:r>
      <w:r w:rsidR="00F1667E" w:rsidRPr="00100D6C">
        <w:rPr>
          <w:rFonts w:ascii="Times New Roman" w:hAnsi="Times New Roman" w:cs="Times New Roman"/>
          <w:lang w:val="en-US"/>
        </w:rPr>
        <w:t xml:space="preserve"> structure of governance: the Congress was established through a series of treaties; the Protocols by which the </w:t>
      </w:r>
      <w:r w:rsidR="00962143">
        <w:rPr>
          <w:rFonts w:ascii="Times New Roman" w:hAnsi="Times New Roman" w:cs="Times New Roman"/>
          <w:lang w:val="en-US"/>
        </w:rPr>
        <w:t>g</w:t>
      </w:r>
      <w:r w:rsidR="00F1667E" w:rsidRPr="00100D6C">
        <w:rPr>
          <w:rFonts w:ascii="Times New Roman" w:hAnsi="Times New Roman" w:cs="Times New Roman"/>
          <w:lang w:val="en-US"/>
        </w:rPr>
        <w:t xml:space="preserve">reat </w:t>
      </w:r>
      <w:r w:rsidR="00962143">
        <w:rPr>
          <w:rFonts w:ascii="Times New Roman" w:hAnsi="Times New Roman" w:cs="Times New Roman"/>
          <w:lang w:val="en-US"/>
        </w:rPr>
        <w:t>p</w:t>
      </w:r>
      <w:r w:rsidR="00F1667E" w:rsidRPr="00100D6C">
        <w:rPr>
          <w:rFonts w:ascii="Times New Roman" w:hAnsi="Times New Roman" w:cs="Times New Roman"/>
          <w:lang w:val="en-US"/>
        </w:rPr>
        <w:t>owers proposed to dominate the Congress were legal instruments; the</w:t>
      </w:r>
      <w:r w:rsidR="00A258F1" w:rsidRPr="00100D6C">
        <w:rPr>
          <w:rFonts w:ascii="Times New Roman" w:hAnsi="Times New Roman" w:cs="Times New Roman"/>
          <w:lang w:val="en-US"/>
        </w:rPr>
        <w:t xml:space="preserve"> decisions of the Congress were set out in treaty form and subsequently ratified by European states. The </w:t>
      </w:r>
      <w:r w:rsidR="00962143">
        <w:rPr>
          <w:rFonts w:ascii="Times New Roman" w:hAnsi="Times New Roman" w:cs="Times New Roman"/>
          <w:lang w:val="en-US"/>
        </w:rPr>
        <w:t>g</w:t>
      </w:r>
      <w:r w:rsidR="00A258F1" w:rsidRPr="00100D6C">
        <w:rPr>
          <w:rFonts w:ascii="Times New Roman" w:hAnsi="Times New Roman" w:cs="Times New Roman"/>
          <w:lang w:val="en-US"/>
        </w:rPr>
        <w:t xml:space="preserve">reat </w:t>
      </w:r>
      <w:r w:rsidR="00962143">
        <w:rPr>
          <w:rFonts w:ascii="Times New Roman" w:hAnsi="Times New Roman" w:cs="Times New Roman"/>
          <w:lang w:val="en-US"/>
        </w:rPr>
        <w:t>p</w:t>
      </w:r>
      <w:r w:rsidR="00A258F1" w:rsidRPr="00100D6C">
        <w:rPr>
          <w:rFonts w:ascii="Times New Roman" w:hAnsi="Times New Roman" w:cs="Times New Roman"/>
          <w:lang w:val="en-US"/>
        </w:rPr>
        <w:t>owers did not</w:t>
      </w:r>
      <w:r w:rsidR="008574A4" w:rsidRPr="00100D6C">
        <w:rPr>
          <w:rFonts w:ascii="Times New Roman" w:hAnsi="Times New Roman" w:cs="Times New Roman"/>
          <w:lang w:val="en-US"/>
        </w:rPr>
        <w:t>, then,</w:t>
      </w:r>
      <w:r w:rsidR="00A258F1" w:rsidRPr="00100D6C">
        <w:rPr>
          <w:rFonts w:ascii="Times New Roman" w:hAnsi="Times New Roman" w:cs="Times New Roman"/>
          <w:lang w:val="en-US"/>
        </w:rPr>
        <w:t xml:space="preserve"> just impose their will on other states through </w:t>
      </w:r>
      <w:r w:rsidR="00397AD0" w:rsidRPr="00100D6C">
        <w:rPr>
          <w:rFonts w:ascii="Times New Roman" w:hAnsi="Times New Roman" w:cs="Times New Roman"/>
          <w:lang w:val="en-US"/>
        </w:rPr>
        <w:t>raw power</w:t>
      </w:r>
      <w:r w:rsidR="00A258F1" w:rsidRPr="00100D6C">
        <w:rPr>
          <w:rFonts w:ascii="Times New Roman" w:hAnsi="Times New Roman" w:cs="Times New Roman"/>
          <w:lang w:val="en-US"/>
        </w:rPr>
        <w:t xml:space="preserve">. They </w:t>
      </w:r>
      <w:r w:rsidR="00680346" w:rsidRPr="00100D6C">
        <w:rPr>
          <w:rFonts w:ascii="Times New Roman" w:hAnsi="Times New Roman" w:cs="Times New Roman"/>
          <w:lang w:val="en-US"/>
        </w:rPr>
        <w:t>established</w:t>
      </w:r>
      <w:r w:rsidR="00A258F1" w:rsidRPr="00100D6C">
        <w:rPr>
          <w:rFonts w:ascii="Times New Roman" w:hAnsi="Times New Roman" w:cs="Times New Roman"/>
          <w:lang w:val="en-US"/>
        </w:rPr>
        <w:t xml:space="preserve"> a new, highly hierarchical </w:t>
      </w:r>
      <w:r w:rsidR="00FA565F" w:rsidRPr="00100D6C">
        <w:rPr>
          <w:rFonts w:ascii="Times New Roman" w:hAnsi="Times New Roman" w:cs="Times New Roman"/>
          <w:lang w:val="en-US"/>
        </w:rPr>
        <w:t>regime</w:t>
      </w:r>
      <w:r w:rsidR="00A258F1" w:rsidRPr="00100D6C">
        <w:rPr>
          <w:rFonts w:ascii="Times New Roman" w:hAnsi="Times New Roman" w:cs="Times New Roman"/>
          <w:lang w:val="en-US"/>
        </w:rPr>
        <w:t xml:space="preserve"> in which their dominant position was legally </w:t>
      </w:r>
      <w:r w:rsidR="00CF6283" w:rsidRPr="00100D6C">
        <w:rPr>
          <w:rFonts w:ascii="Times New Roman" w:hAnsi="Times New Roman" w:cs="Times New Roman"/>
          <w:lang w:val="en-US"/>
        </w:rPr>
        <w:t>organi</w:t>
      </w:r>
      <w:r w:rsidR="00962143">
        <w:rPr>
          <w:rFonts w:ascii="Times New Roman" w:hAnsi="Times New Roman" w:cs="Times New Roman"/>
          <w:lang w:val="en-US"/>
        </w:rPr>
        <w:t>z</w:t>
      </w:r>
      <w:r w:rsidR="00CF6283" w:rsidRPr="00100D6C">
        <w:rPr>
          <w:rFonts w:ascii="Times New Roman" w:hAnsi="Times New Roman" w:cs="Times New Roman"/>
          <w:lang w:val="en-US"/>
        </w:rPr>
        <w:t>ed and sanctioned</w:t>
      </w:r>
      <w:r w:rsidR="000510AF" w:rsidRPr="00100D6C">
        <w:rPr>
          <w:rFonts w:ascii="Times New Roman" w:hAnsi="Times New Roman" w:cs="Times New Roman"/>
          <w:lang w:val="en-US"/>
        </w:rPr>
        <w:t>, and their hegemony endowed with institutional respectability</w:t>
      </w:r>
      <w:r w:rsidR="00962143">
        <w:rPr>
          <w:rFonts w:ascii="Times New Roman" w:hAnsi="Times New Roman" w:cs="Times New Roman"/>
          <w:lang w:val="en-US"/>
        </w:rPr>
        <w:t xml:space="preserve"> (i.e. legitimacy)</w:t>
      </w:r>
      <w:r w:rsidR="00A258F1" w:rsidRPr="00100D6C">
        <w:rPr>
          <w:rFonts w:ascii="Times New Roman" w:hAnsi="Times New Roman" w:cs="Times New Roman"/>
          <w:lang w:val="en-US"/>
        </w:rPr>
        <w:t>.</w:t>
      </w:r>
      <w:r w:rsidR="003672E9" w:rsidRPr="00100D6C">
        <w:rPr>
          <w:rFonts w:ascii="Times New Roman" w:hAnsi="Times New Roman" w:cs="Times New Roman"/>
          <w:lang w:val="en-US"/>
        </w:rPr>
        <w:t xml:space="preserve"> A hierarchy of </w:t>
      </w:r>
      <w:r w:rsidR="009D7138" w:rsidRPr="00100D6C">
        <w:rPr>
          <w:rFonts w:ascii="Times New Roman" w:hAnsi="Times New Roman" w:cs="Times New Roman"/>
          <w:lang w:val="en-US"/>
        </w:rPr>
        <w:t>might</w:t>
      </w:r>
      <w:r w:rsidR="003672E9" w:rsidRPr="00100D6C">
        <w:rPr>
          <w:rFonts w:ascii="Times New Roman" w:hAnsi="Times New Roman" w:cs="Times New Roman"/>
          <w:lang w:val="en-US"/>
        </w:rPr>
        <w:t xml:space="preserve"> was thus converted into a hierarchy of right.</w:t>
      </w:r>
      <w:r w:rsidR="00680346" w:rsidRPr="00100D6C">
        <w:rPr>
          <w:rStyle w:val="FootnoteReference"/>
          <w:rFonts w:ascii="Times New Roman" w:hAnsi="Times New Roman" w:cs="Times New Roman"/>
          <w:lang w:val="en-US"/>
        </w:rPr>
        <w:footnoteReference w:id="134"/>
      </w:r>
      <w:r w:rsidR="00A258F1" w:rsidRPr="00100D6C">
        <w:rPr>
          <w:rFonts w:ascii="Times New Roman" w:hAnsi="Times New Roman" w:cs="Times New Roman"/>
          <w:lang w:val="en-US"/>
        </w:rPr>
        <w:t xml:space="preserve"> </w:t>
      </w:r>
    </w:p>
    <w:p w:rsidR="004B0871" w:rsidRPr="00100D6C" w:rsidRDefault="003672E9" w:rsidP="00674434">
      <w:pPr>
        <w:tabs>
          <w:tab w:val="left" w:pos="5400"/>
        </w:tabs>
        <w:jc w:val="both"/>
        <w:rPr>
          <w:rFonts w:ascii="Times New Roman" w:hAnsi="Times New Roman" w:cs="Times New Roman"/>
          <w:lang w:val="en-US"/>
        </w:rPr>
      </w:pPr>
      <w:r w:rsidRPr="00100D6C">
        <w:rPr>
          <w:rFonts w:ascii="Times New Roman" w:hAnsi="Times New Roman" w:cs="Times New Roman"/>
          <w:lang w:val="en-US"/>
        </w:rPr>
        <w:t>In this, the Concert system was a forerunner of the international organizations of the 20th century</w:t>
      </w:r>
      <w:r w:rsidR="000510AF" w:rsidRPr="00100D6C">
        <w:rPr>
          <w:rFonts w:ascii="Times New Roman" w:hAnsi="Times New Roman" w:cs="Times New Roman"/>
          <w:lang w:val="en-US"/>
        </w:rPr>
        <w:t xml:space="preserve">, </w:t>
      </w:r>
      <w:r w:rsidR="000E1E4F" w:rsidRPr="00100D6C">
        <w:rPr>
          <w:rFonts w:ascii="Times New Roman" w:hAnsi="Times New Roman" w:cs="Times New Roman"/>
          <w:lang w:val="en-US"/>
        </w:rPr>
        <w:t>in particular</w:t>
      </w:r>
      <w:r w:rsidR="000510AF" w:rsidRPr="00100D6C">
        <w:rPr>
          <w:rFonts w:ascii="Times New Roman" w:hAnsi="Times New Roman" w:cs="Times New Roman"/>
          <w:lang w:val="en-US"/>
        </w:rPr>
        <w:t xml:space="preserve"> the United Nations</w:t>
      </w:r>
      <w:r w:rsidRPr="00100D6C">
        <w:rPr>
          <w:rFonts w:ascii="Times New Roman" w:hAnsi="Times New Roman" w:cs="Times New Roman"/>
          <w:lang w:val="en-US"/>
        </w:rPr>
        <w:t xml:space="preserve">. </w:t>
      </w:r>
      <w:r w:rsidR="000510AF" w:rsidRPr="00100D6C">
        <w:rPr>
          <w:rFonts w:ascii="Times New Roman" w:hAnsi="Times New Roman" w:cs="Times New Roman"/>
          <w:lang w:val="en-US"/>
        </w:rPr>
        <w:t>In</w:t>
      </w:r>
      <w:r w:rsidRPr="00100D6C">
        <w:rPr>
          <w:rFonts w:ascii="Times New Roman" w:hAnsi="Times New Roman" w:cs="Times New Roman"/>
          <w:lang w:val="en-US"/>
        </w:rPr>
        <w:t xml:space="preserve"> San Francisco - </w:t>
      </w:r>
      <w:r w:rsidR="001258FD" w:rsidRPr="00100D6C">
        <w:rPr>
          <w:rFonts w:ascii="Times New Roman" w:hAnsi="Times New Roman" w:cs="Times New Roman"/>
          <w:lang w:val="en-US"/>
        </w:rPr>
        <w:t>as</w:t>
      </w:r>
      <w:r w:rsidRPr="00100D6C">
        <w:rPr>
          <w:rFonts w:ascii="Times New Roman" w:hAnsi="Times New Roman" w:cs="Times New Roman"/>
          <w:lang w:val="en-US"/>
        </w:rPr>
        <w:t xml:space="preserve"> in Vienna - </w:t>
      </w:r>
      <w:r w:rsidR="00EE1782" w:rsidRPr="00100D6C">
        <w:rPr>
          <w:rFonts w:ascii="Times New Roman" w:hAnsi="Times New Roman" w:cs="Times New Roman"/>
          <w:lang w:val="en-US"/>
        </w:rPr>
        <w:t>dominant powers</w:t>
      </w:r>
      <w:r w:rsidRPr="00100D6C">
        <w:rPr>
          <w:rFonts w:ascii="Times New Roman" w:hAnsi="Times New Roman" w:cs="Times New Roman"/>
          <w:lang w:val="en-US"/>
        </w:rPr>
        <w:t xml:space="preserve"> were </w:t>
      </w:r>
      <w:r w:rsidR="002C5BDE" w:rsidRPr="00100D6C">
        <w:rPr>
          <w:rFonts w:ascii="Times New Roman" w:hAnsi="Times New Roman" w:cs="Times New Roman"/>
          <w:lang w:val="en-US"/>
        </w:rPr>
        <w:t xml:space="preserve">successful in </w:t>
      </w:r>
      <w:r w:rsidR="000E1E4F" w:rsidRPr="00100D6C">
        <w:rPr>
          <w:rFonts w:ascii="Times New Roman" w:hAnsi="Times New Roman" w:cs="Times New Roman"/>
          <w:lang w:val="en-US"/>
        </w:rPr>
        <w:t>carving</w:t>
      </w:r>
      <w:r w:rsidR="002C5BDE" w:rsidRPr="00100D6C">
        <w:rPr>
          <w:rFonts w:ascii="Times New Roman" w:hAnsi="Times New Roman" w:cs="Times New Roman"/>
          <w:lang w:val="en-US"/>
        </w:rPr>
        <w:t xml:space="preserve"> special constitutional privileges for themselves, most notably through permanent representation in the Security Council</w:t>
      </w:r>
      <w:r w:rsidR="00612BA7" w:rsidRPr="00100D6C">
        <w:rPr>
          <w:rFonts w:ascii="Times New Roman" w:hAnsi="Times New Roman" w:cs="Times New Roman"/>
          <w:lang w:val="en-US"/>
        </w:rPr>
        <w:t xml:space="preserve"> and the veto power</w:t>
      </w:r>
      <w:r w:rsidR="002C5BDE" w:rsidRPr="00100D6C">
        <w:rPr>
          <w:rFonts w:ascii="Times New Roman" w:hAnsi="Times New Roman" w:cs="Times New Roman"/>
          <w:lang w:val="en-US"/>
        </w:rPr>
        <w:t>, giving them complete immunity from the enforcement jurisdiction of the Council and overall control over its decision-making.</w:t>
      </w:r>
      <w:r w:rsidR="00147649" w:rsidRPr="00100D6C">
        <w:rPr>
          <w:rFonts w:ascii="Times New Roman" w:hAnsi="Times New Roman" w:cs="Times New Roman"/>
          <w:lang w:val="en-US"/>
        </w:rPr>
        <w:t xml:space="preserve"> To be sure, the </w:t>
      </w:r>
      <w:r w:rsidR="00962143" w:rsidRPr="00100D6C">
        <w:rPr>
          <w:rFonts w:ascii="Times New Roman" w:hAnsi="Times New Roman" w:cs="Times New Roman"/>
          <w:lang w:val="en-US"/>
        </w:rPr>
        <w:t>legalized</w:t>
      </w:r>
      <w:r w:rsidR="00147649" w:rsidRPr="00100D6C">
        <w:rPr>
          <w:rFonts w:ascii="Times New Roman" w:hAnsi="Times New Roman" w:cs="Times New Roman"/>
          <w:lang w:val="en-US"/>
        </w:rPr>
        <w:t xml:space="preserve"> hierarchy of the UN never reached the same scale as </w:t>
      </w:r>
      <w:r w:rsidR="005B1686" w:rsidRPr="00100D6C">
        <w:rPr>
          <w:rFonts w:ascii="Times New Roman" w:hAnsi="Times New Roman" w:cs="Times New Roman"/>
          <w:lang w:val="en-US"/>
        </w:rPr>
        <w:t>that of</w:t>
      </w:r>
      <w:r w:rsidR="00147649" w:rsidRPr="00100D6C">
        <w:rPr>
          <w:rFonts w:ascii="Times New Roman" w:hAnsi="Times New Roman" w:cs="Times New Roman"/>
          <w:lang w:val="en-US"/>
        </w:rPr>
        <w:t xml:space="preserve"> the Concert system. </w:t>
      </w:r>
      <w:r w:rsidR="005B1686" w:rsidRPr="00100D6C">
        <w:rPr>
          <w:rFonts w:ascii="Times New Roman" w:hAnsi="Times New Roman" w:cs="Times New Roman"/>
          <w:lang w:val="en-US"/>
        </w:rPr>
        <w:t xml:space="preserve">Great powers, when drafting the Charter, </w:t>
      </w:r>
      <w:r w:rsidR="00577586" w:rsidRPr="00100D6C">
        <w:rPr>
          <w:rFonts w:ascii="Times New Roman" w:hAnsi="Times New Roman" w:cs="Times New Roman"/>
          <w:lang w:val="en-US"/>
        </w:rPr>
        <w:t>had to account</w:t>
      </w:r>
      <w:r w:rsidR="00962143">
        <w:rPr>
          <w:rFonts w:ascii="Times New Roman" w:hAnsi="Times New Roman" w:cs="Times New Roman"/>
          <w:lang w:val="en-US"/>
        </w:rPr>
        <w:t xml:space="preserve"> </w:t>
      </w:r>
      <w:r w:rsidR="00577586" w:rsidRPr="00100D6C">
        <w:rPr>
          <w:rFonts w:ascii="Times New Roman" w:hAnsi="Times New Roman" w:cs="Times New Roman"/>
          <w:lang w:val="en-US"/>
        </w:rPr>
        <w:t>for</w:t>
      </w:r>
      <w:r w:rsidR="00962143">
        <w:rPr>
          <w:rFonts w:ascii="Times New Roman" w:hAnsi="Times New Roman" w:cs="Times New Roman"/>
          <w:lang w:val="en-US"/>
        </w:rPr>
        <w:t xml:space="preserve"> some of the</w:t>
      </w:r>
      <w:r w:rsidR="00577586" w:rsidRPr="00100D6C">
        <w:rPr>
          <w:rFonts w:ascii="Times New Roman" w:hAnsi="Times New Roman" w:cs="Times New Roman"/>
          <w:lang w:val="en-US"/>
        </w:rPr>
        <w:t xml:space="preserve"> demands</w:t>
      </w:r>
      <w:r w:rsidR="00962143">
        <w:rPr>
          <w:rFonts w:ascii="Times New Roman" w:hAnsi="Times New Roman" w:cs="Times New Roman"/>
          <w:lang w:val="en-US"/>
        </w:rPr>
        <w:t xml:space="preserve"> emanating</w:t>
      </w:r>
      <w:r w:rsidR="00577586" w:rsidRPr="00100D6C">
        <w:rPr>
          <w:rFonts w:ascii="Times New Roman" w:hAnsi="Times New Roman" w:cs="Times New Roman"/>
          <w:lang w:val="en-US"/>
        </w:rPr>
        <w:t xml:space="preserve"> from small and medium powers</w:t>
      </w:r>
      <w:r w:rsidR="00962143">
        <w:rPr>
          <w:rFonts w:ascii="Times New Roman" w:hAnsi="Times New Roman" w:cs="Times New Roman"/>
          <w:lang w:val="en-US"/>
        </w:rPr>
        <w:t xml:space="preserve"> to secure their participation.</w:t>
      </w:r>
      <w:r w:rsidR="00577586" w:rsidRPr="00100D6C">
        <w:rPr>
          <w:rFonts w:ascii="Times New Roman" w:hAnsi="Times New Roman" w:cs="Times New Roman"/>
          <w:lang w:val="en-US"/>
        </w:rPr>
        <w:t xml:space="preserve"> As a result, the privileged position of the P5 within the Council was mediated by elements of sov</w:t>
      </w:r>
      <w:r w:rsidR="006F05AC" w:rsidRPr="00100D6C">
        <w:rPr>
          <w:rFonts w:ascii="Times New Roman" w:hAnsi="Times New Roman" w:cs="Times New Roman"/>
          <w:lang w:val="en-US"/>
        </w:rPr>
        <w:t>ereign equality, most notably</w:t>
      </w:r>
      <w:r w:rsidR="00577586" w:rsidRPr="00100D6C">
        <w:rPr>
          <w:rFonts w:ascii="Times New Roman" w:hAnsi="Times New Roman" w:cs="Times New Roman"/>
          <w:lang w:val="en-US"/>
        </w:rPr>
        <w:t xml:space="preserve"> the establishment of the General Assembly as an egalitarian chamber with perfect equality of representation and vote for all </w:t>
      </w:r>
      <w:r w:rsidR="00577586" w:rsidRPr="00100D6C">
        <w:rPr>
          <w:rFonts w:ascii="Times New Roman" w:hAnsi="Times New Roman" w:cs="Times New Roman"/>
          <w:lang w:val="en-US"/>
        </w:rPr>
        <w:lastRenderedPageBreak/>
        <w:t>states.</w:t>
      </w:r>
      <w:r w:rsidR="000E1E4F" w:rsidRPr="00100D6C">
        <w:rPr>
          <w:rStyle w:val="FootnoteReference"/>
          <w:rFonts w:ascii="Times New Roman" w:hAnsi="Times New Roman" w:cs="Times New Roman"/>
          <w:lang w:val="en-US"/>
        </w:rPr>
        <w:footnoteReference w:id="135"/>
      </w:r>
      <w:r w:rsidR="00577586" w:rsidRPr="00100D6C">
        <w:rPr>
          <w:rFonts w:ascii="Times New Roman" w:hAnsi="Times New Roman" w:cs="Times New Roman"/>
          <w:lang w:val="en-US"/>
        </w:rPr>
        <w:t xml:space="preserve"> </w:t>
      </w:r>
      <w:r w:rsidR="006F05AC" w:rsidRPr="00100D6C">
        <w:rPr>
          <w:rFonts w:ascii="Times New Roman" w:hAnsi="Times New Roman" w:cs="Times New Roman"/>
          <w:lang w:val="en-US"/>
        </w:rPr>
        <w:t>T</w:t>
      </w:r>
      <w:r w:rsidR="00577586" w:rsidRPr="00100D6C">
        <w:rPr>
          <w:rFonts w:ascii="Times New Roman" w:hAnsi="Times New Roman" w:cs="Times New Roman"/>
          <w:lang w:val="en-US"/>
        </w:rPr>
        <w:t>he P5,</w:t>
      </w:r>
      <w:r w:rsidR="006F05AC" w:rsidRPr="00100D6C">
        <w:rPr>
          <w:rFonts w:ascii="Times New Roman" w:hAnsi="Times New Roman" w:cs="Times New Roman"/>
          <w:lang w:val="en-US"/>
        </w:rPr>
        <w:t xml:space="preserve"> however,</w:t>
      </w:r>
      <w:r w:rsidR="00577586" w:rsidRPr="00100D6C">
        <w:rPr>
          <w:rFonts w:ascii="Times New Roman" w:hAnsi="Times New Roman" w:cs="Times New Roman"/>
          <w:lang w:val="en-US"/>
        </w:rPr>
        <w:t xml:space="preserve"> owing to their status on the Council, enjoy unparalleled bargaining power in the UN and possess overwhelming influence o</w:t>
      </w:r>
      <w:r w:rsidR="00674434" w:rsidRPr="00100D6C">
        <w:rPr>
          <w:rFonts w:ascii="Times New Roman" w:hAnsi="Times New Roman" w:cs="Times New Roman"/>
          <w:lang w:val="en-US"/>
        </w:rPr>
        <w:t>ver</w:t>
      </w:r>
      <w:r w:rsidR="00577586" w:rsidRPr="00100D6C">
        <w:rPr>
          <w:rFonts w:ascii="Times New Roman" w:hAnsi="Times New Roman" w:cs="Times New Roman"/>
          <w:lang w:val="en-US"/>
        </w:rPr>
        <w:t xml:space="preserve"> the organization, its membership,</w:t>
      </w:r>
      <w:r w:rsidR="00674434" w:rsidRPr="00100D6C">
        <w:rPr>
          <w:rFonts w:ascii="Times New Roman" w:hAnsi="Times New Roman" w:cs="Times New Roman"/>
          <w:lang w:val="en-US"/>
        </w:rPr>
        <w:t xml:space="preserve"> and its</w:t>
      </w:r>
      <w:r w:rsidR="00577586" w:rsidRPr="00100D6C">
        <w:rPr>
          <w:rFonts w:ascii="Times New Roman" w:hAnsi="Times New Roman" w:cs="Times New Roman"/>
          <w:lang w:val="en-US"/>
        </w:rPr>
        <w:t xml:space="preserve"> legislative agenda</w:t>
      </w:r>
      <w:r w:rsidR="00674434" w:rsidRPr="00100D6C">
        <w:rPr>
          <w:rFonts w:ascii="Times New Roman" w:hAnsi="Times New Roman" w:cs="Times New Roman"/>
          <w:lang w:val="en-US"/>
        </w:rPr>
        <w:t xml:space="preserve">, as well as controlling appointment of key personnel, including on law-making and law-ascertaining </w:t>
      </w:r>
      <w:r w:rsidR="004B0871" w:rsidRPr="00100D6C">
        <w:rPr>
          <w:rFonts w:ascii="Times New Roman" w:hAnsi="Times New Roman" w:cs="Times New Roman"/>
          <w:lang w:val="en-US"/>
        </w:rPr>
        <w:t>bodies</w:t>
      </w:r>
      <w:r w:rsidR="00674434" w:rsidRPr="00100D6C">
        <w:rPr>
          <w:rFonts w:ascii="Times New Roman" w:hAnsi="Times New Roman" w:cs="Times New Roman"/>
          <w:lang w:val="en-US"/>
        </w:rPr>
        <w:t xml:space="preserve"> such as the International Court of Justice.</w:t>
      </w:r>
      <w:r w:rsidR="000E1E4F" w:rsidRPr="00100D6C">
        <w:rPr>
          <w:rStyle w:val="FootnoteReference"/>
          <w:rFonts w:ascii="Times New Roman" w:hAnsi="Times New Roman" w:cs="Times New Roman"/>
          <w:lang w:val="en-US"/>
        </w:rPr>
        <w:footnoteReference w:id="136"/>
      </w:r>
      <w:r w:rsidR="00674434" w:rsidRPr="00100D6C">
        <w:rPr>
          <w:rFonts w:ascii="Times New Roman" w:hAnsi="Times New Roman" w:cs="Times New Roman"/>
          <w:lang w:val="en-US"/>
        </w:rPr>
        <w:t xml:space="preserve"> International organizations </w:t>
      </w:r>
      <w:r w:rsidR="004B0871" w:rsidRPr="00100D6C">
        <w:rPr>
          <w:rFonts w:ascii="Times New Roman" w:hAnsi="Times New Roman" w:cs="Times New Roman"/>
          <w:lang w:val="en-US"/>
        </w:rPr>
        <w:t xml:space="preserve">like </w:t>
      </w:r>
      <w:r w:rsidR="00674434" w:rsidRPr="00100D6C">
        <w:rPr>
          <w:rFonts w:ascii="Times New Roman" w:hAnsi="Times New Roman" w:cs="Times New Roman"/>
          <w:lang w:val="en-US"/>
        </w:rPr>
        <w:t xml:space="preserve">the UN (or the Bretton Woods institutions in which voting rights are </w:t>
      </w:r>
      <w:r w:rsidR="004B0871" w:rsidRPr="00100D6C">
        <w:rPr>
          <w:rFonts w:ascii="Times New Roman" w:hAnsi="Times New Roman" w:cs="Times New Roman"/>
          <w:lang w:val="en-US"/>
        </w:rPr>
        <w:t>commensurate</w:t>
      </w:r>
      <w:r w:rsidR="00674434" w:rsidRPr="00100D6C">
        <w:rPr>
          <w:rFonts w:ascii="Times New Roman" w:hAnsi="Times New Roman" w:cs="Times New Roman"/>
          <w:lang w:val="en-US"/>
        </w:rPr>
        <w:t xml:space="preserve"> to economic power) therefore operate to </w:t>
      </w:r>
      <w:r w:rsidR="00962143" w:rsidRPr="00100D6C">
        <w:rPr>
          <w:rFonts w:ascii="Times New Roman" w:hAnsi="Times New Roman" w:cs="Times New Roman"/>
          <w:lang w:val="en-US"/>
        </w:rPr>
        <w:t>institutionalize</w:t>
      </w:r>
      <w:r w:rsidR="00674434" w:rsidRPr="00100D6C">
        <w:rPr>
          <w:rFonts w:ascii="Times New Roman" w:hAnsi="Times New Roman" w:cs="Times New Roman"/>
          <w:lang w:val="en-US"/>
        </w:rPr>
        <w:t xml:space="preserve"> political dominance by giving it</w:t>
      </w:r>
      <w:r w:rsidR="002E4E68" w:rsidRPr="00100D6C">
        <w:rPr>
          <w:rFonts w:ascii="Times New Roman" w:hAnsi="Times New Roman" w:cs="Times New Roman"/>
          <w:lang w:val="en-US"/>
        </w:rPr>
        <w:t xml:space="preserve"> a formal,</w:t>
      </w:r>
      <w:r w:rsidR="00674434" w:rsidRPr="00100D6C">
        <w:rPr>
          <w:rFonts w:ascii="Times New Roman" w:hAnsi="Times New Roman" w:cs="Times New Roman"/>
          <w:lang w:val="en-US"/>
        </w:rPr>
        <w:t xml:space="preserve"> juridical status.</w:t>
      </w:r>
      <w:r w:rsidR="00962143">
        <w:rPr>
          <w:rFonts w:ascii="Times New Roman" w:hAnsi="Times New Roman" w:cs="Times New Roman"/>
          <w:lang w:val="en-US"/>
        </w:rPr>
        <w:t xml:space="preserve"> This in large part explains why great powers have historically been supportive - if strategically and selectively - of institution-building.</w:t>
      </w:r>
      <w:r w:rsidR="004B0871" w:rsidRPr="00100D6C">
        <w:rPr>
          <w:rStyle w:val="FootnoteReference"/>
          <w:rFonts w:ascii="Times New Roman" w:hAnsi="Times New Roman" w:cs="Times New Roman"/>
          <w:lang w:val="en-US"/>
        </w:rPr>
        <w:footnoteReference w:id="137"/>
      </w:r>
    </w:p>
    <w:p w:rsidR="00F943DF" w:rsidRPr="00100D6C" w:rsidRDefault="00612BA7" w:rsidP="00674434">
      <w:pPr>
        <w:tabs>
          <w:tab w:val="left" w:pos="5400"/>
        </w:tabs>
        <w:jc w:val="both"/>
        <w:rPr>
          <w:rFonts w:ascii="Times New Roman" w:hAnsi="Times New Roman" w:cs="Times New Roman"/>
          <w:lang w:val="en-US"/>
        </w:rPr>
      </w:pPr>
      <w:r w:rsidRPr="00100D6C">
        <w:rPr>
          <w:rFonts w:ascii="Times New Roman" w:hAnsi="Times New Roman" w:cs="Times New Roman"/>
          <w:lang w:val="en-US"/>
        </w:rPr>
        <w:t xml:space="preserve">Legislative hierarchies are, to finish, </w:t>
      </w:r>
      <w:r w:rsidR="00E07B82" w:rsidRPr="00100D6C">
        <w:rPr>
          <w:rFonts w:ascii="Times New Roman" w:hAnsi="Times New Roman" w:cs="Times New Roman"/>
          <w:lang w:val="en-US"/>
        </w:rPr>
        <w:t>legalized</w:t>
      </w:r>
      <w:r w:rsidRPr="00100D6C">
        <w:rPr>
          <w:rFonts w:ascii="Times New Roman" w:hAnsi="Times New Roman" w:cs="Times New Roman"/>
          <w:lang w:val="en-US"/>
        </w:rPr>
        <w:t xml:space="preserve"> through a variety of </w:t>
      </w:r>
      <w:r w:rsidR="006F05AC" w:rsidRPr="00100D6C">
        <w:rPr>
          <w:rFonts w:ascii="Times New Roman" w:hAnsi="Times New Roman" w:cs="Times New Roman"/>
          <w:lang w:val="en-US"/>
        </w:rPr>
        <w:t xml:space="preserve">legal doctrines such as the doctrine of </w:t>
      </w:r>
      <w:r w:rsidR="00E07B82">
        <w:rPr>
          <w:rFonts w:ascii="Times New Roman" w:hAnsi="Times New Roman" w:cs="Times New Roman"/>
          <w:lang w:val="en-US"/>
        </w:rPr>
        <w:t>"</w:t>
      </w:r>
      <w:r w:rsidR="006F05AC" w:rsidRPr="00100D6C">
        <w:rPr>
          <w:rFonts w:ascii="Times New Roman" w:hAnsi="Times New Roman" w:cs="Times New Roman"/>
          <w:lang w:val="en-US"/>
        </w:rPr>
        <w:t>specially affected states</w:t>
      </w:r>
      <w:r w:rsidR="00E07B82">
        <w:rPr>
          <w:rFonts w:ascii="Times New Roman" w:hAnsi="Times New Roman" w:cs="Times New Roman"/>
          <w:lang w:val="en-US"/>
        </w:rPr>
        <w:t>"</w:t>
      </w:r>
      <w:r w:rsidR="00AA5685" w:rsidRPr="00100D6C">
        <w:rPr>
          <w:rFonts w:ascii="Times New Roman" w:hAnsi="Times New Roman" w:cs="Times New Roman"/>
          <w:lang w:val="en-US"/>
        </w:rPr>
        <w:t>. According to this doctrine, which has a long history in international law, the practice of some states</w:t>
      </w:r>
      <w:r w:rsidR="002B0D45" w:rsidRPr="00100D6C">
        <w:rPr>
          <w:rFonts w:ascii="Times New Roman" w:hAnsi="Times New Roman" w:cs="Times New Roman"/>
          <w:lang w:val="en-US"/>
        </w:rPr>
        <w:t xml:space="preserve"> - </w:t>
      </w:r>
      <w:r w:rsidR="002C00C5" w:rsidRPr="00100D6C">
        <w:rPr>
          <w:rFonts w:ascii="Times New Roman" w:hAnsi="Times New Roman" w:cs="Times New Roman"/>
          <w:lang w:val="en-US"/>
        </w:rPr>
        <w:t xml:space="preserve">because they are </w:t>
      </w:r>
      <w:r w:rsidR="00E07B82">
        <w:rPr>
          <w:rFonts w:ascii="Times New Roman" w:hAnsi="Times New Roman" w:cs="Times New Roman"/>
          <w:lang w:val="en-US"/>
        </w:rPr>
        <w:t>"</w:t>
      </w:r>
      <w:r w:rsidR="002C00C5" w:rsidRPr="00100D6C">
        <w:rPr>
          <w:rFonts w:ascii="Times New Roman" w:hAnsi="Times New Roman" w:cs="Times New Roman"/>
          <w:lang w:val="en-US"/>
        </w:rPr>
        <w:t>most concerned</w:t>
      </w:r>
      <w:r w:rsidR="00E07B82">
        <w:rPr>
          <w:rFonts w:ascii="Times New Roman" w:hAnsi="Times New Roman" w:cs="Times New Roman"/>
          <w:lang w:val="en-US"/>
        </w:rPr>
        <w:t>"</w:t>
      </w:r>
      <w:r w:rsidR="002C00C5" w:rsidRPr="00100D6C">
        <w:rPr>
          <w:rFonts w:ascii="Times New Roman" w:hAnsi="Times New Roman" w:cs="Times New Roman"/>
          <w:lang w:val="en-US"/>
        </w:rPr>
        <w:t xml:space="preserve"> with a subject or have a greater </w:t>
      </w:r>
      <w:r w:rsidR="00E07B82">
        <w:rPr>
          <w:rFonts w:ascii="Times New Roman" w:hAnsi="Times New Roman" w:cs="Times New Roman"/>
          <w:lang w:val="en-US"/>
        </w:rPr>
        <w:t>"</w:t>
      </w:r>
      <w:r w:rsidR="002C00C5" w:rsidRPr="00100D6C">
        <w:rPr>
          <w:rFonts w:ascii="Times New Roman" w:hAnsi="Times New Roman" w:cs="Times New Roman"/>
          <w:lang w:val="en-US"/>
        </w:rPr>
        <w:t>depth of experience</w:t>
      </w:r>
      <w:r w:rsidR="00E07B82">
        <w:rPr>
          <w:rFonts w:ascii="Times New Roman" w:hAnsi="Times New Roman" w:cs="Times New Roman"/>
          <w:lang w:val="en-US"/>
        </w:rPr>
        <w:t>"</w:t>
      </w:r>
      <w:r w:rsidR="002C00C5" w:rsidRPr="00100D6C">
        <w:rPr>
          <w:rFonts w:ascii="Times New Roman" w:hAnsi="Times New Roman" w:cs="Times New Roman"/>
          <w:lang w:val="en-US"/>
        </w:rPr>
        <w:t xml:space="preserve"> - </w:t>
      </w:r>
      <w:r w:rsidR="002B0D45" w:rsidRPr="00100D6C">
        <w:rPr>
          <w:rFonts w:ascii="Times New Roman" w:hAnsi="Times New Roman" w:cs="Times New Roman"/>
          <w:lang w:val="en-US"/>
        </w:rPr>
        <w:t>weighs more heavily in the formation of customary law than that of others.</w:t>
      </w:r>
      <w:r w:rsidR="00F44131" w:rsidRPr="00100D6C">
        <w:rPr>
          <w:rStyle w:val="FootnoteReference"/>
          <w:rFonts w:ascii="Times New Roman" w:hAnsi="Times New Roman" w:cs="Times New Roman"/>
          <w:lang w:val="en-US"/>
        </w:rPr>
        <w:footnoteReference w:id="138"/>
      </w:r>
      <w:r w:rsidR="002C00C5" w:rsidRPr="00100D6C">
        <w:rPr>
          <w:rFonts w:ascii="Times New Roman" w:hAnsi="Times New Roman" w:cs="Times New Roman"/>
          <w:lang w:val="en-US"/>
        </w:rPr>
        <w:t xml:space="preserve"> This principle has been interpreted in practice as having two possible implications. Firstly, if all major interests are represented, there is no need for a majority of states to have participated in order for custom to emerge.</w:t>
      </w:r>
      <w:r w:rsidR="00E07B82">
        <w:rPr>
          <w:rFonts w:ascii="Times New Roman" w:hAnsi="Times New Roman" w:cs="Times New Roman"/>
          <w:lang w:val="en-US"/>
        </w:rPr>
        <w:t xml:space="preserve"> Participation from a narrow but politically powerful circle of states may suffice.</w:t>
      </w:r>
      <w:r w:rsidR="002C00C5" w:rsidRPr="00100D6C">
        <w:rPr>
          <w:rFonts w:ascii="Times New Roman" w:hAnsi="Times New Roman" w:cs="Times New Roman"/>
          <w:lang w:val="en-US"/>
        </w:rPr>
        <w:t xml:space="preserve"> Secondly, and conversely, if specially affected states do not accept a particular practice, the said practice cannot mature into a rule of customary international law</w:t>
      </w:r>
      <w:r w:rsidR="00E07B82">
        <w:rPr>
          <w:rFonts w:ascii="Times New Roman" w:hAnsi="Times New Roman" w:cs="Times New Roman"/>
          <w:lang w:val="en-US"/>
        </w:rPr>
        <w:t xml:space="preserve">, even when it is otherwise </w:t>
      </w:r>
      <w:r w:rsidR="000D2708">
        <w:rPr>
          <w:rFonts w:ascii="Times New Roman" w:hAnsi="Times New Roman" w:cs="Times New Roman"/>
          <w:lang w:val="en-US"/>
        </w:rPr>
        <w:t>broadly</w:t>
      </w:r>
      <w:r w:rsidR="002C00C5" w:rsidRPr="00100D6C">
        <w:rPr>
          <w:rFonts w:ascii="Times New Roman" w:hAnsi="Times New Roman" w:cs="Times New Roman"/>
          <w:lang w:val="en-US"/>
        </w:rPr>
        <w:t>.</w:t>
      </w:r>
      <w:bookmarkStart w:id="34" w:name="_Ref450750565"/>
      <w:r w:rsidR="00F44131" w:rsidRPr="00100D6C">
        <w:rPr>
          <w:rStyle w:val="FootnoteReference"/>
          <w:rFonts w:ascii="Times New Roman" w:hAnsi="Times New Roman" w:cs="Times New Roman"/>
          <w:lang w:val="en-US"/>
        </w:rPr>
        <w:footnoteReference w:id="139"/>
      </w:r>
      <w:bookmarkEnd w:id="34"/>
      <w:r w:rsidR="00012D75" w:rsidRPr="00100D6C">
        <w:rPr>
          <w:rFonts w:ascii="Times New Roman" w:hAnsi="Times New Roman" w:cs="Times New Roman"/>
          <w:lang w:val="en-US"/>
        </w:rPr>
        <w:t xml:space="preserve"> </w:t>
      </w:r>
      <w:r w:rsidR="00CE4915" w:rsidRPr="00100D6C">
        <w:rPr>
          <w:rFonts w:ascii="Times New Roman" w:hAnsi="Times New Roman" w:cs="Times New Roman"/>
          <w:lang w:val="en-US"/>
        </w:rPr>
        <w:t>T</w:t>
      </w:r>
      <w:r w:rsidR="00012D75" w:rsidRPr="00100D6C">
        <w:rPr>
          <w:rFonts w:ascii="Times New Roman" w:hAnsi="Times New Roman" w:cs="Times New Roman"/>
          <w:lang w:val="en-US"/>
        </w:rPr>
        <w:t xml:space="preserve">he question of who constitutes a </w:t>
      </w:r>
      <w:r w:rsidR="00E07B82">
        <w:rPr>
          <w:rFonts w:ascii="Times New Roman" w:hAnsi="Times New Roman" w:cs="Times New Roman"/>
          <w:lang w:val="en-US"/>
        </w:rPr>
        <w:t>"</w:t>
      </w:r>
      <w:r w:rsidR="00012D75" w:rsidRPr="00100D6C">
        <w:rPr>
          <w:rFonts w:ascii="Times New Roman" w:hAnsi="Times New Roman" w:cs="Times New Roman"/>
          <w:lang w:val="en-US"/>
        </w:rPr>
        <w:t>specially affected state</w:t>
      </w:r>
      <w:r w:rsidR="00E07B82">
        <w:rPr>
          <w:rFonts w:ascii="Times New Roman" w:hAnsi="Times New Roman" w:cs="Times New Roman"/>
          <w:lang w:val="en-US"/>
        </w:rPr>
        <w:t>"</w:t>
      </w:r>
      <w:r w:rsidR="00012D75" w:rsidRPr="00100D6C">
        <w:rPr>
          <w:rFonts w:ascii="Times New Roman" w:hAnsi="Times New Roman" w:cs="Times New Roman"/>
          <w:lang w:val="en-US"/>
        </w:rPr>
        <w:t xml:space="preserve"> may vary according to circumstances</w:t>
      </w:r>
      <w:r w:rsidR="00CE4915" w:rsidRPr="00100D6C">
        <w:rPr>
          <w:rFonts w:ascii="Times New Roman" w:hAnsi="Times New Roman" w:cs="Times New Roman"/>
          <w:lang w:val="en-US"/>
        </w:rPr>
        <w:t>. In some instances, that determination may rest on</w:t>
      </w:r>
      <w:r w:rsidR="00AA5E88" w:rsidRPr="00100D6C">
        <w:rPr>
          <w:rFonts w:ascii="Times New Roman" w:hAnsi="Times New Roman" w:cs="Times New Roman"/>
          <w:lang w:val="en-US"/>
        </w:rPr>
        <w:t xml:space="preserve"> objective factors such as geography or location. Coastal states have for instance been considered more </w:t>
      </w:r>
      <w:r w:rsidR="00E07B82">
        <w:rPr>
          <w:rFonts w:ascii="Times New Roman" w:hAnsi="Times New Roman" w:cs="Times New Roman"/>
          <w:lang w:val="en-US"/>
        </w:rPr>
        <w:t>"</w:t>
      </w:r>
      <w:r w:rsidR="00AA5E88" w:rsidRPr="00100D6C">
        <w:rPr>
          <w:rFonts w:ascii="Times New Roman" w:hAnsi="Times New Roman" w:cs="Times New Roman"/>
          <w:lang w:val="en-US"/>
        </w:rPr>
        <w:t>specially affected</w:t>
      </w:r>
      <w:r w:rsidR="00E07B82">
        <w:rPr>
          <w:rFonts w:ascii="Times New Roman" w:hAnsi="Times New Roman" w:cs="Times New Roman"/>
          <w:lang w:val="en-US"/>
        </w:rPr>
        <w:t>"</w:t>
      </w:r>
      <w:r w:rsidR="00AA5E88" w:rsidRPr="00100D6C">
        <w:rPr>
          <w:rFonts w:ascii="Times New Roman" w:hAnsi="Times New Roman" w:cs="Times New Roman"/>
          <w:lang w:val="en-US"/>
        </w:rPr>
        <w:t xml:space="preserve"> by the legal status of the continental shelf than landlocked states.</w:t>
      </w:r>
      <w:r w:rsidR="00725A68" w:rsidRPr="00100D6C">
        <w:rPr>
          <w:rStyle w:val="FootnoteReference"/>
          <w:rFonts w:ascii="Times New Roman" w:hAnsi="Times New Roman" w:cs="Times New Roman"/>
          <w:lang w:val="en-US"/>
        </w:rPr>
        <w:footnoteReference w:id="140"/>
      </w:r>
      <w:r w:rsidR="001240B9" w:rsidRPr="00100D6C">
        <w:rPr>
          <w:rFonts w:ascii="Times New Roman" w:hAnsi="Times New Roman" w:cs="Times New Roman"/>
          <w:lang w:val="en-US"/>
        </w:rPr>
        <w:t xml:space="preserve"> Likewise, small island States may be considered </w:t>
      </w:r>
      <w:r w:rsidR="00E07B82">
        <w:rPr>
          <w:rFonts w:ascii="Times New Roman" w:hAnsi="Times New Roman" w:cs="Times New Roman"/>
          <w:lang w:val="en-US"/>
        </w:rPr>
        <w:t>"</w:t>
      </w:r>
      <w:r w:rsidR="001240B9" w:rsidRPr="00100D6C">
        <w:rPr>
          <w:rFonts w:ascii="Times New Roman" w:hAnsi="Times New Roman" w:cs="Times New Roman"/>
          <w:lang w:val="en-US"/>
        </w:rPr>
        <w:t>specially affected</w:t>
      </w:r>
      <w:r w:rsidR="00E07B82">
        <w:rPr>
          <w:rFonts w:ascii="Times New Roman" w:hAnsi="Times New Roman" w:cs="Times New Roman"/>
          <w:lang w:val="en-US"/>
        </w:rPr>
        <w:t>"</w:t>
      </w:r>
      <w:r w:rsidR="001240B9" w:rsidRPr="00100D6C">
        <w:rPr>
          <w:rFonts w:ascii="Times New Roman" w:hAnsi="Times New Roman" w:cs="Times New Roman"/>
          <w:lang w:val="en-US"/>
        </w:rPr>
        <w:t xml:space="preserve"> by climate change.</w:t>
      </w:r>
      <w:r w:rsidR="00AA5E88" w:rsidRPr="00100D6C">
        <w:rPr>
          <w:rFonts w:ascii="Times New Roman" w:hAnsi="Times New Roman" w:cs="Times New Roman"/>
          <w:lang w:val="en-US"/>
        </w:rPr>
        <w:t xml:space="preserve"> </w:t>
      </w:r>
      <w:r w:rsidR="0003392A" w:rsidRPr="00100D6C">
        <w:rPr>
          <w:rFonts w:ascii="Times New Roman" w:hAnsi="Times New Roman" w:cs="Times New Roman"/>
          <w:lang w:val="en-US"/>
        </w:rPr>
        <w:t>In practice, however, the doctrine has generally been us</w:t>
      </w:r>
      <w:r w:rsidR="002E4E68" w:rsidRPr="00100D6C">
        <w:rPr>
          <w:rFonts w:ascii="Times New Roman" w:hAnsi="Times New Roman" w:cs="Times New Roman"/>
          <w:lang w:val="en-US"/>
        </w:rPr>
        <w:t>ed as a disguise for important or powerful</w:t>
      </w:r>
      <w:r w:rsidR="0003392A" w:rsidRPr="00100D6C">
        <w:rPr>
          <w:rFonts w:ascii="Times New Roman" w:hAnsi="Times New Roman" w:cs="Times New Roman"/>
          <w:lang w:val="en-US"/>
        </w:rPr>
        <w:t xml:space="preserve"> states, which are somehow assumed to be</w:t>
      </w:r>
      <w:r w:rsidR="00AA7297" w:rsidRPr="00100D6C">
        <w:rPr>
          <w:rFonts w:ascii="Times New Roman" w:hAnsi="Times New Roman" w:cs="Times New Roman"/>
          <w:lang w:val="en-US"/>
        </w:rPr>
        <w:t xml:space="preserve"> always</w:t>
      </w:r>
      <w:r w:rsidR="0003392A" w:rsidRPr="00100D6C">
        <w:rPr>
          <w:rFonts w:ascii="Times New Roman" w:hAnsi="Times New Roman" w:cs="Times New Roman"/>
          <w:lang w:val="en-US"/>
        </w:rPr>
        <w:t xml:space="preserve"> </w:t>
      </w:r>
      <w:r w:rsidR="00E07B82">
        <w:rPr>
          <w:rFonts w:ascii="Times New Roman" w:hAnsi="Times New Roman" w:cs="Times New Roman"/>
          <w:lang w:val="en-US"/>
        </w:rPr>
        <w:t>"</w:t>
      </w:r>
      <w:r w:rsidR="0003392A" w:rsidRPr="00100D6C">
        <w:rPr>
          <w:rFonts w:ascii="Times New Roman" w:hAnsi="Times New Roman" w:cs="Times New Roman"/>
          <w:lang w:val="en-US"/>
        </w:rPr>
        <w:t>specially affected</w:t>
      </w:r>
      <w:r w:rsidR="00E07B82">
        <w:rPr>
          <w:rFonts w:ascii="Times New Roman" w:hAnsi="Times New Roman" w:cs="Times New Roman"/>
          <w:lang w:val="en-US"/>
        </w:rPr>
        <w:t>"</w:t>
      </w:r>
      <w:r w:rsidR="00AA7297" w:rsidRPr="00100D6C">
        <w:rPr>
          <w:rFonts w:ascii="Times New Roman" w:hAnsi="Times New Roman" w:cs="Times New Roman"/>
          <w:lang w:val="en-US"/>
        </w:rPr>
        <w:t xml:space="preserve"> by legal developments, given the </w:t>
      </w:r>
      <w:r w:rsidR="00E07B82">
        <w:rPr>
          <w:rFonts w:ascii="Times New Roman" w:hAnsi="Times New Roman" w:cs="Times New Roman"/>
          <w:lang w:val="en-US"/>
        </w:rPr>
        <w:t>"</w:t>
      </w:r>
      <w:r w:rsidR="00AA7297" w:rsidRPr="00100D6C">
        <w:rPr>
          <w:rFonts w:ascii="Times New Roman" w:hAnsi="Times New Roman" w:cs="Times New Roman"/>
          <w:lang w:val="en-US"/>
        </w:rPr>
        <w:t>scope of their interests</w:t>
      </w:r>
      <w:r w:rsidR="00E07B82">
        <w:rPr>
          <w:rFonts w:ascii="Times New Roman" w:hAnsi="Times New Roman" w:cs="Times New Roman"/>
          <w:lang w:val="en-US"/>
        </w:rPr>
        <w:t>"</w:t>
      </w:r>
      <w:r w:rsidR="00AA7297" w:rsidRPr="00100D6C">
        <w:rPr>
          <w:rFonts w:ascii="Times New Roman" w:hAnsi="Times New Roman" w:cs="Times New Roman"/>
          <w:lang w:val="en-US"/>
        </w:rPr>
        <w:t xml:space="preserve">, the </w:t>
      </w:r>
      <w:r w:rsidR="00E07B82">
        <w:rPr>
          <w:rFonts w:ascii="Times New Roman" w:hAnsi="Times New Roman" w:cs="Times New Roman"/>
          <w:lang w:val="en-US"/>
        </w:rPr>
        <w:t>"</w:t>
      </w:r>
      <w:r w:rsidR="00AA7297" w:rsidRPr="00100D6C">
        <w:rPr>
          <w:rFonts w:ascii="Times New Roman" w:hAnsi="Times New Roman" w:cs="Times New Roman"/>
          <w:lang w:val="en-US"/>
        </w:rPr>
        <w:t>extent of their resources</w:t>
      </w:r>
      <w:r w:rsidR="00E07B82">
        <w:rPr>
          <w:rFonts w:ascii="Times New Roman" w:hAnsi="Times New Roman" w:cs="Times New Roman"/>
          <w:lang w:val="en-US"/>
        </w:rPr>
        <w:t>"</w:t>
      </w:r>
      <w:r w:rsidR="00AA7297" w:rsidRPr="00100D6C">
        <w:rPr>
          <w:rFonts w:ascii="Times New Roman" w:hAnsi="Times New Roman" w:cs="Times New Roman"/>
          <w:lang w:val="en-US"/>
        </w:rPr>
        <w:t xml:space="preserve">, and the </w:t>
      </w:r>
      <w:r w:rsidR="00E07B82">
        <w:rPr>
          <w:rFonts w:ascii="Times New Roman" w:hAnsi="Times New Roman" w:cs="Times New Roman"/>
          <w:lang w:val="en-US"/>
        </w:rPr>
        <w:t>"</w:t>
      </w:r>
      <w:r w:rsidR="00AA7297" w:rsidRPr="00100D6C">
        <w:rPr>
          <w:rFonts w:ascii="Times New Roman" w:hAnsi="Times New Roman" w:cs="Times New Roman"/>
          <w:lang w:val="en-US"/>
        </w:rPr>
        <w:t>reach of their practice</w:t>
      </w:r>
      <w:r w:rsidR="00E07B82">
        <w:rPr>
          <w:rFonts w:ascii="Times New Roman" w:hAnsi="Times New Roman" w:cs="Times New Roman"/>
          <w:lang w:val="en-US"/>
        </w:rPr>
        <w:t>."</w:t>
      </w:r>
      <w:r w:rsidR="00C15BC7" w:rsidRPr="00100D6C">
        <w:rPr>
          <w:rStyle w:val="FootnoteReference"/>
          <w:rFonts w:ascii="Times New Roman" w:hAnsi="Times New Roman" w:cs="Times New Roman"/>
          <w:lang w:val="en-US"/>
        </w:rPr>
        <w:footnoteReference w:id="141"/>
      </w:r>
      <w:r w:rsidR="00AA7297" w:rsidRPr="00100D6C">
        <w:rPr>
          <w:rFonts w:ascii="Times New Roman" w:hAnsi="Times New Roman" w:cs="Times New Roman"/>
          <w:lang w:val="en-US"/>
        </w:rPr>
        <w:t xml:space="preserve"> </w:t>
      </w:r>
    </w:p>
    <w:p w:rsidR="009F7519" w:rsidRPr="00100D6C" w:rsidRDefault="001240B9" w:rsidP="002E4E68">
      <w:pPr>
        <w:tabs>
          <w:tab w:val="left" w:pos="5400"/>
        </w:tabs>
        <w:jc w:val="both"/>
        <w:rPr>
          <w:rFonts w:ascii="Times New Roman" w:hAnsi="Times New Roman" w:cs="Times New Roman"/>
          <w:lang w:val="en-US"/>
        </w:rPr>
      </w:pPr>
      <w:r w:rsidRPr="00100D6C">
        <w:rPr>
          <w:rFonts w:ascii="Times New Roman" w:hAnsi="Times New Roman" w:cs="Times New Roman"/>
          <w:lang w:val="en-US"/>
        </w:rPr>
        <w:t>The doctrine</w:t>
      </w:r>
      <w:r w:rsidR="000D2708">
        <w:rPr>
          <w:rFonts w:ascii="Times New Roman" w:hAnsi="Times New Roman" w:cs="Times New Roman"/>
          <w:lang w:val="en-US"/>
        </w:rPr>
        <w:t xml:space="preserve"> of specially affected states</w:t>
      </w:r>
      <w:r w:rsidRPr="00100D6C">
        <w:rPr>
          <w:rFonts w:ascii="Times New Roman" w:hAnsi="Times New Roman" w:cs="Times New Roman"/>
          <w:lang w:val="en-US"/>
        </w:rPr>
        <w:t xml:space="preserve"> therefore gives</w:t>
      </w:r>
      <w:r w:rsidR="00E04727" w:rsidRPr="00100D6C">
        <w:rPr>
          <w:rFonts w:ascii="Times New Roman" w:hAnsi="Times New Roman" w:cs="Times New Roman"/>
          <w:lang w:val="en-US"/>
        </w:rPr>
        <w:t xml:space="preserve"> great powers</w:t>
      </w:r>
      <w:r w:rsidRPr="00100D6C">
        <w:rPr>
          <w:rFonts w:ascii="Times New Roman" w:hAnsi="Times New Roman" w:cs="Times New Roman"/>
          <w:lang w:val="en-US"/>
        </w:rPr>
        <w:t xml:space="preserve"> considerable influence over the formation of customary international law, most notably the ability to block the emergence of customary norms, even when th</w:t>
      </w:r>
      <w:r w:rsidR="00E04727" w:rsidRPr="00100D6C">
        <w:rPr>
          <w:rFonts w:ascii="Times New Roman" w:hAnsi="Times New Roman" w:cs="Times New Roman"/>
          <w:lang w:val="en-US"/>
        </w:rPr>
        <w:t>ese are otherwise supported by</w:t>
      </w:r>
      <w:r w:rsidRPr="00100D6C">
        <w:rPr>
          <w:rFonts w:ascii="Times New Roman" w:hAnsi="Times New Roman" w:cs="Times New Roman"/>
          <w:lang w:val="en-US"/>
        </w:rPr>
        <w:t xml:space="preserve"> large majorities. The US was for instance successful in arguing before the ICJ that, as a specially affected state, its opposition (with </w:t>
      </w:r>
      <w:r w:rsidRPr="00100D6C">
        <w:rPr>
          <w:rFonts w:ascii="Times New Roman" w:hAnsi="Times New Roman" w:cs="Times New Roman"/>
          <w:lang w:val="en-US"/>
        </w:rPr>
        <w:lastRenderedPageBreak/>
        <w:t>that of a few other nuclear powers) effectively blocked the development of a customary norm prohibiting the threat or use of nuclear weapons.</w:t>
      </w:r>
      <w:r w:rsidR="00700F36" w:rsidRPr="00100D6C">
        <w:rPr>
          <w:rStyle w:val="FootnoteReference"/>
          <w:rFonts w:ascii="Times New Roman" w:hAnsi="Times New Roman" w:cs="Times New Roman"/>
          <w:lang w:val="en-US"/>
        </w:rPr>
        <w:footnoteReference w:id="142"/>
      </w:r>
      <w:r w:rsidR="00BE1EE8" w:rsidRPr="00100D6C">
        <w:rPr>
          <w:rFonts w:ascii="Times New Roman" w:hAnsi="Times New Roman" w:cs="Times New Roman"/>
          <w:lang w:val="en-US"/>
        </w:rPr>
        <w:t xml:space="preserve"> Likewise, the tribunal in the </w:t>
      </w:r>
      <w:r w:rsidR="00BE1EE8" w:rsidRPr="000D2708">
        <w:rPr>
          <w:rFonts w:ascii="Times New Roman" w:hAnsi="Times New Roman" w:cs="Times New Roman"/>
          <w:i/>
          <w:lang w:val="en-US"/>
        </w:rPr>
        <w:t>Texaco</w:t>
      </w:r>
      <w:r w:rsidR="00BE1EE8" w:rsidRPr="00100D6C">
        <w:rPr>
          <w:rFonts w:ascii="Times New Roman" w:hAnsi="Times New Roman" w:cs="Times New Roman"/>
          <w:lang w:val="en-US"/>
        </w:rPr>
        <w:t xml:space="preserve"> arbitration found that Resolution 3281 of the UN General Assembly (</w:t>
      </w:r>
      <w:r w:rsidR="000D2708">
        <w:rPr>
          <w:rFonts w:ascii="Times New Roman" w:hAnsi="Times New Roman" w:cs="Times New Roman"/>
          <w:lang w:val="en-US"/>
        </w:rPr>
        <w:t>"</w:t>
      </w:r>
      <w:r w:rsidR="00BE1EE8" w:rsidRPr="00100D6C">
        <w:rPr>
          <w:rFonts w:ascii="Times New Roman" w:hAnsi="Times New Roman" w:cs="Times New Roman"/>
          <w:lang w:val="en-US"/>
        </w:rPr>
        <w:t>Charter of Economic Rights and Duties of States</w:t>
      </w:r>
      <w:r w:rsidR="000D2708">
        <w:rPr>
          <w:rFonts w:ascii="Times New Roman" w:hAnsi="Times New Roman" w:cs="Times New Roman"/>
          <w:lang w:val="en-US"/>
        </w:rPr>
        <w:t>"</w:t>
      </w:r>
      <w:r w:rsidR="00BE1EE8" w:rsidRPr="00100D6C">
        <w:rPr>
          <w:rFonts w:ascii="Times New Roman" w:hAnsi="Times New Roman" w:cs="Times New Roman"/>
          <w:lang w:val="en-US"/>
        </w:rPr>
        <w:t>) could not be said to give rise to new principles of customary i</w:t>
      </w:r>
      <w:r w:rsidR="00E04727" w:rsidRPr="00100D6C">
        <w:rPr>
          <w:rFonts w:ascii="Times New Roman" w:hAnsi="Times New Roman" w:cs="Times New Roman"/>
          <w:lang w:val="en-US"/>
        </w:rPr>
        <w:t>nternational law, despite the adoption of the Charter by an overwhelming majority of states (118 votes to 6, with 10 abstentions), because of</w:t>
      </w:r>
      <w:r w:rsidR="009F7519" w:rsidRPr="00100D6C">
        <w:rPr>
          <w:rFonts w:ascii="Times New Roman" w:hAnsi="Times New Roman" w:cs="Times New Roman"/>
          <w:lang w:val="en-US"/>
        </w:rPr>
        <w:t xml:space="preserve"> the opposition of </w:t>
      </w:r>
      <w:r w:rsidR="000D2708">
        <w:rPr>
          <w:rFonts w:ascii="Times New Roman" w:hAnsi="Times New Roman" w:cs="Times New Roman"/>
          <w:lang w:val="en-US"/>
        </w:rPr>
        <w:t>"</w:t>
      </w:r>
      <w:r w:rsidR="009F7519" w:rsidRPr="00100D6C">
        <w:rPr>
          <w:rFonts w:ascii="Times New Roman" w:hAnsi="Times New Roman" w:cs="Times New Roman"/>
          <w:lang w:val="en-US"/>
        </w:rPr>
        <w:t>developed count</w:t>
      </w:r>
      <w:r w:rsidR="00E04727" w:rsidRPr="00100D6C">
        <w:rPr>
          <w:rFonts w:ascii="Times New Roman" w:hAnsi="Times New Roman" w:cs="Times New Roman"/>
          <w:lang w:val="en-US"/>
        </w:rPr>
        <w:t>ries with market economies</w:t>
      </w:r>
      <w:r w:rsidR="008361EE" w:rsidRPr="00100D6C">
        <w:rPr>
          <w:rFonts w:ascii="Times New Roman" w:hAnsi="Times New Roman" w:cs="Times New Roman"/>
          <w:lang w:val="en-US"/>
        </w:rPr>
        <w:t xml:space="preserve"> which carry on the largest part of international trade</w:t>
      </w:r>
      <w:r w:rsidR="000D2708">
        <w:rPr>
          <w:rFonts w:ascii="Times New Roman" w:hAnsi="Times New Roman" w:cs="Times New Roman"/>
          <w:lang w:val="en-US"/>
        </w:rPr>
        <w:t>"</w:t>
      </w:r>
      <w:r w:rsidR="00E04727" w:rsidRPr="00100D6C">
        <w:rPr>
          <w:rFonts w:ascii="Times New Roman" w:hAnsi="Times New Roman" w:cs="Times New Roman"/>
          <w:lang w:val="en-US"/>
        </w:rPr>
        <w:t>.</w:t>
      </w:r>
      <w:r w:rsidR="00A03E8E" w:rsidRPr="00100D6C">
        <w:rPr>
          <w:rStyle w:val="FootnoteReference"/>
          <w:rFonts w:ascii="Times New Roman" w:hAnsi="Times New Roman" w:cs="Times New Roman"/>
          <w:lang w:val="en-US"/>
        </w:rPr>
        <w:footnoteReference w:id="143"/>
      </w:r>
      <w:r w:rsidR="00A03E8E" w:rsidRPr="00100D6C">
        <w:rPr>
          <w:rFonts w:ascii="Times New Roman" w:hAnsi="Times New Roman" w:cs="Times New Roman"/>
          <w:lang w:val="en-US"/>
        </w:rPr>
        <w:t xml:space="preserve"> The doctrine of </w:t>
      </w:r>
      <w:r w:rsidR="00DC3CDA">
        <w:rPr>
          <w:rFonts w:ascii="Times New Roman" w:hAnsi="Times New Roman" w:cs="Times New Roman"/>
          <w:lang w:val="en-US"/>
        </w:rPr>
        <w:t>"</w:t>
      </w:r>
      <w:r w:rsidR="00A03E8E" w:rsidRPr="00100D6C">
        <w:rPr>
          <w:rFonts w:ascii="Times New Roman" w:hAnsi="Times New Roman" w:cs="Times New Roman"/>
          <w:lang w:val="en-US"/>
        </w:rPr>
        <w:t>specially affected states</w:t>
      </w:r>
      <w:r w:rsidR="00DC3CDA">
        <w:rPr>
          <w:rFonts w:ascii="Times New Roman" w:hAnsi="Times New Roman" w:cs="Times New Roman"/>
          <w:lang w:val="en-US"/>
        </w:rPr>
        <w:t>"</w:t>
      </w:r>
      <w:r w:rsidR="00A03E8E" w:rsidRPr="00100D6C">
        <w:rPr>
          <w:rFonts w:ascii="Times New Roman" w:hAnsi="Times New Roman" w:cs="Times New Roman"/>
          <w:lang w:val="en-US"/>
        </w:rPr>
        <w:t>, as these examples demonstrate,</w:t>
      </w:r>
      <w:r w:rsidR="002E4E68" w:rsidRPr="00100D6C">
        <w:rPr>
          <w:rFonts w:ascii="Times New Roman" w:hAnsi="Times New Roman" w:cs="Times New Roman"/>
          <w:lang w:val="en-US"/>
        </w:rPr>
        <w:t xml:space="preserve"> </w:t>
      </w:r>
      <w:r w:rsidR="00265D52" w:rsidRPr="00100D6C">
        <w:rPr>
          <w:rFonts w:ascii="Times New Roman" w:hAnsi="Times New Roman" w:cs="Times New Roman"/>
          <w:lang w:val="en-US"/>
        </w:rPr>
        <w:t xml:space="preserve">regularizes </w:t>
      </w:r>
      <w:r w:rsidR="00DC3CDA">
        <w:rPr>
          <w:rFonts w:ascii="Times New Roman" w:hAnsi="Times New Roman" w:cs="Times New Roman"/>
          <w:lang w:val="en-US"/>
        </w:rPr>
        <w:t xml:space="preserve">and legalizes </w:t>
      </w:r>
      <w:r w:rsidR="00265D52" w:rsidRPr="00100D6C">
        <w:rPr>
          <w:rFonts w:ascii="Times New Roman" w:hAnsi="Times New Roman" w:cs="Times New Roman"/>
          <w:lang w:val="en-US"/>
        </w:rPr>
        <w:t>great power dominance</w:t>
      </w:r>
      <w:r w:rsidR="002E4E68" w:rsidRPr="00100D6C">
        <w:rPr>
          <w:rFonts w:ascii="Times New Roman" w:hAnsi="Times New Roman" w:cs="Times New Roman"/>
          <w:lang w:val="en-US"/>
        </w:rPr>
        <w:t>. I</w:t>
      </w:r>
      <w:r w:rsidR="003312B0" w:rsidRPr="00100D6C">
        <w:rPr>
          <w:rFonts w:ascii="Times New Roman" w:hAnsi="Times New Roman" w:cs="Times New Roman"/>
          <w:lang w:val="en-US"/>
        </w:rPr>
        <w:t>t converts political power into rightful authority by formally recognizing that the practice and opinion of dominant states carries greater legal significance</w:t>
      </w:r>
      <w:r w:rsidR="00815690" w:rsidRPr="00100D6C">
        <w:rPr>
          <w:rFonts w:ascii="Times New Roman" w:hAnsi="Times New Roman" w:cs="Times New Roman"/>
          <w:lang w:val="en-US"/>
        </w:rPr>
        <w:t xml:space="preserve"> in law-making</w:t>
      </w:r>
      <w:r w:rsidR="003312B0" w:rsidRPr="00100D6C">
        <w:rPr>
          <w:rFonts w:ascii="Times New Roman" w:hAnsi="Times New Roman" w:cs="Times New Roman"/>
          <w:lang w:val="en-US"/>
        </w:rPr>
        <w:t xml:space="preserve"> than that of small and medium powers.</w:t>
      </w:r>
    </w:p>
    <w:p w:rsidR="001B6152" w:rsidRPr="00100D6C" w:rsidRDefault="001B6152" w:rsidP="00865748">
      <w:pPr>
        <w:pStyle w:val="Heading1"/>
      </w:pPr>
      <w:bookmarkStart w:id="35" w:name="_Toc459318322"/>
      <w:r w:rsidRPr="00100D6C">
        <w:t>General Conclusion</w:t>
      </w:r>
      <w:r w:rsidR="008A286F">
        <w:t xml:space="preserve">: </w:t>
      </w:r>
      <w:r w:rsidR="00873D33">
        <w:t xml:space="preserve">Of </w:t>
      </w:r>
      <w:r w:rsidR="00B248BD">
        <w:t>Noble Lies</w:t>
      </w:r>
      <w:bookmarkEnd w:id="35"/>
      <w:r w:rsidR="00612771">
        <w:t xml:space="preserve"> and Opportune Falsehoods</w:t>
      </w:r>
    </w:p>
    <w:p w:rsidR="001B6152" w:rsidRPr="00100D6C" w:rsidRDefault="001B6152" w:rsidP="00674434">
      <w:pPr>
        <w:tabs>
          <w:tab w:val="left" w:pos="5400"/>
        </w:tabs>
        <w:jc w:val="both"/>
        <w:rPr>
          <w:rFonts w:ascii="Times New Roman" w:hAnsi="Times New Roman" w:cs="Times New Roman"/>
          <w:lang w:val="en-US"/>
        </w:rPr>
      </w:pPr>
    </w:p>
    <w:p w:rsidR="00122B58" w:rsidRPr="00100D6C" w:rsidRDefault="00C6416E" w:rsidP="00445F00">
      <w:pPr>
        <w:tabs>
          <w:tab w:val="left" w:pos="5400"/>
        </w:tabs>
        <w:jc w:val="both"/>
        <w:rPr>
          <w:rFonts w:ascii="Times New Roman" w:hAnsi="Times New Roman" w:cs="Times New Roman"/>
          <w:lang w:val="en-US"/>
        </w:rPr>
      </w:pPr>
      <w:r w:rsidRPr="00100D6C">
        <w:rPr>
          <w:rFonts w:ascii="Times New Roman" w:hAnsi="Times New Roman" w:cs="Times New Roman"/>
          <w:lang w:val="en-US"/>
        </w:rPr>
        <w:t xml:space="preserve">The </w:t>
      </w:r>
      <w:r w:rsidR="00AC109C">
        <w:rPr>
          <w:rFonts w:ascii="Times New Roman" w:hAnsi="Times New Roman" w:cs="Times New Roman"/>
          <w:lang w:val="en-US"/>
        </w:rPr>
        <w:t>"</w:t>
      </w:r>
      <w:r w:rsidRPr="00100D6C">
        <w:rPr>
          <w:rFonts w:ascii="Times New Roman" w:hAnsi="Times New Roman" w:cs="Times New Roman"/>
          <w:lang w:val="en-US"/>
        </w:rPr>
        <w:t>no-hierarchy</w:t>
      </w:r>
      <w:r w:rsidR="00AC109C">
        <w:rPr>
          <w:rFonts w:ascii="Times New Roman" w:hAnsi="Times New Roman" w:cs="Times New Roman"/>
          <w:lang w:val="en-US"/>
        </w:rPr>
        <w:t>"</w:t>
      </w:r>
      <w:r w:rsidRPr="00100D6C">
        <w:rPr>
          <w:rFonts w:ascii="Times New Roman" w:hAnsi="Times New Roman" w:cs="Times New Roman"/>
          <w:lang w:val="en-US"/>
        </w:rPr>
        <w:t xml:space="preserve"> thesis</w:t>
      </w:r>
      <w:r w:rsidR="00CF31EF">
        <w:rPr>
          <w:rFonts w:ascii="Times New Roman" w:hAnsi="Times New Roman" w:cs="Times New Roman"/>
          <w:lang w:val="en-US"/>
        </w:rPr>
        <w:t xml:space="preserve">, this paper argues, </w:t>
      </w:r>
      <w:r w:rsidR="00445F00">
        <w:rPr>
          <w:rFonts w:ascii="Times New Roman" w:hAnsi="Times New Roman" w:cs="Times New Roman"/>
          <w:lang w:val="en-US"/>
        </w:rPr>
        <w:t xml:space="preserve">is descriptively and normatively problematic. Descriptively, </w:t>
      </w:r>
      <w:r w:rsidR="00CF31EF">
        <w:rPr>
          <w:rFonts w:ascii="Times New Roman" w:hAnsi="Times New Roman" w:cs="Times New Roman"/>
          <w:lang w:val="en-US"/>
        </w:rPr>
        <w:t>it</w:t>
      </w:r>
      <w:r w:rsidR="00213DD2" w:rsidRPr="00100D6C">
        <w:rPr>
          <w:rFonts w:ascii="Times New Roman" w:hAnsi="Times New Roman" w:cs="Times New Roman"/>
          <w:lang w:val="en-US"/>
        </w:rPr>
        <w:t xml:space="preserve"> doe</w:t>
      </w:r>
      <w:r w:rsidR="00445F00">
        <w:rPr>
          <w:rFonts w:ascii="Times New Roman" w:hAnsi="Times New Roman" w:cs="Times New Roman"/>
          <w:lang w:val="en-US"/>
        </w:rPr>
        <w:t>s not</w:t>
      </w:r>
      <w:r w:rsidR="00213DD2" w:rsidRPr="00100D6C">
        <w:rPr>
          <w:rFonts w:ascii="Times New Roman" w:hAnsi="Times New Roman" w:cs="Times New Roman"/>
          <w:lang w:val="en-US"/>
        </w:rPr>
        <w:t xml:space="preserve"> accurately reflect the highly differentiated nature of the doctrine</w:t>
      </w:r>
      <w:r w:rsidR="004A2C3D" w:rsidRPr="00100D6C">
        <w:rPr>
          <w:rFonts w:ascii="Times New Roman" w:hAnsi="Times New Roman" w:cs="Times New Roman"/>
          <w:lang w:val="en-US"/>
        </w:rPr>
        <w:t xml:space="preserve"> of sources and </w:t>
      </w:r>
      <w:r w:rsidR="00213DD2" w:rsidRPr="00100D6C">
        <w:rPr>
          <w:rFonts w:ascii="Times New Roman" w:hAnsi="Times New Roman" w:cs="Times New Roman"/>
          <w:lang w:val="en-US"/>
        </w:rPr>
        <w:t xml:space="preserve">the pervasive inequalities that characterize law-making in the international community. </w:t>
      </w:r>
      <w:r w:rsidR="00122B58" w:rsidRPr="00100D6C">
        <w:rPr>
          <w:rFonts w:ascii="Times New Roman" w:hAnsi="Times New Roman" w:cs="Times New Roman"/>
          <w:lang w:val="en-US"/>
        </w:rPr>
        <w:t>T</w:t>
      </w:r>
      <w:r w:rsidR="00213DD2" w:rsidRPr="00100D6C">
        <w:rPr>
          <w:rFonts w:ascii="Times New Roman" w:hAnsi="Times New Roman" w:cs="Times New Roman"/>
          <w:lang w:val="en-US"/>
        </w:rPr>
        <w:t>he thesis is</w:t>
      </w:r>
      <w:r w:rsidR="00122B58" w:rsidRPr="00100D6C">
        <w:rPr>
          <w:rFonts w:ascii="Times New Roman" w:hAnsi="Times New Roman" w:cs="Times New Roman"/>
          <w:lang w:val="en-US"/>
        </w:rPr>
        <w:t>, from this point of view,</w:t>
      </w:r>
      <w:r w:rsidR="00213DD2" w:rsidRPr="00100D6C">
        <w:rPr>
          <w:rFonts w:ascii="Times New Roman" w:hAnsi="Times New Roman" w:cs="Times New Roman"/>
          <w:lang w:val="en-US"/>
        </w:rPr>
        <w:t xml:space="preserve"> analytically inconsistent with the </w:t>
      </w:r>
      <w:r w:rsidR="00445F00">
        <w:rPr>
          <w:rFonts w:ascii="Times New Roman" w:hAnsi="Times New Roman" w:cs="Times New Roman"/>
          <w:lang w:val="en-US"/>
        </w:rPr>
        <w:t>"</w:t>
      </w:r>
      <w:r w:rsidR="00213DD2" w:rsidRPr="00100D6C">
        <w:rPr>
          <w:rFonts w:ascii="Times New Roman" w:hAnsi="Times New Roman" w:cs="Times New Roman"/>
          <w:lang w:val="en-US"/>
        </w:rPr>
        <w:t>real world</w:t>
      </w:r>
      <w:r w:rsidR="00445F00">
        <w:rPr>
          <w:rFonts w:ascii="Times New Roman" w:hAnsi="Times New Roman" w:cs="Times New Roman"/>
          <w:lang w:val="en-US"/>
        </w:rPr>
        <w:t>"</w:t>
      </w:r>
      <w:r w:rsidR="00213DD2" w:rsidRPr="00100D6C">
        <w:rPr>
          <w:rFonts w:ascii="Times New Roman" w:hAnsi="Times New Roman" w:cs="Times New Roman"/>
          <w:lang w:val="en-US"/>
        </w:rPr>
        <w:t xml:space="preserve"> of sources, a world </w:t>
      </w:r>
      <w:r w:rsidR="004A2C3D" w:rsidRPr="00100D6C">
        <w:rPr>
          <w:rFonts w:ascii="Times New Roman" w:hAnsi="Times New Roman" w:cs="Times New Roman"/>
          <w:lang w:val="en-US"/>
        </w:rPr>
        <w:t>that is replete with (more or less formalized) hierarchies of worth, status and influence.</w:t>
      </w:r>
      <w:r w:rsidR="00445F00">
        <w:rPr>
          <w:rFonts w:ascii="Times New Roman" w:hAnsi="Times New Roman" w:cs="Times New Roman"/>
          <w:lang w:val="en-US"/>
        </w:rPr>
        <w:t xml:space="preserve"> As such, the thesis </w:t>
      </w:r>
      <w:r w:rsidR="00CF31EF">
        <w:rPr>
          <w:rFonts w:ascii="Times New Roman" w:hAnsi="Times New Roman" w:cs="Times New Roman"/>
          <w:lang w:val="en-US"/>
        </w:rPr>
        <w:t>amounts</w:t>
      </w:r>
      <w:r w:rsidR="00445F00">
        <w:rPr>
          <w:rFonts w:ascii="Times New Roman" w:hAnsi="Times New Roman" w:cs="Times New Roman"/>
          <w:lang w:val="en-US"/>
        </w:rPr>
        <w:t xml:space="preserve"> to what French philosopher Gaston Bachelard used to call an "epistemological obstacle"</w:t>
      </w:r>
      <w:r w:rsidR="00CF31EF">
        <w:rPr>
          <w:rFonts w:ascii="Times New Roman" w:hAnsi="Times New Roman" w:cs="Times New Roman"/>
          <w:lang w:val="en-US"/>
        </w:rPr>
        <w:t xml:space="preserve">, i.e. a </w:t>
      </w:r>
      <w:r w:rsidR="00B248BD">
        <w:rPr>
          <w:rFonts w:ascii="Times New Roman" w:hAnsi="Times New Roman" w:cs="Times New Roman"/>
          <w:lang w:val="en-US"/>
        </w:rPr>
        <w:t xml:space="preserve">commonly accepted </w:t>
      </w:r>
      <w:r w:rsidR="00CF31EF">
        <w:rPr>
          <w:rFonts w:ascii="Times New Roman" w:hAnsi="Times New Roman" w:cs="Times New Roman"/>
          <w:lang w:val="en-US"/>
        </w:rPr>
        <w:t>concept</w:t>
      </w:r>
      <w:r w:rsidR="00B248BD">
        <w:rPr>
          <w:rFonts w:ascii="Times New Roman" w:hAnsi="Times New Roman" w:cs="Times New Roman"/>
          <w:lang w:val="en-US"/>
        </w:rPr>
        <w:t>ion</w:t>
      </w:r>
      <w:r w:rsidR="00CF31EF">
        <w:rPr>
          <w:rFonts w:ascii="Times New Roman" w:hAnsi="Times New Roman" w:cs="Times New Roman"/>
          <w:lang w:val="en-US"/>
        </w:rPr>
        <w:t xml:space="preserve"> or idea that does not add value to our existing knowledge and, worse, that obstructs and impedes </w:t>
      </w:r>
      <w:r w:rsidR="00416A02">
        <w:rPr>
          <w:rFonts w:ascii="Times New Roman" w:hAnsi="Times New Roman" w:cs="Times New Roman"/>
          <w:lang w:val="en-US"/>
        </w:rPr>
        <w:t>scientific progress</w:t>
      </w:r>
      <w:r w:rsidR="00CF31EF">
        <w:rPr>
          <w:rFonts w:ascii="Times New Roman" w:hAnsi="Times New Roman" w:cs="Times New Roman"/>
          <w:lang w:val="en-US"/>
        </w:rPr>
        <w:t>.</w:t>
      </w:r>
      <w:r w:rsidR="00B248BD">
        <w:rPr>
          <w:rStyle w:val="FootnoteReference"/>
          <w:rFonts w:ascii="Times New Roman" w:hAnsi="Times New Roman" w:cs="Times New Roman"/>
          <w:lang w:val="en-US"/>
        </w:rPr>
        <w:footnoteReference w:id="144"/>
      </w:r>
      <w:r w:rsidR="00CF31EF">
        <w:rPr>
          <w:rFonts w:ascii="Times New Roman" w:hAnsi="Times New Roman" w:cs="Times New Roman"/>
          <w:lang w:val="en-US"/>
        </w:rPr>
        <w:t xml:space="preserve"> </w:t>
      </w:r>
      <w:r w:rsidR="004A2C3D" w:rsidRPr="00100D6C">
        <w:rPr>
          <w:rFonts w:ascii="Times New Roman" w:hAnsi="Times New Roman" w:cs="Times New Roman"/>
          <w:lang w:val="en-US"/>
        </w:rPr>
        <w:t>Normatively, the thesis is problematic</w:t>
      </w:r>
      <w:r w:rsidR="00CF31EF">
        <w:rPr>
          <w:rFonts w:ascii="Times New Roman" w:hAnsi="Times New Roman" w:cs="Times New Roman"/>
          <w:lang w:val="en-US"/>
        </w:rPr>
        <w:t xml:space="preserve"> too,</w:t>
      </w:r>
      <w:r w:rsidR="004A2C3D" w:rsidRPr="00100D6C">
        <w:rPr>
          <w:rFonts w:ascii="Times New Roman" w:hAnsi="Times New Roman" w:cs="Times New Roman"/>
          <w:lang w:val="en-US"/>
        </w:rPr>
        <w:t xml:space="preserve"> in that it serves to conceal or marginalize these hierarchies, rendering them immune </w:t>
      </w:r>
      <w:r w:rsidR="00B447A9" w:rsidRPr="00100D6C">
        <w:rPr>
          <w:rFonts w:ascii="Times New Roman" w:hAnsi="Times New Roman" w:cs="Times New Roman"/>
          <w:lang w:val="en-US"/>
        </w:rPr>
        <w:t>to</w:t>
      </w:r>
      <w:r w:rsidR="004A2C3D" w:rsidRPr="00100D6C">
        <w:rPr>
          <w:rFonts w:ascii="Times New Roman" w:hAnsi="Times New Roman" w:cs="Times New Roman"/>
          <w:lang w:val="en-US"/>
        </w:rPr>
        <w:t xml:space="preserve"> critical scrutiny and challenge. As noted by Charlesworth, </w:t>
      </w:r>
      <w:r w:rsidR="00122B58" w:rsidRPr="00100D6C">
        <w:rPr>
          <w:rFonts w:ascii="Times New Roman" w:hAnsi="Times New Roman" w:cs="Times New Roman"/>
          <w:lang w:val="en-US"/>
        </w:rPr>
        <w:t>narrow discussions of (the lack of) forma</w:t>
      </w:r>
      <w:r w:rsidR="00F61333">
        <w:rPr>
          <w:rFonts w:ascii="Times New Roman" w:hAnsi="Times New Roman" w:cs="Times New Roman"/>
          <w:lang w:val="en-US"/>
        </w:rPr>
        <w:t>l hierarchies among international law sources "</w:t>
      </w:r>
      <w:r w:rsidR="00122B58" w:rsidRPr="00100D6C">
        <w:rPr>
          <w:rFonts w:ascii="Times New Roman" w:hAnsi="Times New Roman" w:cs="Times New Roman"/>
          <w:lang w:val="en-US"/>
        </w:rPr>
        <w:t>allow international lawyers to sidestep complex debates about the function of international law and the relative legitimacies of state consent and claims of justice</w:t>
      </w:r>
      <w:r w:rsidR="00F61333">
        <w:rPr>
          <w:rFonts w:ascii="Times New Roman" w:hAnsi="Times New Roman" w:cs="Times New Roman"/>
          <w:lang w:val="en-US"/>
        </w:rPr>
        <w:t>."</w:t>
      </w:r>
      <w:r w:rsidR="00122B58" w:rsidRPr="00100D6C">
        <w:rPr>
          <w:rStyle w:val="FootnoteReference"/>
          <w:rFonts w:ascii="Times New Roman" w:hAnsi="Times New Roman" w:cs="Times New Roman"/>
          <w:lang w:val="en-US"/>
        </w:rPr>
        <w:footnoteReference w:id="145"/>
      </w:r>
      <w:r w:rsidR="00122B58" w:rsidRPr="00100D6C">
        <w:rPr>
          <w:rFonts w:ascii="Times New Roman" w:hAnsi="Times New Roman" w:cs="Times New Roman"/>
          <w:lang w:val="en-US"/>
        </w:rPr>
        <w:t xml:space="preserve"> Engaging in debates about sources and sources hierarchies along </w:t>
      </w:r>
      <w:r w:rsidR="00F6021B" w:rsidRPr="00100D6C">
        <w:rPr>
          <w:rFonts w:ascii="Times New Roman" w:hAnsi="Times New Roman" w:cs="Times New Roman"/>
          <w:lang w:val="en-US"/>
        </w:rPr>
        <w:t>restricted</w:t>
      </w:r>
      <w:r w:rsidR="00122B58" w:rsidRPr="00100D6C">
        <w:rPr>
          <w:rFonts w:ascii="Times New Roman" w:hAnsi="Times New Roman" w:cs="Times New Roman"/>
          <w:lang w:val="en-US"/>
        </w:rPr>
        <w:t xml:space="preserve">, formalistic lines serves to </w:t>
      </w:r>
      <w:r w:rsidR="00F61333">
        <w:rPr>
          <w:rFonts w:ascii="Times New Roman" w:hAnsi="Times New Roman" w:cs="Times New Roman"/>
          <w:lang w:val="en-US"/>
        </w:rPr>
        <w:t>"</w:t>
      </w:r>
      <w:r w:rsidR="00122B58" w:rsidRPr="00100D6C">
        <w:rPr>
          <w:rFonts w:ascii="Times New Roman" w:hAnsi="Times New Roman" w:cs="Times New Roman"/>
          <w:lang w:val="en-US"/>
        </w:rPr>
        <w:t>postpon[e] (possibly indefinitely) discussion of the politics of the designated sources</w:t>
      </w:r>
      <w:r w:rsidR="00F61333">
        <w:rPr>
          <w:rFonts w:ascii="Times New Roman" w:hAnsi="Times New Roman" w:cs="Times New Roman"/>
          <w:lang w:val="en-US"/>
        </w:rPr>
        <w:t>"</w:t>
      </w:r>
      <w:r w:rsidR="00122B58" w:rsidRPr="00100D6C">
        <w:rPr>
          <w:rFonts w:ascii="Times New Roman" w:hAnsi="Times New Roman" w:cs="Times New Roman"/>
          <w:lang w:val="en-US"/>
        </w:rPr>
        <w:t xml:space="preserve"> and </w:t>
      </w:r>
      <w:r w:rsidR="00F61333">
        <w:rPr>
          <w:rFonts w:ascii="Times New Roman" w:hAnsi="Times New Roman" w:cs="Times New Roman"/>
          <w:lang w:val="en-US"/>
        </w:rPr>
        <w:t>"</w:t>
      </w:r>
      <w:r w:rsidR="00122B58" w:rsidRPr="00100D6C">
        <w:rPr>
          <w:rFonts w:ascii="Times New Roman" w:hAnsi="Times New Roman" w:cs="Times New Roman"/>
          <w:lang w:val="en-US"/>
        </w:rPr>
        <w:t xml:space="preserve">obscures </w:t>
      </w:r>
      <w:r w:rsidR="00122B58" w:rsidRPr="00100D6C">
        <w:rPr>
          <w:rFonts w:ascii="Times New Roman" w:hAnsi="Times New Roman" w:cs="Times New Roman"/>
          <w:lang w:val="en-US"/>
        </w:rPr>
        <w:lastRenderedPageBreak/>
        <w:t>the fact that international law is generated by a multi-layered process of interactions, instruments, pressures and principles</w:t>
      </w:r>
      <w:r w:rsidR="00F61333">
        <w:rPr>
          <w:rFonts w:ascii="Times New Roman" w:hAnsi="Times New Roman" w:cs="Times New Roman"/>
          <w:lang w:val="en-US"/>
        </w:rPr>
        <w:t>."</w:t>
      </w:r>
      <w:r w:rsidR="001625EF" w:rsidRPr="00100D6C">
        <w:rPr>
          <w:rStyle w:val="FootnoteReference"/>
          <w:rFonts w:ascii="Times New Roman" w:hAnsi="Times New Roman" w:cs="Times New Roman"/>
          <w:lang w:val="en-US"/>
        </w:rPr>
        <w:footnoteReference w:id="146"/>
      </w:r>
    </w:p>
    <w:p w:rsidR="009358A1" w:rsidRPr="00100D6C" w:rsidRDefault="0080069F" w:rsidP="00674434">
      <w:pPr>
        <w:tabs>
          <w:tab w:val="left" w:pos="5400"/>
        </w:tabs>
        <w:jc w:val="both"/>
        <w:rPr>
          <w:rFonts w:ascii="Times New Roman" w:hAnsi="Times New Roman" w:cs="Times New Roman"/>
          <w:lang w:val="en-US"/>
        </w:rPr>
      </w:pPr>
      <w:r w:rsidRPr="00100D6C">
        <w:rPr>
          <w:rFonts w:ascii="Times New Roman" w:hAnsi="Times New Roman" w:cs="Times New Roman"/>
          <w:lang w:val="en-US"/>
        </w:rPr>
        <w:t xml:space="preserve">Relegating what Charlesworth calls the </w:t>
      </w:r>
      <w:r w:rsidR="00F61333">
        <w:rPr>
          <w:rFonts w:ascii="Times New Roman" w:hAnsi="Times New Roman" w:cs="Times New Roman"/>
          <w:lang w:val="en-US"/>
        </w:rPr>
        <w:t>"</w:t>
      </w:r>
      <w:r w:rsidRPr="00100D6C">
        <w:rPr>
          <w:rFonts w:ascii="Times New Roman" w:hAnsi="Times New Roman" w:cs="Times New Roman"/>
          <w:lang w:val="en-US"/>
        </w:rPr>
        <w:t>politics of sources</w:t>
      </w:r>
      <w:r w:rsidR="00F61333">
        <w:rPr>
          <w:rFonts w:ascii="Times New Roman" w:hAnsi="Times New Roman" w:cs="Times New Roman"/>
          <w:lang w:val="en-US"/>
        </w:rPr>
        <w:t>"</w:t>
      </w:r>
      <w:r w:rsidRPr="00100D6C">
        <w:rPr>
          <w:rFonts w:ascii="Times New Roman" w:hAnsi="Times New Roman" w:cs="Times New Roman"/>
          <w:lang w:val="en-US"/>
        </w:rPr>
        <w:t xml:space="preserve"> to the periphery of the legal domain is not satisfactory. As argued above, law-mak</w:t>
      </w:r>
      <w:r w:rsidR="00F61333">
        <w:rPr>
          <w:rFonts w:ascii="Times New Roman" w:hAnsi="Times New Roman" w:cs="Times New Roman"/>
          <w:lang w:val="en-US"/>
        </w:rPr>
        <w:t xml:space="preserve">ing hierarchies do not operate </w:t>
      </w:r>
      <w:r w:rsidRPr="00100D6C">
        <w:rPr>
          <w:rFonts w:ascii="Times New Roman" w:hAnsi="Times New Roman" w:cs="Times New Roman"/>
          <w:lang w:val="en-US"/>
        </w:rPr>
        <w:t xml:space="preserve">outside the </w:t>
      </w:r>
      <w:r w:rsidR="00F61333">
        <w:rPr>
          <w:rFonts w:ascii="Times New Roman" w:hAnsi="Times New Roman" w:cs="Times New Roman"/>
          <w:lang w:val="en-US"/>
        </w:rPr>
        <w:t>law</w:t>
      </w:r>
      <w:r w:rsidRPr="00100D6C">
        <w:rPr>
          <w:rFonts w:ascii="Times New Roman" w:hAnsi="Times New Roman" w:cs="Times New Roman"/>
          <w:lang w:val="en-US"/>
        </w:rPr>
        <w:t xml:space="preserve">, as a mere matter of </w:t>
      </w:r>
      <w:r w:rsidR="000627DB" w:rsidRPr="00100D6C">
        <w:rPr>
          <w:rFonts w:ascii="Times New Roman" w:hAnsi="Times New Roman" w:cs="Times New Roman"/>
          <w:lang w:val="en-US"/>
        </w:rPr>
        <w:t>geo</w:t>
      </w:r>
      <w:r w:rsidRPr="00100D6C">
        <w:rPr>
          <w:rFonts w:ascii="Times New Roman" w:hAnsi="Times New Roman" w:cs="Times New Roman"/>
          <w:lang w:val="en-US"/>
        </w:rPr>
        <w:t>political economy</w:t>
      </w:r>
      <w:r w:rsidR="000627DB" w:rsidRPr="00100D6C">
        <w:rPr>
          <w:rFonts w:ascii="Times New Roman" w:hAnsi="Times New Roman" w:cs="Times New Roman"/>
          <w:lang w:val="en-US"/>
        </w:rPr>
        <w:t>, lying within the exclusive jurisdiction of political scientists</w:t>
      </w:r>
      <w:r w:rsidRPr="00100D6C">
        <w:rPr>
          <w:rFonts w:ascii="Times New Roman" w:hAnsi="Times New Roman" w:cs="Times New Roman"/>
          <w:lang w:val="en-US"/>
        </w:rPr>
        <w:t>.</w:t>
      </w:r>
      <w:r w:rsidR="000627DB" w:rsidRPr="00100D6C">
        <w:rPr>
          <w:rFonts w:ascii="Times New Roman" w:hAnsi="Times New Roman" w:cs="Times New Roman"/>
          <w:lang w:val="en-US"/>
        </w:rPr>
        <w:t xml:space="preserve"> These hierarchies are to a great extent sanctioned, </w:t>
      </w:r>
      <w:r w:rsidR="00F61333" w:rsidRPr="00100D6C">
        <w:rPr>
          <w:rFonts w:ascii="Times New Roman" w:hAnsi="Times New Roman" w:cs="Times New Roman"/>
          <w:lang w:val="en-US"/>
        </w:rPr>
        <w:t>organized</w:t>
      </w:r>
      <w:r w:rsidR="000627DB" w:rsidRPr="00100D6C">
        <w:rPr>
          <w:rFonts w:ascii="Times New Roman" w:hAnsi="Times New Roman" w:cs="Times New Roman"/>
          <w:lang w:val="en-US"/>
        </w:rPr>
        <w:t xml:space="preserve"> and </w:t>
      </w:r>
      <w:r w:rsidR="00F61333" w:rsidRPr="00100D6C">
        <w:rPr>
          <w:rFonts w:ascii="Times New Roman" w:hAnsi="Times New Roman" w:cs="Times New Roman"/>
          <w:lang w:val="en-US"/>
        </w:rPr>
        <w:t>formalized</w:t>
      </w:r>
      <w:r w:rsidR="000627DB" w:rsidRPr="00100D6C">
        <w:rPr>
          <w:rFonts w:ascii="Times New Roman" w:hAnsi="Times New Roman" w:cs="Times New Roman"/>
          <w:lang w:val="en-US"/>
        </w:rPr>
        <w:t xml:space="preserve"> through international legal institutions and law-making processe</w:t>
      </w:r>
      <w:r w:rsidR="0059125B" w:rsidRPr="00100D6C">
        <w:rPr>
          <w:rFonts w:ascii="Times New Roman" w:hAnsi="Times New Roman" w:cs="Times New Roman"/>
          <w:lang w:val="en-US"/>
        </w:rPr>
        <w:t xml:space="preserve">s. Though they are </w:t>
      </w:r>
      <w:r w:rsidR="00A706C5" w:rsidRPr="00100D6C">
        <w:rPr>
          <w:rFonts w:ascii="Times New Roman" w:hAnsi="Times New Roman" w:cs="Times New Roman"/>
          <w:lang w:val="en-US"/>
        </w:rPr>
        <w:t>often</w:t>
      </w:r>
      <w:r w:rsidR="0059125B" w:rsidRPr="00100D6C">
        <w:rPr>
          <w:rFonts w:ascii="Times New Roman" w:hAnsi="Times New Roman" w:cs="Times New Roman"/>
          <w:lang w:val="en-US"/>
        </w:rPr>
        <w:t xml:space="preserve"> </w:t>
      </w:r>
      <w:r w:rsidR="00A706C5" w:rsidRPr="00100D6C">
        <w:rPr>
          <w:rFonts w:ascii="Times New Roman" w:hAnsi="Times New Roman" w:cs="Times New Roman"/>
          <w:lang w:val="en-US"/>
        </w:rPr>
        <w:t>counterpoised by elements of equality and equivalence, legislative hierarchies are thus an integral part of the international legal order</w:t>
      </w:r>
      <w:r w:rsidR="00492704" w:rsidRPr="00100D6C">
        <w:rPr>
          <w:rFonts w:ascii="Times New Roman" w:hAnsi="Times New Roman" w:cs="Times New Roman"/>
          <w:lang w:val="en-US"/>
        </w:rPr>
        <w:t>, and of its system of sources</w:t>
      </w:r>
      <w:r w:rsidR="00A706C5" w:rsidRPr="00100D6C">
        <w:rPr>
          <w:rFonts w:ascii="Times New Roman" w:hAnsi="Times New Roman" w:cs="Times New Roman"/>
          <w:lang w:val="en-US"/>
        </w:rPr>
        <w:t>. In these circumstances,</w:t>
      </w:r>
      <w:r w:rsidR="004A7C96" w:rsidRPr="00100D6C">
        <w:rPr>
          <w:rFonts w:ascii="Times New Roman" w:hAnsi="Times New Roman" w:cs="Times New Roman"/>
          <w:lang w:val="en-US"/>
        </w:rPr>
        <w:t xml:space="preserve"> as Anand </w:t>
      </w:r>
      <w:r w:rsidR="00F61333">
        <w:rPr>
          <w:rFonts w:ascii="Times New Roman" w:hAnsi="Times New Roman" w:cs="Times New Roman"/>
          <w:lang w:val="en-US"/>
        </w:rPr>
        <w:t>suggests</w:t>
      </w:r>
      <w:r w:rsidR="004A7C96" w:rsidRPr="00100D6C">
        <w:rPr>
          <w:rFonts w:ascii="Times New Roman" w:hAnsi="Times New Roman" w:cs="Times New Roman"/>
          <w:lang w:val="en-US"/>
        </w:rPr>
        <w:t>,</w:t>
      </w:r>
      <w:r w:rsidR="00A706C5" w:rsidRPr="00100D6C">
        <w:rPr>
          <w:rFonts w:ascii="Times New Roman" w:hAnsi="Times New Roman" w:cs="Times New Roman"/>
          <w:lang w:val="en-US"/>
        </w:rPr>
        <w:t xml:space="preserve"> the mere recitation of the pious and holy principle of sovereign equality</w:t>
      </w:r>
      <w:r w:rsidR="00E24406" w:rsidRPr="00100D6C">
        <w:rPr>
          <w:rFonts w:ascii="Times New Roman" w:hAnsi="Times New Roman" w:cs="Times New Roman"/>
          <w:lang w:val="en-US"/>
        </w:rPr>
        <w:t xml:space="preserve"> </w:t>
      </w:r>
      <w:r w:rsidR="00F61333">
        <w:rPr>
          <w:rFonts w:ascii="Times New Roman" w:hAnsi="Times New Roman" w:cs="Times New Roman"/>
          <w:lang w:val="en-US"/>
        </w:rPr>
        <w:t>"</w:t>
      </w:r>
      <w:r w:rsidR="00E24406" w:rsidRPr="00100D6C">
        <w:rPr>
          <w:rFonts w:ascii="Times New Roman" w:hAnsi="Times New Roman" w:cs="Times New Roman"/>
          <w:lang w:val="en-US"/>
        </w:rPr>
        <w:t xml:space="preserve">hardly makes a difference </w:t>
      </w:r>
      <w:r w:rsidR="00DB1E88">
        <w:rPr>
          <w:rFonts w:ascii="Times New Roman" w:hAnsi="Times New Roman" w:cs="Times New Roman"/>
          <w:lang w:val="en-US"/>
        </w:rPr>
        <w:t xml:space="preserve">.... </w:t>
      </w:r>
      <w:r w:rsidR="00E24406" w:rsidRPr="00100D6C">
        <w:rPr>
          <w:rFonts w:ascii="Times New Roman" w:hAnsi="Times New Roman" w:cs="Times New Roman"/>
          <w:lang w:val="en-US"/>
        </w:rPr>
        <w:t>: even after you give the squirrel a certificate which says he is quite as big as any elephant, he is still going to be smaller, and all the squirrels will know it and all the elephants will know it</w:t>
      </w:r>
      <w:r w:rsidR="00F61333">
        <w:rPr>
          <w:rFonts w:ascii="Times New Roman" w:hAnsi="Times New Roman" w:cs="Times New Roman"/>
          <w:lang w:val="en-US"/>
        </w:rPr>
        <w:t>."</w:t>
      </w:r>
      <w:r w:rsidR="006669CC" w:rsidRPr="00100D6C">
        <w:rPr>
          <w:rStyle w:val="FootnoteReference"/>
          <w:rFonts w:ascii="Times New Roman" w:hAnsi="Times New Roman" w:cs="Times New Roman"/>
          <w:lang w:val="en-US"/>
        </w:rPr>
        <w:footnoteReference w:id="147"/>
      </w:r>
      <w:r w:rsidR="00E24406" w:rsidRPr="00100D6C">
        <w:rPr>
          <w:rFonts w:ascii="Times New Roman" w:hAnsi="Times New Roman" w:cs="Times New Roman"/>
          <w:lang w:val="en-US"/>
        </w:rPr>
        <w:t xml:space="preserve"> </w:t>
      </w:r>
      <w:r w:rsidR="0059125B" w:rsidRPr="00100D6C">
        <w:rPr>
          <w:rFonts w:ascii="Times New Roman" w:hAnsi="Times New Roman" w:cs="Times New Roman"/>
          <w:lang w:val="en-US"/>
        </w:rPr>
        <w:t>Recanting</w:t>
      </w:r>
      <w:r w:rsidR="00A706C5" w:rsidRPr="00100D6C">
        <w:rPr>
          <w:rFonts w:ascii="Times New Roman" w:hAnsi="Times New Roman" w:cs="Times New Roman"/>
          <w:lang w:val="en-US"/>
        </w:rPr>
        <w:t xml:space="preserve"> mechanically</w:t>
      </w:r>
      <w:r w:rsidR="0059125B" w:rsidRPr="00100D6C">
        <w:rPr>
          <w:rFonts w:ascii="Times New Roman" w:hAnsi="Times New Roman" w:cs="Times New Roman"/>
          <w:lang w:val="en-US"/>
        </w:rPr>
        <w:t xml:space="preserve"> the no-hierarchy thesis among and in the sources of international law</w:t>
      </w:r>
      <w:r w:rsidR="00A706C5" w:rsidRPr="00100D6C">
        <w:rPr>
          <w:rFonts w:ascii="Times New Roman" w:hAnsi="Times New Roman" w:cs="Times New Roman"/>
          <w:lang w:val="en-US"/>
        </w:rPr>
        <w:t xml:space="preserve"> </w:t>
      </w:r>
      <w:r w:rsidR="00B447A9" w:rsidRPr="00100D6C">
        <w:rPr>
          <w:rFonts w:ascii="Times New Roman" w:hAnsi="Times New Roman" w:cs="Times New Roman"/>
          <w:lang w:val="en-US"/>
        </w:rPr>
        <w:t>merely</w:t>
      </w:r>
      <w:r w:rsidR="0059125B" w:rsidRPr="00100D6C">
        <w:rPr>
          <w:rFonts w:ascii="Times New Roman" w:hAnsi="Times New Roman" w:cs="Times New Roman"/>
          <w:lang w:val="en-US"/>
        </w:rPr>
        <w:t xml:space="preserve"> serves to legitimize and reproduce real-world legislative inequalities by neutralizing them. When this happens, the </w:t>
      </w:r>
      <w:r w:rsidR="00F61333">
        <w:rPr>
          <w:rFonts w:ascii="Times New Roman" w:hAnsi="Times New Roman" w:cs="Times New Roman"/>
          <w:lang w:val="en-US"/>
        </w:rPr>
        <w:t>"</w:t>
      </w:r>
      <w:r w:rsidR="0059125B" w:rsidRPr="00100D6C">
        <w:rPr>
          <w:rFonts w:ascii="Times New Roman" w:hAnsi="Times New Roman" w:cs="Times New Roman"/>
          <w:lang w:val="en-US"/>
        </w:rPr>
        <w:t>noble lie</w:t>
      </w:r>
      <w:r w:rsidR="00F61333">
        <w:rPr>
          <w:rFonts w:ascii="Times New Roman" w:hAnsi="Times New Roman" w:cs="Times New Roman"/>
          <w:lang w:val="en-US"/>
        </w:rPr>
        <w:t>"</w:t>
      </w:r>
      <w:r w:rsidR="0059125B" w:rsidRPr="00100D6C">
        <w:rPr>
          <w:rFonts w:ascii="Times New Roman" w:hAnsi="Times New Roman" w:cs="Times New Roman"/>
          <w:lang w:val="en-US"/>
        </w:rPr>
        <w:t xml:space="preserve"> of </w:t>
      </w:r>
      <w:r w:rsidR="00F61333">
        <w:rPr>
          <w:rFonts w:ascii="Times New Roman" w:hAnsi="Times New Roman" w:cs="Times New Roman"/>
          <w:lang w:val="en-US"/>
        </w:rPr>
        <w:t>equality and horizontality</w:t>
      </w:r>
      <w:r w:rsidR="0059125B" w:rsidRPr="00100D6C">
        <w:rPr>
          <w:rFonts w:ascii="Times New Roman" w:hAnsi="Times New Roman" w:cs="Times New Roman"/>
          <w:lang w:val="en-US"/>
        </w:rPr>
        <w:t xml:space="preserve"> turns into an </w:t>
      </w:r>
      <w:r w:rsidR="00F61333">
        <w:rPr>
          <w:rFonts w:ascii="Times New Roman" w:hAnsi="Times New Roman" w:cs="Times New Roman"/>
          <w:lang w:val="en-US"/>
        </w:rPr>
        <w:t>"</w:t>
      </w:r>
      <w:r w:rsidR="0059125B" w:rsidRPr="00100D6C">
        <w:rPr>
          <w:rFonts w:ascii="Times New Roman" w:hAnsi="Times New Roman" w:cs="Times New Roman"/>
          <w:lang w:val="en-US"/>
        </w:rPr>
        <w:t>opportune falsehood</w:t>
      </w:r>
      <w:r w:rsidR="00F61333">
        <w:rPr>
          <w:rFonts w:ascii="Times New Roman" w:hAnsi="Times New Roman" w:cs="Times New Roman"/>
          <w:lang w:val="en-US"/>
        </w:rPr>
        <w:t>"</w:t>
      </w:r>
      <w:r w:rsidR="0059125B" w:rsidRPr="00100D6C">
        <w:rPr>
          <w:rFonts w:ascii="Times New Roman" w:hAnsi="Times New Roman" w:cs="Times New Roman"/>
          <w:lang w:val="en-US"/>
        </w:rPr>
        <w:t xml:space="preserve">, an </w:t>
      </w:r>
      <w:r w:rsidR="00A706C5" w:rsidRPr="00100D6C">
        <w:rPr>
          <w:rFonts w:ascii="Times New Roman" w:hAnsi="Times New Roman" w:cs="Times New Roman"/>
          <w:lang w:val="en-US"/>
        </w:rPr>
        <w:t>ideational</w:t>
      </w:r>
      <w:r w:rsidR="0059125B" w:rsidRPr="00100D6C">
        <w:rPr>
          <w:rFonts w:ascii="Times New Roman" w:hAnsi="Times New Roman" w:cs="Times New Roman"/>
          <w:lang w:val="en-US"/>
        </w:rPr>
        <w:t xml:space="preserve"> device </w:t>
      </w:r>
      <w:r w:rsidR="00A706C5" w:rsidRPr="00100D6C">
        <w:rPr>
          <w:rFonts w:ascii="Times New Roman" w:hAnsi="Times New Roman" w:cs="Times New Roman"/>
          <w:lang w:val="en-US"/>
        </w:rPr>
        <w:t>that justifies gross inequalities of political power and juridical authority.</w:t>
      </w:r>
      <w:r w:rsidR="006669CC" w:rsidRPr="00100D6C">
        <w:rPr>
          <w:rStyle w:val="FootnoteReference"/>
          <w:rFonts w:ascii="Times New Roman" w:hAnsi="Times New Roman" w:cs="Times New Roman"/>
          <w:lang w:val="en-US"/>
        </w:rPr>
        <w:footnoteReference w:id="148"/>
      </w:r>
      <w:r w:rsidR="00A706C5" w:rsidRPr="00100D6C">
        <w:rPr>
          <w:rFonts w:ascii="Times New Roman" w:hAnsi="Times New Roman" w:cs="Times New Roman"/>
          <w:lang w:val="en-US"/>
        </w:rPr>
        <w:t xml:space="preserve"> This may not be a problem for </w:t>
      </w:r>
      <w:r w:rsidR="00982EBC" w:rsidRPr="00100D6C">
        <w:rPr>
          <w:rFonts w:ascii="Times New Roman" w:hAnsi="Times New Roman" w:cs="Times New Roman"/>
          <w:lang w:val="en-US"/>
        </w:rPr>
        <w:t xml:space="preserve">system </w:t>
      </w:r>
      <w:r w:rsidR="00A706C5" w:rsidRPr="00100D6C">
        <w:rPr>
          <w:rFonts w:ascii="Times New Roman" w:hAnsi="Times New Roman" w:cs="Times New Roman"/>
          <w:lang w:val="en-US"/>
        </w:rPr>
        <w:t>apologists or proponents of the status quo.</w:t>
      </w:r>
      <w:r w:rsidR="009358A1" w:rsidRPr="00100D6C">
        <w:rPr>
          <w:rFonts w:ascii="Times New Roman" w:hAnsi="Times New Roman" w:cs="Times New Roman"/>
          <w:lang w:val="en-US"/>
        </w:rPr>
        <w:t xml:space="preserve"> It is, however, for anyone committed to systemic change and redistribution, and</w:t>
      </w:r>
      <w:r w:rsidR="004A7C96" w:rsidRPr="00100D6C">
        <w:rPr>
          <w:rFonts w:ascii="Times New Roman" w:hAnsi="Times New Roman" w:cs="Times New Roman"/>
          <w:lang w:val="en-US"/>
        </w:rPr>
        <w:t xml:space="preserve"> the no-hierarchy thesis</w:t>
      </w:r>
      <w:r w:rsidR="009358A1" w:rsidRPr="00100D6C">
        <w:rPr>
          <w:rFonts w:ascii="Times New Roman" w:hAnsi="Times New Roman" w:cs="Times New Roman"/>
          <w:lang w:val="en-US"/>
        </w:rPr>
        <w:t xml:space="preserve"> must therefore be rejected as an accepted axiom of international law. For the first step in redressing inequalities is to recognize when and where they </w:t>
      </w:r>
      <w:r w:rsidR="00B447A9" w:rsidRPr="00100D6C">
        <w:rPr>
          <w:rFonts w:ascii="Times New Roman" w:hAnsi="Times New Roman" w:cs="Times New Roman"/>
          <w:lang w:val="en-US"/>
        </w:rPr>
        <w:t>occur</w:t>
      </w:r>
      <w:r w:rsidR="009358A1" w:rsidRPr="00100D6C">
        <w:rPr>
          <w:rFonts w:ascii="Times New Roman" w:hAnsi="Times New Roman" w:cs="Times New Roman"/>
          <w:lang w:val="en-US"/>
        </w:rPr>
        <w:t xml:space="preserve"> and challenge vocabularies that </w:t>
      </w:r>
      <w:r w:rsidR="0008521E" w:rsidRPr="00100D6C">
        <w:rPr>
          <w:rFonts w:ascii="Times New Roman" w:hAnsi="Times New Roman" w:cs="Times New Roman"/>
          <w:lang w:val="en-US"/>
        </w:rPr>
        <w:t xml:space="preserve">defuse and </w:t>
      </w:r>
      <w:r w:rsidR="009358A1" w:rsidRPr="00100D6C">
        <w:rPr>
          <w:rFonts w:ascii="Times New Roman" w:hAnsi="Times New Roman" w:cs="Times New Roman"/>
          <w:lang w:val="en-US"/>
        </w:rPr>
        <w:t>naturalize them.</w:t>
      </w:r>
    </w:p>
    <w:sectPr w:rsidR="009358A1" w:rsidRPr="00100D6C" w:rsidSect="0042036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37D" w:rsidRDefault="0080037D" w:rsidP="004665A9">
      <w:pPr>
        <w:spacing w:after="0" w:line="240" w:lineRule="auto"/>
      </w:pPr>
      <w:r>
        <w:separator/>
      </w:r>
    </w:p>
  </w:endnote>
  <w:endnote w:type="continuationSeparator" w:id="0">
    <w:p w:rsidR="0080037D" w:rsidRDefault="0080037D" w:rsidP="004665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37D" w:rsidRDefault="0080037D" w:rsidP="004665A9">
      <w:pPr>
        <w:spacing w:after="0" w:line="240" w:lineRule="auto"/>
      </w:pPr>
      <w:r>
        <w:separator/>
      </w:r>
    </w:p>
  </w:footnote>
  <w:footnote w:type="continuationSeparator" w:id="0">
    <w:p w:rsidR="0080037D" w:rsidRDefault="0080037D" w:rsidP="004665A9">
      <w:pPr>
        <w:spacing w:after="0" w:line="240" w:lineRule="auto"/>
      </w:pPr>
      <w:r>
        <w:continuationSeparator/>
      </w:r>
    </w:p>
  </w:footnote>
  <w:footnote w:id="1">
    <w:p w:rsidR="00CC4850" w:rsidRDefault="00CC4850">
      <w:pPr>
        <w:pStyle w:val="FootnoteText"/>
      </w:pPr>
      <w:r w:rsidRPr="00CC4850">
        <w:rPr>
          <w:rStyle w:val="FootnoteReference"/>
        </w:rPr>
        <w:sym w:font="Symbol" w:char="F02A"/>
      </w:r>
      <w:r>
        <w:t xml:space="preserve"> Senior Lecturer, </w:t>
      </w:r>
      <w:proofErr w:type="spellStart"/>
      <w:r>
        <w:t>Keele</w:t>
      </w:r>
      <w:proofErr w:type="spellEnd"/>
      <w:r>
        <w:t xml:space="preserve"> University (UK).</w:t>
      </w:r>
    </w:p>
  </w:footnote>
  <w:footnote w:id="2">
    <w:p w:rsidR="00E7644E" w:rsidRPr="000D6ED5" w:rsidRDefault="00E7644E" w:rsidP="0071574A">
      <w:pPr>
        <w:pStyle w:val="FootnoteText"/>
        <w:tabs>
          <w:tab w:val="left" w:pos="426"/>
        </w:tabs>
        <w:jc w:val="both"/>
        <w:rPr>
          <w:smallCaps/>
          <w:lang w:val="en-US"/>
        </w:rPr>
      </w:pPr>
      <w:r w:rsidRPr="000D6ED5">
        <w:rPr>
          <w:rStyle w:val="FootnoteReference"/>
          <w:lang w:val="en-US"/>
        </w:rPr>
        <w:footnoteRef/>
      </w:r>
      <w:r w:rsidRPr="000D6ED5">
        <w:rPr>
          <w:lang w:val="en-US"/>
        </w:rPr>
        <w:t xml:space="preserve"> </w:t>
      </w:r>
      <w:r w:rsidRPr="000D6ED5">
        <w:rPr>
          <w:smallCaps/>
          <w:lang w:val="en-US"/>
        </w:rPr>
        <w:t xml:space="preserve">Michel Foucault, The Order of Things: An Archaeology of The Human Sciences (1971). </w:t>
      </w:r>
      <w:r w:rsidRPr="000D6ED5">
        <w:rPr>
          <w:lang w:val="en-US"/>
        </w:rPr>
        <w:t xml:space="preserve">The concept of episteme was originally used by Foucault to define the set of rules that govern the production of knowledge across disciplines in a given culture and at a given time (for instance the classical episteme of Western culture). The concept has also been used, however, to describe a discipline’s own, indigenous knowledge structure or “regime of truth”. </w:t>
      </w:r>
      <w:r w:rsidRPr="000D6ED5">
        <w:rPr>
          <w:i/>
          <w:lang w:val="en-US"/>
        </w:rPr>
        <w:t>See, e.g.,</w:t>
      </w:r>
      <w:r w:rsidRPr="000D6ED5">
        <w:rPr>
          <w:lang w:val="en-US"/>
        </w:rPr>
        <w:t xml:space="preserve"> Dominique Chateau, </w:t>
      </w:r>
      <w:r w:rsidRPr="000D6ED5">
        <w:rPr>
          <w:i/>
          <w:lang w:val="en-US"/>
        </w:rPr>
        <w:t>Quelques Réflexions sur l’Éptistémè de l’Esthétique</w:t>
      </w:r>
      <w:r w:rsidRPr="000D6ED5">
        <w:rPr>
          <w:lang w:val="en-US"/>
        </w:rPr>
        <w:t xml:space="preserve">, 0 </w:t>
      </w:r>
      <w:r w:rsidRPr="000D6ED5">
        <w:rPr>
          <w:smallCaps/>
          <w:lang w:val="en-US"/>
        </w:rPr>
        <w:t xml:space="preserve">Protheus – Cahiers des Théories de L’Art 59 (2000). </w:t>
      </w:r>
      <w:r w:rsidRPr="000D6ED5">
        <w:rPr>
          <w:lang w:val="en-US"/>
        </w:rPr>
        <w:t>On international law as a discipline possessing its own distinctive episteme, see Mirjam Sophia Clados, Bioethics and International Law: An Analysis of the Intertwining of Bioethical and Legal Discourses (2012) (unpublished Ph.D. dissertation, Ludwig-Maximilians-Universität München).</w:t>
      </w:r>
    </w:p>
  </w:footnote>
  <w:footnote w:id="3">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This is anarchy as defined by Hedley Bull, i.e. a system of states that knows of no higher level of authority over states, and yet forms a society in which common rules and institutions provide elements of order. See </w:t>
      </w:r>
      <w:r w:rsidRPr="000D6ED5">
        <w:rPr>
          <w:smallCaps/>
          <w:lang w:val="en-US"/>
        </w:rPr>
        <w:t>Hedley Bull, The Anarchical Society – A Study in World Politics (</w:t>
      </w:r>
      <w:r w:rsidRPr="000D6ED5">
        <w:rPr>
          <w:lang w:val="en-US"/>
        </w:rPr>
        <w:t>2</w:t>
      </w:r>
      <w:r w:rsidRPr="000D6ED5">
        <w:rPr>
          <w:vertAlign w:val="superscript"/>
          <w:lang w:val="en-US"/>
        </w:rPr>
        <w:t>nd</w:t>
      </w:r>
      <w:r w:rsidRPr="000D6ED5">
        <w:rPr>
          <w:lang w:val="en-US"/>
        </w:rPr>
        <w:t xml:space="preserve"> ed. 1977).</w:t>
      </w:r>
    </w:p>
  </w:footnote>
  <w:footnote w:id="4">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i/>
          <w:lang w:val="en-US"/>
        </w:rPr>
        <w:t>See, e.g.,</w:t>
      </w:r>
      <w:r w:rsidRPr="000D6ED5">
        <w:rPr>
          <w:lang w:val="en-US"/>
        </w:rPr>
        <w:t xml:space="preserve"> </w:t>
      </w:r>
      <w:r w:rsidRPr="000D6ED5">
        <w:rPr>
          <w:smallCaps/>
          <w:lang w:val="en-US"/>
        </w:rPr>
        <w:t>Antonio Cassese, International Law 5-6 (</w:t>
      </w:r>
      <w:r w:rsidRPr="000D6ED5">
        <w:rPr>
          <w:lang w:val="en-US"/>
        </w:rPr>
        <w:t>2</w:t>
      </w:r>
      <w:r w:rsidRPr="000D6ED5">
        <w:rPr>
          <w:vertAlign w:val="superscript"/>
          <w:lang w:val="en-US"/>
        </w:rPr>
        <w:t>nd</w:t>
      </w:r>
      <w:r w:rsidRPr="000D6ED5">
        <w:rPr>
          <w:lang w:val="en-US"/>
        </w:rPr>
        <w:t xml:space="preserve"> ed., 2005); </w:t>
      </w:r>
      <w:r w:rsidRPr="000D6ED5">
        <w:rPr>
          <w:smallCaps/>
          <w:lang w:val="en-US"/>
        </w:rPr>
        <w:t>Malcolm Shaw, International Law 4 (</w:t>
      </w:r>
      <w:r w:rsidRPr="000D6ED5">
        <w:rPr>
          <w:lang w:val="en-US"/>
        </w:rPr>
        <w:t>7</w:t>
      </w:r>
      <w:r w:rsidRPr="000D6ED5">
        <w:rPr>
          <w:vertAlign w:val="superscript"/>
          <w:lang w:val="en-US"/>
        </w:rPr>
        <w:t>th</w:t>
      </w:r>
      <w:r w:rsidRPr="000D6ED5">
        <w:rPr>
          <w:lang w:val="en-US"/>
        </w:rPr>
        <w:t xml:space="preserve"> ed. 2014); </w:t>
      </w:r>
      <w:r w:rsidRPr="000D6ED5">
        <w:rPr>
          <w:smallCaps/>
          <w:lang w:val="en-US"/>
        </w:rPr>
        <w:t>Peter Malanczuk, Akehurst’s Modern Introduction to International Law 3 (</w:t>
      </w:r>
      <w:r w:rsidRPr="000D6ED5">
        <w:rPr>
          <w:lang w:val="en-US"/>
        </w:rPr>
        <w:t>7</w:t>
      </w:r>
      <w:r w:rsidRPr="000D6ED5">
        <w:rPr>
          <w:vertAlign w:val="superscript"/>
          <w:lang w:val="en-US"/>
        </w:rPr>
        <w:t>th</w:t>
      </w:r>
      <w:r w:rsidRPr="000D6ED5">
        <w:rPr>
          <w:lang w:val="en-US"/>
        </w:rPr>
        <w:t xml:space="preserve"> ed. 1997).</w:t>
      </w:r>
    </w:p>
  </w:footnote>
  <w:footnote w:id="5">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i/>
          <w:lang w:val="en-US"/>
        </w:rPr>
        <w:t xml:space="preserve">See </w:t>
      </w:r>
      <w:r w:rsidRPr="000D6ED5">
        <w:rPr>
          <w:smallCaps/>
          <w:lang w:val="en-US"/>
        </w:rPr>
        <w:t>Alan Boyle &amp; Christine Chinkin, The Making of International Law 100 (2007) (</w:t>
      </w:r>
      <w:r w:rsidRPr="000D6ED5">
        <w:rPr>
          <w:lang w:val="en-US"/>
        </w:rPr>
        <w:t>describing the system of sources as “eclectic, unsystematic, overlapping, and often poorly coordinated”).</w:t>
      </w:r>
    </w:p>
  </w:footnote>
  <w:footnote w:id="6">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i/>
          <w:lang w:val="en-US"/>
        </w:rPr>
        <w:t xml:space="preserve">See, e.g., </w:t>
      </w:r>
      <w:r w:rsidRPr="000D6ED5">
        <w:rPr>
          <w:smallCaps/>
          <w:lang w:val="en-US"/>
        </w:rPr>
        <w:t>James Crawford, Brownie’s Principles of Public International Law 22 (</w:t>
      </w:r>
      <w:r w:rsidRPr="000D6ED5">
        <w:rPr>
          <w:lang w:val="en-US"/>
        </w:rPr>
        <w:t>8</w:t>
      </w:r>
      <w:r w:rsidRPr="000D6ED5">
        <w:rPr>
          <w:vertAlign w:val="superscript"/>
          <w:lang w:val="en-US"/>
        </w:rPr>
        <w:t>th</w:t>
      </w:r>
      <w:r w:rsidRPr="000D6ED5">
        <w:rPr>
          <w:lang w:val="en-US"/>
        </w:rPr>
        <w:t xml:space="preserve"> ed., 2012); </w:t>
      </w:r>
      <w:r w:rsidRPr="000D6ED5">
        <w:rPr>
          <w:smallCaps/>
          <w:lang w:val="en-US"/>
        </w:rPr>
        <w:t xml:space="preserve">Mark Villiger, Customary International Law and Treaties – A Study of their Interactions and Interrelations with Special Consideration of the 1969 Vienna Convention on the Law of Treaties 35 (1985); </w:t>
      </w:r>
      <w:r w:rsidRPr="000D6ED5">
        <w:rPr>
          <w:lang w:val="en-US"/>
        </w:rPr>
        <w:t xml:space="preserve">Michael Akehurst, </w:t>
      </w:r>
      <w:r w:rsidRPr="000D6ED5">
        <w:rPr>
          <w:i/>
          <w:lang w:val="en-US"/>
        </w:rPr>
        <w:t>The Hierarchy of the Sources of International Law</w:t>
      </w:r>
      <w:r w:rsidRPr="000D6ED5">
        <w:rPr>
          <w:lang w:val="en-US"/>
        </w:rPr>
        <w:t xml:space="preserve">, 47 </w:t>
      </w:r>
      <w:r w:rsidRPr="000D6ED5">
        <w:rPr>
          <w:smallCaps/>
          <w:lang w:val="en-US"/>
        </w:rPr>
        <w:t>Brit. Y.B. Int’l L. 273, 274-5 (1974-5).</w:t>
      </w:r>
      <w:r w:rsidRPr="000D6ED5">
        <w:rPr>
          <w:lang w:val="en-US"/>
        </w:rPr>
        <w:t xml:space="preserve"> </w:t>
      </w:r>
    </w:p>
  </w:footnote>
  <w:footnote w:id="7">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This broad understanding of hierarchy as “difference in a normative light” is borrowed from Martti Koskenniemi, </w:t>
      </w:r>
      <w:r w:rsidRPr="000D6ED5">
        <w:rPr>
          <w:i/>
          <w:lang w:val="en-US"/>
        </w:rPr>
        <w:t>Hierarchy in International Law: A Sketch</w:t>
      </w:r>
      <w:r w:rsidRPr="000D6ED5">
        <w:rPr>
          <w:lang w:val="en-US"/>
        </w:rPr>
        <w:t xml:space="preserve">, 8 </w:t>
      </w:r>
      <w:r w:rsidRPr="000D6ED5">
        <w:rPr>
          <w:smallCaps/>
          <w:lang w:val="en-US"/>
        </w:rPr>
        <w:t>Eur. J. Int’l L. 566 (1997).</w:t>
      </w:r>
    </w:p>
  </w:footnote>
  <w:footnote w:id="8">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On racialized tropes, biases and hierarchies in international law, see Makau Mutua, </w:t>
      </w:r>
      <w:r w:rsidRPr="000D6ED5">
        <w:rPr>
          <w:i/>
          <w:lang w:val="en-US"/>
        </w:rPr>
        <w:t>Critical Race Theory and International Law: The View of an Insider-Outsider</w:t>
      </w:r>
      <w:r w:rsidRPr="000D6ED5">
        <w:rPr>
          <w:lang w:val="en-US"/>
        </w:rPr>
        <w:t xml:space="preserve">, 45 </w:t>
      </w:r>
      <w:r w:rsidRPr="000D6ED5">
        <w:rPr>
          <w:smallCaps/>
          <w:lang w:val="en-US"/>
        </w:rPr>
        <w:t xml:space="preserve">Vill L. Rev. 841 (2000); </w:t>
      </w:r>
      <w:r w:rsidRPr="000D6ED5">
        <w:rPr>
          <w:lang w:val="en-US"/>
        </w:rPr>
        <w:t xml:space="preserve">Robert Knox, </w:t>
      </w:r>
      <w:r w:rsidRPr="000D6ED5">
        <w:rPr>
          <w:i/>
          <w:lang w:val="en-US"/>
        </w:rPr>
        <w:t>Race, Racialisation and Rivalry in the International Legal Order</w:t>
      </w:r>
      <w:r w:rsidRPr="000D6ED5">
        <w:rPr>
          <w:lang w:val="en-US"/>
        </w:rPr>
        <w:t xml:space="preserve">, </w:t>
      </w:r>
      <w:r w:rsidRPr="000D6ED5">
        <w:rPr>
          <w:i/>
          <w:lang w:val="en-US"/>
        </w:rPr>
        <w:t xml:space="preserve">in </w:t>
      </w:r>
      <w:r w:rsidRPr="000D6ED5">
        <w:rPr>
          <w:smallCaps/>
          <w:lang w:val="en-US"/>
        </w:rPr>
        <w:t xml:space="preserve">Race and Racism in International Relations: Confronting the Global Colour Line </w:t>
      </w:r>
      <w:r w:rsidRPr="000D6ED5">
        <w:rPr>
          <w:lang w:val="en-US"/>
        </w:rPr>
        <w:t xml:space="preserve">(Alexander Anievas, Nivi Manchanda and Robbie Shilliam eds., 2014). For a class approach to international law, see B.S. Chimni, </w:t>
      </w:r>
      <w:r w:rsidRPr="000D6ED5">
        <w:rPr>
          <w:i/>
          <w:lang w:val="en-US"/>
        </w:rPr>
        <w:t>Prolegomena to a Class Approach to International Law</w:t>
      </w:r>
      <w:r w:rsidRPr="000D6ED5">
        <w:rPr>
          <w:lang w:val="en-US"/>
        </w:rPr>
        <w:t xml:space="preserve">, 21 </w:t>
      </w:r>
      <w:r w:rsidRPr="000D6ED5">
        <w:rPr>
          <w:smallCaps/>
          <w:lang w:val="en-US"/>
        </w:rPr>
        <w:t xml:space="preserve">Eur. J. Int’l L. 57 (2010); </w:t>
      </w:r>
      <w:r w:rsidRPr="000D6ED5">
        <w:rPr>
          <w:lang w:val="en-US"/>
        </w:rPr>
        <w:t xml:space="preserve">Tai Maha, </w:t>
      </w:r>
      <w:r w:rsidRPr="000D6ED5">
        <w:rPr>
          <w:i/>
          <w:lang w:val="en-US"/>
        </w:rPr>
        <w:t>Reading ‘Class’ in International Law: The Labor Question in Interwar Egypt</w:t>
      </w:r>
      <w:r w:rsidRPr="000D6ED5">
        <w:rPr>
          <w:lang w:val="en-US"/>
        </w:rPr>
        <w:t xml:space="preserve">, </w:t>
      </w:r>
      <w:r w:rsidRPr="000D6ED5">
        <w:rPr>
          <w:smallCaps/>
          <w:lang w:val="en-US"/>
        </w:rPr>
        <w:t xml:space="preserve">Soc. &amp; Leg. St. (2016, </w:t>
      </w:r>
      <w:r w:rsidRPr="000D6ED5">
        <w:rPr>
          <w:lang w:val="en-US"/>
        </w:rPr>
        <w:t>forthcoming).</w:t>
      </w:r>
    </w:p>
  </w:footnote>
  <w:footnote w:id="9">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The hierarchy of sources concern the relationship between law-making processes in the abstract. By contrast, the hierarchy of norms concerns the differentiation between norms or bodies of norms by reason of their content/substance, not their legal form. On the difference between the two types of hierarchies and how they can be mobilized to resolve normative conflicts in international law, see </w:t>
      </w:r>
      <w:r w:rsidRPr="000D6ED5">
        <w:rPr>
          <w:smallCaps/>
          <w:lang w:val="en-US"/>
        </w:rPr>
        <w:t xml:space="preserve">Joost Pauwelyn, Conflict of Norms in Public International Law – How WTO Law Relates to Other Rules of International Law (2003). </w:t>
      </w:r>
      <w:r w:rsidRPr="000D6ED5">
        <w:rPr>
          <w:lang w:val="en-US"/>
        </w:rPr>
        <w:t xml:space="preserve">On the hierarchy of norms question, see generally Dinah Shelton, </w:t>
      </w:r>
      <w:r w:rsidRPr="000D6ED5">
        <w:rPr>
          <w:i/>
          <w:lang w:val="en-US"/>
        </w:rPr>
        <w:t>Normative Hierarchy in International Law</w:t>
      </w:r>
      <w:r w:rsidRPr="000D6ED5">
        <w:rPr>
          <w:lang w:val="en-US"/>
        </w:rPr>
        <w:t xml:space="preserve">, 100 </w:t>
      </w:r>
      <w:r w:rsidRPr="000D6ED5">
        <w:rPr>
          <w:smallCaps/>
          <w:lang w:val="en-US"/>
        </w:rPr>
        <w:t xml:space="preserve">Am. J. Int’l L. 291 (2006); </w:t>
      </w:r>
      <w:r w:rsidRPr="000D6ED5">
        <w:rPr>
          <w:lang w:val="en-US"/>
        </w:rPr>
        <w:t xml:space="preserve">Juan Antonio Carillo Salcedo, </w:t>
      </w:r>
      <w:r w:rsidRPr="000D6ED5">
        <w:rPr>
          <w:i/>
          <w:lang w:val="en-US"/>
        </w:rPr>
        <w:t>Reflections on the Existence of a Hierarchy of Norms in International Law</w:t>
      </w:r>
      <w:r w:rsidRPr="000D6ED5">
        <w:rPr>
          <w:lang w:val="en-US"/>
        </w:rPr>
        <w:t xml:space="preserve">, 8 </w:t>
      </w:r>
      <w:r w:rsidRPr="000D6ED5">
        <w:rPr>
          <w:smallCaps/>
          <w:lang w:val="en-US"/>
        </w:rPr>
        <w:t xml:space="preserve">Eur. J. Int’l L. 583 (1997); Hierarchy in International Law: The Place of Human Rights </w:t>
      </w:r>
      <w:r w:rsidRPr="000D6ED5">
        <w:rPr>
          <w:lang w:val="en-US"/>
        </w:rPr>
        <w:t xml:space="preserve">(Erika De Wet &amp; Jure Vidmar eds., 2012). </w:t>
      </w:r>
    </w:p>
  </w:footnote>
  <w:footnote w:id="10">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For a general overview of the problems posed by the rising (and largely uncontrolled) regulatory power of global governance bodies, see </w:t>
      </w:r>
      <w:r w:rsidRPr="000D6ED5">
        <w:rPr>
          <w:smallCaps/>
          <w:lang w:val="en-US"/>
        </w:rPr>
        <w:t>Eyal Benvenisti, The Law of Global Governance (2014).</w:t>
      </w:r>
      <w:r w:rsidRPr="000D6ED5">
        <w:rPr>
          <w:lang w:val="en-US"/>
        </w:rPr>
        <w:t xml:space="preserve"> On the heterarchical interaction of the national, international and transnational legal orders, see </w:t>
      </w:r>
      <w:r w:rsidRPr="000D6ED5">
        <w:rPr>
          <w:smallCaps/>
          <w:lang w:val="en-US"/>
        </w:rPr>
        <w:t>Nico Krisch, Beyond Pluralism – The Pluralist Structure of Postnational Law (2010).</w:t>
      </w:r>
    </w:p>
  </w:footnote>
  <w:footnote w:id="11">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i/>
          <w:lang w:val="en-US"/>
        </w:rPr>
        <w:t xml:space="preserve">See </w:t>
      </w:r>
      <w:r w:rsidRPr="000D6ED5">
        <w:rPr>
          <w:smallCaps/>
          <w:lang w:val="en-US"/>
        </w:rPr>
        <w:t xml:space="preserve">Shaw, </w:t>
      </w:r>
      <w:r w:rsidRPr="000D6ED5">
        <w:rPr>
          <w:i/>
          <w:lang w:val="en-US"/>
        </w:rPr>
        <w:t>supra</w:t>
      </w:r>
      <w:r w:rsidRPr="000D6ED5">
        <w:rPr>
          <w:lang w:val="en-US"/>
        </w:rPr>
        <w:t xml:space="preserve"> note </w:t>
      </w:r>
      <w:fldSimple w:instr=" NOTEREF _Ref427829950 \h  \* MERGEFORMAT ">
        <w:r w:rsidR="009C4D3D">
          <w:rPr>
            <w:lang w:val="en-US"/>
          </w:rPr>
          <w:t>3</w:t>
        </w:r>
      </w:fldSimple>
      <w:r w:rsidRPr="000D6ED5">
        <w:rPr>
          <w:lang w:val="en-US"/>
        </w:rPr>
        <w:t xml:space="preserve">, at 50. Scholars do debate, of course, whether Article 38 represents an authoritative and definitive statement of sources (i.e. the meta-norm of sources), or merely a clause of applicable law for the ICJ. Few dispute its pragmatic value as a rallying point for the doctrine of sources, however. See, on this point, </w:t>
      </w:r>
      <w:r w:rsidRPr="000D6ED5">
        <w:rPr>
          <w:smallCaps/>
          <w:lang w:val="en-US"/>
        </w:rPr>
        <w:t>Jörg Kammerhofer, Uncertainty in International Law: A Kelsenian Perspective 208-10</w:t>
      </w:r>
      <w:r w:rsidRPr="000D6ED5">
        <w:rPr>
          <w:i/>
          <w:lang w:val="en-US"/>
        </w:rPr>
        <w:t xml:space="preserve"> </w:t>
      </w:r>
      <w:r w:rsidRPr="000D6ED5">
        <w:rPr>
          <w:lang w:val="en-US"/>
        </w:rPr>
        <w:t>(2011).</w:t>
      </w:r>
    </w:p>
  </w:footnote>
  <w:footnote w:id="12">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Statute of the International Court of Justice, art. 38, June 26, 1945, 33 U.N.T.S. 993:</w:t>
      </w:r>
    </w:p>
    <w:p w:rsidR="00E7644E" w:rsidRPr="000D6ED5" w:rsidRDefault="00E7644E" w:rsidP="0071574A">
      <w:pPr>
        <w:pStyle w:val="FootnoteText"/>
        <w:tabs>
          <w:tab w:val="left" w:pos="426"/>
        </w:tabs>
        <w:ind w:left="426"/>
        <w:jc w:val="both"/>
        <w:rPr>
          <w:lang w:val="en-US"/>
        </w:rPr>
      </w:pPr>
      <w:r w:rsidRPr="000D6ED5">
        <w:rPr>
          <w:lang w:val="en-US"/>
        </w:rPr>
        <w:t>“The Court, whose function it is to decide in accordance with international law such disputes as are submitted to it, shall apply:</w:t>
      </w:r>
    </w:p>
    <w:p w:rsidR="00E7644E" w:rsidRPr="000D6ED5" w:rsidRDefault="00E7644E" w:rsidP="0071574A">
      <w:pPr>
        <w:pStyle w:val="FootnoteText"/>
        <w:numPr>
          <w:ilvl w:val="0"/>
          <w:numId w:val="13"/>
        </w:numPr>
        <w:tabs>
          <w:tab w:val="left" w:pos="426"/>
        </w:tabs>
        <w:jc w:val="both"/>
        <w:rPr>
          <w:lang w:val="en-US"/>
        </w:rPr>
      </w:pPr>
      <w:r w:rsidRPr="000D6ED5">
        <w:rPr>
          <w:lang w:val="en-US"/>
        </w:rPr>
        <w:t>International conventions, whether general or particular, establishing rules expressly recognized by the consenting states;</w:t>
      </w:r>
    </w:p>
    <w:p w:rsidR="00E7644E" w:rsidRPr="000D6ED5" w:rsidRDefault="00E7644E" w:rsidP="0071574A">
      <w:pPr>
        <w:pStyle w:val="FootnoteText"/>
        <w:numPr>
          <w:ilvl w:val="0"/>
          <w:numId w:val="13"/>
        </w:numPr>
        <w:tabs>
          <w:tab w:val="left" w:pos="426"/>
        </w:tabs>
        <w:jc w:val="both"/>
        <w:rPr>
          <w:lang w:val="en-US"/>
        </w:rPr>
      </w:pPr>
      <w:r w:rsidRPr="000D6ED5">
        <w:rPr>
          <w:lang w:val="en-US"/>
        </w:rPr>
        <w:t>International custom, as evidence of general practice accepted as law;</w:t>
      </w:r>
    </w:p>
    <w:p w:rsidR="00E7644E" w:rsidRPr="000D6ED5" w:rsidRDefault="00E7644E" w:rsidP="0071574A">
      <w:pPr>
        <w:pStyle w:val="FootnoteText"/>
        <w:numPr>
          <w:ilvl w:val="0"/>
          <w:numId w:val="13"/>
        </w:numPr>
        <w:tabs>
          <w:tab w:val="left" w:pos="426"/>
        </w:tabs>
        <w:jc w:val="both"/>
        <w:rPr>
          <w:lang w:val="en-US"/>
        </w:rPr>
      </w:pPr>
      <w:r w:rsidRPr="000D6ED5">
        <w:rPr>
          <w:lang w:val="en-US"/>
        </w:rPr>
        <w:t>The general principles of law recognized by civilized nations;</w:t>
      </w:r>
    </w:p>
    <w:p w:rsidR="00E7644E" w:rsidRPr="000D6ED5" w:rsidRDefault="00E7644E" w:rsidP="0071574A">
      <w:pPr>
        <w:pStyle w:val="FootnoteText"/>
        <w:numPr>
          <w:ilvl w:val="0"/>
          <w:numId w:val="13"/>
        </w:numPr>
        <w:tabs>
          <w:tab w:val="left" w:pos="426"/>
        </w:tabs>
        <w:jc w:val="both"/>
        <w:rPr>
          <w:lang w:val="en-US"/>
        </w:rPr>
      </w:pPr>
      <w:r w:rsidRPr="000D6ED5">
        <w:rPr>
          <w:lang w:val="en-US"/>
        </w:rPr>
        <w:t>Subject to the provisions of Article 59, judicial decisions and the teachings of the most highly qualified publicists of the various nations, as subsidiary mean for the determination of rules of law”</w:t>
      </w:r>
    </w:p>
  </w:footnote>
  <w:footnote w:id="13">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On the drafting history of Article 38, see Akehurst, </w:t>
      </w:r>
      <w:r w:rsidRPr="000D6ED5">
        <w:rPr>
          <w:i/>
          <w:lang w:val="en-US"/>
        </w:rPr>
        <w:t xml:space="preserve">supra </w:t>
      </w:r>
      <w:r w:rsidRPr="000D6ED5">
        <w:rPr>
          <w:lang w:val="en-US"/>
        </w:rPr>
        <w:t xml:space="preserve">note </w:t>
      </w:r>
      <w:fldSimple w:instr=" NOTEREF _Ref427852970 \h  \* MERGEFORMAT ">
        <w:r w:rsidR="009C4D3D">
          <w:rPr>
            <w:lang w:val="en-US"/>
          </w:rPr>
          <w:t>5</w:t>
        </w:r>
      </w:fldSimple>
      <w:r w:rsidRPr="000D6ED5">
        <w:rPr>
          <w:lang w:val="en-US"/>
        </w:rPr>
        <w:t>, at 274-5.</w:t>
      </w:r>
    </w:p>
  </w:footnote>
  <w:footnote w:id="14">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J</w:t>
      </w:r>
      <w:r w:rsidRPr="000D6ED5">
        <w:rPr>
          <w:smallCaps/>
          <w:lang w:val="en-US"/>
        </w:rPr>
        <w:t>an Klabbers, International Law 25</w:t>
      </w:r>
      <w:r w:rsidRPr="000D6ED5">
        <w:rPr>
          <w:lang w:val="en-US"/>
        </w:rPr>
        <w:t xml:space="preserve"> (2013) (“judicial decisions and the writings of the most highly qualified publicists are listed as subsidiary means only .… It follows from the organizing principle of sovereignty that [these subsidiary means] cannot make law, but only apply it”); </w:t>
      </w:r>
      <w:r w:rsidRPr="000D6ED5">
        <w:rPr>
          <w:smallCaps/>
          <w:lang w:val="en-US"/>
        </w:rPr>
        <w:t>Hugh Thirlway, The Sources of International Law</w:t>
      </w:r>
      <w:r w:rsidRPr="000D6ED5">
        <w:rPr>
          <w:lang w:val="en-US"/>
        </w:rPr>
        <w:t xml:space="preserve"> 8 (2014) (“Neither a judge nor a scholar says ‘This is the law, because I say so’; they both lay down what they regard as established by one of the other sources”).</w:t>
      </w:r>
    </w:p>
  </w:footnote>
  <w:footnote w:id="15">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On the absence of hierarchy among treaty and customary law, see Military and Paramilitary Activities In and Against Nicaragua (Nicar. v United States), 1986 ICJ </w:t>
      </w:r>
      <w:r w:rsidRPr="000D6ED5">
        <w:rPr>
          <w:smallCaps/>
          <w:lang w:val="en-US"/>
        </w:rPr>
        <w:t>Rep.</w:t>
      </w:r>
      <w:r w:rsidRPr="000D6ED5">
        <w:rPr>
          <w:lang w:val="en-US"/>
        </w:rPr>
        <w:t xml:space="preserve"> 14, para. 176 (“it cannot therefore be held that Article 51 [of the United Nations Charter] is a provision which ‘subsumes and supervenes’ customary international law…. [I]n the field in question …. Customary international law continues to exist alongside treaty law”).</w:t>
      </w:r>
    </w:p>
  </w:footnote>
  <w:footnote w:id="16">
    <w:p w:rsidR="00E7644E" w:rsidRPr="000D6ED5" w:rsidRDefault="00E7644E" w:rsidP="0071574A">
      <w:pPr>
        <w:pStyle w:val="FootnoteText"/>
        <w:tabs>
          <w:tab w:val="left" w:pos="426"/>
        </w:tabs>
        <w:jc w:val="both"/>
        <w:rPr>
          <w:smallCaps/>
          <w:lang w:val="en-US"/>
        </w:rPr>
      </w:pPr>
      <w:r w:rsidRPr="000D6ED5">
        <w:rPr>
          <w:rStyle w:val="FootnoteReference"/>
          <w:lang w:val="en-US"/>
        </w:rPr>
        <w:footnoteRef/>
      </w:r>
      <w:r w:rsidRPr="000D6ED5">
        <w:rPr>
          <w:lang w:val="en-US"/>
        </w:rPr>
        <w:t xml:space="preserve"> </w:t>
      </w:r>
      <w:r w:rsidRPr="000D6ED5">
        <w:rPr>
          <w:i/>
          <w:lang w:val="en-US"/>
        </w:rPr>
        <w:t>See</w:t>
      </w:r>
      <w:r w:rsidRPr="000D6ED5">
        <w:rPr>
          <w:lang w:val="en-US"/>
        </w:rPr>
        <w:t xml:space="preserve"> generally </w:t>
      </w:r>
      <w:r w:rsidRPr="000D6ED5">
        <w:rPr>
          <w:i/>
          <w:lang w:val="en-US"/>
        </w:rPr>
        <w:t xml:space="preserve">Fragmentation of International Law: Difficulties Arising from the Diversification and Expansion of International Law – Report of the Study Group of the International Law Commission </w:t>
      </w:r>
      <w:r w:rsidRPr="000D6ED5">
        <w:rPr>
          <w:lang w:val="en-US"/>
        </w:rPr>
        <w:t xml:space="preserve">(finalized by Martti Koskenniemi), UN Doc A/CN.4/L.682 (2006) [hereinafter </w:t>
      </w:r>
      <w:r w:rsidRPr="000D6ED5">
        <w:rPr>
          <w:i/>
          <w:lang w:val="en-US"/>
        </w:rPr>
        <w:t>Fragmentation Report</w:t>
      </w:r>
      <w:r w:rsidRPr="000D6ED5">
        <w:rPr>
          <w:lang w:val="en-US"/>
        </w:rPr>
        <w:t xml:space="preserve">]; </w:t>
      </w:r>
      <w:r w:rsidRPr="000D6ED5">
        <w:rPr>
          <w:smallCaps/>
          <w:lang w:val="en-US"/>
        </w:rPr>
        <w:t>Pauwelyn</w:t>
      </w:r>
      <w:r w:rsidRPr="000D6ED5">
        <w:rPr>
          <w:lang w:val="en-US"/>
        </w:rPr>
        <w:t xml:space="preserve">, </w:t>
      </w:r>
      <w:r w:rsidRPr="000D6ED5">
        <w:rPr>
          <w:i/>
          <w:lang w:val="en-US"/>
        </w:rPr>
        <w:t xml:space="preserve">supra </w:t>
      </w:r>
      <w:r w:rsidRPr="000D6ED5">
        <w:rPr>
          <w:lang w:val="en-US"/>
        </w:rPr>
        <w:t xml:space="preserve">note </w:t>
      </w:r>
      <w:fldSimple w:instr=" NOTEREF _Ref459108643 \h  \* MERGEFORMAT ">
        <w:r w:rsidR="009C4D3D">
          <w:rPr>
            <w:lang w:val="en-US"/>
          </w:rPr>
          <w:t>8</w:t>
        </w:r>
      </w:fldSimple>
      <w:r w:rsidRPr="000D6ED5">
        <w:rPr>
          <w:lang w:val="en-US"/>
        </w:rPr>
        <w:t xml:space="preserve">, at 89-109; and Maarten Bos, </w:t>
      </w:r>
      <w:r w:rsidRPr="000D6ED5">
        <w:rPr>
          <w:i/>
          <w:lang w:val="en-US"/>
        </w:rPr>
        <w:t>The Hierarchy Among the Recognized Manifestations (“Sources”) of International Law</w:t>
      </w:r>
      <w:r w:rsidRPr="000D6ED5">
        <w:rPr>
          <w:lang w:val="en-US"/>
        </w:rPr>
        <w:t xml:space="preserve">, 25 </w:t>
      </w:r>
      <w:r w:rsidRPr="000D6ED5">
        <w:rPr>
          <w:smallCaps/>
          <w:lang w:val="en-US"/>
        </w:rPr>
        <w:t>Neth. Int’l L. Rev. 334 (1978).</w:t>
      </w:r>
    </w:p>
  </w:footnote>
  <w:footnote w:id="17">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For a theory of fragmentation as struggle for institutional hegemony and normative authoritativeness, see Martti Koskenniemi, </w:t>
      </w:r>
      <w:r w:rsidRPr="000D6ED5">
        <w:rPr>
          <w:i/>
          <w:lang w:val="en-US"/>
        </w:rPr>
        <w:t>The Fate of Public International Law: Between Technique and Politics</w:t>
      </w:r>
      <w:r w:rsidRPr="000D6ED5">
        <w:rPr>
          <w:lang w:val="en-US"/>
        </w:rPr>
        <w:t xml:space="preserve">, 70 </w:t>
      </w:r>
      <w:r w:rsidRPr="000D6ED5">
        <w:rPr>
          <w:smallCaps/>
          <w:lang w:val="en-US"/>
        </w:rPr>
        <w:t>Mod. L. Rev. 1</w:t>
      </w:r>
      <w:r w:rsidRPr="000D6ED5">
        <w:rPr>
          <w:lang w:val="en-US"/>
        </w:rPr>
        <w:t xml:space="preserve"> (2007); </w:t>
      </w:r>
      <w:r w:rsidRPr="000D6ED5">
        <w:rPr>
          <w:i/>
          <w:lang w:val="en-US"/>
        </w:rPr>
        <w:t>International Law and Hegemony: A Reconfiguration,</w:t>
      </w:r>
      <w:r w:rsidRPr="000D6ED5">
        <w:rPr>
          <w:lang w:val="en-US"/>
        </w:rPr>
        <w:t xml:space="preserve"> 17 </w:t>
      </w:r>
      <w:r w:rsidRPr="000D6ED5">
        <w:rPr>
          <w:smallCaps/>
          <w:lang w:val="en-US"/>
        </w:rPr>
        <w:t>Cambridge Rev. Int’l Aff.</w:t>
      </w:r>
      <w:r w:rsidRPr="000D6ED5">
        <w:rPr>
          <w:lang w:val="en-US"/>
        </w:rPr>
        <w:t xml:space="preserve"> 197 (2004).</w:t>
      </w:r>
    </w:p>
  </w:footnote>
  <w:footnote w:id="18">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smallCaps/>
          <w:lang w:val="en-US"/>
        </w:rPr>
        <w:t>Clive Parry, The Sources and Evidences of International Law</w:t>
      </w:r>
      <w:r w:rsidRPr="000D6ED5">
        <w:rPr>
          <w:lang w:val="en-US"/>
        </w:rPr>
        <w:t xml:space="preserve"> 28 (1965).</w:t>
      </w:r>
    </w:p>
  </w:footnote>
  <w:footnote w:id="19">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David Kennedy, </w:t>
      </w:r>
      <w:r w:rsidRPr="000D6ED5">
        <w:rPr>
          <w:i/>
          <w:lang w:val="en-US"/>
        </w:rPr>
        <w:t>The Sources of International Law</w:t>
      </w:r>
      <w:r w:rsidRPr="000D6ED5">
        <w:rPr>
          <w:lang w:val="en-US"/>
        </w:rPr>
        <w:t xml:space="preserve">, 2 </w:t>
      </w:r>
      <w:r w:rsidRPr="000D6ED5">
        <w:rPr>
          <w:smallCaps/>
          <w:lang w:val="en-US"/>
        </w:rPr>
        <w:t>Am. U. J. Int’l L. &amp; Pol’y 1, 16</w:t>
      </w:r>
      <w:r w:rsidRPr="000D6ED5">
        <w:rPr>
          <w:lang w:val="en-US"/>
        </w:rPr>
        <w:t>(1987).</w:t>
      </w:r>
    </w:p>
  </w:footnote>
  <w:footnote w:id="20">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Koskenniemi, </w:t>
      </w:r>
      <w:r w:rsidRPr="000D6ED5">
        <w:rPr>
          <w:i/>
          <w:lang w:val="en-US"/>
        </w:rPr>
        <w:t>supra</w:t>
      </w:r>
      <w:r w:rsidRPr="000D6ED5">
        <w:rPr>
          <w:lang w:val="en-US"/>
        </w:rPr>
        <w:t xml:space="preserve"> note </w:t>
      </w:r>
      <w:fldSimple w:instr=" NOTEREF _Ref427850575 \h  \* MERGEFORMAT ">
        <w:r w:rsidR="009C4D3D">
          <w:rPr>
            <w:lang w:val="en-US"/>
          </w:rPr>
          <w:t>6</w:t>
        </w:r>
      </w:fldSimple>
      <w:r w:rsidRPr="000D6ED5">
        <w:rPr>
          <w:lang w:val="en-US"/>
        </w:rPr>
        <w:t>, at 566.</w:t>
      </w:r>
    </w:p>
  </w:footnote>
  <w:footnote w:id="21">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i/>
          <w:lang w:val="en-US"/>
        </w:rPr>
        <w:t>See, e.g.,</w:t>
      </w:r>
      <w:r w:rsidRPr="000D6ED5">
        <w:rPr>
          <w:lang w:val="en-US"/>
        </w:rPr>
        <w:t xml:space="preserve"> </w:t>
      </w:r>
      <w:r w:rsidRPr="000D6ED5">
        <w:rPr>
          <w:smallCaps/>
          <w:lang w:val="en-US"/>
        </w:rPr>
        <w:t>Klabbers</w:t>
      </w:r>
      <w:r w:rsidRPr="000D6ED5">
        <w:rPr>
          <w:lang w:val="en-US"/>
        </w:rPr>
        <w:t xml:space="preserve">, </w:t>
      </w:r>
      <w:r w:rsidRPr="000D6ED5">
        <w:rPr>
          <w:i/>
          <w:lang w:val="en-US"/>
        </w:rPr>
        <w:t xml:space="preserve">supra </w:t>
      </w:r>
      <w:r w:rsidRPr="000D6ED5">
        <w:rPr>
          <w:lang w:val="en-US"/>
        </w:rPr>
        <w:t xml:space="preserve">note </w:t>
      </w:r>
      <w:fldSimple w:instr=" NOTEREF _Ref427851248 \h  \* MERGEFORMAT ">
        <w:r w:rsidR="009C4D3D">
          <w:rPr>
            <w:lang w:val="en-US"/>
          </w:rPr>
          <w:t>13</w:t>
        </w:r>
      </w:fldSimple>
      <w:r w:rsidRPr="000D6ED5">
        <w:rPr>
          <w:lang w:val="en-US"/>
        </w:rPr>
        <w:t xml:space="preserve">, at 25 (“the treaty has become the dominant source of international law”); </w:t>
      </w:r>
      <w:r w:rsidRPr="000D6ED5">
        <w:rPr>
          <w:smallCaps/>
          <w:lang w:val="en-US"/>
        </w:rPr>
        <w:t>Crawford</w:t>
      </w:r>
      <w:r w:rsidRPr="000D6ED5">
        <w:rPr>
          <w:lang w:val="en-US"/>
        </w:rPr>
        <w:t xml:space="preserve">, </w:t>
      </w:r>
      <w:r w:rsidRPr="000D6ED5">
        <w:rPr>
          <w:i/>
          <w:lang w:val="en-US"/>
        </w:rPr>
        <w:t xml:space="preserve">supra </w:t>
      </w:r>
      <w:r w:rsidRPr="000D6ED5">
        <w:rPr>
          <w:lang w:val="en-US"/>
        </w:rPr>
        <w:t xml:space="preserve">note </w:t>
      </w:r>
      <w:fldSimple w:instr=" NOTEREF _Ref427852970 \h  \* MERGEFORMAT ">
        <w:r w:rsidR="009C4D3D">
          <w:rPr>
            <w:lang w:val="en-US"/>
          </w:rPr>
          <w:t>5</w:t>
        </w:r>
      </w:fldSimple>
      <w:r w:rsidRPr="000D6ED5">
        <w:rPr>
          <w:lang w:val="en-US"/>
        </w:rPr>
        <w:t xml:space="preserve">, at 30 (“treaties are the most important source of obligation in international law”); </w:t>
      </w:r>
      <w:r w:rsidRPr="000D6ED5">
        <w:rPr>
          <w:smallCaps/>
          <w:lang w:val="en-US"/>
        </w:rPr>
        <w:t>Duncan B. Hollis, The Oxford Guide to Treaties 8</w:t>
      </w:r>
      <w:r w:rsidRPr="000D6ED5">
        <w:rPr>
          <w:i/>
          <w:lang w:val="en-US"/>
        </w:rPr>
        <w:t xml:space="preserve"> </w:t>
      </w:r>
      <w:r w:rsidRPr="000D6ED5">
        <w:rPr>
          <w:lang w:val="en-US"/>
        </w:rPr>
        <w:t xml:space="preserve">(2012) (“treaties are an essential vehicle for organizing international cooperation and coordination. In both quantitative and qualitative terms, they are the primary source for international legal commitments and, indeed, international law generally”); </w:t>
      </w:r>
      <w:r w:rsidRPr="000D6ED5">
        <w:rPr>
          <w:smallCaps/>
          <w:lang w:val="en-US"/>
        </w:rPr>
        <w:t>Charles Rousseau, Droit International Public – Tome 1: Introduction et Sources 59</w:t>
      </w:r>
      <w:r w:rsidRPr="000D6ED5">
        <w:rPr>
          <w:lang w:val="en-US"/>
        </w:rPr>
        <w:t xml:space="preserve"> (1970) (“si l’article 38 n’établit pas de hiérarchie entre les différentes sources qu’il énumère …. on constate qu’il y a accord sur les idées suivantes : la première source, incontestablement la plus importante, est formée par les traités”); </w:t>
      </w:r>
      <w:r w:rsidRPr="000D6ED5">
        <w:rPr>
          <w:smallCaps/>
          <w:lang w:val="en-US"/>
        </w:rPr>
        <w:t>Wolfgang Friedmann, The Changing Structure of International Law</w:t>
      </w:r>
      <w:r w:rsidRPr="000D6ED5">
        <w:rPr>
          <w:lang w:val="en-US"/>
        </w:rPr>
        <w:t xml:space="preserve"> 123-4 (1974) (“it is obvious that, in the fast moving articulate and complex international society of today, the international treaty increasingly replaces custom as the principal source of international law”).</w:t>
      </w:r>
    </w:p>
  </w:footnote>
  <w:footnote w:id="22">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i/>
          <w:lang w:val="en-US"/>
        </w:rPr>
        <w:t>See, e.g.,</w:t>
      </w:r>
      <w:r w:rsidRPr="000D6ED5">
        <w:rPr>
          <w:lang w:val="en-US"/>
        </w:rPr>
        <w:t xml:space="preserve"> </w:t>
      </w:r>
      <w:r w:rsidRPr="000D6ED5">
        <w:rPr>
          <w:smallCaps/>
          <w:lang w:val="en-US"/>
        </w:rPr>
        <w:t xml:space="preserve">Patrick Dailler, Mathias Forteau and Alain Pellet, </w:t>
      </w:r>
      <w:r w:rsidRPr="000D6ED5">
        <w:rPr>
          <w:i/>
          <w:smallCaps/>
          <w:lang w:val="en-US"/>
        </w:rPr>
        <w:t>Droit International Public</w:t>
      </w:r>
      <w:r w:rsidRPr="000D6ED5">
        <w:rPr>
          <w:lang w:val="en-US"/>
        </w:rPr>
        <w:t xml:space="preserve"> (8</w:t>
      </w:r>
      <w:r w:rsidRPr="000D6ED5">
        <w:rPr>
          <w:vertAlign w:val="superscript"/>
          <w:lang w:val="en-US"/>
        </w:rPr>
        <w:t>th</w:t>
      </w:r>
      <w:r w:rsidRPr="000D6ED5">
        <w:rPr>
          <w:lang w:val="en-US"/>
        </w:rPr>
        <w:t>ed., 2009) who subcategorize their chapter on international law-making into “</w:t>
      </w:r>
      <w:r w:rsidRPr="000D6ED5">
        <w:rPr>
          <w:i/>
          <w:lang w:val="en-US"/>
        </w:rPr>
        <w:t>formation conventionnelle</w:t>
      </w:r>
      <w:r w:rsidRPr="000D6ED5">
        <w:rPr>
          <w:lang w:val="en-US"/>
        </w:rPr>
        <w:t>” and “</w:t>
      </w:r>
      <w:r w:rsidRPr="000D6ED5">
        <w:rPr>
          <w:i/>
          <w:lang w:val="en-US"/>
        </w:rPr>
        <w:t>formation non conventionnelle</w:t>
      </w:r>
      <w:r w:rsidRPr="000D6ED5">
        <w:rPr>
          <w:lang w:val="en-US"/>
        </w:rPr>
        <w:t>”.</w:t>
      </w:r>
    </w:p>
  </w:footnote>
  <w:footnote w:id="23">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i/>
          <w:lang w:val="en-US"/>
        </w:rPr>
        <w:t>See</w:t>
      </w:r>
      <w:r w:rsidRPr="000D6ED5">
        <w:rPr>
          <w:lang w:val="en-US"/>
        </w:rPr>
        <w:t xml:space="preserve"> </w:t>
      </w:r>
      <w:r w:rsidRPr="000D6ED5">
        <w:rPr>
          <w:i/>
          <w:lang w:val="en-US"/>
        </w:rPr>
        <w:t>Fragmentation Report</w:t>
      </w:r>
      <w:r w:rsidRPr="000D6ED5">
        <w:rPr>
          <w:lang w:val="en-US"/>
        </w:rPr>
        <w:t xml:space="preserve">, </w:t>
      </w:r>
      <w:r w:rsidRPr="000D6ED5">
        <w:rPr>
          <w:i/>
          <w:lang w:val="en-US"/>
        </w:rPr>
        <w:t xml:space="preserve">supra </w:t>
      </w:r>
      <w:r w:rsidRPr="000D6ED5">
        <w:rPr>
          <w:lang w:val="en-US"/>
        </w:rPr>
        <w:t xml:space="preserve">note </w:t>
      </w:r>
      <w:fldSimple w:instr=" NOTEREF _Ref459114395 \h  \* MERGEFORMAT ">
        <w:r w:rsidR="009C4D3D">
          <w:rPr>
            <w:lang w:val="en-US"/>
          </w:rPr>
          <w:t>15</w:t>
        </w:r>
      </w:fldSimple>
      <w:r w:rsidRPr="000D6ED5">
        <w:rPr>
          <w:lang w:val="en-US"/>
        </w:rPr>
        <w:t>, para. 85: 'this informal hierarchy …. emerges as a 'forensic' or a 'natural' aspect of legal reasoning. Any court or lawyer will first look at treaties, then custom and then the general principles of law for an answer to a normative problem'.</w:t>
      </w:r>
    </w:p>
  </w:footnote>
  <w:footnote w:id="24">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Jason Beckett, </w:t>
      </w:r>
      <w:r w:rsidRPr="000D6ED5">
        <w:rPr>
          <w:i/>
          <w:lang w:val="en-US"/>
        </w:rPr>
        <w:t>Customary International Law,</w:t>
      </w:r>
      <w:r w:rsidRPr="000D6ED5">
        <w:rPr>
          <w:lang w:val="en-US"/>
        </w:rPr>
        <w:t xml:space="preserve"> </w:t>
      </w:r>
      <w:r w:rsidRPr="000D6ED5">
        <w:rPr>
          <w:i/>
          <w:lang w:val="en-US"/>
        </w:rPr>
        <w:t>in</w:t>
      </w:r>
      <w:r w:rsidRPr="000D6ED5">
        <w:rPr>
          <w:lang w:val="en-US"/>
        </w:rPr>
        <w:t xml:space="preserve"> </w:t>
      </w:r>
      <w:r w:rsidRPr="000D6ED5">
        <w:rPr>
          <w:smallCaps/>
          <w:lang w:val="en-US"/>
        </w:rPr>
        <w:t>International Law for International Relations</w:t>
      </w:r>
      <w:r w:rsidRPr="000D6ED5">
        <w:rPr>
          <w:lang w:val="en-US"/>
        </w:rPr>
        <w:t xml:space="preserve"> 134 (Başak Çali ed., 2010).</w:t>
      </w:r>
    </w:p>
  </w:footnote>
  <w:footnote w:id="25">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Disputes occasionally arise regarding the validity of a treaty or its termination, though this is a rather rare occurrence. See, for a characteristic example, Gabcikovo-Nagymaros Project (Hungary v Slovakia), 1997 </w:t>
      </w:r>
      <w:r w:rsidRPr="000D6ED5">
        <w:rPr>
          <w:smallCaps/>
          <w:lang w:val="en-US"/>
        </w:rPr>
        <w:t>ICJ Rep. 7.</w:t>
      </w:r>
    </w:p>
  </w:footnote>
  <w:footnote w:id="26">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The ICJ was notoriously criticized for its method of ascertaining customary law in the </w:t>
      </w:r>
      <w:r w:rsidRPr="000D6ED5">
        <w:rPr>
          <w:i/>
          <w:lang w:val="en-US"/>
        </w:rPr>
        <w:t xml:space="preserve">Nicaragua </w:t>
      </w:r>
      <w:r w:rsidRPr="000D6ED5">
        <w:rPr>
          <w:lang w:val="en-US"/>
        </w:rPr>
        <w:t xml:space="preserve">case, with some legal scholars blaming the Court for its “revisionist” approach, for blurring the lines between practice and </w:t>
      </w:r>
      <w:r w:rsidRPr="000D6ED5">
        <w:rPr>
          <w:i/>
          <w:lang w:val="en-US"/>
        </w:rPr>
        <w:t>opinio juris</w:t>
      </w:r>
      <w:r w:rsidRPr="000D6ED5">
        <w:rPr>
          <w:lang w:val="en-US"/>
        </w:rPr>
        <w:t xml:space="preserve"> and for “trashing” customary international law. Similar criticisms were levelled against the ICRC when it published its 2009 restatement of customary international humanitarian law. See, on this point, my analysis in </w:t>
      </w:r>
      <w:r w:rsidRPr="000D6ED5">
        <w:rPr>
          <w:smallCaps/>
          <w:lang w:val="en-US"/>
        </w:rPr>
        <w:t>Mario Prost, The Concept of Unity in Public International Law 100-2</w:t>
      </w:r>
      <w:r w:rsidRPr="000D6ED5">
        <w:rPr>
          <w:lang w:val="en-US"/>
        </w:rPr>
        <w:t xml:space="preserve"> (2012). </w:t>
      </w:r>
    </w:p>
  </w:footnote>
  <w:footnote w:id="27">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Hilary Charlesworth, </w:t>
      </w:r>
      <w:r w:rsidRPr="000D6ED5">
        <w:rPr>
          <w:i/>
          <w:lang w:val="en-US"/>
        </w:rPr>
        <w:t>Law-making and sources, in</w:t>
      </w:r>
      <w:r w:rsidRPr="000D6ED5">
        <w:rPr>
          <w:lang w:val="en-US"/>
        </w:rPr>
        <w:t xml:space="preserve"> </w:t>
      </w:r>
      <w:r w:rsidRPr="000D6ED5">
        <w:rPr>
          <w:smallCaps/>
          <w:lang w:val="en-US"/>
        </w:rPr>
        <w:t>The Cambridge Companion to International Law 190</w:t>
      </w:r>
      <w:r w:rsidRPr="000D6ED5">
        <w:rPr>
          <w:lang w:val="en-US"/>
        </w:rPr>
        <w:t xml:space="preserve"> (James Crawford and Martti Koskenniemi eds., 2012).</w:t>
      </w:r>
    </w:p>
  </w:footnote>
  <w:footnote w:id="28">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smallCaps/>
          <w:lang w:val="en-US"/>
        </w:rPr>
        <w:t>Hersch Lauterpacht, International law – Collected Papers vol. 1 87-8</w:t>
      </w:r>
      <w:r w:rsidRPr="000D6ED5">
        <w:rPr>
          <w:lang w:val="en-US"/>
        </w:rPr>
        <w:t xml:space="preserve"> (1970).</w:t>
      </w:r>
    </w:p>
  </w:footnote>
  <w:footnote w:id="29">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Convention [No. XII] Relative to the Creation of an International Prize Court, art. 7, Oct. 18, 1907, 100 </w:t>
      </w:r>
      <w:r w:rsidRPr="000D6ED5">
        <w:rPr>
          <w:smallCaps/>
          <w:lang w:val="en-US"/>
        </w:rPr>
        <w:t>Brit. &amp; Foreign St. papers 435 (1906-7).</w:t>
      </w:r>
      <w:r w:rsidRPr="000D6ED5">
        <w:rPr>
          <w:lang w:val="en-US"/>
        </w:rPr>
        <w:t>.</w:t>
      </w:r>
    </w:p>
  </w:footnote>
  <w:footnote w:id="30">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i/>
          <w:lang w:val="en-US"/>
        </w:rPr>
        <w:t xml:space="preserve"> </w:t>
      </w:r>
      <w:r w:rsidRPr="000D6ED5">
        <w:rPr>
          <w:lang w:val="en-US"/>
        </w:rPr>
        <w:t xml:space="preserve">North Sea Continental Shelf cases (Federal Republic of Germany v Denmark/Netherlands), 1969 </w:t>
      </w:r>
      <w:r w:rsidRPr="000D6ED5">
        <w:rPr>
          <w:smallCaps/>
          <w:lang w:val="en-US"/>
        </w:rPr>
        <w:t>ICJ Rep</w:t>
      </w:r>
      <w:r w:rsidRPr="000D6ED5">
        <w:rPr>
          <w:lang w:val="en-US"/>
        </w:rPr>
        <w:t>. 42, para. 72.</w:t>
      </w:r>
    </w:p>
  </w:footnote>
  <w:footnote w:id="31">
    <w:p w:rsidR="00E7644E" w:rsidRPr="000D6ED5" w:rsidRDefault="00E7644E" w:rsidP="0071574A">
      <w:pPr>
        <w:pStyle w:val="FootnoteText"/>
        <w:tabs>
          <w:tab w:val="left" w:pos="426"/>
          <w:tab w:val="left" w:pos="900"/>
        </w:tabs>
        <w:jc w:val="both"/>
        <w:rPr>
          <w:color w:val="FF0000"/>
          <w:lang w:val="en-US"/>
        </w:rPr>
      </w:pPr>
      <w:r w:rsidRPr="000D6ED5">
        <w:rPr>
          <w:rStyle w:val="FootnoteReference"/>
          <w:lang w:val="en-US"/>
        </w:rPr>
        <w:footnoteRef/>
      </w:r>
      <w:r w:rsidRPr="000D6ED5">
        <w:rPr>
          <w:lang w:val="en-US"/>
        </w:rPr>
        <w:t xml:space="preserve"> Nicaragua, </w:t>
      </w:r>
      <w:r w:rsidRPr="000D6ED5">
        <w:rPr>
          <w:i/>
          <w:lang w:val="en-US"/>
        </w:rPr>
        <w:t xml:space="preserve">supra </w:t>
      </w:r>
      <w:r w:rsidRPr="000D6ED5">
        <w:rPr>
          <w:lang w:val="en-US"/>
        </w:rPr>
        <w:t xml:space="preserve">note </w:t>
      </w:r>
      <w:fldSimple w:instr=" NOTEREF _Ref427915992 \h  \* MERGEFORMAT ">
        <w:r w:rsidR="009C4D3D">
          <w:rPr>
            <w:lang w:val="en-US"/>
          </w:rPr>
          <w:t>14</w:t>
        </w:r>
      </w:fldSimple>
      <w:r w:rsidRPr="000D6ED5">
        <w:rPr>
          <w:lang w:val="en-US"/>
        </w:rPr>
        <w:t xml:space="preserve">, para. 274. See also Amoco International Finance Corporation v. Islamic Republic of Iran, 27 I.L.M. 1314 (1988), para. 112 (“as a </w:t>
      </w:r>
      <w:r w:rsidRPr="000D6ED5">
        <w:rPr>
          <w:i/>
          <w:lang w:val="en-US"/>
        </w:rPr>
        <w:t>lex specialis</w:t>
      </w:r>
      <w:r w:rsidRPr="000D6ED5">
        <w:rPr>
          <w:lang w:val="en-US"/>
        </w:rPr>
        <w:t xml:space="preserve"> in the relations between the two countries, the Treaty supersedes the </w:t>
      </w:r>
      <w:r w:rsidRPr="000D6ED5">
        <w:rPr>
          <w:i/>
          <w:lang w:val="en-US"/>
        </w:rPr>
        <w:t>lex generalis</w:t>
      </w:r>
      <w:r w:rsidRPr="000D6ED5">
        <w:rPr>
          <w:lang w:val="en-US"/>
        </w:rPr>
        <w:t>, namely customary international law”).</w:t>
      </w:r>
    </w:p>
  </w:footnote>
  <w:footnote w:id="32">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i/>
          <w:lang w:val="en-US"/>
        </w:rPr>
        <w:t>Supra</w:t>
      </w:r>
      <w:r w:rsidRPr="000D6ED5">
        <w:rPr>
          <w:lang w:val="en-US"/>
        </w:rPr>
        <w:t xml:space="preserve"> note </w:t>
      </w:r>
      <w:fldSimple w:instr=" NOTEREF _Ref445907154 \h  \* MERGEFORMAT ">
        <w:r w:rsidR="009C4D3D">
          <w:rPr>
            <w:lang w:val="en-US"/>
          </w:rPr>
          <w:t>22</w:t>
        </w:r>
      </w:fldSimple>
      <w:r w:rsidRPr="000D6ED5">
        <w:rPr>
          <w:lang w:val="en-US"/>
        </w:rPr>
        <w:t>, para. 81.</w:t>
      </w:r>
    </w:p>
  </w:footnote>
  <w:footnote w:id="33">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smallCaps/>
          <w:lang w:val="en-US"/>
        </w:rPr>
        <w:t>G.J.H. van Hoof, Rethinking the Sources of International Law 117</w:t>
      </w:r>
      <w:r w:rsidRPr="000D6ED5">
        <w:rPr>
          <w:lang w:val="en-US"/>
        </w:rPr>
        <w:t xml:space="preserve"> (1983).</w:t>
      </w:r>
    </w:p>
  </w:footnote>
  <w:footnote w:id="34">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On the methodological problems posed by the identification of customary law, see </w:t>
      </w:r>
      <w:r w:rsidRPr="000D6ED5">
        <w:rPr>
          <w:smallCaps/>
          <w:lang w:val="en-US"/>
        </w:rPr>
        <w:t>Olivier Corten, Méthodologie du Droit International Public 149-78</w:t>
      </w:r>
      <w:r w:rsidRPr="000D6ED5">
        <w:rPr>
          <w:lang w:val="en-US"/>
        </w:rPr>
        <w:t xml:space="preserve"> (2009).</w:t>
      </w:r>
    </w:p>
  </w:footnote>
  <w:footnote w:id="35">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smallCaps/>
          <w:lang w:val="en-US"/>
        </w:rPr>
        <w:t>Thomas Franck, The Power of Legitimacy Among Nations 59-60</w:t>
      </w:r>
      <w:r w:rsidRPr="000D6ED5">
        <w:rPr>
          <w:i/>
          <w:lang w:val="en-US"/>
        </w:rPr>
        <w:t xml:space="preserve"> </w:t>
      </w:r>
      <w:r w:rsidRPr="000D6ED5">
        <w:rPr>
          <w:lang w:val="en-US"/>
        </w:rPr>
        <w:t>(1990).</w:t>
      </w:r>
    </w:p>
  </w:footnote>
  <w:footnote w:id="36">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smallCaps/>
          <w:lang w:val="en-US"/>
        </w:rPr>
        <w:t>Martin Dixon, Textbook on International Law</w:t>
      </w:r>
      <w:r w:rsidRPr="000D6ED5">
        <w:rPr>
          <w:lang w:val="en-US"/>
        </w:rPr>
        <w:t xml:space="preserve"> 55 (7</w:t>
      </w:r>
      <w:r w:rsidRPr="000D6ED5">
        <w:rPr>
          <w:vertAlign w:val="superscript"/>
          <w:lang w:val="en-US"/>
        </w:rPr>
        <w:t>th</w:t>
      </w:r>
      <w:r w:rsidRPr="000D6ED5">
        <w:rPr>
          <w:lang w:val="en-US"/>
        </w:rPr>
        <w:t>ed., 2013).</w:t>
      </w:r>
    </w:p>
  </w:footnote>
  <w:footnote w:id="37">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For a discussion of “source determinacy” as a signifier of progress in international law, see Thomas Skouteris, </w:t>
      </w:r>
      <w:r w:rsidRPr="000D6ED5">
        <w:rPr>
          <w:i/>
          <w:lang w:val="en-US"/>
        </w:rPr>
        <w:t>The Force of a Doctrine: Art. 38 of the PCJI Statute and the Sources of International Law</w:t>
      </w:r>
      <w:r w:rsidRPr="000D6ED5">
        <w:rPr>
          <w:lang w:val="en-US"/>
        </w:rPr>
        <w:t xml:space="preserve">, </w:t>
      </w:r>
      <w:r w:rsidRPr="000D6ED5">
        <w:rPr>
          <w:i/>
          <w:lang w:val="en-US"/>
        </w:rPr>
        <w:t>in</w:t>
      </w:r>
      <w:r w:rsidRPr="000D6ED5">
        <w:rPr>
          <w:lang w:val="en-US"/>
        </w:rPr>
        <w:t xml:space="preserve"> </w:t>
      </w:r>
      <w:r w:rsidRPr="000D6ED5">
        <w:rPr>
          <w:smallCaps/>
          <w:lang w:val="en-US"/>
        </w:rPr>
        <w:t>Events: The Force of International Law</w:t>
      </w:r>
      <w:r w:rsidRPr="000D6ED5">
        <w:rPr>
          <w:lang w:val="en-US"/>
        </w:rPr>
        <w:t xml:space="preserve"> (Fleur Johns, Richard Joyce and Sundhya Pahuja eds., 2011). The notion that the primary function of the law of treaties should be to provide certainty and security in legal relations was central to proceedings at the 1969 Vienna Conference. See </w:t>
      </w:r>
      <w:r w:rsidRPr="000D6ED5">
        <w:rPr>
          <w:i/>
          <w:lang w:val="en-US"/>
        </w:rPr>
        <w:t>United Nations Conference on The Law of Treaties</w:t>
      </w:r>
      <w:r w:rsidRPr="000D6ED5">
        <w:rPr>
          <w:lang w:val="en-US"/>
        </w:rPr>
        <w:t>, First session, Vienna, 26 March-24 May 1969, A/CONF.39/11.</w:t>
      </w:r>
    </w:p>
  </w:footnote>
  <w:footnote w:id="38">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smallCaps/>
          <w:lang w:val="en-US"/>
        </w:rPr>
        <w:t>Research Handbook on the Law of Treaties</w:t>
      </w:r>
      <w:r w:rsidRPr="000D6ED5">
        <w:rPr>
          <w:lang w:val="en-US"/>
        </w:rPr>
        <w:t xml:space="preserve"> X (Christian Tams, Antonios Tzanakopoulos and Andreas Zimmermann eds., 2014).</w:t>
      </w:r>
    </w:p>
  </w:footnote>
  <w:footnote w:id="39">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On the treaty as an instrument of legal innovation/renovation in a fast-moving world, see </w:t>
      </w:r>
      <w:r w:rsidRPr="000D6ED5">
        <w:rPr>
          <w:smallCaps/>
          <w:lang w:val="en-US"/>
        </w:rPr>
        <w:t>Charles de Visscher, Theory and Reality in Public International Law 162</w:t>
      </w:r>
      <w:r w:rsidRPr="000D6ED5">
        <w:rPr>
          <w:lang w:val="en-US"/>
        </w:rPr>
        <w:t xml:space="preserve"> (1968); </w:t>
      </w:r>
      <w:r w:rsidRPr="000D6ED5">
        <w:rPr>
          <w:smallCaps/>
          <w:lang w:val="en-US"/>
        </w:rPr>
        <w:t>Friedmann</w:t>
      </w:r>
      <w:r w:rsidRPr="000D6ED5">
        <w:rPr>
          <w:lang w:val="en-US"/>
        </w:rPr>
        <w:t xml:space="preserve">, </w:t>
      </w:r>
      <w:r w:rsidRPr="000D6ED5">
        <w:rPr>
          <w:i/>
          <w:lang w:val="en-US"/>
        </w:rPr>
        <w:t xml:space="preserve">supra </w:t>
      </w:r>
      <w:r w:rsidRPr="000D6ED5">
        <w:rPr>
          <w:lang w:val="en-US"/>
        </w:rPr>
        <w:t xml:space="preserve">note </w:t>
      </w:r>
      <w:fldSimple w:instr=" NOTEREF _Ref428010147 \h  \* MERGEFORMAT ">
        <w:r w:rsidR="009C4D3D">
          <w:rPr>
            <w:lang w:val="en-US"/>
          </w:rPr>
          <w:t>20</w:t>
        </w:r>
      </w:fldSimple>
      <w:r w:rsidRPr="000D6ED5">
        <w:rPr>
          <w:lang w:val="en-US"/>
        </w:rPr>
        <w:t>, at 123-4.</w:t>
      </w:r>
    </w:p>
  </w:footnote>
  <w:footnote w:id="40">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On the versatility of treaties, see generally Michel Virally, </w:t>
      </w:r>
      <w:r w:rsidRPr="000D6ED5">
        <w:rPr>
          <w:i/>
          <w:lang w:val="en-US"/>
        </w:rPr>
        <w:t>The Sources of International Law</w:t>
      </w:r>
      <w:r w:rsidRPr="000D6ED5">
        <w:rPr>
          <w:lang w:val="en-US"/>
        </w:rPr>
        <w:t>,</w:t>
      </w:r>
      <w:r w:rsidRPr="000D6ED5">
        <w:rPr>
          <w:i/>
          <w:lang w:val="en-US"/>
        </w:rPr>
        <w:t xml:space="preserve"> in</w:t>
      </w:r>
      <w:r w:rsidRPr="000D6ED5">
        <w:rPr>
          <w:lang w:val="en-US"/>
        </w:rPr>
        <w:t xml:space="preserve"> </w:t>
      </w:r>
      <w:r w:rsidRPr="000D6ED5">
        <w:rPr>
          <w:smallCaps/>
          <w:lang w:val="en-US"/>
        </w:rPr>
        <w:t>Manual of Public International Law</w:t>
      </w:r>
      <w:r w:rsidRPr="000D6ED5">
        <w:rPr>
          <w:lang w:val="en-US"/>
        </w:rPr>
        <w:t xml:space="preserve"> 123-4 (Max Sorensen ed., 1968).</w:t>
      </w:r>
    </w:p>
  </w:footnote>
  <w:footnote w:id="41">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smallCaps/>
          <w:lang w:val="en-US"/>
        </w:rPr>
        <w:t>Boyle and Chinkin</w:t>
      </w:r>
      <w:r w:rsidRPr="000D6ED5">
        <w:rPr>
          <w:lang w:val="en-US"/>
        </w:rPr>
        <w:t xml:space="preserve">, </w:t>
      </w:r>
      <w:r w:rsidRPr="000D6ED5">
        <w:rPr>
          <w:i/>
          <w:lang w:val="en-US"/>
        </w:rPr>
        <w:t xml:space="preserve">supra </w:t>
      </w:r>
      <w:r w:rsidRPr="000D6ED5">
        <w:rPr>
          <w:lang w:val="en-US"/>
        </w:rPr>
        <w:t xml:space="preserve">note </w:t>
      </w:r>
      <w:fldSimple w:instr=" NOTEREF _Ref428024456 \h  \* MERGEFORMAT ">
        <w:r w:rsidR="009C4D3D">
          <w:rPr>
            <w:lang w:val="en-US"/>
          </w:rPr>
          <w:t>4</w:t>
        </w:r>
      </w:fldSimple>
      <w:r w:rsidRPr="000D6ED5">
        <w:rPr>
          <w:lang w:val="en-US"/>
        </w:rPr>
        <w:t>, at 31.</w:t>
      </w:r>
    </w:p>
  </w:footnote>
  <w:footnote w:id="42">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i/>
          <w:lang w:val="en-US"/>
        </w:rPr>
        <w:t>See</w:t>
      </w:r>
      <w:r w:rsidRPr="000D6ED5">
        <w:rPr>
          <w:lang w:val="en-US"/>
        </w:rPr>
        <w:t xml:space="preserve">, </w:t>
      </w:r>
      <w:r w:rsidRPr="000D6ED5">
        <w:rPr>
          <w:i/>
          <w:lang w:val="en-US"/>
        </w:rPr>
        <w:t>e.g.</w:t>
      </w:r>
      <w:r w:rsidRPr="000D6ED5">
        <w:rPr>
          <w:lang w:val="en-US"/>
        </w:rPr>
        <w:t xml:space="preserve">, Lars Markert and Catharine Titi, </w:t>
      </w:r>
      <w:r w:rsidRPr="000D6ED5">
        <w:rPr>
          <w:i/>
          <w:lang w:val="en-US"/>
        </w:rPr>
        <w:t>States Strike Back – Old and New Ways for Host States to Defend Against Investment Arbitrations</w:t>
      </w:r>
      <w:r w:rsidRPr="000D6ED5">
        <w:rPr>
          <w:lang w:val="en-US"/>
        </w:rPr>
        <w:t xml:space="preserve">, </w:t>
      </w:r>
      <w:r w:rsidRPr="000D6ED5">
        <w:rPr>
          <w:i/>
          <w:lang w:val="en-US"/>
        </w:rPr>
        <w:t>in</w:t>
      </w:r>
      <w:r w:rsidRPr="000D6ED5">
        <w:rPr>
          <w:lang w:val="en-US"/>
        </w:rPr>
        <w:t xml:space="preserve"> </w:t>
      </w:r>
      <w:r w:rsidRPr="000D6ED5">
        <w:rPr>
          <w:smallCaps/>
          <w:lang w:val="en-US"/>
        </w:rPr>
        <w:t>Yearbook on International Investment Law &amp; Policy: 2013-2014</w:t>
      </w:r>
      <w:r w:rsidRPr="000D6ED5">
        <w:rPr>
          <w:i/>
          <w:lang w:val="en-US"/>
        </w:rPr>
        <w:t xml:space="preserve"> </w:t>
      </w:r>
      <w:r w:rsidRPr="000D6ED5">
        <w:rPr>
          <w:lang w:val="en-US"/>
        </w:rPr>
        <w:t>(Andrea Bjorklund ed., 2015).</w:t>
      </w:r>
    </w:p>
  </w:footnote>
  <w:footnote w:id="43">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Whether greater NGO participation necessarily leads to enhanced legitimacy is of course questionable. See on this point Kenneth Anderson and David Rieff, </w:t>
      </w:r>
      <w:r w:rsidRPr="000D6ED5">
        <w:rPr>
          <w:i/>
          <w:lang w:val="en-US"/>
        </w:rPr>
        <w:t>Global Civil Society: A Sceptical View,</w:t>
      </w:r>
      <w:r w:rsidRPr="000D6ED5">
        <w:rPr>
          <w:lang w:val="en-US"/>
        </w:rPr>
        <w:t xml:space="preserve"> </w:t>
      </w:r>
      <w:r w:rsidRPr="000D6ED5">
        <w:rPr>
          <w:i/>
          <w:lang w:val="en-US"/>
        </w:rPr>
        <w:t>in</w:t>
      </w:r>
      <w:r w:rsidRPr="000D6ED5">
        <w:rPr>
          <w:lang w:val="en-US"/>
        </w:rPr>
        <w:t xml:space="preserve"> </w:t>
      </w:r>
      <w:r w:rsidRPr="000D6ED5">
        <w:rPr>
          <w:smallCaps/>
          <w:lang w:val="en-US"/>
        </w:rPr>
        <w:t>Global Civil Society</w:t>
      </w:r>
      <w:r w:rsidRPr="000D6ED5">
        <w:rPr>
          <w:i/>
          <w:lang w:val="en-US"/>
        </w:rPr>
        <w:t xml:space="preserve"> </w:t>
      </w:r>
      <w:r w:rsidRPr="000D6ED5">
        <w:rPr>
          <w:lang w:val="en-US"/>
        </w:rPr>
        <w:t xml:space="preserve">(Helmut Anheier, Marlies Glasius and Mary Kaldor eds., 2005); </w:t>
      </w:r>
      <w:r w:rsidRPr="000D6ED5">
        <w:rPr>
          <w:smallCaps/>
          <w:lang w:val="en-US"/>
        </w:rPr>
        <w:t>Boyle and Chinkin</w:t>
      </w:r>
      <w:r w:rsidRPr="000D6ED5">
        <w:rPr>
          <w:lang w:val="en-US"/>
        </w:rPr>
        <w:t xml:space="preserve">, </w:t>
      </w:r>
      <w:r w:rsidRPr="000D6ED5">
        <w:rPr>
          <w:i/>
          <w:lang w:val="en-US"/>
        </w:rPr>
        <w:t xml:space="preserve">supra </w:t>
      </w:r>
      <w:r w:rsidRPr="000D6ED5">
        <w:rPr>
          <w:lang w:val="en-US"/>
        </w:rPr>
        <w:t xml:space="preserve">note </w:t>
      </w:r>
      <w:fldSimple w:instr=" NOTEREF _Ref428024456 \h  \* MERGEFORMAT ">
        <w:r w:rsidR="009C4D3D">
          <w:rPr>
            <w:lang w:val="en-US"/>
          </w:rPr>
          <w:t>4</w:t>
        </w:r>
      </w:fldSimple>
      <w:r w:rsidRPr="000D6ED5">
        <w:rPr>
          <w:lang w:val="en-US"/>
        </w:rPr>
        <w:t>, at 59-61.</w:t>
      </w:r>
    </w:p>
  </w:footnote>
  <w:footnote w:id="44">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smallCaps/>
          <w:lang w:val="en-US"/>
        </w:rPr>
        <w:t>Klabbers</w:t>
      </w:r>
      <w:r w:rsidRPr="000D6ED5">
        <w:rPr>
          <w:lang w:val="en-US"/>
        </w:rPr>
        <w:t xml:space="preserve">, </w:t>
      </w:r>
      <w:r w:rsidRPr="000D6ED5">
        <w:rPr>
          <w:i/>
          <w:lang w:val="en-US"/>
        </w:rPr>
        <w:t xml:space="preserve">supra </w:t>
      </w:r>
      <w:r w:rsidRPr="000D6ED5">
        <w:rPr>
          <w:lang w:val="en-US"/>
        </w:rPr>
        <w:t xml:space="preserve">note </w:t>
      </w:r>
      <w:fldSimple w:instr=" NOTEREF _Ref427851248 \h  \* MERGEFORMAT ">
        <w:r w:rsidR="009C4D3D">
          <w:rPr>
            <w:lang w:val="en-US"/>
          </w:rPr>
          <w:t>13</w:t>
        </w:r>
      </w:fldSimple>
      <w:r w:rsidRPr="000D6ED5">
        <w:rPr>
          <w:lang w:val="en-US"/>
        </w:rPr>
        <w:t xml:space="preserve">, at 37; Rüdiger Wolfrum, </w:t>
      </w:r>
      <w:r w:rsidRPr="000D6ED5">
        <w:rPr>
          <w:i/>
          <w:lang w:val="en-US"/>
        </w:rPr>
        <w:t>Legitimacy of International Law from a Legal Perspective : Some Introductory Considerations</w:t>
      </w:r>
      <w:r w:rsidRPr="000D6ED5">
        <w:rPr>
          <w:lang w:val="en-US"/>
        </w:rPr>
        <w:t xml:space="preserve">, </w:t>
      </w:r>
      <w:r w:rsidRPr="000D6ED5">
        <w:rPr>
          <w:i/>
          <w:lang w:val="en-US"/>
        </w:rPr>
        <w:t>in</w:t>
      </w:r>
      <w:r w:rsidRPr="000D6ED5">
        <w:rPr>
          <w:lang w:val="en-US"/>
        </w:rPr>
        <w:t xml:space="preserve"> </w:t>
      </w:r>
      <w:r w:rsidRPr="000D6ED5">
        <w:rPr>
          <w:smallCaps/>
          <w:lang w:val="en-US"/>
        </w:rPr>
        <w:t>Legitimacy in International Law</w:t>
      </w:r>
      <w:r w:rsidRPr="000D6ED5">
        <w:rPr>
          <w:lang w:val="en-US"/>
        </w:rPr>
        <w:t xml:space="preserve"> 6 (Rüdiger Wolfrum and Volker Röben eds., 2008).</w:t>
      </w:r>
    </w:p>
  </w:footnote>
  <w:footnote w:id="45">
    <w:p w:rsidR="00E7644E" w:rsidRPr="000D6ED5" w:rsidRDefault="00E7644E" w:rsidP="0071574A">
      <w:pPr>
        <w:pStyle w:val="FootnoteText"/>
        <w:tabs>
          <w:tab w:val="left" w:pos="426"/>
        </w:tabs>
        <w:jc w:val="both"/>
        <w:rPr>
          <w:smallCaps/>
          <w:lang w:val="en-US"/>
        </w:rPr>
      </w:pPr>
      <w:r w:rsidRPr="000D6ED5">
        <w:rPr>
          <w:rStyle w:val="FootnoteReference"/>
          <w:lang w:val="en-US"/>
        </w:rPr>
        <w:footnoteRef/>
      </w:r>
      <w:r w:rsidRPr="000D6ED5">
        <w:rPr>
          <w:lang w:val="en-US"/>
        </w:rPr>
        <w:t xml:space="preserve"> </w:t>
      </w:r>
      <w:r w:rsidRPr="000D6ED5">
        <w:rPr>
          <w:smallCaps/>
          <w:lang w:val="en-US"/>
        </w:rPr>
        <w:t>Franck</w:t>
      </w:r>
      <w:r w:rsidRPr="000D6ED5">
        <w:rPr>
          <w:lang w:val="en-US"/>
        </w:rPr>
        <w:t xml:space="preserve">, </w:t>
      </w:r>
      <w:r w:rsidRPr="000D6ED5">
        <w:rPr>
          <w:i/>
          <w:lang w:val="en-US"/>
        </w:rPr>
        <w:t xml:space="preserve">supra </w:t>
      </w:r>
      <w:r w:rsidRPr="000D6ED5">
        <w:rPr>
          <w:lang w:val="en-US"/>
        </w:rPr>
        <w:t xml:space="preserve">note </w:t>
      </w:r>
      <w:fldSimple w:instr=" NOTEREF _Ref428029119 \h  \* MERGEFORMAT ">
        <w:r w:rsidR="009C4D3D">
          <w:rPr>
            <w:lang w:val="en-US"/>
          </w:rPr>
          <w:t>34</w:t>
        </w:r>
      </w:fldSimple>
      <w:r w:rsidRPr="000D6ED5">
        <w:rPr>
          <w:lang w:val="en-US"/>
        </w:rPr>
        <w:t xml:space="preserve">; and </w:t>
      </w:r>
      <w:r w:rsidRPr="000D6ED5">
        <w:rPr>
          <w:i/>
          <w:lang w:val="en-US"/>
        </w:rPr>
        <w:t>Legitimacy in the International System</w:t>
      </w:r>
      <w:r w:rsidRPr="000D6ED5">
        <w:rPr>
          <w:lang w:val="en-US"/>
        </w:rPr>
        <w:t xml:space="preserve">, 82 </w:t>
      </w:r>
      <w:r w:rsidRPr="000D6ED5">
        <w:rPr>
          <w:smallCaps/>
          <w:lang w:val="en-US"/>
        </w:rPr>
        <w:t>Am. J. Int’l L. 705 (1988).</w:t>
      </w:r>
    </w:p>
  </w:footnote>
  <w:footnote w:id="46">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smallCaps/>
          <w:lang w:val="en-US"/>
        </w:rPr>
        <w:t>Lassa Oppenheim, International Law – A Treatise, vol. I, 24</w:t>
      </w:r>
      <w:r w:rsidRPr="000D6ED5">
        <w:rPr>
          <w:lang w:val="en-US"/>
        </w:rPr>
        <w:t xml:space="preserve"> (1905).</w:t>
      </w:r>
    </w:p>
  </w:footnote>
  <w:footnote w:id="47">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i/>
          <w:lang w:val="en-US"/>
        </w:rPr>
        <w:t>Id</w:t>
      </w:r>
      <w:r w:rsidRPr="000D6ED5">
        <w:rPr>
          <w:lang w:val="en-US"/>
        </w:rPr>
        <w:t>.</w:t>
      </w:r>
    </w:p>
  </w:footnote>
  <w:footnote w:id="48">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smallCaps/>
          <w:lang w:val="en-US"/>
        </w:rPr>
        <w:t>Lauterpacht</w:t>
      </w:r>
      <w:r w:rsidRPr="000D6ED5">
        <w:rPr>
          <w:lang w:val="en-US"/>
        </w:rPr>
        <w:t xml:space="preserve">, </w:t>
      </w:r>
      <w:r w:rsidRPr="000D6ED5">
        <w:rPr>
          <w:i/>
          <w:lang w:val="en-US"/>
        </w:rPr>
        <w:t xml:space="preserve">supra </w:t>
      </w:r>
      <w:r w:rsidRPr="000D6ED5">
        <w:rPr>
          <w:lang w:val="en-US"/>
        </w:rPr>
        <w:t xml:space="preserve">note </w:t>
      </w:r>
      <w:fldSimple w:instr=" NOTEREF _Ref428196622 \h  \* MERGEFORMAT ">
        <w:r w:rsidR="009C4D3D">
          <w:rPr>
            <w:lang w:val="en-US"/>
          </w:rPr>
          <w:t>27</w:t>
        </w:r>
      </w:fldSimple>
      <w:r w:rsidRPr="000D6ED5">
        <w:rPr>
          <w:lang w:val="en-US"/>
        </w:rPr>
        <w:t>, at 58.</w:t>
      </w:r>
    </w:p>
  </w:footnote>
  <w:footnote w:id="49">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smallCaps/>
          <w:lang w:val="en-US"/>
        </w:rPr>
        <w:t>Hans Kelsen, General Theory of Law and State</w:t>
      </w:r>
      <w:r w:rsidRPr="000D6ED5">
        <w:rPr>
          <w:lang w:val="en-US"/>
        </w:rPr>
        <w:t xml:space="preserve"> 369 (1945).</w:t>
      </w:r>
    </w:p>
  </w:footnote>
  <w:footnote w:id="50">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smallCaps/>
          <w:lang w:val="en-US"/>
        </w:rPr>
        <w:t>Paul Reuter, Introduction to the Law of Treaties</w:t>
      </w:r>
      <w:r w:rsidRPr="000D6ED5">
        <w:rPr>
          <w:lang w:val="en-US"/>
        </w:rPr>
        <w:t xml:space="preserve"> 29 (1989).</w:t>
      </w:r>
    </w:p>
  </w:footnote>
  <w:footnote w:id="51">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smallCaps/>
          <w:lang w:val="en-US"/>
        </w:rPr>
        <w:t>James Crawford, Chance, Order, Change: The Course of International Law</w:t>
      </w:r>
      <w:r w:rsidRPr="000D6ED5">
        <w:rPr>
          <w:lang w:val="en-US"/>
        </w:rPr>
        <w:t xml:space="preserve"> 57 (2014).</w:t>
      </w:r>
    </w:p>
  </w:footnote>
  <w:footnote w:id="52">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Brigitte Stern, </w:t>
      </w:r>
      <w:r w:rsidRPr="000D6ED5">
        <w:rPr>
          <w:i/>
          <w:lang w:val="en-US"/>
        </w:rPr>
        <w:t>Custom at the Heart of International Law</w:t>
      </w:r>
      <w:r w:rsidRPr="000D6ED5">
        <w:rPr>
          <w:lang w:val="en-US"/>
        </w:rPr>
        <w:t xml:space="preserve">, 11 </w:t>
      </w:r>
      <w:r w:rsidRPr="000D6ED5">
        <w:rPr>
          <w:smallCaps/>
          <w:lang w:val="en-US"/>
        </w:rPr>
        <w:t>Duke J’l Comp. &amp; Int’l L.</w:t>
      </w:r>
      <w:r w:rsidRPr="000D6ED5">
        <w:rPr>
          <w:lang w:val="en-US"/>
        </w:rPr>
        <w:t xml:space="preserve"> 89 (2001).</w:t>
      </w:r>
    </w:p>
  </w:footnote>
  <w:footnote w:id="53">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The notion that the rule </w:t>
      </w:r>
      <w:r w:rsidRPr="000D6ED5">
        <w:rPr>
          <w:i/>
          <w:lang w:val="en-US"/>
        </w:rPr>
        <w:t xml:space="preserve">pacta sunt servanda </w:t>
      </w:r>
      <w:r w:rsidRPr="000D6ED5">
        <w:rPr>
          <w:lang w:val="en-US"/>
        </w:rPr>
        <w:t xml:space="preserve">is a customary rule is of course open to question. Kelsen himself eventually abandoned this view, arguing instead that the rule </w:t>
      </w:r>
      <w:r w:rsidRPr="000D6ED5">
        <w:rPr>
          <w:i/>
          <w:lang w:val="en-US"/>
        </w:rPr>
        <w:t>pacta sunt servanda</w:t>
      </w:r>
      <w:r w:rsidRPr="000D6ED5">
        <w:rPr>
          <w:lang w:val="en-US"/>
        </w:rPr>
        <w:t xml:space="preserve"> is an axiom incapable of juridical demonstration and not itself a part of the system of positive law. See </w:t>
      </w:r>
      <w:r w:rsidRPr="000D6ED5">
        <w:rPr>
          <w:smallCaps/>
          <w:lang w:val="en-US"/>
        </w:rPr>
        <w:t>Hans Kelsen, Principles of International Law</w:t>
      </w:r>
      <w:r w:rsidRPr="000D6ED5">
        <w:rPr>
          <w:lang w:val="en-US"/>
        </w:rPr>
        <w:t xml:space="preserve"> 26-8 (2</w:t>
      </w:r>
      <w:r w:rsidRPr="000D6ED5">
        <w:rPr>
          <w:vertAlign w:val="superscript"/>
          <w:lang w:val="en-US"/>
        </w:rPr>
        <w:t>nd</w:t>
      </w:r>
      <w:r w:rsidRPr="000D6ED5">
        <w:rPr>
          <w:lang w:val="en-US"/>
        </w:rPr>
        <w:t>ed., 1966).</w:t>
      </w:r>
    </w:p>
  </w:footnote>
  <w:footnote w:id="54">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Gerald Fitzmaurice, </w:t>
      </w:r>
      <w:r w:rsidRPr="000D6ED5">
        <w:rPr>
          <w:i/>
          <w:lang w:val="en-US"/>
        </w:rPr>
        <w:t>Some Problems Regarding the Formal Sources of International Law</w:t>
      </w:r>
      <w:r w:rsidRPr="000D6ED5">
        <w:rPr>
          <w:lang w:val="en-US"/>
        </w:rPr>
        <w:t xml:space="preserve">, </w:t>
      </w:r>
      <w:r w:rsidRPr="000D6ED5">
        <w:rPr>
          <w:i/>
          <w:lang w:val="en-US"/>
        </w:rPr>
        <w:t>in</w:t>
      </w:r>
      <w:r w:rsidRPr="000D6ED5">
        <w:rPr>
          <w:lang w:val="en-US"/>
        </w:rPr>
        <w:t xml:space="preserve"> </w:t>
      </w:r>
      <w:r w:rsidRPr="000D6ED5">
        <w:rPr>
          <w:smallCaps/>
          <w:lang w:val="en-US"/>
        </w:rPr>
        <w:t>Symbolae Verzijl 157-8</w:t>
      </w:r>
      <w:r w:rsidRPr="000D6ED5">
        <w:rPr>
          <w:i/>
          <w:lang w:val="en-US"/>
        </w:rPr>
        <w:t xml:space="preserve"> </w:t>
      </w:r>
      <w:r w:rsidRPr="000D6ED5">
        <w:rPr>
          <w:lang w:val="en-US"/>
        </w:rPr>
        <w:t xml:space="preserve">(1958). For a rebuttal, see Maurice Mendelson, </w:t>
      </w:r>
      <w:r w:rsidRPr="000D6ED5">
        <w:rPr>
          <w:i/>
          <w:lang w:val="en-US"/>
        </w:rPr>
        <w:t>Are Treaties Merely a Source of Obligation?</w:t>
      </w:r>
      <w:r w:rsidRPr="000D6ED5">
        <w:rPr>
          <w:lang w:val="en-US"/>
        </w:rPr>
        <w:t xml:space="preserve">, </w:t>
      </w:r>
      <w:r w:rsidRPr="000D6ED5">
        <w:rPr>
          <w:i/>
          <w:lang w:val="en-US"/>
        </w:rPr>
        <w:t>in</w:t>
      </w:r>
      <w:r w:rsidRPr="000D6ED5">
        <w:rPr>
          <w:lang w:val="en-US"/>
        </w:rPr>
        <w:t xml:space="preserve"> </w:t>
      </w:r>
      <w:r w:rsidRPr="000D6ED5">
        <w:rPr>
          <w:smallCaps/>
          <w:lang w:val="en-US"/>
        </w:rPr>
        <w:t>Perestroika and International Law</w:t>
      </w:r>
      <w:r w:rsidRPr="000D6ED5">
        <w:rPr>
          <w:lang w:val="en-US"/>
        </w:rPr>
        <w:t xml:space="preserve"> (William Butler ed., 1990).</w:t>
      </w:r>
    </w:p>
  </w:footnote>
  <w:footnote w:id="55">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smallCaps/>
          <w:lang w:val="en-US"/>
        </w:rPr>
        <w:t>Parry</w:t>
      </w:r>
      <w:r w:rsidRPr="000D6ED5">
        <w:rPr>
          <w:lang w:val="en-US"/>
        </w:rPr>
        <w:t xml:space="preserve">, </w:t>
      </w:r>
      <w:r w:rsidRPr="000D6ED5">
        <w:rPr>
          <w:i/>
          <w:lang w:val="en-US"/>
        </w:rPr>
        <w:t xml:space="preserve">supra </w:t>
      </w:r>
      <w:r w:rsidRPr="000D6ED5">
        <w:rPr>
          <w:lang w:val="en-US"/>
        </w:rPr>
        <w:t xml:space="preserve">note </w:t>
      </w:r>
      <w:fldSimple w:instr=" NOTEREF _Ref428203700 \h  \* MERGEFORMAT ">
        <w:r w:rsidR="009C4D3D">
          <w:rPr>
            <w:lang w:val="en-US"/>
          </w:rPr>
          <w:t>17</w:t>
        </w:r>
      </w:fldSimple>
      <w:r w:rsidRPr="000D6ED5">
        <w:rPr>
          <w:lang w:val="en-US"/>
        </w:rPr>
        <w:t>, at 34.</w:t>
      </w:r>
    </w:p>
  </w:footnote>
  <w:footnote w:id="56">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i/>
          <w:lang w:val="en-US"/>
        </w:rPr>
        <w:t>Id.</w:t>
      </w:r>
      <w:r w:rsidRPr="000D6ED5">
        <w:rPr>
          <w:lang w:val="en-US"/>
        </w:rPr>
        <w:t>, at 35.</w:t>
      </w:r>
    </w:p>
  </w:footnote>
  <w:footnote w:id="57">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smallCaps/>
          <w:lang w:val="en-US"/>
        </w:rPr>
        <w:t>Ian Brownlie, Principles of Public International Law</w:t>
      </w:r>
      <w:r w:rsidRPr="000D6ED5">
        <w:rPr>
          <w:lang w:val="en-US"/>
        </w:rPr>
        <w:t xml:space="preserve"> 12-3 (7</w:t>
      </w:r>
      <w:r w:rsidRPr="000D6ED5">
        <w:rPr>
          <w:vertAlign w:val="superscript"/>
          <w:lang w:val="en-US"/>
        </w:rPr>
        <w:t>th</w:t>
      </w:r>
      <w:r w:rsidRPr="000D6ED5">
        <w:rPr>
          <w:lang w:val="en-US"/>
        </w:rPr>
        <w:t>ed., 2008).</w:t>
      </w:r>
    </w:p>
  </w:footnote>
  <w:footnote w:id="58">
    <w:p w:rsidR="00E7644E" w:rsidRPr="000D6ED5" w:rsidRDefault="00E7644E" w:rsidP="0071574A">
      <w:pPr>
        <w:pStyle w:val="FootnoteText"/>
        <w:jc w:val="both"/>
        <w:rPr>
          <w:smallCaps/>
          <w:lang w:val="en-US"/>
        </w:rPr>
      </w:pPr>
      <w:r w:rsidRPr="000D6ED5">
        <w:rPr>
          <w:rStyle w:val="FootnoteReference"/>
          <w:lang w:val="en-US"/>
        </w:rPr>
        <w:footnoteRef/>
      </w:r>
      <w:r w:rsidRPr="000D6ED5">
        <w:rPr>
          <w:lang w:val="en-US"/>
        </w:rPr>
        <w:t xml:space="preserve"> On the tension between the universality and integrity of treaties, see generally Catherine Redgwell, </w:t>
      </w:r>
      <w:r w:rsidRPr="000D6ED5">
        <w:rPr>
          <w:i/>
          <w:lang w:val="en-US"/>
        </w:rPr>
        <w:t>Universality or Integrity? Some Reflections on Reservations to General Multilateral Treaties</w:t>
      </w:r>
      <w:r w:rsidRPr="000D6ED5">
        <w:rPr>
          <w:lang w:val="en-US"/>
        </w:rPr>
        <w:t xml:space="preserve">, 64 </w:t>
      </w:r>
      <w:r w:rsidRPr="000D6ED5">
        <w:rPr>
          <w:smallCaps/>
          <w:lang w:val="en-US"/>
        </w:rPr>
        <w:t>Brit. Y.B. Int’l L. 245 (1993).</w:t>
      </w:r>
    </w:p>
  </w:footnote>
  <w:footnote w:id="59">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Ted Stein, </w:t>
      </w:r>
      <w:r w:rsidR="00AB15A0" w:rsidRPr="00AB15A0">
        <w:rPr>
          <w:i/>
          <w:lang w:val="en-US"/>
        </w:rPr>
        <w:t>T</w:t>
      </w:r>
      <w:r w:rsidR="00AB15A0">
        <w:rPr>
          <w:i/>
          <w:lang w:val="en-US"/>
        </w:rPr>
        <w:t>h</w:t>
      </w:r>
      <w:r w:rsidR="00AB15A0" w:rsidRPr="000D6ED5">
        <w:rPr>
          <w:i/>
          <w:lang w:val="en-US"/>
        </w:rPr>
        <w:t>e</w:t>
      </w:r>
      <w:r w:rsidRPr="000D6ED5">
        <w:rPr>
          <w:i/>
          <w:lang w:val="en-US"/>
        </w:rPr>
        <w:t xml:space="preserve"> Approach of the Different Drummer: The Principle of the Persistent Objector in International Law</w:t>
      </w:r>
      <w:r w:rsidRPr="000D6ED5">
        <w:rPr>
          <w:lang w:val="en-US"/>
        </w:rPr>
        <w:t xml:space="preserve">, 26 </w:t>
      </w:r>
      <w:r w:rsidRPr="000D6ED5">
        <w:rPr>
          <w:smallCaps/>
          <w:lang w:val="en-US"/>
        </w:rPr>
        <w:t>Harv. Int’l L. J.</w:t>
      </w:r>
      <w:r w:rsidRPr="000D6ED5">
        <w:rPr>
          <w:lang w:val="en-US"/>
        </w:rPr>
        <w:t xml:space="preserve"> 467 (1985).</w:t>
      </w:r>
    </w:p>
  </w:footnote>
  <w:footnote w:id="60">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North Sea Continental Shelf Cases, </w:t>
      </w:r>
      <w:r w:rsidRPr="000D6ED5">
        <w:rPr>
          <w:i/>
          <w:lang w:val="en-US"/>
        </w:rPr>
        <w:t xml:space="preserve">supra </w:t>
      </w:r>
      <w:r w:rsidRPr="000D6ED5">
        <w:rPr>
          <w:lang w:val="en-US"/>
        </w:rPr>
        <w:t xml:space="preserve">note </w:t>
      </w:r>
      <w:fldSimple w:instr=" NOTEREF _Ref428358885 \h  \* MERGEFORMAT ">
        <w:r w:rsidR="009C4D3D">
          <w:rPr>
            <w:lang w:val="en-US"/>
          </w:rPr>
          <w:t>29</w:t>
        </w:r>
      </w:fldSimple>
      <w:r w:rsidRPr="000D6ED5">
        <w:rPr>
          <w:lang w:val="en-US"/>
        </w:rPr>
        <w:t xml:space="preserve">, at 38-9. </w:t>
      </w:r>
    </w:p>
  </w:footnote>
  <w:footnote w:id="61">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Beckett, </w:t>
      </w:r>
      <w:r w:rsidRPr="000D6ED5">
        <w:rPr>
          <w:i/>
          <w:lang w:val="en-US"/>
        </w:rPr>
        <w:t xml:space="preserve">supra </w:t>
      </w:r>
      <w:r w:rsidRPr="000D6ED5">
        <w:rPr>
          <w:lang w:val="en-US"/>
        </w:rPr>
        <w:t xml:space="preserve">note </w:t>
      </w:r>
      <w:fldSimple w:instr=" NOTEREF _Ref428347004 \h  \* MERGEFORMAT ">
        <w:r w:rsidR="009C4D3D">
          <w:rPr>
            <w:lang w:val="en-US"/>
          </w:rPr>
          <w:t>23</w:t>
        </w:r>
      </w:fldSimple>
      <w:r w:rsidRPr="000D6ED5">
        <w:rPr>
          <w:lang w:val="en-US"/>
        </w:rPr>
        <w:t>, at 124.</w:t>
      </w:r>
    </w:p>
  </w:footnote>
  <w:footnote w:id="62">
    <w:p w:rsidR="00E7644E" w:rsidRPr="000D6ED5" w:rsidRDefault="00E7644E" w:rsidP="0071574A">
      <w:pPr>
        <w:pStyle w:val="FootnoteText"/>
        <w:jc w:val="both"/>
        <w:rPr>
          <w:lang w:val="en-US"/>
        </w:rPr>
      </w:pPr>
      <w:r w:rsidRPr="000D6ED5">
        <w:rPr>
          <w:rStyle w:val="FootnoteReference"/>
          <w:lang w:val="en-US"/>
        </w:rPr>
        <w:footnoteRef/>
      </w:r>
      <w:r w:rsidRPr="000D6ED5">
        <w:rPr>
          <w:lang w:val="en-US"/>
        </w:rPr>
        <w:t xml:space="preserve"> </w:t>
      </w:r>
      <w:r w:rsidRPr="000D6ED5">
        <w:rPr>
          <w:i/>
          <w:lang w:val="en-US"/>
        </w:rPr>
        <w:t xml:space="preserve">See </w:t>
      </w:r>
      <w:r w:rsidRPr="000D6ED5">
        <w:rPr>
          <w:lang w:val="en-US"/>
        </w:rPr>
        <w:t xml:space="preserve">Nicaragua, </w:t>
      </w:r>
      <w:r w:rsidRPr="000D6ED5">
        <w:rPr>
          <w:i/>
          <w:lang w:val="en-US"/>
        </w:rPr>
        <w:t xml:space="preserve">supra </w:t>
      </w:r>
      <w:r w:rsidRPr="000D6ED5">
        <w:rPr>
          <w:lang w:val="en-US"/>
        </w:rPr>
        <w:t xml:space="preserve">note </w:t>
      </w:r>
      <w:fldSimple w:instr=" NOTEREF _Ref427915992 \h  \* MERGEFORMAT ">
        <w:r w:rsidR="009C4D3D">
          <w:rPr>
            <w:lang w:val="en-US"/>
          </w:rPr>
          <w:t>14</w:t>
        </w:r>
      </w:fldSimple>
      <w:r w:rsidRPr="000D6ED5">
        <w:rPr>
          <w:lang w:val="en-US"/>
        </w:rPr>
        <w:t xml:space="preserve">, at 135 ("in international law there are no rules, other than such rules as may be accepted by the states concerned, by treaty or otherwise."); Barcelona Traction (Belg. v. Spain), 1970 </w:t>
      </w:r>
      <w:r w:rsidRPr="000D6ED5">
        <w:rPr>
          <w:smallCaps/>
          <w:lang w:val="en-US"/>
        </w:rPr>
        <w:t xml:space="preserve">ICJ Rep. </w:t>
      </w:r>
      <w:r w:rsidRPr="000D6ED5">
        <w:rPr>
          <w:lang w:val="en-US"/>
        </w:rPr>
        <w:t>3, at 47 ("here as elsewhere, a body of rules could only have developed with the consent of those concerned").</w:t>
      </w:r>
    </w:p>
  </w:footnote>
  <w:footnote w:id="63">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i/>
          <w:lang w:val="en-US"/>
        </w:rPr>
        <w:t>See</w:t>
      </w:r>
      <w:r w:rsidRPr="000D6ED5">
        <w:rPr>
          <w:lang w:val="en-US"/>
        </w:rPr>
        <w:t>,</w:t>
      </w:r>
      <w:r w:rsidRPr="000D6ED5">
        <w:rPr>
          <w:i/>
          <w:lang w:val="en-US"/>
        </w:rPr>
        <w:t xml:space="preserve"> e.g.</w:t>
      </w:r>
      <w:r w:rsidRPr="000D6ED5">
        <w:rPr>
          <w:lang w:val="en-US"/>
        </w:rPr>
        <w:t>,</w:t>
      </w:r>
      <w:r w:rsidRPr="000D6ED5">
        <w:rPr>
          <w:i/>
          <w:lang w:val="en-US"/>
        </w:rPr>
        <w:t xml:space="preserve"> </w:t>
      </w:r>
      <w:r w:rsidRPr="000D6ED5">
        <w:rPr>
          <w:smallCaps/>
          <w:lang w:val="en-US"/>
        </w:rPr>
        <w:t>Johann Kaspar Bluntschli, Le droit International Codifié 58</w:t>
      </w:r>
      <w:r w:rsidRPr="000D6ED5">
        <w:rPr>
          <w:i/>
          <w:lang w:val="en-US"/>
        </w:rPr>
        <w:t xml:space="preserve"> </w:t>
      </w:r>
      <w:r w:rsidRPr="000D6ED5">
        <w:rPr>
          <w:lang w:val="en-US"/>
        </w:rPr>
        <w:t>(1895) ("si le droit international était exclusivement le produit de la libre volonté des états, aucun d'eux ne serait obligé vis-à-vis des autres d'en respecter les principes, quand ces principes n'auraient pas été sanctionnés par un traité").</w:t>
      </w:r>
    </w:p>
  </w:footnote>
  <w:footnote w:id="64">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i/>
          <w:lang w:val="en-US"/>
        </w:rPr>
        <w:t>See</w:t>
      </w:r>
      <w:r w:rsidRPr="000D6ED5">
        <w:rPr>
          <w:lang w:val="en-US"/>
        </w:rPr>
        <w:t xml:space="preserve"> Nico Krisch, </w:t>
      </w:r>
      <w:r w:rsidRPr="000D6ED5">
        <w:rPr>
          <w:i/>
          <w:lang w:val="en-US"/>
        </w:rPr>
        <w:t>The Decay of Consent: International Law in an Age of Global Public Goods</w:t>
      </w:r>
      <w:r w:rsidRPr="000D6ED5">
        <w:rPr>
          <w:lang w:val="en-US"/>
        </w:rPr>
        <w:t xml:space="preserve">, 108 </w:t>
      </w:r>
      <w:r w:rsidRPr="000D6ED5">
        <w:rPr>
          <w:smallCaps/>
          <w:lang w:val="en-US"/>
        </w:rPr>
        <w:t>Am. J. Int'l L.</w:t>
      </w:r>
      <w:r w:rsidRPr="000D6ED5">
        <w:rPr>
          <w:lang w:val="en-US"/>
        </w:rPr>
        <w:t xml:space="preserve"> 1 (2014). </w:t>
      </w:r>
    </w:p>
  </w:footnote>
  <w:footnote w:id="65">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Jonathan Charney, </w:t>
      </w:r>
      <w:r w:rsidRPr="000D6ED5">
        <w:rPr>
          <w:i/>
          <w:lang w:val="en-US"/>
        </w:rPr>
        <w:t>Universal International Law</w:t>
      </w:r>
      <w:r w:rsidRPr="000D6ED5">
        <w:rPr>
          <w:lang w:val="en-US"/>
        </w:rPr>
        <w:t xml:space="preserve">, 87 </w:t>
      </w:r>
      <w:r w:rsidRPr="000D6ED5">
        <w:rPr>
          <w:smallCaps/>
          <w:lang w:val="en-US"/>
        </w:rPr>
        <w:t>Am. J. Int'l L.</w:t>
      </w:r>
      <w:r w:rsidRPr="000D6ED5">
        <w:rPr>
          <w:lang w:val="en-US"/>
        </w:rPr>
        <w:t xml:space="preserve"> 529 (1993).</w:t>
      </w:r>
    </w:p>
  </w:footnote>
  <w:footnote w:id="66">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Christian Tomuschat, </w:t>
      </w:r>
      <w:r w:rsidRPr="000D6ED5">
        <w:rPr>
          <w:i/>
          <w:lang w:val="en-US"/>
        </w:rPr>
        <w:t>Obligations Arising for States Without or Against their Will</w:t>
      </w:r>
      <w:r w:rsidRPr="000D6ED5">
        <w:rPr>
          <w:lang w:val="en-US"/>
        </w:rPr>
        <w:t xml:space="preserve">, 241 </w:t>
      </w:r>
      <w:r w:rsidRPr="000D6ED5">
        <w:rPr>
          <w:smallCaps/>
          <w:lang w:val="en-US"/>
        </w:rPr>
        <w:t>Recueil des Cours</w:t>
      </w:r>
      <w:r w:rsidRPr="000D6ED5">
        <w:rPr>
          <w:lang w:val="en-US"/>
        </w:rPr>
        <w:t xml:space="preserve"> 195 (1993).</w:t>
      </w:r>
    </w:p>
  </w:footnote>
  <w:footnote w:id="67">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i/>
          <w:lang w:val="en-US"/>
        </w:rPr>
        <w:t>See</w:t>
      </w:r>
      <w:r w:rsidRPr="000D6ED5">
        <w:rPr>
          <w:lang w:val="en-US"/>
        </w:rPr>
        <w:t xml:space="preserve"> Andrew Guzman, </w:t>
      </w:r>
      <w:r w:rsidRPr="000D6ED5">
        <w:rPr>
          <w:i/>
          <w:lang w:val="en-US"/>
        </w:rPr>
        <w:t>Against Consent</w:t>
      </w:r>
      <w:r w:rsidRPr="000D6ED5">
        <w:rPr>
          <w:lang w:val="en-US"/>
        </w:rPr>
        <w:t xml:space="preserve">, 52 </w:t>
      </w:r>
      <w:r w:rsidRPr="000D6ED5">
        <w:rPr>
          <w:smallCaps/>
          <w:lang w:val="en-US"/>
        </w:rPr>
        <w:t>Va. J. Int'l L.</w:t>
      </w:r>
      <w:r w:rsidRPr="000D6ED5">
        <w:rPr>
          <w:lang w:val="en-US"/>
        </w:rPr>
        <w:t xml:space="preserve"> 747 (2011); Laurence Helfer, </w:t>
      </w:r>
      <w:r w:rsidRPr="000D6ED5">
        <w:rPr>
          <w:i/>
          <w:lang w:val="en-US"/>
        </w:rPr>
        <w:t>Nonconsensual International Lawmaking</w:t>
      </w:r>
      <w:r w:rsidRPr="000D6ED5">
        <w:rPr>
          <w:lang w:val="en-US"/>
        </w:rPr>
        <w:t xml:space="preserve">, 2008 </w:t>
      </w:r>
      <w:r w:rsidRPr="000D6ED5">
        <w:rPr>
          <w:smallCaps/>
          <w:lang w:val="en-US"/>
        </w:rPr>
        <w:t>U. Ill. L. Rev.</w:t>
      </w:r>
      <w:r w:rsidRPr="000D6ED5">
        <w:rPr>
          <w:lang w:val="en-US"/>
        </w:rPr>
        <w:t xml:space="preserve"> 71 (2008).</w:t>
      </w:r>
    </w:p>
  </w:footnote>
  <w:footnote w:id="68">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See, </w:t>
      </w:r>
      <w:r w:rsidRPr="000D6ED5">
        <w:rPr>
          <w:i/>
          <w:lang w:val="en-US"/>
        </w:rPr>
        <w:t>e.g.</w:t>
      </w:r>
      <w:r w:rsidRPr="000D6ED5">
        <w:rPr>
          <w:lang w:val="en-US"/>
        </w:rPr>
        <w:t xml:space="preserve">, </w:t>
      </w:r>
      <w:r w:rsidRPr="000D6ED5">
        <w:rPr>
          <w:smallCaps/>
          <w:lang w:val="en-US"/>
        </w:rPr>
        <w:t>Joel Trachtman, The Future of International Law: Global Government</w:t>
      </w:r>
      <w:r w:rsidRPr="000D6ED5">
        <w:rPr>
          <w:i/>
          <w:lang w:val="en-US"/>
        </w:rPr>
        <w:t xml:space="preserve"> </w:t>
      </w:r>
      <w:r w:rsidRPr="000D6ED5">
        <w:rPr>
          <w:lang w:val="en-US"/>
        </w:rPr>
        <w:t>(2013).</w:t>
      </w:r>
    </w:p>
  </w:footnote>
  <w:footnote w:id="69">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smallCaps/>
          <w:lang w:val="en-US"/>
        </w:rPr>
        <w:t>Christopher Weeramantry, Universalising International Law</w:t>
      </w:r>
      <w:r w:rsidRPr="000D6ED5">
        <w:rPr>
          <w:lang w:val="en-US"/>
        </w:rPr>
        <w:t xml:space="preserve"> 223-4 (2004).</w:t>
      </w:r>
    </w:p>
  </w:footnote>
  <w:footnote w:id="70">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i/>
          <w:lang w:val="en-US"/>
        </w:rPr>
        <w:t>Id.</w:t>
      </w:r>
    </w:p>
  </w:footnote>
  <w:footnote w:id="71">
    <w:p w:rsidR="00E7644E" w:rsidRPr="000D6ED5" w:rsidRDefault="00E7644E" w:rsidP="0071574A">
      <w:pPr>
        <w:pStyle w:val="FootnoteText"/>
        <w:jc w:val="both"/>
        <w:rPr>
          <w:lang w:val="en-US"/>
        </w:rPr>
      </w:pPr>
      <w:r w:rsidRPr="000D6ED5">
        <w:rPr>
          <w:rStyle w:val="FootnoteReference"/>
          <w:lang w:val="en-US"/>
        </w:rPr>
        <w:footnoteRef/>
      </w:r>
      <w:r w:rsidRPr="000D6ED5">
        <w:rPr>
          <w:lang w:val="en-US"/>
        </w:rPr>
        <w:t xml:space="preserve"> This critique mirrored that which was levelled earlier by the Soviet doctrine against custom, seen as entrenching the hegemony of capitalist states. See, for example, Grigorii Ivanovich Tunkin, </w:t>
      </w:r>
      <w:r w:rsidRPr="000D6ED5">
        <w:rPr>
          <w:i/>
          <w:lang w:val="en-US"/>
        </w:rPr>
        <w:t>Co-existence and International Law</w:t>
      </w:r>
      <w:r w:rsidRPr="000D6ED5">
        <w:rPr>
          <w:lang w:val="en-US"/>
        </w:rPr>
        <w:t xml:space="preserve">, 3 </w:t>
      </w:r>
      <w:r w:rsidRPr="000D6ED5">
        <w:rPr>
          <w:smallCaps/>
          <w:lang w:val="en-US"/>
        </w:rPr>
        <w:t>Recueil des Cours 3, 46-8 (1958)</w:t>
      </w:r>
      <w:r w:rsidRPr="000D6ED5">
        <w:rPr>
          <w:lang w:val="en-US"/>
        </w:rPr>
        <w:t>.</w:t>
      </w:r>
    </w:p>
  </w:footnote>
  <w:footnote w:id="72">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smallCaps/>
          <w:lang w:val="en-US"/>
        </w:rPr>
        <w:t>Mohammed Bedjaoui, Towards a New International Economic Order 137</w:t>
      </w:r>
      <w:r w:rsidRPr="000D6ED5">
        <w:rPr>
          <w:i/>
          <w:lang w:val="en-US"/>
        </w:rPr>
        <w:t xml:space="preserve"> </w:t>
      </w:r>
      <w:r w:rsidRPr="000D6ED5">
        <w:rPr>
          <w:lang w:val="en-US"/>
        </w:rPr>
        <w:t>(1979).</w:t>
      </w:r>
    </w:p>
  </w:footnote>
  <w:footnote w:id="73">
    <w:p w:rsidR="00E7644E" w:rsidRPr="000D6ED5" w:rsidRDefault="00E7644E" w:rsidP="0071574A">
      <w:pPr>
        <w:pStyle w:val="FootnoteText"/>
        <w:tabs>
          <w:tab w:val="left" w:pos="426"/>
        </w:tabs>
        <w:jc w:val="both"/>
        <w:rPr>
          <w:smallCaps/>
          <w:lang w:val="en-US"/>
        </w:rPr>
      </w:pPr>
      <w:r w:rsidRPr="000D6ED5">
        <w:rPr>
          <w:rStyle w:val="FootnoteReference"/>
          <w:lang w:val="en-US"/>
        </w:rPr>
        <w:footnoteRef/>
      </w:r>
      <w:r w:rsidRPr="000D6ED5">
        <w:rPr>
          <w:lang w:val="en-US"/>
        </w:rPr>
        <w:t xml:space="preserve"> </w:t>
      </w:r>
      <w:r w:rsidRPr="000D6ED5">
        <w:rPr>
          <w:i/>
          <w:lang w:val="en-US"/>
        </w:rPr>
        <w:t xml:space="preserve">See </w:t>
      </w:r>
      <w:r w:rsidRPr="000D6ED5">
        <w:rPr>
          <w:lang w:val="en-US"/>
        </w:rPr>
        <w:t xml:space="preserve">generally </w:t>
      </w:r>
      <w:r w:rsidRPr="000D6ED5">
        <w:rPr>
          <w:smallCaps/>
          <w:lang w:val="en-US"/>
        </w:rPr>
        <w:t>Abdulqawi Yusuf, Pan-Africanism and International Law</w:t>
      </w:r>
      <w:r w:rsidRPr="000D6ED5">
        <w:rPr>
          <w:i/>
          <w:lang w:val="en-US"/>
        </w:rPr>
        <w:t xml:space="preserve"> </w:t>
      </w:r>
      <w:r w:rsidRPr="000D6ED5">
        <w:rPr>
          <w:lang w:val="en-US"/>
        </w:rPr>
        <w:t xml:space="preserve">(2014), chapter 3; and </w:t>
      </w:r>
      <w:r w:rsidRPr="000D6ED5">
        <w:rPr>
          <w:smallCaps/>
          <w:lang w:val="en-US"/>
        </w:rPr>
        <w:t>R.P. Anand, Confrontation or Cooperation? International Law and Developing Countries 39-41 (2011).</w:t>
      </w:r>
    </w:p>
  </w:footnote>
  <w:footnote w:id="74">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smallCaps/>
          <w:lang w:val="en-US"/>
        </w:rPr>
        <w:t>Lauterpacht</w:t>
      </w:r>
      <w:r w:rsidRPr="000D6ED5">
        <w:rPr>
          <w:lang w:val="en-US"/>
        </w:rPr>
        <w:t xml:space="preserve">, </w:t>
      </w:r>
      <w:r w:rsidRPr="000D6ED5">
        <w:rPr>
          <w:i/>
          <w:lang w:val="en-US"/>
        </w:rPr>
        <w:t xml:space="preserve">supra </w:t>
      </w:r>
      <w:r w:rsidRPr="000D6ED5">
        <w:rPr>
          <w:lang w:val="en-US"/>
        </w:rPr>
        <w:t xml:space="preserve">note </w:t>
      </w:r>
      <w:fldSimple w:instr=" NOTEREF _Ref428196622 \h  \* MERGEFORMAT ">
        <w:r w:rsidR="009C4D3D">
          <w:rPr>
            <w:lang w:val="en-US"/>
          </w:rPr>
          <w:t>27</w:t>
        </w:r>
      </w:fldSimple>
      <w:r w:rsidRPr="000D6ED5">
        <w:rPr>
          <w:lang w:val="en-US"/>
        </w:rPr>
        <w:t>, at 88.</w:t>
      </w:r>
    </w:p>
  </w:footnote>
  <w:footnote w:id="75">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smallCaps/>
          <w:lang w:val="en-US"/>
        </w:rPr>
        <w:t>Hersch Lauterpacht, The Development of International Law by the International Court 387</w:t>
      </w:r>
      <w:r w:rsidRPr="000D6ED5">
        <w:rPr>
          <w:i/>
          <w:lang w:val="en-US"/>
        </w:rPr>
        <w:t xml:space="preserve"> </w:t>
      </w:r>
      <w:r w:rsidRPr="000D6ED5">
        <w:rPr>
          <w:lang w:val="en-US"/>
        </w:rPr>
        <w:t>(1982).</w:t>
      </w:r>
    </w:p>
  </w:footnote>
  <w:footnote w:id="76">
    <w:p w:rsidR="00E7644E" w:rsidRPr="000D6ED5" w:rsidRDefault="00E7644E" w:rsidP="0071574A">
      <w:pPr>
        <w:pStyle w:val="FootnoteText"/>
        <w:jc w:val="both"/>
        <w:rPr>
          <w:lang w:val="en-US"/>
        </w:rPr>
      </w:pPr>
      <w:r w:rsidRPr="000D6ED5">
        <w:rPr>
          <w:rStyle w:val="FootnoteReference"/>
          <w:lang w:val="en-US"/>
        </w:rPr>
        <w:footnoteRef/>
      </w:r>
      <w:r w:rsidRPr="000D6ED5">
        <w:rPr>
          <w:lang w:val="en-US"/>
        </w:rPr>
        <w:t xml:space="preserve"> On the historically contingent nature of sources hierarchies, see Harlan Grant Cohen, </w:t>
      </w:r>
      <w:r w:rsidRPr="000D6ED5">
        <w:rPr>
          <w:i/>
          <w:lang w:val="en-US"/>
        </w:rPr>
        <w:t>Finding International Law: Rethinking the Doctrine of Sources</w:t>
      </w:r>
      <w:r w:rsidRPr="000D6ED5">
        <w:rPr>
          <w:lang w:val="en-US"/>
        </w:rPr>
        <w:t xml:space="preserve">, 93 </w:t>
      </w:r>
      <w:r w:rsidRPr="000D6ED5">
        <w:rPr>
          <w:smallCaps/>
          <w:lang w:val="en-US"/>
        </w:rPr>
        <w:t>Iowa L. Rev. 65 (2007).</w:t>
      </w:r>
    </w:p>
  </w:footnote>
  <w:footnote w:id="77">
    <w:p w:rsidR="00E7644E" w:rsidRPr="000D6ED5" w:rsidRDefault="00E7644E" w:rsidP="0071574A">
      <w:pPr>
        <w:pStyle w:val="FootnoteText"/>
        <w:jc w:val="both"/>
        <w:rPr>
          <w:lang w:val="en-US"/>
        </w:rPr>
      </w:pPr>
      <w:r w:rsidRPr="000D6ED5">
        <w:rPr>
          <w:rStyle w:val="FootnoteReference"/>
          <w:lang w:val="en-US"/>
        </w:rPr>
        <w:footnoteRef/>
      </w:r>
      <w:r w:rsidRPr="000D6ED5">
        <w:rPr>
          <w:lang w:val="en-US"/>
        </w:rPr>
        <w:t xml:space="preserve"> Laurence R. Helfer and Ingrid B. Wuerth, </w:t>
      </w:r>
      <w:r w:rsidRPr="000D6ED5">
        <w:rPr>
          <w:i/>
          <w:lang w:val="en-US"/>
        </w:rPr>
        <w:t>Customary International Law: An Instrument Choice Perspective</w:t>
      </w:r>
      <w:r w:rsidRPr="000D6ED5">
        <w:rPr>
          <w:lang w:val="en-US"/>
        </w:rPr>
        <w:t xml:space="preserve">, 37 </w:t>
      </w:r>
      <w:r w:rsidRPr="000D6ED5">
        <w:rPr>
          <w:smallCaps/>
          <w:lang w:val="en-US"/>
        </w:rPr>
        <w:t xml:space="preserve">Mich. J. Int'l L. </w:t>
      </w:r>
      <w:r w:rsidRPr="000D6ED5">
        <w:rPr>
          <w:lang w:val="en-US"/>
        </w:rPr>
        <w:t>(forthcoming).</w:t>
      </w:r>
    </w:p>
  </w:footnote>
  <w:footnote w:id="78">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As Kennedy has demonstrated, the whole discourse on sources can be interpreted as an attempt to mediate between consensualism and non-consensualism, in order to demonstrate international law's respect for sovereign autonomy and, at the same time, its systemic authority. See Kennedy, </w:t>
      </w:r>
      <w:r w:rsidRPr="000D6ED5">
        <w:rPr>
          <w:i/>
          <w:lang w:val="en-US"/>
        </w:rPr>
        <w:t xml:space="preserve">supra </w:t>
      </w:r>
      <w:r w:rsidRPr="000D6ED5">
        <w:rPr>
          <w:lang w:val="en-US"/>
        </w:rPr>
        <w:t xml:space="preserve">note </w:t>
      </w:r>
      <w:fldSimple w:instr=" NOTEREF _Ref428432179 \h  \* MERGEFORMAT ">
        <w:r w:rsidR="009C4D3D">
          <w:rPr>
            <w:lang w:val="en-US"/>
          </w:rPr>
          <w:t>18</w:t>
        </w:r>
      </w:fldSimple>
      <w:r w:rsidRPr="000D6ED5">
        <w:rPr>
          <w:lang w:val="en-US"/>
        </w:rPr>
        <w:t>.</w:t>
      </w:r>
    </w:p>
  </w:footnote>
  <w:footnote w:id="79">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On the early history of the doctrine of sovereign equality and the influence of the philosophical ideas of Grotius, Hobbes, Locke and others on its formation, see Arnold McNair, </w:t>
      </w:r>
      <w:r w:rsidRPr="000D6ED5">
        <w:rPr>
          <w:i/>
          <w:lang w:val="en-US"/>
        </w:rPr>
        <w:t>Equality in International Law</w:t>
      </w:r>
      <w:r w:rsidRPr="000D6ED5">
        <w:rPr>
          <w:lang w:val="en-US"/>
        </w:rPr>
        <w:t xml:space="preserve">, 26 </w:t>
      </w:r>
      <w:r w:rsidRPr="000D6ED5">
        <w:rPr>
          <w:smallCaps/>
          <w:lang w:val="en-US"/>
        </w:rPr>
        <w:t>Mich. L. Rev.</w:t>
      </w:r>
      <w:r w:rsidRPr="000D6ED5">
        <w:rPr>
          <w:lang w:val="en-US"/>
        </w:rPr>
        <w:t xml:space="preserve"> 131 (1927).</w:t>
      </w:r>
    </w:p>
  </w:footnote>
  <w:footnote w:id="80">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The Antelope, 23 U.S. (10 Wheat.) 66, 122 (1825).</w:t>
      </w:r>
    </w:p>
  </w:footnote>
  <w:footnote w:id="81">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Ann Van Wynen Thomas and A. J. Thomas Jr, </w:t>
      </w:r>
      <w:r w:rsidRPr="000D6ED5">
        <w:rPr>
          <w:i/>
          <w:lang w:val="en-US"/>
        </w:rPr>
        <w:t>Equality of States in International Law - Fact or Fiction?</w:t>
      </w:r>
      <w:r w:rsidRPr="000D6ED5">
        <w:rPr>
          <w:lang w:val="en-US"/>
        </w:rPr>
        <w:t xml:space="preserve">, 37 </w:t>
      </w:r>
      <w:r w:rsidRPr="000D6ED5">
        <w:rPr>
          <w:smallCaps/>
          <w:lang w:val="en-US"/>
        </w:rPr>
        <w:t>Va. L. Rev.</w:t>
      </w:r>
      <w:r w:rsidRPr="000D6ED5">
        <w:rPr>
          <w:lang w:val="en-US"/>
        </w:rPr>
        <w:t xml:space="preserve"> 791 (1951).</w:t>
      </w:r>
    </w:p>
  </w:footnote>
  <w:footnote w:id="82">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Montevideo Convention on the Rights and Duties of States, art. 4, Dec. 26, 1933, 165 L.N.T.S. 19 ("States</w:t>
      </w:r>
    </w:p>
    <w:p w:rsidR="00E7644E" w:rsidRPr="000D6ED5" w:rsidRDefault="00E7644E" w:rsidP="0071574A">
      <w:pPr>
        <w:pStyle w:val="FootnoteText"/>
        <w:tabs>
          <w:tab w:val="left" w:pos="426"/>
        </w:tabs>
        <w:jc w:val="both"/>
        <w:rPr>
          <w:lang w:val="en-US"/>
        </w:rPr>
      </w:pPr>
      <w:r w:rsidRPr="000D6ED5">
        <w:rPr>
          <w:lang w:val="en-US"/>
        </w:rPr>
        <w:t>are juridically equal, enjoy the same rights, and have equal capacity in their exercise"); Charter of the United Nations, art. 2(1), June 26, 1945 ("The Organization is based on the principle of the sovereign equality of all its Members"); Declaration on Principles of International Law concerning Friendly Relations and Co-operation among States in Accordance with the Charter of the United Nations, G.A. Res. 2625 (XXV), U.N. Doc. A/8028 (Oct. 24, 1970) ("All States enjoy sovereign equality. They have equal rights and duties and are equal members of the international community, notwithstanding differences of an economic, social, political or other nature").</w:t>
      </w:r>
    </w:p>
  </w:footnote>
  <w:footnote w:id="83">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i/>
          <w:lang w:val="en-US"/>
        </w:rPr>
        <w:t>See</w:t>
      </w:r>
      <w:r w:rsidRPr="000D6ED5">
        <w:rPr>
          <w:lang w:val="en-US"/>
        </w:rPr>
        <w:t>,</w:t>
      </w:r>
      <w:r w:rsidRPr="000D6ED5">
        <w:rPr>
          <w:i/>
          <w:lang w:val="en-US"/>
        </w:rPr>
        <w:t xml:space="preserve"> e.g.</w:t>
      </w:r>
      <w:r w:rsidRPr="000D6ED5">
        <w:rPr>
          <w:lang w:val="en-US"/>
        </w:rPr>
        <w:t xml:space="preserve">, Jurisdictional Immunities of the State (Germany v. Italy: Greece intervening), 2012 </w:t>
      </w:r>
      <w:r w:rsidRPr="000D6ED5">
        <w:rPr>
          <w:smallCaps/>
          <w:lang w:val="en-US"/>
        </w:rPr>
        <w:t>ICJ Rep. 99,</w:t>
      </w:r>
    </w:p>
    <w:p w:rsidR="00E7644E" w:rsidRPr="000D6ED5" w:rsidRDefault="00E7644E" w:rsidP="0071574A">
      <w:pPr>
        <w:pStyle w:val="FootnoteText"/>
        <w:tabs>
          <w:tab w:val="left" w:pos="426"/>
        </w:tabs>
        <w:jc w:val="both"/>
        <w:rPr>
          <w:lang w:val="en-US"/>
        </w:rPr>
      </w:pPr>
      <w:r w:rsidRPr="000D6ED5">
        <w:rPr>
          <w:lang w:val="en-US"/>
        </w:rPr>
        <w:t xml:space="preserve">para. 57 ("the principle of sovereign equality of States .... is one of the fundamental principles of the international legal order"); </w:t>
      </w:r>
      <w:r w:rsidRPr="000D6ED5">
        <w:rPr>
          <w:smallCaps/>
          <w:lang w:val="en-US"/>
        </w:rPr>
        <w:t>Cassese</w:t>
      </w:r>
      <w:r w:rsidRPr="000D6ED5">
        <w:rPr>
          <w:lang w:val="en-US"/>
        </w:rPr>
        <w:t xml:space="preserve">, </w:t>
      </w:r>
      <w:r w:rsidRPr="000D6ED5">
        <w:rPr>
          <w:i/>
          <w:lang w:val="en-US"/>
        </w:rPr>
        <w:t xml:space="preserve">supra </w:t>
      </w:r>
      <w:r w:rsidRPr="000D6ED5">
        <w:rPr>
          <w:lang w:val="en-US"/>
        </w:rPr>
        <w:t xml:space="preserve">note </w:t>
      </w:r>
      <w:fldSimple w:instr=" NOTEREF _Ref427829950 \h  \* MERGEFORMAT ">
        <w:r w:rsidR="009C4D3D">
          <w:rPr>
            <w:lang w:val="en-US"/>
          </w:rPr>
          <w:t>3</w:t>
        </w:r>
      </w:fldSimple>
      <w:r w:rsidRPr="000D6ED5">
        <w:rPr>
          <w:lang w:val="en-US"/>
        </w:rPr>
        <w:t>, at 48 ("It is safe to conclude that sovereign equality constitutes the linchpin of the whole body of international legal standards, the fundamental premise on which all international law rest").</w:t>
      </w:r>
    </w:p>
  </w:footnote>
  <w:footnote w:id="84">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i/>
          <w:lang w:val="en-US"/>
        </w:rPr>
        <w:t>See</w:t>
      </w:r>
      <w:r w:rsidRPr="000D6ED5">
        <w:rPr>
          <w:lang w:val="en-US"/>
        </w:rPr>
        <w:t>,</w:t>
      </w:r>
      <w:r w:rsidRPr="000D6ED5">
        <w:rPr>
          <w:i/>
          <w:lang w:val="en-US"/>
        </w:rPr>
        <w:t xml:space="preserve"> e.g.</w:t>
      </w:r>
      <w:r w:rsidRPr="000D6ED5">
        <w:rPr>
          <w:lang w:val="en-US"/>
        </w:rPr>
        <w:t xml:space="preserve">, </w:t>
      </w:r>
      <w:r w:rsidRPr="000D6ED5">
        <w:rPr>
          <w:smallCaps/>
          <w:lang w:val="en-US"/>
        </w:rPr>
        <w:t>Crawford</w:t>
      </w:r>
      <w:r w:rsidRPr="000D6ED5">
        <w:rPr>
          <w:lang w:val="en-US"/>
        </w:rPr>
        <w:t xml:space="preserve">, </w:t>
      </w:r>
      <w:r w:rsidRPr="000D6ED5">
        <w:rPr>
          <w:i/>
          <w:lang w:val="en-US"/>
        </w:rPr>
        <w:t xml:space="preserve">supra </w:t>
      </w:r>
      <w:r w:rsidRPr="000D6ED5">
        <w:rPr>
          <w:lang w:val="en-US"/>
        </w:rPr>
        <w:t xml:space="preserve">note </w:t>
      </w:r>
      <w:fldSimple w:instr=" NOTEREF _Ref427852970 \h  \* MERGEFORMAT ">
        <w:r w:rsidR="009C4D3D">
          <w:rPr>
            <w:lang w:val="en-US"/>
          </w:rPr>
          <w:t>5</w:t>
        </w:r>
      </w:fldSimple>
      <w:r w:rsidRPr="000D6ED5">
        <w:rPr>
          <w:lang w:val="en-US"/>
        </w:rPr>
        <w:t>, at 449 ("obviously, the allocation of power and the capacity to project it in reality are different things, which suggests that while all states are equal, some are more equal than others").</w:t>
      </w:r>
    </w:p>
  </w:footnote>
  <w:footnote w:id="85">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On formal or "forensic" equality, see McNair, </w:t>
      </w:r>
      <w:r w:rsidRPr="000D6ED5">
        <w:rPr>
          <w:i/>
          <w:lang w:val="en-US"/>
        </w:rPr>
        <w:t xml:space="preserve">supra </w:t>
      </w:r>
      <w:r w:rsidRPr="000D6ED5">
        <w:rPr>
          <w:lang w:val="en-US"/>
        </w:rPr>
        <w:t xml:space="preserve">note </w:t>
      </w:r>
      <w:fldSimple w:instr=" NOTEREF _Ref447541879 \h  \* MERGEFORMAT ">
        <w:r w:rsidR="009C4D3D">
          <w:rPr>
            <w:lang w:val="en-US"/>
          </w:rPr>
          <w:t>78</w:t>
        </w:r>
      </w:fldSimple>
      <w:r w:rsidRPr="000D6ED5">
        <w:rPr>
          <w:lang w:val="en-US"/>
        </w:rPr>
        <w:t xml:space="preserve">, at 136 and 151 ("an international tribunal, or a municipal tribunal when giving effect to the international obligations of the State to which it belongs, pays the same attention to the rights of France as it does to the rights of Costa Rica" and "sovereign equality .... is used to denote equality before the law, equality in the assertion and vindication by law of such rights as a state may have". See also Declaration by President Basdevant of the International Court of Justice, </w:t>
      </w:r>
      <w:r w:rsidRPr="000D6ED5">
        <w:rPr>
          <w:smallCaps/>
          <w:lang w:val="en-US"/>
        </w:rPr>
        <w:t xml:space="preserve">ICJ Ybk (1950-1) </w:t>
      </w:r>
      <w:r w:rsidRPr="000D6ED5">
        <w:rPr>
          <w:lang w:val="en-US"/>
        </w:rPr>
        <w:t>at 17 ("before this Court, there are no great or small states").</w:t>
      </w:r>
    </w:p>
  </w:footnote>
  <w:footnote w:id="86">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Nicaragua, </w:t>
      </w:r>
      <w:r w:rsidRPr="000D6ED5">
        <w:rPr>
          <w:i/>
          <w:lang w:val="en-US"/>
        </w:rPr>
        <w:t xml:space="preserve">supra </w:t>
      </w:r>
      <w:r w:rsidRPr="000D6ED5">
        <w:rPr>
          <w:lang w:val="en-US"/>
        </w:rPr>
        <w:t xml:space="preserve">note </w:t>
      </w:r>
      <w:fldSimple w:instr=" NOTEREF _Ref427915992 \h  \* MERGEFORMAT ">
        <w:r w:rsidR="009C4D3D">
          <w:rPr>
            <w:lang w:val="en-US"/>
          </w:rPr>
          <w:t>14</w:t>
        </w:r>
      </w:fldSimple>
      <w:r w:rsidRPr="000D6ED5">
        <w:rPr>
          <w:lang w:val="en-US"/>
        </w:rPr>
        <w:t xml:space="preserve">, para. 258 ("every State possesses a fundamental right to choose and implement its own political, economic and social systems"). On the notion of "existential equality", see </w:t>
      </w:r>
      <w:r w:rsidRPr="000D6ED5">
        <w:rPr>
          <w:smallCaps/>
          <w:lang w:val="en-US"/>
        </w:rPr>
        <w:t>Gerry Simpson, Great Powers and Outlaw States - Unequal Sovereigns in the International Legal Order</w:t>
      </w:r>
      <w:r w:rsidRPr="000D6ED5">
        <w:rPr>
          <w:lang w:val="en-US"/>
        </w:rPr>
        <w:t xml:space="preserve"> 53-6 (2004).</w:t>
      </w:r>
    </w:p>
  </w:footnote>
  <w:footnote w:id="87">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Most of these "equality rights" are restated in the UN Friendly Relations Declaration, </w:t>
      </w:r>
      <w:r w:rsidRPr="000D6ED5">
        <w:rPr>
          <w:i/>
          <w:lang w:val="en-US"/>
        </w:rPr>
        <w:t xml:space="preserve">supra </w:t>
      </w:r>
      <w:r w:rsidRPr="000D6ED5">
        <w:rPr>
          <w:lang w:val="en-US"/>
        </w:rPr>
        <w:t xml:space="preserve">note </w:t>
      </w:r>
      <w:fldSimple w:instr=" NOTEREF _Ref447545602 \h  \* MERGEFORMAT ">
        <w:r w:rsidR="009C4D3D">
          <w:rPr>
            <w:lang w:val="en-US"/>
          </w:rPr>
          <w:t>81</w:t>
        </w:r>
      </w:fldSimple>
      <w:r w:rsidRPr="000D6ED5">
        <w:rPr>
          <w:lang w:val="en-US"/>
        </w:rPr>
        <w:t xml:space="preserve">. For an early conceptualization of sovereign equality in terms of substantive rights, see </w:t>
      </w:r>
      <w:r w:rsidRPr="000D6ED5">
        <w:rPr>
          <w:smallCaps/>
          <w:lang w:val="en-US"/>
        </w:rPr>
        <w:t>Robert Phillimore, Commentaries on International Law</w:t>
      </w:r>
      <w:r w:rsidRPr="000D6ED5">
        <w:rPr>
          <w:lang w:val="en-US"/>
        </w:rPr>
        <w:t xml:space="preserve"> 216-7 (1879), who extracted four specific "rights of equality" from the principle of sovereign equality (right of protecting subjects abroad, right to recognition, right to external marks of honor, right to make treaties).</w:t>
      </w:r>
    </w:p>
  </w:footnote>
  <w:footnote w:id="88">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McNair, </w:t>
      </w:r>
      <w:r w:rsidRPr="000D6ED5">
        <w:rPr>
          <w:i/>
          <w:lang w:val="en-US"/>
        </w:rPr>
        <w:t xml:space="preserve">supra </w:t>
      </w:r>
      <w:r w:rsidRPr="000D6ED5">
        <w:rPr>
          <w:lang w:val="en-US"/>
        </w:rPr>
        <w:t xml:space="preserve">note </w:t>
      </w:r>
      <w:fldSimple w:instr=" NOTEREF _Ref447541879 \h  \* MERGEFORMAT ">
        <w:r w:rsidR="009C4D3D">
          <w:rPr>
            <w:lang w:val="en-US"/>
          </w:rPr>
          <w:t>78</w:t>
        </w:r>
      </w:fldSimple>
      <w:r w:rsidRPr="000D6ED5">
        <w:rPr>
          <w:lang w:val="en-US"/>
        </w:rPr>
        <w:t xml:space="preserve">, at 142-7; </w:t>
      </w:r>
      <w:r w:rsidRPr="000D6ED5">
        <w:rPr>
          <w:smallCaps/>
          <w:lang w:val="en-US"/>
        </w:rPr>
        <w:t>Simpson</w:t>
      </w:r>
      <w:r w:rsidRPr="000D6ED5">
        <w:rPr>
          <w:lang w:val="en-US"/>
        </w:rPr>
        <w:t xml:space="preserve">, </w:t>
      </w:r>
      <w:r w:rsidRPr="000D6ED5">
        <w:rPr>
          <w:i/>
          <w:lang w:val="en-US"/>
        </w:rPr>
        <w:t xml:space="preserve">supra </w:t>
      </w:r>
      <w:r w:rsidRPr="000D6ED5">
        <w:rPr>
          <w:lang w:val="en-US"/>
        </w:rPr>
        <w:t xml:space="preserve">note </w:t>
      </w:r>
      <w:fldSimple w:instr=" NOTEREF _Ref447718308 \h  \* MERGEFORMAT ">
        <w:r w:rsidR="009C4D3D">
          <w:rPr>
            <w:lang w:val="en-US"/>
          </w:rPr>
          <w:t>85</w:t>
        </w:r>
      </w:fldSimple>
      <w:r w:rsidRPr="000D6ED5">
        <w:rPr>
          <w:lang w:val="en-US"/>
        </w:rPr>
        <w:t>, at 48-53.</w:t>
      </w:r>
    </w:p>
  </w:footnote>
  <w:footnote w:id="89">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The Case of the S.S. Lotus (France v Turkey), </w:t>
      </w:r>
      <w:r w:rsidRPr="000D6ED5">
        <w:rPr>
          <w:smallCaps/>
          <w:lang w:val="en-US"/>
        </w:rPr>
        <w:t>PCIJ Rep.</w:t>
      </w:r>
      <w:r w:rsidRPr="000D6ED5">
        <w:rPr>
          <w:lang w:val="en-US"/>
        </w:rPr>
        <w:t xml:space="preserve"> 1927, at 18.</w:t>
      </w:r>
    </w:p>
  </w:footnote>
  <w:footnote w:id="90">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This is how Oppenheim, in particular, envisaged sovereign equality at the turn of the 20th century. See </w:t>
      </w:r>
      <w:r w:rsidRPr="000D6ED5">
        <w:rPr>
          <w:smallCaps/>
          <w:lang w:val="en-US"/>
        </w:rPr>
        <w:t>Oppenheim</w:t>
      </w:r>
      <w:r w:rsidRPr="000D6ED5">
        <w:rPr>
          <w:lang w:val="en-US"/>
        </w:rPr>
        <w:t xml:space="preserve">, </w:t>
      </w:r>
      <w:r w:rsidRPr="000D6ED5">
        <w:rPr>
          <w:i/>
          <w:lang w:val="en-US"/>
        </w:rPr>
        <w:t xml:space="preserve">supra </w:t>
      </w:r>
      <w:r w:rsidRPr="000D6ED5">
        <w:rPr>
          <w:lang w:val="en-US"/>
        </w:rPr>
        <w:t xml:space="preserve">note </w:t>
      </w:r>
      <w:fldSimple w:instr=" NOTEREF _Ref447718962 \h  \* MERGEFORMAT ">
        <w:r w:rsidR="009C4D3D">
          <w:rPr>
            <w:lang w:val="en-US"/>
          </w:rPr>
          <w:t>45</w:t>
        </w:r>
      </w:fldSimple>
      <w:r w:rsidRPr="000D6ED5">
        <w:rPr>
          <w:lang w:val="en-US"/>
        </w:rPr>
        <w:t>, at 162 ("the consequence of .... legal equality is that, whenever a question arises which has to be settled by the consent of the members of the Family of Nations, every State has a right to  a vote, but to one vote only. And legally the vote of the weakest and smallest State has quite as much weight as the vote of the largest and most powerful").</w:t>
      </w:r>
    </w:p>
  </w:footnote>
  <w:footnote w:id="91">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On sovereign equality as autonomy, see Hans Kelsen, </w:t>
      </w:r>
      <w:r w:rsidRPr="000D6ED5">
        <w:rPr>
          <w:i/>
          <w:lang w:val="en-US"/>
        </w:rPr>
        <w:t>The Principle of Sovereign Equality of States as a Basis for International Organization</w:t>
      </w:r>
      <w:r w:rsidRPr="000D6ED5">
        <w:rPr>
          <w:lang w:val="en-US"/>
        </w:rPr>
        <w:t xml:space="preserve">, 53 </w:t>
      </w:r>
      <w:r w:rsidRPr="000D6ED5">
        <w:rPr>
          <w:smallCaps/>
          <w:lang w:val="en-US"/>
        </w:rPr>
        <w:t>Yale L. J'l</w:t>
      </w:r>
      <w:r w:rsidRPr="000D6ED5">
        <w:rPr>
          <w:lang w:val="en-US"/>
        </w:rPr>
        <w:t xml:space="preserve"> 207, 209 (1944) ("no state has jurisdiction over another state without the latter's consent .... and the courts of one state are not competent to question the validity of the acts of another state .... Understood in this way, the principle of equality is the principle of autonomy of the States as subjects of international law").</w:t>
      </w:r>
    </w:p>
  </w:footnote>
  <w:footnote w:id="92">
    <w:p w:rsidR="00E7644E" w:rsidRPr="000D6ED5" w:rsidRDefault="00E7644E" w:rsidP="0071574A">
      <w:pPr>
        <w:pStyle w:val="FootnoteText"/>
        <w:tabs>
          <w:tab w:val="left" w:pos="426"/>
        </w:tabs>
        <w:jc w:val="both"/>
        <w:rPr>
          <w:i/>
          <w:lang w:val="en-US"/>
        </w:rPr>
      </w:pPr>
      <w:r w:rsidRPr="000D6ED5">
        <w:rPr>
          <w:rStyle w:val="FootnoteReference"/>
          <w:lang w:val="en-US"/>
        </w:rPr>
        <w:footnoteRef/>
      </w:r>
      <w:r w:rsidRPr="000D6ED5">
        <w:rPr>
          <w:lang w:val="en-US"/>
        </w:rPr>
        <w:t xml:space="preserve"> For a historical account of these struggles, see generally </w:t>
      </w:r>
      <w:r w:rsidRPr="000D6ED5">
        <w:rPr>
          <w:smallCaps/>
          <w:lang w:val="en-US"/>
        </w:rPr>
        <w:t>R.P. Anand, Sovereign Equality of States in International Law</w:t>
      </w:r>
      <w:r w:rsidRPr="000D6ED5">
        <w:rPr>
          <w:lang w:val="en-US"/>
        </w:rPr>
        <w:t xml:space="preserve"> 44-92 (2008).</w:t>
      </w:r>
      <w:r w:rsidRPr="000D6ED5">
        <w:rPr>
          <w:i/>
          <w:lang w:val="en-US"/>
        </w:rPr>
        <w:t xml:space="preserve"> </w:t>
      </w:r>
    </w:p>
  </w:footnote>
  <w:footnote w:id="93">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i/>
          <w:lang w:val="en-US"/>
        </w:rPr>
        <w:t xml:space="preserve">See </w:t>
      </w:r>
      <w:r w:rsidRPr="000D6ED5">
        <w:rPr>
          <w:lang w:val="en-US"/>
        </w:rPr>
        <w:t xml:space="preserve">B.S. Chimni, </w:t>
      </w:r>
      <w:r w:rsidRPr="000D6ED5">
        <w:rPr>
          <w:i/>
          <w:lang w:val="en-US"/>
        </w:rPr>
        <w:t>Legitimating the international rule of law</w:t>
      </w:r>
      <w:r w:rsidRPr="000D6ED5">
        <w:rPr>
          <w:lang w:val="en-US"/>
        </w:rPr>
        <w:t xml:space="preserve">, </w:t>
      </w:r>
      <w:r w:rsidRPr="000D6ED5">
        <w:rPr>
          <w:i/>
          <w:lang w:val="en-US"/>
        </w:rPr>
        <w:t>in</w:t>
      </w:r>
      <w:r w:rsidRPr="000D6ED5">
        <w:rPr>
          <w:lang w:val="en-US"/>
        </w:rPr>
        <w:t xml:space="preserve"> </w:t>
      </w:r>
      <w:r w:rsidRPr="000D6ED5">
        <w:rPr>
          <w:smallCaps/>
          <w:lang w:val="en-US"/>
        </w:rPr>
        <w:t>The Cambridge Companion to International Law</w:t>
      </w:r>
      <w:r w:rsidRPr="000D6ED5">
        <w:rPr>
          <w:i/>
          <w:lang w:val="en-US"/>
        </w:rPr>
        <w:t xml:space="preserve"> </w:t>
      </w:r>
      <w:r w:rsidRPr="000D6ED5">
        <w:rPr>
          <w:lang w:val="en-US"/>
        </w:rPr>
        <w:t>(James Crawford &amp; Martti Koskenniemi eds., 2012).</w:t>
      </w:r>
    </w:p>
  </w:footnote>
  <w:footnote w:id="94">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The ability to sign treaties with European powers was of course a privilege reserved to a few recognized non-European sovereigns such as China, Japan, Korea or the Ottoman Empire. Most non-European territories were denied the privilege of sovereignty and were thus managed ("civilized") through conquest and colonial rule. On the role of international law in regulating the encounter between Europe and the non-European world, the leading text remains </w:t>
      </w:r>
      <w:r w:rsidRPr="000D6ED5">
        <w:rPr>
          <w:smallCaps/>
          <w:lang w:val="en-US"/>
        </w:rPr>
        <w:t>Antony Anghie, Imperialism, Sovereignty and the Making of International Law</w:t>
      </w:r>
      <w:r w:rsidRPr="000D6ED5">
        <w:rPr>
          <w:i/>
          <w:lang w:val="en-US"/>
        </w:rPr>
        <w:t xml:space="preserve"> </w:t>
      </w:r>
      <w:r w:rsidRPr="000D6ED5">
        <w:rPr>
          <w:lang w:val="en-US"/>
        </w:rPr>
        <w:t>(2004).</w:t>
      </w:r>
    </w:p>
  </w:footnote>
  <w:footnote w:id="95">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On "unequal treaties", see generally </w:t>
      </w:r>
      <w:r w:rsidRPr="000D6ED5">
        <w:rPr>
          <w:smallCaps/>
          <w:lang w:val="en-US"/>
        </w:rPr>
        <w:t>Michael Auslin, Negotiating with Imperialism: The Unequal Treaties and the Culture of Japanese Diplomacy</w:t>
      </w:r>
      <w:r w:rsidRPr="000D6ED5">
        <w:rPr>
          <w:i/>
          <w:lang w:val="en-US"/>
        </w:rPr>
        <w:t xml:space="preserve"> </w:t>
      </w:r>
      <w:r w:rsidRPr="000D6ED5">
        <w:rPr>
          <w:lang w:val="en-US"/>
        </w:rPr>
        <w:t xml:space="preserve">(2004); </w:t>
      </w:r>
      <w:r w:rsidRPr="000D6ED5">
        <w:rPr>
          <w:smallCaps/>
          <w:lang w:val="en-US"/>
        </w:rPr>
        <w:t>Fariborz Nozari, Unequal Treaties in International Law</w:t>
      </w:r>
      <w:r w:rsidRPr="000D6ED5">
        <w:rPr>
          <w:lang w:val="en-US"/>
        </w:rPr>
        <w:t xml:space="preserve"> (1971); Lucius Caflisch, </w:t>
      </w:r>
      <w:r w:rsidRPr="000D6ED5">
        <w:rPr>
          <w:i/>
          <w:lang w:val="en-US"/>
        </w:rPr>
        <w:t>Unequal Treaties</w:t>
      </w:r>
      <w:r w:rsidRPr="000D6ED5">
        <w:rPr>
          <w:lang w:val="en-US"/>
        </w:rPr>
        <w:t xml:space="preserve">, 35 </w:t>
      </w:r>
      <w:r w:rsidRPr="000D6ED5">
        <w:rPr>
          <w:smallCaps/>
          <w:lang w:val="en-US"/>
        </w:rPr>
        <w:t>Ger. L. J'l</w:t>
      </w:r>
      <w:r w:rsidRPr="000D6ED5">
        <w:rPr>
          <w:lang w:val="en-US"/>
        </w:rPr>
        <w:t xml:space="preserve"> 52 (1992).</w:t>
      </w:r>
    </w:p>
  </w:footnote>
  <w:footnote w:id="96">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Gerry Simpson, </w:t>
      </w:r>
      <w:r w:rsidRPr="000D6ED5">
        <w:rPr>
          <w:i/>
          <w:lang w:val="en-US"/>
        </w:rPr>
        <w:t>International Law in Diplomatic History</w:t>
      </w:r>
      <w:r w:rsidRPr="000D6ED5">
        <w:rPr>
          <w:lang w:val="en-US"/>
        </w:rPr>
        <w:t>,</w:t>
      </w:r>
      <w:r w:rsidRPr="000D6ED5">
        <w:rPr>
          <w:i/>
          <w:lang w:val="en-US"/>
        </w:rPr>
        <w:t xml:space="preserve"> in</w:t>
      </w:r>
      <w:r w:rsidRPr="000D6ED5">
        <w:rPr>
          <w:lang w:val="en-US"/>
        </w:rPr>
        <w:t xml:space="preserve"> </w:t>
      </w:r>
      <w:r w:rsidRPr="000D6ED5">
        <w:rPr>
          <w:smallCaps/>
          <w:lang w:val="en-US"/>
        </w:rPr>
        <w:t>The Cambridge Companion to International Law 35-6</w:t>
      </w:r>
      <w:r w:rsidRPr="000D6ED5">
        <w:rPr>
          <w:i/>
          <w:lang w:val="en-US"/>
        </w:rPr>
        <w:t xml:space="preserve"> </w:t>
      </w:r>
      <w:r w:rsidRPr="000D6ED5">
        <w:rPr>
          <w:lang w:val="en-US"/>
        </w:rPr>
        <w:t>(James Crawford &amp; Martti Koskenniemi eds., 2012).</w:t>
      </w:r>
    </w:p>
  </w:footnote>
  <w:footnote w:id="97">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smallCaps/>
          <w:lang w:val="en-US"/>
        </w:rPr>
        <w:t>Mark Jarrett, The Congress of Vienna and Its Legacy: War and Great Power Diplomacy after Napoleon 369-70</w:t>
      </w:r>
      <w:r w:rsidRPr="000D6ED5">
        <w:rPr>
          <w:i/>
          <w:lang w:val="en-US"/>
        </w:rPr>
        <w:t xml:space="preserve"> </w:t>
      </w:r>
      <w:r w:rsidRPr="000D6ED5">
        <w:rPr>
          <w:lang w:val="en-US"/>
        </w:rPr>
        <w:t>(2013).</w:t>
      </w:r>
    </w:p>
  </w:footnote>
  <w:footnote w:id="98">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smallCaps/>
          <w:lang w:val="en-US"/>
        </w:rPr>
        <w:t>Edwin D. Dickinson, The Equality of States in International Law</w:t>
      </w:r>
      <w:r w:rsidRPr="000D6ED5">
        <w:rPr>
          <w:lang w:val="en-US"/>
        </w:rPr>
        <w:t xml:space="preserve"> 290-1 (1920).</w:t>
      </w:r>
    </w:p>
  </w:footnote>
  <w:footnote w:id="99">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See the views of James Brown Scott (US delegate to the second Peace Conference) in </w:t>
      </w:r>
      <w:r w:rsidRPr="000D6ED5">
        <w:rPr>
          <w:smallCaps/>
          <w:lang w:val="en-US"/>
        </w:rPr>
        <w:t>The Hague Peace Conferences of 1899 and 1907 163-73</w:t>
      </w:r>
      <w:r w:rsidRPr="000D6ED5">
        <w:rPr>
          <w:i/>
          <w:lang w:val="en-US"/>
        </w:rPr>
        <w:t xml:space="preserve"> </w:t>
      </w:r>
      <w:r w:rsidRPr="000D6ED5">
        <w:rPr>
          <w:lang w:val="en-US"/>
        </w:rPr>
        <w:t>(1909) (quoting and endorsing the views of - among others - Louis Renault, the French delegate and chairman of the drafting committee).</w:t>
      </w:r>
    </w:p>
  </w:footnote>
  <w:footnote w:id="100">
    <w:p w:rsidR="00E7644E" w:rsidRPr="000D6ED5" w:rsidRDefault="00E7644E" w:rsidP="0071574A">
      <w:pPr>
        <w:pStyle w:val="FootnoteText"/>
        <w:jc w:val="both"/>
        <w:rPr>
          <w:lang w:val="en-US"/>
        </w:rPr>
      </w:pPr>
      <w:r w:rsidRPr="000D6ED5">
        <w:rPr>
          <w:rStyle w:val="FootnoteReference"/>
          <w:lang w:val="en-US"/>
        </w:rPr>
        <w:footnoteRef/>
      </w:r>
      <w:r w:rsidRPr="000D6ED5">
        <w:rPr>
          <w:lang w:val="en-US"/>
        </w:rPr>
        <w:t xml:space="preserve"> Jan. 8, 1918, reprinted in </w:t>
      </w:r>
      <w:r w:rsidRPr="000D6ED5">
        <w:rPr>
          <w:smallCaps/>
          <w:lang w:val="en-US"/>
        </w:rPr>
        <w:t>The Wilson Reader 177 (</w:t>
      </w:r>
      <w:r w:rsidRPr="000D6ED5">
        <w:rPr>
          <w:lang w:val="en-US"/>
        </w:rPr>
        <w:t>Francis Farmer ed., 1956) ("The program of the world's peace .... as we see it, is this: I. Open covenants of peace, openly arrived at, after which there shall be no private international understandings of any kind but diplomacy shall proceed always frankly and in the public view ....").</w:t>
      </w:r>
    </w:p>
  </w:footnote>
  <w:footnote w:id="101">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smallCaps/>
          <w:lang w:val="en-US"/>
        </w:rPr>
        <w:t>Emile Joseph Dillon, The Inside Story of the Peace Conference</w:t>
      </w:r>
      <w:r w:rsidRPr="000D6ED5">
        <w:rPr>
          <w:lang w:val="en-US"/>
        </w:rPr>
        <w:t xml:space="preserve"> 201-2 (1920).</w:t>
      </w:r>
    </w:p>
  </w:footnote>
  <w:footnote w:id="102">
    <w:p w:rsidR="00E7644E" w:rsidRPr="000D6ED5" w:rsidRDefault="00E7644E" w:rsidP="0071574A">
      <w:pPr>
        <w:pStyle w:val="FootnoteText"/>
        <w:tabs>
          <w:tab w:val="left" w:pos="426"/>
        </w:tabs>
        <w:jc w:val="both"/>
        <w:rPr>
          <w:smallCaps/>
          <w:lang w:val="en-US"/>
        </w:rPr>
      </w:pPr>
      <w:r w:rsidRPr="000D6ED5">
        <w:rPr>
          <w:rStyle w:val="FootnoteReference"/>
          <w:lang w:val="en-US"/>
        </w:rPr>
        <w:footnoteRef/>
      </w:r>
      <w:r w:rsidRPr="000D6ED5">
        <w:rPr>
          <w:lang w:val="en-US"/>
        </w:rPr>
        <w:t xml:space="preserve"> </w:t>
      </w:r>
      <w:r w:rsidRPr="000D6ED5">
        <w:rPr>
          <w:i/>
          <w:lang w:val="en-US"/>
        </w:rPr>
        <w:t>See</w:t>
      </w:r>
      <w:r w:rsidRPr="000D6ED5">
        <w:rPr>
          <w:lang w:val="en-US"/>
        </w:rPr>
        <w:t xml:space="preserve"> </w:t>
      </w:r>
      <w:r w:rsidRPr="000D6ED5">
        <w:rPr>
          <w:smallCaps/>
          <w:lang w:val="en-US"/>
        </w:rPr>
        <w:t>Anand</w:t>
      </w:r>
      <w:r w:rsidRPr="000D6ED5">
        <w:rPr>
          <w:lang w:val="en-US"/>
        </w:rPr>
        <w:t xml:space="preserve">, </w:t>
      </w:r>
      <w:r w:rsidRPr="000D6ED5">
        <w:rPr>
          <w:i/>
          <w:lang w:val="en-US"/>
        </w:rPr>
        <w:t xml:space="preserve">supra </w:t>
      </w:r>
      <w:r w:rsidRPr="000D6ED5">
        <w:rPr>
          <w:lang w:val="en-US"/>
        </w:rPr>
        <w:t xml:space="preserve">note </w:t>
      </w:r>
      <w:fldSimple w:instr=" NOTEREF _Ref447898716 \h  \* MERGEFORMAT ">
        <w:r w:rsidR="009C4D3D">
          <w:rPr>
            <w:lang w:val="en-US"/>
          </w:rPr>
          <w:t>91</w:t>
        </w:r>
      </w:fldSimple>
      <w:r w:rsidRPr="000D6ED5">
        <w:rPr>
          <w:lang w:val="en-US"/>
        </w:rPr>
        <w:t xml:space="preserve">, at 88; and Gerry Simpson, </w:t>
      </w:r>
      <w:r w:rsidRPr="000D6ED5">
        <w:rPr>
          <w:i/>
          <w:lang w:val="en-US"/>
        </w:rPr>
        <w:t>The Great Powers, Sovereign Equality and the Making of the United Nations Charter</w:t>
      </w:r>
      <w:r w:rsidRPr="000D6ED5">
        <w:rPr>
          <w:lang w:val="en-US"/>
        </w:rPr>
        <w:t xml:space="preserve">, 21 </w:t>
      </w:r>
      <w:r w:rsidRPr="000D6ED5">
        <w:rPr>
          <w:smallCaps/>
          <w:lang w:val="en-US"/>
        </w:rPr>
        <w:t>Aust. Y.B. Int'l L. 133 (2000).</w:t>
      </w:r>
    </w:p>
  </w:footnote>
  <w:footnote w:id="103">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i/>
          <w:lang w:val="en-US"/>
        </w:rPr>
        <w:t>See</w:t>
      </w:r>
      <w:r w:rsidRPr="000D6ED5">
        <w:rPr>
          <w:lang w:val="en-US"/>
        </w:rPr>
        <w:t xml:space="preserve"> José Alvarez, </w:t>
      </w:r>
      <w:r w:rsidRPr="000D6ED5">
        <w:rPr>
          <w:i/>
          <w:lang w:val="en-US"/>
        </w:rPr>
        <w:t>A BIT on Custom</w:t>
      </w:r>
      <w:r w:rsidRPr="000D6ED5">
        <w:rPr>
          <w:lang w:val="en-US"/>
        </w:rPr>
        <w:t xml:space="preserve">, 42 </w:t>
      </w:r>
      <w:r w:rsidRPr="000D6ED5">
        <w:rPr>
          <w:smallCaps/>
          <w:lang w:val="en-US"/>
        </w:rPr>
        <w:t>N.Y.U. J. Int'l L. &amp; Pol.</w:t>
      </w:r>
      <w:r w:rsidRPr="000D6ED5">
        <w:rPr>
          <w:lang w:val="en-US"/>
        </w:rPr>
        <w:t xml:space="preserve"> 17, 38-9 (2009) (acknowledging the unequal nature of many BIT negotiations but nevertheless stressing the validity of these agreements under the existing law of treaties). For a resolutely apologetic defense of model BITs as "facilitating negotiations" and reducing the "drafting and negotiation costs" of investment treaties, see </w:t>
      </w:r>
      <w:r w:rsidRPr="000D6ED5">
        <w:rPr>
          <w:smallCaps/>
          <w:lang w:val="en-US"/>
        </w:rPr>
        <w:t>Stephan Schill, The Multilateralization of International Investment Law</w:t>
      </w:r>
      <w:r w:rsidRPr="000D6ED5">
        <w:rPr>
          <w:lang w:val="en-US"/>
        </w:rPr>
        <w:t xml:space="preserve"> 91 (2009).</w:t>
      </w:r>
    </w:p>
  </w:footnote>
  <w:footnote w:id="104">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The adoption </w:t>
      </w:r>
      <w:r w:rsidRPr="000D6ED5">
        <w:rPr>
          <w:i/>
          <w:lang w:val="en-US"/>
        </w:rPr>
        <w:t>en force</w:t>
      </w:r>
      <w:r w:rsidRPr="000D6ED5">
        <w:rPr>
          <w:lang w:val="en-US"/>
        </w:rPr>
        <w:t xml:space="preserve"> of the Copenhagen agreement was famously criticized by the Venezuelan delegate who - during the Conference's closing session - deliberately cut her hand and drew blood, denouncing a "coup d'état against the United Nations". </w:t>
      </w:r>
      <w:r w:rsidRPr="000D6ED5">
        <w:rPr>
          <w:i/>
          <w:lang w:val="en-US"/>
        </w:rPr>
        <w:t>See</w:t>
      </w:r>
      <w:r w:rsidRPr="000D6ED5">
        <w:rPr>
          <w:lang w:val="en-US"/>
        </w:rPr>
        <w:t xml:space="preserve"> </w:t>
      </w:r>
      <w:r w:rsidRPr="000D6ED5">
        <w:rPr>
          <w:i/>
          <w:lang w:val="en-US"/>
        </w:rPr>
        <w:t>Copenhagen summit ends in blood, sweat and recrimination</w:t>
      </w:r>
      <w:r w:rsidRPr="000D6ED5">
        <w:rPr>
          <w:lang w:val="en-US"/>
        </w:rPr>
        <w:t xml:space="preserve">, </w:t>
      </w:r>
      <w:r w:rsidRPr="000D6ED5">
        <w:rPr>
          <w:smallCaps/>
          <w:lang w:val="en-US"/>
        </w:rPr>
        <w:t>The Telegraph</w:t>
      </w:r>
      <w:r w:rsidRPr="000D6ED5">
        <w:rPr>
          <w:lang w:val="en-US"/>
        </w:rPr>
        <w:t>, Dec. 20., 2009.</w:t>
      </w:r>
    </w:p>
  </w:footnote>
  <w:footnote w:id="105">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Soft power is defined by Joseph Nye as "intangible power resources such as culture, ideology, and institutions" which a state can use to set the political agenda and determine the framework of debate in a way that shapes others' preferences. </w:t>
      </w:r>
      <w:r w:rsidRPr="000D6ED5">
        <w:rPr>
          <w:i/>
          <w:lang w:val="en-US"/>
        </w:rPr>
        <w:t>See</w:t>
      </w:r>
      <w:r w:rsidRPr="000D6ED5">
        <w:rPr>
          <w:lang w:val="en-US"/>
        </w:rPr>
        <w:t xml:space="preserve"> Joseph Nye, </w:t>
      </w:r>
      <w:r w:rsidRPr="000D6ED5">
        <w:rPr>
          <w:i/>
          <w:lang w:val="en-US"/>
        </w:rPr>
        <w:t>Soft Power</w:t>
      </w:r>
      <w:r w:rsidRPr="000D6ED5">
        <w:rPr>
          <w:lang w:val="en-US"/>
        </w:rPr>
        <w:t xml:space="preserve">, 80 </w:t>
      </w:r>
      <w:r w:rsidRPr="000D6ED5">
        <w:rPr>
          <w:smallCaps/>
          <w:lang w:val="en-US"/>
        </w:rPr>
        <w:t>Foreign Pol.</w:t>
      </w:r>
      <w:r w:rsidRPr="000D6ED5">
        <w:rPr>
          <w:lang w:val="en-US"/>
        </w:rPr>
        <w:t xml:space="preserve"> 153, 166-7 (1990).</w:t>
      </w:r>
    </w:p>
  </w:footnote>
  <w:footnote w:id="106">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6ED5">
        <w:rPr>
          <w:smallCaps/>
          <w:lang w:val="en-US"/>
        </w:rPr>
        <w:t>Boyle and Chinkin</w:t>
      </w:r>
      <w:r w:rsidRPr="000D6ED5">
        <w:rPr>
          <w:lang w:val="en-US"/>
        </w:rPr>
        <w:t xml:space="preserve">, </w:t>
      </w:r>
      <w:r w:rsidRPr="000D6ED5">
        <w:rPr>
          <w:i/>
          <w:lang w:val="en-US"/>
        </w:rPr>
        <w:t xml:space="preserve">supra </w:t>
      </w:r>
      <w:r w:rsidRPr="000D6ED5">
        <w:rPr>
          <w:lang w:val="en-US"/>
        </w:rPr>
        <w:t xml:space="preserve">note </w:t>
      </w:r>
      <w:fldSimple w:instr=" NOTEREF _Ref428024456 \h  \* MERGEFORMAT ">
        <w:r w:rsidR="009C4D3D">
          <w:rPr>
            <w:lang w:val="en-US"/>
          </w:rPr>
          <w:t>4</w:t>
        </w:r>
      </w:fldSimple>
      <w:r w:rsidRPr="000D6ED5">
        <w:rPr>
          <w:lang w:val="en-US"/>
        </w:rPr>
        <w:t>, at 30-1.</w:t>
      </w:r>
    </w:p>
  </w:footnote>
  <w:footnote w:id="107">
    <w:p w:rsidR="00E7644E" w:rsidRPr="000D6ED5" w:rsidRDefault="00E7644E" w:rsidP="0071574A">
      <w:pPr>
        <w:pStyle w:val="FootnoteText"/>
        <w:jc w:val="both"/>
        <w:rPr>
          <w:lang w:val="en-US"/>
        </w:rPr>
      </w:pPr>
      <w:r w:rsidRPr="000D6ED5">
        <w:rPr>
          <w:rStyle w:val="FootnoteReference"/>
          <w:lang w:val="en-US"/>
        </w:rPr>
        <w:footnoteRef/>
      </w:r>
      <w:r w:rsidRPr="000D6ED5">
        <w:rPr>
          <w:lang w:val="en-US"/>
        </w:rPr>
        <w:t xml:space="preserve"> For example, the principle of common but differentiated responsibilities has recently been the object of sustained criticism from Western governments and scholars, claiming that efficiency requires setting aside "ethical principles" in favor of</w:t>
      </w:r>
      <w:r>
        <w:rPr>
          <w:lang w:val="en-US"/>
        </w:rPr>
        <w:t xml:space="preserve"> swift, practical, and politically acceptable action. </w:t>
      </w:r>
      <w:r>
        <w:rPr>
          <w:i/>
          <w:lang w:val="en-US"/>
        </w:rPr>
        <w:t>See</w:t>
      </w:r>
      <w:r>
        <w:rPr>
          <w:lang w:val="en-US"/>
        </w:rPr>
        <w:t xml:space="preserve">, </w:t>
      </w:r>
      <w:r>
        <w:rPr>
          <w:i/>
          <w:lang w:val="en-US"/>
        </w:rPr>
        <w:t>e.g.</w:t>
      </w:r>
      <w:r>
        <w:rPr>
          <w:lang w:val="en-US"/>
        </w:rPr>
        <w:t xml:space="preserve">, </w:t>
      </w:r>
      <w:r>
        <w:rPr>
          <w:smallCaps/>
          <w:lang w:val="en-US"/>
        </w:rPr>
        <w:t>Eric Posner &amp; David Weisbach, Climate Change Justice (2012).</w:t>
      </w:r>
      <w:r>
        <w:rPr>
          <w:lang w:val="en-US"/>
        </w:rPr>
        <w:t xml:space="preserve"> For a critical analysis, see Mario Prost and Alejandra Torres Camprubi, </w:t>
      </w:r>
      <w:r>
        <w:rPr>
          <w:i/>
          <w:lang w:val="en-US"/>
        </w:rPr>
        <w:t>Against Fairness? International Environmental Law, Disciplinary Bias, and Pareto Justice</w:t>
      </w:r>
      <w:r>
        <w:rPr>
          <w:lang w:val="en-US"/>
        </w:rPr>
        <w:t xml:space="preserve">, 25 </w:t>
      </w:r>
      <w:r>
        <w:rPr>
          <w:smallCaps/>
          <w:lang w:val="en-US"/>
        </w:rPr>
        <w:t>Leiden J. Int'l L. 379 (2012)</w:t>
      </w:r>
      <w:r>
        <w:rPr>
          <w:lang w:val="en-US"/>
        </w:rPr>
        <w:t>; and Beno</w:t>
      </w:r>
      <w:r>
        <w:rPr>
          <w:lang w:val="fr-CA"/>
        </w:rPr>
        <w:t xml:space="preserve">ît Mayer, </w:t>
      </w:r>
      <w:r>
        <w:rPr>
          <w:i/>
        </w:rPr>
        <w:t>Climate Change and International Law in the Grim Days</w:t>
      </w:r>
      <w:r>
        <w:t xml:space="preserve">, 24 </w:t>
      </w:r>
      <w:r>
        <w:rPr>
          <w:smallCaps/>
        </w:rPr>
        <w:t>Eur. J. Int'l L. 947 (2013).</w:t>
      </w:r>
      <w:r>
        <w:rPr>
          <w:lang w:val="en-US"/>
        </w:rPr>
        <w:t xml:space="preserve"> </w:t>
      </w:r>
    </w:p>
  </w:footnote>
  <w:footnote w:id="108">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On the proliferation of regulatory institutions as a deliberate effort on the part of powerful states to </w:t>
      </w:r>
      <w:r>
        <w:rPr>
          <w:lang w:val="en-US"/>
        </w:rPr>
        <w:t>"</w:t>
      </w:r>
      <w:r w:rsidRPr="000D6ED5">
        <w:rPr>
          <w:lang w:val="en-US"/>
        </w:rPr>
        <w:t>divide and rule</w:t>
      </w:r>
      <w:r>
        <w:rPr>
          <w:lang w:val="en-US"/>
        </w:rPr>
        <w:t>"</w:t>
      </w:r>
      <w:r w:rsidRPr="000D6ED5">
        <w:rPr>
          <w:lang w:val="en-US"/>
        </w:rPr>
        <w:t>, see Eya</w:t>
      </w:r>
      <w:r>
        <w:rPr>
          <w:lang w:val="en-US"/>
        </w:rPr>
        <w:t xml:space="preserve">l Benvenisti and George Downs, </w:t>
      </w:r>
      <w:r w:rsidRPr="007D086D">
        <w:rPr>
          <w:i/>
          <w:lang w:val="en-US"/>
        </w:rPr>
        <w:t>The Empire's New Clothes: Political Economy and the Fragmentation of International Law</w:t>
      </w:r>
      <w:r>
        <w:rPr>
          <w:lang w:val="en-US"/>
        </w:rPr>
        <w:t xml:space="preserve">, </w:t>
      </w:r>
      <w:r w:rsidRPr="000D6ED5">
        <w:rPr>
          <w:lang w:val="en-US"/>
        </w:rPr>
        <w:t xml:space="preserve">60 </w:t>
      </w:r>
      <w:r>
        <w:rPr>
          <w:smallCaps/>
          <w:lang w:val="en-US"/>
        </w:rPr>
        <w:t>Stan. L. Rev.</w:t>
      </w:r>
      <w:r w:rsidRPr="000D6ED5">
        <w:rPr>
          <w:lang w:val="en-US"/>
        </w:rPr>
        <w:t xml:space="preserve"> 595</w:t>
      </w:r>
      <w:r>
        <w:rPr>
          <w:lang w:val="en-US"/>
        </w:rPr>
        <w:t xml:space="preserve"> (2007)</w:t>
      </w:r>
      <w:r w:rsidRPr="000D6ED5">
        <w:rPr>
          <w:lang w:val="en-US"/>
        </w:rPr>
        <w:t>.</w:t>
      </w:r>
    </w:p>
  </w:footnote>
  <w:footnote w:id="109">
    <w:p w:rsidR="00E7644E" w:rsidRPr="000D6ED5" w:rsidRDefault="00E7644E" w:rsidP="0071574A">
      <w:pPr>
        <w:pStyle w:val="FootnoteText"/>
        <w:tabs>
          <w:tab w:val="left" w:pos="426"/>
        </w:tabs>
        <w:jc w:val="both"/>
        <w:rPr>
          <w:lang w:val="en-US"/>
        </w:rPr>
      </w:pPr>
      <w:r w:rsidRPr="000D6ED5">
        <w:rPr>
          <w:rStyle w:val="FootnoteReference"/>
          <w:lang w:val="en-US"/>
        </w:rPr>
        <w:footnoteRef/>
      </w:r>
      <w:r>
        <w:rPr>
          <w:lang w:val="en-US"/>
        </w:rPr>
        <w:t xml:space="preserve"> </w:t>
      </w:r>
      <w:r w:rsidRPr="00181117">
        <w:rPr>
          <w:i/>
          <w:lang w:val="en-US"/>
        </w:rPr>
        <w:t>See</w:t>
      </w:r>
      <w:r>
        <w:rPr>
          <w:lang w:val="en-US"/>
        </w:rPr>
        <w:t xml:space="preserve"> </w:t>
      </w:r>
      <w:r w:rsidRPr="00181117">
        <w:rPr>
          <w:i/>
          <w:lang w:val="en-US"/>
        </w:rPr>
        <w:t>Global Trade After the Failure of the Doha Round</w:t>
      </w:r>
      <w:r w:rsidRPr="000D6ED5">
        <w:rPr>
          <w:lang w:val="en-US"/>
        </w:rPr>
        <w:t xml:space="preserve">, </w:t>
      </w:r>
      <w:r>
        <w:rPr>
          <w:smallCaps/>
          <w:lang w:val="en-US"/>
        </w:rPr>
        <w:t>N.Y. Times</w:t>
      </w:r>
      <w:r w:rsidRPr="000D6ED5">
        <w:rPr>
          <w:lang w:val="en-US"/>
        </w:rPr>
        <w:t xml:space="preserve">, </w:t>
      </w:r>
      <w:r>
        <w:rPr>
          <w:lang w:val="en-US"/>
        </w:rPr>
        <w:t>January 1st, 2016</w:t>
      </w:r>
      <w:r w:rsidRPr="000D6ED5">
        <w:rPr>
          <w:lang w:val="en-US"/>
        </w:rPr>
        <w:t>.</w:t>
      </w:r>
    </w:p>
  </w:footnote>
  <w:footnote w:id="110">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181117">
        <w:rPr>
          <w:i/>
          <w:lang w:val="en-US"/>
        </w:rPr>
        <w:t>See</w:t>
      </w:r>
      <w:r>
        <w:rPr>
          <w:i/>
          <w:lang w:val="en-US"/>
        </w:rPr>
        <w:t>,</w:t>
      </w:r>
      <w:r w:rsidRPr="00181117">
        <w:rPr>
          <w:i/>
          <w:lang w:val="en-US"/>
        </w:rPr>
        <w:t xml:space="preserve"> </w:t>
      </w:r>
      <w:r w:rsidRPr="00181117">
        <w:rPr>
          <w:lang w:val="en-US"/>
        </w:rPr>
        <w:t>generally</w:t>
      </w:r>
      <w:r>
        <w:rPr>
          <w:i/>
          <w:lang w:val="en-US"/>
        </w:rPr>
        <w:t>,</w:t>
      </w:r>
      <w:r w:rsidRPr="000D6ED5">
        <w:rPr>
          <w:lang w:val="en-US"/>
        </w:rPr>
        <w:t xml:space="preserve"> </w:t>
      </w:r>
      <w:r w:rsidRPr="00181117">
        <w:rPr>
          <w:smallCaps/>
          <w:lang w:val="en-US"/>
        </w:rPr>
        <w:t>Michael Byers, Custom, Power and the Power of Rules</w:t>
      </w:r>
      <w:r>
        <w:rPr>
          <w:lang w:val="en-US"/>
        </w:rPr>
        <w:t xml:space="preserve"> (</w:t>
      </w:r>
      <w:r w:rsidRPr="000D6ED5">
        <w:rPr>
          <w:lang w:val="en-US"/>
        </w:rPr>
        <w:t>1999).</w:t>
      </w:r>
    </w:p>
  </w:footnote>
  <w:footnote w:id="111">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181117">
        <w:rPr>
          <w:smallCaps/>
          <w:lang w:val="en-US"/>
        </w:rPr>
        <w:t>Charles De Visscher, Theory and Reality in Public International Law</w:t>
      </w:r>
      <w:r>
        <w:rPr>
          <w:smallCaps/>
          <w:lang w:val="en-US"/>
        </w:rPr>
        <w:t xml:space="preserve"> 149</w:t>
      </w:r>
      <w:r w:rsidRPr="00181117">
        <w:rPr>
          <w:smallCaps/>
          <w:lang w:val="en-US"/>
        </w:rPr>
        <w:t xml:space="preserve"> </w:t>
      </w:r>
      <w:r w:rsidRPr="000D6ED5">
        <w:rPr>
          <w:lang w:val="en-US"/>
        </w:rPr>
        <w:t>(1957).</w:t>
      </w:r>
    </w:p>
  </w:footnote>
  <w:footnote w:id="112">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Lauterpacht, for instance, points to the overwhelming influence of the US and the UK - as the leading maritime powers of the day - on the emergence of customary rules concerning the status of marine and submarine areas, noting that their practice was treated as </w:t>
      </w:r>
      <w:r>
        <w:rPr>
          <w:lang w:val="en-US"/>
        </w:rPr>
        <w:t>"</w:t>
      </w:r>
      <w:r w:rsidRPr="000D6ED5">
        <w:rPr>
          <w:lang w:val="en-US"/>
        </w:rPr>
        <w:t>authoritative almost as a matter of course from the outset</w:t>
      </w:r>
      <w:r>
        <w:rPr>
          <w:lang w:val="en-US"/>
        </w:rPr>
        <w:t>"</w:t>
      </w:r>
      <w:r w:rsidRPr="000D6ED5">
        <w:rPr>
          <w:lang w:val="en-US"/>
        </w:rPr>
        <w:t xml:space="preserve">. </w:t>
      </w:r>
      <w:r w:rsidRPr="00181117">
        <w:rPr>
          <w:i/>
          <w:lang w:val="en-US"/>
        </w:rPr>
        <w:t>See</w:t>
      </w:r>
      <w:r w:rsidRPr="000D6ED5">
        <w:rPr>
          <w:lang w:val="en-US"/>
        </w:rPr>
        <w:t xml:space="preserve"> </w:t>
      </w:r>
      <w:r w:rsidRPr="00181117">
        <w:rPr>
          <w:smallCaps/>
          <w:lang w:val="en-US"/>
        </w:rPr>
        <w:t>Elihu Lauterpacht, International Law - Being the Collected Papers of Hersch Lauterpacht, vol. 3</w:t>
      </w:r>
      <w:r>
        <w:rPr>
          <w:smallCaps/>
          <w:lang w:val="en-US"/>
        </w:rPr>
        <w:t>, 163</w:t>
      </w:r>
      <w:r w:rsidRPr="000D6ED5">
        <w:rPr>
          <w:lang w:val="en-US"/>
        </w:rPr>
        <w:t xml:space="preserve"> (1977).</w:t>
      </w:r>
    </w:p>
  </w:footnote>
  <w:footnote w:id="113">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For a recent restatement, see International Law Commission, </w:t>
      </w:r>
      <w:r w:rsidRPr="005400F3">
        <w:rPr>
          <w:lang w:val="en-US"/>
        </w:rPr>
        <w:t>Second Report on Identification of Customary International Law (prepared by Special Rapporteur Michael Wood)</w:t>
      </w:r>
      <w:r w:rsidRPr="000D6ED5">
        <w:rPr>
          <w:lang w:val="en-US"/>
        </w:rPr>
        <w:t>,</w:t>
      </w:r>
      <w:r>
        <w:rPr>
          <w:lang w:val="en-US"/>
        </w:rPr>
        <w:t xml:space="preserve"> May 22, 2014, UN. Doc. A/CN.4/673, para. 52-4 ("for a rule of general customary international law to emerge or be identified, the practice need not be unanimous (universal); but, it must be extensive or, in other words, sufficiently widespread .... The participation in the practice must also be broadly representative").</w:t>
      </w:r>
    </w:p>
  </w:footnote>
  <w:footnote w:id="114">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5400F3">
        <w:rPr>
          <w:i/>
          <w:lang w:val="en-US"/>
        </w:rPr>
        <w:t>See</w:t>
      </w:r>
      <w:r w:rsidRPr="000D6ED5">
        <w:rPr>
          <w:lang w:val="en-US"/>
        </w:rPr>
        <w:t xml:space="preserve">, for a recent example, the ICJ's </w:t>
      </w:r>
      <w:r w:rsidRPr="000D6ED5">
        <w:rPr>
          <w:i/>
          <w:lang w:val="en-US"/>
        </w:rPr>
        <w:t>Nuclear Weapons</w:t>
      </w:r>
      <w:r w:rsidRPr="000D6ED5">
        <w:rPr>
          <w:lang w:val="en-US"/>
        </w:rPr>
        <w:t xml:space="preserve"> advisory opinion, in which the Court found that the </w:t>
      </w:r>
      <w:r w:rsidRPr="000D6ED5">
        <w:rPr>
          <w:i/>
          <w:lang w:val="en-US"/>
        </w:rPr>
        <w:t>opinio juris</w:t>
      </w:r>
      <w:r w:rsidRPr="000D6ED5">
        <w:rPr>
          <w:lang w:val="en-US"/>
        </w:rPr>
        <w:t xml:space="preserve"> of the few states possessing nuclear weapons outweighs that of the large majority of states</w:t>
      </w:r>
      <w:r>
        <w:rPr>
          <w:lang w:val="en-US"/>
        </w:rPr>
        <w:t xml:space="preserve"> that support their prohibition.</w:t>
      </w:r>
      <w:r w:rsidRPr="000D6ED5">
        <w:rPr>
          <w:lang w:val="en-US"/>
        </w:rPr>
        <w:t xml:space="preserve"> </w:t>
      </w:r>
      <w:r w:rsidRPr="005400F3">
        <w:rPr>
          <w:lang w:val="en-US"/>
        </w:rPr>
        <w:t>Legality of the Threat or Use of Nuclear Weapons, Advisory Opinion,</w:t>
      </w:r>
      <w:r w:rsidRPr="000D6ED5">
        <w:rPr>
          <w:lang w:val="en-US"/>
        </w:rPr>
        <w:t xml:space="preserve"> </w:t>
      </w:r>
      <w:r w:rsidRPr="005400F3">
        <w:rPr>
          <w:smallCaps/>
          <w:lang w:val="en-US"/>
        </w:rPr>
        <w:t>ICJ Rep</w:t>
      </w:r>
      <w:r>
        <w:rPr>
          <w:lang w:val="en-US"/>
        </w:rPr>
        <w:t>.</w:t>
      </w:r>
      <w:r w:rsidRPr="000D6ED5">
        <w:rPr>
          <w:lang w:val="en-US"/>
        </w:rPr>
        <w:t xml:space="preserve"> 1996</w:t>
      </w:r>
      <w:r>
        <w:rPr>
          <w:lang w:val="en-US"/>
        </w:rPr>
        <w:t xml:space="preserve"> 226</w:t>
      </w:r>
      <w:r w:rsidRPr="000D6ED5">
        <w:rPr>
          <w:lang w:val="en-US"/>
        </w:rPr>
        <w:t xml:space="preserve">, </w:t>
      </w:r>
      <w:r>
        <w:rPr>
          <w:lang w:val="en-US"/>
        </w:rPr>
        <w:t>para. 64-73 (see also</w:t>
      </w:r>
      <w:r w:rsidRPr="000D6ED5">
        <w:rPr>
          <w:lang w:val="en-US"/>
        </w:rPr>
        <w:t xml:space="preserve"> Declaration of Judge Shi for a criticism of the Court's approach and methodology</w:t>
      </w:r>
      <w:r>
        <w:rPr>
          <w:lang w:val="en-US"/>
        </w:rPr>
        <w:t>)</w:t>
      </w:r>
      <w:r w:rsidRPr="000D6ED5">
        <w:rPr>
          <w:lang w:val="en-US"/>
        </w:rPr>
        <w:t>.</w:t>
      </w:r>
    </w:p>
  </w:footnote>
  <w:footnote w:id="115">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On the pre-eminence of Western lawyers in the formulation of CIL (based on the practice of a limited number of Western powers), see </w:t>
      </w:r>
      <w:r w:rsidRPr="005B2B05">
        <w:rPr>
          <w:smallCaps/>
          <w:lang w:val="en-US"/>
        </w:rPr>
        <w:t>Onuma Yasuaki, A Transcivilizational Perspective on International Law</w:t>
      </w:r>
      <w:r>
        <w:rPr>
          <w:lang w:val="en-US"/>
        </w:rPr>
        <w:t xml:space="preserve"> 135, 258-60</w:t>
      </w:r>
      <w:r w:rsidRPr="000D6ED5">
        <w:rPr>
          <w:lang w:val="en-US"/>
        </w:rPr>
        <w:t xml:space="preserve"> (2010). On the dominance of the ICJ bar by international lawyers from developed states, see S</w:t>
      </w:r>
      <w:r>
        <w:rPr>
          <w:lang w:val="en-US"/>
        </w:rPr>
        <w:t xml:space="preserve">hashank Kumar and Cecily Rose, </w:t>
      </w:r>
      <w:r w:rsidRPr="005B2B05">
        <w:rPr>
          <w:i/>
          <w:lang w:val="en-US"/>
        </w:rPr>
        <w:t>A Study of Lawyers Appearing before the International Court of Justice, 1999-2012</w:t>
      </w:r>
      <w:r>
        <w:rPr>
          <w:lang w:val="en-US"/>
        </w:rPr>
        <w:t>,</w:t>
      </w:r>
      <w:r w:rsidRPr="000D6ED5">
        <w:rPr>
          <w:lang w:val="en-US"/>
        </w:rPr>
        <w:t xml:space="preserve"> 25 </w:t>
      </w:r>
      <w:r>
        <w:rPr>
          <w:smallCaps/>
          <w:lang w:val="en-US"/>
        </w:rPr>
        <w:t>Eur. J. Int'l L.</w:t>
      </w:r>
      <w:r w:rsidRPr="000D6ED5">
        <w:rPr>
          <w:lang w:val="en-US"/>
        </w:rPr>
        <w:t xml:space="preserve"> 893</w:t>
      </w:r>
      <w:r>
        <w:rPr>
          <w:lang w:val="en-US"/>
        </w:rPr>
        <w:t xml:space="preserve"> (2014)</w:t>
      </w:r>
      <w:r w:rsidRPr="000D6ED5">
        <w:rPr>
          <w:lang w:val="en-US"/>
        </w:rPr>
        <w:t>.</w:t>
      </w:r>
    </w:p>
  </w:footnote>
  <w:footnote w:id="116">
    <w:p w:rsidR="00E7644E" w:rsidRPr="00000C1D" w:rsidRDefault="00E7644E" w:rsidP="0071574A">
      <w:pPr>
        <w:pStyle w:val="FootnoteText"/>
        <w:jc w:val="both"/>
      </w:pPr>
      <w:r>
        <w:rPr>
          <w:rStyle w:val="FootnoteReference"/>
        </w:rPr>
        <w:footnoteRef/>
      </w:r>
      <w:r>
        <w:t xml:space="preserve"> </w:t>
      </w:r>
      <w:r>
        <w:rPr>
          <w:i/>
        </w:rPr>
        <w:t xml:space="preserve">See </w:t>
      </w:r>
      <w:r>
        <w:t xml:space="preserve">United Nations, </w:t>
      </w:r>
      <w:r>
        <w:rPr>
          <w:i/>
        </w:rPr>
        <w:t>Women in Politics: 2015</w:t>
      </w:r>
      <w:r>
        <w:t xml:space="preserve">, </w:t>
      </w:r>
      <w:r w:rsidRPr="00000C1D">
        <w:t>http://www.unwomen.org/en/news/stories/2015/3/press-release-sluggish-progress-on-women-in-politics-will-hamper-development</w:t>
      </w:r>
      <w:r>
        <w:t xml:space="preserve"> (last visited August 18, 2016).</w:t>
      </w:r>
    </w:p>
  </w:footnote>
  <w:footnote w:id="117">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00C1D">
        <w:rPr>
          <w:i/>
          <w:lang w:val="en-US"/>
        </w:rPr>
        <w:t xml:space="preserve">See </w:t>
      </w:r>
      <w:r>
        <w:rPr>
          <w:lang w:val="en-US"/>
        </w:rPr>
        <w:t xml:space="preserve">Hilary Charlesworth, </w:t>
      </w:r>
      <w:r w:rsidRPr="00000C1D">
        <w:rPr>
          <w:i/>
          <w:lang w:val="en-US"/>
        </w:rPr>
        <w:t>Transforming the United Men's Club: Feminist Futures for the United Nations</w:t>
      </w:r>
      <w:r>
        <w:rPr>
          <w:lang w:val="en-US"/>
        </w:rPr>
        <w:t>,</w:t>
      </w:r>
      <w:r w:rsidRPr="000D6ED5">
        <w:rPr>
          <w:lang w:val="en-US"/>
        </w:rPr>
        <w:t xml:space="preserve"> 4 </w:t>
      </w:r>
      <w:r>
        <w:rPr>
          <w:smallCaps/>
          <w:lang w:val="en-US"/>
        </w:rPr>
        <w:t>Transnat'l L. &amp; Contemp. Probs.</w:t>
      </w:r>
      <w:r w:rsidRPr="000D6ED5">
        <w:rPr>
          <w:lang w:val="en-US"/>
        </w:rPr>
        <w:t xml:space="preserve"> 421</w:t>
      </w:r>
      <w:r>
        <w:rPr>
          <w:lang w:val="en-US"/>
        </w:rPr>
        <w:t xml:space="preserve"> (1994)</w:t>
      </w:r>
      <w:r w:rsidRPr="000D6ED5">
        <w:rPr>
          <w:lang w:val="en-US"/>
        </w:rPr>
        <w:t>.</w:t>
      </w:r>
    </w:p>
  </w:footnote>
  <w:footnote w:id="118">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547748">
        <w:rPr>
          <w:i/>
          <w:lang w:val="en-US"/>
        </w:rPr>
        <w:t>See</w:t>
      </w:r>
      <w:r>
        <w:rPr>
          <w:lang w:val="en-US"/>
        </w:rPr>
        <w:t xml:space="preserve"> Senior Officials of the United Nations and Officers of Equivalent Rank, </w:t>
      </w:r>
      <w:r w:rsidRPr="00547748">
        <w:rPr>
          <w:lang w:val="en-US"/>
        </w:rPr>
        <w:t>https://www.un.int/protocol/sites/www.un.int/files/Protocol%20and%20Liaison%20Service/listofunseniorofficials.pdf</w:t>
      </w:r>
      <w:r>
        <w:rPr>
          <w:lang w:val="en-US"/>
        </w:rPr>
        <w:t xml:space="preserve"> (last visited August 18, 2016).</w:t>
      </w:r>
    </w:p>
  </w:footnote>
  <w:footnote w:id="119">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547748">
        <w:rPr>
          <w:i/>
          <w:lang w:val="en-US"/>
        </w:rPr>
        <w:t>See</w:t>
      </w:r>
      <w:r>
        <w:rPr>
          <w:lang w:val="en-US"/>
        </w:rPr>
        <w:t xml:space="preserve"> </w:t>
      </w:r>
      <w:r w:rsidRPr="000D6ED5">
        <w:rPr>
          <w:lang w:val="en-US"/>
        </w:rPr>
        <w:t>http://lega</w:t>
      </w:r>
      <w:r>
        <w:rPr>
          <w:lang w:val="en-US"/>
        </w:rPr>
        <w:t>l.un.org/ilc/guide/annex3.shtml</w:t>
      </w:r>
      <w:r w:rsidRPr="000D6ED5">
        <w:rPr>
          <w:lang w:val="en-US"/>
        </w:rPr>
        <w:t xml:space="preserve"> (last visited </w:t>
      </w:r>
      <w:r>
        <w:rPr>
          <w:lang w:val="en-US"/>
        </w:rPr>
        <w:t>August 18, 2016</w:t>
      </w:r>
      <w:r w:rsidRPr="000D6ED5">
        <w:rPr>
          <w:lang w:val="en-US"/>
        </w:rPr>
        <w:t>).</w:t>
      </w:r>
    </w:p>
  </w:footnote>
  <w:footnote w:id="120">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11332C">
        <w:rPr>
          <w:i/>
          <w:lang w:val="en-US"/>
        </w:rPr>
        <w:t>See</w:t>
      </w:r>
      <w:r w:rsidRPr="000D6ED5">
        <w:rPr>
          <w:lang w:val="en-US"/>
        </w:rPr>
        <w:t xml:space="preserve"> http://www.icj-cij.org</w:t>
      </w:r>
      <w:r>
        <w:rPr>
          <w:lang w:val="en-US"/>
        </w:rPr>
        <w:t>/court/index.php?p1=1&amp;p2=2&amp;p3=2</w:t>
      </w:r>
      <w:r w:rsidRPr="000D6ED5">
        <w:rPr>
          <w:lang w:val="en-US"/>
        </w:rPr>
        <w:t xml:space="preserve"> (last visited </w:t>
      </w:r>
      <w:r>
        <w:rPr>
          <w:lang w:val="en-US"/>
        </w:rPr>
        <w:t>August 18, 2016</w:t>
      </w:r>
      <w:r w:rsidRPr="000D6ED5">
        <w:rPr>
          <w:lang w:val="en-US"/>
        </w:rPr>
        <w:t>).</w:t>
      </w:r>
    </w:p>
  </w:footnote>
  <w:footnote w:id="121">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For a feminist critique of international courts and tribunals from a democratic theory per</w:t>
      </w:r>
      <w:r>
        <w:rPr>
          <w:lang w:val="en-US"/>
        </w:rPr>
        <w:t xml:space="preserve">spective, see Nienke Grossman, </w:t>
      </w:r>
      <w:r w:rsidRPr="0011332C">
        <w:rPr>
          <w:i/>
          <w:lang w:val="en-US"/>
        </w:rPr>
        <w:t>Sex on the Bench: Do Women Judges Matter to the Legitimacy of International Courts?</w:t>
      </w:r>
      <w:r>
        <w:rPr>
          <w:lang w:val="en-US"/>
        </w:rPr>
        <w:t>,</w:t>
      </w:r>
      <w:r w:rsidRPr="000D6ED5">
        <w:rPr>
          <w:lang w:val="en-US"/>
        </w:rPr>
        <w:t xml:space="preserve"> 12 </w:t>
      </w:r>
      <w:r>
        <w:rPr>
          <w:smallCaps/>
          <w:lang w:val="en-US"/>
        </w:rPr>
        <w:t>Chi. J. Int'l L.</w:t>
      </w:r>
      <w:r w:rsidRPr="000D6ED5">
        <w:rPr>
          <w:lang w:val="en-US"/>
        </w:rPr>
        <w:t xml:space="preserve"> 647</w:t>
      </w:r>
      <w:r>
        <w:rPr>
          <w:lang w:val="en-US"/>
        </w:rPr>
        <w:t xml:space="preserve"> (2012)</w:t>
      </w:r>
      <w:r w:rsidRPr="000D6ED5">
        <w:rPr>
          <w:lang w:val="en-US"/>
        </w:rPr>
        <w:t>.</w:t>
      </w:r>
    </w:p>
  </w:footnote>
  <w:footnote w:id="122">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Charlesworth</w:t>
      </w:r>
      <w:r>
        <w:rPr>
          <w:lang w:val="en-US"/>
        </w:rPr>
        <w:t xml:space="preserve">, </w:t>
      </w:r>
      <w:r>
        <w:rPr>
          <w:i/>
          <w:lang w:val="en-US"/>
        </w:rPr>
        <w:t xml:space="preserve">supra </w:t>
      </w:r>
      <w:r>
        <w:rPr>
          <w:lang w:val="en-US"/>
        </w:rPr>
        <w:t>note</w:t>
      </w:r>
      <w:r w:rsidRPr="000D6ED5">
        <w:rPr>
          <w:lang w:val="en-US"/>
        </w:rPr>
        <w:t xml:space="preserve"> </w:t>
      </w:r>
      <w:fldSimple w:instr=" NOTEREF _Ref448495784 \h  \* MERGEFORMAT ">
        <w:r w:rsidR="009C4D3D">
          <w:rPr>
            <w:lang w:val="en-US"/>
          </w:rPr>
          <w:t>116</w:t>
        </w:r>
      </w:fldSimple>
      <w:r>
        <w:rPr>
          <w:lang w:val="en-US"/>
        </w:rPr>
        <w:t>, at</w:t>
      </w:r>
      <w:r w:rsidRPr="000D6ED5">
        <w:rPr>
          <w:lang w:val="en-US"/>
        </w:rPr>
        <w:t xml:space="preserve"> 447.</w:t>
      </w:r>
    </w:p>
  </w:footnote>
  <w:footnote w:id="123">
    <w:p w:rsidR="00E7644E" w:rsidRPr="00043B75" w:rsidRDefault="00E7644E" w:rsidP="0071574A">
      <w:pPr>
        <w:pStyle w:val="FootnoteText"/>
        <w:jc w:val="both"/>
        <w:rPr>
          <w:smallCaps/>
        </w:rPr>
      </w:pPr>
      <w:r>
        <w:rPr>
          <w:rStyle w:val="FootnoteReference"/>
        </w:rPr>
        <w:footnoteRef/>
      </w:r>
      <w:r>
        <w:t xml:space="preserve"> Rosa Ehrenreich Brooks, </w:t>
      </w:r>
      <w:r>
        <w:rPr>
          <w:i/>
        </w:rPr>
        <w:t>Feminism and International Law: An Opportunity for Transformation</w:t>
      </w:r>
      <w:r>
        <w:t xml:space="preserve">, 14 </w:t>
      </w:r>
      <w:r>
        <w:rPr>
          <w:smallCaps/>
        </w:rPr>
        <w:t>Yale J. L. &amp; Feminism 345, 347 (2002).</w:t>
      </w:r>
    </w:p>
  </w:footnote>
  <w:footnote w:id="124">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43B75">
        <w:rPr>
          <w:i/>
          <w:lang w:val="en-US"/>
        </w:rPr>
        <w:t>See</w:t>
      </w:r>
      <w:r>
        <w:rPr>
          <w:lang w:val="en-US"/>
        </w:rPr>
        <w:t>,</w:t>
      </w:r>
      <w:r w:rsidRPr="00043B75">
        <w:rPr>
          <w:i/>
          <w:lang w:val="en-US"/>
        </w:rPr>
        <w:t xml:space="preserve"> e.g.</w:t>
      </w:r>
      <w:r>
        <w:rPr>
          <w:lang w:val="en-US"/>
        </w:rPr>
        <w:t xml:space="preserve">, Hilary Charlesworth, </w:t>
      </w:r>
      <w:r w:rsidRPr="00043B75">
        <w:rPr>
          <w:i/>
          <w:lang w:val="en-US"/>
        </w:rPr>
        <w:t>Worlds Apart: Public/Private Distinctions in International Law</w:t>
      </w:r>
      <w:r>
        <w:rPr>
          <w:lang w:val="en-US"/>
        </w:rPr>
        <w:t>,</w:t>
      </w:r>
      <w:r w:rsidRPr="000D6ED5">
        <w:rPr>
          <w:lang w:val="en-US"/>
        </w:rPr>
        <w:t xml:space="preserve"> </w:t>
      </w:r>
      <w:r w:rsidRPr="00043B75">
        <w:rPr>
          <w:i/>
          <w:lang w:val="en-US"/>
        </w:rPr>
        <w:t>in</w:t>
      </w:r>
      <w:r w:rsidRPr="000D6ED5">
        <w:rPr>
          <w:lang w:val="en-US"/>
        </w:rPr>
        <w:t xml:space="preserve"> </w:t>
      </w:r>
      <w:r w:rsidRPr="00043B75">
        <w:rPr>
          <w:smallCaps/>
          <w:lang w:val="en-US"/>
        </w:rPr>
        <w:t>Public and Private: Feminist Legal Debates</w:t>
      </w:r>
      <w:r w:rsidRPr="000D6ED5">
        <w:rPr>
          <w:lang w:val="en-US"/>
        </w:rPr>
        <w:t xml:space="preserve"> (Margaret Thornton </w:t>
      </w:r>
      <w:r>
        <w:rPr>
          <w:lang w:val="en-US"/>
        </w:rPr>
        <w:t>ed.</w:t>
      </w:r>
      <w:r w:rsidRPr="000D6ED5">
        <w:rPr>
          <w:lang w:val="en-US"/>
        </w:rPr>
        <w:t xml:space="preserve">, 1995); Donna Sullivan, </w:t>
      </w:r>
      <w:r w:rsidRPr="00043B75">
        <w:rPr>
          <w:i/>
          <w:lang w:val="en-US"/>
        </w:rPr>
        <w:t>The Public/Private Distinction in International Human Rights Law</w:t>
      </w:r>
      <w:r>
        <w:rPr>
          <w:lang w:val="en-US"/>
        </w:rPr>
        <w:t>,</w:t>
      </w:r>
      <w:r w:rsidRPr="000D6ED5">
        <w:rPr>
          <w:lang w:val="en-US"/>
        </w:rPr>
        <w:t xml:space="preserve"> </w:t>
      </w:r>
      <w:r w:rsidRPr="00043B75">
        <w:rPr>
          <w:i/>
          <w:lang w:val="en-US"/>
        </w:rPr>
        <w:t>in</w:t>
      </w:r>
      <w:r w:rsidRPr="000D6ED5">
        <w:rPr>
          <w:lang w:val="en-US"/>
        </w:rPr>
        <w:t xml:space="preserve"> </w:t>
      </w:r>
      <w:r w:rsidRPr="00043B75">
        <w:rPr>
          <w:smallCaps/>
          <w:lang w:val="en-US"/>
        </w:rPr>
        <w:t>Women's Rights, Human Rights: International Feminist Perspectives</w:t>
      </w:r>
      <w:r w:rsidRPr="000D6ED5">
        <w:rPr>
          <w:lang w:val="en-US"/>
        </w:rPr>
        <w:t xml:space="preserve"> (Juli</w:t>
      </w:r>
      <w:r>
        <w:rPr>
          <w:lang w:val="en-US"/>
        </w:rPr>
        <w:t>e Peters and Andrea Wolper eds.</w:t>
      </w:r>
      <w:r w:rsidRPr="000D6ED5">
        <w:rPr>
          <w:lang w:val="en-US"/>
        </w:rPr>
        <w:t xml:space="preserve">, 1995); Christine Chinkin, </w:t>
      </w:r>
      <w:r w:rsidRPr="00043B75">
        <w:rPr>
          <w:i/>
          <w:lang w:val="en-US"/>
        </w:rPr>
        <w:t>A Critique of the Public/Private Dimension</w:t>
      </w:r>
      <w:r>
        <w:rPr>
          <w:lang w:val="en-US"/>
        </w:rPr>
        <w:t xml:space="preserve">, </w:t>
      </w:r>
      <w:r w:rsidRPr="000D6ED5">
        <w:rPr>
          <w:lang w:val="en-US"/>
        </w:rPr>
        <w:t xml:space="preserve">10 </w:t>
      </w:r>
      <w:r>
        <w:rPr>
          <w:smallCaps/>
          <w:lang w:val="en-US"/>
        </w:rPr>
        <w:t>Eur. J. Int'l L.</w:t>
      </w:r>
      <w:r w:rsidRPr="000D6ED5">
        <w:rPr>
          <w:lang w:val="en-US"/>
        </w:rPr>
        <w:t xml:space="preserve"> 387</w:t>
      </w:r>
      <w:r>
        <w:rPr>
          <w:lang w:val="en-US"/>
        </w:rPr>
        <w:t xml:space="preserve"> (1999)</w:t>
      </w:r>
      <w:r w:rsidRPr="000D6ED5">
        <w:rPr>
          <w:lang w:val="en-US"/>
        </w:rPr>
        <w:t>.</w:t>
      </w:r>
    </w:p>
  </w:footnote>
  <w:footnote w:id="125">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43B75">
        <w:rPr>
          <w:i/>
          <w:lang w:val="en-US"/>
        </w:rPr>
        <w:t xml:space="preserve">See </w:t>
      </w:r>
      <w:r>
        <w:rPr>
          <w:i/>
          <w:lang w:val="en-US"/>
        </w:rPr>
        <w:t>esp.</w:t>
      </w:r>
      <w:r>
        <w:rPr>
          <w:lang w:val="en-US"/>
        </w:rPr>
        <w:t xml:space="preserve"> Diane Otto, </w:t>
      </w:r>
      <w:r w:rsidRPr="00043B75">
        <w:rPr>
          <w:i/>
          <w:lang w:val="en-US"/>
        </w:rPr>
        <w:t>The Exile of Inclusion: Reflections on Gender Issues in International Law Over the Last Decade</w:t>
      </w:r>
      <w:r>
        <w:rPr>
          <w:lang w:val="en-US"/>
        </w:rPr>
        <w:t xml:space="preserve">, </w:t>
      </w:r>
      <w:r w:rsidRPr="000D6ED5">
        <w:rPr>
          <w:lang w:val="en-US"/>
        </w:rPr>
        <w:t xml:space="preserve">10 </w:t>
      </w:r>
      <w:r>
        <w:rPr>
          <w:smallCaps/>
          <w:lang w:val="en-US"/>
        </w:rPr>
        <w:t>Melb. J. Int'l L.</w:t>
      </w:r>
      <w:r w:rsidRPr="000D6ED5">
        <w:rPr>
          <w:lang w:val="en-US"/>
        </w:rPr>
        <w:t xml:space="preserve"> 11</w:t>
      </w:r>
      <w:r>
        <w:rPr>
          <w:lang w:val="en-US"/>
        </w:rPr>
        <w:t xml:space="preserve"> (2009)</w:t>
      </w:r>
      <w:r w:rsidRPr="000D6ED5">
        <w:rPr>
          <w:lang w:val="en-US"/>
        </w:rPr>
        <w:t xml:space="preserve">; and Anne Orford, </w:t>
      </w:r>
      <w:r w:rsidRPr="00043B75">
        <w:rPr>
          <w:i/>
          <w:lang w:val="en-US"/>
        </w:rPr>
        <w:t>Feminism, Imperialism and the Mission of International Law</w:t>
      </w:r>
      <w:r>
        <w:rPr>
          <w:lang w:val="en-US"/>
        </w:rPr>
        <w:t>,</w:t>
      </w:r>
      <w:r w:rsidRPr="000D6ED5">
        <w:rPr>
          <w:lang w:val="en-US"/>
        </w:rPr>
        <w:t xml:space="preserve"> 71 </w:t>
      </w:r>
      <w:r>
        <w:rPr>
          <w:smallCaps/>
          <w:lang w:val="en-US"/>
        </w:rPr>
        <w:t>Nordic J. Int'l L.</w:t>
      </w:r>
      <w:r w:rsidRPr="000D6ED5">
        <w:rPr>
          <w:lang w:val="en-US"/>
        </w:rPr>
        <w:t xml:space="preserve"> 275</w:t>
      </w:r>
      <w:r>
        <w:rPr>
          <w:lang w:val="en-US"/>
        </w:rPr>
        <w:t xml:space="preserve"> (2002)</w:t>
      </w:r>
      <w:r w:rsidRPr="000D6ED5">
        <w:rPr>
          <w:lang w:val="en-US"/>
        </w:rPr>
        <w:t>.</w:t>
      </w:r>
    </w:p>
  </w:footnote>
  <w:footnote w:id="126">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00E204A1" w:rsidRPr="00E204A1">
        <w:rPr>
          <w:i/>
          <w:lang w:val="en-US"/>
        </w:rPr>
        <w:t>See</w:t>
      </w:r>
      <w:r w:rsidR="00E204A1">
        <w:rPr>
          <w:lang w:val="en-US"/>
        </w:rPr>
        <w:t xml:space="preserve">, </w:t>
      </w:r>
      <w:r w:rsidR="00E204A1" w:rsidRPr="00E204A1">
        <w:rPr>
          <w:i/>
          <w:lang w:val="en-US"/>
        </w:rPr>
        <w:t>e.g.</w:t>
      </w:r>
      <w:r w:rsidR="00E204A1">
        <w:rPr>
          <w:lang w:val="en-US"/>
        </w:rPr>
        <w:t xml:space="preserve">, </w:t>
      </w:r>
      <w:r w:rsidRPr="00E204A1">
        <w:rPr>
          <w:smallCaps/>
          <w:lang w:val="en-US"/>
        </w:rPr>
        <w:t>Hugo Grotius, The Rights of War and Peace - Including the Law of Nature and of Nations</w:t>
      </w:r>
      <w:r w:rsidRPr="000D6ED5">
        <w:rPr>
          <w:lang w:val="en-US"/>
        </w:rPr>
        <w:t xml:space="preserve"> </w:t>
      </w:r>
      <w:r w:rsidR="00E204A1">
        <w:rPr>
          <w:lang w:val="en-US"/>
        </w:rPr>
        <w:t xml:space="preserve">389-90 </w:t>
      </w:r>
      <w:r w:rsidRPr="000D6ED5">
        <w:rPr>
          <w:lang w:val="en-US"/>
        </w:rPr>
        <w:t>(1901) (</w:t>
      </w:r>
      <w:r w:rsidR="00E204A1">
        <w:rPr>
          <w:lang w:val="en-US"/>
        </w:rPr>
        <w:t xml:space="preserve">for whom </w:t>
      </w:r>
      <w:r w:rsidRPr="000D6ED5">
        <w:rPr>
          <w:lang w:val="en-US"/>
        </w:rPr>
        <w:t xml:space="preserve">the injustice resulting from war does not affect the validity of peace treaties but only their interpretation); </w:t>
      </w:r>
      <w:r w:rsidRPr="00E204A1">
        <w:rPr>
          <w:smallCaps/>
          <w:lang w:val="en-US"/>
        </w:rPr>
        <w:t>Samuel Pufendorf, Of the Law of Nature and Nations</w:t>
      </w:r>
      <w:r w:rsidR="00E204A1">
        <w:rPr>
          <w:lang w:val="en-US"/>
        </w:rPr>
        <w:t xml:space="preserve"> 849-50</w:t>
      </w:r>
      <w:r w:rsidRPr="000D6ED5">
        <w:rPr>
          <w:lang w:val="en-US"/>
        </w:rPr>
        <w:t xml:space="preserve"> (1729) (</w:t>
      </w:r>
      <w:r w:rsidR="00E204A1">
        <w:rPr>
          <w:lang w:val="en-US"/>
        </w:rPr>
        <w:t xml:space="preserve">arguing that </w:t>
      </w:r>
      <w:r w:rsidRPr="000D6ED5">
        <w:rPr>
          <w:lang w:val="en-US"/>
        </w:rPr>
        <w:t xml:space="preserve">compacts made with an enemy are required to be observed, save for treaties that continue a state of war); </w:t>
      </w:r>
      <w:r w:rsidRPr="00E204A1">
        <w:rPr>
          <w:smallCaps/>
          <w:lang w:val="en-US"/>
        </w:rPr>
        <w:t>Daniel Gardner, Institutes of International Law</w:t>
      </w:r>
      <w:r w:rsidR="00E204A1">
        <w:rPr>
          <w:smallCaps/>
          <w:lang w:val="en-US"/>
        </w:rPr>
        <w:t xml:space="preserve"> 573</w:t>
      </w:r>
      <w:r w:rsidRPr="000D6ED5">
        <w:rPr>
          <w:lang w:val="en-US"/>
        </w:rPr>
        <w:t xml:space="preserve"> (1860) </w:t>
      </w:r>
      <w:r w:rsidR="00E204A1">
        <w:rPr>
          <w:lang w:val="en-US"/>
        </w:rPr>
        <w:t>("</w:t>
      </w:r>
      <w:r w:rsidRPr="000D6ED5">
        <w:rPr>
          <w:lang w:val="en-US"/>
        </w:rPr>
        <w:t>treaties made under forcible coercion are valid by the law of nations, though in all codes of municipal law the rule is otherwise as to contracts of individuals. This is a rule of necessity, as all wars would be endless if a valid treaty could not be made, and terms of pacification ratified in a binding form</w:t>
      </w:r>
      <w:r w:rsidR="00E204A1">
        <w:rPr>
          <w:lang w:val="en-US"/>
        </w:rPr>
        <w:t>")</w:t>
      </w:r>
      <w:r w:rsidRPr="000D6ED5">
        <w:rPr>
          <w:lang w:val="en-US"/>
        </w:rPr>
        <w:t xml:space="preserve">; </w:t>
      </w:r>
      <w:r w:rsidRPr="00E204A1">
        <w:rPr>
          <w:smallCaps/>
          <w:lang w:val="en-US"/>
        </w:rPr>
        <w:t>Oppenheim</w:t>
      </w:r>
      <w:r w:rsidR="00E204A1">
        <w:rPr>
          <w:lang w:val="en-US"/>
        </w:rPr>
        <w:t xml:space="preserve">, </w:t>
      </w:r>
      <w:r w:rsidR="00E204A1">
        <w:rPr>
          <w:i/>
          <w:lang w:val="en-US"/>
        </w:rPr>
        <w:t xml:space="preserve">supra </w:t>
      </w:r>
      <w:r w:rsidR="00E204A1">
        <w:rPr>
          <w:lang w:val="en-US"/>
        </w:rPr>
        <w:t>note</w:t>
      </w:r>
      <w:r w:rsidRPr="000D6ED5">
        <w:rPr>
          <w:lang w:val="en-US"/>
        </w:rPr>
        <w:t xml:space="preserve"> </w:t>
      </w:r>
      <w:fldSimple w:instr=" NOTEREF _Ref447718962 \h  \* MERGEFORMAT ">
        <w:r w:rsidR="009C4D3D">
          <w:rPr>
            <w:lang w:val="en-US"/>
          </w:rPr>
          <w:t>45</w:t>
        </w:r>
      </w:fldSimple>
      <w:r w:rsidR="00E204A1">
        <w:rPr>
          <w:lang w:val="en-US"/>
        </w:rPr>
        <w:t>, at</w:t>
      </w:r>
      <w:r w:rsidRPr="000D6ED5">
        <w:rPr>
          <w:lang w:val="en-US"/>
        </w:rPr>
        <w:t xml:space="preserve"> 525</w:t>
      </w:r>
      <w:r w:rsidR="00E204A1">
        <w:rPr>
          <w:lang w:val="en-US"/>
        </w:rPr>
        <w:t xml:space="preserve"> ("</w:t>
      </w:r>
      <w:r w:rsidRPr="000D6ED5">
        <w:rPr>
          <w:lang w:val="en-US"/>
        </w:rPr>
        <w:t xml:space="preserve">circumstances of urgent distress, such as defeat in war or the menace of a strong State to a weak State, are not regarded as excluding the freedom of action of a party consenting to the terms of a treaty </w:t>
      </w:r>
      <w:r w:rsidR="00E204A1">
        <w:rPr>
          <w:lang w:val="en-US"/>
        </w:rPr>
        <w:t>....</w:t>
      </w:r>
      <w:r w:rsidRPr="000D6ED5">
        <w:rPr>
          <w:lang w:val="en-US"/>
        </w:rPr>
        <w:t xml:space="preserve"> A State which was forced by circumstances to conclude a treaty </w:t>
      </w:r>
      <w:r w:rsidR="00E204A1">
        <w:rPr>
          <w:lang w:val="en-US"/>
        </w:rPr>
        <w:t>....</w:t>
      </w:r>
      <w:r w:rsidRPr="000D6ED5">
        <w:rPr>
          <w:lang w:val="en-US"/>
        </w:rPr>
        <w:t xml:space="preserve"> has no right afterwards to shake off the obligations of such treaty on the ground that its freedom of action was interfered with at the time</w:t>
      </w:r>
      <w:r w:rsidR="00E204A1">
        <w:rPr>
          <w:lang w:val="en-US"/>
        </w:rPr>
        <w:t>")</w:t>
      </w:r>
      <w:r w:rsidRPr="000D6ED5">
        <w:rPr>
          <w:lang w:val="en-US"/>
        </w:rPr>
        <w:t>.</w:t>
      </w:r>
    </w:p>
  </w:footnote>
  <w:footnote w:id="127">
    <w:p w:rsidR="0091493E" w:rsidRDefault="0091493E" w:rsidP="0071574A">
      <w:pPr>
        <w:pStyle w:val="FootnoteText"/>
        <w:jc w:val="both"/>
      </w:pPr>
      <w:r>
        <w:rPr>
          <w:rStyle w:val="FootnoteReference"/>
        </w:rPr>
        <w:footnoteRef/>
      </w:r>
      <w:r>
        <w:t xml:space="preserve"> For a historical account, see Stuart S. Malawer, </w:t>
      </w:r>
      <w:r>
        <w:rPr>
          <w:i/>
        </w:rPr>
        <w:t>Imposed Treaties and International Law</w:t>
      </w:r>
      <w:r>
        <w:t xml:space="preserve">, 7 </w:t>
      </w:r>
      <w:r>
        <w:rPr>
          <w:smallCaps/>
        </w:rPr>
        <w:t>Cal. W. Int'l L. J. 1 (1977).</w:t>
      </w:r>
      <w:r>
        <w:t xml:space="preserve"> </w:t>
      </w:r>
    </w:p>
  </w:footnote>
  <w:footnote w:id="128">
    <w:p w:rsidR="0091493E" w:rsidRDefault="0091493E" w:rsidP="0071574A">
      <w:pPr>
        <w:pStyle w:val="FootnoteText"/>
        <w:jc w:val="both"/>
      </w:pPr>
      <w:r>
        <w:rPr>
          <w:rStyle w:val="FootnoteReference"/>
        </w:rPr>
        <w:footnoteRef/>
      </w:r>
      <w:r>
        <w:t xml:space="preserve"> Vienna Convention on the Law of Treaties,</w:t>
      </w:r>
      <w:r w:rsidR="006151F3">
        <w:t xml:space="preserve"> art. 52,</w:t>
      </w:r>
      <w:r>
        <w:t xml:space="preserve"> opened for signature May 23, 1969, 1155 U.N.T.S. 331, 8 I.L.M. 679</w:t>
      </w:r>
      <w:r w:rsidR="006151F3">
        <w:t>.</w:t>
      </w:r>
    </w:p>
  </w:footnote>
  <w:footnote w:id="129">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See UN Doc. A/CONF.39/C.l/L.67/Rev.l/Corr.l (nineteen-state amendment) and UN Doc. A/CONF.39/11, at 269-293 (in particular positions of Afghanistan, India, Bolivia, Iraq, Ecuador, Syria, Cuba, Algeria, Zambia, Ghana, Guinea, Russia and Kenya).</w:t>
      </w:r>
    </w:p>
  </w:footnote>
  <w:footnote w:id="130">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006151F3">
        <w:rPr>
          <w:i/>
          <w:lang w:val="en-US"/>
        </w:rPr>
        <w:t>Id.</w:t>
      </w:r>
      <w:r w:rsidRPr="000D6ED5">
        <w:rPr>
          <w:lang w:val="en-US"/>
        </w:rPr>
        <w:t xml:space="preserve"> (positions of </w:t>
      </w:r>
      <w:r w:rsidR="006151F3">
        <w:rPr>
          <w:lang w:val="en-US"/>
        </w:rPr>
        <w:t xml:space="preserve">The </w:t>
      </w:r>
      <w:r w:rsidRPr="000D6ED5">
        <w:rPr>
          <w:lang w:val="en-US"/>
        </w:rPr>
        <w:t>Netherlands, Australia, Portugal, Sweden, Canada, United Kingdom, United States and Japan).</w:t>
      </w:r>
    </w:p>
  </w:footnote>
  <w:footnote w:id="131">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6151F3">
        <w:rPr>
          <w:i/>
          <w:lang w:val="en-US"/>
        </w:rPr>
        <w:t>See</w:t>
      </w:r>
      <w:r w:rsidRPr="000D6ED5">
        <w:rPr>
          <w:lang w:val="en-US"/>
        </w:rPr>
        <w:t xml:space="preserve"> UN Doc. A/CN.4/156 and Add.1-3, at 52.</w:t>
      </w:r>
    </w:p>
  </w:footnote>
  <w:footnote w:id="132">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6151F3">
        <w:rPr>
          <w:i/>
          <w:lang w:val="en-US"/>
        </w:rPr>
        <w:t>See</w:t>
      </w:r>
      <w:r w:rsidRPr="000D6ED5">
        <w:rPr>
          <w:lang w:val="en-US"/>
        </w:rPr>
        <w:t xml:space="preserve"> Frédéric Mégret, </w:t>
      </w:r>
      <w:r w:rsidRPr="006151F3">
        <w:rPr>
          <w:i/>
          <w:lang w:val="en-US"/>
        </w:rPr>
        <w:t>Declaration on the Prohibition of Military, Political or Economic Coercion in the Conclusion of Treaties</w:t>
      </w:r>
      <w:r w:rsidR="006151F3">
        <w:rPr>
          <w:lang w:val="en-US"/>
        </w:rPr>
        <w:t>,</w:t>
      </w:r>
      <w:r w:rsidRPr="000D6ED5">
        <w:rPr>
          <w:lang w:val="en-US"/>
        </w:rPr>
        <w:t xml:space="preserve"> </w:t>
      </w:r>
      <w:r w:rsidRPr="006151F3">
        <w:rPr>
          <w:i/>
          <w:lang w:val="en-US"/>
        </w:rPr>
        <w:t>in</w:t>
      </w:r>
      <w:r w:rsidRPr="000D6ED5">
        <w:rPr>
          <w:lang w:val="en-US"/>
        </w:rPr>
        <w:t xml:space="preserve"> </w:t>
      </w:r>
      <w:r w:rsidRPr="006151F3">
        <w:rPr>
          <w:smallCaps/>
          <w:lang w:val="en-US"/>
        </w:rPr>
        <w:t>The Vienna Conventions on the Law of Treaties - A Commentary</w:t>
      </w:r>
      <w:r w:rsidRPr="000D6ED5">
        <w:rPr>
          <w:i/>
          <w:lang w:val="en-US"/>
        </w:rPr>
        <w:t xml:space="preserve"> </w:t>
      </w:r>
      <w:r w:rsidRPr="000D6ED5">
        <w:rPr>
          <w:lang w:val="en-US"/>
        </w:rPr>
        <w:t>(</w:t>
      </w:r>
      <w:r w:rsidR="006151F3" w:rsidRPr="000D6ED5">
        <w:rPr>
          <w:lang w:val="en-US"/>
        </w:rPr>
        <w:t xml:space="preserve">Olivier Corten and Pierre Klein </w:t>
      </w:r>
      <w:r w:rsidR="006151F3">
        <w:rPr>
          <w:lang w:val="en-US"/>
        </w:rPr>
        <w:t>eds.</w:t>
      </w:r>
      <w:r w:rsidR="006151F3" w:rsidRPr="000D6ED5">
        <w:rPr>
          <w:lang w:val="en-US"/>
        </w:rPr>
        <w:t>,</w:t>
      </w:r>
      <w:r w:rsidRPr="000D6ED5">
        <w:rPr>
          <w:lang w:val="en-US"/>
        </w:rPr>
        <w:t xml:space="preserve"> 2011). On the </w:t>
      </w:r>
      <w:r w:rsidRPr="000D6ED5">
        <w:rPr>
          <w:i/>
          <w:lang w:val="en-US"/>
        </w:rPr>
        <w:t>laissez-faire</w:t>
      </w:r>
      <w:r w:rsidRPr="000D6ED5">
        <w:rPr>
          <w:lang w:val="en-US"/>
        </w:rPr>
        <w:t xml:space="preserve"> attitude of international law towards economic coercion more generall</w:t>
      </w:r>
      <w:r w:rsidR="006151F3">
        <w:rPr>
          <w:lang w:val="en-US"/>
        </w:rPr>
        <w:t xml:space="preserve">y, see Antonios Tzanakopoulos, </w:t>
      </w:r>
      <w:r w:rsidRPr="006151F3">
        <w:rPr>
          <w:i/>
          <w:lang w:val="en-US"/>
        </w:rPr>
        <w:t>The Right to be Free from Economic Coercion</w:t>
      </w:r>
      <w:r w:rsidR="006151F3">
        <w:rPr>
          <w:lang w:val="en-US"/>
        </w:rPr>
        <w:t xml:space="preserve">, </w:t>
      </w:r>
      <w:r w:rsidRPr="000D6ED5">
        <w:rPr>
          <w:lang w:val="en-US"/>
        </w:rPr>
        <w:t xml:space="preserve">4 </w:t>
      </w:r>
      <w:r w:rsidR="006151F3">
        <w:rPr>
          <w:smallCaps/>
          <w:lang w:val="en-US"/>
        </w:rPr>
        <w:t>Cambridge J. Int'l &amp; Comp. L.</w:t>
      </w:r>
      <w:r w:rsidRPr="000D6ED5">
        <w:rPr>
          <w:lang w:val="en-US"/>
        </w:rPr>
        <w:t xml:space="preserve"> (</w:t>
      </w:r>
      <w:r w:rsidR="006151F3">
        <w:rPr>
          <w:lang w:val="en-US"/>
        </w:rPr>
        <w:t>2015, forthcoming</w:t>
      </w:r>
      <w:r w:rsidRPr="000D6ED5">
        <w:rPr>
          <w:lang w:val="en-US"/>
        </w:rPr>
        <w:t xml:space="preserve">). </w:t>
      </w:r>
      <w:r w:rsidRPr="006151F3">
        <w:rPr>
          <w:i/>
          <w:lang w:val="en-US"/>
        </w:rPr>
        <w:t>See also</w:t>
      </w:r>
      <w:r w:rsidRPr="000D6ED5">
        <w:rPr>
          <w:lang w:val="en-US"/>
        </w:rPr>
        <w:t xml:space="preserve">, </w:t>
      </w:r>
      <w:r w:rsidRPr="000D6ED5">
        <w:rPr>
          <w:i/>
          <w:lang w:val="en-US"/>
        </w:rPr>
        <w:t>contra</w:t>
      </w:r>
      <w:r w:rsidR="006151F3">
        <w:rPr>
          <w:lang w:val="en-US"/>
        </w:rPr>
        <w:t xml:space="preserve">, Olivier Corten, </w:t>
      </w:r>
      <w:r w:rsidRPr="006151F3">
        <w:rPr>
          <w:i/>
          <w:lang w:val="en-US"/>
        </w:rPr>
        <w:t>Article 52</w:t>
      </w:r>
      <w:r w:rsidR="006151F3">
        <w:rPr>
          <w:lang w:val="en-US"/>
        </w:rPr>
        <w:t>,</w:t>
      </w:r>
      <w:r w:rsidRPr="000D6ED5">
        <w:rPr>
          <w:lang w:val="en-US"/>
        </w:rPr>
        <w:t xml:space="preserve"> </w:t>
      </w:r>
      <w:r w:rsidRPr="006151F3">
        <w:rPr>
          <w:i/>
          <w:lang w:val="en-US"/>
        </w:rPr>
        <w:t>in</w:t>
      </w:r>
      <w:r w:rsidRPr="000D6ED5">
        <w:rPr>
          <w:lang w:val="en-US"/>
        </w:rPr>
        <w:t xml:space="preserve"> C</w:t>
      </w:r>
      <w:r w:rsidRPr="006151F3">
        <w:rPr>
          <w:smallCaps/>
          <w:lang w:val="en-US"/>
        </w:rPr>
        <w:t>orten &amp; Klein</w:t>
      </w:r>
      <w:r w:rsidRPr="000D6ED5">
        <w:rPr>
          <w:lang w:val="en-US"/>
        </w:rPr>
        <w:t xml:space="preserve">, </w:t>
      </w:r>
      <w:r w:rsidR="006151F3">
        <w:rPr>
          <w:i/>
          <w:lang w:val="en-US"/>
        </w:rPr>
        <w:t>id.</w:t>
      </w:r>
      <w:r w:rsidR="006151F3">
        <w:rPr>
          <w:lang w:val="en-US"/>
        </w:rPr>
        <w:t xml:space="preserve"> (</w:t>
      </w:r>
      <w:r w:rsidRPr="000D6ED5">
        <w:rPr>
          <w:lang w:val="en-US"/>
        </w:rPr>
        <w:t>arguing that the broader interpretation of coercion, not limited to military but including also economic and political c</w:t>
      </w:r>
      <w:r w:rsidR="006151F3">
        <w:rPr>
          <w:lang w:val="en-US"/>
        </w:rPr>
        <w:t>oercion, has nowadays prevailed).</w:t>
      </w:r>
    </w:p>
  </w:footnote>
  <w:footnote w:id="133">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962143">
        <w:rPr>
          <w:smallCaps/>
          <w:lang w:val="en-US"/>
        </w:rPr>
        <w:t>Wade Mansell and Karen Openshaw, International Law - A Critical Introduction</w:t>
      </w:r>
      <w:r w:rsidR="00962143">
        <w:rPr>
          <w:lang w:val="en-US"/>
        </w:rPr>
        <w:t xml:space="preserve"> 82-3</w:t>
      </w:r>
      <w:r w:rsidRPr="000D6ED5">
        <w:rPr>
          <w:lang w:val="en-US"/>
        </w:rPr>
        <w:t xml:space="preserve"> (201</w:t>
      </w:r>
      <w:r w:rsidR="00962143">
        <w:rPr>
          <w:lang w:val="en-US"/>
        </w:rPr>
        <w:t>3)</w:t>
      </w:r>
      <w:r w:rsidRPr="000D6ED5">
        <w:rPr>
          <w:lang w:val="en-US"/>
        </w:rPr>
        <w:t>.</w:t>
      </w:r>
    </w:p>
  </w:footnote>
  <w:footnote w:id="134">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962143">
        <w:rPr>
          <w:smallCaps/>
          <w:lang w:val="en-US"/>
        </w:rPr>
        <w:t>Simpson</w:t>
      </w:r>
      <w:r w:rsidR="00962143">
        <w:rPr>
          <w:lang w:val="en-US"/>
        </w:rPr>
        <w:t xml:space="preserve">, </w:t>
      </w:r>
      <w:r w:rsidR="00962143">
        <w:rPr>
          <w:i/>
          <w:lang w:val="en-US"/>
        </w:rPr>
        <w:t xml:space="preserve">supra </w:t>
      </w:r>
      <w:r w:rsidR="00962143">
        <w:rPr>
          <w:lang w:val="en-US"/>
        </w:rPr>
        <w:t>note</w:t>
      </w:r>
      <w:r w:rsidRPr="000D6ED5">
        <w:rPr>
          <w:lang w:val="en-US"/>
        </w:rPr>
        <w:t xml:space="preserve"> </w:t>
      </w:r>
      <w:fldSimple w:instr=" NOTEREF _Ref447718308 \h  \* MERGEFORMAT ">
        <w:r w:rsidR="009C4D3D">
          <w:rPr>
            <w:lang w:val="en-US"/>
          </w:rPr>
          <w:t>85</w:t>
        </w:r>
      </w:fldSimple>
      <w:r w:rsidR="00962143">
        <w:rPr>
          <w:lang w:val="en-US"/>
        </w:rPr>
        <w:t>, at</w:t>
      </w:r>
      <w:r w:rsidRPr="000D6ED5">
        <w:rPr>
          <w:lang w:val="en-US"/>
        </w:rPr>
        <w:t xml:space="preserve"> 102-8 (noting that the constitutional privileges of the </w:t>
      </w:r>
      <w:r w:rsidR="00962143">
        <w:rPr>
          <w:lang w:val="en-US"/>
        </w:rPr>
        <w:t>g</w:t>
      </w:r>
      <w:r w:rsidRPr="000D6ED5">
        <w:rPr>
          <w:lang w:val="en-US"/>
        </w:rPr>
        <w:t xml:space="preserve">reat </w:t>
      </w:r>
      <w:r w:rsidR="00962143">
        <w:rPr>
          <w:lang w:val="en-US"/>
        </w:rPr>
        <w:t>p</w:t>
      </w:r>
      <w:r w:rsidRPr="000D6ED5">
        <w:rPr>
          <w:lang w:val="en-US"/>
        </w:rPr>
        <w:t>owers in the concert system were combined with a strong commitment to sovereign equality among themselves).</w:t>
      </w:r>
    </w:p>
  </w:footnote>
  <w:footnote w:id="135">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00962143">
        <w:rPr>
          <w:i/>
          <w:lang w:val="en-US"/>
        </w:rPr>
        <w:t>Id.</w:t>
      </w:r>
      <w:r w:rsidR="00962143">
        <w:rPr>
          <w:lang w:val="en-US"/>
        </w:rPr>
        <w:t>, at</w:t>
      </w:r>
      <w:r w:rsidRPr="000D6ED5">
        <w:rPr>
          <w:lang w:val="en-US"/>
        </w:rPr>
        <w:t xml:space="preserve"> 180-92.</w:t>
      </w:r>
    </w:p>
  </w:footnote>
  <w:footnote w:id="136">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Under the ICJ Statute, members of the Court </w:t>
      </w:r>
      <w:r w:rsidR="00962143">
        <w:rPr>
          <w:lang w:val="en-US"/>
        </w:rPr>
        <w:t>"</w:t>
      </w:r>
      <w:r w:rsidRPr="000D6ED5">
        <w:rPr>
          <w:lang w:val="en-US"/>
        </w:rPr>
        <w:t>shall be elected by the General Assembly and by the Security Council</w:t>
      </w:r>
      <w:r w:rsidR="00962143">
        <w:rPr>
          <w:lang w:val="en-US"/>
        </w:rPr>
        <w:t>"</w:t>
      </w:r>
      <w:r w:rsidRPr="000D6ED5">
        <w:rPr>
          <w:lang w:val="en-US"/>
        </w:rPr>
        <w:t xml:space="preserve"> (art. 5.1). The Court has always included judges of the nationality of the permanent members.</w:t>
      </w:r>
    </w:p>
  </w:footnote>
  <w:footnote w:id="137">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O</w:t>
      </w:r>
      <w:r w:rsidR="00DA0950">
        <w:rPr>
          <w:lang w:val="en-US"/>
        </w:rPr>
        <w:t xml:space="preserve">n this point, see Nico Krisch, </w:t>
      </w:r>
      <w:r w:rsidRPr="00DA0950">
        <w:rPr>
          <w:i/>
          <w:lang w:val="en-US"/>
        </w:rPr>
        <w:t>International Law in Times of Hegemony: Unequal Power and the Shaping of the International Legal Order</w:t>
      </w:r>
      <w:r w:rsidR="00DA0950">
        <w:rPr>
          <w:lang w:val="en-US"/>
        </w:rPr>
        <w:t xml:space="preserve">, </w:t>
      </w:r>
      <w:r w:rsidRPr="000D6ED5">
        <w:rPr>
          <w:lang w:val="en-US"/>
        </w:rPr>
        <w:t xml:space="preserve">16 </w:t>
      </w:r>
      <w:r w:rsidR="00DA0950">
        <w:rPr>
          <w:smallCaps/>
          <w:lang w:val="en-US"/>
        </w:rPr>
        <w:t>Eur. J. Int'l L.</w:t>
      </w:r>
      <w:r w:rsidRPr="000D6ED5">
        <w:rPr>
          <w:lang w:val="en-US"/>
        </w:rPr>
        <w:t xml:space="preserve"> 369</w:t>
      </w:r>
      <w:r w:rsidR="00DA0950">
        <w:rPr>
          <w:lang w:val="en-US"/>
        </w:rPr>
        <w:t xml:space="preserve"> (2005)</w:t>
      </w:r>
      <w:r w:rsidRPr="000D6ED5">
        <w:rPr>
          <w:lang w:val="en-US"/>
        </w:rPr>
        <w:t>.</w:t>
      </w:r>
    </w:p>
  </w:footnote>
  <w:footnote w:id="138">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E07B82">
        <w:rPr>
          <w:lang w:val="en-US"/>
        </w:rPr>
        <w:t>North Sea Continental Shelf Cases</w:t>
      </w:r>
      <w:r w:rsidR="00E07B82">
        <w:rPr>
          <w:lang w:val="en-US"/>
        </w:rPr>
        <w:t xml:space="preserve">, </w:t>
      </w:r>
      <w:r w:rsidR="00E07B82">
        <w:rPr>
          <w:i/>
          <w:lang w:val="en-US"/>
        </w:rPr>
        <w:t xml:space="preserve">supra </w:t>
      </w:r>
      <w:r w:rsidR="00E07B82">
        <w:rPr>
          <w:lang w:val="en-US"/>
        </w:rPr>
        <w:t>note</w:t>
      </w:r>
      <w:r w:rsidRPr="000D6ED5">
        <w:rPr>
          <w:lang w:val="en-US"/>
        </w:rPr>
        <w:t xml:space="preserve"> </w:t>
      </w:r>
      <w:fldSimple w:instr=" NOTEREF _Ref428358885 \h  \* MERGEFORMAT ">
        <w:r w:rsidR="009C4D3D">
          <w:rPr>
            <w:lang w:val="en-US"/>
          </w:rPr>
          <w:t>29</w:t>
        </w:r>
      </w:fldSimple>
      <w:r w:rsidR="00E07B82">
        <w:rPr>
          <w:lang w:val="en-US"/>
        </w:rPr>
        <w:t>, para. 73 ("</w:t>
      </w:r>
      <w:r w:rsidRPr="000D6ED5">
        <w:rPr>
          <w:lang w:val="en-US"/>
        </w:rPr>
        <w:t>even without the passage of any considerable period of time, a very widespread and representative participation in the convention might suffice of itself, provided it included that of States whose interests were specially affected</w:t>
      </w:r>
      <w:r w:rsidR="00E07B82">
        <w:rPr>
          <w:lang w:val="en-US"/>
        </w:rPr>
        <w:t>")</w:t>
      </w:r>
      <w:r w:rsidRPr="000D6ED5">
        <w:rPr>
          <w:lang w:val="en-US"/>
        </w:rPr>
        <w:t>.</w:t>
      </w:r>
    </w:p>
  </w:footnote>
  <w:footnote w:id="139">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00E07B82">
        <w:rPr>
          <w:i/>
          <w:lang w:val="en-US"/>
        </w:rPr>
        <w:t xml:space="preserve">See </w:t>
      </w:r>
      <w:r w:rsidR="00E07B82" w:rsidRPr="00E07B82">
        <w:rPr>
          <w:smallCaps/>
          <w:lang w:val="en-US"/>
        </w:rPr>
        <w:t>International Law Association</w:t>
      </w:r>
      <w:r w:rsidRPr="00E07B82">
        <w:rPr>
          <w:smallCaps/>
          <w:lang w:val="en-US"/>
        </w:rPr>
        <w:t>, Final Report of the Committee on the Formation of Customary (General) International Law - Statement of Principles Applicable to the Formation of General Customary International Law</w:t>
      </w:r>
      <w:r w:rsidRPr="000D6ED5">
        <w:rPr>
          <w:lang w:val="en-US"/>
        </w:rPr>
        <w:t xml:space="preserve">, </w:t>
      </w:r>
      <w:r w:rsidRPr="00E07B82">
        <w:rPr>
          <w:smallCaps/>
          <w:lang w:val="en-US"/>
        </w:rPr>
        <w:t>Report of the Sixty-Ninth Conference</w:t>
      </w:r>
      <w:r w:rsidR="00E07B82">
        <w:rPr>
          <w:lang w:val="en-US"/>
        </w:rPr>
        <w:t xml:space="preserve"> (2000),</w:t>
      </w:r>
      <w:r w:rsidRPr="000D6ED5">
        <w:rPr>
          <w:lang w:val="en-US"/>
        </w:rPr>
        <w:t xml:space="preserve"> principle 14 and commentary (e) thereto (hereinafter 'ILA Report').</w:t>
      </w:r>
    </w:p>
  </w:footnote>
  <w:footnote w:id="140">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E07B82">
        <w:rPr>
          <w:lang w:val="en-US"/>
        </w:rPr>
        <w:t>North Sea Continental Shelf Cases</w:t>
      </w:r>
      <w:r w:rsidR="00E07B82">
        <w:rPr>
          <w:lang w:val="en-US"/>
        </w:rPr>
        <w:t xml:space="preserve">, </w:t>
      </w:r>
      <w:r w:rsidR="00E07B82">
        <w:rPr>
          <w:i/>
          <w:lang w:val="en-US"/>
        </w:rPr>
        <w:t>supra</w:t>
      </w:r>
      <w:r w:rsidR="00E07B82">
        <w:rPr>
          <w:lang w:val="en-US"/>
        </w:rPr>
        <w:t xml:space="preserve"> note</w:t>
      </w:r>
      <w:r w:rsidRPr="000D6ED5">
        <w:rPr>
          <w:lang w:val="en-US"/>
        </w:rPr>
        <w:t xml:space="preserve"> </w:t>
      </w:r>
      <w:fldSimple w:instr=" NOTEREF _Ref428358885 \h  \* MERGEFORMAT ">
        <w:r w:rsidR="009C4D3D">
          <w:rPr>
            <w:lang w:val="en-US"/>
          </w:rPr>
          <w:t>29</w:t>
        </w:r>
      </w:fldSimple>
      <w:r w:rsidRPr="000D6ED5">
        <w:rPr>
          <w:lang w:val="en-US"/>
        </w:rPr>
        <w:t xml:space="preserve">, Dissenting </w:t>
      </w:r>
      <w:r w:rsidR="00E07B82">
        <w:rPr>
          <w:lang w:val="en-US"/>
        </w:rPr>
        <w:t>Opinion of Judge Tanaka, at 76 ("</w:t>
      </w:r>
      <w:r w:rsidRPr="000D6ED5">
        <w:rPr>
          <w:lang w:val="en-US"/>
        </w:rPr>
        <w:t xml:space="preserve">we cannot evaluate the ratification of the Convention by a large maritime country or the State practice represented by its concluding an agreement </w:t>
      </w:r>
      <w:r w:rsidR="00E07B82">
        <w:rPr>
          <w:lang w:val="en-US"/>
        </w:rPr>
        <w:t>....</w:t>
      </w:r>
      <w:r w:rsidRPr="000D6ED5">
        <w:rPr>
          <w:lang w:val="en-US"/>
        </w:rPr>
        <w:t xml:space="preserve"> as having exactly the same importance as similar acts by a land-locked country which possesses no particular interest in the delimitation of the continental shelf</w:t>
      </w:r>
      <w:r w:rsidR="00E07B82">
        <w:rPr>
          <w:lang w:val="en-US"/>
        </w:rPr>
        <w:t>")</w:t>
      </w:r>
      <w:r w:rsidRPr="000D6ED5">
        <w:rPr>
          <w:lang w:val="en-US"/>
        </w:rPr>
        <w:t>.</w:t>
      </w:r>
    </w:p>
  </w:footnote>
  <w:footnote w:id="141">
    <w:p w:rsidR="00E7644E" w:rsidRPr="00A24702"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E07B82">
        <w:rPr>
          <w:smallCaps/>
          <w:lang w:val="en-US"/>
        </w:rPr>
        <w:t>ILA Report</w:t>
      </w:r>
      <w:r w:rsidR="00E07B82">
        <w:rPr>
          <w:smallCaps/>
          <w:lang w:val="en-US"/>
        </w:rPr>
        <w:t xml:space="preserve">, </w:t>
      </w:r>
      <w:r w:rsidR="00E07B82">
        <w:rPr>
          <w:i/>
          <w:lang w:val="en-US"/>
        </w:rPr>
        <w:t xml:space="preserve">supra </w:t>
      </w:r>
      <w:r w:rsidR="00E07B82">
        <w:rPr>
          <w:lang w:val="en-US"/>
        </w:rPr>
        <w:t>note</w:t>
      </w:r>
      <w:r w:rsidRPr="000D6ED5">
        <w:rPr>
          <w:lang w:val="en-US"/>
        </w:rPr>
        <w:t xml:space="preserve"> </w:t>
      </w:r>
      <w:fldSimple w:instr=" NOTEREF _Ref450750565 \h  \* MERGEFORMAT ">
        <w:r w:rsidR="009C4D3D">
          <w:rPr>
            <w:lang w:val="en-US"/>
          </w:rPr>
          <w:t>138</w:t>
        </w:r>
      </w:fldSimple>
      <w:r w:rsidR="00E07B82">
        <w:rPr>
          <w:lang w:val="en-US"/>
        </w:rPr>
        <w:t>, at</w:t>
      </w:r>
      <w:r w:rsidRPr="000D6ED5">
        <w:rPr>
          <w:lang w:val="en-US"/>
        </w:rPr>
        <w:t xml:space="preserve"> 26 (noting that, although seemingly undemocratic, the importance accorded to major powers is </w:t>
      </w:r>
      <w:r w:rsidR="00E07B82">
        <w:rPr>
          <w:lang w:val="en-US"/>
        </w:rPr>
        <w:t>"</w:t>
      </w:r>
      <w:r w:rsidRPr="000D6ED5">
        <w:rPr>
          <w:lang w:val="en-US"/>
        </w:rPr>
        <w:t>in the nature of things</w:t>
      </w:r>
      <w:r w:rsidR="00E07B82">
        <w:rPr>
          <w:lang w:val="en-US"/>
        </w:rPr>
        <w:t>"</w:t>
      </w:r>
      <w:r w:rsidRPr="000D6ED5">
        <w:rPr>
          <w:lang w:val="en-US"/>
        </w:rPr>
        <w:t xml:space="preserve"> and </w:t>
      </w:r>
      <w:r w:rsidR="00E07B82">
        <w:rPr>
          <w:lang w:val="en-US"/>
        </w:rPr>
        <w:t>"</w:t>
      </w:r>
      <w:r w:rsidRPr="000D6ED5">
        <w:rPr>
          <w:lang w:val="en-US"/>
        </w:rPr>
        <w:t>in touch with political reality</w:t>
      </w:r>
      <w:r w:rsidR="00E07B82">
        <w:rPr>
          <w:lang w:val="en-US"/>
        </w:rPr>
        <w:t>"</w:t>
      </w:r>
      <w:r w:rsidRPr="000D6ED5">
        <w:rPr>
          <w:lang w:val="en-US"/>
        </w:rPr>
        <w:t xml:space="preserve">, given the </w:t>
      </w:r>
      <w:r w:rsidR="00E07B82">
        <w:rPr>
          <w:lang w:val="en-US"/>
        </w:rPr>
        <w:t>"</w:t>
      </w:r>
      <w:r w:rsidRPr="000D6ED5">
        <w:rPr>
          <w:lang w:val="en-US"/>
        </w:rPr>
        <w:t>scope of their interests</w:t>
      </w:r>
      <w:r w:rsidR="00E07B82">
        <w:rPr>
          <w:lang w:val="en-US"/>
        </w:rPr>
        <w:t>"</w:t>
      </w:r>
      <w:r w:rsidRPr="000D6ED5">
        <w:rPr>
          <w:lang w:val="en-US"/>
        </w:rPr>
        <w:t>).</w:t>
      </w:r>
      <w:r w:rsidR="00A24702">
        <w:rPr>
          <w:lang w:val="en-US"/>
        </w:rPr>
        <w:t xml:space="preserve"> </w:t>
      </w:r>
      <w:r w:rsidR="00A24702">
        <w:rPr>
          <w:i/>
          <w:lang w:val="en-US"/>
        </w:rPr>
        <w:t xml:space="preserve">See also </w:t>
      </w:r>
      <w:r w:rsidR="00A24702">
        <w:rPr>
          <w:lang w:val="en-US"/>
        </w:rPr>
        <w:t xml:space="preserve">Benedict Kingsbury, </w:t>
      </w:r>
      <w:r w:rsidR="00A24702">
        <w:rPr>
          <w:i/>
          <w:lang w:val="en-US"/>
        </w:rPr>
        <w:t>Sovereignty and Inequality</w:t>
      </w:r>
      <w:r w:rsidR="00A24702">
        <w:rPr>
          <w:lang w:val="en-US"/>
        </w:rPr>
        <w:t xml:space="preserve">, </w:t>
      </w:r>
      <w:r w:rsidR="00A24702">
        <w:rPr>
          <w:i/>
          <w:lang w:val="en-US"/>
        </w:rPr>
        <w:t xml:space="preserve">in </w:t>
      </w:r>
      <w:r w:rsidR="00A24702">
        <w:rPr>
          <w:smallCaps/>
          <w:lang w:val="en-US"/>
        </w:rPr>
        <w:t xml:space="preserve">Inequality, Globalization, and World Politics 77 </w:t>
      </w:r>
      <w:r w:rsidR="00A24702">
        <w:rPr>
          <w:lang w:val="en-US"/>
        </w:rPr>
        <w:t>(Andrew Hurrell &amp; Ngaire Woods eds., 1999) (arguing that the doctrine "operates mainly (albeit not exclusively) for the benefi</w:t>
      </w:r>
      <w:r w:rsidR="00292236">
        <w:rPr>
          <w:lang w:val="en-US"/>
        </w:rPr>
        <w:t>t of powerful states").</w:t>
      </w:r>
    </w:p>
  </w:footnote>
  <w:footnote w:id="142">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2708">
        <w:rPr>
          <w:lang w:val="en-US"/>
        </w:rPr>
        <w:t>Legality of the Threat or Use of Nuclear Weapons</w:t>
      </w:r>
      <w:r w:rsidR="000D2708">
        <w:rPr>
          <w:lang w:val="en-US"/>
        </w:rPr>
        <w:t xml:space="preserve">, </w:t>
      </w:r>
      <w:r w:rsidR="000D2708">
        <w:rPr>
          <w:i/>
          <w:lang w:val="en-US"/>
        </w:rPr>
        <w:t xml:space="preserve">supra </w:t>
      </w:r>
      <w:r w:rsidR="000D2708">
        <w:rPr>
          <w:lang w:val="en-US"/>
        </w:rPr>
        <w:t>note</w:t>
      </w:r>
      <w:r w:rsidRPr="000D6ED5">
        <w:rPr>
          <w:lang w:val="en-US"/>
        </w:rPr>
        <w:t xml:space="preserve"> </w:t>
      </w:r>
      <w:fldSimple w:instr=" NOTEREF _Ref450750935 \h  \* MERGEFORMAT ">
        <w:r w:rsidR="009C4D3D">
          <w:rPr>
            <w:lang w:val="en-US"/>
          </w:rPr>
          <w:t>113</w:t>
        </w:r>
      </w:fldSimple>
      <w:r w:rsidRPr="000D6ED5">
        <w:rPr>
          <w:lang w:val="en-US"/>
        </w:rPr>
        <w:t>, Written Statement of the Government of the</w:t>
      </w:r>
      <w:r w:rsidR="000D2708">
        <w:rPr>
          <w:lang w:val="en-US"/>
        </w:rPr>
        <w:t xml:space="preserve"> United States of America, at 9 ("</w:t>
      </w:r>
      <w:r w:rsidRPr="000D6ED5">
        <w:rPr>
          <w:lang w:val="en-US"/>
        </w:rPr>
        <w:t>with respect to the use of nuclear weapons, customary law could not be created over the objection of the nuclear-weapon States, which are the States whose interests are most specially affected</w:t>
      </w:r>
      <w:r w:rsidR="000D2708">
        <w:rPr>
          <w:lang w:val="en-US"/>
        </w:rPr>
        <w:t>")</w:t>
      </w:r>
      <w:r w:rsidRPr="000D6ED5">
        <w:rPr>
          <w:lang w:val="en-US"/>
        </w:rPr>
        <w:t xml:space="preserve">. </w:t>
      </w:r>
      <w:r w:rsidRPr="000D2708">
        <w:rPr>
          <w:i/>
          <w:lang w:val="en-US"/>
        </w:rPr>
        <w:t>See also</w:t>
      </w:r>
      <w:r w:rsidRPr="000D6ED5">
        <w:rPr>
          <w:lang w:val="en-US"/>
        </w:rPr>
        <w:t xml:space="preserve"> Advisory Opinion para. 73</w:t>
      </w:r>
      <w:r w:rsidR="000D2708">
        <w:rPr>
          <w:lang w:val="en-US"/>
        </w:rPr>
        <w:t xml:space="preserve"> ("the </w:t>
      </w:r>
      <w:r w:rsidRPr="000D6ED5">
        <w:rPr>
          <w:lang w:val="en-US"/>
        </w:rPr>
        <w:t xml:space="preserve">desire of a very large section of the international community to </w:t>
      </w:r>
      <w:r w:rsidR="000D2708">
        <w:rPr>
          <w:lang w:val="en-US"/>
        </w:rPr>
        <w:t>....</w:t>
      </w:r>
      <w:r w:rsidRPr="000D6ED5">
        <w:rPr>
          <w:lang w:val="en-US"/>
        </w:rPr>
        <w:t xml:space="preserve"> prohibit the use of nuclear weapons</w:t>
      </w:r>
      <w:r w:rsidR="000D2708">
        <w:rPr>
          <w:lang w:val="en-US"/>
        </w:rPr>
        <w:t>"</w:t>
      </w:r>
      <w:r w:rsidRPr="000D6ED5">
        <w:rPr>
          <w:lang w:val="en-US"/>
        </w:rPr>
        <w:t xml:space="preserve"> and the </w:t>
      </w:r>
      <w:r w:rsidR="000D2708">
        <w:rPr>
          <w:lang w:val="en-US"/>
        </w:rPr>
        <w:t>"</w:t>
      </w:r>
      <w:r w:rsidRPr="000D6ED5">
        <w:rPr>
          <w:lang w:val="en-US"/>
        </w:rPr>
        <w:t>emergence of a customary rule specifically prohibiting the use of nuclear weapons</w:t>
      </w:r>
      <w:r w:rsidR="000D2708">
        <w:rPr>
          <w:lang w:val="en-US"/>
        </w:rPr>
        <w:t>"</w:t>
      </w:r>
      <w:r w:rsidRPr="000D6ED5">
        <w:rPr>
          <w:lang w:val="en-US"/>
        </w:rPr>
        <w:t xml:space="preserve"> is </w:t>
      </w:r>
      <w:r w:rsidR="000D2708">
        <w:rPr>
          <w:lang w:val="en-US"/>
        </w:rPr>
        <w:t>"</w:t>
      </w:r>
      <w:r w:rsidRPr="000D6ED5">
        <w:rPr>
          <w:lang w:val="en-US"/>
        </w:rPr>
        <w:t xml:space="preserve">hampered by </w:t>
      </w:r>
      <w:r w:rsidR="000D2708">
        <w:rPr>
          <w:lang w:val="en-US"/>
        </w:rPr>
        <w:t>....</w:t>
      </w:r>
      <w:r w:rsidRPr="000D6ED5">
        <w:rPr>
          <w:lang w:val="en-US"/>
        </w:rPr>
        <w:t xml:space="preserve"> the still strong adherence to the practice of deterrence</w:t>
      </w:r>
      <w:r w:rsidR="000D2708">
        <w:rPr>
          <w:lang w:val="en-US"/>
        </w:rPr>
        <w:t>")</w:t>
      </w:r>
      <w:r w:rsidRPr="000D6ED5">
        <w:rPr>
          <w:lang w:val="en-US"/>
        </w:rPr>
        <w:t>; and Dissenting Opinion of Vice President Schwebel, at 312 and 319</w:t>
      </w:r>
      <w:r w:rsidR="000D2708">
        <w:rPr>
          <w:lang w:val="en-US"/>
        </w:rPr>
        <w:t xml:space="preserve"> ("</w:t>
      </w:r>
      <w:r w:rsidRPr="000D6ED5">
        <w:rPr>
          <w:lang w:val="en-US"/>
        </w:rPr>
        <w:t xml:space="preserve">this nuclear practice is not a practice of a lone and secondary persistent objector. This is not a practice of a Pariah government crying out in the wilderness of otherwise adverse international opinion. This is the practice of five of the world's major Powers, of the permanent members of the Security Council </w:t>
      </w:r>
      <w:r w:rsidR="000D2708">
        <w:rPr>
          <w:lang w:val="en-US"/>
        </w:rPr>
        <w:t>....</w:t>
      </w:r>
      <w:r w:rsidRPr="000D6ED5">
        <w:rPr>
          <w:lang w:val="en-US"/>
        </w:rPr>
        <w:t xml:space="preserve"> that together represent the bulk of the world's military and economic and financial and technological power</w:t>
      </w:r>
      <w:r w:rsidR="000D2708">
        <w:rPr>
          <w:lang w:val="en-US"/>
        </w:rPr>
        <w:t>")</w:t>
      </w:r>
      <w:r w:rsidRPr="000D6ED5">
        <w:rPr>
          <w:lang w:val="en-US"/>
        </w:rPr>
        <w:t>.</w:t>
      </w:r>
    </w:p>
  </w:footnote>
  <w:footnote w:id="143">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0D2708">
        <w:rPr>
          <w:lang w:val="en-US"/>
        </w:rPr>
        <w:t>Texaco Overseas Petroleum Company and California Asiatic Oil Company v. The Government of the Libyan Arab Republic</w:t>
      </w:r>
      <w:r w:rsidR="000D2708">
        <w:rPr>
          <w:lang w:val="en-US"/>
        </w:rPr>
        <w:t>, Award on the Merits,</w:t>
      </w:r>
      <w:r w:rsidRPr="000D6ED5">
        <w:rPr>
          <w:lang w:val="en-US"/>
        </w:rPr>
        <w:t xml:space="preserve"> </w:t>
      </w:r>
      <w:r w:rsidR="000D2708">
        <w:rPr>
          <w:lang w:val="en-US"/>
        </w:rPr>
        <w:t>17</w:t>
      </w:r>
      <w:r w:rsidRPr="000D6ED5">
        <w:rPr>
          <w:lang w:val="en-US"/>
        </w:rPr>
        <w:t xml:space="preserve"> </w:t>
      </w:r>
      <w:r w:rsidR="000D2708">
        <w:rPr>
          <w:lang w:val="en-US"/>
        </w:rPr>
        <w:t>I.L.M.</w:t>
      </w:r>
      <w:r w:rsidRPr="000D6ED5">
        <w:rPr>
          <w:lang w:val="en-US"/>
        </w:rPr>
        <w:t xml:space="preserve"> </w:t>
      </w:r>
      <w:r w:rsidR="000D2708">
        <w:rPr>
          <w:lang w:val="en-US"/>
        </w:rPr>
        <w:t xml:space="preserve">1 </w:t>
      </w:r>
      <w:r w:rsidR="000D2708" w:rsidRPr="000D6ED5">
        <w:rPr>
          <w:lang w:val="en-US"/>
        </w:rPr>
        <w:t>(197</w:t>
      </w:r>
      <w:r w:rsidR="000D2708">
        <w:rPr>
          <w:lang w:val="en-US"/>
        </w:rPr>
        <w:t>8</w:t>
      </w:r>
      <w:r w:rsidR="000D2708" w:rsidRPr="000D6ED5">
        <w:rPr>
          <w:lang w:val="en-US"/>
        </w:rPr>
        <w:t>)</w:t>
      </w:r>
      <w:r w:rsidRPr="000D6ED5">
        <w:rPr>
          <w:lang w:val="en-US"/>
        </w:rPr>
        <w:t xml:space="preserve">, </w:t>
      </w:r>
      <w:r w:rsidR="00DC3CDA">
        <w:rPr>
          <w:lang w:val="en-US"/>
        </w:rPr>
        <w:t>para. 86-7 ("the legal value of the resolutions which are relevant to the present case can be determined on the basis of circumstances under which they were adopted .... The tribunal notes that only Resolution 1803 (XVII) of 14 December 1962 was supported by a majority of Member States representing all of the various groups. By contrast, the other Resolutions mentioned above, and in particular those referred to in the Libyan Memorandum, were supported by a majority of States but not by any of the developed countries with market economies which carry on the largest part of international trade").</w:t>
      </w:r>
    </w:p>
  </w:footnote>
  <w:footnote w:id="144">
    <w:p w:rsidR="00B248BD" w:rsidRDefault="00B248BD" w:rsidP="0071574A">
      <w:pPr>
        <w:pStyle w:val="FootnoteText"/>
        <w:jc w:val="both"/>
      </w:pPr>
      <w:r>
        <w:rPr>
          <w:rStyle w:val="FootnoteReference"/>
        </w:rPr>
        <w:footnoteRef/>
      </w:r>
      <w:r>
        <w:t xml:space="preserve"> </w:t>
      </w:r>
      <w:r w:rsidR="00416A02" w:rsidRPr="00416A02">
        <w:rPr>
          <w:smallCaps/>
        </w:rPr>
        <w:t>Gaston Bachelard</w:t>
      </w:r>
      <w:r w:rsidR="00416A02">
        <w:rPr>
          <w:smallCaps/>
        </w:rPr>
        <w:t>, The Formation of the Scientific Mind - A Contribution to a Psychoanalysis of Objective Knowledge 24-32 (2002).</w:t>
      </w:r>
    </w:p>
  </w:footnote>
  <w:footnote w:id="145">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Charlesworth</w:t>
      </w:r>
      <w:r w:rsidR="00F61333">
        <w:rPr>
          <w:lang w:val="en-US"/>
        </w:rPr>
        <w:t xml:space="preserve">, </w:t>
      </w:r>
      <w:r w:rsidR="00F61333">
        <w:rPr>
          <w:i/>
          <w:lang w:val="en-US"/>
        </w:rPr>
        <w:t xml:space="preserve">supra </w:t>
      </w:r>
      <w:r w:rsidR="00F61333">
        <w:rPr>
          <w:lang w:val="en-US"/>
        </w:rPr>
        <w:t>note</w:t>
      </w:r>
      <w:r w:rsidRPr="000D6ED5">
        <w:rPr>
          <w:lang w:val="en-US"/>
        </w:rPr>
        <w:t xml:space="preserve"> </w:t>
      </w:r>
      <w:fldSimple w:instr=" NOTEREF _Ref450816691 \h  \* MERGEFORMAT ">
        <w:r w:rsidR="009C4D3D">
          <w:rPr>
            <w:lang w:val="en-US"/>
          </w:rPr>
          <w:t>26</w:t>
        </w:r>
      </w:fldSimple>
      <w:r w:rsidR="00F61333">
        <w:rPr>
          <w:lang w:val="en-US"/>
        </w:rPr>
        <w:t>, at</w:t>
      </w:r>
      <w:r w:rsidRPr="000D6ED5">
        <w:rPr>
          <w:lang w:val="en-US"/>
        </w:rPr>
        <w:t xml:space="preserve"> 189.</w:t>
      </w:r>
    </w:p>
  </w:footnote>
  <w:footnote w:id="146">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00DB1E88">
        <w:rPr>
          <w:i/>
          <w:lang w:val="en-US"/>
        </w:rPr>
        <w:t>Id</w:t>
      </w:r>
      <w:r w:rsidRPr="000D6ED5">
        <w:rPr>
          <w:lang w:val="en-US"/>
        </w:rPr>
        <w:t>.</w:t>
      </w:r>
    </w:p>
  </w:footnote>
  <w:footnote w:id="147">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DB1E88">
        <w:rPr>
          <w:smallCaps/>
          <w:lang w:val="en-US"/>
        </w:rPr>
        <w:t>Anand</w:t>
      </w:r>
      <w:r w:rsidR="00DB1E88">
        <w:rPr>
          <w:lang w:val="en-US"/>
        </w:rPr>
        <w:t xml:space="preserve">, </w:t>
      </w:r>
      <w:r w:rsidR="00DB1E88">
        <w:rPr>
          <w:i/>
          <w:lang w:val="en-US"/>
        </w:rPr>
        <w:t xml:space="preserve">supra </w:t>
      </w:r>
      <w:r w:rsidR="00DB1E88">
        <w:rPr>
          <w:lang w:val="en-US"/>
        </w:rPr>
        <w:t>note</w:t>
      </w:r>
      <w:r w:rsidRPr="000D6ED5">
        <w:rPr>
          <w:lang w:val="en-US"/>
        </w:rPr>
        <w:t xml:space="preserve"> </w:t>
      </w:r>
      <w:fldSimple w:instr=" NOTEREF _Ref447898716 \h  \* MERGEFORMAT ">
        <w:r w:rsidR="009C4D3D">
          <w:rPr>
            <w:lang w:val="en-US"/>
          </w:rPr>
          <w:t>91</w:t>
        </w:r>
      </w:fldSimple>
      <w:r w:rsidR="00DB1E88">
        <w:rPr>
          <w:lang w:val="en-US"/>
        </w:rPr>
        <w:t>, at</w:t>
      </w:r>
      <w:r w:rsidRPr="000D6ED5">
        <w:rPr>
          <w:lang w:val="en-US"/>
        </w:rPr>
        <w:t xml:space="preserve"> 95 (citing Samuel Grafton).</w:t>
      </w:r>
    </w:p>
  </w:footnote>
  <w:footnote w:id="148">
    <w:p w:rsidR="00E7644E" w:rsidRPr="000D6ED5" w:rsidRDefault="00E7644E" w:rsidP="0071574A">
      <w:pPr>
        <w:pStyle w:val="FootnoteText"/>
        <w:tabs>
          <w:tab w:val="left" w:pos="426"/>
        </w:tabs>
        <w:jc w:val="both"/>
        <w:rPr>
          <w:lang w:val="en-US"/>
        </w:rPr>
      </w:pPr>
      <w:r w:rsidRPr="000D6ED5">
        <w:rPr>
          <w:rStyle w:val="FootnoteReference"/>
          <w:lang w:val="en-US"/>
        </w:rPr>
        <w:footnoteRef/>
      </w:r>
      <w:r w:rsidRPr="000D6ED5">
        <w:rPr>
          <w:lang w:val="en-US"/>
        </w:rPr>
        <w:t xml:space="preserve"> </w:t>
      </w:r>
      <w:r w:rsidRPr="00DB1E88">
        <w:rPr>
          <w:smallCaps/>
          <w:lang w:val="en-US"/>
        </w:rPr>
        <w:t>Philip Allott, The Health of Nations</w:t>
      </w:r>
      <w:r w:rsidR="00DB1E88">
        <w:rPr>
          <w:lang w:val="en-US"/>
        </w:rPr>
        <w:t xml:space="preserve"> 390</w:t>
      </w:r>
      <w:r w:rsidRPr="000D6ED5">
        <w:rPr>
          <w:lang w:val="en-US"/>
        </w:rPr>
        <w:t xml:space="preserve"> (2004).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37252"/>
    <w:multiLevelType w:val="hybridMultilevel"/>
    <w:tmpl w:val="239EE29E"/>
    <w:lvl w:ilvl="0" w:tplc="F0FEEE2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BB7D0B"/>
    <w:multiLevelType w:val="hybridMultilevel"/>
    <w:tmpl w:val="E650412C"/>
    <w:lvl w:ilvl="0" w:tplc="BBF8BFB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717BAA"/>
    <w:multiLevelType w:val="hybridMultilevel"/>
    <w:tmpl w:val="12ACB5AC"/>
    <w:lvl w:ilvl="0" w:tplc="E6B441C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nsid w:val="1FC62662"/>
    <w:multiLevelType w:val="hybridMultilevel"/>
    <w:tmpl w:val="1966C038"/>
    <w:lvl w:ilvl="0" w:tplc="4FACF3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5FF6C20"/>
    <w:multiLevelType w:val="hybridMultilevel"/>
    <w:tmpl w:val="5502A2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A553FAD"/>
    <w:multiLevelType w:val="hybridMultilevel"/>
    <w:tmpl w:val="A4980D84"/>
    <w:lvl w:ilvl="0" w:tplc="E642291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2C7D0D"/>
    <w:multiLevelType w:val="hybridMultilevel"/>
    <w:tmpl w:val="10284E4C"/>
    <w:lvl w:ilvl="0" w:tplc="9DC896A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AB2985"/>
    <w:multiLevelType w:val="hybridMultilevel"/>
    <w:tmpl w:val="5788789A"/>
    <w:lvl w:ilvl="0" w:tplc="D7740B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C4C34EA"/>
    <w:multiLevelType w:val="hybridMultilevel"/>
    <w:tmpl w:val="F7D43016"/>
    <w:lvl w:ilvl="0" w:tplc="9DC896AE">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5A3A9E"/>
    <w:multiLevelType w:val="hybridMultilevel"/>
    <w:tmpl w:val="7F402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EF31906"/>
    <w:multiLevelType w:val="hybridMultilevel"/>
    <w:tmpl w:val="86C82804"/>
    <w:lvl w:ilvl="0" w:tplc="31224E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659B320D"/>
    <w:multiLevelType w:val="hybridMultilevel"/>
    <w:tmpl w:val="B3C293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EF22FD"/>
    <w:multiLevelType w:val="hybridMultilevel"/>
    <w:tmpl w:val="8E668B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8C031CD"/>
    <w:multiLevelType w:val="hybridMultilevel"/>
    <w:tmpl w:val="B3C293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9"/>
  </w:num>
  <w:num w:numId="4">
    <w:abstractNumId w:val="6"/>
  </w:num>
  <w:num w:numId="5">
    <w:abstractNumId w:val="0"/>
  </w:num>
  <w:num w:numId="6">
    <w:abstractNumId w:val="1"/>
  </w:num>
  <w:num w:numId="7">
    <w:abstractNumId w:val="12"/>
  </w:num>
  <w:num w:numId="8">
    <w:abstractNumId w:val="11"/>
  </w:num>
  <w:num w:numId="9">
    <w:abstractNumId w:val="4"/>
  </w:num>
  <w:num w:numId="10">
    <w:abstractNumId w:val="8"/>
  </w:num>
  <w:num w:numId="11">
    <w:abstractNumId w:val="10"/>
  </w:num>
  <w:num w:numId="12">
    <w:abstractNumId w:val="2"/>
  </w:num>
  <w:num w:numId="13">
    <w:abstractNumId w:val="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footnotePr>
    <w:footnote w:id="-1"/>
    <w:footnote w:id="0"/>
  </w:footnotePr>
  <w:endnotePr>
    <w:endnote w:id="-1"/>
    <w:endnote w:id="0"/>
  </w:endnotePr>
  <w:compat>
    <w:useFELayout/>
  </w:compat>
  <w:rsids>
    <w:rsidRoot w:val="00555B75"/>
    <w:rsid w:val="00000C1D"/>
    <w:rsid w:val="00006FC1"/>
    <w:rsid w:val="00012D75"/>
    <w:rsid w:val="00020BD3"/>
    <w:rsid w:val="000260D2"/>
    <w:rsid w:val="000326E1"/>
    <w:rsid w:val="00032F6C"/>
    <w:rsid w:val="0003392A"/>
    <w:rsid w:val="000366ED"/>
    <w:rsid w:val="00043B75"/>
    <w:rsid w:val="000510AF"/>
    <w:rsid w:val="000627DB"/>
    <w:rsid w:val="00065CDD"/>
    <w:rsid w:val="0006726C"/>
    <w:rsid w:val="0007021A"/>
    <w:rsid w:val="00071FD0"/>
    <w:rsid w:val="00072917"/>
    <w:rsid w:val="00073489"/>
    <w:rsid w:val="00074DFC"/>
    <w:rsid w:val="000755AD"/>
    <w:rsid w:val="00077B64"/>
    <w:rsid w:val="00077C2E"/>
    <w:rsid w:val="000838F8"/>
    <w:rsid w:val="0008521E"/>
    <w:rsid w:val="00091349"/>
    <w:rsid w:val="00092D66"/>
    <w:rsid w:val="0009359E"/>
    <w:rsid w:val="00097D1B"/>
    <w:rsid w:val="000A4E4D"/>
    <w:rsid w:val="000A5E82"/>
    <w:rsid w:val="000B0BB9"/>
    <w:rsid w:val="000B0E44"/>
    <w:rsid w:val="000B2457"/>
    <w:rsid w:val="000B6554"/>
    <w:rsid w:val="000C0E21"/>
    <w:rsid w:val="000C1EFE"/>
    <w:rsid w:val="000C5BF4"/>
    <w:rsid w:val="000D1F74"/>
    <w:rsid w:val="000D2708"/>
    <w:rsid w:val="000D28A9"/>
    <w:rsid w:val="000D644A"/>
    <w:rsid w:val="000D6ED5"/>
    <w:rsid w:val="000D6EFA"/>
    <w:rsid w:val="000E1E4F"/>
    <w:rsid w:val="000E2A9E"/>
    <w:rsid w:val="000E3652"/>
    <w:rsid w:val="000E5D81"/>
    <w:rsid w:val="000F03F6"/>
    <w:rsid w:val="000F130B"/>
    <w:rsid w:val="000F2551"/>
    <w:rsid w:val="000F30BE"/>
    <w:rsid w:val="000F50FE"/>
    <w:rsid w:val="000F569A"/>
    <w:rsid w:val="000F6921"/>
    <w:rsid w:val="00100D6C"/>
    <w:rsid w:val="001028B8"/>
    <w:rsid w:val="00103A17"/>
    <w:rsid w:val="0010407B"/>
    <w:rsid w:val="00106CD2"/>
    <w:rsid w:val="00112A31"/>
    <w:rsid w:val="0011332C"/>
    <w:rsid w:val="00114880"/>
    <w:rsid w:val="00122B58"/>
    <w:rsid w:val="0012352A"/>
    <w:rsid w:val="001240B9"/>
    <w:rsid w:val="001258FD"/>
    <w:rsid w:val="00127A29"/>
    <w:rsid w:val="00130B49"/>
    <w:rsid w:val="00131699"/>
    <w:rsid w:val="00133772"/>
    <w:rsid w:val="0013411E"/>
    <w:rsid w:val="00135828"/>
    <w:rsid w:val="00140CC1"/>
    <w:rsid w:val="00143828"/>
    <w:rsid w:val="001446B5"/>
    <w:rsid w:val="00145AE7"/>
    <w:rsid w:val="00147649"/>
    <w:rsid w:val="00150375"/>
    <w:rsid w:val="00157FFB"/>
    <w:rsid w:val="001625EF"/>
    <w:rsid w:val="00166A4C"/>
    <w:rsid w:val="0017315F"/>
    <w:rsid w:val="00173626"/>
    <w:rsid w:val="001742AF"/>
    <w:rsid w:val="00181117"/>
    <w:rsid w:val="001822E1"/>
    <w:rsid w:val="0018237B"/>
    <w:rsid w:val="001849DB"/>
    <w:rsid w:val="00184A79"/>
    <w:rsid w:val="00185108"/>
    <w:rsid w:val="00185842"/>
    <w:rsid w:val="00186A7A"/>
    <w:rsid w:val="00187FDB"/>
    <w:rsid w:val="00195003"/>
    <w:rsid w:val="001A1E8F"/>
    <w:rsid w:val="001A1F08"/>
    <w:rsid w:val="001A33F7"/>
    <w:rsid w:val="001A4F04"/>
    <w:rsid w:val="001A6142"/>
    <w:rsid w:val="001B0C41"/>
    <w:rsid w:val="001B191B"/>
    <w:rsid w:val="001B4966"/>
    <w:rsid w:val="001B6152"/>
    <w:rsid w:val="001B6BC9"/>
    <w:rsid w:val="001B7A82"/>
    <w:rsid w:val="001C54E4"/>
    <w:rsid w:val="001C78B3"/>
    <w:rsid w:val="001D5780"/>
    <w:rsid w:val="001D69CE"/>
    <w:rsid w:val="001E13C8"/>
    <w:rsid w:val="001E2CCC"/>
    <w:rsid w:val="001F24E7"/>
    <w:rsid w:val="001F26C7"/>
    <w:rsid w:val="00203211"/>
    <w:rsid w:val="00210E2D"/>
    <w:rsid w:val="00213DD2"/>
    <w:rsid w:val="0021588B"/>
    <w:rsid w:val="00216BBB"/>
    <w:rsid w:val="00221F19"/>
    <w:rsid w:val="002237BC"/>
    <w:rsid w:val="00223F97"/>
    <w:rsid w:val="00224555"/>
    <w:rsid w:val="00224CFC"/>
    <w:rsid w:val="00227CED"/>
    <w:rsid w:val="002301ED"/>
    <w:rsid w:val="00232BCA"/>
    <w:rsid w:val="00233FDE"/>
    <w:rsid w:val="002354A5"/>
    <w:rsid w:val="00235767"/>
    <w:rsid w:val="00241060"/>
    <w:rsid w:val="0024334B"/>
    <w:rsid w:val="00243415"/>
    <w:rsid w:val="00244453"/>
    <w:rsid w:val="00246F30"/>
    <w:rsid w:val="00247D2C"/>
    <w:rsid w:val="002503A6"/>
    <w:rsid w:val="00250DF5"/>
    <w:rsid w:val="00251FA8"/>
    <w:rsid w:val="002521C4"/>
    <w:rsid w:val="00252500"/>
    <w:rsid w:val="0025707D"/>
    <w:rsid w:val="0026466F"/>
    <w:rsid w:val="00265D52"/>
    <w:rsid w:val="00266644"/>
    <w:rsid w:val="00266943"/>
    <w:rsid w:val="00273A58"/>
    <w:rsid w:val="00292100"/>
    <w:rsid w:val="00292236"/>
    <w:rsid w:val="00292B06"/>
    <w:rsid w:val="002952A4"/>
    <w:rsid w:val="002A362F"/>
    <w:rsid w:val="002A7C15"/>
    <w:rsid w:val="002B0D45"/>
    <w:rsid w:val="002B1B89"/>
    <w:rsid w:val="002B309F"/>
    <w:rsid w:val="002C00C5"/>
    <w:rsid w:val="002C03D6"/>
    <w:rsid w:val="002C16CC"/>
    <w:rsid w:val="002C2376"/>
    <w:rsid w:val="002C5BDE"/>
    <w:rsid w:val="002D27E8"/>
    <w:rsid w:val="002E4E68"/>
    <w:rsid w:val="002F032B"/>
    <w:rsid w:val="002F2327"/>
    <w:rsid w:val="002F4EC6"/>
    <w:rsid w:val="002F4F29"/>
    <w:rsid w:val="002F5743"/>
    <w:rsid w:val="00301971"/>
    <w:rsid w:val="00303D07"/>
    <w:rsid w:val="00304C6E"/>
    <w:rsid w:val="00305062"/>
    <w:rsid w:val="00307090"/>
    <w:rsid w:val="00311CE2"/>
    <w:rsid w:val="0032224D"/>
    <w:rsid w:val="003223DF"/>
    <w:rsid w:val="003238DF"/>
    <w:rsid w:val="00323FF5"/>
    <w:rsid w:val="00324C35"/>
    <w:rsid w:val="003312B0"/>
    <w:rsid w:val="00342451"/>
    <w:rsid w:val="0034413D"/>
    <w:rsid w:val="003463A4"/>
    <w:rsid w:val="00350622"/>
    <w:rsid w:val="00351ADF"/>
    <w:rsid w:val="00352489"/>
    <w:rsid w:val="0035279B"/>
    <w:rsid w:val="00357ECC"/>
    <w:rsid w:val="003617AE"/>
    <w:rsid w:val="0036654D"/>
    <w:rsid w:val="003672E9"/>
    <w:rsid w:val="00370D2A"/>
    <w:rsid w:val="0037590E"/>
    <w:rsid w:val="003774B7"/>
    <w:rsid w:val="00385E66"/>
    <w:rsid w:val="00397AD0"/>
    <w:rsid w:val="003A0CFE"/>
    <w:rsid w:val="003A711D"/>
    <w:rsid w:val="003B5910"/>
    <w:rsid w:val="003B7AE7"/>
    <w:rsid w:val="003C0EA3"/>
    <w:rsid w:val="003C1340"/>
    <w:rsid w:val="003C1D10"/>
    <w:rsid w:val="003C3538"/>
    <w:rsid w:val="003D3F3C"/>
    <w:rsid w:val="003D6FDF"/>
    <w:rsid w:val="003E2443"/>
    <w:rsid w:val="003E458E"/>
    <w:rsid w:val="003E4E88"/>
    <w:rsid w:val="003E56E4"/>
    <w:rsid w:val="003E62AC"/>
    <w:rsid w:val="003F039A"/>
    <w:rsid w:val="003F1AC5"/>
    <w:rsid w:val="003F526E"/>
    <w:rsid w:val="003F5786"/>
    <w:rsid w:val="00400D9F"/>
    <w:rsid w:val="00402B14"/>
    <w:rsid w:val="00404CDF"/>
    <w:rsid w:val="00406D36"/>
    <w:rsid w:val="0041526A"/>
    <w:rsid w:val="00416190"/>
    <w:rsid w:val="00416904"/>
    <w:rsid w:val="00416A02"/>
    <w:rsid w:val="00417D0D"/>
    <w:rsid w:val="0042036E"/>
    <w:rsid w:val="00422FED"/>
    <w:rsid w:val="0043023C"/>
    <w:rsid w:val="00431A24"/>
    <w:rsid w:val="00442C88"/>
    <w:rsid w:val="0044490F"/>
    <w:rsid w:val="00445537"/>
    <w:rsid w:val="00445BD8"/>
    <w:rsid w:val="00445F00"/>
    <w:rsid w:val="00446D98"/>
    <w:rsid w:val="0044756C"/>
    <w:rsid w:val="004500CA"/>
    <w:rsid w:val="00454258"/>
    <w:rsid w:val="00454D4B"/>
    <w:rsid w:val="00460A42"/>
    <w:rsid w:val="00464B1B"/>
    <w:rsid w:val="004665A9"/>
    <w:rsid w:val="004717A4"/>
    <w:rsid w:val="004754B2"/>
    <w:rsid w:val="00484FA1"/>
    <w:rsid w:val="00490422"/>
    <w:rsid w:val="00490E1C"/>
    <w:rsid w:val="004925F2"/>
    <w:rsid w:val="00492704"/>
    <w:rsid w:val="00493793"/>
    <w:rsid w:val="004943B2"/>
    <w:rsid w:val="004A2C3D"/>
    <w:rsid w:val="004A622F"/>
    <w:rsid w:val="004A7C96"/>
    <w:rsid w:val="004B0871"/>
    <w:rsid w:val="004B17C0"/>
    <w:rsid w:val="004B310A"/>
    <w:rsid w:val="004B6539"/>
    <w:rsid w:val="004B78A7"/>
    <w:rsid w:val="004C186A"/>
    <w:rsid w:val="004C2D1E"/>
    <w:rsid w:val="004C41A2"/>
    <w:rsid w:val="004C68BD"/>
    <w:rsid w:val="004C7575"/>
    <w:rsid w:val="004E4747"/>
    <w:rsid w:val="004E4B34"/>
    <w:rsid w:val="004E5630"/>
    <w:rsid w:val="004F1669"/>
    <w:rsid w:val="004F39BE"/>
    <w:rsid w:val="004F6C7B"/>
    <w:rsid w:val="005008EC"/>
    <w:rsid w:val="00501C1B"/>
    <w:rsid w:val="005029F7"/>
    <w:rsid w:val="00503B7C"/>
    <w:rsid w:val="00504949"/>
    <w:rsid w:val="00507648"/>
    <w:rsid w:val="0051143C"/>
    <w:rsid w:val="00511470"/>
    <w:rsid w:val="00513984"/>
    <w:rsid w:val="00515A8F"/>
    <w:rsid w:val="00521468"/>
    <w:rsid w:val="00526A5E"/>
    <w:rsid w:val="00527469"/>
    <w:rsid w:val="00532FD1"/>
    <w:rsid w:val="00533CA4"/>
    <w:rsid w:val="00537938"/>
    <w:rsid w:val="00537F73"/>
    <w:rsid w:val="005400F3"/>
    <w:rsid w:val="00540C1D"/>
    <w:rsid w:val="00541EAB"/>
    <w:rsid w:val="00542AE1"/>
    <w:rsid w:val="00543533"/>
    <w:rsid w:val="00544F34"/>
    <w:rsid w:val="00544FBE"/>
    <w:rsid w:val="00545C07"/>
    <w:rsid w:val="00546837"/>
    <w:rsid w:val="00546A46"/>
    <w:rsid w:val="00547748"/>
    <w:rsid w:val="00550A56"/>
    <w:rsid w:val="0055592C"/>
    <w:rsid w:val="00555B75"/>
    <w:rsid w:val="00556BDA"/>
    <w:rsid w:val="005616CA"/>
    <w:rsid w:val="00563D51"/>
    <w:rsid w:val="00566DD8"/>
    <w:rsid w:val="00577586"/>
    <w:rsid w:val="00581F2A"/>
    <w:rsid w:val="0058302A"/>
    <w:rsid w:val="00583D2E"/>
    <w:rsid w:val="00585095"/>
    <w:rsid w:val="00587DC4"/>
    <w:rsid w:val="005908CB"/>
    <w:rsid w:val="0059109C"/>
    <w:rsid w:val="0059125B"/>
    <w:rsid w:val="0059258E"/>
    <w:rsid w:val="005929B9"/>
    <w:rsid w:val="005944A4"/>
    <w:rsid w:val="005957E5"/>
    <w:rsid w:val="0059690D"/>
    <w:rsid w:val="005A1B94"/>
    <w:rsid w:val="005A62F7"/>
    <w:rsid w:val="005B1686"/>
    <w:rsid w:val="005B2B05"/>
    <w:rsid w:val="005B6D45"/>
    <w:rsid w:val="005C3702"/>
    <w:rsid w:val="005C5E7B"/>
    <w:rsid w:val="005C7B88"/>
    <w:rsid w:val="005D0159"/>
    <w:rsid w:val="005D5E71"/>
    <w:rsid w:val="005D7FD6"/>
    <w:rsid w:val="005E42C2"/>
    <w:rsid w:val="005E56AD"/>
    <w:rsid w:val="005E6184"/>
    <w:rsid w:val="005F6BF1"/>
    <w:rsid w:val="0060429E"/>
    <w:rsid w:val="006046F0"/>
    <w:rsid w:val="00605FE4"/>
    <w:rsid w:val="00612771"/>
    <w:rsid w:val="00612BA7"/>
    <w:rsid w:val="006151F3"/>
    <w:rsid w:val="0061707B"/>
    <w:rsid w:val="0062111B"/>
    <w:rsid w:val="00622FC8"/>
    <w:rsid w:val="00624ED7"/>
    <w:rsid w:val="00625B57"/>
    <w:rsid w:val="00630A41"/>
    <w:rsid w:val="006350C0"/>
    <w:rsid w:val="0064295C"/>
    <w:rsid w:val="006502B7"/>
    <w:rsid w:val="00650B30"/>
    <w:rsid w:val="00651C62"/>
    <w:rsid w:val="00661021"/>
    <w:rsid w:val="006669CC"/>
    <w:rsid w:val="006674A0"/>
    <w:rsid w:val="00670B59"/>
    <w:rsid w:val="00670CC2"/>
    <w:rsid w:val="00674434"/>
    <w:rsid w:val="006748F1"/>
    <w:rsid w:val="00676C1F"/>
    <w:rsid w:val="00677F0F"/>
    <w:rsid w:val="00680346"/>
    <w:rsid w:val="0068136B"/>
    <w:rsid w:val="00683A9F"/>
    <w:rsid w:val="0069152B"/>
    <w:rsid w:val="00694BFC"/>
    <w:rsid w:val="00695436"/>
    <w:rsid w:val="006A1D30"/>
    <w:rsid w:val="006A7A76"/>
    <w:rsid w:val="006B6BB4"/>
    <w:rsid w:val="006C6728"/>
    <w:rsid w:val="006D2DE3"/>
    <w:rsid w:val="006D34AE"/>
    <w:rsid w:val="006D554C"/>
    <w:rsid w:val="006D6D84"/>
    <w:rsid w:val="006E2B01"/>
    <w:rsid w:val="006E6107"/>
    <w:rsid w:val="006F0485"/>
    <w:rsid w:val="006F05AC"/>
    <w:rsid w:val="006F07D3"/>
    <w:rsid w:val="006F56D5"/>
    <w:rsid w:val="006F63C4"/>
    <w:rsid w:val="006F6C51"/>
    <w:rsid w:val="006F79AD"/>
    <w:rsid w:val="00700F36"/>
    <w:rsid w:val="00703838"/>
    <w:rsid w:val="00704474"/>
    <w:rsid w:val="00704E4F"/>
    <w:rsid w:val="007112A3"/>
    <w:rsid w:val="00713FB2"/>
    <w:rsid w:val="0071574A"/>
    <w:rsid w:val="00721C71"/>
    <w:rsid w:val="00722F6C"/>
    <w:rsid w:val="00725590"/>
    <w:rsid w:val="00725A68"/>
    <w:rsid w:val="00726CEF"/>
    <w:rsid w:val="007274F5"/>
    <w:rsid w:val="00727C8C"/>
    <w:rsid w:val="0073479A"/>
    <w:rsid w:val="0073582A"/>
    <w:rsid w:val="00737970"/>
    <w:rsid w:val="00740B82"/>
    <w:rsid w:val="00745A9F"/>
    <w:rsid w:val="00745F5C"/>
    <w:rsid w:val="00747588"/>
    <w:rsid w:val="00750911"/>
    <w:rsid w:val="00751C37"/>
    <w:rsid w:val="00765C66"/>
    <w:rsid w:val="0076673C"/>
    <w:rsid w:val="00770C06"/>
    <w:rsid w:val="00771067"/>
    <w:rsid w:val="00773D18"/>
    <w:rsid w:val="00781642"/>
    <w:rsid w:val="00781A53"/>
    <w:rsid w:val="00785259"/>
    <w:rsid w:val="00785BEA"/>
    <w:rsid w:val="00786338"/>
    <w:rsid w:val="0078751A"/>
    <w:rsid w:val="00793867"/>
    <w:rsid w:val="007A5E5F"/>
    <w:rsid w:val="007B572D"/>
    <w:rsid w:val="007C008E"/>
    <w:rsid w:val="007C00E5"/>
    <w:rsid w:val="007C01A8"/>
    <w:rsid w:val="007C15FC"/>
    <w:rsid w:val="007C506A"/>
    <w:rsid w:val="007C75C7"/>
    <w:rsid w:val="007C7D59"/>
    <w:rsid w:val="007D086D"/>
    <w:rsid w:val="007D0A57"/>
    <w:rsid w:val="007D11A6"/>
    <w:rsid w:val="007D2A22"/>
    <w:rsid w:val="007E0603"/>
    <w:rsid w:val="007E5335"/>
    <w:rsid w:val="007F50B1"/>
    <w:rsid w:val="007F56C3"/>
    <w:rsid w:val="007F598A"/>
    <w:rsid w:val="007F62B0"/>
    <w:rsid w:val="007F6321"/>
    <w:rsid w:val="007F73D6"/>
    <w:rsid w:val="0080037D"/>
    <w:rsid w:val="0080069F"/>
    <w:rsid w:val="00801518"/>
    <w:rsid w:val="0080241A"/>
    <w:rsid w:val="00805426"/>
    <w:rsid w:val="00814B60"/>
    <w:rsid w:val="00814F19"/>
    <w:rsid w:val="00815690"/>
    <w:rsid w:val="008340D2"/>
    <w:rsid w:val="00834903"/>
    <w:rsid w:val="008361EE"/>
    <w:rsid w:val="00836F91"/>
    <w:rsid w:val="0085121E"/>
    <w:rsid w:val="0085488D"/>
    <w:rsid w:val="008574A4"/>
    <w:rsid w:val="00857E93"/>
    <w:rsid w:val="008609E7"/>
    <w:rsid w:val="0086151D"/>
    <w:rsid w:val="00865748"/>
    <w:rsid w:val="008722A1"/>
    <w:rsid w:val="00872665"/>
    <w:rsid w:val="00873D33"/>
    <w:rsid w:val="008756F0"/>
    <w:rsid w:val="0087694A"/>
    <w:rsid w:val="0088096D"/>
    <w:rsid w:val="00881921"/>
    <w:rsid w:val="008826AE"/>
    <w:rsid w:val="008918AC"/>
    <w:rsid w:val="0089221A"/>
    <w:rsid w:val="0089337D"/>
    <w:rsid w:val="008A176A"/>
    <w:rsid w:val="008A286F"/>
    <w:rsid w:val="008A31DE"/>
    <w:rsid w:val="008A6893"/>
    <w:rsid w:val="008A72DB"/>
    <w:rsid w:val="008B0B1C"/>
    <w:rsid w:val="008B1361"/>
    <w:rsid w:val="008B5E50"/>
    <w:rsid w:val="008B5FE3"/>
    <w:rsid w:val="008B66F7"/>
    <w:rsid w:val="008B7B63"/>
    <w:rsid w:val="008B7C11"/>
    <w:rsid w:val="008C112A"/>
    <w:rsid w:val="008C2315"/>
    <w:rsid w:val="008C5EC3"/>
    <w:rsid w:val="008D0256"/>
    <w:rsid w:val="008E2F63"/>
    <w:rsid w:val="008E40D9"/>
    <w:rsid w:val="008E4641"/>
    <w:rsid w:val="008E7464"/>
    <w:rsid w:val="008F05B9"/>
    <w:rsid w:val="008F1BFD"/>
    <w:rsid w:val="008F55EB"/>
    <w:rsid w:val="008F5703"/>
    <w:rsid w:val="00902055"/>
    <w:rsid w:val="009026D6"/>
    <w:rsid w:val="009027BE"/>
    <w:rsid w:val="00902FD5"/>
    <w:rsid w:val="00911B59"/>
    <w:rsid w:val="0091493E"/>
    <w:rsid w:val="00922CCC"/>
    <w:rsid w:val="009358A1"/>
    <w:rsid w:val="009422DF"/>
    <w:rsid w:val="00942743"/>
    <w:rsid w:val="00946513"/>
    <w:rsid w:val="00950ACE"/>
    <w:rsid w:val="00951768"/>
    <w:rsid w:val="00954E40"/>
    <w:rsid w:val="00956311"/>
    <w:rsid w:val="0095650E"/>
    <w:rsid w:val="00957B4E"/>
    <w:rsid w:val="00962143"/>
    <w:rsid w:val="00962A93"/>
    <w:rsid w:val="00967944"/>
    <w:rsid w:val="00971B2B"/>
    <w:rsid w:val="009819B8"/>
    <w:rsid w:val="00982EBC"/>
    <w:rsid w:val="0098759E"/>
    <w:rsid w:val="00994D31"/>
    <w:rsid w:val="00995386"/>
    <w:rsid w:val="009964D4"/>
    <w:rsid w:val="009A02BC"/>
    <w:rsid w:val="009A4788"/>
    <w:rsid w:val="009A4DFA"/>
    <w:rsid w:val="009A554A"/>
    <w:rsid w:val="009A5C91"/>
    <w:rsid w:val="009B13D2"/>
    <w:rsid w:val="009B2FCD"/>
    <w:rsid w:val="009B31F7"/>
    <w:rsid w:val="009B38BD"/>
    <w:rsid w:val="009B4A44"/>
    <w:rsid w:val="009B5948"/>
    <w:rsid w:val="009C4D3D"/>
    <w:rsid w:val="009C4FC5"/>
    <w:rsid w:val="009C52EE"/>
    <w:rsid w:val="009D45F1"/>
    <w:rsid w:val="009D5EFD"/>
    <w:rsid w:val="009D618F"/>
    <w:rsid w:val="009D7138"/>
    <w:rsid w:val="009E0144"/>
    <w:rsid w:val="009E1B85"/>
    <w:rsid w:val="009E1F07"/>
    <w:rsid w:val="009E35D9"/>
    <w:rsid w:val="009E46A8"/>
    <w:rsid w:val="009E7C71"/>
    <w:rsid w:val="009F648E"/>
    <w:rsid w:val="009F7519"/>
    <w:rsid w:val="00A03E8E"/>
    <w:rsid w:val="00A04308"/>
    <w:rsid w:val="00A10422"/>
    <w:rsid w:val="00A1433A"/>
    <w:rsid w:val="00A17BDD"/>
    <w:rsid w:val="00A20E19"/>
    <w:rsid w:val="00A2348A"/>
    <w:rsid w:val="00A24702"/>
    <w:rsid w:val="00A258F1"/>
    <w:rsid w:val="00A31B96"/>
    <w:rsid w:val="00A344AF"/>
    <w:rsid w:val="00A34E3F"/>
    <w:rsid w:val="00A361EA"/>
    <w:rsid w:val="00A54B4E"/>
    <w:rsid w:val="00A54D4F"/>
    <w:rsid w:val="00A54F11"/>
    <w:rsid w:val="00A575AF"/>
    <w:rsid w:val="00A575B0"/>
    <w:rsid w:val="00A57BC9"/>
    <w:rsid w:val="00A60DB3"/>
    <w:rsid w:val="00A63B3B"/>
    <w:rsid w:val="00A66F19"/>
    <w:rsid w:val="00A706C5"/>
    <w:rsid w:val="00A709EE"/>
    <w:rsid w:val="00A77210"/>
    <w:rsid w:val="00A80B51"/>
    <w:rsid w:val="00A82A57"/>
    <w:rsid w:val="00A82AE1"/>
    <w:rsid w:val="00A83A63"/>
    <w:rsid w:val="00A84768"/>
    <w:rsid w:val="00A87917"/>
    <w:rsid w:val="00A95377"/>
    <w:rsid w:val="00A970F3"/>
    <w:rsid w:val="00A97A68"/>
    <w:rsid w:val="00AA1413"/>
    <w:rsid w:val="00AA1665"/>
    <w:rsid w:val="00AA5685"/>
    <w:rsid w:val="00AA5E88"/>
    <w:rsid w:val="00AA7297"/>
    <w:rsid w:val="00AB11BC"/>
    <w:rsid w:val="00AB15A0"/>
    <w:rsid w:val="00AB2548"/>
    <w:rsid w:val="00AB58D2"/>
    <w:rsid w:val="00AC109C"/>
    <w:rsid w:val="00AD279A"/>
    <w:rsid w:val="00AD2F90"/>
    <w:rsid w:val="00AE24C5"/>
    <w:rsid w:val="00AE54EE"/>
    <w:rsid w:val="00AE5FDC"/>
    <w:rsid w:val="00AF1859"/>
    <w:rsid w:val="00AF6602"/>
    <w:rsid w:val="00AF6D1A"/>
    <w:rsid w:val="00B028C5"/>
    <w:rsid w:val="00B043F5"/>
    <w:rsid w:val="00B0622A"/>
    <w:rsid w:val="00B070D9"/>
    <w:rsid w:val="00B100E9"/>
    <w:rsid w:val="00B1095E"/>
    <w:rsid w:val="00B1106F"/>
    <w:rsid w:val="00B16997"/>
    <w:rsid w:val="00B23980"/>
    <w:rsid w:val="00B23F7E"/>
    <w:rsid w:val="00B248BD"/>
    <w:rsid w:val="00B275E6"/>
    <w:rsid w:val="00B31053"/>
    <w:rsid w:val="00B33145"/>
    <w:rsid w:val="00B349EE"/>
    <w:rsid w:val="00B447A9"/>
    <w:rsid w:val="00B45963"/>
    <w:rsid w:val="00B45CA9"/>
    <w:rsid w:val="00B501C2"/>
    <w:rsid w:val="00B50F82"/>
    <w:rsid w:val="00B51D83"/>
    <w:rsid w:val="00B57BC1"/>
    <w:rsid w:val="00B57CCD"/>
    <w:rsid w:val="00B57EC1"/>
    <w:rsid w:val="00B61F47"/>
    <w:rsid w:val="00B66858"/>
    <w:rsid w:val="00B717DF"/>
    <w:rsid w:val="00B75FAE"/>
    <w:rsid w:val="00B80E81"/>
    <w:rsid w:val="00B83C6F"/>
    <w:rsid w:val="00B84556"/>
    <w:rsid w:val="00B90504"/>
    <w:rsid w:val="00B929C9"/>
    <w:rsid w:val="00B93046"/>
    <w:rsid w:val="00B9334E"/>
    <w:rsid w:val="00B967B2"/>
    <w:rsid w:val="00BA04DF"/>
    <w:rsid w:val="00BA582E"/>
    <w:rsid w:val="00BA655C"/>
    <w:rsid w:val="00BA7557"/>
    <w:rsid w:val="00BB27C8"/>
    <w:rsid w:val="00BD11E5"/>
    <w:rsid w:val="00BD32D6"/>
    <w:rsid w:val="00BD609D"/>
    <w:rsid w:val="00BE1EE8"/>
    <w:rsid w:val="00BE4BC4"/>
    <w:rsid w:val="00BE5AE9"/>
    <w:rsid w:val="00BF0F33"/>
    <w:rsid w:val="00BF4454"/>
    <w:rsid w:val="00BF7D9B"/>
    <w:rsid w:val="00C01837"/>
    <w:rsid w:val="00C05A25"/>
    <w:rsid w:val="00C06664"/>
    <w:rsid w:val="00C0782B"/>
    <w:rsid w:val="00C1348F"/>
    <w:rsid w:val="00C13699"/>
    <w:rsid w:val="00C1429D"/>
    <w:rsid w:val="00C15BC7"/>
    <w:rsid w:val="00C20A3E"/>
    <w:rsid w:val="00C2197A"/>
    <w:rsid w:val="00C247B3"/>
    <w:rsid w:val="00C33DE0"/>
    <w:rsid w:val="00C43EB9"/>
    <w:rsid w:val="00C51FD0"/>
    <w:rsid w:val="00C600F3"/>
    <w:rsid w:val="00C6416E"/>
    <w:rsid w:val="00C6421C"/>
    <w:rsid w:val="00C702EE"/>
    <w:rsid w:val="00C85AFD"/>
    <w:rsid w:val="00C86701"/>
    <w:rsid w:val="00C869B5"/>
    <w:rsid w:val="00C87EE8"/>
    <w:rsid w:val="00C92817"/>
    <w:rsid w:val="00CA061D"/>
    <w:rsid w:val="00CA1C4E"/>
    <w:rsid w:val="00CA43CB"/>
    <w:rsid w:val="00CA43DD"/>
    <w:rsid w:val="00CA492D"/>
    <w:rsid w:val="00CB14C7"/>
    <w:rsid w:val="00CC1F44"/>
    <w:rsid w:val="00CC39A6"/>
    <w:rsid w:val="00CC4850"/>
    <w:rsid w:val="00CC55C1"/>
    <w:rsid w:val="00CC7A8F"/>
    <w:rsid w:val="00CD0309"/>
    <w:rsid w:val="00CD0726"/>
    <w:rsid w:val="00CD22BE"/>
    <w:rsid w:val="00CD2EE3"/>
    <w:rsid w:val="00CD40EF"/>
    <w:rsid w:val="00CD586B"/>
    <w:rsid w:val="00CD67A9"/>
    <w:rsid w:val="00CE4915"/>
    <w:rsid w:val="00CE6B54"/>
    <w:rsid w:val="00CE7D63"/>
    <w:rsid w:val="00CF31EF"/>
    <w:rsid w:val="00CF6283"/>
    <w:rsid w:val="00D00134"/>
    <w:rsid w:val="00D07F63"/>
    <w:rsid w:val="00D10DB7"/>
    <w:rsid w:val="00D12CB0"/>
    <w:rsid w:val="00D223BE"/>
    <w:rsid w:val="00D24170"/>
    <w:rsid w:val="00D24904"/>
    <w:rsid w:val="00D25D3E"/>
    <w:rsid w:val="00D3165F"/>
    <w:rsid w:val="00D360E7"/>
    <w:rsid w:val="00D37A48"/>
    <w:rsid w:val="00D40D06"/>
    <w:rsid w:val="00D41C18"/>
    <w:rsid w:val="00D46550"/>
    <w:rsid w:val="00D46C73"/>
    <w:rsid w:val="00D47E13"/>
    <w:rsid w:val="00D5301E"/>
    <w:rsid w:val="00D64922"/>
    <w:rsid w:val="00D66A9F"/>
    <w:rsid w:val="00D75385"/>
    <w:rsid w:val="00D808B4"/>
    <w:rsid w:val="00D84051"/>
    <w:rsid w:val="00D84E73"/>
    <w:rsid w:val="00D875A1"/>
    <w:rsid w:val="00D9066E"/>
    <w:rsid w:val="00D9088E"/>
    <w:rsid w:val="00DA0809"/>
    <w:rsid w:val="00DA0950"/>
    <w:rsid w:val="00DB0A72"/>
    <w:rsid w:val="00DB1E88"/>
    <w:rsid w:val="00DB6887"/>
    <w:rsid w:val="00DB70C8"/>
    <w:rsid w:val="00DC3915"/>
    <w:rsid w:val="00DC3CDA"/>
    <w:rsid w:val="00DD2051"/>
    <w:rsid w:val="00DD6144"/>
    <w:rsid w:val="00DE1049"/>
    <w:rsid w:val="00DE28A8"/>
    <w:rsid w:val="00DE56CA"/>
    <w:rsid w:val="00DF2E46"/>
    <w:rsid w:val="00DF647F"/>
    <w:rsid w:val="00DF65B2"/>
    <w:rsid w:val="00DF7854"/>
    <w:rsid w:val="00E0377A"/>
    <w:rsid w:val="00E04727"/>
    <w:rsid w:val="00E07B82"/>
    <w:rsid w:val="00E14A53"/>
    <w:rsid w:val="00E14C8C"/>
    <w:rsid w:val="00E204A1"/>
    <w:rsid w:val="00E210A0"/>
    <w:rsid w:val="00E24406"/>
    <w:rsid w:val="00E25212"/>
    <w:rsid w:val="00E359EE"/>
    <w:rsid w:val="00E368C8"/>
    <w:rsid w:val="00E45A80"/>
    <w:rsid w:val="00E52237"/>
    <w:rsid w:val="00E53CBC"/>
    <w:rsid w:val="00E56E4A"/>
    <w:rsid w:val="00E60AAF"/>
    <w:rsid w:val="00E65237"/>
    <w:rsid w:val="00E65D83"/>
    <w:rsid w:val="00E65DBA"/>
    <w:rsid w:val="00E678DE"/>
    <w:rsid w:val="00E733FE"/>
    <w:rsid w:val="00E7644E"/>
    <w:rsid w:val="00E801E9"/>
    <w:rsid w:val="00E83BDF"/>
    <w:rsid w:val="00E87D21"/>
    <w:rsid w:val="00E90E7E"/>
    <w:rsid w:val="00E93DB6"/>
    <w:rsid w:val="00E95BFC"/>
    <w:rsid w:val="00EB2101"/>
    <w:rsid w:val="00EB3B79"/>
    <w:rsid w:val="00EB4149"/>
    <w:rsid w:val="00EC42E8"/>
    <w:rsid w:val="00EC5101"/>
    <w:rsid w:val="00EC6D11"/>
    <w:rsid w:val="00ED0206"/>
    <w:rsid w:val="00ED18F2"/>
    <w:rsid w:val="00ED7D4E"/>
    <w:rsid w:val="00EE1462"/>
    <w:rsid w:val="00EE1782"/>
    <w:rsid w:val="00EE2DE6"/>
    <w:rsid w:val="00EE420E"/>
    <w:rsid w:val="00EE6FFF"/>
    <w:rsid w:val="00EF20D7"/>
    <w:rsid w:val="00EF59E9"/>
    <w:rsid w:val="00EF5BC9"/>
    <w:rsid w:val="00F0599C"/>
    <w:rsid w:val="00F0696A"/>
    <w:rsid w:val="00F1426A"/>
    <w:rsid w:val="00F1540E"/>
    <w:rsid w:val="00F1667E"/>
    <w:rsid w:val="00F20934"/>
    <w:rsid w:val="00F2627D"/>
    <w:rsid w:val="00F307C4"/>
    <w:rsid w:val="00F30E4E"/>
    <w:rsid w:val="00F3291F"/>
    <w:rsid w:val="00F3353C"/>
    <w:rsid w:val="00F34466"/>
    <w:rsid w:val="00F348F2"/>
    <w:rsid w:val="00F349BB"/>
    <w:rsid w:val="00F44131"/>
    <w:rsid w:val="00F47E11"/>
    <w:rsid w:val="00F539AF"/>
    <w:rsid w:val="00F54951"/>
    <w:rsid w:val="00F6021B"/>
    <w:rsid w:val="00F61333"/>
    <w:rsid w:val="00F61F27"/>
    <w:rsid w:val="00F62C09"/>
    <w:rsid w:val="00F70828"/>
    <w:rsid w:val="00F70837"/>
    <w:rsid w:val="00F73A2E"/>
    <w:rsid w:val="00F77597"/>
    <w:rsid w:val="00F80799"/>
    <w:rsid w:val="00F82606"/>
    <w:rsid w:val="00F83BF0"/>
    <w:rsid w:val="00F914C6"/>
    <w:rsid w:val="00F943DF"/>
    <w:rsid w:val="00F9661B"/>
    <w:rsid w:val="00FA0C6E"/>
    <w:rsid w:val="00FA0CE4"/>
    <w:rsid w:val="00FA38A0"/>
    <w:rsid w:val="00FA4813"/>
    <w:rsid w:val="00FA4A12"/>
    <w:rsid w:val="00FA565F"/>
    <w:rsid w:val="00FB3520"/>
    <w:rsid w:val="00FB4EB9"/>
    <w:rsid w:val="00FC0BAD"/>
    <w:rsid w:val="00FC110C"/>
    <w:rsid w:val="00FC1FB8"/>
    <w:rsid w:val="00FC269B"/>
    <w:rsid w:val="00FC3B8A"/>
    <w:rsid w:val="00FC433B"/>
    <w:rsid w:val="00FC4B3E"/>
    <w:rsid w:val="00FC5AE3"/>
    <w:rsid w:val="00FC5D42"/>
    <w:rsid w:val="00FD5425"/>
    <w:rsid w:val="00FE025D"/>
    <w:rsid w:val="00FE1A09"/>
    <w:rsid w:val="00FE59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58E"/>
  </w:style>
  <w:style w:type="paragraph" w:styleId="Heading1">
    <w:name w:val="heading 1"/>
    <w:basedOn w:val="Normal"/>
    <w:next w:val="Normal"/>
    <w:link w:val="Heading1Char"/>
    <w:uiPriority w:val="9"/>
    <w:qFormat/>
    <w:rsid w:val="00865748"/>
    <w:pPr>
      <w:keepNext/>
      <w:keepLines/>
      <w:spacing w:before="480" w:after="0"/>
      <w:jc w:val="center"/>
      <w:outlineLvl w:val="0"/>
    </w:pPr>
    <w:rPr>
      <w:rFonts w:ascii="Times New Roman" w:eastAsiaTheme="majorEastAsia" w:hAnsi="Times New Roman" w:cs="Times New Roman"/>
      <w:bCs/>
      <w:smallCaps/>
      <w:sz w:val="24"/>
      <w:szCs w:val="24"/>
      <w:lang w:val="en-US"/>
    </w:rPr>
  </w:style>
  <w:style w:type="paragraph" w:styleId="Heading2">
    <w:name w:val="heading 2"/>
    <w:basedOn w:val="Heading3"/>
    <w:next w:val="Normal"/>
    <w:link w:val="Heading2Char"/>
    <w:uiPriority w:val="9"/>
    <w:unhideWhenUsed/>
    <w:qFormat/>
    <w:rsid w:val="00865748"/>
    <w:pPr>
      <w:jc w:val="center"/>
      <w:outlineLvl w:val="1"/>
    </w:pPr>
    <w:rPr>
      <w:rFonts w:ascii="Times New Roman" w:hAnsi="Times New Roman" w:cs="Times New Roman"/>
      <w:b w:val="0"/>
      <w:i/>
      <w:lang w:val="en-US"/>
    </w:rPr>
  </w:style>
  <w:style w:type="paragraph" w:styleId="Heading3">
    <w:name w:val="heading 3"/>
    <w:basedOn w:val="Normal"/>
    <w:next w:val="Normal"/>
    <w:link w:val="Heading3Char"/>
    <w:uiPriority w:val="9"/>
    <w:unhideWhenUsed/>
    <w:qFormat/>
    <w:rsid w:val="00A63B3B"/>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665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65A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65748"/>
    <w:rPr>
      <w:rFonts w:ascii="Times New Roman" w:eastAsiaTheme="majorEastAsia" w:hAnsi="Times New Roman" w:cs="Times New Roman"/>
      <w:bCs/>
      <w:smallCaps/>
      <w:sz w:val="24"/>
      <w:szCs w:val="24"/>
      <w:lang w:val="en-US"/>
    </w:rPr>
  </w:style>
  <w:style w:type="paragraph" w:styleId="FootnoteText">
    <w:name w:val="footnote text"/>
    <w:basedOn w:val="Normal"/>
    <w:link w:val="FootnoteTextChar"/>
    <w:uiPriority w:val="99"/>
    <w:unhideWhenUsed/>
    <w:rsid w:val="004665A9"/>
    <w:pPr>
      <w:spacing w:after="0" w:line="240" w:lineRule="auto"/>
    </w:pPr>
    <w:rPr>
      <w:sz w:val="20"/>
      <w:szCs w:val="20"/>
    </w:rPr>
  </w:style>
  <w:style w:type="character" w:customStyle="1" w:styleId="FootnoteTextChar">
    <w:name w:val="Footnote Text Char"/>
    <w:basedOn w:val="DefaultParagraphFont"/>
    <w:link w:val="FootnoteText"/>
    <w:uiPriority w:val="99"/>
    <w:rsid w:val="004665A9"/>
    <w:rPr>
      <w:sz w:val="20"/>
      <w:szCs w:val="20"/>
    </w:rPr>
  </w:style>
  <w:style w:type="character" w:styleId="FootnoteReference">
    <w:name w:val="footnote reference"/>
    <w:basedOn w:val="DefaultParagraphFont"/>
    <w:uiPriority w:val="99"/>
    <w:semiHidden/>
    <w:unhideWhenUsed/>
    <w:rsid w:val="004665A9"/>
    <w:rPr>
      <w:vertAlign w:val="superscript"/>
    </w:rPr>
  </w:style>
  <w:style w:type="paragraph" w:styleId="ListParagraph">
    <w:name w:val="List Paragraph"/>
    <w:basedOn w:val="Normal"/>
    <w:uiPriority w:val="34"/>
    <w:qFormat/>
    <w:rsid w:val="0089337D"/>
    <w:pPr>
      <w:ind w:left="720"/>
      <w:contextualSpacing/>
    </w:pPr>
  </w:style>
  <w:style w:type="character" w:styleId="CommentReference">
    <w:name w:val="annotation reference"/>
    <w:basedOn w:val="DefaultParagraphFont"/>
    <w:uiPriority w:val="99"/>
    <w:semiHidden/>
    <w:unhideWhenUsed/>
    <w:rsid w:val="00106CD2"/>
    <w:rPr>
      <w:sz w:val="16"/>
      <w:szCs w:val="16"/>
    </w:rPr>
  </w:style>
  <w:style w:type="paragraph" w:styleId="CommentText">
    <w:name w:val="annotation text"/>
    <w:basedOn w:val="Normal"/>
    <w:link w:val="CommentTextChar"/>
    <w:uiPriority w:val="99"/>
    <w:semiHidden/>
    <w:unhideWhenUsed/>
    <w:rsid w:val="00106CD2"/>
    <w:pPr>
      <w:spacing w:line="240" w:lineRule="auto"/>
    </w:pPr>
    <w:rPr>
      <w:sz w:val="20"/>
      <w:szCs w:val="20"/>
    </w:rPr>
  </w:style>
  <w:style w:type="character" w:customStyle="1" w:styleId="CommentTextChar">
    <w:name w:val="Comment Text Char"/>
    <w:basedOn w:val="DefaultParagraphFont"/>
    <w:link w:val="CommentText"/>
    <w:uiPriority w:val="99"/>
    <w:semiHidden/>
    <w:rsid w:val="00106CD2"/>
    <w:rPr>
      <w:sz w:val="20"/>
      <w:szCs w:val="20"/>
    </w:rPr>
  </w:style>
  <w:style w:type="paragraph" w:styleId="CommentSubject">
    <w:name w:val="annotation subject"/>
    <w:basedOn w:val="CommentText"/>
    <w:next w:val="CommentText"/>
    <w:link w:val="CommentSubjectChar"/>
    <w:uiPriority w:val="99"/>
    <w:semiHidden/>
    <w:unhideWhenUsed/>
    <w:rsid w:val="00106CD2"/>
    <w:rPr>
      <w:b/>
      <w:bCs/>
    </w:rPr>
  </w:style>
  <w:style w:type="character" w:customStyle="1" w:styleId="CommentSubjectChar">
    <w:name w:val="Comment Subject Char"/>
    <w:basedOn w:val="CommentTextChar"/>
    <w:link w:val="CommentSubject"/>
    <w:uiPriority w:val="99"/>
    <w:semiHidden/>
    <w:rsid w:val="00106CD2"/>
    <w:rPr>
      <w:b/>
      <w:bCs/>
      <w:sz w:val="20"/>
      <w:szCs w:val="20"/>
    </w:rPr>
  </w:style>
  <w:style w:type="paragraph" w:styleId="BalloonText">
    <w:name w:val="Balloon Text"/>
    <w:basedOn w:val="Normal"/>
    <w:link w:val="BalloonTextChar"/>
    <w:uiPriority w:val="99"/>
    <w:semiHidden/>
    <w:unhideWhenUsed/>
    <w:rsid w:val="00106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CD2"/>
    <w:rPr>
      <w:rFonts w:ascii="Tahoma" w:hAnsi="Tahoma" w:cs="Tahoma"/>
      <w:sz w:val="16"/>
      <w:szCs w:val="16"/>
    </w:rPr>
  </w:style>
  <w:style w:type="character" w:styleId="Hyperlink">
    <w:name w:val="Hyperlink"/>
    <w:basedOn w:val="DefaultParagraphFont"/>
    <w:uiPriority w:val="99"/>
    <w:unhideWhenUsed/>
    <w:rsid w:val="00D9066E"/>
    <w:rPr>
      <w:color w:val="0000FF"/>
      <w:u w:val="single"/>
    </w:rPr>
  </w:style>
  <w:style w:type="character" w:customStyle="1" w:styleId="Heading2Char">
    <w:name w:val="Heading 2 Char"/>
    <w:basedOn w:val="DefaultParagraphFont"/>
    <w:link w:val="Heading2"/>
    <w:uiPriority w:val="9"/>
    <w:rsid w:val="00865748"/>
    <w:rPr>
      <w:rFonts w:ascii="Times New Roman" w:eastAsiaTheme="majorEastAsia" w:hAnsi="Times New Roman" w:cs="Times New Roman"/>
      <w:bCs/>
      <w:i/>
      <w:lang w:val="en-US"/>
    </w:rPr>
  </w:style>
  <w:style w:type="character" w:customStyle="1" w:styleId="Heading3Char">
    <w:name w:val="Heading 3 Char"/>
    <w:basedOn w:val="DefaultParagraphFont"/>
    <w:link w:val="Heading3"/>
    <w:uiPriority w:val="9"/>
    <w:rsid w:val="00A63B3B"/>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B275E6"/>
    <w:pPr>
      <w:outlineLvl w:val="9"/>
    </w:pPr>
    <w:rPr>
      <w:color w:val="365F91" w:themeColor="accent1" w:themeShade="BF"/>
      <w:lang w:eastAsia="en-US"/>
    </w:rPr>
  </w:style>
  <w:style w:type="paragraph" w:styleId="TOC1">
    <w:name w:val="toc 1"/>
    <w:basedOn w:val="Normal"/>
    <w:next w:val="Normal"/>
    <w:autoRedefine/>
    <w:uiPriority w:val="39"/>
    <w:unhideWhenUsed/>
    <w:rsid w:val="00B275E6"/>
    <w:pPr>
      <w:spacing w:after="100"/>
    </w:pPr>
  </w:style>
  <w:style w:type="paragraph" w:styleId="TOC3">
    <w:name w:val="toc 3"/>
    <w:basedOn w:val="Normal"/>
    <w:next w:val="Normal"/>
    <w:autoRedefine/>
    <w:uiPriority w:val="39"/>
    <w:unhideWhenUsed/>
    <w:rsid w:val="00B275E6"/>
    <w:pPr>
      <w:spacing w:after="100"/>
      <w:ind w:left="440"/>
    </w:pPr>
  </w:style>
</w:styles>
</file>

<file path=word/webSettings.xml><?xml version="1.0" encoding="utf-8"?>
<w:webSettings xmlns:r="http://schemas.openxmlformats.org/officeDocument/2006/relationships" xmlns:w="http://schemas.openxmlformats.org/wordprocessingml/2006/main">
  <w:divs>
    <w:div w:id="836576983">
      <w:bodyDiv w:val="1"/>
      <w:marLeft w:val="0"/>
      <w:marRight w:val="0"/>
      <w:marTop w:val="0"/>
      <w:marBottom w:val="0"/>
      <w:divBdr>
        <w:top w:val="none" w:sz="0" w:space="0" w:color="auto"/>
        <w:left w:val="none" w:sz="0" w:space="0" w:color="auto"/>
        <w:bottom w:val="none" w:sz="0" w:space="0" w:color="auto"/>
        <w:right w:val="none" w:sz="0" w:space="0" w:color="auto"/>
      </w:divBdr>
      <w:divsChild>
        <w:div w:id="535386653">
          <w:marLeft w:val="0"/>
          <w:marRight w:val="0"/>
          <w:marTop w:val="0"/>
          <w:marBottom w:val="0"/>
          <w:divBdr>
            <w:top w:val="none" w:sz="0" w:space="0" w:color="auto"/>
            <w:left w:val="none" w:sz="0" w:space="0" w:color="auto"/>
            <w:bottom w:val="none" w:sz="0" w:space="0" w:color="auto"/>
            <w:right w:val="none" w:sz="0" w:space="0" w:color="auto"/>
          </w:divBdr>
        </w:div>
        <w:div w:id="536770929">
          <w:marLeft w:val="0"/>
          <w:marRight w:val="0"/>
          <w:marTop w:val="0"/>
          <w:marBottom w:val="0"/>
          <w:divBdr>
            <w:top w:val="none" w:sz="0" w:space="0" w:color="auto"/>
            <w:left w:val="none" w:sz="0" w:space="0" w:color="auto"/>
            <w:bottom w:val="none" w:sz="0" w:space="0" w:color="auto"/>
            <w:right w:val="none" w:sz="0" w:space="0" w:color="auto"/>
          </w:divBdr>
        </w:div>
        <w:div w:id="1616017903">
          <w:marLeft w:val="0"/>
          <w:marRight w:val="0"/>
          <w:marTop w:val="0"/>
          <w:marBottom w:val="0"/>
          <w:divBdr>
            <w:top w:val="none" w:sz="0" w:space="0" w:color="auto"/>
            <w:left w:val="none" w:sz="0" w:space="0" w:color="auto"/>
            <w:bottom w:val="none" w:sz="0" w:space="0" w:color="auto"/>
            <w:right w:val="none" w:sz="0" w:space="0" w:color="auto"/>
          </w:divBdr>
        </w:div>
        <w:div w:id="1747611343">
          <w:marLeft w:val="0"/>
          <w:marRight w:val="0"/>
          <w:marTop w:val="0"/>
          <w:marBottom w:val="0"/>
          <w:divBdr>
            <w:top w:val="none" w:sz="0" w:space="0" w:color="auto"/>
            <w:left w:val="none" w:sz="0" w:space="0" w:color="auto"/>
            <w:bottom w:val="none" w:sz="0" w:space="0" w:color="auto"/>
            <w:right w:val="none" w:sz="0" w:space="0" w:color="auto"/>
          </w:divBdr>
        </w:div>
        <w:div w:id="2026053406">
          <w:marLeft w:val="0"/>
          <w:marRight w:val="0"/>
          <w:marTop w:val="0"/>
          <w:marBottom w:val="0"/>
          <w:divBdr>
            <w:top w:val="none" w:sz="0" w:space="0" w:color="auto"/>
            <w:left w:val="none" w:sz="0" w:space="0" w:color="auto"/>
            <w:bottom w:val="none" w:sz="0" w:space="0" w:color="auto"/>
            <w:right w:val="none" w:sz="0" w:space="0" w:color="auto"/>
          </w:divBdr>
        </w:div>
        <w:div w:id="2141997651">
          <w:marLeft w:val="0"/>
          <w:marRight w:val="0"/>
          <w:marTop w:val="0"/>
          <w:marBottom w:val="0"/>
          <w:divBdr>
            <w:top w:val="none" w:sz="0" w:space="0" w:color="auto"/>
            <w:left w:val="none" w:sz="0" w:space="0" w:color="auto"/>
            <w:bottom w:val="none" w:sz="0" w:space="0" w:color="auto"/>
            <w:right w:val="none" w:sz="0" w:space="0" w:color="auto"/>
          </w:divBdr>
        </w:div>
      </w:divsChild>
    </w:div>
    <w:div w:id="1192719172">
      <w:bodyDiv w:val="1"/>
      <w:marLeft w:val="0"/>
      <w:marRight w:val="0"/>
      <w:marTop w:val="0"/>
      <w:marBottom w:val="0"/>
      <w:divBdr>
        <w:top w:val="none" w:sz="0" w:space="0" w:color="auto"/>
        <w:left w:val="none" w:sz="0" w:space="0" w:color="auto"/>
        <w:bottom w:val="none" w:sz="0" w:space="0" w:color="auto"/>
        <w:right w:val="none" w:sz="0" w:space="0" w:color="auto"/>
      </w:divBdr>
    </w:div>
    <w:div w:id="204940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4DE71-D773-4BF9-960B-2F1EE9DFD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11067</Words>
  <Characters>63082</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74001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Utilisateur</cp:lastModifiedBy>
  <cp:revision>2</cp:revision>
  <dcterms:created xsi:type="dcterms:W3CDTF">2017-08-30T13:54:00Z</dcterms:created>
  <dcterms:modified xsi:type="dcterms:W3CDTF">2017-08-30T13:54:00Z</dcterms:modified>
</cp:coreProperties>
</file>