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09E5" w14:textId="7741BE10" w:rsidR="00BB28B4" w:rsidRPr="00E97A38" w:rsidRDefault="00E63E36" w:rsidP="00B0547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Temporal Changes in Comorbidity Burden in Patients Having Percutaneous Coronary Intervention and Impact on P</w:t>
      </w:r>
      <w:r w:rsidR="005E3AD3" w:rsidRPr="00E97A38">
        <w:rPr>
          <w:rFonts w:ascii="Times New Roman" w:hAnsi="Times New Roman" w:cs="Times New Roman"/>
          <w:b/>
          <w:sz w:val="24"/>
          <w:szCs w:val="24"/>
        </w:rPr>
        <w:t>rognosis</w:t>
      </w:r>
      <w:r w:rsidR="00C12E93" w:rsidRPr="00E97A38">
        <w:rPr>
          <w:rFonts w:ascii="Times New Roman" w:hAnsi="Times New Roman" w:cs="Times New Roman"/>
          <w:b/>
          <w:sz w:val="24"/>
          <w:szCs w:val="24"/>
        </w:rPr>
        <w:t xml:space="preserve"> </w:t>
      </w:r>
    </w:p>
    <w:p w14:paraId="09B3B854" w14:textId="6F327253" w:rsidR="00BB28B4" w:rsidRPr="00E97A38" w:rsidRDefault="00BB28B4"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rPr>
        <w:t>Running title: Comorbidity burden in PCI and impact on prognosis</w:t>
      </w:r>
    </w:p>
    <w:p w14:paraId="159CB26A" w14:textId="0A3286C0" w:rsidR="00931A96" w:rsidRPr="00E97A38" w:rsidRDefault="00931A96"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rPr>
        <w:t>Jessica Potts</w:t>
      </w:r>
      <w:r w:rsidR="00B272BA" w:rsidRPr="00E97A38">
        <w:rPr>
          <w:rFonts w:ascii="Times New Roman" w:hAnsi="Times New Roman" w:cs="Times New Roman"/>
          <w:sz w:val="24"/>
          <w:szCs w:val="24"/>
        </w:rPr>
        <w:t xml:space="preserve"> </w:t>
      </w:r>
      <w:proofErr w:type="spellStart"/>
      <w:r w:rsidR="00BB28B4" w:rsidRPr="00E97A38">
        <w:rPr>
          <w:rFonts w:ascii="Times New Roman" w:hAnsi="Times New Roman" w:cs="Times New Roman"/>
          <w:sz w:val="24"/>
          <w:szCs w:val="24"/>
        </w:rPr>
        <w:t>MSc</w:t>
      </w:r>
      <w:r w:rsidR="00ED117E" w:rsidRPr="00E97A38">
        <w:rPr>
          <w:rFonts w:ascii="Times New Roman" w:hAnsi="Times New Roman" w:cs="Times New Roman"/>
          <w:sz w:val="24"/>
          <w:szCs w:val="24"/>
          <w:vertAlign w:val="superscript"/>
        </w:rPr>
        <w:t>a</w:t>
      </w:r>
      <w:proofErr w:type="spellEnd"/>
      <w:r w:rsidRPr="00E97A38">
        <w:rPr>
          <w:rFonts w:ascii="Times New Roman" w:hAnsi="Times New Roman" w:cs="Times New Roman"/>
          <w:sz w:val="24"/>
          <w:szCs w:val="24"/>
        </w:rPr>
        <w:t xml:space="preserve">, </w:t>
      </w:r>
      <w:r w:rsidR="008364FD" w:rsidRPr="00E97A38">
        <w:rPr>
          <w:rFonts w:ascii="Times New Roman" w:hAnsi="Times New Roman" w:cs="Times New Roman"/>
          <w:sz w:val="24"/>
          <w:szCs w:val="24"/>
        </w:rPr>
        <w:t xml:space="preserve">Chun </w:t>
      </w:r>
      <w:proofErr w:type="spellStart"/>
      <w:r w:rsidR="008364FD" w:rsidRPr="00E97A38">
        <w:rPr>
          <w:rFonts w:ascii="Times New Roman" w:hAnsi="Times New Roman" w:cs="Times New Roman"/>
          <w:sz w:val="24"/>
          <w:szCs w:val="24"/>
        </w:rPr>
        <w:t>Shing</w:t>
      </w:r>
      <w:proofErr w:type="spellEnd"/>
      <w:r w:rsidR="008364FD" w:rsidRPr="00E97A38">
        <w:rPr>
          <w:rFonts w:ascii="Times New Roman" w:hAnsi="Times New Roman" w:cs="Times New Roman"/>
          <w:sz w:val="24"/>
          <w:szCs w:val="24"/>
        </w:rPr>
        <w:t xml:space="preserve"> Kwok </w:t>
      </w:r>
      <w:r w:rsidR="00BB28B4" w:rsidRPr="00E97A38">
        <w:rPr>
          <w:rFonts w:ascii="Times New Roman" w:hAnsi="Times New Roman" w:cs="Times New Roman"/>
          <w:sz w:val="24"/>
          <w:szCs w:val="24"/>
        </w:rPr>
        <w:t xml:space="preserve">MBBS, </w:t>
      </w:r>
      <w:proofErr w:type="spellStart"/>
      <w:r w:rsidR="00BB28B4" w:rsidRPr="00E97A38">
        <w:rPr>
          <w:rFonts w:ascii="Times New Roman" w:hAnsi="Times New Roman" w:cs="Times New Roman"/>
          <w:sz w:val="24"/>
          <w:szCs w:val="24"/>
        </w:rPr>
        <w:t>MSc</w:t>
      </w:r>
      <w:r w:rsidR="00ED117E" w:rsidRPr="00E97A38">
        <w:rPr>
          <w:rFonts w:ascii="Times New Roman" w:hAnsi="Times New Roman" w:cs="Times New Roman"/>
          <w:sz w:val="24"/>
          <w:szCs w:val="24"/>
          <w:vertAlign w:val="superscript"/>
        </w:rPr>
        <w:t>a</w:t>
      </w:r>
      <w:proofErr w:type="spellEnd"/>
      <w:r w:rsidR="008364FD" w:rsidRPr="00E97A38">
        <w:rPr>
          <w:rFonts w:ascii="Times New Roman" w:hAnsi="Times New Roman" w:cs="Times New Roman"/>
          <w:sz w:val="24"/>
          <w:szCs w:val="24"/>
        </w:rPr>
        <w:t xml:space="preserve">, </w:t>
      </w:r>
      <w:r w:rsidR="006F5CF3" w:rsidRPr="00E97A38">
        <w:rPr>
          <w:rFonts w:ascii="Times New Roman" w:hAnsi="Times New Roman" w:cs="Times New Roman"/>
          <w:sz w:val="24"/>
          <w:szCs w:val="24"/>
        </w:rPr>
        <w:t xml:space="preserve">Joie Ensor </w:t>
      </w:r>
      <w:proofErr w:type="spellStart"/>
      <w:r w:rsidR="00BB28B4" w:rsidRPr="00E97A38">
        <w:rPr>
          <w:rFonts w:ascii="Times New Roman" w:hAnsi="Times New Roman" w:cs="Times New Roman"/>
          <w:sz w:val="24"/>
          <w:szCs w:val="24"/>
        </w:rPr>
        <w:t>PhD</w:t>
      </w:r>
      <w:r w:rsidR="00ED117E" w:rsidRPr="00E97A38">
        <w:rPr>
          <w:rFonts w:ascii="Times New Roman" w:hAnsi="Times New Roman" w:cs="Times New Roman"/>
          <w:sz w:val="24"/>
          <w:szCs w:val="24"/>
          <w:vertAlign w:val="superscript"/>
        </w:rPr>
        <w:t>a</w:t>
      </w:r>
      <w:proofErr w:type="spellEnd"/>
      <w:r w:rsidR="006F5CF3" w:rsidRPr="00E97A38">
        <w:rPr>
          <w:rFonts w:ascii="Times New Roman" w:hAnsi="Times New Roman" w:cs="Times New Roman"/>
          <w:sz w:val="24"/>
          <w:szCs w:val="24"/>
        </w:rPr>
        <w:t xml:space="preserve">, </w:t>
      </w:r>
      <w:r w:rsidR="006F1805" w:rsidRPr="00E97A38">
        <w:rPr>
          <w:rFonts w:ascii="Times New Roman" w:hAnsi="Times New Roman" w:cs="Times New Roman"/>
          <w:sz w:val="24"/>
          <w:szCs w:val="24"/>
        </w:rPr>
        <w:t>Muhammad Rashid</w:t>
      </w:r>
      <w:r w:rsidR="00B272BA" w:rsidRPr="00E97A38">
        <w:rPr>
          <w:rFonts w:ascii="Times New Roman" w:hAnsi="Times New Roman" w:cs="Times New Roman"/>
          <w:sz w:val="24"/>
          <w:szCs w:val="24"/>
        </w:rPr>
        <w:t xml:space="preserve"> </w:t>
      </w:r>
      <w:proofErr w:type="spellStart"/>
      <w:r w:rsidR="00BB28B4" w:rsidRPr="00E97A38">
        <w:rPr>
          <w:rFonts w:ascii="Times New Roman" w:hAnsi="Times New Roman" w:cs="Times New Roman"/>
          <w:sz w:val="24"/>
          <w:szCs w:val="24"/>
        </w:rPr>
        <w:t>MBBS</w:t>
      </w:r>
      <w:r w:rsidR="00ED117E" w:rsidRPr="00E97A38">
        <w:rPr>
          <w:rFonts w:ascii="Times New Roman" w:hAnsi="Times New Roman" w:cs="Times New Roman"/>
          <w:sz w:val="24"/>
          <w:szCs w:val="24"/>
          <w:vertAlign w:val="superscript"/>
        </w:rPr>
        <w:t>a</w:t>
      </w:r>
      <w:proofErr w:type="spellEnd"/>
      <w:r w:rsidR="006F1805" w:rsidRPr="00E97A38">
        <w:rPr>
          <w:rFonts w:ascii="Times New Roman" w:hAnsi="Times New Roman" w:cs="Times New Roman"/>
          <w:sz w:val="24"/>
          <w:szCs w:val="24"/>
        </w:rPr>
        <w:t xml:space="preserve">, </w:t>
      </w:r>
      <w:proofErr w:type="spellStart"/>
      <w:r w:rsidR="005E5DD8" w:rsidRPr="00E97A38">
        <w:rPr>
          <w:rFonts w:ascii="Times New Roman" w:hAnsi="Times New Roman" w:cs="Times New Roman"/>
          <w:sz w:val="24"/>
          <w:szCs w:val="24"/>
        </w:rPr>
        <w:t>Umesh</w:t>
      </w:r>
      <w:proofErr w:type="spellEnd"/>
      <w:r w:rsidR="005E5DD8" w:rsidRPr="00E97A38">
        <w:rPr>
          <w:rFonts w:ascii="Times New Roman" w:hAnsi="Times New Roman" w:cs="Times New Roman"/>
          <w:sz w:val="24"/>
          <w:szCs w:val="24"/>
        </w:rPr>
        <w:t xml:space="preserve"> </w:t>
      </w:r>
      <w:proofErr w:type="spellStart"/>
      <w:r w:rsidR="006F5CF3" w:rsidRPr="00E97A38">
        <w:rPr>
          <w:rFonts w:ascii="Times New Roman" w:hAnsi="Times New Roman" w:cs="Times New Roman"/>
          <w:sz w:val="24"/>
          <w:szCs w:val="24"/>
        </w:rPr>
        <w:t>Kadam</w:t>
      </w:r>
      <w:proofErr w:type="spellEnd"/>
      <w:r w:rsidR="006F5CF3" w:rsidRPr="00E97A38">
        <w:rPr>
          <w:rFonts w:ascii="Times New Roman" w:hAnsi="Times New Roman" w:cs="Times New Roman"/>
          <w:sz w:val="24"/>
          <w:szCs w:val="24"/>
        </w:rPr>
        <w:t xml:space="preserve"> </w:t>
      </w:r>
      <w:proofErr w:type="spellStart"/>
      <w:r w:rsidR="00BB28B4" w:rsidRPr="00E97A38">
        <w:rPr>
          <w:rFonts w:ascii="Times New Roman" w:hAnsi="Times New Roman" w:cs="Times New Roman"/>
          <w:sz w:val="24"/>
          <w:szCs w:val="24"/>
        </w:rPr>
        <w:t>PhD</w:t>
      </w:r>
      <w:r w:rsidR="00ED117E" w:rsidRPr="00E97A38">
        <w:rPr>
          <w:rFonts w:ascii="Times New Roman" w:hAnsi="Times New Roman" w:cs="Times New Roman"/>
          <w:sz w:val="24"/>
          <w:szCs w:val="24"/>
          <w:vertAlign w:val="superscript"/>
        </w:rPr>
        <w:t>b</w:t>
      </w:r>
      <w:proofErr w:type="spellEnd"/>
      <w:r w:rsidR="005E5DD8" w:rsidRPr="00E97A38">
        <w:rPr>
          <w:rFonts w:ascii="Times New Roman" w:hAnsi="Times New Roman" w:cs="Times New Roman"/>
          <w:sz w:val="24"/>
          <w:szCs w:val="24"/>
        </w:rPr>
        <w:t xml:space="preserve">, </w:t>
      </w:r>
      <w:r w:rsidR="006F1805" w:rsidRPr="00E97A38">
        <w:rPr>
          <w:rFonts w:ascii="Times New Roman" w:hAnsi="Times New Roman" w:cs="Times New Roman"/>
          <w:sz w:val="24"/>
          <w:szCs w:val="24"/>
        </w:rPr>
        <w:t>Tim Kinnaird</w:t>
      </w:r>
      <w:r w:rsidR="00E54127" w:rsidRPr="00E97A38">
        <w:rPr>
          <w:rFonts w:ascii="Times New Roman" w:hAnsi="Times New Roman" w:cs="Times New Roman"/>
          <w:sz w:val="24"/>
          <w:szCs w:val="24"/>
        </w:rPr>
        <w:t xml:space="preserve"> </w:t>
      </w:r>
      <w:proofErr w:type="spellStart"/>
      <w:r w:rsidR="00BB28B4" w:rsidRPr="00E97A38">
        <w:rPr>
          <w:rFonts w:ascii="Times New Roman" w:hAnsi="Times New Roman" w:cs="Times New Roman"/>
          <w:sz w:val="24"/>
          <w:szCs w:val="24"/>
        </w:rPr>
        <w:t>MD</w:t>
      </w:r>
      <w:r w:rsidR="00ED117E" w:rsidRPr="00E97A38">
        <w:rPr>
          <w:rFonts w:ascii="Times New Roman" w:hAnsi="Times New Roman" w:cs="Times New Roman"/>
          <w:sz w:val="24"/>
          <w:szCs w:val="24"/>
          <w:vertAlign w:val="superscript"/>
        </w:rPr>
        <w:t>c</w:t>
      </w:r>
      <w:proofErr w:type="spellEnd"/>
      <w:r w:rsidR="006F1805" w:rsidRPr="00E97A38">
        <w:rPr>
          <w:rFonts w:ascii="Times New Roman" w:hAnsi="Times New Roman" w:cs="Times New Roman"/>
          <w:sz w:val="24"/>
          <w:szCs w:val="24"/>
        </w:rPr>
        <w:t xml:space="preserve">, Nicholas </w:t>
      </w:r>
      <w:proofErr w:type="spellStart"/>
      <w:r w:rsidR="006F1805" w:rsidRPr="00E97A38">
        <w:rPr>
          <w:rFonts w:ascii="Times New Roman" w:hAnsi="Times New Roman" w:cs="Times New Roman"/>
          <w:sz w:val="24"/>
          <w:szCs w:val="24"/>
        </w:rPr>
        <w:t>Curzen</w:t>
      </w:r>
      <w:proofErr w:type="spellEnd"/>
      <w:r w:rsidR="00E54127" w:rsidRPr="00E97A38">
        <w:rPr>
          <w:rFonts w:ascii="Times New Roman" w:hAnsi="Times New Roman" w:cs="Times New Roman"/>
          <w:sz w:val="24"/>
          <w:szCs w:val="24"/>
        </w:rPr>
        <w:t xml:space="preserve"> </w:t>
      </w:r>
      <w:r w:rsidR="00BB28B4" w:rsidRPr="00E97A38">
        <w:rPr>
          <w:rFonts w:ascii="Times New Roman" w:hAnsi="Times New Roman" w:cs="Times New Roman"/>
          <w:sz w:val="24"/>
          <w:szCs w:val="24"/>
        </w:rPr>
        <w:t xml:space="preserve">BM </w:t>
      </w:r>
      <w:proofErr w:type="spellStart"/>
      <w:r w:rsidR="00BB28B4" w:rsidRPr="00E97A38">
        <w:rPr>
          <w:rFonts w:ascii="Times New Roman" w:hAnsi="Times New Roman" w:cs="Times New Roman"/>
          <w:sz w:val="24"/>
          <w:szCs w:val="24"/>
        </w:rPr>
        <w:t>PhD</w:t>
      </w:r>
      <w:r w:rsidR="00ED117E" w:rsidRPr="00E97A38">
        <w:rPr>
          <w:rFonts w:ascii="Times New Roman" w:hAnsi="Times New Roman" w:cs="Times New Roman"/>
          <w:sz w:val="24"/>
          <w:szCs w:val="24"/>
          <w:vertAlign w:val="superscript"/>
        </w:rPr>
        <w:t>d</w:t>
      </w:r>
      <w:proofErr w:type="spellEnd"/>
      <w:r w:rsidR="006F1805" w:rsidRPr="00E97A38">
        <w:rPr>
          <w:rFonts w:ascii="Times New Roman" w:hAnsi="Times New Roman" w:cs="Times New Roman"/>
          <w:sz w:val="24"/>
          <w:szCs w:val="24"/>
        </w:rPr>
        <w:t xml:space="preserve">, Samir </w:t>
      </w:r>
      <w:r w:rsidR="00D6152D" w:rsidRPr="00E97A38">
        <w:rPr>
          <w:rFonts w:ascii="Times New Roman" w:hAnsi="Times New Roman" w:cs="Times New Roman"/>
          <w:sz w:val="24"/>
          <w:szCs w:val="24"/>
        </w:rPr>
        <w:t xml:space="preserve">B. </w:t>
      </w:r>
      <w:proofErr w:type="spellStart"/>
      <w:r w:rsidR="006F1805" w:rsidRPr="00E97A38">
        <w:rPr>
          <w:rFonts w:ascii="Times New Roman" w:hAnsi="Times New Roman" w:cs="Times New Roman"/>
          <w:sz w:val="24"/>
          <w:szCs w:val="24"/>
        </w:rPr>
        <w:t>Pancholy</w:t>
      </w:r>
      <w:proofErr w:type="spellEnd"/>
      <w:r w:rsidR="00BB28B4" w:rsidRPr="00E97A38">
        <w:rPr>
          <w:rFonts w:ascii="Times New Roman" w:hAnsi="Times New Roman" w:cs="Times New Roman"/>
          <w:sz w:val="24"/>
          <w:szCs w:val="24"/>
        </w:rPr>
        <w:t xml:space="preserve"> </w:t>
      </w:r>
      <w:proofErr w:type="spellStart"/>
      <w:r w:rsidR="00BB28B4" w:rsidRPr="00E97A38">
        <w:rPr>
          <w:rFonts w:ascii="Times New Roman" w:hAnsi="Times New Roman" w:cs="Times New Roman"/>
          <w:sz w:val="24"/>
          <w:szCs w:val="24"/>
        </w:rPr>
        <w:t>MD</w:t>
      </w:r>
      <w:r w:rsidR="00ED117E" w:rsidRPr="00E97A38">
        <w:rPr>
          <w:rFonts w:ascii="Times New Roman" w:hAnsi="Times New Roman" w:cs="Times New Roman"/>
          <w:sz w:val="24"/>
          <w:szCs w:val="24"/>
          <w:vertAlign w:val="superscript"/>
        </w:rPr>
        <w:t>e</w:t>
      </w:r>
      <w:proofErr w:type="spellEnd"/>
      <w:r w:rsidR="00062035" w:rsidRPr="00E97A38">
        <w:rPr>
          <w:rFonts w:ascii="Times New Roman" w:hAnsi="Times New Roman" w:cs="Times New Roman"/>
          <w:sz w:val="24"/>
          <w:szCs w:val="24"/>
        </w:rPr>
        <w:t xml:space="preserve">, </w:t>
      </w:r>
      <w:r w:rsidR="006F1805" w:rsidRPr="00E97A38">
        <w:rPr>
          <w:rFonts w:ascii="Times New Roman" w:hAnsi="Times New Roman" w:cs="Times New Roman"/>
          <w:sz w:val="24"/>
          <w:szCs w:val="24"/>
        </w:rPr>
        <w:t xml:space="preserve">Danielle Van der </w:t>
      </w:r>
      <w:proofErr w:type="spellStart"/>
      <w:r w:rsidR="006F1805" w:rsidRPr="00E97A38">
        <w:rPr>
          <w:rFonts w:ascii="Times New Roman" w:hAnsi="Times New Roman" w:cs="Times New Roman"/>
          <w:sz w:val="24"/>
          <w:szCs w:val="24"/>
        </w:rPr>
        <w:t>Windt</w:t>
      </w:r>
      <w:proofErr w:type="spellEnd"/>
      <w:r w:rsidR="00B272BA" w:rsidRPr="00E97A38">
        <w:rPr>
          <w:rFonts w:ascii="Times New Roman" w:hAnsi="Times New Roman" w:cs="Times New Roman"/>
          <w:sz w:val="24"/>
          <w:szCs w:val="24"/>
        </w:rPr>
        <w:t xml:space="preserve"> </w:t>
      </w:r>
      <w:proofErr w:type="spellStart"/>
      <w:r w:rsidR="00BB28B4" w:rsidRPr="00E97A38">
        <w:rPr>
          <w:rFonts w:ascii="Times New Roman" w:hAnsi="Times New Roman" w:cs="Times New Roman"/>
          <w:sz w:val="24"/>
          <w:szCs w:val="24"/>
        </w:rPr>
        <w:t>PhD</w:t>
      </w:r>
      <w:r w:rsidR="00ED117E" w:rsidRPr="00E97A38">
        <w:rPr>
          <w:rFonts w:ascii="Times New Roman" w:hAnsi="Times New Roman" w:cs="Times New Roman"/>
          <w:sz w:val="24"/>
          <w:szCs w:val="24"/>
          <w:vertAlign w:val="superscript"/>
        </w:rPr>
        <w:t>a</w:t>
      </w:r>
      <w:proofErr w:type="spellEnd"/>
      <w:r w:rsidR="006F1805" w:rsidRPr="00E97A38">
        <w:rPr>
          <w:rFonts w:ascii="Times New Roman" w:hAnsi="Times New Roman" w:cs="Times New Roman"/>
          <w:sz w:val="24"/>
          <w:szCs w:val="24"/>
        </w:rPr>
        <w:t xml:space="preserve">, Richard </w:t>
      </w:r>
      <w:r w:rsidR="007C3ED6" w:rsidRPr="00E97A38">
        <w:rPr>
          <w:rFonts w:ascii="Times New Roman" w:hAnsi="Times New Roman" w:cs="Times New Roman"/>
          <w:sz w:val="24"/>
          <w:szCs w:val="24"/>
        </w:rPr>
        <w:t xml:space="preserve">D. </w:t>
      </w:r>
      <w:r w:rsidR="006F1805" w:rsidRPr="00E97A38">
        <w:rPr>
          <w:rFonts w:ascii="Times New Roman" w:hAnsi="Times New Roman" w:cs="Times New Roman"/>
          <w:sz w:val="24"/>
          <w:szCs w:val="24"/>
        </w:rPr>
        <w:t>Riley</w:t>
      </w:r>
      <w:r w:rsidR="00B272BA" w:rsidRPr="00E97A38">
        <w:rPr>
          <w:rFonts w:ascii="Times New Roman" w:hAnsi="Times New Roman" w:cs="Times New Roman"/>
          <w:sz w:val="24"/>
          <w:szCs w:val="24"/>
        </w:rPr>
        <w:t xml:space="preserve"> </w:t>
      </w:r>
      <w:proofErr w:type="spellStart"/>
      <w:r w:rsidR="00BB28B4" w:rsidRPr="00E97A38">
        <w:rPr>
          <w:rFonts w:ascii="Times New Roman" w:hAnsi="Times New Roman" w:cs="Times New Roman"/>
          <w:sz w:val="24"/>
          <w:szCs w:val="24"/>
        </w:rPr>
        <w:t>PhD</w:t>
      </w:r>
      <w:r w:rsidR="00ED117E" w:rsidRPr="00E97A38">
        <w:rPr>
          <w:rFonts w:ascii="Times New Roman" w:hAnsi="Times New Roman" w:cs="Times New Roman"/>
          <w:sz w:val="24"/>
          <w:szCs w:val="24"/>
          <w:vertAlign w:val="superscript"/>
        </w:rPr>
        <w:t>a</w:t>
      </w:r>
      <w:proofErr w:type="spellEnd"/>
      <w:r w:rsidR="006F1805" w:rsidRPr="00E97A38">
        <w:rPr>
          <w:rFonts w:ascii="Times New Roman" w:hAnsi="Times New Roman" w:cs="Times New Roman"/>
          <w:sz w:val="24"/>
          <w:szCs w:val="24"/>
        </w:rPr>
        <w:t xml:space="preserve">, </w:t>
      </w:r>
      <w:r w:rsidR="0004711C" w:rsidRPr="00E97A38">
        <w:rPr>
          <w:rFonts w:ascii="Times New Roman" w:hAnsi="Times New Roman" w:cs="Times New Roman"/>
          <w:sz w:val="24"/>
          <w:szCs w:val="24"/>
        </w:rPr>
        <w:t xml:space="preserve">Rodrigo </w:t>
      </w:r>
      <w:proofErr w:type="spellStart"/>
      <w:r w:rsidR="0004711C" w:rsidRPr="00E97A38">
        <w:rPr>
          <w:rFonts w:ascii="Times New Roman" w:hAnsi="Times New Roman" w:cs="Times New Roman"/>
          <w:sz w:val="24"/>
          <w:szCs w:val="24"/>
        </w:rPr>
        <w:t>Bagur</w:t>
      </w:r>
      <w:proofErr w:type="spellEnd"/>
      <w:r w:rsidR="00BB28B4" w:rsidRPr="00E97A38">
        <w:rPr>
          <w:rFonts w:ascii="Times New Roman" w:hAnsi="Times New Roman" w:cs="Times New Roman"/>
          <w:sz w:val="24"/>
          <w:szCs w:val="24"/>
        </w:rPr>
        <w:t xml:space="preserve"> MD </w:t>
      </w:r>
      <w:proofErr w:type="spellStart"/>
      <w:r w:rsidR="00BB28B4" w:rsidRPr="00E97A38">
        <w:rPr>
          <w:rFonts w:ascii="Times New Roman" w:hAnsi="Times New Roman" w:cs="Times New Roman"/>
          <w:sz w:val="24"/>
          <w:szCs w:val="24"/>
        </w:rPr>
        <w:t>PhD</w:t>
      </w:r>
      <w:r w:rsidR="00ED117E" w:rsidRPr="00E97A38">
        <w:rPr>
          <w:rFonts w:ascii="Times New Roman" w:hAnsi="Times New Roman" w:cs="Times New Roman"/>
          <w:sz w:val="24"/>
          <w:szCs w:val="24"/>
          <w:vertAlign w:val="superscript"/>
        </w:rPr>
        <w:t>f</w:t>
      </w:r>
      <w:proofErr w:type="spellEnd"/>
      <w:r w:rsidR="0004711C" w:rsidRPr="00E97A38">
        <w:rPr>
          <w:rFonts w:ascii="Times New Roman" w:hAnsi="Times New Roman" w:cs="Times New Roman"/>
          <w:sz w:val="24"/>
          <w:szCs w:val="24"/>
        </w:rPr>
        <w:t xml:space="preserve">, </w:t>
      </w:r>
      <w:r w:rsidRPr="00E97A38">
        <w:rPr>
          <w:rFonts w:ascii="Times New Roman" w:hAnsi="Times New Roman" w:cs="Times New Roman"/>
          <w:sz w:val="24"/>
          <w:szCs w:val="24"/>
        </w:rPr>
        <w:t>Mamas A. Mamas</w:t>
      </w:r>
      <w:r w:rsidR="00B272BA" w:rsidRPr="00E97A38">
        <w:rPr>
          <w:rFonts w:ascii="Times New Roman" w:hAnsi="Times New Roman" w:cs="Times New Roman"/>
          <w:sz w:val="24"/>
          <w:szCs w:val="24"/>
        </w:rPr>
        <w:t xml:space="preserve"> </w:t>
      </w:r>
      <w:r w:rsidR="00BB28B4" w:rsidRPr="00E97A38">
        <w:rPr>
          <w:rFonts w:ascii="Times New Roman" w:hAnsi="Times New Roman" w:cs="Times New Roman"/>
          <w:sz w:val="24"/>
          <w:szCs w:val="24"/>
        </w:rPr>
        <w:t xml:space="preserve">BM </w:t>
      </w:r>
      <w:proofErr w:type="spellStart"/>
      <w:r w:rsidR="00BB28B4" w:rsidRPr="00E97A38">
        <w:rPr>
          <w:rFonts w:ascii="Times New Roman" w:hAnsi="Times New Roman" w:cs="Times New Roman"/>
          <w:sz w:val="24"/>
          <w:szCs w:val="24"/>
        </w:rPr>
        <w:t>BCh</w:t>
      </w:r>
      <w:proofErr w:type="spellEnd"/>
      <w:r w:rsidR="00BB28B4" w:rsidRPr="00E97A38">
        <w:rPr>
          <w:rFonts w:ascii="Times New Roman" w:hAnsi="Times New Roman" w:cs="Times New Roman"/>
          <w:sz w:val="24"/>
          <w:szCs w:val="24"/>
        </w:rPr>
        <w:t xml:space="preserve"> </w:t>
      </w:r>
      <w:proofErr w:type="spellStart"/>
      <w:r w:rsidR="00BB28B4" w:rsidRPr="00E97A38">
        <w:rPr>
          <w:rFonts w:ascii="Times New Roman" w:hAnsi="Times New Roman" w:cs="Times New Roman"/>
          <w:sz w:val="24"/>
          <w:szCs w:val="24"/>
        </w:rPr>
        <w:t>DPhil</w:t>
      </w:r>
      <w:r w:rsidR="00ED117E" w:rsidRPr="00E97A38">
        <w:rPr>
          <w:rFonts w:ascii="Times New Roman" w:hAnsi="Times New Roman" w:cs="Times New Roman"/>
          <w:sz w:val="24"/>
          <w:szCs w:val="24"/>
          <w:vertAlign w:val="superscript"/>
        </w:rPr>
        <w:t>a</w:t>
      </w:r>
      <w:proofErr w:type="spellEnd"/>
    </w:p>
    <w:p w14:paraId="2ADF044C" w14:textId="60BBB299" w:rsidR="00714311" w:rsidRPr="00E97A38" w:rsidRDefault="00ED117E"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rPr>
        <w:t>a</w:t>
      </w:r>
      <w:r w:rsidR="0080336A" w:rsidRPr="00E97A38">
        <w:rPr>
          <w:rFonts w:ascii="Times New Roman" w:hAnsi="Times New Roman" w:cs="Times New Roman"/>
          <w:sz w:val="24"/>
          <w:szCs w:val="24"/>
        </w:rPr>
        <w:t xml:space="preserve">. </w:t>
      </w:r>
      <w:proofErr w:type="spellStart"/>
      <w:r w:rsidR="00714311" w:rsidRPr="00E97A38">
        <w:rPr>
          <w:rFonts w:ascii="Times New Roman" w:hAnsi="Times New Roman" w:cs="Times New Roman"/>
          <w:sz w:val="24"/>
          <w:szCs w:val="24"/>
        </w:rPr>
        <w:t>Keele</w:t>
      </w:r>
      <w:proofErr w:type="spellEnd"/>
      <w:r w:rsidR="00714311" w:rsidRPr="00E97A38">
        <w:rPr>
          <w:rFonts w:ascii="Times New Roman" w:hAnsi="Times New Roman" w:cs="Times New Roman"/>
          <w:sz w:val="24"/>
          <w:szCs w:val="24"/>
        </w:rPr>
        <w:t xml:space="preserve"> Cardiovascular Research Group, Centre for Prognosis Research, </w:t>
      </w:r>
      <w:r w:rsidR="002C0EE9" w:rsidRPr="00E97A38">
        <w:rPr>
          <w:rFonts w:ascii="Times New Roman" w:hAnsi="Times New Roman" w:cs="Times New Roman"/>
          <w:sz w:val="24"/>
          <w:szCs w:val="24"/>
        </w:rPr>
        <w:t>Institute</w:t>
      </w:r>
      <w:r w:rsidR="00714311" w:rsidRPr="00E97A38">
        <w:rPr>
          <w:rFonts w:ascii="Times New Roman" w:hAnsi="Times New Roman" w:cs="Times New Roman"/>
          <w:sz w:val="24"/>
          <w:szCs w:val="24"/>
        </w:rPr>
        <w:t xml:space="preserve"> of Primary Care and Health Sciences, </w:t>
      </w:r>
      <w:proofErr w:type="spellStart"/>
      <w:r w:rsidR="00714311" w:rsidRPr="00E97A38">
        <w:rPr>
          <w:rFonts w:ascii="Times New Roman" w:hAnsi="Times New Roman" w:cs="Times New Roman"/>
          <w:sz w:val="24"/>
          <w:szCs w:val="24"/>
        </w:rPr>
        <w:t>Keele</w:t>
      </w:r>
      <w:proofErr w:type="spellEnd"/>
      <w:r w:rsidR="00714311" w:rsidRPr="00E97A38">
        <w:rPr>
          <w:rFonts w:ascii="Times New Roman" w:hAnsi="Times New Roman" w:cs="Times New Roman"/>
          <w:sz w:val="24"/>
          <w:szCs w:val="24"/>
        </w:rPr>
        <w:t xml:space="preserve"> University, UK</w:t>
      </w:r>
    </w:p>
    <w:p w14:paraId="49BC3EFB" w14:textId="776A472F" w:rsidR="0080336A" w:rsidRPr="00E97A38" w:rsidRDefault="00ED117E" w:rsidP="00B05470">
      <w:pPr>
        <w:spacing w:after="0" w:line="360" w:lineRule="auto"/>
        <w:rPr>
          <w:rFonts w:ascii="Times New Roman" w:hAnsi="Times New Roman" w:cs="Times New Roman"/>
          <w:sz w:val="24"/>
          <w:szCs w:val="24"/>
        </w:rPr>
      </w:pPr>
      <w:r w:rsidRPr="00E97A38">
        <w:rPr>
          <w:rFonts w:ascii="Times New Roman" w:hAnsi="Times New Roman" w:cs="Times New Roman"/>
          <w:sz w:val="24"/>
          <w:szCs w:val="24"/>
        </w:rPr>
        <w:t>b</w:t>
      </w:r>
      <w:r w:rsidR="0080336A" w:rsidRPr="00E97A38">
        <w:rPr>
          <w:rFonts w:ascii="Times New Roman" w:hAnsi="Times New Roman" w:cs="Times New Roman"/>
          <w:sz w:val="24"/>
          <w:szCs w:val="24"/>
        </w:rPr>
        <w:t>. Diabetes Research Centre, Department of Health Sciences, Leicester University, UK</w:t>
      </w:r>
    </w:p>
    <w:p w14:paraId="48B4955A" w14:textId="28E78F6E" w:rsidR="00B272BA" w:rsidRPr="00E97A38" w:rsidRDefault="00ED117E"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rPr>
        <w:t>c</w:t>
      </w:r>
      <w:r w:rsidR="00714311" w:rsidRPr="00E97A38">
        <w:rPr>
          <w:rFonts w:ascii="Times New Roman" w:hAnsi="Times New Roman" w:cs="Times New Roman"/>
          <w:sz w:val="24"/>
          <w:szCs w:val="24"/>
        </w:rPr>
        <w:t>. University Hospital of Wales, Cardiff, UK</w:t>
      </w:r>
    </w:p>
    <w:p w14:paraId="52D26AF2" w14:textId="589ADFEA" w:rsidR="00714311" w:rsidRPr="00E97A38" w:rsidRDefault="00ED117E"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rPr>
        <w:t>d</w:t>
      </w:r>
      <w:r w:rsidR="00714311" w:rsidRPr="00E97A38">
        <w:rPr>
          <w:rFonts w:ascii="Times New Roman" w:hAnsi="Times New Roman" w:cs="Times New Roman"/>
          <w:sz w:val="24"/>
          <w:szCs w:val="24"/>
        </w:rPr>
        <w:t xml:space="preserve">. </w:t>
      </w:r>
      <w:r w:rsidR="00714311" w:rsidRPr="00E97A38">
        <w:rPr>
          <w:rFonts w:ascii="Times New Roman" w:hAnsi="Times New Roman" w:cs="Times New Roman"/>
          <w:color w:val="000000" w:themeColor="text1"/>
          <w:sz w:val="24"/>
          <w:szCs w:val="24"/>
        </w:rPr>
        <w:t>University Hospital Southampton and Faculty of Medicine, University of Southampton, UK</w:t>
      </w:r>
    </w:p>
    <w:p w14:paraId="6D5DAA2A" w14:textId="5A3D5EC5" w:rsidR="00714311" w:rsidRPr="00E97A38" w:rsidRDefault="00ED117E"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rPr>
        <w:t>e</w:t>
      </w:r>
      <w:r w:rsidR="00714311" w:rsidRPr="00E97A38">
        <w:rPr>
          <w:rFonts w:ascii="Times New Roman" w:hAnsi="Times New Roman" w:cs="Times New Roman"/>
          <w:sz w:val="24"/>
          <w:szCs w:val="24"/>
        </w:rPr>
        <w:t>.</w:t>
      </w:r>
      <w:r w:rsidR="00D6152D" w:rsidRPr="00E97A38">
        <w:rPr>
          <w:rFonts w:ascii="Times New Roman" w:hAnsi="Times New Roman" w:cs="Times New Roman"/>
          <w:sz w:val="24"/>
          <w:szCs w:val="24"/>
        </w:rPr>
        <w:t xml:space="preserve"> The Commonwealth Medical College, Scranton, PA, USA</w:t>
      </w:r>
    </w:p>
    <w:p w14:paraId="3D560ECF" w14:textId="7BEEC552" w:rsidR="00326200" w:rsidRPr="00E97A38" w:rsidRDefault="00ED117E"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rPr>
        <w:t>f</w:t>
      </w:r>
      <w:r w:rsidR="0082249C" w:rsidRPr="00E97A38">
        <w:rPr>
          <w:rFonts w:ascii="Times New Roman" w:hAnsi="Times New Roman" w:cs="Times New Roman"/>
          <w:sz w:val="24"/>
          <w:szCs w:val="24"/>
        </w:rPr>
        <w:t>.</w:t>
      </w:r>
      <w:r w:rsidR="00326200" w:rsidRPr="00E97A38">
        <w:rPr>
          <w:rFonts w:ascii="Times New Roman" w:hAnsi="Times New Roman" w:cs="Times New Roman"/>
          <w:sz w:val="24"/>
          <w:szCs w:val="24"/>
        </w:rPr>
        <w:t xml:space="preserve"> Division of Cardiology, London Health Sciences Centre, Department of Medicine, </w:t>
      </w:r>
    </w:p>
    <w:p w14:paraId="2982F74A" w14:textId="3C195B03" w:rsidR="00326200" w:rsidRPr="00E97A38" w:rsidRDefault="00326200"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rPr>
        <w:t>and Epidemiology &amp; Biostatistics, Western University, London, Ontario, Canada</w:t>
      </w:r>
    </w:p>
    <w:p w14:paraId="475B3AE1" w14:textId="1C432F22" w:rsidR="00B272BA" w:rsidRPr="00E97A38" w:rsidRDefault="00B272BA"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rPr>
        <w:t>Corresponding author:</w:t>
      </w:r>
    </w:p>
    <w:p w14:paraId="11EE9EEF" w14:textId="77777777" w:rsidR="00B272BA" w:rsidRPr="00E97A38" w:rsidRDefault="00B272BA"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rPr>
        <w:t>Mamas A Mamas</w:t>
      </w:r>
    </w:p>
    <w:p w14:paraId="0A53FE76" w14:textId="77777777" w:rsidR="00B272BA" w:rsidRPr="00E97A38" w:rsidRDefault="00B272BA" w:rsidP="00B05470">
      <w:pPr>
        <w:spacing w:after="0" w:line="360" w:lineRule="auto"/>
        <w:jc w:val="both"/>
        <w:rPr>
          <w:rFonts w:ascii="Times New Roman" w:hAnsi="Times New Roman" w:cs="Times New Roman"/>
          <w:sz w:val="24"/>
          <w:szCs w:val="24"/>
        </w:rPr>
      </w:pPr>
      <w:proofErr w:type="spellStart"/>
      <w:r w:rsidRPr="00E97A38">
        <w:rPr>
          <w:rFonts w:ascii="Times New Roman" w:hAnsi="Times New Roman" w:cs="Times New Roman"/>
          <w:sz w:val="24"/>
          <w:szCs w:val="24"/>
        </w:rPr>
        <w:t>Keele</w:t>
      </w:r>
      <w:proofErr w:type="spellEnd"/>
      <w:r w:rsidRPr="00E97A38">
        <w:rPr>
          <w:rFonts w:ascii="Times New Roman" w:hAnsi="Times New Roman" w:cs="Times New Roman"/>
          <w:sz w:val="24"/>
          <w:szCs w:val="24"/>
        </w:rPr>
        <w:t xml:space="preserve"> Cardiovascular Research Group,</w:t>
      </w:r>
    </w:p>
    <w:p w14:paraId="36668636" w14:textId="77777777" w:rsidR="00E97A38" w:rsidRPr="00E97A38" w:rsidRDefault="00B272BA"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rPr>
        <w:t>Centre for Prognosis Research</w:t>
      </w:r>
      <w:r w:rsidR="00ED117E" w:rsidRPr="00E97A38">
        <w:rPr>
          <w:rFonts w:ascii="Times New Roman" w:hAnsi="Times New Roman" w:cs="Times New Roman"/>
          <w:sz w:val="24"/>
          <w:szCs w:val="24"/>
        </w:rPr>
        <w:t xml:space="preserve">, </w:t>
      </w:r>
      <w:r w:rsidRPr="00E97A38">
        <w:rPr>
          <w:rFonts w:ascii="Times New Roman" w:hAnsi="Times New Roman" w:cs="Times New Roman"/>
          <w:sz w:val="24"/>
          <w:szCs w:val="24"/>
        </w:rPr>
        <w:t>Institute for Primary Care and Health Sciences</w:t>
      </w:r>
      <w:r w:rsidR="00ED117E" w:rsidRPr="00E97A38">
        <w:rPr>
          <w:rFonts w:ascii="Times New Roman" w:hAnsi="Times New Roman" w:cs="Times New Roman"/>
          <w:sz w:val="24"/>
          <w:szCs w:val="24"/>
        </w:rPr>
        <w:t xml:space="preserve">, </w:t>
      </w:r>
    </w:p>
    <w:p w14:paraId="713DE0D1" w14:textId="417EBEB2" w:rsidR="00B272BA" w:rsidRPr="00E97A38" w:rsidRDefault="00ED117E" w:rsidP="00B05470">
      <w:pPr>
        <w:spacing w:after="0" w:line="360" w:lineRule="auto"/>
        <w:jc w:val="both"/>
        <w:rPr>
          <w:rFonts w:ascii="Times New Roman" w:hAnsi="Times New Roman" w:cs="Times New Roman"/>
          <w:sz w:val="24"/>
          <w:szCs w:val="24"/>
        </w:rPr>
      </w:pPr>
      <w:proofErr w:type="spellStart"/>
      <w:r w:rsidRPr="00E97A38">
        <w:rPr>
          <w:rFonts w:ascii="Times New Roman" w:hAnsi="Times New Roman" w:cs="Times New Roman"/>
          <w:sz w:val="24"/>
          <w:szCs w:val="24"/>
          <w:shd w:val="clear" w:color="auto" w:fill="FFFFFF"/>
        </w:rPr>
        <w:t>Keele</w:t>
      </w:r>
      <w:proofErr w:type="spellEnd"/>
      <w:r w:rsidRPr="00E97A38">
        <w:rPr>
          <w:rFonts w:ascii="Times New Roman" w:hAnsi="Times New Roman" w:cs="Times New Roman"/>
          <w:sz w:val="24"/>
          <w:szCs w:val="24"/>
          <w:shd w:val="clear" w:color="auto" w:fill="FFFFFF"/>
        </w:rPr>
        <w:t xml:space="preserve"> University</w:t>
      </w:r>
      <w:r w:rsidRPr="00E97A38">
        <w:rPr>
          <w:rFonts w:ascii="Times New Roman" w:hAnsi="Times New Roman" w:cs="Times New Roman"/>
          <w:sz w:val="24"/>
          <w:szCs w:val="24"/>
        </w:rPr>
        <w:t xml:space="preserve">, </w:t>
      </w:r>
      <w:r w:rsidR="00B272BA" w:rsidRPr="00E97A38">
        <w:rPr>
          <w:rFonts w:ascii="Times New Roman" w:hAnsi="Times New Roman" w:cs="Times New Roman"/>
          <w:sz w:val="24"/>
          <w:szCs w:val="24"/>
          <w:shd w:val="clear" w:color="auto" w:fill="FFFFFF"/>
        </w:rPr>
        <w:t xml:space="preserve">Stoke-on-Trent </w:t>
      </w:r>
    </w:p>
    <w:p w14:paraId="6DE6B81F" w14:textId="0F48BBA3" w:rsidR="00B272BA" w:rsidRPr="00E97A38" w:rsidRDefault="00ED117E"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shd w:val="clear" w:color="auto" w:fill="FFFFFF"/>
        </w:rPr>
        <w:t>ST4 7QB UK</w:t>
      </w:r>
    </w:p>
    <w:p w14:paraId="47326364" w14:textId="77777777" w:rsidR="00B272BA" w:rsidRPr="00E97A38" w:rsidRDefault="00B272BA" w:rsidP="00B05470">
      <w:pPr>
        <w:spacing w:after="0" w:line="360" w:lineRule="auto"/>
        <w:jc w:val="both"/>
        <w:rPr>
          <w:rFonts w:ascii="Times New Roman" w:hAnsi="Times New Roman" w:cs="Times New Roman"/>
          <w:sz w:val="24"/>
          <w:szCs w:val="24"/>
          <w:shd w:val="clear" w:color="auto" w:fill="FFFFFF"/>
        </w:rPr>
      </w:pPr>
      <w:r w:rsidRPr="00E97A38">
        <w:rPr>
          <w:rFonts w:ascii="Times New Roman" w:hAnsi="Times New Roman" w:cs="Times New Roman"/>
          <w:sz w:val="24"/>
          <w:szCs w:val="24"/>
        </w:rPr>
        <w:t xml:space="preserve">Tel: </w:t>
      </w:r>
      <w:r w:rsidRPr="00E97A38">
        <w:rPr>
          <w:rFonts w:ascii="Times New Roman" w:hAnsi="Times New Roman" w:cs="Times New Roman"/>
          <w:sz w:val="24"/>
          <w:szCs w:val="24"/>
          <w:shd w:val="clear" w:color="auto" w:fill="FFFFFF"/>
        </w:rPr>
        <w:t xml:space="preserve">+44 (0)1782 671654 </w:t>
      </w:r>
      <w:r w:rsidRPr="00E97A38">
        <w:rPr>
          <w:rFonts w:ascii="Times New Roman" w:hAnsi="Times New Roman" w:cs="Times New Roman"/>
          <w:sz w:val="24"/>
          <w:szCs w:val="24"/>
          <w:shd w:val="clear" w:color="auto" w:fill="FFFFFF"/>
        </w:rPr>
        <w:tab/>
        <w:t>Fax: +44 (0)1782 674467</w:t>
      </w:r>
    </w:p>
    <w:p w14:paraId="227BFF81" w14:textId="4D2FD573" w:rsidR="00ED117E" w:rsidRPr="00E97A38" w:rsidRDefault="00B272BA" w:rsidP="00B05470">
      <w:pPr>
        <w:spacing w:after="0" w:line="360" w:lineRule="auto"/>
        <w:jc w:val="both"/>
        <w:rPr>
          <w:rFonts w:ascii="Times New Roman" w:hAnsi="Times New Roman" w:cs="Times New Roman"/>
          <w:sz w:val="24"/>
          <w:szCs w:val="24"/>
        </w:rPr>
      </w:pPr>
      <w:r w:rsidRPr="00E97A38">
        <w:rPr>
          <w:rFonts w:ascii="Times New Roman" w:hAnsi="Times New Roman" w:cs="Times New Roman"/>
          <w:sz w:val="24"/>
          <w:szCs w:val="24"/>
          <w:shd w:val="clear" w:color="auto" w:fill="FFFFFF"/>
        </w:rPr>
        <w:t xml:space="preserve">Email: </w:t>
      </w:r>
      <w:hyperlink r:id="rId8" w:history="1">
        <w:r w:rsidRPr="00E97A38">
          <w:rPr>
            <w:rStyle w:val="Hyperlink"/>
            <w:rFonts w:ascii="Times New Roman" w:hAnsi="Times New Roman" w:cs="Times New Roman"/>
            <w:sz w:val="24"/>
            <w:szCs w:val="24"/>
            <w:bdr w:val="none" w:sz="0" w:space="0" w:color="auto" w:frame="1"/>
            <w:shd w:val="clear" w:color="auto" w:fill="FFFFFF"/>
          </w:rPr>
          <w:t>mamasmamas1@yahoo.co.uk</w:t>
        </w:r>
      </w:hyperlink>
    </w:p>
    <w:p w14:paraId="215E7E75" w14:textId="77777777" w:rsidR="009B5F78" w:rsidRPr="00E97A38" w:rsidRDefault="00ED117E" w:rsidP="00A675E3">
      <w:pPr>
        <w:spacing w:after="0" w:line="360" w:lineRule="auto"/>
        <w:jc w:val="both"/>
        <w:rPr>
          <w:rFonts w:ascii="Times New Roman" w:hAnsi="Times New Roman" w:cs="Times New Roman"/>
          <w:b/>
          <w:sz w:val="24"/>
          <w:szCs w:val="24"/>
          <w:lang w:val="en-US"/>
        </w:rPr>
      </w:pPr>
      <w:r w:rsidRPr="00E97A38">
        <w:rPr>
          <w:rFonts w:ascii="Times New Roman" w:hAnsi="Times New Roman" w:cs="Times New Roman"/>
          <w:b/>
          <w:sz w:val="24"/>
          <w:szCs w:val="24"/>
          <w:lang w:val="en-US"/>
        </w:rPr>
        <w:t xml:space="preserve">List of Supports/Grants Information: </w:t>
      </w:r>
      <w:r w:rsidRPr="00E97A38">
        <w:rPr>
          <w:rFonts w:ascii="Times New Roman" w:hAnsi="Times New Roman" w:cs="Times New Roman"/>
          <w:sz w:val="24"/>
          <w:szCs w:val="24"/>
          <w:lang w:val="en-US"/>
        </w:rPr>
        <w:t>The study was supported by a grant from the Research and Development Department at the Royal Stoke Hospital.</w:t>
      </w:r>
    </w:p>
    <w:p w14:paraId="0F271B08" w14:textId="64FEE32F" w:rsidR="00ED117E" w:rsidRPr="00E97A38" w:rsidRDefault="00ED117E" w:rsidP="00A675E3">
      <w:pPr>
        <w:spacing w:after="0" w:line="360" w:lineRule="auto"/>
        <w:jc w:val="both"/>
        <w:rPr>
          <w:rFonts w:ascii="Times New Roman" w:hAnsi="Times New Roman" w:cs="Times New Roman"/>
          <w:b/>
          <w:sz w:val="24"/>
          <w:szCs w:val="24"/>
          <w:lang w:val="en-US"/>
        </w:rPr>
      </w:pPr>
      <w:r w:rsidRPr="00E97A38">
        <w:rPr>
          <w:rFonts w:ascii="Times New Roman" w:hAnsi="Times New Roman" w:cs="Times New Roman"/>
          <w:b/>
          <w:sz w:val="24"/>
          <w:szCs w:val="24"/>
        </w:rPr>
        <w:t xml:space="preserve">Acknowledgement: </w:t>
      </w:r>
      <w:r w:rsidRPr="00E97A38">
        <w:rPr>
          <w:rFonts w:ascii="Times New Roman" w:hAnsi="Times New Roman" w:cs="Times New Roman"/>
          <w:sz w:val="24"/>
          <w:szCs w:val="24"/>
        </w:rPr>
        <w:t xml:space="preserve">The data used in this project can from </w:t>
      </w:r>
      <w:r w:rsidRPr="00E97A38">
        <w:rPr>
          <w:rFonts w:ascii="Times New Roman" w:eastAsia="Times New Roman" w:hAnsi="Times New Roman" w:cs="Times New Roman"/>
          <w:color w:val="000000"/>
          <w:sz w:val="24"/>
          <w:szCs w:val="24"/>
          <w:lang w:eastAsia="en-GB"/>
        </w:rPr>
        <w:t>HCUP Nationwide Inpatient Sample (NIS). Healthcare Cost and Utilization Project (HCUP). 2004-2011. Agency for Healthcare Research and Quality, Rockville, MD. </w:t>
      </w:r>
      <w:hyperlink r:id="rId9" w:history="1">
        <w:r w:rsidRPr="00E97A38">
          <w:rPr>
            <w:rFonts w:ascii="Times New Roman" w:eastAsia="Times New Roman" w:hAnsi="Times New Roman" w:cs="Times New Roman"/>
            <w:color w:val="0000FF"/>
            <w:sz w:val="24"/>
            <w:szCs w:val="24"/>
            <w:u w:val="single"/>
            <w:lang w:eastAsia="en-GB"/>
          </w:rPr>
          <w:t>www.hcup-us.ahrq.gov/nisoverview.jsp</w:t>
        </w:r>
      </w:hyperlink>
      <w:r w:rsidRPr="00E97A38">
        <w:rPr>
          <w:rFonts w:ascii="Times New Roman" w:eastAsia="Times New Roman" w:hAnsi="Times New Roman" w:cs="Times New Roman"/>
          <w:color w:val="0000FF"/>
          <w:sz w:val="24"/>
          <w:szCs w:val="24"/>
          <w:u w:val="single"/>
          <w:lang w:eastAsia="en-GB"/>
        </w:rPr>
        <w:t xml:space="preserve"> and </w:t>
      </w:r>
      <w:r w:rsidRPr="00E97A38">
        <w:rPr>
          <w:rFonts w:ascii="Times New Roman" w:eastAsia="Times New Roman" w:hAnsi="Times New Roman" w:cs="Times New Roman"/>
          <w:color w:val="000000"/>
          <w:sz w:val="24"/>
          <w:szCs w:val="24"/>
          <w:lang w:eastAsia="en-GB"/>
        </w:rPr>
        <w:t>HCUP National Inpatient Sample (NIS). Healthcare Cost and Utilization Project (HCUP). 2012-2014. Agency for Healthcare Research and Quality, Rockville, MD. </w:t>
      </w:r>
      <w:hyperlink r:id="rId10" w:history="1">
        <w:r w:rsidRPr="00E97A38">
          <w:rPr>
            <w:rFonts w:ascii="Times New Roman" w:eastAsia="Times New Roman" w:hAnsi="Times New Roman" w:cs="Times New Roman"/>
            <w:color w:val="0000FF"/>
            <w:sz w:val="24"/>
            <w:szCs w:val="24"/>
            <w:u w:val="single"/>
            <w:lang w:eastAsia="en-GB"/>
          </w:rPr>
          <w:t>www.hcup-us.ahrq.gov/nisoverview.jsp</w:t>
        </w:r>
      </w:hyperlink>
      <w:r w:rsidRPr="00E97A38">
        <w:rPr>
          <w:rFonts w:ascii="Times New Roman" w:eastAsia="Times New Roman" w:hAnsi="Times New Roman" w:cs="Times New Roman"/>
          <w:color w:val="0000FF"/>
          <w:sz w:val="24"/>
          <w:szCs w:val="24"/>
          <w:u w:val="single"/>
          <w:lang w:eastAsia="en-GB"/>
        </w:rPr>
        <w:t xml:space="preserve">. </w:t>
      </w:r>
      <w:r w:rsidRPr="00E97A38">
        <w:rPr>
          <w:rFonts w:ascii="Times New Roman" w:eastAsia="Times New Roman" w:hAnsi="Times New Roman" w:cs="Times New Roman"/>
          <w:sz w:val="24"/>
          <w:szCs w:val="24"/>
          <w:lang w:eastAsia="en-GB"/>
        </w:rPr>
        <w:t>A full list of participating states can be found at</w:t>
      </w:r>
      <w:r w:rsidRPr="00E97A38">
        <w:rPr>
          <w:rFonts w:ascii="Times New Roman" w:eastAsia="Times New Roman" w:hAnsi="Times New Roman" w:cs="Times New Roman"/>
          <w:color w:val="0000FF"/>
          <w:sz w:val="24"/>
          <w:szCs w:val="24"/>
          <w:u w:val="single"/>
          <w:lang w:eastAsia="en-GB"/>
        </w:rPr>
        <w:t xml:space="preserve"> </w:t>
      </w:r>
      <w:hyperlink r:id="rId11" w:history="1">
        <w:r w:rsidRPr="00E97A38">
          <w:rPr>
            <w:rStyle w:val="Hyperlink"/>
            <w:rFonts w:ascii="Times New Roman" w:hAnsi="Times New Roman" w:cs="Times New Roman"/>
            <w:sz w:val="24"/>
            <w:szCs w:val="24"/>
          </w:rPr>
          <w:t>www.hcup-us.ahrq.gov/hcupdatapartners.jsp</w:t>
        </w:r>
      </w:hyperlink>
    </w:p>
    <w:p w14:paraId="32D6DA37" w14:textId="2E56078B" w:rsidR="00ED117E" w:rsidRPr="00E97A38" w:rsidRDefault="00ED117E" w:rsidP="00A675E3">
      <w:pPr>
        <w:spacing w:after="0" w:line="360" w:lineRule="auto"/>
        <w:rPr>
          <w:rFonts w:ascii="Times New Roman" w:hAnsi="Times New Roman" w:cs="Times New Roman"/>
          <w:sz w:val="24"/>
          <w:szCs w:val="24"/>
          <w:lang w:val="en-US"/>
        </w:rPr>
      </w:pPr>
      <w:r w:rsidRPr="00E97A38">
        <w:rPr>
          <w:rFonts w:ascii="Times New Roman" w:hAnsi="Times New Roman" w:cs="Times New Roman"/>
          <w:b/>
          <w:sz w:val="24"/>
          <w:szCs w:val="24"/>
          <w:lang w:val="en-US"/>
        </w:rPr>
        <w:t xml:space="preserve">Conflict of interest disclosure: </w:t>
      </w:r>
      <w:r w:rsidRPr="00E97A38">
        <w:rPr>
          <w:rFonts w:ascii="Times New Roman" w:hAnsi="Times New Roman" w:cs="Times New Roman"/>
          <w:sz w:val="24"/>
          <w:szCs w:val="24"/>
          <w:lang w:val="en-US"/>
        </w:rPr>
        <w:t>The authors have no conflicts of interest to declare.</w:t>
      </w:r>
    </w:p>
    <w:p w14:paraId="59C48DEE" w14:textId="00C96FBC" w:rsidR="00EC378F" w:rsidRPr="00E97A38" w:rsidRDefault="00EC378F" w:rsidP="00B05470">
      <w:pPr>
        <w:spacing w:after="0" w:line="360" w:lineRule="auto"/>
        <w:rPr>
          <w:rFonts w:ascii="Times New Roman" w:hAnsi="Times New Roman" w:cs="Times New Roman"/>
        </w:rPr>
      </w:pPr>
      <w:r w:rsidRPr="00E97A38">
        <w:rPr>
          <w:rFonts w:ascii="Times New Roman" w:hAnsi="Times New Roman" w:cs="Times New Roman"/>
          <w:b/>
        </w:rPr>
        <w:t>Abstract</w:t>
      </w:r>
    </w:p>
    <w:p w14:paraId="6B961574" w14:textId="77777777" w:rsidR="00473A9D" w:rsidRDefault="00EC378F" w:rsidP="00B05470">
      <w:pPr>
        <w:spacing w:after="0" w:line="360" w:lineRule="auto"/>
        <w:jc w:val="both"/>
        <w:rPr>
          <w:rFonts w:ascii="Times New Roman" w:hAnsi="Times New Roman" w:cs="Times New Roman"/>
        </w:rPr>
      </w:pPr>
      <w:r w:rsidRPr="00E97A38">
        <w:rPr>
          <w:rFonts w:ascii="Times New Roman" w:hAnsi="Times New Roman" w:cs="Times New Roman"/>
        </w:rPr>
        <w:lastRenderedPageBreak/>
        <w:t xml:space="preserve">This study aims to evaluate the impact of comorbidity burden on outcomes among patients who undergo percutaneous coronary intervention (PCI). We used the Nationwide Inpatient Sample to identify all PCI procedures </w:t>
      </w:r>
      <w:r w:rsidR="00AB04E0" w:rsidRPr="00E97A38">
        <w:rPr>
          <w:rFonts w:ascii="Times New Roman" w:hAnsi="Times New Roman" w:cs="Times New Roman"/>
        </w:rPr>
        <w:t>undertaken</w:t>
      </w:r>
      <w:r w:rsidRPr="00E97A38">
        <w:rPr>
          <w:rFonts w:ascii="Times New Roman" w:hAnsi="Times New Roman" w:cs="Times New Roman"/>
        </w:rPr>
        <w:t xml:space="preserve"> in the United States between 2004 – 2014.  We then determined comorbidity burden for each patient record based on the Charlson Comorbidity Score. Multivariabl</w:t>
      </w:r>
      <w:r w:rsidR="00800788" w:rsidRPr="00E97A38">
        <w:rPr>
          <w:rFonts w:ascii="Times New Roman" w:hAnsi="Times New Roman" w:cs="Times New Roman"/>
        </w:rPr>
        <w:t>e logistic</w:t>
      </w:r>
      <w:r w:rsidRPr="00E97A38">
        <w:rPr>
          <w:rFonts w:ascii="Times New Roman" w:hAnsi="Times New Roman" w:cs="Times New Roman"/>
        </w:rPr>
        <w:t xml:space="preserve"> regression models were used to examine the association between comorbidity burden and in-hospital mortality</w:t>
      </w:r>
      <w:r w:rsidR="00800788" w:rsidRPr="00E97A38">
        <w:rPr>
          <w:rFonts w:ascii="Times New Roman" w:hAnsi="Times New Roman" w:cs="Times New Roman"/>
        </w:rPr>
        <w:t xml:space="preserve"> other in-hospital</w:t>
      </w:r>
      <w:r w:rsidRPr="00E97A38">
        <w:rPr>
          <w:rFonts w:ascii="Times New Roman" w:hAnsi="Times New Roman" w:cs="Times New Roman"/>
        </w:rPr>
        <w:t xml:space="preserve"> complications.  A total of 6,601,526 PCI procedure</w:t>
      </w:r>
      <w:r w:rsidR="00AB04E0" w:rsidRPr="00E97A38">
        <w:rPr>
          <w:rFonts w:ascii="Times New Roman" w:hAnsi="Times New Roman" w:cs="Times New Roman"/>
        </w:rPr>
        <w:t>s</w:t>
      </w:r>
      <w:r w:rsidRPr="00E97A38">
        <w:rPr>
          <w:rFonts w:ascii="Times New Roman" w:hAnsi="Times New Roman" w:cs="Times New Roman"/>
        </w:rPr>
        <w:t xml:space="preserve"> were included in the analysis. Overall comorbidity burden increased over time, with severe comorbidity burden (defined as a CCI score ≥3) </w:t>
      </w:r>
      <w:r w:rsidR="00AB04E0" w:rsidRPr="00E97A38">
        <w:rPr>
          <w:rFonts w:ascii="Times New Roman" w:hAnsi="Times New Roman" w:cs="Times New Roman"/>
        </w:rPr>
        <w:t xml:space="preserve">increasing </w:t>
      </w:r>
      <w:r w:rsidRPr="00E97A38">
        <w:rPr>
          <w:rFonts w:ascii="Times New Roman" w:hAnsi="Times New Roman" w:cs="Times New Roman"/>
        </w:rPr>
        <w:t xml:space="preserve">from </w:t>
      </w:r>
      <w:r w:rsidR="00800788" w:rsidRPr="00E97A38">
        <w:rPr>
          <w:rFonts w:ascii="Times New Roman" w:hAnsi="Times New Roman" w:cs="Times New Roman"/>
        </w:rPr>
        <w:t>5.3% in 2004 to 14.2</w:t>
      </w:r>
      <w:r w:rsidRPr="00E97A38">
        <w:rPr>
          <w:rFonts w:ascii="Times New Roman" w:hAnsi="Times New Roman" w:cs="Times New Roman"/>
        </w:rPr>
        <w:t>% in 2014</w:t>
      </w:r>
      <w:r w:rsidR="00AB04E0" w:rsidRPr="00E97A38">
        <w:rPr>
          <w:rFonts w:ascii="Times New Roman" w:hAnsi="Times New Roman" w:cs="Times New Roman"/>
        </w:rPr>
        <w:t xml:space="preserve"> (P&lt;0.0001)</w:t>
      </w:r>
      <w:r w:rsidRPr="00E97A38">
        <w:rPr>
          <w:rFonts w:ascii="Times New Roman" w:hAnsi="Times New Roman" w:cs="Times New Roman"/>
        </w:rPr>
        <w:t>. After adjustment for confounding factors increasing comorbidity burden was independently associated with increased odds of in-hospital mortality</w:t>
      </w:r>
      <w:r w:rsidR="00AB04E0" w:rsidRPr="00E97A38">
        <w:rPr>
          <w:rFonts w:ascii="Times New Roman" w:hAnsi="Times New Roman" w:cs="Times New Roman"/>
        </w:rPr>
        <w:t xml:space="preserve">, </w:t>
      </w:r>
      <w:r w:rsidRPr="00E97A38">
        <w:rPr>
          <w:rFonts w:ascii="Times New Roman" w:hAnsi="Times New Roman" w:cs="Times New Roman"/>
        </w:rPr>
        <w:t>complication</w:t>
      </w:r>
      <w:r w:rsidR="00AB04E0" w:rsidRPr="00E97A38">
        <w:rPr>
          <w:rFonts w:ascii="Times New Roman" w:hAnsi="Times New Roman" w:cs="Times New Roman"/>
        </w:rPr>
        <w:t xml:space="preserve">s, </w:t>
      </w:r>
      <w:r w:rsidRPr="00E97A38">
        <w:rPr>
          <w:rFonts w:ascii="Times New Roman" w:hAnsi="Times New Roman" w:cs="Times New Roman"/>
        </w:rPr>
        <w:t>length of hospital stay and total cost of hospitalisation post PCI. A CCI score of 1 was indepe</w:t>
      </w:r>
      <w:r w:rsidR="00800788" w:rsidRPr="00E97A38">
        <w:rPr>
          <w:rFonts w:ascii="Times New Roman" w:hAnsi="Times New Roman" w:cs="Times New Roman"/>
        </w:rPr>
        <w:t>ndently associated with an</w:t>
      </w:r>
      <w:r w:rsidRPr="00E97A38">
        <w:rPr>
          <w:rFonts w:ascii="Times New Roman" w:hAnsi="Times New Roman" w:cs="Times New Roman"/>
        </w:rPr>
        <w:t xml:space="preserve"> increase in the odds of </w:t>
      </w:r>
      <w:r w:rsidR="00800788" w:rsidRPr="00E97A38">
        <w:rPr>
          <w:rFonts w:ascii="Times New Roman" w:hAnsi="Times New Roman" w:cs="Times New Roman"/>
        </w:rPr>
        <w:t>in hospital mortality (OR 1.19 (95% CI 1.15-1.25</w:t>
      </w:r>
      <w:r w:rsidRPr="00E97A38">
        <w:rPr>
          <w:rFonts w:ascii="Times New Roman" w:hAnsi="Times New Roman" w:cs="Times New Roman"/>
        </w:rPr>
        <w:t>)), a score of 2 associated with a</w:t>
      </w:r>
      <w:r w:rsidR="00800788" w:rsidRPr="00E97A38">
        <w:rPr>
          <w:rFonts w:ascii="Times New Roman" w:hAnsi="Times New Roman" w:cs="Times New Roman"/>
        </w:rPr>
        <w:t>n almost 1.5-fold increase (OR 1.41 (95% CI 1.34-1.48)) and a score of ≥3 a 2-fold increase (OR 1.96 (95% CI 1.86-2.07</w:t>
      </w:r>
      <w:r w:rsidRPr="00E97A38">
        <w:rPr>
          <w:rFonts w:ascii="Times New Roman" w:hAnsi="Times New Roman" w:cs="Times New Roman"/>
        </w:rPr>
        <w:t xml:space="preserve">)) compared to no comorbid burden (CCI score of 0). </w:t>
      </w:r>
      <w:r w:rsidR="00BB28B4" w:rsidRPr="00E97A38">
        <w:rPr>
          <w:rFonts w:ascii="Times New Roman" w:hAnsi="Times New Roman" w:cs="Times New Roman"/>
        </w:rPr>
        <w:t>In conclusion, o</w:t>
      </w:r>
      <w:r w:rsidRPr="00E97A38">
        <w:rPr>
          <w:rFonts w:ascii="Times New Roman" w:hAnsi="Times New Roman" w:cs="Times New Roman"/>
        </w:rPr>
        <w:t>ur results show that comorbid burden is independently assoc</w:t>
      </w:r>
      <w:r w:rsidR="00800788" w:rsidRPr="00E97A38">
        <w:rPr>
          <w:rFonts w:ascii="Times New Roman" w:hAnsi="Times New Roman" w:cs="Times New Roman"/>
        </w:rPr>
        <w:t>iated with increased risk of in-hospital mortality, in-</w:t>
      </w:r>
      <w:r w:rsidRPr="00E97A38">
        <w:rPr>
          <w:rFonts w:ascii="Times New Roman" w:hAnsi="Times New Roman" w:cs="Times New Roman"/>
        </w:rPr>
        <w:t>hospital complications, length of stay and healthcare costs.</w:t>
      </w:r>
    </w:p>
    <w:p w14:paraId="4C2FFE90" w14:textId="22590F91" w:rsidR="009B5F78" w:rsidRPr="00E97A38" w:rsidRDefault="00473A9D" w:rsidP="00B05470">
      <w:pPr>
        <w:spacing w:after="0" w:line="360" w:lineRule="auto"/>
        <w:jc w:val="both"/>
        <w:rPr>
          <w:rFonts w:ascii="Times New Roman" w:hAnsi="Times New Roman" w:cs="Times New Roman"/>
        </w:rPr>
      </w:pPr>
      <w:r>
        <w:rPr>
          <w:rFonts w:ascii="Times New Roman" w:hAnsi="Times New Roman" w:cs="Times New Roman"/>
          <w:b/>
        </w:rPr>
        <w:t xml:space="preserve">Keywords: </w:t>
      </w:r>
      <w:r>
        <w:rPr>
          <w:rFonts w:ascii="Times New Roman" w:hAnsi="Times New Roman" w:cs="Times New Roman"/>
        </w:rPr>
        <w:t>comorbidity; percutaneous coronary intervention; prognosis</w:t>
      </w:r>
      <w:r w:rsidR="009B5F78" w:rsidRPr="00E97A38">
        <w:rPr>
          <w:rFonts w:ascii="Times New Roman" w:hAnsi="Times New Roman" w:cs="Times New Roman"/>
          <w:b/>
        </w:rPr>
        <w:br w:type="page"/>
      </w:r>
    </w:p>
    <w:p w14:paraId="060BFBF8" w14:textId="7A25BBBE" w:rsidR="00A675E3" w:rsidRPr="00B05470" w:rsidRDefault="00931A96" w:rsidP="00A675E3">
      <w:pPr>
        <w:spacing w:after="0" w:line="360" w:lineRule="auto"/>
        <w:jc w:val="both"/>
        <w:rPr>
          <w:rFonts w:ascii="Times New Roman" w:hAnsi="Times New Roman" w:cs="Times New Roman"/>
          <w:b/>
        </w:rPr>
      </w:pPr>
      <w:r w:rsidRPr="00E97A38">
        <w:rPr>
          <w:rFonts w:ascii="Times New Roman" w:hAnsi="Times New Roman" w:cs="Times New Roman"/>
          <w:b/>
        </w:rPr>
        <w:lastRenderedPageBreak/>
        <w:t>Introduction</w:t>
      </w:r>
    </w:p>
    <w:p w14:paraId="61514C6C" w14:textId="56FA0D33" w:rsidR="00E97A38" w:rsidRPr="00A41A0E" w:rsidRDefault="005E3AD3" w:rsidP="00A675E3">
      <w:pPr>
        <w:spacing w:after="0" w:line="360" w:lineRule="auto"/>
        <w:jc w:val="both"/>
        <w:rPr>
          <w:rFonts w:ascii="Times New Roman" w:hAnsi="Times New Roman" w:cs="Times New Roman"/>
        </w:rPr>
      </w:pPr>
      <w:r w:rsidRPr="00E97A38">
        <w:rPr>
          <w:rFonts w:ascii="Times New Roman" w:hAnsi="Times New Roman" w:cs="Times New Roman"/>
        </w:rPr>
        <w:t>Both</w:t>
      </w:r>
      <w:r w:rsidRPr="00E97A38">
        <w:rPr>
          <w:rFonts w:ascii="Times New Roman" w:hAnsi="Times New Roman" w:cs="Times New Roman"/>
          <w:b/>
        </w:rPr>
        <w:t xml:space="preserve"> </w:t>
      </w:r>
      <w:r w:rsidRPr="00E97A38">
        <w:rPr>
          <w:rFonts w:ascii="Times New Roman" w:hAnsi="Times New Roman" w:cs="Times New Roman"/>
        </w:rPr>
        <w:t>t</w:t>
      </w:r>
      <w:r w:rsidR="00F068D4" w:rsidRPr="00E97A38">
        <w:rPr>
          <w:rFonts w:ascii="Times New Roman" w:hAnsi="Times New Roman" w:cs="Times New Roman"/>
        </w:rPr>
        <w:t>he average age of p</w:t>
      </w:r>
      <w:r w:rsidR="008F6E2C" w:rsidRPr="00E97A38">
        <w:rPr>
          <w:rFonts w:ascii="Times New Roman" w:hAnsi="Times New Roman" w:cs="Times New Roman"/>
        </w:rPr>
        <w:t xml:space="preserve">atients undergoing percutaneous coronary intervention (PCI) </w:t>
      </w:r>
      <w:r w:rsidR="007435DE" w:rsidRPr="00E97A38">
        <w:rPr>
          <w:rFonts w:ascii="Times New Roman" w:hAnsi="Times New Roman" w:cs="Times New Roman"/>
        </w:rPr>
        <w:t>in contemporary practice</w:t>
      </w:r>
      <w:r w:rsidR="00F068D4" w:rsidRPr="00E97A38">
        <w:rPr>
          <w:rFonts w:ascii="Times New Roman" w:hAnsi="Times New Roman" w:cs="Times New Roman"/>
        </w:rPr>
        <w:t xml:space="preserve"> </w:t>
      </w:r>
      <w:r w:rsidRPr="00E97A38">
        <w:rPr>
          <w:rFonts w:ascii="Times New Roman" w:hAnsi="Times New Roman" w:cs="Times New Roman"/>
        </w:rPr>
        <w:t xml:space="preserve">and the complexity of the disease being tackled </w:t>
      </w:r>
      <w:r w:rsidR="00F068D4" w:rsidRPr="00E97A38">
        <w:rPr>
          <w:rFonts w:ascii="Times New Roman" w:hAnsi="Times New Roman" w:cs="Times New Roman"/>
        </w:rPr>
        <w:t>has increased over time</w:t>
      </w:r>
      <w:r w:rsidR="00E43D2C">
        <w:rPr>
          <w:rFonts w:ascii="Times New Roman" w:hAnsi="Times New Roman" w:cs="Times New Roman"/>
        </w:rPr>
        <w:t>.</w:t>
      </w:r>
      <w:r w:rsidR="00E43D2C" w:rsidRPr="00E43D2C">
        <w:rPr>
          <w:rFonts w:ascii="Times New Roman" w:hAnsi="Times New Roman" w:cs="Times New Roman"/>
          <w:vertAlign w:val="superscript"/>
        </w:rPr>
        <w:t>1</w:t>
      </w:r>
      <w:r w:rsidR="009A0747" w:rsidRPr="00E97A38">
        <w:rPr>
          <w:rFonts w:ascii="Times New Roman" w:hAnsi="Times New Roman" w:cs="Times New Roman"/>
        </w:rPr>
        <w:t xml:space="preserve"> This aging population </w:t>
      </w:r>
      <w:r w:rsidRPr="00E97A38">
        <w:rPr>
          <w:rFonts w:ascii="Times New Roman" w:hAnsi="Times New Roman" w:cs="Times New Roman"/>
        </w:rPr>
        <w:t xml:space="preserve">inevitably </w:t>
      </w:r>
      <w:r w:rsidR="009A0747" w:rsidRPr="00E97A38">
        <w:rPr>
          <w:rFonts w:ascii="Times New Roman" w:hAnsi="Times New Roman" w:cs="Times New Roman"/>
        </w:rPr>
        <w:t xml:space="preserve">has an increasing burden of </w:t>
      </w:r>
      <w:r w:rsidR="00BC0A3F" w:rsidRPr="00E97A38">
        <w:rPr>
          <w:rFonts w:ascii="Times New Roman" w:hAnsi="Times New Roman" w:cs="Times New Roman"/>
        </w:rPr>
        <w:t>comorbid</w:t>
      </w:r>
      <w:r w:rsidR="009A0747" w:rsidRPr="00E97A38">
        <w:rPr>
          <w:rFonts w:ascii="Times New Roman" w:hAnsi="Times New Roman" w:cs="Times New Roman"/>
        </w:rPr>
        <w:t xml:space="preserve"> conditions</w:t>
      </w:r>
      <w:r w:rsidR="00BC3C6C" w:rsidRPr="00E97A38">
        <w:rPr>
          <w:rFonts w:ascii="Times New Roman" w:hAnsi="Times New Roman" w:cs="Times New Roman"/>
        </w:rPr>
        <w:t xml:space="preserve">, </w:t>
      </w:r>
      <w:r w:rsidR="00B911A1" w:rsidRPr="00E97A38">
        <w:rPr>
          <w:rFonts w:ascii="Times New Roman" w:hAnsi="Times New Roman" w:cs="Times New Roman"/>
        </w:rPr>
        <w:t xml:space="preserve">with registry studies suggesting that </w:t>
      </w:r>
      <w:r w:rsidR="005477EE" w:rsidRPr="00E97A38">
        <w:rPr>
          <w:rFonts w:ascii="Times New Roman" w:hAnsi="Times New Roman" w:cs="Times New Roman"/>
        </w:rPr>
        <w:t xml:space="preserve">at least </w:t>
      </w:r>
      <w:r w:rsidR="00B911A1" w:rsidRPr="00E97A38">
        <w:rPr>
          <w:rFonts w:ascii="Times New Roman" w:hAnsi="Times New Roman" w:cs="Times New Roman"/>
        </w:rPr>
        <w:t xml:space="preserve">75% of patients undergoing PCI have at least 1 </w:t>
      </w:r>
      <w:r w:rsidR="001E0CF8" w:rsidRPr="00E97A38">
        <w:rPr>
          <w:rFonts w:ascii="Times New Roman" w:hAnsi="Times New Roman" w:cs="Times New Roman"/>
        </w:rPr>
        <w:t>comorbid condition</w:t>
      </w:r>
      <w:r w:rsidR="00074D69" w:rsidRPr="00E97A38">
        <w:rPr>
          <w:rFonts w:ascii="Times New Roman" w:hAnsi="Times New Roman" w:cs="Times New Roman"/>
        </w:rPr>
        <w:t>.</w:t>
      </w:r>
      <w:r w:rsidR="00E43D2C">
        <w:rPr>
          <w:rFonts w:ascii="Times New Roman" w:hAnsi="Times New Roman" w:cs="Times New Roman"/>
          <w:vertAlign w:val="superscript"/>
        </w:rPr>
        <w:t>2</w:t>
      </w:r>
      <w:r w:rsidR="00074D69" w:rsidRPr="00E97A38">
        <w:rPr>
          <w:rFonts w:ascii="Times New Roman" w:hAnsi="Times New Roman" w:cs="Times New Roman"/>
        </w:rPr>
        <w:t xml:space="preserve"> </w:t>
      </w:r>
      <w:r w:rsidR="00F8540C" w:rsidRPr="00E97A38">
        <w:rPr>
          <w:rFonts w:ascii="Times New Roman" w:hAnsi="Times New Roman" w:cs="Times New Roman"/>
        </w:rPr>
        <w:t>P</w:t>
      </w:r>
      <w:r w:rsidR="00052DF2" w:rsidRPr="00E97A38">
        <w:rPr>
          <w:rFonts w:ascii="Times New Roman" w:hAnsi="Times New Roman" w:cs="Times New Roman"/>
        </w:rPr>
        <w:t xml:space="preserve">revious studies </w:t>
      </w:r>
      <w:r w:rsidRPr="00E97A38">
        <w:rPr>
          <w:rFonts w:ascii="Times New Roman" w:hAnsi="Times New Roman" w:cs="Times New Roman"/>
        </w:rPr>
        <w:t>on</w:t>
      </w:r>
      <w:r w:rsidR="00D21E8A" w:rsidRPr="00E97A38">
        <w:rPr>
          <w:rFonts w:ascii="Times New Roman" w:hAnsi="Times New Roman" w:cs="Times New Roman"/>
        </w:rPr>
        <w:t xml:space="preserve"> comorbidity in patients undergoing PCI </w:t>
      </w:r>
      <w:r w:rsidR="001E0CF8" w:rsidRPr="00E97A38">
        <w:rPr>
          <w:rFonts w:ascii="Times New Roman" w:hAnsi="Times New Roman" w:cs="Times New Roman"/>
        </w:rPr>
        <w:t xml:space="preserve">have </w:t>
      </w:r>
      <w:r w:rsidR="00052DF2" w:rsidRPr="00E97A38">
        <w:rPr>
          <w:rFonts w:ascii="Times New Roman" w:hAnsi="Times New Roman" w:cs="Times New Roman"/>
        </w:rPr>
        <w:t xml:space="preserve">mainly focused on </w:t>
      </w:r>
      <w:r w:rsidR="001E0CF8" w:rsidRPr="00E97A38">
        <w:rPr>
          <w:rFonts w:ascii="Times New Roman" w:hAnsi="Times New Roman" w:cs="Times New Roman"/>
        </w:rPr>
        <w:t xml:space="preserve">individual </w:t>
      </w:r>
      <w:r w:rsidR="00052DF2" w:rsidRPr="00E97A38">
        <w:rPr>
          <w:rFonts w:ascii="Times New Roman" w:hAnsi="Times New Roman" w:cs="Times New Roman"/>
        </w:rPr>
        <w:t>cardiovascular comorbid conditions</w:t>
      </w:r>
      <w:r w:rsidR="00074D69" w:rsidRPr="00E97A38">
        <w:rPr>
          <w:rFonts w:ascii="Times New Roman" w:hAnsi="Times New Roman" w:cs="Times New Roman"/>
        </w:rPr>
        <w:t xml:space="preserve"> and their impact</w:t>
      </w:r>
      <w:r w:rsidR="00E357C0" w:rsidRPr="00E97A38">
        <w:rPr>
          <w:rFonts w:ascii="Times New Roman" w:hAnsi="Times New Roman" w:cs="Times New Roman"/>
        </w:rPr>
        <w:t xml:space="preserve"> on prognosis</w:t>
      </w:r>
      <w:r w:rsidR="00052DF2" w:rsidRPr="00E97A38">
        <w:rPr>
          <w:rFonts w:ascii="Times New Roman" w:hAnsi="Times New Roman" w:cs="Times New Roman"/>
        </w:rPr>
        <w:t xml:space="preserve">, even though patients with CVD often have a broad spectrum of </w:t>
      </w:r>
      <w:r w:rsidR="00074D69" w:rsidRPr="00E97A38">
        <w:rPr>
          <w:rFonts w:ascii="Times New Roman" w:hAnsi="Times New Roman" w:cs="Times New Roman"/>
        </w:rPr>
        <w:t xml:space="preserve">both cardiovascular and </w:t>
      </w:r>
      <w:r w:rsidR="00052DF2" w:rsidRPr="00E97A38">
        <w:rPr>
          <w:rFonts w:ascii="Times New Roman" w:hAnsi="Times New Roman" w:cs="Times New Roman"/>
        </w:rPr>
        <w:t xml:space="preserve">non-cardiovascular </w:t>
      </w:r>
      <w:r w:rsidR="00BC0A3F" w:rsidRPr="00E97A38">
        <w:rPr>
          <w:rFonts w:ascii="Times New Roman" w:hAnsi="Times New Roman" w:cs="Times New Roman"/>
        </w:rPr>
        <w:t>comorbid</w:t>
      </w:r>
      <w:r w:rsidR="00052DF2" w:rsidRPr="00E97A38">
        <w:rPr>
          <w:rFonts w:ascii="Times New Roman" w:hAnsi="Times New Roman" w:cs="Times New Roman"/>
        </w:rPr>
        <w:t>ities</w:t>
      </w:r>
      <w:r w:rsidR="00E43D2C">
        <w:rPr>
          <w:rFonts w:ascii="Times New Roman" w:hAnsi="Times New Roman" w:cs="Times New Roman"/>
          <w:vertAlign w:val="superscript"/>
        </w:rPr>
        <w:t>3,4</w:t>
      </w:r>
      <w:r w:rsidR="00074D69" w:rsidRPr="00E97A38">
        <w:rPr>
          <w:rFonts w:ascii="Times New Roman" w:hAnsi="Times New Roman" w:cs="Times New Roman"/>
        </w:rPr>
        <w:t xml:space="preserve"> that may influence outcomes synergistically rather than in isolation</w:t>
      </w:r>
      <w:r w:rsidR="00052DF2" w:rsidRPr="00E97A38">
        <w:rPr>
          <w:rFonts w:ascii="Times New Roman" w:hAnsi="Times New Roman" w:cs="Times New Roman"/>
        </w:rPr>
        <w:t>.</w:t>
      </w:r>
      <w:r w:rsidR="00074D69" w:rsidRPr="00E97A38">
        <w:rPr>
          <w:rFonts w:ascii="Times New Roman" w:hAnsi="Times New Roman" w:cs="Times New Roman"/>
        </w:rPr>
        <w:t xml:space="preserve"> </w:t>
      </w:r>
      <w:r w:rsidR="00D21E8A" w:rsidRPr="00E97A38">
        <w:rPr>
          <w:rFonts w:ascii="Times New Roman" w:hAnsi="Times New Roman" w:cs="Times New Roman"/>
        </w:rPr>
        <w:t xml:space="preserve">The Charlson </w:t>
      </w:r>
      <w:r w:rsidR="00BC0A3F" w:rsidRPr="00E97A38">
        <w:rPr>
          <w:rFonts w:ascii="Times New Roman" w:hAnsi="Times New Roman" w:cs="Times New Roman"/>
        </w:rPr>
        <w:t>comorbid</w:t>
      </w:r>
      <w:r w:rsidR="00D21E8A" w:rsidRPr="00E97A38">
        <w:rPr>
          <w:rFonts w:ascii="Times New Roman" w:hAnsi="Times New Roman" w:cs="Times New Roman"/>
        </w:rPr>
        <w:t>ity index (CCI) is a</w:t>
      </w:r>
      <w:r w:rsidR="0017139E" w:rsidRPr="00E97A38">
        <w:rPr>
          <w:rFonts w:ascii="Times New Roman" w:hAnsi="Times New Roman" w:cs="Times New Roman"/>
        </w:rPr>
        <w:t xml:space="preserve"> </w:t>
      </w:r>
      <w:r w:rsidR="00D21E8A" w:rsidRPr="00E97A38">
        <w:rPr>
          <w:rFonts w:ascii="Times New Roman" w:hAnsi="Times New Roman" w:cs="Times New Roman"/>
        </w:rPr>
        <w:t xml:space="preserve">measure of </w:t>
      </w:r>
      <w:r w:rsidR="00BC0A3F" w:rsidRPr="00E97A38">
        <w:rPr>
          <w:rFonts w:ascii="Times New Roman" w:hAnsi="Times New Roman" w:cs="Times New Roman"/>
        </w:rPr>
        <w:t>comorbid</w:t>
      </w:r>
      <w:r w:rsidR="00D21E8A" w:rsidRPr="00E97A38">
        <w:rPr>
          <w:rFonts w:ascii="Times New Roman" w:hAnsi="Times New Roman" w:cs="Times New Roman"/>
        </w:rPr>
        <w:t>ity burden and provides a means of quantifying the prognostic impact of 22 comorbid conditions on the basis of their number and their individual impact by means of a score that was</w:t>
      </w:r>
      <w:r w:rsidR="00F8540C" w:rsidRPr="00E97A38">
        <w:rPr>
          <w:rFonts w:ascii="Times New Roman" w:hAnsi="Times New Roman" w:cs="Times New Roman"/>
        </w:rPr>
        <w:t xml:space="preserve"> </w:t>
      </w:r>
      <w:r w:rsidR="00D21E8A" w:rsidRPr="00E97A38">
        <w:rPr>
          <w:rFonts w:ascii="Times New Roman" w:hAnsi="Times New Roman" w:cs="Times New Roman"/>
        </w:rPr>
        <w:t>developed as a prognostic indicator for patients with a variety of medical conditions</w:t>
      </w:r>
      <w:r w:rsidR="00C42E14" w:rsidRPr="00E97A38">
        <w:rPr>
          <w:rFonts w:ascii="Times New Roman" w:hAnsi="Times New Roman" w:cs="Times New Roman"/>
        </w:rPr>
        <w:t>.</w:t>
      </w:r>
      <w:r w:rsidR="00E43D2C">
        <w:rPr>
          <w:rFonts w:ascii="Times New Roman" w:hAnsi="Times New Roman" w:cs="Times New Roman"/>
          <w:vertAlign w:val="superscript"/>
        </w:rPr>
        <w:t>3,5</w:t>
      </w:r>
      <w:r w:rsidR="00C42E14" w:rsidRPr="00E97A38">
        <w:rPr>
          <w:rFonts w:ascii="Times New Roman" w:hAnsi="Times New Roman" w:cs="Times New Roman"/>
        </w:rPr>
        <w:t xml:space="preserve"> </w:t>
      </w:r>
      <w:r w:rsidR="00A5323B" w:rsidRPr="00E97A38">
        <w:rPr>
          <w:rFonts w:ascii="Times New Roman" w:hAnsi="Times New Roman" w:cs="Times New Roman"/>
        </w:rPr>
        <w:t>Whilst previous reports have</w:t>
      </w:r>
      <w:r w:rsidR="00634B3E" w:rsidRPr="00E97A38">
        <w:rPr>
          <w:rFonts w:ascii="Times New Roman" w:hAnsi="Times New Roman" w:cs="Times New Roman"/>
        </w:rPr>
        <w:t xml:space="preserve"> </w:t>
      </w:r>
      <w:r w:rsidR="00A5323B" w:rsidRPr="00E97A38">
        <w:rPr>
          <w:rFonts w:ascii="Times New Roman" w:hAnsi="Times New Roman" w:cs="Times New Roman"/>
        </w:rPr>
        <w:t xml:space="preserve">studied comorbid burden in </w:t>
      </w:r>
      <w:r w:rsidR="00A966FA" w:rsidRPr="00E97A38">
        <w:rPr>
          <w:rFonts w:ascii="Times New Roman" w:hAnsi="Times New Roman" w:cs="Times New Roman"/>
        </w:rPr>
        <w:t xml:space="preserve">highly selected </w:t>
      </w:r>
      <w:r w:rsidR="00A5323B" w:rsidRPr="00E97A38">
        <w:rPr>
          <w:rFonts w:ascii="Times New Roman" w:hAnsi="Times New Roman" w:cs="Times New Roman"/>
        </w:rPr>
        <w:t xml:space="preserve">small </w:t>
      </w:r>
      <w:r w:rsidR="00634B3E" w:rsidRPr="00E97A38">
        <w:rPr>
          <w:rFonts w:ascii="Times New Roman" w:hAnsi="Times New Roman" w:cs="Times New Roman"/>
        </w:rPr>
        <w:t xml:space="preserve">single centre or </w:t>
      </w:r>
      <w:r w:rsidR="00A5323B" w:rsidRPr="00E97A38">
        <w:rPr>
          <w:rFonts w:ascii="Times New Roman" w:hAnsi="Times New Roman" w:cs="Times New Roman"/>
        </w:rPr>
        <w:t xml:space="preserve">registry studies, </w:t>
      </w:r>
      <w:r w:rsidR="00AF7555" w:rsidRPr="00E97A38">
        <w:rPr>
          <w:rFonts w:ascii="Times New Roman" w:hAnsi="Times New Roman" w:cs="Times New Roman"/>
        </w:rPr>
        <w:t xml:space="preserve">there have been no previous reports of </w:t>
      </w:r>
      <w:r w:rsidR="00EC378F" w:rsidRPr="00E97A38">
        <w:rPr>
          <w:rFonts w:ascii="Times New Roman" w:hAnsi="Times New Roman" w:cs="Times New Roman"/>
        </w:rPr>
        <w:t>n</w:t>
      </w:r>
      <w:r w:rsidR="00F968AC" w:rsidRPr="00E97A38">
        <w:rPr>
          <w:rFonts w:ascii="Times New Roman" w:hAnsi="Times New Roman" w:cs="Times New Roman"/>
        </w:rPr>
        <w:t xml:space="preserve">either </w:t>
      </w:r>
      <w:r w:rsidR="00AF7555" w:rsidRPr="00E97A38">
        <w:rPr>
          <w:rFonts w:ascii="Times New Roman" w:hAnsi="Times New Roman" w:cs="Times New Roman"/>
        </w:rPr>
        <w:t>the prevalence</w:t>
      </w:r>
      <w:r w:rsidR="005B23DC" w:rsidRPr="00E97A38">
        <w:rPr>
          <w:rFonts w:ascii="Times New Roman" w:hAnsi="Times New Roman" w:cs="Times New Roman"/>
        </w:rPr>
        <w:t xml:space="preserve">, </w:t>
      </w:r>
      <w:r w:rsidR="00AF7555" w:rsidRPr="00E97A38">
        <w:rPr>
          <w:rFonts w:ascii="Times New Roman" w:hAnsi="Times New Roman" w:cs="Times New Roman"/>
        </w:rPr>
        <w:t>nature</w:t>
      </w:r>
      <w:r w:rsidR="005B23DC" w:rsidRPr="00E97A38">
        <w:rPr>
          <w:rFonts w:ascii="Times New Roman" w:hAnsi="Times New Roman" w:cs="Times New Roman"/>
        </w:rPr>
        <w:t xml:space="preserve">, clinical outcomes </w:t>
      </w:r>
      <w:r w:rsidR="00EC378F" w:rsidRPr="00E97A38">
        <w:rPr>
          <w:rFonts w:ascii="Times New Roman" w:hAnsi="Times New Roman" w:cs="Times New Roman"/>
        </w:rPr>
        <w:t>n</w:t>
      </w:r>
      <w:r w:rsidR="005B23DC" w:rsidRPr="00E97A38">
        <w:rPr>
          <w:rFonts w:ascii="Times New Roman" w:hAnsi="Times New Roman" w:cs="Times New Roman"/>
        </w:rPr>
        <w:t xml:space="preserve">or healthcare costs associated with </w:t>
      </w:r>
      <w:r w:rsidR="00AF7555" w:rsidRPr="00E97A38">
        <w:rPr>
          <w:rFonts w:ascii="Times New Roman" w:hAnsi="Times New Roman" w:cs="Times New Roman"/>
        </w:rPr>
        <w:t xml:space="preserve">comorbid disease in patients undergoing PCI </w:t>
      </w:r>
      <w:r w:rsidR="00A5323B" w:rsidRPr="00E97A38">
        <w:rPr>
          <w:rFonts w:ascii="Times New Roman" w:hAnsi="Times New Roman" w:cs="Times New Roman"/>
        </w:rPr>
        <w:t>from a</w:t>
      </w:r>
      <w:r w:rsidR="002119F1" w:rsidRPr="00E97A38">
        <w:rPr>
          <w:rFonts w:ascii="Times New Roman" w:hAnsi="Times New Roman" w:cs="Times New Roman"/>
        </w:rPr>
        <w:t xml:space="preserve"> </w:t>
      </w:r>
      <w:r w:rsidR="00A5323B" w:rsidRPr="00E97A38">
        <w:rPr>
          <w:rFonts w:ascii="Times New Roman" w:hAnsi="Times New Roman" w:cs="Times New Roman"/>
        </w:rPr>
        <w:t>nation</w:t>
      </w:r>
      <w:r w:rsidR="00F46B4E" w:rsidRPr="00E97A38">
        <w:rPr>
          <w:rFonts w:ascii="Times New Roman" w:hAnsi="Times New Roman" w:cs="Times New Roman"/>
        </w:rPr>
        <w:t>a</w:t>
      </w:r>
      <w:r w:rsidR="00A5323B" w:rsidRPr="00E97A38">
        <w:rPr>
          <w:rFonts w:ascii="Times New Roman" w:hAnsi="Times New Roman" w:cs="Times New Roman"/>
        </w:rPr>
        <w:t>l perspective</w:t>
      </w:r>
      <w:r w:rsidR="00AF7555" w:rsidRPr="00E97A38">
        <w:rPr>
          <w:rFonts w:ascii="Times New Roman" w:hAnsi="Times New Roman" w:cs="Times New Roman"/>
        </w:rPr>
        <w:t xml:space="preserve">, </w:t>
      </w:r>
      <w:r w:rsidR="00F968AC" w:rsidRPr="00E97A38">
        <w:rPr>
          <w:rFonts w:ascii="Times New Roman" w:hAnsi="Times New Roman" w:cs="Times New Roman"/>
        </w:rPr>
        <w:t>n</w:t>
      </w:r>
      <w:r w:rsidR="00AF7555" w:rsidRPr="00E97A38">
        <w:rPr>
          <w:rFonts w:ascii="Times New Roman" w:hAnsi="Times New Roman" w:cs="Times New Roman"/>
        </w:rPr>
        <w:t xml:space="preserve">or how comorbid burden has changed </w:t>
      </w:r>
      <w:r w:rsidR="005B23DC" w:rsidRPr="00E97A38">
        <w:rPr>
          <w:rFonts w:ascii="Times New Roman" w:hAnsi="Times New Roman" w:cs="Times New Roman"/>
        </w:rPr>
        <w:t>over time</w:t>
      </w:r>
      <w:r w:rsidR="00A966FA" w:rsidRPr="00E97A38">
        <w:rPr>
          <w:rFonts w:ascii="Times New Roman" w:hAnsi="Times New Roman" w:cs="Times New Roman"/>
        </w:rPr>
        <w:t xml:space="preserve"> in this population</w:t>
      </w:r>
      <w:r w:rsidR="005B23DC" w:rsidRPr="00E97A38">
        <w:rPr>
          <w:rFonts w:ascii="Times New Roman" w:hAnsi="Times New Roman" w:cs="Times New Roman"/>
        </w:rPr>
        <w:t>.</w:t>
      </w:r>
      <w:r w:rsidR="00DE1C19" w:rsidRPr="00E97A38">
        <w:rPr>
          <w:rFonts w:ascii="Times New Roman" w:hAnsi="Times New Roman" w:cs="Times New Roman"/>
        </w:rPr>
        <w:t xml:space="preserve"> </w:t>
      </w:r>
      <w:r w:rsidR="007B0311" w:rsidRPr="00E97A38">
        <w:rPr>
          <w:rFonts w:ascii="Times New Roman" w:hAnsi="Times New Roman" w:cs="Times New Roman"/>
        </w:rPr>
        <w:t>Therefore, we aimed to</w:t>
      </w:r>
      <w:r w:rsidR="00C12E93" w:rsidRPr="00E97A38">
        <w:rPr>
          <w:rFonts w:ascii="Times New Roman" w:hAnsi="Times New Roman" w:cs="Times New Roman"/>
        </w:rPr>
        <w:t xml:space="preserve"> study </w:t>
      </w:r>
      <w:r w:rsidR="00F968AC" w:rsidRPr="00E97A38">
        <w:rPr>
          <w:rFonts w:ascii="Times New Roman" w:hAnsi="Times New Roman" w:cs="Times New Roman"/>
        </w:rPr>
        <w:t xml:space="preserve">the prevalence, type and temporal trends of </w:t>
      </w:r>
      <w:r w:rsidR="00BC0A3F" w:rsidRPr="00E97A38">
        <w:rPr>
          <w:rFonts w:ascii="Times New Roman" w:hAnsi="Times New Roman" w:cs="Times New Roman"/>
        </w:rPr>
        <w:t>comorbid</w:t>
      </w:r>
      <w:r w:rsidR="00F968AC" w:rsidRPr="00E97A38">
        <w:rPr>
          <w:rFonts w:ascii="Times New Roman" w:hAnsi="Times New Roman" w:cs="Times New Roman"/>
        </w:rPr>
        <w:t xml:space="preserve"> conditions </w:t>
      </w:r>
      <w:r w:rsidR="004D51D3" w:rsidRPr="00E97A38">
        <w:rPr>
          <w:rFonts w:ascii="Times New Roman" w:hAnsi="Times New Roman" w:cs="Times New Roman"/>
        </w:rPr>
        <w:t xml:space="preserve">(defined by </w:t>
      </w:r>
      <w:r w:rsidR="00F968AC" w:rsidRPr="00E97A38">
        <w:rPr>
          <w:rFonts w:ascii="Times New Roman" w:hAnsi="Times New Roman" w:cs="Times New Roman"/>
        </w:rPr>
        <w:t>CCI</w:t>
      </w:r>
      <w:r w:rsidR="004D51D3" w:rsidRPr="00E97A38">
        <w:rPr>
          <w:rFonts w:ascii="Times New Roman" w:hAnsi="Times New Roman" w:cs="Times New Roman"/>
        </w:rPr>
        <w:t>)</w:t>
      </w:r>
      <w:r w:rsidR="00F968AC" w:rsidRPr="00E97A38">
        <w:rPr>
          <w:rFonts w:ascii="Times New Roman" w:hAnsi="Times New Roman" w:cs="Times New Roman"/>
        </w:rPr>
        <w:t xml:space="preserve"> and their </w:t>
      </w:r>
      <w:r w:rsidR="007B0311" w:rsidRPr="00E97A38">
        <w:rPr>
          <w:rFonts w:ascii="Times New Roman" w:hAnsi="Times New Roman" w:cs="Times New Roman"/>
        </w:rPr>
        <w:t xml:space="preserve">impact on </w:t>
      </w:r>
      <w:r w:rsidR="00F968AC" w:rsidRPr="00E97A38">
        <w:rPr>
          <w:rFonts w:ascii="Times New Roman" w:hAnsi="Times New Roman" w:cs="Times New Roman"/>
        </w:rPr>
        <w:t xml:space="preserve">clinical </w:t>
      </w:r>
      <w:r w:rsidR="00DE1C19" w:rsidRPr="00E97A38">
        <w:rPr>
          <w:rFonts w:ascii="Times New Roman" w:hAnsi="Times New Roman" w:cs="Times New Roman"/>
        </w:rPr>
        <w:t>outcomes</w:t>
      </w:r>
      <w:r w:rsidR="00F968AC" w:rsidRPr="00E97A38">
        <w:rPr>
          <w:rFonts w:ascii="Times New Roman" w:hAnsi="Times New Roman" w:cs="Times New Roman"/>
        </w:rPr>
        <w:t xml:space="preserve"> </w:t>
      </w:r>
      <w:r w:rsidR="00DE1C19" w:rsidRPr="00E97A38">
        <w:rPr>
          <w:rFonts w:ascii="Times New Roman" w:hAnsi="Times New Roman" w:cs="Times New Roman"/>
        </w:rPr>
        <w:t xml:space="preserve">and healthcare costs </w:t>
      </w:r>
      <w:r w:rsidR="00B02B82" w:rsidRPr="00E97A38">
        <w:rPr>
          <w:rFonts w:ascii="Times New Roman" w:hAnsi="Times New Roman" w:cs="Times New Roman"/>
        </w:rPr>
        <w:t>through analysis of over 6 million PCI procedures</w:t>
      </w:r>
      <w:r w:rsidR="00DE1C19" w:rsidRPr="00E97A38">
        <w:rPr>
          <w:rFonts w:ascii="Times New Roman" w:hAnsi="Times New Roman" w:cs="Times New Roman"/>
        </w:rPr>
        <w:t xml:space="preserve"> </w:t>
      </w:r>
      <w:r w:rsidR="00B02B82" w:rsidRPr="00E97A38">
        <w:rPr>
          <w:rFonts w:ascii="Times New Roman" w:hAnsi="Times New Roman" w:cs="Times New Roman"/>
        </w:rPr>
        <w:t xml:space="preserve">undertaken </w:t>
      </w:r>
      <w:r w:rsidR="007252C6" w:rsidRPr="00E97A38">
        <w:rPr>
          <w:rFonts w:ascii="Times New Roman" w:hAnsi="Times New Roman" w:cs="Times New Roman"/>
        </w:rPr>
        <w:t xml:space="preserve">over a decade </w:t>
      </w:r>
      <w:r w:rsidR="00FF0F30" w:rsidRPr="00E97A38">
        <w:rPr>
          <w:rFonts w:ascii="Times New Roman" w:hAnsi="Times New Roman" w:cs="Times New Roman"/>
        </w:rPr>
        <w:t>in the United States</w:t>
      </w:r>
      <w:r w:rsidR="00DE1C19" w:rsidRPr="00E97A38">
        <w:rPr>
          <w:rFonts w:ascii="Times New Roman" w:hAnsi="Times New Roman" w:cs="Times New Roman"/>
        </w:rPr>
        <w:t>.</w:t>
      </w:r>
    </w:p>
    <w:p w14:paraId="385DB072" w14:textId="5BA4EE28" w:rsidR="008A581E" w:rsidRPr="00E97A38" w:rsidRDefault="008A581E" w:rsidP="00A675E3">
      <w:pPr>
        <w:spacing w:after="0" w:line="360" w:lineRule="auto"/>
        <w:jc w:val="both"/>
        <w:rPr>
          <w:rFonts w:ascii="Times New Roman" w:hAnsi="Times New Roman" w:cs="Times New Roman"/>
        </w:rPr>
      </w:pPr>
      <w:r w:rsidRPr="00E97A38">
        <w:rPr>
          <w:rFonts w:ascii="Times New Roman" w:hAnsi="Times New Roman" w:cs="Times New Roman"/>
          <w:b/>
        </w:rPr>
        <w:t>Methods</w:t>
      </w:r>
    </w:p>
    <w:p w14:paraId="22B8F4BF" w14:textId="509FE3F8" w:rsidR="008A581E" w:rsidRPr="00E97A38" w:rsidRDefault="008A581E" w:rsidP="00B05470">
      <w:pPr>
        <w:spacing w:after="0" w:line="360" w:lineRule="auto"/>
        <w:ind w:firstLine="720"/>
        <w:jc w:val="both"/>
        <w:rPr>
          <w:rFonts w:ascii="Times New Roman" w:hAnsi="Times New Roman" w:cs="Times New Roman"/>
        </w:rPr>
      </w:pPr>
      <w:r w:rsidRPr="00E97A38">
        <w:rPr>
          <w:rFonts w:ascii="Times New Roman" w:hAnsi="Times New Roman" w:cs="Times New Roman"/>
        </w:rPr>
        <w:t>The data comes from the National Inpatient Sample (NIS) for hospital discharges in the United States between 2004 and 2014. The NIS is the largest all – payer inpatient health care database in the United States and was developed by the Healthcare Cost and Utilization Project (HCUP)</w:t>
      </w:r>
      <w:r w:rsidR="00D13194" w:rsidRPr="00E97A38">
        <w:rPr>
          <w:rFonts w:ascii="Times New Roman" w:hAnsi="Times New Roman" w:cs="Times New Roman"/>
        </w:rPr>
        <w:t>,</w:t>
      </w:r>
      <w:r w:rsidRPr="00E97A38">
        <w:rPr>
          <w:rFonts w:ascii="Times New Roman" w:hAnsi="Times New Roman" w:cs="Times New Roman"/>
        </w:rPr>
        <w:t xml:space="preserve"> which is sponsored by the Agency for Healthcare Research and Quality (AHRQ). The NIS dataset contains within hospital information on between 7 and 8 million hospital discharges per year</w:t>
      </w:r>
      <w:r w:rsidR="0063321E" w:rsidRPr="00E97A38">
        <w:rPr>
          <w:rFonts w:ascii="Times New Roman" w:hAnsi="Times New Roman" w:cs="Times New Roman"/>
        </w:rPr>
        <w:t xml:space="preserve"> from 2004 onwards</w:t>
      </w:r>
      <w:r w:rsidRPr="00E97A38">
        <w:rPr>
          <w:rFonts w:ascii="Times New Roman" w:hAnsi="Times New Roman" w:cs="Times New Roman"/>
        </w:rPr>
        <w:t xml:space="preserve">. The sampling strategy has changed over time in order to produce more </w:t>
      </w:r>
      <w:r w:rsidR="00FF0F30" w:rsidRPr="00E97A38">
        <w:rPr>
          <w:rFonts w:ascii="Times New Roman" w:hAnsi="Times New Roman" w:cs="Times New Roman"/>
        </w:rPr>
        <w:t xml:space="preserve">generalizable </w:t>
      </w:r>
      <w:r w:rsidRPr="00E97A38">
        <w:rPr>
          <w:rFonts w:ascii="Times New Roman" w:hAnsi="Times New Roman" w:cs="Times New Roman"/>
        </w:rPr>
        <w:t xml:space="preserve">estimates by reducing sampling </w:t>
      </w:r>
      <w:r w:rsidR="00FF0F30" w:rsidRPr="00E97A38">
        <w:rPr>
          <w:rFonts w:ascii="Times New Roman" w:hAnsi="Times New Roman" w:cs="Times New Roman"/>
        </w:rPr>
        <w:t>bias</w:t>
      </w:r>
      <w:r w:rsidRPr="00E97A38">
        <w:rPr>
          <w:rFonts w:ascii="Times New Roman" w:hAnsi="Times New Roman" w:cs="Times New Roman"/>
        </w:rPr>
        <w:t>.  Before 2012 the NIS retained all discharges</w:t>
      </w:r>
      <w:r w:rsidR="00C8756F" w:rsidRPr="00E97A38">
        <w:rPr>
          <w:rFonts w:ascii="Times New Roman" w:hAnsi="Times New Roman" w:cs="Times New Roman"/>
        </w:rPr>
        <w:t>, but</w:t>
      </w:r>
      <w:r w:rsidRPr="00E97A38">
        <w:rPr>
          <w:rFonts w:ascii="Times New Roman" w:hAnsi="Times New Roman" w:cs="Times New Roman"/>
        </w:rPr>
        <w:t xml:space="preserve"> </w:t>
      </w:r>
      <w:r w:rsidR="00C8756F" w:rsidRPr="00E97A38">
        <w:rPr>
          <w:rFonts w:ascii="Times New Roman" w:hAnsi="Times New Roman" w:cs="Times New Roman"/>
        </w:rPr>
        <w:t xml:space="preserve">only </w:t>
      </w:r>
      <w:r w:rsidRPr="00E97A38">
        <w:rPr>
          <w:rFonts w:ascii="Times New Roman" w:hAnsi="Times New Roman" w:cs="Times New Roman"/>
        </w:rPr>
        <w:t>from a sample of hospitals</w:t>
      </w:r>
      <w:r w:rsidR="00C8756F" w:rsidRPr="00E97A38">
        <w:rPr>
          <w:rFonts w:ascii="Times New Roman" w:hAnsi="Times New Roman" w:cs="Times New Roman"/>
        </w:rPr>
        <w:t>. S</w:t>
      </w:r>
      <w:r w:rsidRPr="00E97A38">
        <w:rPr>
          <w:rFonts w:ascii="Times New Roman" w:hAnsi="Times New Roman" w:cs="Times New Roman"/>
        </w:rPr>
        <w:t xml:space="preserve">ince the redesign the NIS now samples discharges from all hospitals participating in HUCP, approximating a 20% stratified sample of all discharges from US community hospitals. </w:t>
      </w:r>
    </w:p>
    <w:p w14:paraId="76E64BE2" w14:textId="7890E90E" w:rsidR="008A581E" w:rsidRPr="00E97A38" w:rsidRDefault="008A581E" w:rsidP="00B05470">
      <w:pPr>
        <w:spacing w:after="0" w:line="360" w:lineRule="auto"/>
        <w:ind w:firstLine="720"/>
        <w:jc w:val="both"/>
        <w:rPr>
          <w:rFonts w:ascii="Times New Roman" w:hAnsi="Times New Roman" w:cs="Times New Roman"/>
        </w:rPr>
      </w:pPr>
      <w:r w:rsidRPr="00E97A38">
        <w:rPr>
          <w:rFonts w:ascii="Times New Roman" w:hAnsi="Times New Roman" w:cs="Times New Roman"/>
        </w:rPr>
        <w:t xml:space="preserve">We identified all individuals who had undergone a PCI </w:t>
      </w:r>
      <w:r w:rsidR="004F504E" w:rsidRPr="00E97A38">
        <w:rPr>
          <w:rFonts w:ascii="Times New Roman" w:hAnsi="Times New Roman" w:cs="Times New Roman"/>
        </w:rPr>
        <w:t xml:space="preserve">between </w:t>
      </w:r>
      <w:r w:rsidR="000D5B22" w:rsidRPr="00E97A38">
        <w:rPr>
          <w:rFonts w:ascii="Times New Roman" w:hAnsi="Times New Roman" w:cs="Times New Roman"/>
        </w:rPr>
        <w:t>Jan</w:t>
      </w:r>
      <w:r w:rsidR="00900BE2" w:rsidRPr="00E97A38">
        <w:rPr>
          <w:rFonts w:ascii="Times New Roman" w:hAnsi="Times New Roman" w:cs="Times New Roman"/>
        </w:rPr>
        <w:t>uary</w:t>
      </w:r>
      <w:r w:rsidR="000D5B22" w:rsidRPr="00E97A38">
        <w:rPr>
          <w:rFonts w:ascii="Times New Roman" w:hAnsi="Times New Roman" w:cs="Times New Roman"/>
        </w:rPr>
        <w:t xml:space="preserve"> </w:t>
      </w:r>
      <w:r w:rsidR="004F504E" w:rsidRPr="00E97A38">
        <w:rPr>
          <w:rFonts w:ascii="Times New Roman" w:hAnsi="Times New Roman" w:cs="Times New Roman"/>
        </w:rPr>
        <w:t>200</w:t>
      </w:r>
      <w:r w:rsidR="00E812CB" w:rsidRPr="00E97A38">
        <w:rPr>
          <w:rFonts w:ascii="Times New Roman" w:hAnsi="Times New Roman" w:cs="Times New Roman"/>
        </w:rPr>
        <w:t>4</w:t>
      </w:r>
      <w:r w:rsidR="004F504E" w:rsidRPr="00E97A38">
        <w:rPr>
          <w:rFonts w:ascii="Times New Roman" w:hAnsi="Times New Roman" w:cs="Times New Roman"/>
        </w:rPr>
        <w:t xml:space="preserve"> and </w:t>
      </w:r>
      <w:r w:rsidR="000D5B22" w:rsidRPr="00E97A38">
        <w:rPr>
          <w:rFonts w:ascii="Times New Roman" w:hAnsi="Times New Roman" w:cs="Times New Roman"/>
        </w:rPr>
        <w:t>Dec</w:t>
      </w:r>
      <w:r w:rsidR="00900BE2" w:rsidRPr="00E97A38">
        <w:rPr>
          <w:rFonts w:ascii="Times New Roman" w:hAnsi="Times New Roman" w:cs="Times New Roman"/>
        </w:rPr>
        <w:t>ember</w:t>
      </w:r>
      <w:r w:rsidR="000D5B22" w:rsidRPr="00E97A38">
        <w:rPr>
          <w:rFonts w:ascii="Times New Roman" w:hAnsi="Times New Roman" w:cs="Times New Roman"/>
        </w:rPr>
        <w:t xml:space="preserve"> </w:t>
      </w:r>
      <w:r w:rsidR="004F504E" w:rsidRPr="00E97A38">
        <w:rPr>
          <w:rFonts w:ascii="Times New Roman" w:hAnsi="Times New Roman" w:cs="Times New Roman"/>
        </w:rPr>
        <w:t xml:space="preserve">2014 </w:t>
      </w:r>
      <w:r w:rsidRPr="00E97A38">
        <w:rPr>
          <w:rFonts w:ascii="Times New Roman" w:hAnsi="Times New Roman" w:cs="Times New Roman"/>
        </w:rPr>
        <w:t>by identifying all eligible discharges with an International Classification of Diseases, Ninth Revision, Clinical Modification</w:t>
      </w:r>
      <w:r w:rsidR="008557DB" w:rsidRPr="00E97A38">
        <w:rPr>
          <w:rFonts w:ascii="Times New Roman" w:hAnsi="Times New Roman" w:cs="Times New Roman"/>
        </w:rPr>
        <w:t xml:space="preserve"> (ICD-9-CM)</w:t>
      </w:r>
      <w:r w:rsidRPr="00E97A38">
        <w:rPr>
          <w:rFonts w:ascii="Times New Roman" w:hAnsi="Times New Roman" w:cs="Times New Roman"/>
        </w:rPr>
        <w:t xml:space="preserve"> procedure code of 00.66 </w:t>
      </w:r>
      <w:r w:rsidR="004F504E" w:rsidRPr="00E97A38">
        <w:rPr>
          <w:rFonts w:ascii="Times New Roman" w:hAnsi="Times New Roman" w:cs="Times New Roman"/>
        </w:rPr>
        <w:t>(</w:t>
      </w:r>
      <w:r w:rsidRPr="00E97A38">
        <w:rPr>
          <w:rFonts w:ascii="Times New Roman" w:hAnsi="Times New Roman" w:cs="Times New Roman"/>
          <w:bCs/>
          <w:i/>
        </w:rPr>
        <w:t>Percutaneous Transluminal Coronary Angioplasty</w:t>
      </w:r>
      <w:r w:rsidR="002E649D" w:rsidRPr="00E97A38">
        <w:rPr>
          <w:rFonts w:ascii="Times New Roman" w:hAnsi="Times New Roman" w:cs="Times New Roman"/>
          <w:bCs/>
          <w:i/>
        </w:rPr>
        <w:t>)</w:t>
      </w:r>
      <w:r w:rsidRPr="00E97A38">
        <w:rPr>
          <w:rFonts w:ascii="Times New Roman" w:hAnsi="Times New Roman" w:cs="Times New Roman"/>
          <w:bCs/>
          <w:i/>
        </w:rPr>
        <w:t>,</w:t>
      </w:r>
      <w:r w:rsidRPr="00E97A38">
        <w:rPr>
          <w:rStyle w:val="apple-converted-space"/>
          <w:rFonts w:ascii="Times New Roman" w:hAnsi="Times New Roman" w:cs="Times New Roman"/>
          <w:b/>
          <w:bCs/>
        </w:rPr>
        <w:t> </w:t>
      </w:r>
      <w:r w:rsidRPr="00E97A38">
        <w:rPr>
          <w:rFonts w:ascii="Times New Roman" w:hAnsi="Times New Roman" w:cs="Times New Roman"/>
        </w:rPr>
        <w:t xml:space="preserve">36.06 </w:t>
      </w:r>
      <w:r w:rsidR="002E649D" w:rsidRPr="00E97A38">
        <w:rPr>
          <w:rFonts w:ascii="Times New Roman" w:hAnsi="Times New Roman" w:cs="Times New Roman"/>
        </w:rPr>
        <w:t>(</w:t>
      </w:r>
      <w:r w:rsidRPr="00E97A38">
        <w:rPr>
          <w:rFonts w:ascii="Times New Roman" w:hAnsi="Times New Roman" w:cs="Times New Roman"/>
          <w:i/>
          <w:color w:val="000000"/>
          <w:shd w:val="clear" w:color="auto" w:fill="FFFFFF"/>
        </w:rPr>
        <w:t>Insertion of non-drug-eluting coronary artery stent(s)</w:t>
      </w:r>
      <w:r w:rsidR="004F504E" w:rsidRPr="00E97A38">
        <w:rPr>
          <w:rFonts w:ascii="Times New Roman" w:hAnsi="Times New Roman" w:cs="Times New Roman"/>
          <w:i/>
          <w:color w:val="000000"/>
          <w:shd w:val="clear" w:color="auto" w:fill="FFFFFF"/>
        </w:rPr>
        <w:t>)</w:t>
      </w:r>
      <w:r w:rsidRPr="00E97A38">
        <w:rPr>
          <w:rFonts w:ascii="Times New Roman" w:hAnsi="Times New Roman" w:cs="Times New Roman"/>
          <w:i/>
          <w:color w:val="000000"/>
          <w:shd w:val="clear" w:color="auto" w:fill="FFFFFF"/>
        </w:rPr>
        <w:t xml:space="preserve"> </w:t>
      </w:r>
      <w:r w:rsidRPr="00E97A38">
        <w:rPr>
          <w:rFonts w:ascii="Times New Roman" w:hAnsi="Times New Roman" w:cs="Times New Roman"/>
          <w:color w:val="000000"/>
          <w:shd w:val="clear" w:color="auto" w:fill="FFFFFF"/>
        </w:rPr>
        <w:t>or</w:t>
      </w:r>
      <w:r w:rsidRPr="00E97A38">
        <w:rPr>
          <w:rFonts w:ascii="Times New Roman" w:hAnsi="Times New Roman" w:cs="Times New Roman"/>
        </w:rPr>
        <w:t xml:space="preserve"> 36.07 </w:t>
      </w:r>
      <w:r w:rsidR="004F504E" w:rsidRPr="00E97A38">
        <w:rPr>
          <w:rFonts w:ascii="Times New Roman" w:hAnsi="Times New Roman" w:cs="Times New Roman"/>
        </w:rPr>
        <w:t>(</w:t>
      </w:r>
      <w:r w:rsidRPr="00E97A38">
        <w:rPr>
          <w:rFonts w:ascii="Times New Roman" w:hAnsi="Times New Roman" w:cs="Times New Roman"/>
          <w:i/>
          <w:color w:val="000000"/>
          <w:shd w:val="clear" w:color="auto" w:fill="FFFFFF"/>
        </w:rPr>
        <w:t>Insertion of a drug-eluting coronary artery stent(s)</w:t>
      </w:r>
      <w:r w:rsidR="004F504E" w:rsidRPr="00E97A38">
        <w:rPr>
          <w:rFonts w:ascii="Times New Roman" w:hAnsi="Times New Roman" w:cs="Times New Roman"/>
          <w:i/>
          <w:color w:val="000000"/>
          <w:shd w:val="clear" w:color="auto" w:fill="FFFFFF"/>
        </w:rPr>
        <w:t>)</w:t>
      </w:r>
      <w:r w:rsidRPr="00E97A38">
        <w:rPr>
          <w:rFonts w:ascii="Times New Roman" w:hAnsi="Times New Roman" w:cs="Times New Roman"/>
          <w:color w:val="000000"/>
          <w:shd w:val="clear" w:color="auto" w:fill="FFFFFF"/>
        </w:rPr>
        <w:t xml:space="preserve">. Before a revision of the codes in 2005 the codes </w:t>
      </w:r>
      <w:r w:rsidRPr="00E97A38">
        <w:rPr>
          <w:rFonts w:ascii="Times New Roman" w:hAnsi="Times New Roman" w:cs="Times New Roman"/>
        </w:rPr>
        <w:t xml:space="preserve">36.01 </w:t>
      </w:r>
      <w:r w:rsidR="0069757B" w:rsidRPr="00E97A38">
        <w:rPr>
          <w:rFonts w:ascii="Times New Roman" w:hAnsi="Times New Roman" w:cs="Times New Roman"/>
        </w:rPr>
        <w:t>(</w:t>
      </w:r>
      <w:r w:rsidRPr="00E97A38">
        <w:rPr>
          <w:rFonts w:ascii="Times New Roman" w:hAnsi="Times New Roman" w:cs="Times New Roman"/>
          <w:i/>
        </w:rPr>
        <w:t xml:space="preserve">Single vessel percutaneous transluminal coronary angioplasty or coronary </w:t>
      </w:r>
      <w:proofErr w:type="spellStart"/>
      <w:r w:rsidRPr="00E97A38">
        <w:rPr>
          <w:rFonts w:ascii="Times New Roman" w:hAnsi="Times New Roman" w:cs="Times New Roman"/>
          <w:i/>
        </w:rPr>
        <w:t>atherectomy</w:t>
      </w:r>
      <w:proofErr w:type="spellEnd"/>
      <w:r w:rsidRPr="00E97A38">
        <w:rPr>
          <w:rFonts w:ascii="Times New Roman" w:hAnsi="Times New Roman" w:cs="Times New Roman"/>
          <w:i/>
        </w:rPr>
        <w:t xml:space="preserve"> without mention of thrombolytic agent</w:t>
      </w:r>
      <w:r w:rsidR="0069757B" w:rsidRPr="00E97A38">
        <w:rPr>
          <w:rFonts w:ascii="Times New Roman" w:hAnsi="Times New Roman" w:cs="Times New Roman"/>
          <w:i/>
        </w:rPr>
        <w:t>)</w:t>
      </w:r>
      <w:r w:rsidRPr="00E97A38">
        <w:rPr>
          <w:rFonts w:ascii="Times New Roman" w:hAnsi="Times New Roman" w:cs="Times New Roman"/>
          <w:i/>
        </w:rPr>
        <w:t>,</w:t>
      </w:r>
      <w:r w:rsidRPr="00E97A38">
        <w:rPr>
          <w:rFonts w:ascii="Times New Roman" w:hAnsi="Times New Roman" w:cs="Times New Roman"/>
        </w:rPr>
        <w:t xml:space="preserve"> 36.02 </w:t>
      </w:r>
      <w:r w:rsidR="0069757B" w:rsidRPr="00E97A38">
        <w:rPr>
          <w:rFonts w:ascii="Times New Roman" w:hAnsi="Times New Roman" w:cs="Times New Roman"/>
        </w:rPr>
        <w:t>(</w:t>
      </w:r>
      <w:r w:rsidRPr="00E97A38">
        <w:rPr>
          <w:rFonts w:ascii="Times New Roman" w:hAnsi="Times New Roman" w:cs="Times New Roman"/>
          <w:i/>
        </w:rPr>
        <w:t xml:space="preserve">Single vessel percutaneous transluminal coronary angioplasty or coronary </w:t>
      </w:r>
      <w:proofErr w:type="spellStart"/>
      <w:r w:rsidRPr="00E97A38">
        <w:rPr>
          <w:rFonts w:ascii="Times New Roman" w:hAnsi="Times New Roman" w:cs="Times New Roman"/>
          <w:i/>
        </w:rPr>
        <w:t>atherectomy</w:t>
      </w:r>
      <w:proofErr w:type="spellEnd"/>
      <w:r w:rsidRPr="00E97A38">
        <w:rPr>
          <w:rFonts w:ascii="Times New Roman" w:hAnsi="Times New Roman" w:cs="Times New Roman"/>
          <w:i/>
        </w:rPr>
        <w:t xml:space="preserve"> with mention of thrombolytic agent</w:t>
      </w:r>
      <w:r w:rsidR="0069757B" w:rsidRPr="00E97A38">
        <w:rPr>
          <w:rFonts w:ascii="Times New Roman" w:hAnsi="Times New Roman" w:cs="Times New Roman"/>
          <w:i/>
        </w:rPr>
        <w:t>)</w:t>
      </w:r>
      <w:r w:rsidRPr="00E97A38">
        <w:rPr>
          <w:rFonts w:ascii="Times New Roman" w:hAnsi="Times New Roman" w:cs="Times New Roman"/>
          <w:i/>
        </w:rPr>
        <w:t xml:space="preserve"> </w:t>
      </w:r>
      <w:r w:rsidRPr="00E97A38">
        <w:rPr>
          <w:rFonts w:ascii="Times New Roman" w:hAnsi="Times New Roman" w:cs="Times New Roman"/>
        </w:rPr>
        <w:t>and 36</w:t>
      </w:r>
      <w:r w:rsidR="00E70224" w:rsidRPr="00E97A38">
        <w:rPr>
          <w:rFonts w:ascii="Times New Roman" w:hAnsi="Times New Roman" w:cs="Times New Roman"/>
        </w:rPr>
        <w:t>.</w:t>
      </w:r>
      <w:r w:rsidRPr="00E97A38">
        <w:rPr>
          <w:rFonts w:ascii="Times New Roman" w:hAnsi="Times New Roman" w:cs="Times New Roman"/>
        </w:rPr>
        <w:t xml:space="preserve">05 </w:t>
      </w:r>
      <w:r w:rsidR="0069757B" w:rsidRPr="00E97A38">
        <w:rPr>
          <w:rFonts w:ascii="Times New Roman" w:hAnsi="Times New Roman" w:cs="Times New Roman"/>
        </w:rPr>
        <w:t>(</w:t>
      </w:r>
      <w:r w:rsidRPr="00E97A38">
        <w:rPr>
          <w:rFonts w:ascii="Times New Roman" w:hAnsi="Times New Roman" w:cs="Times New Roman"/>
          <w:i/>
        </w:rPr>
        <w:t xml:space="preserve">Multiple vessel percutaneous transluminal coronary angioplasty [PTCA] or coronary </w:t>
      </w:r>
      <w:proofErr w:type="spellStart"/>
      <w:r w:rsidRPr="00E97A38">
        <w:rPr>
          <w:rFonts w:ascii="Times New Roman" w:hAnsi="Times New Roman" w:cs="Times New Roman"/>
          <w:i/>
        </w:rPr>
        <w:t>atherectomy</w:t>
      </w:r>
      <w:proofErr w:type="spellEnd"/>
      <w:r w:rsidRPr="00E97A38">
        <w:rPr>
          <w:rFonts w:ascii="Times New Roman" w:hAnsi="Times New Roman" w:cs="Times New Roman"/>
          <w:i/>
        </w:rPr>
        <w:t xml:space="preserve"> performed during the same operation, with or without mention of thrombolytic agent</w:t>
      </w:r>
      <w:r w:rsidR="0069757B" w:rsidRPr="00E97A38">
        <w:rPr>
          <w:rFonts w:ascii="Times New Roman" w:hAnsi="Times New Roman" w:cs="Times New Roman"/>
          <w:i/>
        </w:rPr>
        <w:t>)</w:t>
      </w:r>
      <w:r w:rsidRPr="00E97A38">
        <w:rPr>
          <w:rFonts w:ascii="Times New Roman" w:hAnsi="Times New Roman" w:cs="Times New Roman"/>
          <w:i/>
        </w:rPr>
        <w:t xml:space="preserve"> </w:t>
      </w:r>
      <w:r w:rsidRPr="00E97A38">
        <w:rPr>
          <w:rFonts w:ascii="Times New Roman" w:hAnsi="Times New Roman" w:cs="Times New Roman"/>
        </w:rPr>
        <w:t xml:space="preserve">were also used and so these codes were also included when identifying procedures in discharges from 2004 and 2005. </w:t>
      </w:r>
    </w:p>
    <w:p w14:paraId="7BFA27A4" w14:textId="5C5E3ED0" w:rsidR="00763E2D" w:rsidRPr="00E97A38" w:rsidRDefault="008A581E" w:rsidP="00A675E3">
      <w:pPr>
        <w:autoSpaceDE w:val="0"/>
        <w:autoSpaceDN w:val="0"/>
        <w:adjustRightInd w:val="0"/>
        <w:spacing w:after="0" w:line="360" w:lineRule="auto"/>
        <w:ind w:firstLine="720"/>
        <w:jc w:val="both"/>
        <w:rPr>
          <w:rFonts w:ascii="Times New Roman" w:hAnsi="Times New Roman" w:cs="Times New Roman"/>
        </w:rPr>
      </w:pPr>
      <w:r w:rsidRPr="00E97A38">
        <w:rPr>
          <w:rFonts w:ascii="Times New Roman" w:hAnsi="Times New Roman" w:cs="Times New Roman"/>
        </w:rPr>
        <w:lastRenderedPageBreak/>
        <w:t xml:space="preserve">All </w:t>
      </w:r>
      <w:r w:rsidR="008C2016" w:rsidRPr="00E97A38">
        <w:rPr>
          <w:rFonts w:ascii="Times New Roman" w:hAnsi="Times New Roman" w:cs="Times New Roman"/>
        </w:rPr>
        <w:t>records</w:t>
      </w:r>
      <w:r w:rsidR="00A53659" w:rsidRPr="00E97A38">
        <w:rPr>
          <w:rFonts w:ascii="Times New Roman" w:hAnsi="Times New Roman" w:cs="Times New Roman"/>
        </w:rPr>
        <w:t xml:space="preserve"> </w:t>
      </w:r>
      <w:r w:rsidRPr="00E97A38">
        <w:rPr>
          <w:rFonts w:ascii="Times New Roman" w:hAnsi="Times New Roman" w:cs="Times New Roman"/>
        </w:rPr>
        <w:t>were eligible for inclusion as long as the discharge record showed that the patient had undergone a PCI procedure during their hospital stay</w:t>
      </w:r>
      <w:r w:rsidR="008C2016" w:rsidRPr="00E97A38">
        <w:rPr>
          <w:rFonts w:ascii="Times New Roman" w:hAnsi="Times New Roman" w:cs="Times New Roman"/>
        </w:rPr>
        <w:t xml:space="preserve"> and was over the age of 18</w:t>
      </w:r>
      <w:r w:rsidRPr="00E97A38">
        <w:rPr>
          <w:rFonts w:ascii="Times New Roman" w:hAnsi="Times New Roman" w:cs="Times New Roman"/>
        </w:rPr>
        <w:t xml:space="preserve">. Information of patient demographics is recorded for each hospital discharge including data regarding age, gender, race, admission type (elective or emergent), admission day (weekday or weekend), median household income according to ZIP code and patient </w:t>
      </w:r>
      <w:r w:rsidR="00BC0A3F" w:rsidRPr="00E97A38">
        <w:rPr>
          <w:rFonts w:ascii="Times New Roman" w:hAnsi="Times New Roman" w:cs="Times New Roman"/>
        </w:rPr>
        <w:t>comorbid</w:t>
      </w:r>
      <w:r w:rsidRPr="00E97A38">
        <w:rPr>
          <w:rFonts w:ascii="Times New Roman" w:hAnsi="Times New Roman" w:cs="Times New Roman"/>
        </w:rPr>
        <w:t xml:space="preserve">ity conditions using </w:t>
      </w:r>
      <w:proofErr w:type="spellStart"/>
      <w:r w:rsidRPr="00E97A38">
        <w:rPr>
          <w:rFonts w:ascii="Times New Roman" w:hAnsi="Times New Roman" w:cs="Times New Roman"/>
        </w:rPr>
        <w:t>Deyo</w:t>
      </w:r>
      <w:proofErr w:type="spellEnd"/>
      <w:r w:rsidRPr="00E97A38">
        <w:rPr>
          <w:rFonts w:ascii="Times New Roman" w:hAnsi="Times New Roman" w:cs="Times New Roman"/>
        </w:rPr>
        <w:t xml:space="preserve"> modification of </w:t>
      </w:r>
      <w:r w:rsidR="00D81CB4" w:rsidRPr="00E97A38">
        <w:rPr>
          <w:rFonts w:ascii="Times New Roman" w:hAnsi="Times New Roman" w:cs="Times New Roman"/>
        </w:rPr>
        <w:t>the CCI</w:t>
      </w:r>
      <w:r w:rsidRPr="00E97A38">
        <w:rPr>
          <w:rFonts w:ascii="Times New Roman" w:hAnsi="Times New Roman" w:cs="Times New Roman"/>
        </w:rPr>
        <w:t>.</w:t>
      </w:r>
      <w:r w:rsidR="00763E2D" w:rsidRPr="00E97A38">
        <w:rPr>
          <w:rFonts w:ascii="Times New Roman" w:hAnsi="Times New Roman" w:cs="Times New Roman"/>
        </w:rPr>
        <w:t xml:space="preserve"> The comorbidities defined by Charlson et al</w:t>
      </w:r>
      <w:r w:rsidR="00E43D2C">
        <w:rPr>
          <w:rFonts w:ascii="Times New Roman" w:hAnsi="Times New Roman" w:cs="Times New Roman"/>
          <w:vertAlign w:val="superscript"/>
        </w:rPr>
        <w:t>5</w:t>
      </w:r>
      <w:r w:rsidR="00763E2D" w:rsidRPr="00E97A38">
        <w:rPr>
          <w:rFonts w:ascii="Times New Roman" w:hAnsi="Times New Roman" w:cs="Times New Roman"/>
        </w:rPr>
        <w:t xml:space="preserve"> use a point system with each weighted by a value depending on the prognostic impact of </w:t>
      </w:r>
      <w:r w:rsidR="00BC0A3F" w:rsidRPr="00E97A38">
        <w:rPr>
          <w:rFonts w:ascii="Times New Roman" w:hAnsi="Times New Roman" w:cs="Times New Roman"/>
        </w:rPr>
        <w:t>comorbid</w:t>
      </w:r>
      <w:r w:rsidR="00763E2D" w:rsidRPr="00E97A38">
        <w:rPr>
          <w:rFonts w:ascii="Times New Roman" w:hAnsi="Times New Roman" w:cs="Times New Roman"/>
        </w:rPr>
        <w:t xml:space="preserve"> condition</w:t>
      </w:r>
      <w:r w:rsidR="00F3642F" w:rsidRPr="00E97A38">
        <w:rPr>
          <w:rFonts w:ascii="Times New Roman" w:hAnsi="Times New Roman" w:cs="Times New Roman"/>
        </w:rPr>
        <w:t xml:space="preserve"> on mortality in the original cohort,</w:t>
      </w:r>
      <w:r w:rsidR="00763E2D" w:rsidRPr="00E97A38">
        <w:rPr>
          <w:rFonts w:ascii="Times New Roman" w:hAnsi="Times New Roman" w:cs="Times New Roman"/>
        </w:rPr>
        <w:t xml:space="preserve"> ranging from 1 to 6 points (Supplementary Table 1). The scores are summated to calculate a CCI</w:t>
      </w:r>
      <w:r w:rsidR="004D51D3" w:rsidRPr="00E97A38">
        <w:rPr>
          <w:rFonts w:ascii="Times New Roman" w:hAnsi="Times New Roman" w:cs="Times New Roman"/>
        </w:rPr>
        <w:t xml:space="preserve">, with a range of possible scores 0, 1, 2, ≥3, </w:t>
      </w:r>
      <w:r w:rsidR="0093588E" w:rsidRPr="00E97A38">
        <w:rPr>
          <w:rFonts w:ascii="Times New Roman" w:hAnsi="Times New Roman" w:cs="Times New Roman"/>
        </w:rPr>
        <w:t>that correspond to no, mild, moderate and severe comorbid burden respectively</w:t>
      </w:r>
      <w:r w:rsidR="00763E2D" w:rsidRPr="00E97A38">
        <w:rPr>
          <w:rFonts w:ascii="Times New Roman" w:hAnsi="Times New Roman" w:cs="Times New Roman"/>
        </w:rPr>
        <w:t>.</w:t>
      </w:r>
    </w:p>
    <w:p w14:paraId="2A0219FA" w14:textId="6912A1F7" w:rsidR="008A581E" w:rsidRPr="00E97A38" w:rsidRDefault="00AF2131" w:rsidP="00A675E3">
      <w:pPr>
        <w:autoSpaceDE w:val="0"/>
        <w:autoSpaceDN w:val="0"/>
        <w:adjustRightInd w:val="0"/>
        <w:spacing w:after="0" w:line="360" w:lineRule="auto"/>
        <w:jc w:val="both"/>
        <w:rPr>
          <w:rFonts w:ascii="Times New Roman" w:hAnsi="Times New Roman" w:cs="Times New Roman"/>
        </w:rPr>
      </w:pPr>
      <w:r w:rsidRPr="00E97A38">
        <w:rPr>
          <w:rFonts w:ascii="Times New Roman" w:hAnsi="Times New Roman" w:cs="Times New Roman"/>
        </w:rPr>
        <w:tab/>
      </w:r>
      <w:r w:rsidR="008A581E" w:rsidRPr="00E97A38">
        <w:rPr>
          <w:rFonts w:ascii="Times New Roman" w:hAnsi="Times New Roman" w:cs="Times New Roman"/>
        </w:rPr>
        <w:t xml:space="preserve">The </w:t>
      </w:r>
      <w:r w:rsidR="004B6FEB" w:rsidRPr="00E97A38">
        <w:rPr>
          <w:rFonts w:ascii="Times New Roman" w:hAnsi="Times New Roman" w:cs="Times New Roman"/>
        </w:rPr>
        <w:t xml:space="preserve">ICD-9-CM </w:t>
      </w:r>
      <w:r w:rsidR="008A581E" w:rsidRPr="00E97A38">
        <w:rPr>
          <w:rFonts w:ascii="Times New Roman" w:hAnsi="Times New Roman" w:cs="Times New Roman"/>
        </w:rPr>
        <w:t>codes used to identify each of the conditions</w:t>
      </w:r>
      <w:r w:rsidR="00DB6567" w:rsidRPr="00E97A38">
        <w:rPr>
          <w:rFonts w:ascii="Times New Roman" w:hAnsi="Times New Roman" w:cs="Times New Roman"/>
        </w:rPr>
        <w:t xml:space="preserve"> included in the CCI</w:t>
      </w:r>
      <w:r w:rsidR="008A581E" w:rsidRPr="00E97A38">
        <w:rPr>
          <w:rFonts w:ascii="Times New Roman" w:hAnsi="Times New Roman" w:cs="Times New Roman"/>
        </w:rPr>
        <w:t xml:space="preserve"> are given in supplementary </w:t>
      </w:r>
      <w:r w:rsidR="00292FAD" w:rsidRPr="00E97A38">
        <w:rPr>
          <w:rFonts w:ascii="Times New Roman" w:hAnsi="Times New Roman" w:cs="Times New Roman"/>
        </w:rPr>
        <w:t>T</w:t>
      </w:r>
      <w:r w:rsidR="008A581E" w:rsidRPr="00E97A38">
        <w:rPr>
          <w:rFonts w:ascii="Times New Roman" w:hAnsi="Times New Roman" w:cs="Times New Roman"/>
        </w:rPr>
        <w:t>able 1.</w:t>
      </w:r>
      <w:r w:rsidR="00E43D2C">
        <w:rPr>
          <w:rFonts w:ascii="Times New Roman" w:hAnsi="Times New Roman" w:cs="Times New Roman"/>
          <w:vertAlign w:val="superscript"/>
        </w:rPr>
        <w:t>9</w:t>
      </w:r>
      <w:r w:rsidR="00147E4E">
        <w:rPr>
          <w:rFonts w:ascii="Times New Roman" w:hAnsi="Times New Roman" w:cs="Times New Roman"/>
        </w:rPr>
        <w:t xml:space="preserve"> </w:t>
      </w:r>
      <w:r w:rsidR="008A581E" w:rsidRPr="00E97A38">
        <w:rPr>
          <w:rFonts w:ascii="Times New Roman" w:hAnsi="Times New Roman" w:cs="Times New Roman"/>
        </w:rPr>
        <w:t>Each discharge record had information on up to 30 diagnoses that the patient had been given (15 between 2004 a</w:t>
      </w:r>
      <w:r w:rsidR="00057D5E" w:rsidRPr="00E97A38">
        <w:rPr>
          <w:rFonts w:ascii="Times New Roman" w:hAnsi="Times New Roman" w:cs="Times New Roman"/>
        </w:rPr>
        <w:t>nd 2008, 25 between 2009 and 20</w:t>
      </w:r>
      <w:r w:rsidR="008A581E" w:rsidRPr="00E97A38">
        <w:rPr>
          <w:rFonts w:ascii="Times New Roman" w:hAnsi="Times New Roman" w:cs="Times New Roman"/>
        </w:rPr>
        <w:t xml:space="preserve">13 and 30 in 2014), and it was these diagnosis codes that were used to identify each of the comorbidity conditions present in the record in order to calculate the </w:t>
      </w:r>
      <w:r w:rsidR="00485F52" w:rsidRPr="00E97A38">
        <w:rPr>
          <w:rFonts w:ascii="Times New Roman" w:hAnsi="Times New Roman" w:cs="Times New Roman"/>
        </w:rPr>
        <w:t>CCI</w:t>
      </w:r>
      <w:r w:rsidR="008A581E" w:rsidRPr="00E97A38">
        <w:rPr>
          <w:rFonts w:ascii="Times New Roman" w:hAnsi="Times New Roman" w:cs="Times New Roman"/>
        </w:rPr>
        <w:t xml:space="preserve"> </w:t>
      </w:r>
      <w:r w:rsidR="00485F52" w:rsidRPr="00E97A38">
        <w:rPr>
          <w:rFonts w:ascii="Times New Roman" w:hAnsi="Times New Roman" w:cs="Times New Roman"/>
        </w:rPr>
        <w:t xml:space="preserve">at the time of </w:t>
      </w:r>
      <w:r w:rsidR="008A581E" w:rsidRPr="00E97A38">
        <w:rPr>
          <w:rFonts w:ascii="Times New Roman" w:hAnsi="Times New Roman" w:cs="Times New Roman"/>
        </w:rPr>
        <w:t>hospitalisation. These codes were also used to identify whether the patient had a primary diagnosis of an acute myocardial infarction and also whether the individual had been diagnosed with cardiogenic shock.</w:t>
      </w:r>
    </w:p>
    <w:p w14:paraId="2DAB43DE" w14:textId="1745D4FF" w:rsidR="008A581E" w:rsidRPr="00E97A38" w:rsidRDefault="008A581E" w:rsidP="00A675E3">
      <w:pPr>
        <w:autoSpaceDE w:val="0"/>
        <w:autoSpaceDN w:val="0"/>
        <w:adjustRightInd w:val="0"/>
        <w:spacing w:after="0" w:line="360" w:lineRule="auto"/>
        <w:ind w:firstLine="720"/>
        <w:jc w:val="both"/>
        <w:rPr>
          <w:rFonts w:ascii="Times New Roman" w:hAnsi="Times New Roman" w:cs="Times New Roman"/>
        </w:rPr>
      </w:pPr>
      <w:r w:rsidRPr="00E97A38">
        <w:rPr>
          <w:rFonts w:ascii="Times New Roman" w:hAnsi="Times New Roman" w:cs="Times New Roman"/>
        </w:rPr>
        <w:t>Finally</w:t>
      </w:r>
      <w:r w:rsidR="00861CAF" w:rsidRPr="00E97A38">
        <w:rPr>
          <w:rFonts w:ascii="Times New Roman" w:hAnsi="Times New Roman" w:cs="Times New Roman"/>
        </w:rPr>
        <w:t>,</w:t>
      </w:r>
      <w:r w:rsidRPr="00E97A38">
        <w:rPr>
          <w:rFonts w:ascii="Times New Roman" w:hAnsi="Times New Roman" w:cs="Times New Roman"/>
        </w:rPr>
        <w:t xml:space="preserve"> information about the PCI procedure was determined from the procedure codes, including whether the PCI was a multi</w:t>
      </w:r>
      <w:r w:rsidR="002E649D" w:rsidRPr="00E97A38">
        <w:rPr>
          <w:rFonts w:ascii="Times New Roman" w:hAnsi="Times New Roman" w:cs="Times New Roman"/>
        </w:rPr>
        <w:t xml:space="preserve"> </w:t>
      </w:r>
      <w:r w:rsidRPr="00E97A38">
        <w:rPr>
          <w:rFonts w:ascii="Times New Roman" w:hAnsi="Times New Roman" w:cs="Times New Roman"/>
        </w:rPr>
        <w:t>vessel</w:t>
      </w:r>
      <w:r w:rsidR="004D51D3" w:rsidRPr="00E97A38">
        <w:rPr>
          <w:rFonts w:ascii="Times New Roman" w:hAnsi="Times New Roman" w:cs="Times New Roman"/>
        </w:rPr>
        <w:t>,</w:t>
      </w:r>
      <w:r w:rsidRPr="00E97A38">
        <w:rPr>
          <w:rFonts w:ascii="Times New Roman" w:hAnsi="Times New Roman" w:cs="Times New Roman"/>
        </w:rPr>
        <w:t xml:space="preserve"> single vessel</w:t>
      </w:r>
      <w:r w:rsidR="004D51D3" w:rsidRPr="00E97A38">
        <w:rPr>
          <w:rFonts w:ascii="Times New Roman" w:hAnsi="Times New Roman" w:cs="Times New Roman"/>
        </w:rPr>
        <w:t xml:space="preserve"> and whether it involved bifurcation stenting</w:t>
      </w:r>
      <w:r w:rsidRPr="00E97A38">
        <w:rPr>
          <w:rFonts w:ascii="Times New Roman" w:hAnsi="Times New Roman" w:cs="Times New Roman"/>
        </w:rPr>
        <w:t xml:space="preserve">. The use of </w:t>
      </w:r>
      <w:r w:rsidR="004D51D3" w:rsidRPr="00E97A38">
        <w:rPr>
          <w:rFonts w:ascii="Times New Roman" w:hAnsi="Times New Roman" w:cs="Times New Roman"/>
        </w:rPr>
        <w:t xml:space="preserve">adjunctive devices including intracoronary pressure wire, intravascular ultrasound and </w:t>
      </w:r>
      <w:r w:rsidR="00D81CB4" w:rsidRPr="00E97A38">
        <w:rPr>
          <w:rFonts w:ascii="Times New Roman" w:hAnsi="Times New Roman" w:cs="Times New Roman"/>
        </w:rPr>
        <w:t>an assist device</w:t>
      </w:r>
      <w:r w:rsidRPr="00E97A38">
        <w:rPr>
          <w:rFonts w:ascii="Times New Roman" w:hAnsi="Times New Roman" w:cs="Times New Roman"/>
        </w:rPr>
        <w:t xml:space="preserve"> </w:t>
      </w:r>
      <w:r w:rsidR="004D51D3" w:rsidRPr="00E97A38">
        <w:rPr>
          <w:rFonts w:ascii="Times New Roman" w:hAnsi="Times New Roman" w:cs="Times New Roman"/>
        </w:rPr>
        <w:t xml:space="preserve">(such as an intra-aortic balloon pump) </w:t>
      </w:r>
      <w:r w:rsidRPr="00E97A38">
        <w:rPr>
          <w:rFonts w:ascii="Times New Roman" w:hAnsi="Times New Roman" w:cs="Times New Roman"/>
        </w:rPr>
        <w:t xml:space="preserve">were also recorded. </w:t>
      </w:r>
      <w:r w:rsidR="001949F1" w:rsidRPr="00E97A38">
        <w:rPr>
          <w:rFonts w:ascii="Times New Roman" w:hAnsi="Times New Roman" w:cs="Times New Roman"/>
        </w:rPr>
        <w:t>Where available from the procedure codes we also included the stent type deployed (bare metal, drug-eluting)</w:t>
      </w:r>
      <w:r w:rsidRPr="00E97A38">
        <w:rPr>
          <w:rFonts w:ascii="Times New Roman" w:hAnsi="Times New Roman" w:cs="Times New Roman"/>
        </w:rPr>
        <w:t xml:space="preserve">.  </w:t>
      </w:r>
    </w:p>
    <w:p w14:paraId="29D74F6D" w14:textId="513BCF7C" w:rsidR="00886305" w:rsidRPr="00E97A38" w:rsidRDefault="008A581E" w:rsidP="00B05470">
      <w:pPr>
        <w:spacing w:after="0" w:line="360" w:lineRule="auto"/>
        <w:ind w:firstLine="720"/>
        <w:jc w:val="both"/>
        <w:rPr>
          <w:rFonts w:ascii="Times New Roman" w:hAnsi="Times New Roman" w:cs="Times New Roman"/>
          <w:highlight w:val="yellow"/>
        </w:rPr>
      </w:pPr>
      <w:r w:rsidRPr="00E97A38">
        <w:rPr>
          <w:rFonts w:ascii="Times New Roman" w:hAnsi="Times New Roman" w:cs="Times New Roman"/>
        </w:rPr>
        <w:t>In</w:t>
      </w:r>
      <w:r w:rsidR="007A74D5" w:rsidRPr="00E97A38">
        <w:rPr>
          <w:rFonts w:ascii="Times New Roman" w:hAnsi="Times New Roman" w:cs="Times New Roman"/>
        </w:rPr>
        <w:t>-</w:t>
      </w:r>
      <w:r w:rsidRPr="00E97A38">
        <w:rPr>
          <w:rFonts w:ascii="Times New Roman" w:hAnsi="Times New Roman" w:cs="Times New Roman"/>
        </w:rPr>
        <w:t xml:space="preserve">hospital </w:t>
      </w:r>
      <w:r w:rsidR="002119F1" w:rsidRPr="00E97A38">
        <w:rPr>
          <w:rFonts w:ascii="Times New Roman" w:hAnsi="Times New Roman" w:cs="Times New Roman"/>
        </w:rPr>
        <w:t xml:space="preserve">clinical </w:t>
      </w:r>
      <w:r w:rsidRPr="00E97A38">
        <w:rPr>
          <w:rFonts w:ascii="Times New Roman" w:hAnsi="Times New Roman" w:cs="Times New Roman"/>
        </w:rPr>
        <w:t>outcomes and complications were identified. The main outcomes chose</w:t>
      </w:r>
      <w:r w:rsidR="001949F1" w:rsidRPr="00E97A38">
        <w:rPr>
          <w:rFonts w:ascii="Times New Roman" w:hAnsi="Times New Roman" w:cs="Times New Roman"/>
        </w:rPr>
        <w:t>n</w:t>
      </w:r>
      <w:r w:rsidRPr="00E97A38">
        <w:rPr>
          <w:rFonts w:ascii="Times New Roman" w:hAnsi="Times New Roman" w:cs="Times New Roman"/>
        </w:rPr>
        <w:t xml:space="preserve"> included</w:t>
      </w:r>
      <w:r w:rsidR="001949F1" w:rsidRPr="00E97A38">
        <w:rPr>
          <w:rFonts w:ascii="Times New Roman" w:hAnsi="Times New Roman" w:cs="Times New Roman"/>
        </w:rPr>
        <w:t>: (a)</w:t>
      </w:r>
      <w:r w:rsidRPr="00E97A38">
        <w:rPr>
          <w:rFonts w:ascii="Times New Roman" w:hAnsi="Times New Roman" w:cs="Times New Roman"/>
        </w:rPr>
        <w:t xml:space="preserve"> in-hospital mortality, </w:t>
      </w:r>
      <w:r w:rsidR="001949F1" w:rsidRPr="00E97A38">
        <w:rPr>
          <w:rFonts w:ascii="Times New Roman" w:hAnsi="Times New Roman" w:cs="Times New Roman"/>
        </w:rPr>
        <w:t xml:space="preserve">(b) </w:t>
      </w:r>
      <w:r w:rsidR="003E10DF" w:rsidRPr="00E97A38">
        <w:rPr>
          <w:rFonts w:ascii="Times New Roman" w:hAnsi="Times New Roman" w:cs="Times New Roman"/>
        </w:rPr>
        <w:t xml:space="preserve">and in-hospital complication or (c) </w:t>
      </w:r>
      <w:r w:rsidR="001F1366" w:rsidRPr="00E97A38">
        <w:rPr>
          <w:rFonts w:ascii="Times New Roman" w:hAnsi="Times New Roman" w:cs="Times New Roman"/>
        </w:rPr>
        <w:t xml:space="preserve">a composite of any of the in-hospital complications considered. The length of stay and the total charge of hospitalisation were also considered. </w:t>
      </w:r>
      <w:r w:rsidR="00886305" w:rsidRPr="00E97A38">
        <w:rPr>
          <w:rFonts w:ascii="Times New Roman" w:hAnsi="Times New Roman" w:cs="Times New Roman"/>
        </w:rPr>
        <w:t>The total charge given in the dataset represents the amount that hospital billed for the services, but is not representative of the hospital services actually cost. Therefore</w:t>
      </w:r>
      <w:r w:rsidR="00E43D2C">
        <w:rPr>
          <w:rFonts w:ascii="Times New Roman" w:hAnsi="Times New Roman" w:cs="Times New Roman"/>
        </w:rPr>
        <w:t>,</w:t>
      </w:r>
      <w:r w:rsidR="00886305" w:rsidRPr="00E97A38">
        <w:rPr>
          <w:rFonts w:ascii="Times New Roman" w:hAnsi="Times New Roman" w:cs="Times New Roman"/>
        </w:rPr>
        <w:t xml:space="preserve"> a charge to cost conversion ratio was used in order to covert the reported charges into the actual cost for the payer. </w:t>
      </w:r>
    </w:p>
    <w:p w14:paraId="08CBF475" w14:textId="24579C18" w:rsidR="008A581E" w:rsidRPr="00E97A38" w:rsidRDefault="00E55F2E" w:rsidP="00B05470">
      <w:pPr>
        <w:spacing w:after="0" w:line="360" w:lineRule="auto"/>
        <w:ind w:firstLine="720"/>
        <w:jc w:val="both"/>
        <w:rPr>
          <w:rFonts w:ascii="Times New Roman" w:hAnsi="Times New Roman" w:cs="Times New Roman"/>
        </w:rPr>
      </w:pPr>
      <w:r w:rsidRPr="00E97A38">
        <w:rPr>
          <w:rFonts w:ascii="Times New Roman" w:hAnsi="Times New Roman" w:cs="Times New Roman"/>
        </w:rPr>
        <w:t>P</w:t>
      </w:r>
      <w:r w:rsidR="008A581E" w:rsidRPr="00E97A38">
        <w:rPr>
          <w:rFonts w:ascii="Times New Roman" w:hAnsi="Times New Roman" w:cs="Times New Roman"/>
        </w:rPr>
        <w:t>rocedural complications were also identified using ICD-9</w:t>
      </w:r>
      <w:r w:rsidR="00704F88" w:rsidRPr="00E97A38">
        <w:rPr>
          <w:rFonts w:ascii="Times New Roman" w:hAnsi="Times New Roman" w:cs="Times New Roman"/>
        </w:rPr>
        <w:t>-CM</w:t>
      </w:r>
      <w:r w:rsidR="008A581E" w:rsidRPr="00E97A38">
        <w:rPr>
          <w:rFonts w:ascii="Times New Roman" w:hAnsi="Times New Roman" w:cs="Times New Roman"/>
        </w:rPr>
        <w:t xml:space="preserve"> codes and patient safety indicators including</w:t>
      </w:r>
      <w:r w:rsidR="00C12967" w:rsidRPr="00E97A38">
        <w:rPr>
          <w:rFonts w:ascii="Times New Roman" w:hAnsi="Times New Roman" w:cs="Times New Roman"/>
        </w:rPr>
        <w:t>:</w:t>
      </w:r>
      <w:r w:rsidR="008A581E" w:rsidRPr="00E97A38">
        <w:rPr>
          <w:rFonts w:ascii="Times New Roman" w:hAnsi="Times New Roman" w:cs="Times New Roman"/>
        </w:rPr>
        <w:t xml:space="preserve"> post-operative haemorrhage requiring transfusion</w:t>
      </w:r>
      <w:r w:rsidR="005E617F" w:rsidRPr="00E97A38">
        <w:rPr>
          <w:rFonts w:ascii="Times New Roman" w:hAnsi="Times New Roman" w:cs="Times New Roman"/>
        </w:rPr>
        <w:t>,</w:t>
      </w:r>
      <w:r w:rsidR="008A581E" w:rsidRPr="00E97A38">
        <w:rPr>
          <w:rFonts w:ascii="Times New Roman" w:hAnsi="Times New Roman" w:cs="Times New Roman"/>
        </w:rPr>
        <w:t xml:space="preserve"> vascular injur</w:t>
      </w:r>
      <w:r w:rsidR="005E617F" w:rsidRPr="00E97A38">
        <w:rPr>
          <w:rFonts w:ascii="Times New Roman" w:hAnsi="Times New Roman" w:cs="Times New Roman"/>
        </w:rPr>
        <w:t>ies</w:t>
      </w:r>
      <w:r w:rsidR="008A581E" w:rsidRPr="00E97A38">
        <w:rPr>
          <w:rFonts w:ascii="Times New Roman" w:hAnsi="Times New Roman" w:cs="Times New Roman"/>
        </w:rPr>
        <w:t xml:space="preserve">, cardiac complications including iatrogenic and pericardial complications, whether an individual required </w:t>
      </w:r>
      <w:r w:rsidR="00C12967" w:rsidRPr="00E97A38">
        <w:rPr>
          <w:rFonts w:ascii="Times New Roman" w:hAnsi="Times New Roman" w:cs="Times New Roman"/>
        </w:rPr>
        <w:t xml:space="preserve">bail out or emergency </w:t>
      </w:r>
      <w:r w:rsidR="008557DB" w:rsidRPr="00E97A38">
        <w:rPr>
          <w:rFonts w:ascii="Times New Roman" w:hAnsi="Times New Roman" w:cs="Times New Roman"/>
        </w:rPr>
        <w:t>coronary artery bypass grafting</w:t>
      </w:r>
      <w:r w:rsidR="00AC262A" w:rsidRPr="00E97A38">
        <w:rPr>
          <w:rFonts w:ascii="Times New Roman" w:hAnsi="Times New Roman" w:cs="Times New Roman"/>
        </w:rPr>
        <w:t xml:space="preserve"> and </w:t>
      </w:r>
      <w:r w:rsidR="008A581E" w:rsidRPr="00E97A38">
        <w:rPr>
          <w:rFonts w:ascii="Times New Roman" w:hAnsi="Times New Roman" w:cs="Times New Roman"/>
        </w:rPr>
        <w:t xml:space="preserve">post-operative stroke or </w:t>
      </w:r>
      <w:r w:rsidR="008557DB" w:rsidRPr="00E97A38">
        <w:rPr>
          <w:rFonts w:ascii="Times New Roman" w:hAnsi="Times New Roman" w:cs="Times New Roman"/>
        </w:rPr>
        <w:t>transient ischaemic attack</w:t>
      </w:r>
      <w:r w:rsidR="008A581E" w:rsidRPr="00E97A38">
        <w:rPr>
          <w:rFonts w:ascii="Times New Roman" w:hAnsi="Times New Roman" w:cs="Times New Roman"/>
        </w:rPr>
        <w:t>. Finally</w:t>
      </w:r>
      <w:r w:rsidR="00C12967" w:rsidRPr="00E97A38">
        <w:rPr>
          <w:rFonts w:ascii="Times New Roman" w:hAnsi="Times New Roman" w:cs="Times New Roman"/>
        </w:rPr>
        <w:t>,</w:t>
      </w:r>
      <w:r w:rsidR="008A581E" w:rsidRPr="00E97A38">
        <w:rPr>
          <w:rFonts w:ascii="Times New Roman" w:hAnsi="Times New Roman" w:cs="Times New Roman"/>
        </w:rPr>
        <w:t xml:space="preserve"> bleeding complications were identified, </w:t>
      </w:r>
      <w:r w:rsidR="00C12967" w:rsidRPr="00E97A38">
        <w:rPr>
          <w:rFonts w:ascii="Times New Roman" w:hAnsi="Times New Roman" w:cs="Times New Roman"/>
        </w:rPr>
        <w:t xml:space="preserve">including </w:t>
      </w:r>
      <w:r w:rsidR="008A581E" w:rsidRPr="00E97A38">
        <w:rPr>
          <w:rFonts w:ascii="Times New Roman" w:hAnsi="Times New Roman" w:cs="Times New Roman"/>
        </w:rPr>
        <w:t>gastrointestinal,</w:t>
      </w:r>
      <w:r w:rsidR="00861DEC" w:rsidRPr="00E97A38">
        <w:rPr>
          <w:rFonts w:ascii="Times New Roman" w:hAnsi="Times New Roman" w:cs="Times New Roman"/>
        </w:rPr>
        <w:t xml:space="preserve"> </w:t>
      </w:r>
      <w:r w:rsidR="008A581E" w:rsidRPr="00E97A38">
        <w:rPr>
          <w:rFonts w:ascii="Times New Roman" w:hAnsi="Times New Roman" w:cs="Times New Roman"/>
        </w:rPr>
        <w:t>retroperitoneal, intracranial, intracerebral haemorrhage</w:t>
      </w:r>
      <w:r w:rsidR="00C12967" w:rsidRPr="00E97A38">
        <w:rPr>
          <w:rFonts w:ascii="Times New Roman" w:hAnsi="Times New Roman" w:cs="Times New Roman"/>
        </w:rPr>
        <w:t>, unspecified haemorrhage</w:t>
      </w:r>
      <w:r w:rsidR="00411654" w:rsidRPr="00E97A38">
        <w:rPr>
          <w:rFonts w:ascii="Times New Roman" w:hAnsi="Times New Roman" w:cs="Times New Roman"/>
        </w:rPr>
        <w:t>,</w:t>
      </w:r>
      <w:r w:rsidR="008A581E" w:rsidRPr="00E97A38">
        <w:rPr>
          <w:rFonts w:ascii="Times New Roman" w:hAnsi="Times New Roman" w:cs="Times New Roman"/>
        </w:rPr>
        <w:t xml:space="preserve"> and whether a blood transfusion was required. Complications were identified by ICD-9-CM codes in any secondary diagnosis field (Supplementary Table 2)</w:t>
      </w:r>
      <w:r w:rsidR="00E43D2C">
        <w:rPr>
          <w:rFonts w:ascii="Times New Roman" w:hAnsi="Times New Roman" w:cs="Times New Roman"/>
        </w:rPr>
        <w:t>.</w:t>
      </w:r>
      <w:r w:rsidR="00E14ED9" w:rsidRPr="00E97A38">
        <w:rPr>
          <w:rFonts w:ascii="Times New Roman" w:hAnsi="Times New Roman" w:cs="Times New Roman"/>
        </w:rPr>
        <w:fldChar w:fldCharType="begin">
          <w:fldData xml:space="preserve">PEVuZE5vdGU+PENpdGU+PEF1dGhvcj5TaW5naDwvQXV0aG9yPjxZZWFyPjIwMTY8L1llYXI+PFJl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</w:fldData>
        </w:fldChar>
      </w:r>
      <w:r w:rsidR="00A53920" w:rsidRPr="00E97A38">
        <w:rPr>
          <w:rFonts w:ascii="Times New Roman" w:hAnsi="Times New Roman" w:cs="Times New Roman"/>
        </w:rPr>
        <w:instrText xml:space="preserve"> ADDIN EN.CITE </w:instrText>
      </w:r>
      <w:r w:rsidR="00E14ED9" w:rsidRPr="00E97A38">
        <w:rPr>
          <w:rFonts w:ascii="Times New Roman" w:hAnsi="Times New Roman" w:cs="Times New Roman"/>
        </w:rPr>
        <w:fldChar w:fldCharType="begin">
          <w:fldData xml:space="preserve">PEVuZE5vdGU+PENpdGU+PEF1dGhvcj5TaW5naDwvQXV0aG9yPjxZZWFyPjIwMTY8L1llYXI+PFJl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</w:fldData>
        </w:fldChar>
      </w:r>
      <w:r w:rsidR="00A53920" w:rsidRPr="00E97A38">
        <w:rPr>
          <w:rFonts w:ascii="Times New Roman" w:hAnsi="Times New Roman" w:cs="Times New Roman"/>
        </w:rPr>
        <w:instrText xml:space="preserve"> ADDIN EN.CITE.DATA </w:instrText>
      </w:r>
      <w:r w:rsidR="00E14ED9" w:rsidRPr="00E97A38">
        <w:rPr>
          <w:rFonts w:ascii="Times New Roman" w:hAnsi="Times New Roman" w:cs="Times New Roman"/>
        </w:rPr>
      </w:r>
      <w:r w:rsidR="00E14ED9" w:rsidRPr="00E97A38">
        <w:rPr>
          <w:rFonts w:ascii="Times New Roman" w:hAnsi="Times New Roman" w:cs="Times New Roman"/>
        </w:rPr>
        <w:fldChar w:fldCharType="end"/>
      </w:r>
      <w:r w:rsidR="00E14ED9" w:rsidRPr="00E97A38">
        <w:rPr>
          <w:rFonts w:ascii="Times New Roman" w:hAnsi="Times New Roman" w:cs="Times New Roman"/>
        </w:rPr>
      </w:r>
      <w:r w:rsidR="00E14ED9" w:rsidRPr="00E97A38">
        <w:rPr>
          <w:rFonts w:ascii="Times New Roman" w:hAnsi="Times New Roman" w:cs="Times New Roman"/>
        </w:rPr>
        <w:fldChar w:fldCharType="separate"/>
      </w:r>
      <w:r w:rsidR="00A53920" w:rsidRPr="00E97A38">
        <w:rPr>
          <w:rFonts w:ascii="Times New Roman" w:hAnsi="Times New Roman" w:cs="Times New Roman"/>
          <w:noProof/>
          <w:vertAlign w:val="superscript"/>
        </w:rPr>
        <w:t>10</w:t>
      </w:r>
      <w:r w:rsidR="00E14ED9" w:rsidRPr="00E97A38">
        <w:rPr>
          <w:rFonts w:ascii="Times New Roman" w:hAnsi="Times New Roman" w:cs="Times New Roman"/>
        </w:rPr>
        <w:fldChar w:fldCharType="end"/>
      </w:r>
    </w:p>
    <w:p w14:paraId="0679A0DA" w14:textId="56D7B3DA" w:rsidR="008D0877" w:rsidRPr="00E97A38" w:rsidRDefault="008C2016" w:rsidP="00B05470">
      <w:pPr>
        <w:spacing w:after="0" w:line="360" w:lineRule="auto"/>
        <w:ind w:firstLine="720"/>
        <w:jc w:val="both"/>
        <w:rPr>
          <w:rFonts w:ascii="Times New Roman" w:hAnsi="Times New Roman" w:cs="Times New Roman"/>
          <w:shd w:val="clear" w:color="auto" w:fill="FFFFFF"/>
        </w:rPr>
      </w:pPr>
      <w:r w:rsidRPr="00E97A38">
        <w:rPr>
          <w:rFonts w:ascii="Times New Roman" w:hAnsi="Times New Roman" w:cs="Times New Roman"/>
        </w:rPr>
        <w:t xml:space="preserve">Statistical analysis was performed on </w:t>
      </w:r>
      <w:r w:rsidR="00861DEC" w:rsidRPr="00E97A38">
        <w:rPr>
          <w:rFonts w:ascii="Times New Roman" w:hAnsi="Times New Roman" w:cs="Times New Roman"/>
        </w:rPr>
        <w:t>Stata</w:t>
      </w:r>
      <w:r w:rsidRPr="00E97A38">
        <w:rPr>
          <w:rFonts w:ascii="Times New Roman" w:hAnsi="Times New Roman" w:cs="Times New Roman"/>
        </w:rPr>
        <w:t xml:space="preserve">/MP version 14.0. </w:t>
      </w:r>
      <w:r w:rsidRPr="00E97A38">
        <w:rPr>
          <w:rFonts w:ascii="Times New Roman" w:hAnsi="Times New Roman" w:cs="Times New Roman"/>
          <w:shd w:val="clear" w:color="auto" w:fill="FFFFFF"/>
        </w:rPr>
        <w:t xml:space="preserve">Descriptive statistics are provided by each of the </w:t>
      </w:r>
      <w:r w:rsidR="00147E4E" w:rsidRPr="00E97A38">
        <w:rPr>
          <w:rFonts w:ascii="Times New Roman" w:hAnsi="Times New Roman" w:cs="Times New Roman"/>
          <w:shd w:val="clear" w:color="auto" w:fill="FFFFFF"/>
        </w:rPr>
        <w:t>12-month</w:t>
      </w:r>
      <w:r w:rsidR="00F64D0A" w:rsidRPr="00E97A38">
        <w:rPr>
          <w:rFonts w:ascii="Times New Roman" w:hAnsi="Times New Roman" w:cs="Times New Roman"/>
          <w:shd w:val="clear" w:color="auto" w:fill="FFFFFF"/>
        </w:rPr>
        <w:t xml:space="preserve"> </w:t>
      </w:r>
      <w:r w:rsidRPr="00E97A38">
        <w:rPr>
          <w:rFonts w:ascii="Times New Roman" w:hAnsi="Times New Roman" w:cs="Times New Roman"/>
          <w:shd w:val="clear" w:color="auto" w:fill="FFFFFF"/>
        </w:rPr>
        <w:t>year</w:t>
      </w:r>
      <w:r w:rsidR="00F64D0A" w:rsidRPr="00E97A38">
        <w:rPr>
          <w:rFonts w:ascii="Times New Roman" w:hAnsi="Times New Roman" w:cs="Times New Roman"/>
          <w:shd w:val="clear" w:color="auto" w:fill="FFFFFF"/>
        </w:rPr>
        <w:t xml:space="preserve">ly data </w:t>
      </w:r>
      <w:r w:rsidRPr="00E97A38">
        <w:rPr>
          <w:rFonts w:ascii="Times New Roman" w:hAnsi="Times New Roman" w:cs="Times New Roman"/>
          <w:shd w:val="clear" w:color="auto" w:fill="FFFFFF"/>
        </w:rPr>
        <w:t xml:space="preserve">included from the NIS. Continuous variables are presented as </w:t>
      </w:r>
      <w:r w:rsidR="009B7CE3" w:rsidRPr="00E97A38">
        <w:rPr>
          <w:rFonts w:ascii="Times New Roman" w:hAnsi="Times New Roman" w:cs="Times New Roman"/>
          <w:shd w:val="clear" w:color="auto" w:fill="FFFFFF"/>
        </w:rPr>
        <w:t>median and interquartile range</w:t>
      </w:r>
      <w:r w:rsidRPr="00E97A38">
        <w:rPr>
          <w:rFonts w:ascii="Times New Roman" w:hAnsi="Times New Roman" w:cs="Times New Roman"/>
          <w:shd w:val="clear" w:color="auto" w:fill="FFFFFF"/>
        </w:rPr>
        <w:t xml:space="preserve">, and categorical data are presented as number and percentage. </w:t>
      </w:r>
      <w:r w:rsidRPr="00E97A38">
        <w:rPr>
          <w:rFonts w:ascii="Times New Roman" w:hAnsi="Times New Roman" w:cs="Times New Roman"/>
          <w:lang w:val="en-US"/>
        </w:rPr>
        <w:t>Multiple imputations with chained equations were used to account for missing data</w:t>
      </w:r>
      <w:r w:rsidR="00475265" w:rsidRPr="00E97A38">
        <w:rPr>
          <w:rFonts w:ascii="Times New Roman" w:hAnsi="Times New Roman" w:cs="Times New Roman"/>
          <w:lang w:val="en-US"/>
        </w:rPr>
        <w:t>, where the covariate had more than 10% missing data</w:t>
      </w:r>
      <w:r w:rsidRPr="00E97A38">
        <w:rPr>
          <w:rFonts w:ascii="Times New Roman" w:hAnsi="Times New Roman" w:cs="Times New Roman"/>
          <w:lang w:val="en-US"/>
        </w:rPr>
        <w:t xml:space="preserve">. </w:t>
      </w:r>
      <w:r w:rsidR="006A1B53" w:rsidRPr="00E97A38">
        <w:rPr>
          <w:rFonts w:ascii="Times New Roman" w:hAnsi="Times New Roman" w:cs="Times New Roman"/>
          <w:lang w:val="en-US"/>
        </w:rPr>
        <w:t xml:space="preserve">Where missing data </w:t>
      </w:r>
      <w:r w:rsidR="006A1B53" w:rsidRPr="00E97A38">
        <w:rPr>
          <w:rFonts w:ascii="Times New Roman" w:hAnsi="Times New Roman" w:cs="Times New Roman"/>
          <w:lang w:val="en-US"/>
        </w:rPr>
        <w:lastRenderedPageBreak/>
        <w:t xml:space="preserve">was less than 10% of the covariate data, the observations with missing data were removed. </w:t>
      </w:r>
      <w:r w:rsidR="00CD782E" w:rsidRPr="00E97A38">
        <w:rPr>
          <w:rFonts w:ascii="Times New Roman" w:hAnsi="Times New Roman" w:cs="Times New Roman"/>
          <w:lang w:val="en-US"/>
        </w:rPr>
        <w:t xml:space="preserve">Data was assumed to be missing at random. </w:t>
      </w:r>
      <w:r w:rsidRPr="00E97A38">
        <w:rPr>
          <w:rFonts w:ascii="Times New Roman" w:hAnsi="Times New Roman" w:cs="Times New Roman"/>
          <w:lang w:val="en-US"/>
        </w:rPr>
        <w:t xml:space="preserve">Using the </w:t>
      </w:r>
      <w:r w:rsidRPr="00E97A38">
        <w:rPr>
          <w:rFonts w:ascii="Times New Roman" w:hAnsi="Times New Roman" w:cs="Times New Roman"/>
          <w:i/>
          <w:lang w:val="en-US"/>
        </w:rPr>
        <w:t>mi impute chained</w:t>
      </w:r>
      <w:r w:rsidRPr="00E97A38">
        <w:rPr>
          <w:rFonts w:ascii="Times New Roman" w:hAnsi="Times New Roman" w:cs="Times New Roman"/>
          <w:lang w:val="en-US"/>
        </w:rPr>
        <w:t xml:space="preserve"> function in </w:t>
      </w:r>
      <w:r w:rsidR="009B7841" w:rsidRPr="00E97A38">
        <w:rPr>
          <w:rFonts w:ascii="Times New Roman" w:hAnsi="Times New Roman" w:cs="Times New Roman"/>
          <w:lang w:val="en-US"/>
        </w:rPr>
        <w:t xml:space="preserve">Stata </w:t>
      </w:r>
      <w:r w:rsidRPr="00E97A38">
        <w:rPr>
          <w:rFonts w:ascii="Times New Roman" w:hAnsi="Times New Roman" w:cs="Times New Roman"/>
          <w:lang w:val="en-US"/>
        </w:rPr>
        <w:t xml:space="preserve">we generated 10 complete datasets with </w:t>
      </w:r>
      <w:r w:rsidR="009B7841" w:rsidRPr="00E97A38">
        <w:rPr>
          <w:rFonts w:ascii="Times New Roman" w:hAnsi="Times New Roman" w:cs="Times New Roman"/>
          <w:lang w:val="en-US"/>
        </w:rPr>
        <w:t>any</w:t>
      </w:r>
      <w:r w:rsidRPr="00E97A38">
        <w:rPr>
          <w:rFonts w:ascii="Times New Roman" w:hAnsi="Times New Roman" w:cs="Times New Roman"/>
          <w:lang w:val="en-US"/>
        </w:rPr>
        <w:t xml:space="preserve"> missing </w:t>
      </w:r>
      <w:r w:rsidR="005D7A97" w:rsidRPr="00E97A38">
        <w:rPr>
          <w:rFonts w:ascii="Times New Roman" w:hAnsi="Times New Roman" w:cs="Times New Roman"/>
          <w:lang w:val="en-US"/>
        </w:rPr>
        <w:t xml:space="preserve">covariate </w:t>
      </w:r>
      <w:r w:rsidRPr="00E97A38">
        <w:rPr>
          <w:rFonts w:ascii="Times New Roman" w:hAnsi="Times New Roman" w:cs="Times New Roman"/>
          <w:lang w:val="en-US"/>
        </w:rPr>
        <w:t>data</w:t>
      </w:r>
      <w:r w:rsidR="009B7841" w:rsidRPr="00E97A38">
        <w:rPr>
          <w:rFonts w:ascii="Times New Roman" w:hAnsi="Times New Roman" w:cs="Times New Roman"/>
          <w:lang w:val="en-US"/>
        </w:rPr>
        <w:t xml:space="preserve"> imputed</w:t>
      </w:r>
      <w:r w:rsidRPr="00E97A38">
        <w:rPr>
          <w:rFonts w:ascii="Times New Roman" w:hAnsi="Times New Roman" w:cs="Times New Roman"/>
          <w:lang w:val="en-US"/>
        </w:rPr>
        <w:t xml:space="preserve">. </w:t>
      </w:r>
      <w:r w:rsidR="00475265" w:rsidRPr="00E97A38">
        <w:rPr>
          <w:rFonts w:ascii="Times New Roman" w:hAnsi="Times New Roman" w:cs="Times New Roman"/>
          <w:lang w:val="en-US"/>
        </w:rPr>
        <w:t>Only ethnicity had more than 10% miss</w:t>
      </w:r>
      <w:r w:rsidR="006A1B53" w:rsidRPr="00E97A38">
        <w:rPr>
          <w:rFonts w:ascii="Times New Roman" w:hAnsi="Times New Roman" w:cs="Times New Roman"/>
          <w:lang w:val="en-US"/>
        </w:rPr>
        <w:t xml:space="preserve">ing data and so was the only covariate imputed. </w:t>
      </w:r>
      <w:r w:rsidRPr="00E97A38">
        <w:rPr>
          <w:rFonts w:ascii="Times New Roman" w:hAnsi="Times New Roman" w:cs="Times New Roman"/>
          <w:lang w:val="en-US"/>
        </w:rPr>
        <w:t>All outcomes were included in the imputation model, but not</w:t>
      </w:r>
      <w:r w:rsidR="005C7927" w:rsidRPr="00E97A38">
        <w:rPr>
          <w:rFonts w:ascii="Times New Roman" w:hAnsi="Times New Roman" w:cs="Times New Roman"/>
          <w:lang w:val="en-US"/>
        </w:rPr>
        <w:t xml:space="preserve"> themselves</w:t>
      </w:r>
      <w:r w:rsidR="00E43D2C">
        <w:rPr>
          <w:rFonts w:ascii="Times New Roman" w:hAnsi="Times New Roman" w:cs="Times New Roman"/>
          <w:lang w:val="en-US"/>
        </w:rPr>
        <w:t xml:space="preserve"> imputed.</w:t>
      </w:r>
      <w:r w:rsidR="0033597A" w:rsidRPr="00E97A38">
        <w:rPr>
          <w:rFonts w:ascii="Times New Roman" w:hAnsi="Times New Roman" w:cs="Times New Roman"/>
          <w:vertAlign w:val="superscript"/>
          <w:lang w:val="en-US"/>
        </w:rPr>
        <w:t>11</w:t>
      </w:r>
      <w:r w:rsidR="0033597A" w:rsidRPr="00E97A38">
        <w:rPr>
          <w:rFonts w:ascii="Times New Roman" w:hAnsi="Times New Roman" w:cs="Times New Roman"/>
          <w:lang w:val="en-US"/>
        </w:rPr>
        <w:t xml:space="preserve"> </w:t>
      </w:r>
      <w:r w:rsidR="005C7927" w:rsidRPr="00E97A38">
        <w:rPr>
          <w:rFonts w:ascii="Times New Roman" w:hAnsi="Times New Roman" w:cs="Times New Roman"/>
          <w:shd w:val="clear" w:color="auto" w:fill="FFFFFF"/>
        </w:rPr>
        <w:t xml:space="preserve">Other </w:t>
      </w:r>
      <w:r w:rsidR="008D0877" w:rsidRPr="00E97A38">
        <w:rPr>
          <w:rFonts w:ascii="Times New Roman" w:hAnsi="Times New Roman" w:cs="Times New Roman"/>
          <w:shd w:val="clear" w:color="auto" w:fill="FFFFFF"/>
        </w:rPr>
        <w:t xml:space="preserve">covariates used for the imputation </w:t>
      </w:r>
      <w:r w:rsidR="005C7927" w:rsidRPr="00E97A38">
        <w:rPr>
          <w:rFonts w:ascii="Times New Roman" w:hAnsi="Times New Roman" w:cs="Times New Roman"/>
          <w:shd w:val="clear" w:color="auto" w:fill="FFFFFF"/>
        </w:rPr>
        <w:t xml:space="preserve">were </w:t>
      </w:r>
      <w:r w:rsidR="008D0877" w:rsidRPr="00E97A38">
        <w:rPr>
          <w:rFonts w:ascii="Times New Roman" w:hAnsi="Times New Roman" w:cs="Times New Roman"/>
          <w:shd w:val="clear" w:color="auto" w:fill="FFFFFF"/>
        </w:rPr>
        <w:t>age, gender, median ZIP income, elective admission and year</w:t>
      </w:r>
      <w:r w:rsidR="00CD782E" w:rsidRPr="00E97A38">
        <w:rPr>
          <w:rFonts w:ascii="Times New Roman" w:hAnsi="Times New Roman" w:cs="Times New Roman"/>
          <w:shd w:val="clear" w:color="auto" w:fill="FFFFFF"/>
        </w:rPr>
        <w:t xml:space="preserve"> of hospitalisation. </w:t>
      </w:r>
      <w:r w:rsidR="0051695A" w:rsidRPr="00E97A38">
        <w:rPr>
          <w:rFonts w:ascii="Times New Roman" w:hAnsi="Times New Roman" w:cs="Times New Roman"/>
          <w:shd w:val="clear" w:color="auto" w:fill="FFFFFF"/>
        </w:rPr>
        <w:t>The imputed datasets are used to produce estimates from the fitted models, which are then combined together using Rubin</w:t>
      </w:r>
      <w:r w:rsidR="00147E4E">
        <w:rPr>
          <w:rFonts w:ascii="Times New Roman" w:hAnsi="Times New Roman" w:cs="Times New Roman"/>
          <w:shd w:val="clear" w:color="auto" w:fill="FFFFFF"/>
        </w:rPr>
        <w:t>’</w:t>
      </w:r>
      <w:r w:rsidR="0051695A" w:rsidRPr="00E97A38">
        <w:rPr>
          <w:rFonts w:ascii="Times New Roman" w:hAnsi="Times New Roman" w:cs="Times New Roman"/>
          <w:shd w:val="clear" w:color="auto" w:fill="FFFFFF"/>
        </w:rPr>
        <w:t>s Rules</w:t>
      </w:r>
      <w:r w:rsidR="00E43D2C">
        <w:rPr>
          <w:rFonts w:ascii="Times New Roman" w:hAnsi="Times New Roman" w:cs="Times New Roman"/>
          <w:shd w:val="clear" w:color="auto" w:fill="FFFFFF"/>
        </w:rPr>
        <w:t>.</w:t>
      </w:r>
      <w:r w:rsidR="00B97233" w:rsidRPr="00E97A38">
        <w:rPr>
          <w:rFonts w:ascii="Times New Roman" w:hAnsi="Times New Roman" w:cs="Times New Roman"/>
          <w:shd w:val="clear" w:color="auto" w:fill="FFFFFF"/>
          <w:vertAlign w:val="superscript"/>
        </w:rPr>
        <w:t>12</w:t>
      </w:r>
      <w:r w:rsidR="0051695A" w:rsidRPr="00E97A38">
        <w:rPr>
          <w:rFonts w:ascii="Times New Roman" w:hAnsi="Times New Roman" w:cs="Times New Roman"/>
          <w:shd w:val="clear" w:color="auto" w:fill="FFFFFF"/>
        </w:rPr>
        <w:t xml:space="preserve"> </w:t>
      </w:r>
    </w:p>
    <w:p w14:paraId="10B2EB86" w14:textId="276F4094" w:rsidR="00E31358" w:rsidRPr="00E97A38" w:rsidRDefault="008C2016" w:rsidP="00B05470">
      <w:pPr>
        <w:spacing w:after="0" w:line="360" w:lineRule="auto"/>
        <w:ind w:firstLine="720"/>
        <w:jc w:val="both"/>
        <w:rPr>
          <w:rFonts w:ascii="Times New Roman" w:hAnsi="Times New Roman" w:cs="Times New Roman"/>
          <w:shd w:val="clear" w:color="auto" w:fill="FFFFFF"/>
        </w:rPr>
      </w:pPr>
      <w:r w:rsidRPr="00E97A38">
        <w:rPr>
          <w:rFonts w:ascii="Times New Roman" w:hAnsi="Times New Roman" w:cs="Times New Roman"/>
          <w:shd w:val="clear" w:color="auto" w:fill="FFFFFF"/>
        </w:rPr>
        <w:t>For all analyses, the survey estimation commands were used</w:t>
      </w:r>
      <w:r w:rsidR="00196D93" w:rsidRPr="00E97A38">
        <w:rPr>
          <w:rFonts w:ascii="Times New Roman" w:hAnsi="Times New Roman" w:cs="Times New Roman"/>
          <w:shd w:val="clear" w:color="auto" w:fill="FFFFFF"/>
        </w:rPr>
        <w:t xml:space="preserve"> (by using the </w:t>
      </w:r>
      <w:proofErr w:type="spellStart"/>
      <w:r w:rsidR="00196D93" w:rsidRPr="00E97A38">
        <w:rPr>
          <w:rFonts w:ascii="Times New Roman" w:hAnsi="Times New Roman" w:cs="Times New Roman"/>
          <w:shd w:val="clear" w:color="auto" w:fill="FFFFFF"/>
        </w:rPr>
        <w:t>svy</w:t>
      </w:r>
      <w:proofErr w:type="spellEnd"/>
      <w:r w:rsidR="00196D93" w:rsidRPr="00E97A38">
        <w:rPr>
          <w:rFonts w:ascii="Times New Roman" w:hAnsi="Times New Roman" w:cs="Times New Roman"/>
          <w:shd w:val="clear" w:color="auto" w:fill="FFFFFF"/>
        </w:rPr>
        <w:t xml:space="preserve"> prefix in analyses conducted in Stata)</w:t>
      </w:r>
      <w:r w:rsidRPr="00E97A38">
        <w:rPr>
          <w:rFonts w:ascii="Times New Roman" w:hAnsi="Times New Roman" w:cs="Times New Roman"/>
          <w:shd w:val="clear" w:color="auto" w:fill="FFFFFF"/>
        </w:rPr>
        <w:t xml:space="preserve">, this followed the recommendations from AHRQ for analysis of survey data to account for the complex survey design of the NIS database. As records were not sampled individually but by hospital number, clustering of </w:t>
      </w:r>
      <w:r w:rsidR="004619D7" w:rsidRPr="00E97A38">
        <w:rPr>
          <w:rFonts w:ascii="Times New Roman" w:hAnsi="Times New Roman" w:cs="Times New Roman"/>
          <w:shd w:val="clear" w:color="auto" w:fill="FFFFFF"/>
        </w:rPr>
        <w:t xml:space="preserve">records within hospitals </w:t>
      </w:r>
      <w:r w:rsidRPr="00E97A38">
        <w:rPr>
          <w:rFonts w:ascii="Times New Roman" w:hAnsi="Times New Roman" w:cs="Times New Roman"/>
          <w:shd w:val="clear" w:color="auto" w:fill="FFFFFF"/>
        </w:rPr>
        <w:t xml:space="preserve">was taken into account in the survey estimation. </w:t>
      </w:r>
      <w:r w:rsidR="00525C93" w:rsidRPr="00E97A38">
        <w:rPr>
          <w:rFonts w:ascii="Times New Roman" w:hAnsi="Times New Roman" w:cs="Times New Roman"/>
          <w:shd w:val="clear" w:color="auto" w:fill="FFFFFF"/>
        </w:rPr>
        <w:t xml:space="preserve">This was done by defining each hospital to be the primary </w:t>
      </w:r>
      <w:r w:rsidR="00365817" w:rsidRPr="00E97A38">
        <w:rPr>
          <w:rFonts w:ascii="Times New Roman" w:hAnsi="Times New Roman" w:cs="Times New Roman"/>
          <w:shd w:val="clear" w:color="auto" w:fill="FFFFFF"/>
        </w:rPr>
        <w:t>sampling unit</w:t>
      </w:r>
      <w:r w:rsidR="00503DCA" w:rsidRPr="00E97A38">
        <w:rPr>
          <w:rFonts w:ascii="Times New Roman" w:hAnsi="Times New Roman" w:cs="Times New Roman"/>
          <w:shd w:val="clear" w:color="auto" w:fill="FFFFFF"/>
        </w:rPr>
        <w:t xml:space="preserve">. </w:t>
      </w:r>
      <w:r w:rsidRPr="00E97A38">
        <w:rPr>
          <w:rFonts w:ascii="Times New Roman" w:hAnsi="Times New Roman" w:cs="Times New Roman"/>
          <w:shd w:val="clear" w:color="auto" w:fill="FFFFFF"/>
        </w:rPr>
        <w:t xml:space="preserve">For calculation of national estimates and correct variances, </w:t>
      </w:r>
      <w:r w:rsidR="00A04DBE" w:rsidRPr="00E97A38">
        <w:rPr>
          <w:rFonts w:ascii="Times New Roman" w:hAnsi="Times New Roman" w:cs="Times New Roman"/>
          <w:shd w:val="clear" w:color="auto" w:fill="FFFFFF"/>
        </w:rPr>
        <w:t xml:space="preserve">sampling weights </w:t>
      </w:r>
      <w:r w:rsidR="004873C3" w:rsidRPr="00E97A38">
        <w:rPr>
          <w:rFonts w:ascii="Times New Roman" w:hAnsi="Times New Roman" w:cs="Times New Roman"/>
          <w:shd w:val="clear" w:color="auto" w:fill="FFFFFF"/>
        </w:rPr>
        <w:t xml:space="preserve">for each individual discharge </w:t>
      </w:r>
      <w:r w:rsidR="00A04DBE" w:rsidRPr="00E97A38">
        <w:rPr>
          <w:rFonts w:ascii="Times New Roman" w:hAnsi="Times New Roman" w:cs="Times New Roman"/>
          <w:shd w:val="clear" w:color="auto" w:fill="FFFFFF"/>
        </w:rPr>
        <w:t xml:space="preserve">that were provided by the AHRQ were used. The use of sampling weights </w:t>
      </w:r>
      <w:proofErr w:type="gramStart"/>
      <w:r w:rsidR="00A04DBE" w:rsidRPr="00E97A38">
        <w:rPr>
          <w:rFonts w:ascii="Times New Roman" w:hAnsi="Times New Roman" w:cs="Times New Roman"/>
          <w:shd w:val="clear" w:color="auto" w:fill="FFFFFF"/>
        </w:rPr>
        <w:t>are</w:t>
      </w:r>
      <w:proofErr w:type="gramEnd"/>
      <w:r w:rsidR="00A04DBE" w:rsidRPr="00E97A38">
        <w:rPr>
          <w:rFonts w:ascii="Times New Roman" w:hAnsi="Times New Roman" w:cs="Times New Roman"/>
          <w:shd w:val="clear" w:color="auto" w:fill="FFFFFF"/>
        </w:rPr>
        <w:t xml:space="preserve"> required because the design of the study means that different observations may have different probabilities of selection.</w:t>
      </w:r>
      <w:r w:rsidR="008B5CBD" w:rsidRPr="00E97A38">
        <w:rPr>
          <w:rFonts w:ascii="Times New Roman" w:hAnsi="Times New Roman" w:cs="Times New Roman"/>
          <w:shd w:val="clear" w:color="auto" w:fill="FFFFFF"/>
        </w:rPr>
        <w:t xml:space="preserve"> Due to the redesign of the NIS data and the alternative sampling strategy used before 2012, these </w:t>
      </w:r>
      <w:r w:rsidR="004873C3" w:rsidRPr="00E97A38">
        <w:rPr>
          <w:rFonts w:ascii="Times New Roman" w:hAnsi="Times New Roman" w:cs="Times New Roman"/>
          <w:shd w:val="clear" w:color="auto" w:fill="FFFFFF"/>
        </w:rPr>
        <w:t xml:space="preserve">weights needed to be updated from the original sampling weights for 2004-2011 in </w:t>
      </w:r>
      <w:r w:rsidR="00E31358" w:rsidRPr="00E97A38">
        <w:rPr>
          <w:rFonts w:ascii="Times New Roman" w:hAnsi="Times New Roman" w:cs="Times New Roman"/>
          <w:shd w:val="clear" w:color="auto" w:fill="FFFFFF"/>
        </w:rPr>
        <w:t xml:space="preserve">order for the analysis to be conducted across all included years. </w:t>
      </w:r>
      <w:r w:rsidR="00A04DBE" w:rsidRPr="00E97A38">
        <w:rPr>
          <w:rFonts w:ascii="Times New Roman" w:hAnsi="Times New Roman" w:cs="Times New Roman"/>
          <w:shd w:val="clear" w:color="auto" w:fill="FFFFFF"/>
        </w:rPr>
        <w:t xml:space="preserve">  </w:t>
      </w:r>
    </w:p>
    <w:p w14:paraId="1F25BE8D" w14:textId="6C5D5FEF" w:rsidR="00A675E3" w:rsidRPr="00A41A0E" w:rsidRDefault="001F1366" w:rsidP="00A41A0E">
      <w:pPr>
        <w:spacing w:after="0" w:line="360" w:lineRule="auto"/>
        <w:ind w:firstLine="720"/>
        <w:jc w:val="both"/>
        <w:rPr>
          <w:rFonts w:ascii="Times New Roman" w:hAnsi="Times New Roman" w:cs="Times New Roman"/>
          <w:shd w:val="clear" w:color="auto" w:fill="FFFFFF"/>
        </w:rPr>
      </w:pPr>
      <w:r w:rsidRPr="00E97A38">
        <w:rPr>
          <w:rFonts w:ascii="Times New Roman" w:hAnsi="Times New Roman" w:cs="Times New Roman"/>
          <w:shd w:val="clear" w:color="auto" w:fill="FFFFFF"/>
        </w:rPr>
        <w:t>M</w:t>
      </w:r>
      <w:r w:rsidR="008C2016" w:rsidRPr="00E97A38">
        <w:rPr>
          <w:rFonts w:ascii="Times New Roman" w:hAnsi="Times New Roman" w:cs="Times New Roman"/>
          <w:shd w:val="clear" w:color="auto" w:fill="FFFFFF"/>
        </w:rPr>
        <w:t>ultivaria</w:t>
      </w:r>
      <w:r w:rsidR="00BA5D6A" w:rsidRPr="00E97A38">
        <w:rPr>
          <w:rFonts w:ascii="Times New Roman" w:hAnsi="Times New Roman" w:cs="Times New Roman"/>
          <w:shd w:val="clear" w:color="auto" w:fill="FFFFFF"/>
        </w:rPr>
        <w:t>ble</w:t>
      </w:r>
      <w:r w:rsidR="008C2016" w:rsidRPr="00E97A38">
        <w:rPr>
          <w:rFonts w:ascii="Times New Roman" w:hAnsi="Times New Roman" w:cs="Times New Roman"/>
          <w:shd w:val="clear" w:color="auto" w:fill="FFFFFF"/>
        </w:rPr>
        <w:t xml:space="preserve"> analyses were conducted for the association of comorbidity burden on</w:t>
      </w:r>
      <w:r w:rsidR="00BA5D6A" w:rsidRPr="00E97A38">
        <w:rPr>
          <w:rFonts w:ascii="Times New Roman" w:hAnsi="Times New Roman" w:cs="Times New Roman"/>
          <w:shd w:val="clear" w:color="auto" w:fill="FFFFFF"/>
        </w:rPr>
        <w:t xml:space="preserve"> (</w:t>
      </w:r>
      <w:r w:rsidR="0088303A" w:rsidRPr="00E97A38">
        <w:rPr>
          <w:rFonts w:ascii="Times New Roman" w:hAnsi="Times New Roman" w:cs="Times New Roman"/>
          <w:shd w:val="clear" w:color="auto" w:fill="FFFFFF"/>
        </w:rPr>
        <w:t>a</w:t>
      </w:r>
      <w:r w:rsidR="00BA5D6A" w:rsidRPr="00E97A38">
        <w:rPr>
          <w:rFonts w:ascii="Times New Roman" w:hAnsi="Times New Roman" w:cs="Times New Roman"/>
          <w:shd w:val="clear" w:color="auto" w:fill="FFFFFF"/>
        </w:rPr>
        <w:t>)</w:t>
      </w:r>
      <w:r w:rsidR="008C2016" w:rsidRPr="00E97A38">
        <w:rPr>
          <w:rFonts w:ascii="Times New Roman" w:hAnsi="Times New Roman" w:cs="Times New Roman"/>
          <w:shd w:val="clear" w:color="auto" w:fill="FFFFFF"/>
        </w:rPr>
        <w:t xml:space="preserve"> in-hospital mortality, </w:t>
      </w:r>
      <w:r w:rsidR="0088303A" w:rsidRPr="00E97A38">
        <w:rPr>
          <w:rFonts w:ascii="Times New Roman" w:hAnsi="Times New Roman" w:cs="Times New Roman"/>
          <w:shd w:val="clear" w:color="auto" w:fill="FFFFFF"/>
        </w:rPr>
        <w:t>(b</w:t>
      </w:r>
      <w:r w:rsidR="00BA5D6A" w:rsidRPr="00E97A38">
        <w:rPr>
          <w:rFonts w:ascii="Times New Roman" w:hAnsi="Times New Roman" w:cs="Times New Roman"/>
          <w:shd w:val="clear" w:color="auto" w:fill="FFFFFF"/>
        </w:rPr>
        <w:t xml:space="preserve">) </w:t>
      </w:r>
      <w:r w:rsidRPr="00E97A38">
        <w:rPr>
          <w:rFonts w:ascii="Times New Roman" w:hAnsi="Times New Roman" w:cs="Times New Roman"/>
          <w:shd w:val="clear" w:color="auto" w:fill="FFFFFF"/>
        </w:rPr>
        <w:t>any defined complication and</w:t>
      </w:r>
      <w:r w:rsidR="008C2016" w:rsidRPr="00E97A38">
        <w:rPr>
          <w:rFonts w:ascii="Times New Roman" w:hAnsi="Times New Roman" w:cs="Times New Roman"/>
          <w:shd w:val="clear" w:color="auto" w:fill="FFFFFF"/>
        </w:rPr>
        <w:t xml:space="preserve"> </w:t>
      </w:r>
      <w:r w:rsidR="00BA5D6A" w:rsidRPr="00E97A38">
        <w:rPr>
          <w:rFonts w:ascii="Times New Roman" w:hAnsi="Times New Roman" w:cs="Times New Roman"/>
          <w:shd w:val="clear" w:color="auto" w:fill="FFFFFF"/>
        </w:rPr>
        <w:t>(</w:t>
      </w:r>
      <w:r w:rsidR="0088303A" w:rsidRPr="00E97A38">
        <w:rPr>
          <w:rFonts w:ascii="Times New Roman" w:hAnsi="Times New Roman" w:cs="Times New Roman"/>
          <w:shd w:val="clear" w:color="auto" w:fill="FFFFFF"/>
        </w:rPr>
        <w:t>c</w:t>
      </w:r>
      <w:r w:rsidR="00BA5D6A" w:rsidRPr="00E97A38">
        <w:rPr>
          <w:rFonts w:ascii="Times New Roman" w:hAnsi="Times New Roman" w:cs="Times New Roman"/>
          <w:shd w:val="clear" w:color="auto" w:fill="FFFFFF"/>
        </w:rPr>
        <w:t xml:space="preserve">) </w:t>
      </w:r>
      <w:r w:rsidRPr="00E97A38">
        <w:rPr>
          <w:rFonts w:ascii="Times New Roman" w:hAnsi="Times New Roman" w:cs="Times New Roman"/>
          <w:shd w:val="clear" w:color="auto" w:fill="FFFFFF"/>
        </w:rPr>
        <w:t xml:space="preserve">a composite of any considered complication. </w:t>
      </w:r>
      <w:r w:rsidR="000909FB" w:rsidRPr="00E97A38">
        <w:rPr>
          <w:rFonts w:ascii="Times New Roman" w:hAnsi="Times New Roman" w:cs="Times New Roman"/>
        </w:rPr>
        <w:t xml:space="preserve">Logistic regression models were fitted </w:t>
      </w:r>
      <w:r w:rsidR="0099325A" w:rsidRPr="00E97A38">
        <w:rPr>
          <w:rFonts w:ascii="Times New Roman" w:hAnsi="Times New Roman" w:cs="Times New Roman"/>
        </w:rPr>
        <w:t xml:space="preserve">using maximum likelihood estimation </w:t>
      </w:r>
      <w:r w:rsidR="000909FB" w:rsidRPr="00E97A38">
        <w:rPr>
          <w:rFonts w:ascii="Times New Roman" w:hAnsi="Times New Roman" w:cs="Times New Roman"/>
        </w:rPr>
        <w:t xml:space="preserve">in order to investigate the </w:t>
      </w:r>
      <w:r w:rsidR="0099325A" w:rsidRPr="00E97A38">
        <w:rPr>
          <w:rFonts w:ascii="Times New Roman" w:hAnsi="Times New Roman" w:cs="Times New Roman"/>
        </w:rPr>
        <w:t xml:space="preserve">association </w:t>
      </w:r>
      <w:r w:rsidR="000909FB" w:rsidRPr="00E97A38">
        <w:rPr>
          <w:rFonts w:ascii="Times New Roman" w:hAnsi="Times New Roman" w:cs="Times New Roman"/>
        </w:rPr>
        <w:t xml:space="preserve">of comorbidity burden </w:t>
      </w:r>
      <w:r w:rsidR="0099325A" w:rsidRPr="00E97A38">
        <w:rPr>
          <w:rFonts w:ascii="Times New Roman" w:hAnsi="Times New Roman" w:cs="Times New Roman"/>
        </w:rPr>
        <w:t xml:space="preserve">with odds of </w:t>
      </w:r>
      <w:r w:rsidR="000909FB" w:rsidRPr="00E97A38">
        <w:rPr>
          <w:rFonts w:ascii="Times New Roman" w:hAnsi="Times New Roman" w:cs="Times New Roman"/>
        </w:rPr>
        <w:t>in-hospital death or an in-hospital complication, either post-operative bleeding, vascular complication, cardiac complication or a stroke/TIA</w:t>
      </w:r>
      <w:r w:rsidR="00A017F2" w:rsidRPr="00E97A38">
        <w:rPr>
          <w:rFonts w:ascii="Times New Roman" w:hAnsi="Times New Roman" w:cs="Times New Roman"/>
        </w:rPr>
        <w:t xml:space="preserve">. </w:t>
      </w:r>
      <w:r w:rsidR="00BD1D71" w:rsidRPr="00E97A38">
        <w:rPr>
          <w:rFonts w:ascii="Times New Roman" w:hAnsi="Times New Roman" w:cs="Times New Roman"/>
        </w:rPr>
        <w:t xml:space="preserve">To assess the </w:t>
      </w:r>
      <w:r w:rsidR="008B0C04" w:rsidRPr="00E97A38">
        <w:rPr>
          <w:rFonts w:ascii="Times New Roman" w:hAnsi="Times New Roman" w:cs="Times New Roman"/>
        </w:rPr>
        <w:t>im</w:t>
      </w:r>
      <w:r w:rsidR="00BD1D71" w:rsidRPr="00E97A38">
        <w:rPr>
          <w:rFonts w:ascii="Times New Roman" w:hAnsi="Times New Roman" w:cs="Times New Roman"/>
        </w:rPr>
        <w:t xml:space="preserve">pact of </w:t>
      </w:r>
      <w:proofErr w:type="gramStart"/>
      <w:r w:rsidR="00BD1D71" w:rsidRPr="00E97A38">
        <w:rPr>
          <w:rFonts w:ascii="Times New Roman" w:hAnsi="Times New Roman" w:cs="Times New Roman"/>
        </w:rPr>
        <w:t>comorbidity</w:t>
      </w:r>
      <w:proofErr w:type="gramEnd"/>
      <w:r w:rsidR="00BD1D71" w:rsidRPr="00E97A38">
        <w:rPr>
          <w:rFonts w:ascii="Times New Roman" w:hAnsi="Times New Roman" w:cs="Times New Roman"/>
        </w:rPr>
        <w:t xml:space="preserve"> burden </w:t>
      </w:r>
      <w:r w:rsidR="008B0C04" w:rsidRPr="00E97A38">
        <w:rPr>
          <w:rFonts w:ascii="Times New Roman" w:hAnsi="Times New Roman" w:cs="Times New Roman"/>
        </w:rPr>
        <w:t>t</w:t>
      </w:r>
      <w:r w:rsidR="00B0709A" w:rsidRPr="00E97A38">
        <w:rPr>
          <w:rFonts w:ascii="Times New Roman" w:hAnsi="Times New Roman" w:cs="Times New Roman"/>
        </w:rPr>
        <w:t xml:space="preserve">he </w:t>
      </w:r>
      <w:r w:rsidR="00CA57F3" w:rsidRPr="00E97A38">
        <w:rPr>
          <w:rFonts w:ascii="Times New Roman" w:hAnsi="Times New Roman" w:cs="Times New Roman"/>
        </w:rPr>
        <w:t xml:space="preserve">multivariable </w:t>
      </w:r>
      <w:r w:rsidR="00B0709A" w:rsidRPr="00E97A38">
        <w:rPr>
          <w:rFonts w:ascii="Times New Roman" w:hAnsi="Times New Roman" w:cs="Times New Roman"/>
        </w:rPr>
        <w:t xml:space="preserve">analysis </w:t>
      </w:r>
      <w:r w:rsidR="008B0C04" w:rsidRPr="00E97A38">
        <w:rPr>
          <w:rFonts w:ascii="Times New Roman" w:hAnsi="Times New Roman" w:cs="Times New Roman"/>
        </w:rPr>
        <w:t xml:space="preserve">was adjusted for all </w:t>
      </w:r>
      <w:r w:rsidR="00BD1D71" w:rsidRPr="00E97A38">
        <w:rPr>
          <w:rFonts w:ascii="Times New Roman" w:hAnsi="Times New Roman" w:cs="Times New Roman"/>
        </w:rPr>
        <w:t>potential</w:t>
      </w:r>
      <w:r w:rsidR="008B0C04" w:rsidRPr="00E97A38">
        <w:rPr>
          <w:rFonts w:ascii="Times New Roman" w:hAnsi="Times New Roman" w:cs="Times New Roman"/>
        </w:rPr>
        <w:t xml:space="preserve"> confounders that were measured. These included </w:t>
      </w:r>
      <w:r w:rsidR="00237D05" w:rsidRPr="00E97A38">
        <w:rPr>
          <w:rFonts w:ascii="Times New Roman" w:hAnsi="Times New Roman" w:cs="Times New Roman"/>
        </w:rPr>
        <w:t xml:space="preserve">age, gender, ethnicity, median income, elective admission, day of admission (weekend/weekday) primary diagnosis of MI, diagnosis of shock, hypertension, or hypercholesterolemia, patient </w:t>
      </w:r>
      <w:r w:rsidR="00EC378F" w:rsidRPr="00E97A38">
        <w:rPr>
          <w:rFonts w:ascii="Times New Roman" w:hAnsi="Times New Roman" w:cs="Times New Roman"/>
        </w:rPr>
        <w:t>smoking status</w:t>
      </w:r>
      <w:r w:rsidR="00237D05" w:rsidRPr="00E97A38">
        <w:rPr>
          <w:rFonts w:ascii="Times New Roman" w:hAnsi="Times New Roman" w:cs="Times New Roman"/>
        </w:rPr>
        <w:t>, use of an assist device or IABP, use of a bare metal or drug eluting stent, bifurcation stenting, fractional flow reserve, single or multi-vessel PCI and year of hospitalisation, as well as accounting for the clustering of individuals by hospital</w:t>
      </w:r>
      <w:r w:rsidR="008B0C04" w:rsidRPr="00E97A38">
        <w:rPr>
          <w:rFonts w:ascii="Times New Roman" w:hAnsi="Times New Roman" w:cs="Times New Roman"/>
        </w:rPr>
        <w:t xml:space="preserve">. All confounders measured are presented in Table 1. </w:t>
      </w:r>
    </w:p>
    <w:p w14:paraId="2641071A" w14:textId="77777777" w:rsidR="003704B0" w:rsidRPr="00E97A38" w:rsidRDefault="003704B0" w:rsidP="00B05470">
      <w:pPr>
        <w:spacing w:after="0" w:line="360" w:lineRule="auto"/>
        <w:rPr>
          <w:rFonts w:ascii="Times New Roman" w:hAnsi="Times New Roman" w:cs="Times New Roman"/>
          <w:b/>
        </w:rPr>
      </w:pPr>
      <w:r w:rsidRPr="00E97A38">
        <w:rPr>
          <w:rFonts w:ascii="Times New Roman" w:hAnsi="Times New Roman" w:cs="Times New Roman"/>
          <w:b/>
        </w:rPr>
        <w:t>Results</w:t>
      </w:r>
    </w:p>
    <w:p w14:paraId="27BA34A2" w14:textId="37C7C0DE" w:rsidR="003704B0" w:rsidRPr="00E97A38" w:rsidRDefault="003704B0" w:rsidP="00A675E3">
      <w:pPr>
        <w:spacing w:after="0" w:line="360" w:lineRule="auto"/>
        <w:jc w:val="both"/>
        <w:rPr>
          <w:rFonts w:ascii="Times New Roman" w:hAnsi="Times New Roman" w:cs="Times New Roman"/>
        </w:rPr>
      </w:pPr>
      <w:r w:rsidRPr="00E97A38">
        <w:rPr>
          <w:rFonts w:ascii="Times New Roman" w:hAnsi="Times New Roman" w:cs="Times New Roman"/>
        </w:rPr>
        <w:tab/>
        <w:t xml:space="preserve"> A total of 6,601,526 </w:t>
      </w:r>
      <w:r w:rsidR="00EC378F" w:rsidRPr="00E97A38">
        <w:rPr>
          <w:rFonts w:ascii="Times New Roman" w:hAnsi="Times New Roman" w:cs="Times New Roman"/>
        </w:rPr>
        <w:t xml:space="preserve">hospital </w:t>
      </w:r>
      <w:r w:rsidRPr="00E97A38">
        <w:rPr>
          <w:rFonts w:ascii="Times New Roman" w:hAnsi="Times New Roman" w:cs="Times New Roman"/>
        </w:rPr>
        <w:t>episodes between 2004</w:t>
      </w:r>
      <w:r w:rsidR="00DF449A" w:rsidRPr="00E97A38">
        <w:rPr>
          <w:rFonts w:ascii="Times New Roman" w:hAnsi="Times New Roman" w:cs="Times New Roman"/>
        </w:rPr>
        <w:t xml:space="preserve"> </w:t>
      </w:r>
      <w:r w:rsidR="00EC378F" w:rsidRPr="00E97A38">
        <w:rPr>
          <w:rFonts w:ascii="Times New Roman" w:hAnsi="Times New Roman" w:cs="Times New Roman"/>
        </w:rPr>
        <w:t xml:space="preserve">and </w:t>
      </w:r>
      <w:r w:rsidRPr="00E97A38">
        <w:rPr>
          <w:rFonts w:ascii="Times New Roman" w:hAnsi="Times New Roman" w:cs="Times New Roman"/>
        </w:rPr>
        <w:t xml:space="preserve">2014 </w:t>
      </w:r>
      <w:r w:rsidR="002F1895" w:rsidRPr="00E97A38">
        <w:rPr>
          <w:rFonts w:ascii="Times New Roman" w:hAnsi="Times New Roman" w:cs="Times New Roman"/>
        </w:rPr>
        <w:t xml:space="preserve">were recorded </w:t>
      </w:r>
      <w:r w:rsidRPr="00E97A38">
        <w:rPr>
          <w:rFonts w:ascii="Times New Roman" w:hAnsi="Times New Roman" w:cs="Times New Roman"/>
        </w:rPr>
        <w:t>with a procedure code</w:t>
      </w:r>
      <w:r w:rsidR="002F1895" w:rsidRPr="00E97A38">
        <w:rPr>
          <w:rFonts w:ascii="Times New Roman" w:hAnsi="Times New Roman" w:cs="Times New Roman"/>
        </w:rPr>
        <w:t xml:space="preserve"> </w:t>
      </w:r>
      <w:r w:rsidRPr="00E97A38">
        <w:rPr>
          <w:rFonts w:ascii="Times New Roman" w:hAnsi="Times New Roman" w:cs="Times New Roman"/>
        </w:rPr>
        <w:t xml:space="preserve">indicating that a PCI had been performed during hospitalisation. Discharges with </w:t>
      </w:r>
      <w:r w:rsidR="00EC378F" w:rsidRPr="00E97A38">
        <w:rPr>
          <w:rFonts w:ascii="Times New Roman" w:hAnsi="Times New Roman" w:cs="Times New Roman"/>
        </w:rPr>
        <w:t xml:space="preserve">greater </w:t>
      </w:r>
      <w:r w:rsidR="00931CC1" w:rsidRPr="00E97A38">
        <w:rPr>
          <w:rFonts w:ascii="Times New Roman" w:hAnsi="Times New Roman" w:cs="Times New Roman"/>
        </w:rPr>
        <w:t xml:space="preserve">than 10% </w:t>
      </w:r>
      <w:r w:rsidRPr="00E97A38">
        <w:rPr>
          <w:rFonts w:ascii="Times New Roman" w:hAnsi="Times New Roman" w:cs="Times New Roman"/>
        </w:rPr>
        <w:t xml:space="preserve">missing data for included outcomes as well as covariates </w:t>
      </w:r>
      <w:r w:rsidR="00F35B45" w:rsidRPr="00E97A38">
        <w:rPr>
          <w:rFonts w:ascii="Times New Roman" w:hAnsi="Times New Roman" w:cs="Times New Roman"/>
        </w:rPr>
        <w:t>including</w:t>
      </w:r>
      <w:r w:rsidRPr="00E97A38">
        <w:rPr>
          <w:rFonts w:ascii="Times New Roman" w:hAnsi="Times New Roman" w:cs="Times New Roman"/>
        </w:rPr>
        <w:t xml:space="preserve"> age, gender and elective surgery indication</w:t>
      </w:r>
      <w:r w:rsidR="00552938" w:rsidRPr="00E97A38">
        <w:rPr>
          <w:rFonts w:ascii="Times New Roman" w:hAnsi="Times New Roman" w:cs="Times New Roman"/>
        </w:rPr>
        <w:t xml:space="preserve"> were removed</w:t>
      </w:r>
      <w:r w:rsidRPr="00E97A38">
        <w:rPr>
          <w:rFonts w:ascii="Times New Roman" w:hAnsi="Times New Roman" w:cs="Times New Roman"/>
        </w:rPr>
        <w:t xml:space="preserve">, Figure 1. </w:t>
      </w:r>
      <w:r w:rsidR="00BD1D71" w:rsidRPr="00E97A38">
        <w:rPr>
          <w:rFonts w:ascii="Times New Roman" w:hAnsi="Times New Roman" w:cs="Times New Roman"/>
        </w:rPr>
        <w:t xml:space="preserve">In total approximately 7% of the original dataset was removed due to missing data, with approximately 50% of the missing data due to a missing cost charge ratio available for the hospital. </w:t>
      </w:r>
      <w:r w:rsidR="00931CC1" w:rsidRPr="00E97A38">
        <w:rPr>
          <w:rFonts w:ascii="Times New Roman" w:hAnsi="Times New Roman" w:cs="Times New Roman"/>
        </w:rPr>
        <w:t xml:space="preserve">The missing values of ethnicity were imputed as there was approximately 20% missing data in this covariate. </w:t>
      </w:r>
      <w:r w:rsidRPr="00E97A38">
        <w:rPr>
          <w:rFonts w:ascii="Times New Roman" w:hAnsi="Times New Roman" w:cs="Times New Roman"/>
        </w:rPr>
        <w:t xml:space="preserve">The breakdown of the number of discharges with a PCI procedure performed across each of the years in the dataset is given in </w:t>
      </w:r>
      <w:r w:rsidR="00A714E2" w:rsidRPr="00E97A38">
        <w:rPr>
          <w:rFonts w:ascii="Times New Roman" w:hAnsi="Times New Roman" w:cs="Times New Roman"/>
        </w:rPr>
        <w:lastRenderedPageBreak/>
        <w:t xml:space="preserve">Supplementary </w:t>
      </w:r>
      <w:r w:rsidRPr="00E97A38">
        <w:rPr>
          <w:rFonts w:ascii="Times New Roman" w:hAnsi="Times New Roman" w:cs="Times New Roman"/>
        </w:rPr>
        <w:t xml:space="preserve">Figure </w:t>
      </w:r>
      <w:r w:rsidR="00A714E2" w:rsidRPr="00E97A38">
        <w:rPr>
          <w:rFonts w:ascii="Times New Roman" w:hAnsi="Times New Roman" w:cs="Times New Roman"/>
        </w:rPr>
        <w:t>1</w:t>
      </w:r>
      <w:r w:rsidRPr="00E97A38">
        <w:rPr>
          <w:rFonts w:ascii="Times New Roman" w:hAnsi="Times New Roman" w:cs="Times New Roman"/>
        </w:rPr>
        <w:t xml:space="preserve">, with the numbers of PCI procedures decreasing from 747,129 in 2004 to 428,400 in 2014. </w:t>
      </w:r>
    </w:p>
    <w:p w14:paraId="2D81E991" w14:textId="1333C333" w:rsidR="003704B0" w:rsidRPr="00E97A38" w:rsidRDefault="003704B0" w:rsidP="00A675E3">
      <w:pPr>
        <w:spacing w:after="0" w:line="360" w:lineRule="auto"/>
        <w:jc w:val="both"/>
        <w:rPr>
          <w:rFonts w:ascii="Times New Roman" w:hAnsi="Times New Roman" w:cs="Times New Roman"/>
        </w:rPr>
      </w:pPr>
      <w:r w:rsidRPr="00E97A38">
        <w:rPr>
          <w:rFonts w:ascii="Times New Roman" w:hAnsi="Times New Roman" w:cs="Times New Roman"/>
        </w:rPr>
        <w:tab/>
        <w:t>Patient demographics for patients undergoing PCI for each year are presented in Table 1. The median age of included patients varied between 64 and 65 years. The proportion of males undergoing PCI increased over time, as did the proportion of patients undergoing PCI procedures in emergent situations</w:t>
      </w:r>
      <w:r w:rsidR="00A40E93" w:rsidRPr="00E97A38">
        <w:rPr>
          <w:rFonts w:ascii="Times New Roman" w:hAnsi="Times New Roman" w:cs="Times New Roman"/>
        </w:rPr>
        <w:t>. Specifically, there</w:t>
      </w:r>
      <w:r w:rsidR="00DB2262" w:rsidRPr="00E97A38">
        <w:rPr>
          <w:rFonts w:ascii="Times New Roman" w:hAnsi="Times New Roman" w:cs="Times New Roman"/>
        </w:rPr>
        <w:t xml:space="preserve"> </w:t>
      </w:r>
      <w:r w:rsidR="00A40E93" w:rsidRPr="00E97A38">
        <w:rPr>
          <w:rFonts w:ascii="Times New Roman" w:hAnsi="Times New Roman" w:cs="Times New Roman"/>
        </w:rPr>
        <w:t>was</w:t>
      </w:r>
      <w:r w:rsidRPr="00E97A38">
        <w:rPr>
          <w:rFonts w:ascii="Times New Roman" w:hAnsi="Times New Roman" w:cs="Times New Roman"/>
        </w:rPr>
        <w:t xml:space="preserve"> an increase in the proportion of individuals who had a primary diagnosis of a myocardial infarction</w:t>
      </w:r>
      <w:r w:rsidR="006A10E3" w:rsidRPr="00E97A38">
        <w:rPr>
          <w:rFonts w:ascii="Times New Roman" w:hAnsi="Times New Roman" w:cs="Times New Roman"/>
        </w:rPr>
        <w:t xml:space="preserve"> with their hospital admission</w:t>
      </w:r>
      <w:r w:rsidRPr="00E97A38">
        <w:rPr>
          <w:rFonts w:ascii="Times New Roman" w:hAnsi="Times New Roman" w:cs="Times New Roman"/>
        </w:rPr>
        <w:t xml:space="preserve"> from approximately 30% to over 60% over the 11</w:t>
      </w:r>
      <w:r w:rsidR="007A558C" w:rsidRPr="00E97A38">
        <w:rPr>
          <w:rFonts w:ascii="Times New Roman" w:hAnsi="Times New Roman" w:cs="Times New Roman"/>
        </w:rPr>
        <w:t>-</w:t>
      </w:r>
      <w:r w:rsidRPr="00E97A38">
        <w:rPr>
          <w:rFonts w:ascii="Times New Roman" w:hAnsi="Times New Roman" w:cs="Times New Roman"/>
        </w:rPr>
        <w:t xml:space="preserve">year time span. The prevalence of a number of cardiovascular risk factors such as </w:t>
      </w:r>
      <w:r w:rsidR="00D328AE" w:rsidRPr="00E97A38">
        <w:rPr>
          <w:rFonts w:ascii="Times New Roman" w:hAnsi="Times New Roman" w:cs="Times New Roman"/>
        </w:rPr>
        <w:t>d</w:t>
      </w:r>
      <w:r w:rsidRPr="00E97A38">
        <w:rPr>
          <w:rFonts w:ascii="Times New Roman" w:hAnsi="Times New Roman" w:cs="Times New Roman"/>
        </w:rPr>
        <w:t xml:space="preserve">iabetes, </w:t>
      </w:r>
      <w:r w:rsidR="00D328AE" w:rsidRPr="00E97A38">
        <w:rPr>
          <w:rFonts w:ascii="Times New Roman" w:hAnsi="Times New Roman" w:cs="Times New Roman"/>
        </w:rPr>
        <w:t>h</w:t>
      </w:r>
      <w:r w:rsidRPr="00E97A38">
        <w:rPr>
          <w:rFonts w:ascii="Times New Roman" w:hAnsi="Times New Roman" w:cs="Times New Roman"/>
        </w:rPr>
        <w:t>ypertension, hypercholesterolemia and smoking increased and the proportion of patients with severe comorbidity burden (defined as a CCI score ≥3</w:t>
      </w:r>
      <w:r w:rsidR="00D328AE" w:rsidRPr="00E97A38">
        <w:rPr>
          <w:rFonts w:ascii="Times New Roman" w:hAnsi="Times New Roman" w:cs="Times New Roman"/>
        </w:rPr>
        <w:t>)</w:t>
      </w:r>
      <w:r w:rsidR="001F1366" w:rsidRPr="00E97A38">
        <w:rPr>
          <w:rFonts w:ascii="Times New Roman" w:hAnsi="Times New Roman" w:cs="Times New Roman"/>
        </w:rPr>
        <w:t xml:space="preserve"> increased from 5.3% to 14.2</w:t>
      </w:r>
      <w:r w:rsidRPr="00E97A38">
        <w:rPr>
          <w:rFonts w:ascii="Times New Roman" w:hAnsi="Times New Roman" w:cs="Times New Roman"/>
        </w:rPr>
        <w:t xml:space="preserve">%. </w:t>
      </w:r>
      <w:r w:rsidR="004C4D3E" w:rsidRPr="00E97A38">
        <w:rPr>
          <w:rFonts w:ascii="Times New Roman" w:hAnsi="Times New Roman" w:cs="Times New Roman"/>
        </w:rPr>
        <w:t xml:space="preserve">The </w:t>
      </w:r>
      <w:r w:rsidR="00BE2257" w:rsidRPr="00E97A38">
        <w:rPr>
          <w:rFonts w:ascii="Times New Roman" w:hAnsi="Times New Roman" w:cs="Times New Roman"/>
        </w:rPr>
        <w:t>prevalence</w:t>
      </w:r>
      <w:r w:rsidR="004C4D3E" w:rsidRPr="00E97A38">
        <w:rPr>
          <w:rFonts w:ascii="Times New Roman" w:hAnsi="Times New Roman" w:cs="Times New Roman"/>
        </w:rPr>
        <w:t xml:space="preserve"> of both cardiovascular and non-cardiovascular comorbid conditions increased over time. </w:t>
      </w:r>
      <w:r w:rsidR="00D47A4C" w:rsidRPr="00E97A38">
        <w:rPr>
          <w:rFonts w:ascii="Times New Roman" w:hAnsi="Times New Roman" w:cs="Times New Roman"/>
        </w:rPr>
        <w:t>Over</w:t>
      </w:r>
      <w:r w:rsidR="004E4232" w:rsidRPr="00E97A38">
        <w:rPr>
          <w:rFonts w:ascii="Times New Roman" w:hAnsi="Times New Roman" w:cs="Times New Roman"/>
        </w:rPr>
        <w:t xml:space="preserve"> time t</w:t>
      </w:r>
      <w:r w:rsidRPr="00E97A38">
        <w:rPr>
          <w:rFonts w:ascii="Times New Roman" w:hAnsi="Times New Roman" w:cs="Times New Roman"/>
        </w:rPr>
        <w:t>he me</w:t>
      </w:r>
      <w:r w:rsidR="00871CE1" w:rsidRPr="00E97A38">
        <w:rPr>
          <w:rFonts w:ascii="Times New Roman" w:hAnsi="Times New Roman" w:cs="Times New Roman"/>
        </w:rPr>
        <w:t>di</w:t>
      </w:r>
      <w:r w:rsidRPr="00E97A38">
        <w:rPr>
          <w:rFonts w:ascii="Times New Roman" w:hAnsi="Times New Roman" w:cs="Times New Roman"/>
        </w:rPr>
        <w:t xml:space="preserve">an length of stay increased from </w:t>
      </w:r>
      <w:r w:rsidR="00871CE1" w:rsidRPr="00E97A38">
        <w:rPr>
          <w:rFonts w:ascii="Times New Roman" w:hAnsi="Times New Roman" w:cs="Times New Roman"/>
        </w:rPr>
        <w:t xml:space="preserve">2 </w:t>
      </w:r>
      <w:r w:rsidRPr="00E97A38">
        <w:rPr>
          <w:rFonts w:ascii="Times New Roman" w:hAnsi="Times New Roman" w:cs="Times New Roman"/>
        </w:rPr>
        <w:t>days</w:t>
      </w:r>
      <w:r w:rsidR="00871CE1" w:rsidRPr="00E97A38">
        <w:rPr>
          <w:rFonts w:ascii="Times New Roman" w:hAnsi="Times New Roman" w:cs="Times New Roman"/>
        </w:rPr>
        <w:t xml:space="preserve"> to 3 days</w:t>
      </w:r>
      <w:r w:rsidRPr="00E97A38">
        <w:rPr>
          <w:rFonts w:ascii="Times New Roman" w:hAnsi="Times New Roman" w:cs="Times New Roman"/>
        </w:rPr>
        <w:t xml:space="preserve"> and hospital costs increased from $</w:t>
      </w:r>
      <w:r w:rsidR="00871CE1" w:rsidRPr="00E97A38">
        <w:rPr>
          <w:rFonts w:ascii="Times New Roman" w:hAnsi="Times New Roman" w:cs="Times New Roman"/>
        </w:rPr>
        <w:t xml:space="preserve">15,494 </w:t>
      </w:r>
      <w:r w:rsidR="002D567A" w:rsidRPr="00E97A38">
        <w:rPr>
          <w:rFonts w:ascii="Times New Roman" w:hAnsi="Times New Roman" w:cs="Times New Roman"/>
        </w:rPr>
        <w:t xml:space="preserve">in 2004 </w:t>
      </w:r>
      <w:r w:rsidR="00871CE1" w:rsidRPr="00E97A38">
        <w:rPr>
          <w:rFonts w:ascii="Times New Roman" w:hAnsi="Times New Roman" w:cs="Times New Roman"/>
        </w:rPr>
        <w:t>to $19,048</w:t>
      </w:r>
      <w:r w:rsidR="001F1366" w:rsidRPr="00E97A38">
        <w:rPr>
          <w:rFonts w:ascii="Times New Roman" w:hAnsi="Times New Roman" w:cs="Times New Roman"/>
        </w:rPr>
        <w:t xml:space="preserve"> in 2014.</w:t>
      </w:r>
    </w:p>
    <w:p w14:paraId="6BEA3AC9" w14:textId="6A334A05" w:rsidR="003704B0" w:rsidRPr="00E97A38" w:rsidRDefault="003704B0" w:rsidP="00B05470">
      <w:pPr>
        <w:spacing w:after="0" w:line="360" w:lineRule="auto"/>
        <w:jc w:val="both"/>
        <w:rPr>
          <w:rFonts w:ascii="Times New Roman" w:hAnsi="Times New Roman" w:cs="Times New Roman"/>
        </w:rPr>
      </w:pPr>
      <w:r w:rsidRPr="00E97A38">
        <w:rPr>
          <w:rFonts w:ascii="Times New Roman" w:hAnsi="Times New Roman" w:cs="Times New Roman"/>
        </w:rPr>
        <w:tab/>
        <w:t>The distribution of comorbidity burden as defi</w:t>
      </w:r>
      <w:r w:rsidR="00640838" w:rsidRPr="00E97A38">
        <w:rPr>
          <w:rFonts w:ascii="Times New Roman" w:hAnsi="Times New Roman" w:cs="Times New Roman"/>
        </w:rPr>
        <w:t>ned by the CCI is presented in S</w:t>
      </w:r>
      <w:r w:rsidRPr="00E97A38">
        <w:rPr>
          <w:rFonts w:ascii="Times New Roman" w:hAnsi="Times New Roman" w:cs="Times New Roman"/>
        </w:rPr>
        <w:t xml:space="preserve">upplemental </w:t>
      </w:r>
      <w:r w:rsidR="00E7184C" w:rsidRPr="00E97A38">
        <w:rPr>
          <w:rFonts w:ascii="Times New Roman" w:hAnsi="Times New Roman" w:cs="Times New Roman"/>
        </w:rPr>
        <w:t xml:space="preserve">Figure </w:t>
      </w:r>
      <w:r w:rsidR="00A714E2" w:rsidRPr="00E97A38">
        <w:rPr>
          <w:rFonts w:ascii="Times New Roman" w:hAnsi="Times New Roman" w:cs="Times New Roman"/>
        </w:rPr>
        <w:t>2</w:t>
      </w:r>
      <w:r w:rsidRPr="00E97A38">
        <w:rPr>
          <w:rFonts w:ascii="Times New Roman" w:hAnsi="Times New Roman" w:cs="Times New Roman"/>
        </w:rPr>
        <w:t xml:space="preserve">. Figure </w:t>
      </w:r>
      <w:r w:rsidR="006F1A0B" w:rsidRPr="00E97A38">
        <w:rPr>
          <w:rFonts w:ascii="Times New Roman" w:hAnsi="Times New Roman" w:cs="Times New Roman"/>
        </w:rPr>
        <w:t>2</w:t>
      </w:r>
      <w:r w:rsidRPr="00E97A38">
        <w:rPr>
          <w:rFonts w:ascii="Times New Roman" w:hAnsi="Times New Roman" w:cs="Times New Roman"/>
        </w:rPr>
        <w:t xml:space="preserve"> shows how the burden of comorbidity (according to CCI category) has changed over time</w:t>
      </w:r>
      <w:r w:rsidR="00364A2F" w:rsidRPr="00E97A38">
        <w:rPr>
          <w:rFonts w:ascii="Times New Roman" w:hAnsi="Times New Roman" w:cs="Times New Roman"/>
        </w:rPr>
        <w:t>:</w:t>
      </w:r>
      <w:r w:rsidRPr="00E97A38">
        <w:rPr>
          <w:rFonts w:ascii="Times New Roman" w:hAnsi="Times New Roman" w:cs="Times New Roman"/>
        </w:rPr>
        <w:t xml:space="preserve"> the proportion of patients undergoing PCI with no</w:t>
      </w:r>
      <w:r w:rsidR="00364A2F" w:rsidRPr="00E97A38">
        <w:rPr>
          <w:rFonts w:ascii="Times New Roman" w:hAnsi="Times New Roman" w:cs="Times New Roman"/>
        </w:rPr>
        <w:t xml:space="preserve"> </w:t>
      </w:r>
      <w:r w:rsidRPr="00E97A38">
        <w:rPr>
          <w:rFonts w:ascii="Times New Roman" w:hAnsi="Times New Roman" w:cs="Times New Roman"/>
        </w:rPr>
        <w:t>comorbidities (</w:t>
      </w:r>
      <w:r w:rsidR="001F1366" w:rsidRPr="00E97A38">
        <w:rPr>
          <w:rFonts w:ascii="Times New Roman" w:hAnsi="Times New Roman" w:cs="Times New Roman"/>
        </w:rPr>
        <w:t>CCI of 0) has declined from 40.6% to 34.2</w:t>
      </w:r>
      <w:r w:rsidRPr="00E97A38">
        <w:rPr>
          <w:rFonts w:ascii="Times New Roman" w:hAnsi="Times New Roman" w:cs="Times New Roman"/>
        </w:rPr>
        <w:t>%, whilst those with severe comorbidity burden</w:t>
      </w:r>
      <w:r w:rsidR="001F1366" w:rsidRPr="00E97A38">
        <w:rPr>
          <w:rFonts w:ascii="Times New Roman" w:hAnsi="Times New Roman" w:cs="Times New Roman"/>
        </w:rPr>
        <w:t xml:space="preserve"> (CCI ≥3) has increased from 5.3% to 14.2</w:t>
      </w:r>
      <w:r w:rsidRPr="00E97A38">
        <w:rPr>
          <w:rFonts w:ascii="Times New Roman" w:hAnsi="Times New Roman" w:cs="Times New Roman"/>
        </w:rPr>
        <w:t>%.</w:t>
      </w:r>
      <w:r w:rsidR="00427AE0" w:rsidRPr="00E97A38">
        <w:rPr>
          <w:rFonts w:ascii="Times New Roman" w:hAnsi="Times New Roman" w:cs="Times New Roman"/>
        </w:rPr>
        <w:t xml:space="preserve"> The increasing comorbid burden is also seen when considering the mean CCI score each year, which is 1 in 2004, and steadily increases over time to 1.7 in 2014, Table 1. </w:t>
      </w:r>
    </w:p>
    <w:p w14:paraId="13DE2C6E" w14:textId="02963FBD" w:rsidR="003704B0" w:rsidRPr="00E97A38" w:rsidRDefault="003704B0" w:rsidP="00B05470">
      <w:pPr>
        <w:spacing w:after="0" w:line="360" w:lineRule="auto"/>
        <w:jc w:val="both"/>
        <w:rPr>
          <w:rFonts w:ascii="Times New Roman" w:hAnsi="Times New Roman" w:cs="Times New Roman"/>
        </w:rPr>
      </w:pPr>
      <w:r w:rsidRPr="00E97A38">
        <w:rPr>
          <w:rFonts w:ascii="Times New Roman" w:hAnsi="Times New Roman" w:cs="Times New Roman"/>
        </w:rPr>
        <w:tab/>
        <w:t xml:space="preserve">Table 2 presents patient demographics stratified by CCI </w:t>
      </w:r>
      <w:r w:rsidR="00DA387F" w:rsidRPr="00E97A38">
        <w:rPr>
          <w:rFonts w:ascii="Times New Roman" w:hAnsi="Times New Roman" w:cs="Times New Roman"/>
        </w:rPr>
        <w:t>category</w:t>
      </w:r>
      <w:r w:rsidR="00C561FC" w:rsidRPr="00E97A38">
        <w:rPr>
          <w:rFonts w:ascii="Times New Roman" w:hAnsi="Times New Roman" w:cs="Times New Roman"/>
        </w:rPr>
        <w:t xml:space="preserve"> combined across all years in the study</w:t>
      </w:r>
      <w:r w:rsidRPr="00E97A38">
        <w:rPr>
          <w:rFonts w:ascii="Times New Roman" w:hAnsi="Times New Roman" w:cs="Times New Roman"/>
        </w:rPr>
        <w:t>. It can be seen that those individuals with a higher CCI were older with a median age of 68, compared to</w:t>
      </w:r>
      <w:r w:rsidR="001F1366" w:rsidRPr="00E97A38">
        <w:rPr>
          <w:rFonts w:ascii="Times New Roman" w:hAnsi="Times New Roman" w:cs="Times New Roman"/>
        </w:rPr>
        <w:t xml:space="preserve"> between 62 </w:t>
      </w:r>
      <w:r w:rsidRPr="00E97A38">
        <w:rPr>
          <w:rFonts w:ascii="Times New Roman" w:hAnsi="Times New Roman" w:cs="Times New Roman"/>
        </w:rPr>
        <w:t>and 65 for the other groups</w:t>
      </w:r>
      <w:r w:rsidR="004F16D0" w:rsidRPr="00E97A38">
        <w:rPr>
          <w:rFonts w:ascii="Times New Roman" w:hAnsi="Times New Roman" w:cs="Times New Roman"/>
        </w:rPr>
        <w:t>,</w:t>
      </w:r>
      <w:r w:rsidRPr="00E97A38">
        <w:rPr>
          <w:rFonts w:ascii="Times New Roman" w:hAnsi="Times New Roman" w:cs="Times New Roman"/>
        </w:rPr>
        <w:t xml:space="preserve"> and the proportion of females increased</w:t>
      </w:r>
      <w:r w:rsidR="007A558C" w:rsidRPr="00E97A38">
        <w:rPr>
          <w:rFonts w:ascii="Times New Roman" w:hAnsi="Times New Roman" w:cs="Times New Roman"/>
        </w:rPr>
        <w:t>,</w:t>
      </w:r>
      <w:r w:rsidRPr="00E97A38">
        <w:rPr>
          <w:rFonts w:ascii="Times New Roman" w:hAnsi="Times New Roman" w:cs="Times New Roman"/>
        </w:rPr>
        <w:t xml:space="preserve"> with increasing comorbidity burden. As comorbidity burden increased, the </w:t>
      </w:r>
      <w:r w:rsidR="004F16D0" w:rsidRPr="00E97A38">
        <w:rPr>
          <w:rFonts w:ascii="Times New Roman" w:hAnsi="Times New Roman" w:cs="Times New Roman"/>
        </w:rPr>
        <w:t>indication for</w:t>
      </w:r>
      <w:r w:rsidRPr="00E97A38">
        <w:rPr>
          <w:rFonts w:ascii="Times New Roman" w:hAnsi="Times New Roman" w:cs="Times New Roman"/>
        </w:rPr>
        <w:t xml:space="preserve"> PCI </w:t>
      </w:r>
      <w:r w:rsidR="004F16D0" w:rsidRPr="00E97A38">
        <w:rPr>
          <w:rFonts w:ascii="Times New Roman" w:hAnsi="Times New Roman" w:cs="Times New Roman"/>
        </w:rPr>
        <w:t>was more likely to be</w:t>
      </w:r>
      <w:r w:rsidRPr="00E97A38">
        <w:rPr>
          <w:rFonts w:ascii="Times New Roman" w:hAnsi="Times New Roman" w:cs="Times New Roman"/>
        </w:rPr>
        <w:t xml:space="preserve"> emergent and </w:t>
      </w:r>
      <w:r w:rsidR="004F16D0" w:rsidRPr="00E97A38">
        <w:rPr>
          <w:rFonts w:ascii="Times New Roman" w:hAnsi="Times New Roman" w:cs="Times New Roman"/>
        </w:rPr>
        <w:t>involve</w:t>
      </w:r>
      <w:r w:rsidR="00DB2262" w:rsidRPr="00E97A38">
        <w:rPr>
          <w:rFonts w:ascii="Times New Roman" w:hAnsi="Times New Roman" w:cs="Times New Roman"/>
        </w:rPr>
        <w:t xml:space="preserve"> </w:t>
      </w:r>
      <w:r w:rsidRPr="00E97A38">
        <w:rPr>
          <w:rFonts w:ascii="Times New Roman" w:hAnsi="Times New Roman" w:cs="Times New Roman"/>
        </w:rPr>
        <w:t>haemodynamic instability</w:t>
      </w:r>
      <w:r w:rsidR="004F16D0" w:rsidRPr="00E97A38">
        <w:rPr>
          <w:rFonts w:ascii="Times New Roman" w:hAnsi="Times New Roman" w:cs="Times New Roman"/>
        </w:rPr>
        <w:t>,</w:t>
      </w:r>
      <w:r w:rsidRPr="00E97A38">
        <w:rPr>
          <w:rFonts w:ascii="Times New Roman" w:hAnsi="Times New Roman" w:cs="Times New Roman"/>
        </w:rPr>
        <w:t xml:space="preserve"> as evidence</w:t>
      </w:r>
      <w:r w:rsidR="004F16D0" w:rsidRPr="00E97A38">
        <w:rPr>
          <w:rFonts w:ascii="Times New Roman" w:hAnsi="Times New Roman" w:cs="Times New Roman"/>
        </w:rPr>
        <w:t>d</w:t>
      </w:r>
      <w:r w:rsidRPr="00E97A38">
        <w:rPr>
          <w:rFonts w:ascii="Times New Roman" w:hAnsi="Times New Roman" w:cs="Times New Roman"/>
        </w:rPr>
        <w:t xml:space="preserve"> by cardiogenic shock</w:t>
      </w:r>
      <w:r w:rsidR="004F16D0" w:rsidRPr="00E97A38">
        <w:rPr>
          <w:rFonts w:ascii="Times New Roman" w:hAnsi="Times New Roman" w:cs="Times New Roman"/>
        </w:rPr>
        <w:t xml:space="preserve"> diagnosis</w:t>
      </w:r>
      <w:r w:rsidRPr="00E97A38">
        <w:rPr>
          <w:rFonts w:ascii="Times New Roman" w:hAnsi="Times New Roman" w:cs="Times New Roman"/>
        </w:rPr>
        <w:t xml:space="preserve"> or use of an assist device or an IABP. </w:t>
      </w:r>
    </w:p>
    <w:p w14:paraId="3E8FAE7F" w14:textId="18276FBC" w:rsidR="003704B0" w:rsidRPr="00E97A38" w:rsidRDefault="003704B0" w:rsidP="00B05470">
      <w:pPr>
        <w:spacing w:after="0" w:line="360" w:lineRule="auto"/>
        <w:jc w:val="both"/>
        <w:rPr>
          <w:rFonts w:ascii="Times New Roman" w:hAnsi="Times New Roman" w:cs="Times New Roman"/>
        </w:rPr>
      </w:pPr>
      <w:r w:rsidRPr="00E97A38">
        <w:rPr>
          <w:rFonts w:ascii="Times New Roman" w:hAnsi="Times New Roman" w:cs="Times New Roman"/>
        </w:rPr>
        <w:tab/>
        <w:t>Table 3 describes crude event rates for in</w:t>
      </w:r>
      <w:r w:rsidR="002751E9" w:rsidRPr="00E97A38">
        <w:rPr>
          <w:rFonts w:ascii="Times New Roman" w:hAnsi="Times New Roman" w:cs="Times New Roman"/>
        </w:rPr>
        <w:t>-</w:t>
      </w:r>
      <w:r w:rsidRPr="00E97A38">
        <w:rPr>
          <w:rFonts w:ascii="Times New Roman" w:hAnsi="Times New Roman" w:cs="Times New Roman"/>
        </w:rPr>
        <w:t>hospital mortality and in</w:t>
      </w:r>
      <w:r w:rsidR="002751E9" w:rsidRPr="00E97A38">
        <w:rPr>
          <w:rFonts w:ascii="Times New Roman" w:hAnsi="Times New Roman" w:cs="Times New Roman"/>
        </w:rPr>
        <w:t>-</w:t>
      </w:r>
      <w:r w:rsidRPr="00E97A38">
        <w:rPr>
          <w:rFonts w:ascii="Times New Roman" w:hAnsi="Times New Roman" w:cs="Times New Roman"/>
        </w:rPr>
        <w:t xml:space="preserve">hospital complications including vascular </w:t>
      </w:r>
      <w:r w:rsidR="00E100F9" w:rsidRPr="00E97A38">
        <w:rPr>
          <w:rFonts w:ascii="Times New Roman" w:hAnsi="Times New Roman" w:cs="Times New Roman"/>
        </w:rPr>
        <w:t>and</w:t>
      </w:r>
      <w:r w:rsidR="00DB2262" w:rsidRPr="00E97A38">
        <w:rPr>
          <w:rFonts w:ascii="Times New Roman" w:hAnsi="Times New Roman" w:cs="Times New Roman"/>
        </w:rPr>
        <w:t xml:space="preserve"> </w:t>
      </w:r>
      <w:r w:rsidR="00AC262A" w:rsidRPr="00E97A38">
        <w:rPr>
          <w:rFonts w:ascii="Times New Roman" w:hAnsi="Times New Roman" w:cs="Times New Roman"/>
        </w:rPr>
        <w:t>cardiac complications and a</w:t>
      </w:r>
      <w:r w:rsidRPr="00E97A38">
        <w:rPr>
          <w:rFonts w:ascii="Times New Roman" w:hAnsi="Times New Roman" w:cs="Times New Roman"/>
        </w:rPr>
        <w:t xml:space="preserve"> post-</w:t>
      </w:r>
      <w:r w:rsidR="00E100F9" w:rsidRPr="00E97A38">
        <w:rPr>
          <w:rFonts w:ascii="Times New Roman" w:hAnsi="Times New Roman" w:cs="Times New Roman"/>
        </w:rPr>
        <w:t>procedure</w:t>
      </w:r>
      <w:r w:rsidRPr="00E97A38">
        <w:rPr>
          <w:rFonts w:ascii="Times New Roman" w:hAnsi="Times New Roman" w:cs="Times New Roman"/>
        </w:rPr>
        <w:t xml:space="preserve"> stroke. </w:t>
      </w:r>
      <w:r w:rsidR="00E100F9" w:rsidRPr="00E97A38">
        <w:rPr>
          <w:rFonts w:ascii="Times New Roman" w:hAnsi="Times New Roman" w:cs="Times New Roman"/>
        </w:rPr>
        <w:t>I</w:t>
      </w:r>
      <w:r w:rsidRPr="00E97A38">
        <w:rPr>
          <w:rFonts w:ascii="Times New Roman" w:hAnsi="Times New Roman" w:cs="Times New Roman"/>
        </w:rPr>
        <w:t xml:space="preserve">n-hospital mortality and all other complications increased with increasing comorbidity burden; for example, </w:t>
      </w:r>
      <w:r w:rsidR="00E100F9" w:rsidRPr="00E97A38">
        <w:rPr>
          <w:rFonts w:ascii="Times New Roman" w:hAnsi="Times New Roman" w:cs="Times New Roman"/>
        </w:rPr>
        <w:t xml:space="preserve">crude </w:t>
      </w:r>
      <w:r w:rsidRPr="00E97A38">
        <w:rPr>
          <w:rFonts w:ascii="Times New Roman" w:hAnsi="Times New Roman" w:cs="Times New Roman"/>
        </w:rPr>
        <w:t>in</w:t>
      </w:r>
      <w:r w:rsidR="00E100F9" w:rsidRPr="00E97A38">
        <w:rPr>
          <w:rFonts w:ascii="Times New Roman" w:hAnsi="Times New Roman" w:cs="Times New Roman"/>
        </w:rPr>
        <w:t>-</w:t>
      </w:r>
      <w:r w:rsidRPr="00E97A38">
        <w:rPr>
          <w:rFonts w:ascii="Times New Roman" w:hAnsi="Times New Roman" w:cs="Times New Roman"/>
        </w:rPr>
        <w:t xml:space="preserve">hospital mortality increased from </w:t>
      </w:r>
      <w:r w:rsidR="001F1366" w:rsidRPr="00E97A38">
        <w:rPr>
          <w:rFonts w:ascii="Times New Roman" w:hAnsi="Times New Roman" w:cs="Times New Roman"/>
        </w:rPr>
        <w:t>1.0</w:t>
      </w:r>
      <w:r w:rsidRPr="00E97A38">
        <w:rPr>
          <w:rFonts w:ascii="Times New Roman" w:hAnsi="Times New Roman" w:cs="Times New Roman"/>
        </w:rPr>
        <w:t xml:space="preserve">% in patients with no </w:t>
      </w:r>
      <w:r w:rsidR="00BC0A3F" w:rsidRPr="00E97A38">
        <w:rPr>
          <w:rFonts w:ascii="Times New Roman" w:hAnsi="Times New Roman" w:cs="Times New Roman"/>
        </w:rPr>
        <w:t>comorbid</w:t>
      </w:r>
      <w:r w:rsidR="001F1366" w:rsidRPr="00E97A38">
        <w:rPr>
          <w:rFonts w:ascii="Times New Roman" w:hAnsi="Times New Roman" w:cs="Times New Roman"/>
        </w:rPr>
        <w:t xml:space="preserve"> conditions to 3.2</w:t>
      </w:r>
      <w:r w:rsidRPr="00E97A38">
        <w:rPr>
          <w:rFonts w:ascii="Times New Roman" w:hAnsi="Times New Roman" w:cs="Times New Roman"/>
        </w:rPr>
        <w:t xml:space="preserve">% in those patients with CCI score ≥3. </w:t>
      </w:r>
    </w:p>
    <w:p w14:paraId="2C26EC17" w14:textId="77777777" w:rsidR="001F1366" w:rsidRPr="00E97A38" w:rsidRDefault="00DD3CE0" w:rsidP="00A675E3">
      <w:pPr>
        <w:spacing w:after="0" w:line="360" w:lineRule="auto"/>
        <w:ind w:firstLine="720"/>
        <w:jc w:val="both"/>
        <w:rPr>
          <w:rFonts w:ascii="Times New Roman" w:hAnsi="Times New Roman" w:cs="Times New Roman"/>
        </w:rPr>
      </w:pPr>
      <w:r w:rsidRPr="00E97A38">
        <w:rPr>
          <w:rFonts w:ascii="Times New Roman" w:hAnsi="Times New Roman" w:cs="Times New Roman"/>
        </w:rPr>
        <w:t xml:space="preserve">Multivariable </w:t>
      </w:r>
      <w:r w:rsidR="003704B0" w:rsidRPr="00E97A38">
        <w:rPr>
          <w:rFonts w:ascii="Times New Roman" w:hAnsi="Times New Roman" w:cs="Times New Roman"/>
        </w:rPr>
        <w:t xml:space="preserve">analyses were conducted to </w:t>
      </w:r>
      <w:r w:rsidRPr="00E97A38">
        <w:rPr>
          <w:rFonts w:ascii="Times New Roman" w:hAnsi="Times New Roman" w:cs="Times New Roman"/>
        </w:rPr>
        <w:t>examine</w:t>
      </w:r>
      <w:r w:rsidR="003704B0" w:rsidRPr="00E97A38">
        <w:rPr>
          <w:rFonts w:ascii="Times New Roman" w:hAnsi="Times New Roman" w:cs="Times New Roman"/>
        </w:rPr>
        <w:t xml:space="preserve"> </w:t>
      </w:r>
      <w:r w:rsidR="0057747F" w:rsidRPr="00E97A38">
        <w:rPr>
          <w:rFonts w:ascii="Times New Roman" w:hAnsi="Times New Roman" w:cs="Times New Roman"/>
        </w:rPr>
        <w:t xml:space="preserve">the independent </w:t>
      </w:r>
      <w:r w:rsidR="003704B0" w:rsidRPr="00E97A38">
        <w:rPr>
          <w:rFonts w:ascii="Times New Roman" w:hAnsi="Times New Roman" w:cs="Times New Roman"/>
        </w:rPr>
        <w:t xml:space="preserve">prognostic </w:t>
      </w:r>
      <w:r w:rsidRPr="00E97A38">
        <w:rPr>
          <w:rFonts w:ascii="Times New Roman" w:hAnsi="Times New Roman" w:cs="Times New Roman"/>
        </w:rPr>
        <w:t xml:space="preserve">association </w:t>
      </w:r>
      <w:r w:rsidR="003704B0" w:rsidRPr="00E97A38">
        <w:rPr>
          <w:rFonts w:ascii="Times New Roman" w:hAnsi="Times New Roman" w:cs="Times New Roman"/>
        </w:rPr>
        <w:t xml:space="preserve">of comorbidity burden on in-hospital mortality and post-procedure complications (Table 4). Increased comorbidity burden was independently associated with increased odds of in hospital mortality post PCI. </w:t>
      </w:r>
      <w:r w:rsidR="001F1366" w:rsidRPr="00E97A38">
        <w:rPr>
          <w:rFonts w:ascii="Times New Roman" w:hAnsi="Times New Roman" w:cs="Times New Roman"/>
        </w:rPr>
        <w:t xml:space="preserve">A CCI score of 1 was independently associated with an increase in the odds of in hospital mortality (OR 1.19 (95% CI 1.15-1.25)), a score of 2 associated with an almost 1.5-fold increase (OR 1.41 (95% CI 1.34-1.48)) and a score of ≥3 a 2-fold increase (OR 1.96 (95% CI 1.86-2.07)) compared to no comorbid burden (CCI score of 0). </w:t>
      </w:r>
    </w:p>
    <w:p w14:paraId="292616A1" w14:textId="39FCB471" w:rsidR="003704B0" w:rsidRPr="00E97A38" w:rsidRDefault="003704B0" w:rsidP="00B05470">
      <w:pPr>
        <w:spacing w:after="0" w:line="360" w:lineRule="auto"/>
        <w:ind w:firstLine="720"/>
        <w:jc w:val="both"/>
        <w:rPr>
          <w:rFonts w:ascii="Times New Roman" w:hAnsi="Times New Roman" w:cs="Times New Roman"/>
        </w:rPr>
      </w:pPr>
      <w:r w:rsidRPr="00E97A38">
        <w:rPr>
          <w:rFonts w:ascii="Times New Roman" w:hAnsi="Times New Roman" w:cs="Times New Roman"/>
        </w:rPr>
        <w:t>Table 4 also shows that</w:t>
      </w:r>
      <w:r w:rsidR="00E100F9" w:rsidRPr="00E97A38">
        <w:rPr>
          <w:rFonts w:ascii="Times New Roman" w:hAnsi="Times New Roman" w:cs="Times New Roman"/>
        </w:rPr>
        <w:t>,</w:t>
      </w:r>
      <w:r w:rsidRPr="00E97A38">
        <w:rPr>
          <w:rFonts w:ascii="Times New Roman" w:hAnsi="Times New Roman" w:cs="Times New Roman"/>
        </w:rPr>
        <w:t xml:space="preserve"> after adjustment for potential confounders</w:t>
      </w:r>
      <w:r w:rsidR="00E100F9" w:rsidRPr="00E97A38">
        <w:rPr>
          <w:rFonts w:ascii="Times New Roman" w:hAnsi="Times New Roman" w:cs="Times New Roman"/>
        </w:rPr>
        <w:t>,</w:t>
      </w:r>
      <w:r w:rsidRPr="00E97A38">
        <w:rPr>
          <w:rFonts w:ascii="Times New Roman" w:hAnsi="Times New Roman" w:cs="Times New Roman"/>
        </w:rPr>
        <w:t xml:space="preserve"> increased comorbidity is independently associated with increased odds of all </w:t>
      </w:r>
      <w:r w:rsidR="009376ED" w:rsidRPr="00E97A38">
        <w:rPr>
          <w:rFonts w:ascii="Times New Roman" w:hAnsi="Times New Roman" w:cs="Times New Roman"/>
        </w:rPr>
        <w:t>other</w:t>
      </w:r>
      <w:r w:rsidRPr="00E97A38">
        <w:rPr>
          <w:rFonts w:ascii="Times New Roman" w:hAnsi="Times New Roman" w:cs="Times New Roman"/>
        </w:rPr>
        <w:t xml:space="preserve"> post procedure complications</w:t>
      </w:r>
      <w:r w:rsidR="001F1366" w:rsidRPr="00E97A38">
        <w:rPr>
          <w:rFonts w:ascii="Times New Roman" w:hAnsi="Times New Roman" w:cs="Times New Roman"/>
        </w:rPr>
        <w:t>, except for cardiac complications</w:t>
      </w:r>
      <w:r w:rsidRPr="00E97A38">
        <w:rPr>
          <w:rFonts w:ascii="Times New Roman" w:hAnsi="Times New Roman" w:cs="Times New Roman"/>
        </w:rPr>
        <w:t>. Supplemental table 3</w:t>
      </w:r>
      <w:r w:rsidR="009928D3" w:rsidRPr="00E97A38">
        <w:rPr>
          <w:rFonts w:ascii="Times New Roman" w:hAnsi="Times New Roman" w:cs="Times New Roman"/>
        </w:rPr>
        <w:t xml:space="preserve"> </w:t>
      </w:r>
      <w:r w:rsidRPr="00E97A38">
        <w:rPr>
          <w:rFonts w:ascii="Times New Roman" w:hAnsi="Times New Roman" w:cs="Times New Roman"/>
        </w:rPr>
        <w:t>reports the relationship between CCI (per unit increase) and post procedural complications and clinical outcomes. It can be see</w:t>
      </w:r>
      <w:r w:rsidR="00420324" w:rsidRPr="00E97A38">
        <w:rPr>
          <w:rFonts w:ascii="Times New Roman" w:hAnsi="Times New Roman" w:cs="Times New Roman"/>
        </w:rPr>
        <w:t>n</w:t>
      </w:r>
      <w:r w:rsidRPr="00E97A38">
        <w:rPr>
          <w:rFonts w:ascii="Times New Roman" w:hAnsi="Times New Roman" w:cs="Times New Roman"/>
        </w:rPr>
        <w:t xml:space="preserve"> that for all outcomes, each unit increase in CCI score is </w:t>
      </w:r>
      <w:r w:rsidRPr="00E97A38">
        <w:rPr>
          <w:rFonts w:ascii="Times New Roman" w:hAnsi="Times New Roman" w:cs="Times New Roman"/>
        </w:rPr>
        <w:lastRenderedPageBreak/>
        <w:t>independently associated with increased risk</w:t>
      </w:r>
      <w:r w:rsidR="00F611CF" w:rsidRPr="00E97A38">
        <w:rPr>
          <w:rFonts w:ascii="Times New Roman" w:hAnsi="Times New Roman" w:cs="Times New Roman"/>
        </w:rPr>
        <w:t xml:space="preserve"> with similar relationships reported to the main analysis</w:t>
      </w:r>
      <w:r w:rsidRPr="00E97A38">
        <w:rPr>
          <w:rFonts w:ascii="Times New Roman" w:hAnsi="Times New Roman" w:cs="Times New Roman"/>
        </w:rPr>
        <w:t>.</w:t>
      </w:r>
      <w:r w:rsidR="00097242" w:rsidRPr="00E97A38">
        <w:rPr>
          <w:rFonts w:ascii="Times New Roman" w:hAnsi="Times New Roman" w:cs="Times New Roman"/>
        </w:rPr>
        <w:t xml:space="preserve"> For example, each unit increase in C</w:t>
      </w:r>
      <w:r w:rsidR="009B29D8" w:rsidRPr="00E97A38">
        <w:rPr>
          <w:rFonts w:ascii="Times New Roman" w:hAnsi="Times New Roman" w:cs="Times New Roman"/>
        </w:rPr>
        <w:t>CI score is associated with a 18</w:t>
      </w:r>
      <w:r w:rsidR="00097242" w:rsidRPr="00E97A38">
        <w:rPr>
          <w:rFonts w:ascii="Times New Roman" w:hAnsi="Times New Roman" w:cs="Times New Roman"/>
        </w:rPr>
        <w:t>% increase in the odds o</w:t>
      </w:r>
      <w:r w:rsidR="009B29D8" w:rsidRPr="00E97A38">
        <w:rPr>
          <w:rFonts w:ascii="Times New Roman" w:hAnsi="Times New Roman" w:cs="Times New Roman"/>
        </w:rPr>
        <w:t>f in-hospital mortality (OR 1.18 (95% CI 1.17, 1.19</w:t>
      </w:r>
      <w:r w:rsidR="00097242" w:rsidRPr="00E97A38">
        <w:rPr>
          <w:rFonts w:ascii="Times New Roman" w:hAnsi="Times New Roman" w:cs="Times New Roman"/>
        </w:rPr>
        <w:t>)</w:t>
      </w:r>
      <w:r w:rsidR="00585607" w:rsidRPr="00E97A38">
        <w:rPr>
          <w:rFonts w:ascii="Times New Roman" w:hAnsi="Times New Roman" w:cs="Times New Roman"/>
        </w:rPr>
        <w:t>.</w:t>
      </w:r>
      <w:r w:rsidRPr="00E97A38">
        <w:rPr>
          <w:rFonts w:ascii="Times New Roman" w:hAnsi="Times New Roman" w:cs="Times New Roman"/>
        </w:rPr>
        <w:t xml:space="preserve"> Supplemental table 4 shows the prognostic impact of each individual component of the CCI score after </w:t>
      </w:r>
      <w:r w:rsidR="0017156A" w:rsidRPr="00E97A38">
        <w:rPr>
          <w:rFonts w:ascii="Times New Roman" w:hAnsi="Times New Roman" w:cs="Times New Roman"/>
        </w:rPr>
        <w:t xml:space="preserve">multivariable </w:t>
      </w:r>
      <w:r w:rsidRPr="00E97A38">
        <w:rPr>
          <w:rFonts w:ascii="Times New Roman" w:hAnsi="Times New Roman" w:cs="Times New Roman"/>
        </w:rPr>
        <w:t xml:space="preserve">analysis on both in hospital mortality and complications. </w:t>
      </w:r>
    </w:p>
    <w:p w14:paraId="6DC7A585" w14:textId="6F041A44" w:rsidR="00A675E3" w:rsidRPr="00A41A0E" w:rsidRDefault="003704B0" w:rsidP="00A41A0E">
      <w:pPr>
        <w:spacing w:after="0" w:line="360" w:lineRule="auto"/>
        <w:ind w:firstLine="720"/>
        <w:jc w:val="both"/>
        <w:rPr>
          <w:rFonts w:ascii="Times New Roman" w:hAnsi="Times New Roman" w:cs="Times New Roman"/>
        </w:rPr>
      </w:pPr>
      <w:r w:rsidRPr="00E97A38">
        <w:rPr>
          <w:rFonts w:ascii="Times New Roman" w:hAnsi="Times New Roman" w:cs="Times New Roman"/>
        </w:rPr>
        <w:t xml:space="preserve">Increasing comorbidity burden was </w:t>
      </w:r>
      <w:r w:rsidR="00E100F9" w:rsidRPr="00E97A38">
        <w:rPr>
          <w:rFonts w:ascii="Times New Roman" w:hAnsi="Times New Roman" w:cs="Times New Roman"/>
        </w:rPr>
        <w:t xml:space="preserve">also </w:t>
      </w:r>
      <w:r w:rsidRPr="00E97A38">
        <w:rPr>
          <w:rFonts w:ascii="Times New Roman" w:hAnsi="Times New Roman" w:cs="Times New Roman"/>
        </w:rPr>
        <w:t>associated with increasing length of stay (LOS)</w:t>
      </w:r>
      <w:r w:rsidR="00E100F9" w:rsidRPr="00E97A38">
        <w:rPr>
          <w:rFonts w:ascii="Times New Roman" w:hAnsi="Times New Roman" w:cs="Times New Roman"/>
        </w:rPr>
        <w:t xml:space="preserve">: </w:t>
      </w:r>
      <w:r w:rsidRPr="00E97A38">
        <w:rPr>
          <w:rFonts w:ascii="Times New Roman" w:hAnsi="Times New Roman" w:cs="Times New Roman"/>
        </w:rPr>
        <w:t xml:space="preserve"> me</w:t>
      </w:r>
      <w:r w:rsidR="009C11EA" w:rsidRPr="00E97A38">
        <w:rPr>
          <w:rFonts w:ascii="Times New Roman" w:hAnsi="Times New Roman" w:cs="Times New Roman"/>
        </w:rPr>
        <w:t>dian</w:t>
      </w:r>
      <w:r w:rsidRPr="00E97A38">
        <w:rPr>
          <w:rFonts w:ascii="Times New Roman" w:hAnsi="Times New Roman" w:cs="Times New Roman"/>
        </w:rPr>
        <w:t xml:space="preserve"> LOS of </w:t>
      </w:r>
      <w:r w:rsidR="00B1238D" w:rsidRPr="00E97A38">
        <w:rPr>
          <w:rFonts w:ascii="Times New Roman" w:hAnsi="Times New Roman" w:cs="Times New Roman"/>
        </w:rPr>
        <w:t>2</w:t>
      </w:r>
      <w:r w:rsidR="009C11EA" w:rsidRPr="00E97A38">
        <w:rPr>
          <w:rFonts w:ascii="Times New Roman" w:hAnsi="Times New Roman" w:cs="Times New Roman"/>
        </w:rPr>
        <w:t xml:space="preserve"> </w:t>
      </w:r>
      <w:r w:rsidR="00DC3C4F" w:rsidRPr="00E97A38">
        <w:rPr>
          <w:rFonts w:ascii="Times New Roman" w:hAnsi="Times New Roman" w:cs="Times New Roman"/>
        </w:rPr>
        <w:t>day</w:t>
      </w:r>
      <w:r w:rsidR="00B1238D" w:rsidRPr="00E97A38">
        <w:rPr>
          <w:rFonts w:ascii="Times New Roman" w:hAnsi="Times New Roman" w:cs="Times New Roman"/>
        </w:rPr>
        <w:t>s</w:t>
      </w:r>
      <w:r w:rsidR="00DC3C4F" w:rsidRPr="00E97A38">
        <w:rPr>
          <w:rFonts w:ascii="Times New Roman" w:hAnsi="Times New Roman" w:cs="Times New Roman"/>
        </w:rPr>
        <w:t>, 2</w:t>
      </w:r>
      <w:r w:rsidRPr="00E97A38">
        <w:rPr>
          <w:rFonts w:ascii="Times New Roman" w:hAnsi="Times New Roman" w:cs="Times New Roman"/>
        </w:rPr>
        <w:t xml:space="preserve"> days, </w:t>
      </w:r>
      <w:r w:rsidR="00DC3C4F" w:rsidRPr="00E97A38">
        <w:rPr>
          <w:rFonts w:ascii="Times New Roman" w:hAnsi="Times New Roman" w:cs="Times New Roman"/>
        </w:rPr>
        <w:t>3</w:t>
      </w:r>
      <w:r w:rsidRPr="00E97A38">
        <w:rPr>
          <w:rFonts w:ascii="Times New Roman" w:hAnsi="Times New Roman" w:cs="Times New Roman"/>
        </w:rPr>
        <w:t xml:space="preserve"> days and </w:t>
      </w:r>
      <w:r w:rsidR="00DC3C4F" w:rsidRPr="00E97A38">
        <w:rPr>
          <w:rFonts w:ascii="Times New Roman" w:hAnsi="Times New Roman" w:cs="Times New Roman"/>
        </w:rPr>
        <w:t>4</w:t>
      </w:r>
      <w:r w:rsidR="0095030F" w:rsidRPr="00E97A38">
        <w:rPr>
          <w:rFonts w:ascii="Times New Roman" w:hAnsi="Times New Roman" w:cs="Times New Roman"/>
        </w:rPr>
        <w:t xml:space="preserve"> </w:t>
      </w:r>
      <w:r w:rsidRPr="00E97A38">
        <w:rPr>
          <w:rFonts w:ascii="Times New Roman" w:hAnsi="Times New Roman" w:cs="Times New Roman"/>
        </w:rPr>
        <w:t xml:space="preserve">days for a </w:t>
      </w:r>
      <w:r w:rsidR="0095030F" w:rsidRPr="00E97A38">
        <w:rPr>
          <w:rFonts w:ascii="Times New Roman" w:hAnsi="Times New Roman" w:cs="Times New Roman"/>
        </w:rPr>
        <w:t>CCI</w:t>
      </w:r>
      <w:r w:rsidRPr="00E97A38">
        <w:rPr>
          <w:rFonts w:ascii="Times New Roman" w:hAnsi="Times New Roman" w:cs="Times New Roman"/>
        </w:rPr>
        <w:t xml:space="preserve"> of 0, 1, 2 and ≥3</w:t>
      </w:r>
      <w:r w:rsidR="00420324" w:rsidRPr="00E97A38">
        <w:rPr>
          <w:rFonts w:ascii="Times New Roman" w:hAnsi="Times New Roman" w:cs="Times New Roman"/>
        </w:rPr>
        <w:t xml:space="preserve"> respectively</w:t>
      </w:r>
      <w:r w:rsidR="003D328D" w:rsidRPr="00E97A38">
        <w:rPr>
          <w:rFonts w:ascii="Times New Roman" w:hAnsi="Times New Roman" w:cs="Times New Roman"/>
        </w:rPr>
        <w:t>, seen in F</w:t>
      </w:r>
      <w:r w:rsidR="00DC3C4F" w:rsidRPr="00E97A38">
        <w:rPr>
          <w:rFonts w:ascii="Times New Roman" w:hAnsi="Times New Roman" w:cs="Times New Roman"/>
        </w:rPr>
        <w:t xml:space="preserve">igure </w:t>
      </w:r>
      <w:r w:rsidR="00A714E2" w:rsidRPr="00E97A38">
        <w:rPr>
          <w:rFonts w:ascii="Times New Roman" w:hAnsi="Times New Roman" w:cs="Times New Roman"/>
        </w:rPr>
        <w:t>3</w:t>
      </w:r>
      <w:r w:rsidRPr="00E97A38">
        <w:rPr>
          <w:rFonts w:ascii="Times New Roman" w:hAnsi="Times New Roman" w:cs="Times New Roman"/>
        </w:rPr>
        <w:t xml:space="preserve">. </w:t>
      </w:r>
      <w:r w:rsidR="00EE3592" w:rsidRPr="00E97A38">
        <w:rPr>
          <w:rFonts w:ascii="Times New Roman" w:hAnsi="Times New Roman" w:cs="Times New Roman"/>
        </w:rPr>
        <w:t xml:space="preserve">Supplementary Figure </w:t>
      </w:r>
      <w:r w:rsidR="00A714E2" w:rsidRPr="00E97A38">
        <w:rPr>
          <w:rFonts w:ascii="Times New Roman" w:hAnsi="Times New Roman" w:cs="Times New Roman"/>
        </w:rPr>
        <w:t xml:space="preserve">3 </w:t>
      </w:r>
      <w:r w:rsidRPr="00E97A38">
        <w:rPr>
          <w:rFonts w:ascii="Times New Roman" w:hAnsi="Times New Roman" w:cs="Times New Roman"/>
        </w:rPr>
        <w:t>show</w:t>
      </w:r>
      <w:r w:rsidR="00A848BD" w:rsidRPr="00E97A38">
        <w:rPr>
          <w:rFonts w:ascii="Times New Roman" w:hAnsi="Times New Roman" w:cs="Times New Roman"/>
        </w:rPr>
        <w:t>s</w:t>
      </w:r>
      <w:r w:rsidRPr="00E97A38">
        <w:rPr>
          <w:rFonts w:ascii="Times New Roman" w:hAnsi="Times New Roman" w:cs="Times New Roman"/>
        </w:rPr>
        <w:t xml:space="preserve"> variation </w:t>
      </w:r>
      <w:r w:rsidR="00F611CF" w:rsidRPr="00E97A38">
        <w:rPr>
          <w:rFonts w:ascii="Times New Roman" w:hAnsi="Times New Roman" w:cs="Times New Roman"/>
        </w:rPr>
        <w:t>in the LOS categorised by CCI score</w:t>
      </w:r>
      <w:r w:rsidRPr="00E97A38">
        <w:rPr>
          <w:rFonts w:ascii="Times New Roman" w:hAnsi="Times New Roman" w:cs="Times New Roman"/>
        </w:rPr>
        <w:t xml:space="preserve"> </w:t>
      </w:r>
      <w:r w:rsidR="00F611CF" w:rsidRPr="00E97A38">
        <w:rPr>
          <w:rFonts w:ascii="Times New Roman" w:hAnsi="Times New Roman" w:cs="Times New Roman"/>
        </w:rPr>
        <w:t xml:space="preserve">across the </w:t>
      </w:r>
      <w:r w:rsidRPr="00E97A38">
        <w:rPr>
          <w:rFonts w:ascii="Times New Roman" w:hAnsi="Times New Roman" w:cs="Times New Roman"/>
        </w:rPr>
        <w:t>year</w:t>
      </w:r>
      <w:r w:rsidR="00F611CF" w:rsidRPr="00E97A38">
        <w:rPr>
          <w:rFonts w:ascii="Times New Roman" w:hAnsi="Times New Roman" w:cs="Times New Roman"/>
        </w:rPr>
        <w:t>s studied</w:t>
      </w:r>
      <w:r w:rsidRPr="00E97A38">
        <w:rPr>
          <w:rFonts w:ascii="Times New Roman" w:hAnsi="Times New Roman" w:cs="Times New Roman"/>
        </w:rPr>
        <w:t>. An increase</w:t>
      </w:r>
      <w:r w:rsidR="00F611CF" w:rsidRPr="00E97A38">
        <w:rPr>
          <w:rFonts w:ascii="Times New Roman" w:hAnsi="Times New Roman" w:cs="Times New Roman"/>
        </w:rPr>
        <w:t xml:space="preserve"> </w:t>
      </w:r>
      <w:r w:rsidRPr="00E97A38">
        <w:rPr>
          <w:rFonts w:ascii="Times New Roman" w:hAnsi="Times New Roman" w:cs="Times New Roman"/>
        </w:rPr>
        <w:t xml:space="preserve">in </w:t>
      </w:r>
      <w:r w:rsidR="00F611CF" w:rsidRPr="00E97A38">
        <w:rPr>
          <w:rFonts w:ascii="Times New Roman" w:hAnsi="Times New Roman" w:cs="Times New Roman"/>
        </w:rPr>
        <w:t>comorbid bur</w:t>
      </w:r>
      <w:r w:rsidR="00987354" w:rsidRPr="00E97A38">
        <w:rPr>
          <w:rFonts w:ascii="Times New Roman" w:hAnsi="Times New Roman" w:cs="Times New Roman"/>
        </w:rPr>
        <w:t xml:space="preserve">den was associated with increasing healthcare </w:t>
      </w:r>
      <w:r w:rsidRPr="00E97A38">
        <w:rPr>
          <w:rFonts w:ascii="Times New Roman" w:hAnsi="Times New Roman" w:cs="Times New Roman"/>
        </w:rPr>
        <w:t xml:space="preserve">costs. </w:t>
      </w:r>
      <w:r w:rsidR="00A26F88" w:rsidRPr="00E97A38">
        <w:rPr>
          <w:rFonts w:ascii="Times New Roman" w:hAnsi="Times New Roman" w:cs="Times New Roman"/>
        </w:rPr>
        <w:t>Specifically, p</w:t>
      </w:r>
      <w:r w:rsidRPr="00E97A38">
        <w:rPr>
          <w:rFonts w:ascii="Times New Roman" w:hAnsi="Times New Roman" w:cs="Times New Roman"/>
        </w:rPr>
        <w:t xml:space="preserve">atients with a CCI </w:t>
      </w:r>
      <w:r w:rsidR="00640838" w:rsidRPr="00E97A38">
        <w:rPr>
          <w:rFonts w:ascii="Times New Roman" w:hAnsi="Times New Roman" w:cs="Times New Roman"/>
        </w:rPr>
        <w:t>sc</w:t>
      </w:r>
      <w:r w:rsidR="009B7CE3" w:rsidRPr="00E97A38">
        <w:rPr>
          <w:rFonts w:ascii="Times New Roman" w:hAnsi="Times New Roman" w:cs="Times New Roman"/>
        </w:rPr>
        <w:t xml:space="preserve">ore of 0 had an average of </w:t>
      </w:r>
      <w:r w:rsidR="00B1238D" w:rsidRPr="00E97A38">
        <w:rPr>
          <w:rFonts w:ascii="Times New Roman" w:hAnsi="Times New Roman" w:cs="Times New Roman"/>
        </w:rPr>
        <w:t>$16,522</w:t>
      </w:r>
      <w:r w:rsidRPr="00E97A38">
        <w:rPr>
          <w:rFonts w:ascii="Times New Roman" w:hAnsi="Times New Roman" w:cs="Times New Roman"/>
        </w:rPr>
        <w:t xml:space="preserve"> cost for their treatment, inc</w:t>
      </w:r>
      <w:r w:rsidR="00640838" w:rsidRPr="00E97A38">
        <w:rPr>
          <w:rFonts w:ascii="Times New Roman" w:hAnsi="Times New Roman" w:cs="Times New Roman"/>
        </w:rPr>
        <w:t>reasing to an a</w:t>
      </w:r>
      <w:r w:rsidR="00B1238D" w:rsidRPr="00E97A38">
        <w:rPr>
          <w:rFonts w:ascii="Times New Roman" w:hAnsi="Times New Roman" w:cs="Times New Roman"/>
        </w:rPr>
        <w:t>verage of $17,277</w:t>
      </w:r>
      <w:r w:rsidRPr="00E97A38">
        <w:rPr>
          <w:rFonts w:ascii="Times New Roman" w:hAnsi="Times New Roman" w:cs="Times New Roman"/>
        </w:rPr>
        <w:t xml:space="preserve"> for </w:t>
      </w:r>
      <w:r w:rsidR="00B1238D" w:rsidRPr="00E97A38">
        <w:rPr>
          <w:rFonts w:ascii="Times New Roman" w:hAnsi="Times New Roman" w:cs="Times New Roman"/>
        </w:rPr>
        <w:t>those with a score of 1, $18,921</w:t>
      </w:r>
      <w:r w:rsidRPr="00E97A38">
        <w:rPr>
          <w:rFonts w:ascii="Times New Roman" w:hAnsi="Times New Roman" w:cs="Times New Roman"/>
        </w:rPr>
        <w:t xml:space="preserve"> for those with a score of 2 and $</w:t>
      </w:r>
      <w:r w:rsidR="00B1238D" w:rsidRPr="00E97A38">
        <w:rPr>
          <w:rFonts w:ascii="Times New Roman" w:hAnsi="Times New Roman" w:cs="Times New Roman"/>
        </w:rPr>
        <w:t>21,625</w:t>
      </w:r>
      <w:r w:rsidRPr="00E97A38">
        <w:rPr>
          <w:rFonts w:ascii="Times New Roman" w:hAnsi="Times New Roman" w:cs="Times New Roman"/>
        </w:rPr>
        <w:t xml:space="preserve"> for those with a score of ≥3</w:t>
      </w:r>
      <w:r w:rsidR="00DC3C4F" w:rsidRPr="00E97A38">
        <w:rPr>
          <w:rFonts w:ascii="Times New Roman" w:hAnsi="Times New Roman" w:cs="Times New Roman"/>
        </w:rPr>
        <w:t xml:space="preserve">, </w:t>
      </w:r>
      <w:r w:rsidR="003D328D" w:rsidRPr="00E97A38">
        <w:rPr>
          <w:rFonts w:ascii="Times New Roman" w:hAnsi="Times New Roman" w:cs="Times New Roman"/>
        </w:rPr>
        <w:t xml:space="preserve">as shown in </w:t>
      </w:r>
      <w:r w:rsidR="00DC3C4F" w:rsidRPr="00E97A38">
        <w:rPr>
          <w:rFonts w:ascii="Times New Roman" w:hAnsi="Times New Roman" w:cs="Times New Roman"/>
        </w:rPr>
        <w:t xml:space="preserve">Figure </w:t>
      </w:r>
      <w:r w:rsidR="006F1A0B" w:rsidRPr="00E97A38">
        <w:rPr>
          <w:rFonts w:ascii="Times New Roman" w:hAnsi="Times New Roman" w:cs="Times New Roman"/>
        </w:rPr>
        <w:t>4</w:t>
      </w:r>
      <w:r w:rsidRPr="00E97A38">
        <w:rPr>
          <w:rFonts w:ascii="Times New Roman" w:hAnsi="Times New Roman" w:cs="Times New Roman"/>
        </w:rPr>
        <w:t xml:space="preserve">. </w:t>
      </w:r>
      <w:r w:rsidR="00EE3592" w:rsidRPr="00E97A38">
        <w:rPr>
          <w:rFonts w:ascii="Times New Roman" w:hAnsi="Times New Roman" w:cs="Times New Roman"/>
        </w:rPr>
        <w:t xml:space="preserve">Supplementary Figure </w:t>
      </w:r>
      <w:r w:rsidR="006F1A0B" w:rsidRPr="00E97A38">
        <w:rPr>
          <w:rFonts w:ascii="Times New Roman" w:hAnsi="Times New Roman" w:cs="Times New Roman"/>
        </w:rPr>
        <w:t>4</w:t>
      </w:r>
      <w:r w:rsidR="00DC44B7" w:rsidRPr="00E97A38">
        <w:rPr>
          <w:rFonts w:ascii="Times New Roman" w:hAnsi="Times New Roman" w:cs="Times New Roman"/>
        </w:rPr>
        <w:t xml:space="preserve"> shows the variation in the differences in the cost of hospitalisation total charge annual</w:t>
      </w:r>
      <w:r w:rsidR="009B7CE3" w:rsidRPr="00E97A38">
        <w:rPr>
          <w:rFonts w:ascii="Times New Roman" w:hAnsi="Times New Roman" w:cs="Times New Roman"/>
        </w:rPr>
        <w:t>ly</w:t>
      </w:r>
      <w:r w:rsidR="00DC44B7" w:rsidRPr="00E97A38">
        <w:rPr>
          <w:rFonts w:ascii="Times New Roman" w:hAnsi="Times New Roman" w:cs="Times New Roman"/>
        </w:rPr>
        <w:t xml:space="preserve"> for each of the CCI scores. </w:t>
      </w:r>
      <w:r w:rsidRPr="00E97A38">
        <w:rPr>
          <w:rFonts w:ascii="Times New Roman" w:hAnsi="Times New Roman" w:cs="Times New Roman"/>
        </w:rPr>
        <w:t xml:space="preserve"> </w:t>
      </w:r>
    </w:p>
    <w:p w14:paraId="2972FCE2" w14:textId="77777777" w:rsidR="006F2110" w:rsidRPr="00E97A38" w:rsidRDefault="006F2110" w:rsidP="00A675E3">
      <w:pPr>
        <w:spacing w:after="0" w:line="360" w:lineRule="auto"/>
        <w:jc w:val="both"/>
        <w:rPr>
          <w:rFonts w:ascii="Times New Roman" w:hAnsi="Times New Roman" w:cs="Times New Roman"/>
          <w:b/>
        </w:rPr>
      </w:pPr>
      <w:r w:rsidRPr="00E97A38">
        <w:rPr>
          <w:rFonts w:ascii="Times New Roman" w:hAnsi="Times New Roman" w:cs="Times New Roman"/>
          <w:b/>
        </w:rPr>
        <w:t>Discussion</w:t>
      </w:r>
    </w:p>
    <w:p w14:paraId="3B5C2DCD" w14:textId="1D7F68F7" w:rsidR="009B3662" w:rsidRPr="00E97A38" w:rsidRDefault="00876557" w:rsidP="00A675E3">
      <w:pPr>
        <w:spacing w:after="0" w:line="360" w:lineRule="auto"/>
        <w:jc w:val="both"/>
        <w:rPr>
          <w:rFonts w:ascii="Times New Roman" w:hAnsi="Times New Roman" w:cs="Times New Roman"/>
        </w:rPr>
      </w:pPr>
      <w:r w:rsidRPr="00E97A38">
        <w:rPr>
          <w:rFonts w:ascii="Times New Roman" w:hAnsi="Times New Roman" w:cs="Times New Roman"/>
        </w:rPr>
        <w:tab/>
      </w:r>
      <w:r w:rsidR="009B3662" w:rsidRPr="00E97A38">
        <w:rPr>
          <w:rFonts w:ascii="Times New Roman" w:hAnsi="Times New Roman" w:cs="Times New Roman"/>
        </w:rPr>
        <w:t xml:space="preserve">Our study is the first to systematically study the prevalence, prognostic impact and healthcare costs associated with </w:t>
      </w:r>
      <w:r w:rsidR="00BC0A3F" w:rsidRPr="00E97A38">
        <w:rPr>
          <w:rFonts w:ascii="Times New Roman" w:hAnsi="Times New Roman" w:cs="Times New Roman"/>
        </w:rPr>
        <w:t>comorbid</w:t>
      </w:r>
      <w:r w:rsidR="009B3662" w:rsidRPr="00E97A38">
        <w:rPr>
          <w:rFonts w:ascii="Times New Roman" w:hAnsi="Times New Roman" w:cs="Times New Roman"/>
        </w:rPr>
        <w:t xml:space="preserve">ity burden in a national cohort of patients who underwent PCI. </w:t>
      </w:r>
      <w:r w:rsidRPr="00E97A38">
        <w:rPr>
          <w:rFonts w:ascii="Times New Roman" w:hAnsi="Times New Roman" w:cs="Times New Roman"/>
        </w:rPr>
        <w:t xml:space="preserve">Our analysis of </w:t>
      </w:r>
      <w:r w:rsidR="005712F8" w:rsidRPr="00E97A38">
        <w:rPr>
          <w:rFonts w:ascii="Times New Roman" w:hAnsi="Times New Roman" w:cs="Times New Roman"/>
        </w:rPr>
        <w:t>over 6</w:t>
      </w:r>
      <w:r w:rsidRPr="00E97A38">
        <w:rPr>
          <w:rFonts w:ascii="Times New Roman" w:hAnsi="Times New Roman" w:cs="Times New Roman"/>
        </w:rPr>
        <w:t xml:space="preserve"> million PCI procedures </w:t>
      </w:r>
      <w:r w:rsidR="00497471" w:rsidRPr="00E97A38">
        <w:rPr>
          <w:rFonts w:ascii="Times New Roman" w:hAnsi="Times New Roman" w:cs="Times New Roman"/>
        </w:rPr>
        <w:t xml:space="preserve">undertaken </w:t>
      </w:r>
      <w:r w:rsidRPr="00E97A38">
        <w:rPr>
          <w:rFonts w:ascii="Times New Roman" w:hAnsi="Times New Roman" w:cs="Times New Roman"/>
        </w:rPr>
        <w:t>in the United States</w:t>
      </w:r>
      <w:r w:rsidR="004503EE" w:rsidRPr="00E97A38">
        <w:rPr>
          <w:rFonts w:ascii="Times New Roman" w:hAnsi="Times New Roman" w:cs="Times New Roman"/>
        </w:rPr>
        <w:t xml:space="preserve"> has shown that comorbid burden </w:t>
      </w:r>
      <w:r w:rsidR="00EF5AF2" w:rsidRPr="00E97A38">
        <w:rPr>
          <w:rFonts w:ascii="Times New Roman" w:hAnsi="Times New Roman" w:cs="Times New Roman"/>
        </w:rPr>
        <w:t>i</w:t>
      </w:r>
      <w:r w:rsidR="004503EE" w:rsidRPr="00E97A38">
        <w:rPr>
          <w:rFonts w:ascii="Times New Roman" w:hAnsi="Times New Roman" w:cs="Times New Roman"/>
        </w:rPr>
        <w:t xml:space="preserve">n patients has increased </w:t>
      </w:r>
      <w:r w:rsidR="00827DF9" w:rsidRPr="00E97A38">
        <w:rPr>
          <w:rFonts w:ascii="Times New Roman" w:hAnsi="Times New Roman" w:cs="Times New Roman"/>
        </w:rPr>
        <w:t>significantly</w:t>
      </w:r>
      <w:r w:rsidR="00497471" w:rsidRPr="00E97A38">
        <w:rPr>
          <w:rFonts w:ascii="Times New Roman" w:hAnsi="Times New Roman" w:cs="Times New Roman"/>
        </w:rPr>
        <w:t xml:space="preserve"> over the past decade</w:t>
      </w:r>
      <w:r w:rsidR="004503EE" w:rsidRPr="00E97A38">
        <w:rPr>
          <w:rFonts w:ascii="Times New Roman" w:hAnsi="Times New Roman" w:cs="Times New Roman"/>
        </w:rPr>
        <w:t xml:space="preserve">, </w:t>
      </w:r>
      <w:r w:rsidR="00BA2834" w:rsidRPr="00E97A38">
        <w:rPr>
          <w:rFonts w:ascii="Times New Roman" w:hAnsi="Times New Roman" w:cs="Times New Roman"/>
        </w:rPr>
        <w:t>with</w:t>
      </w:r>
      <w:r w:rsidR="00386CF7" w:rsidRPr="00E97A38">
        <w:rPr>
          <w:rFonts w:ascii="Times New Roman" w:hAnsi="Times New Roman" w:cs="Times New Roman"/>
        </w:rPr>
        <w:t xml:space="preserve"> </w:t>
      </w:r>
      <w:r w:rsidR="00232939" w:rsidRPr="00E97A38">
        <w:rPr>
          <w:rFonts w:ascii="Times New Roman" w:hAnsi="Times New Roman" w:cs="Times New Roman"/>
        </w:rPr>
        <w:t>60</w:t>
      </w:r>
      <w:r w:rsidR="00EF5AF2" w:rsidRPr="00E97A38">
        <w:rPr>
          <w:rFonts w:ascii="Times New Roman" w:hAnsi="Times New Roman" w:cs="Times New Roman"/>
        </w:rPr>
        <w:t xml:space="preserve">% of </w:t>
      </w:r>
      <w:r w:rsidR="00497471" w:rsidRPr="00E97A38">
        <w:rPr>
          <w:rFonts w:ascii="Times New Roman" w:hAnsi="Times New Roman" w:cs="Times New Roman"/>
        </w:rPr>
        <w:t xml:space="preserve">the </w:t>
      </w:r>
      <w:r w:rsidR="00EF5AF2" w:rsidRPr="00E97A38">
        <w:rPr>
          <w:rFonts w:ascii="Times New Roman" w:hAnsi="Times New Roman" w:cs="Times New Roman"/>
        </w:rPr>
        <w:t xml:space="preserve">patients </w:t>
      </w:r>
      <w:r w:rsidR="00827DF9" w:rsidRPr="00E97A38">
        <w:rPr>
          <w:rFonts w:ascii="Times New Roman" w:hAnsi="Times New Roman" w:cs="Times New Roman"/>
        </w:rPr>
        <w:t xml:space="preserve">undergoing PCI </w:t>
      </w:r>
      <w:r w:rsidR="00D34E0E" w:rsidRPr="00E97A38">
        <w:rPr>
          <w:rFonts w:ascii="Times New Roman" w:hAnsi="Times New Roman" w:cs="Times New Roman"/>
        </w:rPr>
        <w:t xml:space="preserve">in contemporary practice </w:t>
      </w:r>
      <w:r w:rsidR="00497471" w:rsidRPr="00E97A38">
        <w:rPr>
          <w:rFonts w:ascii="Times New Roman" w:hAnsi="Times New Roman" w:cs="Times New Roman"/>
        </w:rPr>
        <w:t>having at least 1 comorbid condition</w:t>
      </w:r>
      <w:r w:rsidR="00BA2834" w:rsidRPr="00E97A38">
        <w:rPr>
          <w:rFonts w:ascii="Times New Roman" w:hAnsi="Times New Roman" w:cs="Times New Roman"/>
        </w:rPr>
        <w:t xml:space="preserve"> </w:t>
      </w:r>
      <w:r w:rsidR="00FF7DCE" w:rsidRPr="00E97A38">
        <w:rPr>
          <w:rFonts w:ascii="Times New Roman" w:hAnsi="Times New Roman" w:cs="Times New Roman"/>
        </w:rPr>
        <w:t xml:space="preserve">and </w:t>
      </w:r>
      <w:r w:rsidR="00232939" w:rsidRPr="00E97A38">
        <w:rPr>
          <w:rFonts w:ascii="Times New Roman" w:hAnsi="Times New Roman" w:cs="Times New Roman"/>
        </w:rPr>
        <w:t>nearly 10</w:t>
      </w:r>
      <w:r w:rsidR="00BA2834" w:rsidRPr="00E97A38">
        <w:rPr>
          <w:rFonts w:ascii="Times New Roman" w:hAnsi="Times New Roman" w:cs="Times New Roman"/>
        </w:rPr>
        <w:t xml:space="preserve">% of patients </w:t>
      </w:r>
      <w:r w:rsidR="00FF7DCE" w:rsidRPr="00E97A38">
        <w:rPr>
          <w:rFonts w:ascii="Times New Roman" w:hAnsi="Times New Roman" w:cs="Times New Roman"/>
        </w:rPr>
        <w:t xml:space="preserve">classed as </w:t>
      </w:r>
      <w:r w:rsidR="00BA2834" w:rsidRPr="00E97A38">
        <w:rPr>
          <w:rFonts w:ascii="Times New Roman" w:hAnsi="Times New Roman" w:cs="Times New Roman"/>
        </w:rPr>
        <w:t>severe</w:t>
      </w:r>
      <w:r w:rsidR="00FF7DCE" w:rsidRPr="00E97A38">
        <w:rPr>
          <w:rFonts w:ascii="Times New Roman" w:hAnsi="Times New Roman" w:cs="Times New Roman"/>
        </w:rPr>
        <w:t>ly</w:t>
      </w:r>
      <w:r w:rsidR="00BA2834" w:rsidRPr="00E97A38">
        <w:rPr>
          <w:rFonts w:ascii="Times New Roman" w:hAnsi="Times New Roman" w:cs="Times New Roman"/>
        </w:rPr>
        <w:t xml:space="preserve"> comorbid (CCI ≥ 3)</w:t>
      </w:r>
      <w:r w:rsidR="00EF5AF2" w:rsidRPr="00E97A38">
        <w:rPr>
          <w:rFonts w:ascii="Times New Roman" w:hAnsi="Times New Roman" w:cs="Times New Roman"/>
        </w:rPr>
        <w:t xml:space="preserve">. </w:t>
      </w:r>
      <w:r w:rsidR="00A26F88" w:rsidRPr="00E97A38">
        <w:rPr>
          <w:rFonts w:ascii="Times New Roman" w:hAnsi="Times New Roman" w:cs="Times New Roman"/>
        </w:rPr>
        <w:t>Furthermore, c</w:t>
      </w:r>
      <w:r w:rsidR="00EF5AF2" w:rsidRPr="00E97A38">
        <w:rPr>
          <w:rFonts w:ascii="Times New Roman" w:hAnsi="Times New Roman" w:cs="Times New Roman"/>
        </w:rPr>
        <w:t xml:space="preserve">omorbid burden is independently associated with </w:t>
      </w:r>
      <w:r w:rsidR="00A26F88" w:rsidRPr="00E97A38">
        <w:rPr>
          <w:rFonts w:ascii="Times New Roman" w:hAnsi="Times New Roman" w:cs="Times New Roman"/>
        </w:rPr>
        <w:t xml:space="preserve">an </w:t>
      </w:r>
      <w:r w:rsidR="00EF5AF2" w:rsidRPr="00E97A38">
        <w:rPr>
          <w:rFonts w:ascii="Times New Roman" w:hAnsi="Times New Roman" w:cs="Times New Roman"/>
        </w:rPr>
        <w:t xml:space="preserve">increased risk of in hospital mortality, </w:t>
      </w:r>
      <w:r w:rsidR="00BA2834" w:rsidRPr="00E97A38">
        <w:rPr>
          <w:rFonts w:ascii="Times New Roman" w:hAnsi="Times New Roman" w:cs="Times New Roman"/>
        </w:rPr>
        <w:t>in</w:t>
      </w:r>
      <w:r w:rsidR="00177B25" w:rsidRPr="00E97A38">
        <w:rPr>
          <w:rFonts w:ascii="Times New Roman" w:hAnsi="Times New Roman" w:cs="Times New Roman"/>
        </w:rPr>
        <w:t xml:space="preserve"> hospital</w:t>
      </w:r>
      <w:r w:rsidR="00BA2834" w:rsidRPr="00E97A38">
        <w:rPr>
          <w:rFonts w:ascii="Times New Roman" w:hAnsi="Times New Roman" w:cs="Times New Roman"/>
        </w:rPr>
        <w:t xml:space="preserve"> complications, length of stay and healthcare costs. </w:t>
      </w:r>
      <w:r w:rsidR="00A26F88" w:rsidRPr="00E97A38">
        <w:rPr>
          <w:rFonts w:ascii="Times New Roman" w:hAnsi="Times New Roman" w:cs="Times New Roman"/>
        </w:rPr>
        <w:t xml:space="preserve">Thus, </w:t>
      </w:r>
      <w:r w:rsidR="00FB1531" w:rsidRPr="00E97A38">
        <w:rPr>
          <w:rFonts w:ascii="Times New Roman" w:hAnsi="Times New Roman" w:cs="Times New Roman"/>
        </w:rPr>
        <w:t xml:space="preserve">after adjustment for other variables, </w:t>
      </w:r>
      <w:r w:rsidR="00A26F88" w:rsidRPr="00E97A38">
        <w:rPr>
          <w:rFonts w:ascii="Times New Roman" w:hAnsi="Times New Roman" w:cs="Times New Roman"/>
        </w:rPr>
        <w:t>p</w:t>
      </w:r>
      <w:r w:rsidR="00D34E0E" w:rsidRPr="00E97A38">
        <w:rPr>
          <w:rFonts w:ascii="Times New Roman" w:hAnsi="Times New Roman" w:cs="Times New Roman"/>
        </w:rPr>
        <w:t xml:space="preserve">atients with </w:t>
      </w:r>
      <w:r w:rsidR="00BA2834" w:rsidRPr="00E97A38">
        <w:rPr>
          <w:rFonts w:ascii="Times New Roman" w:hAnsi="Times New Roman" w:cs="Times New Roman"/>
        </w:rPr>
        <w:t xml:space="preserve">the </w:t>
      </w:r>
      <w:r w:rsidR="00D34E0E" w:rsidRPr="00E97A38">
        <w:rPr>
          <w:rFonts w:ascii="Times New Roman" w:hAnsi="Times New Roman" w:cs="Times New Roman"/>
        </w:rPr>
        <w:t xml:space="preserve">greatest comorbid burden (CCI≥3) </w:t>
      </w:r>
      <w:r w:rsidR="00497471" w:rsidRPr="00E97A38">
        <w:rPr>
          <w:rFonts w:ascii="Times New Roman" w:hAnsi="Times New Roman" w:cs="Times New Roman"/>
        </w:rPr>
        <w:t>hav</w:t>
      </w:r>
      <w:r w:rsidR="00BA2834" w:rsidRPr="00E97A38">
        <w:rPr>
          <w:rFonts w:ascii="Times New Roman" w:hAnsi="Times New Roman" w:cs="Times New Roman"/>
        </w:rPr>
        <w:t>e</w:t>
      </w:r>
      <w:r w:rsidR="00497471" w:rsidRPr="00E97A38">
        <w:rPr>
          <w:rFonts w:ascii="Times New Roman" w:hAnsi="Times New Roman" w:cs="Times New Roman"/>
        </w:rPr>
        <w:t xml:space="preserve"> </w:t>
      </w:r>
      <w:r w:rsidR="00434588" w:rsidRPr="00E97A38">
        <w:rPr>
          <w:rFonts w:ascii="Times New Roman" w:hAnsi="Times New Roman" w:cs="Times New Roman"/>
        </w:rPr>
        <w:t>2-fold independent increased odds</w:t>
      </w:r>
      <w:r w:rsidR="00F473F4" w:rsidRPr="00E97A38">
        <w:rPr>
          <w:rFonts w:ascii="Times New Roman" w:hAnsi="Times New Roman" w:cs="Times New Roman"/>
        </w:rPr>
        <w:t xml:space="preserve"> </w:t>
      </w:r>
      <w:r w:rsidR="00497471" w:rsidRPr="00E97A38">
        <w:rPr>
          <w:rFonts w:ascii="Times New Roman" w:hAnsi="Times New Roman" w:cs="Times New Roman"/>
        </w:rPr>
        <w:t xml:space="preserve">of </w:t>
      </w:r>
      <w:r w:rsidR="00EF5AF2" w:rsidRPr="00E97A38">
        <w:rPr>
          <w:rFonts w:ascii="Times New Roman" w:hAnsi="Times New Roman" w:cs="Times New Roman"/>
        </w:rPr>
        <w:t>in</w:t>
      </w:r>
      <w:r w:rsidR="00F473F4" w:rsidRPr="00E97A38">
        <w:rPr>
          <w:rFonts w:ascii="Times New Roman" w:hAnsi="Times New Roman" w:cs="Times New Roman"/>
        </w:rPr>
        <w:t>-</w:t>
      </w:r>
      <w:r w:rsidR="00EF5AF2" w:rsidRPr="00E97A38">
        <w:rPr>
          <w:rFonts w:ascii="Times New Roman" w:hAnsi="Times New Roman" w:cs="Times New Roman"/>
        </w:rPr>
        <w:t xml:space="preserve">hospital </w:t>
      </w:r>
      <w:r w:rsidR="00497471" w:rsidRPr="00E97A38">
        <w:rPr>
          <w:rFonts w:ascii="Times New Roman" w:hAnsi="Times New Roman" w:cs="Times New Roman"/>
        </w:rPr>
        <w:t>mortality</w:t>
      </w:r>
      <w:r w:rsidR="001B0705" w:rsidRPr="00E97A38">
        <w:rPr>
          <w:rFonts w:ascii="Times New Roman" w:hAnsi="Times New Roman" w:cs="Times New Roman"/>
        </w:rPr>
        <w:t>, a</w:t>
      </w:r>
      <w:r w:rsidR="00232939" w:rsidRPr="00E97A38">
        <w:rPr>
          <w:rFonts w:ascii="Times New Roman" w:hAnsi="Times New Roman" w:cs="Times New Roman"/>
        </w:rPr>
        <w:t>s well as a 2</w:t>
      </w:r>
      <w:r w:rsidR="00147E4E">
        <w:rPr>
          <w:rFonts w:ascii="Times New Roman" w:hAnsi="Times New Roman" w:cs="Times New Roman"/>
        </w:rPr>
        <w:t>-</w:t>
      </w:r>
      <w:r w:rsidR="001B0705" w:rsidRPr="00E97A38">
        <w:rPr>
          <w:rFonts w:ascii="Times New Roman" w:hAnsi="Times New Roman" w:cs="Times New Roman"/>
        </w:rPr>
        <w:t>day</w:t>
      </w:r>
      <w:r w:rsidR="00177B25" w:rsidRPr="00E97A38">
        <w:rPr>
          <w:rFonts w:ascii="Times New Roman" w:hAnsi="Times New Roman" w:cs="Times New Roman"/>
        </w:rPr>
        <w:t xml:space="preserve"> increased length of stay and an additional </w:t>
      </w:r>
      <w:r w:rsidR="001B0705" w:rsidRPr="00E97A38">
        <w:rPr>
          <w:rFonts w:ascii="Times New Roman" w:hAnsi="Times New Roman" w:cs="Times New Roman"/>
        </w:rPr>
        <w:t>$</w:t>
      </w:r>
      <w:r w:rsidR="00232939" w:rsidRPr="00E97A38">
        <w:rPr>
          <w:rFonts w:ascii="Times New Roman" w:hAnsi="Times New Roman" w:cs="Times New Roman"/>
        </w:rPr>
        <w:t>5</w:t>
      </w:r>
      <w:r w:rsidR="001B0705" w:rsidRPr="00E97A38">
        <w:rPr>
          <w:rFonts w:ascii="Times New Roman" w:hAnsi="Times New Roman" w:cs="Times New Roman"/>
        </w:rPr>
        <w:t>,000</w:t>
      </w:r>
      <w:r w:rsidR="00EF5AF2" w:rsidRPr="00E97A38">
        <w:rPr>
          <w:rFonts w:ascii="Times New Roman" w:hAnsi="Times New Roman" w:cs="Times New Roman"/>
        </w:rPr>
        <w:t xml:space="preserve"> </w:t>
      </w:r>
      <w:r w:rsidR="00177B25" w:rsidRPr="00E97A38">
        <w:rPr>
          <w:rFonts w:ascii="Times New Roman" w:hAnsi="Times New Roman" w:cs="Times New Roman"/>
        </w:rPr>
        <w:t xml:space="preserve">average </w:t>
      </w:r>
      <w:r w:rsidR="001B0705" w:rsidRPr="00E97A38">
        <w:rPr>
          <w:rFonts w:ascii="Times New Roman" w:hAnsi="Times New Roman" w:cs="Times New Roman"/>
        </w:rPr>
        <w:t>healthcare costs compared to patients without comorbidities</w:t>
      </w:r>
      <w:r w:rsidR="00177B25" w:rsidRPr="00E97A38">
        <w:rPr>
          <w:rFonts w:ascii="Times New Roman" w:hAnsi="Times New Roman" w:cs="Times New Roman"/>
        </w:rPr>
        <w:t xml:space="preserve"> undergoing PCI</w:t>
      </w:r>
      <w:r w:rsidR="001B0705" w:rsidRPr="00E97A38">
        <w:rPr>
          <w:rFonts w:ascii="Times New Roman" w:hAnsi="Times New Roman" w:cs="Times New Roman"/>
        </w:rPr>
        <w:t>.</w:t>
      </w:r>
    </w:p>
    <w:p w14:paraId="5A55DC70" w14:textId="44C1CFB9" w:rsidR="00C864CE" w:rsidRPr="00E97A38" w:rsidRDefault="009B3662" w:rsidP="00A675E3">
      <w:pPr>
        <w:spacing w:after="0" w:line="360" w:lineRule="auto"/>
        <w:jc w:val="both"/>
        <w:rPr>
          <w:rFonts w:ascii="Times New Roman" w:hAnsi="Times New Roman" w:cs="Times New Roman"/>
        </w:rPr>
      </w:pPr>
      <w:r w:rsidRPr="00E97A38">
        <w:rPr>
          <w:rFonts w:ascii="Times New Roman" w:hAnsi="Times New Roman" w:cs="Times New Roman"/>
        </w:rPr>
        <w:tab/>
      </w:r>
      <w:r w:rsidR="002B1D17" w:rsidRPr="00E97A38">
        <w:rPr>
          <w:rFonts w:ascii="Times New Roman" w:hAnsi="Times New Roman" w:cs="Times New Roman"/>
        </w:rPr>
        <w:t xml:space="preserve">The average age </w:t>
      </w:r>
      <w:r w:rsidR="00571432" w:rsidRPr="00E97A38">
        <w:rPr>
          <w:rFonts w:ascii="Times New Roman" w:hAnsi="Times New Roman" w:cs="Times New Roman"/>
        </w:rPr>
        <w:t xml:space="preserve">and comorbid burden </w:t>
      </w:r>
      <w:r w:rsidR="002B1D17" w:rsidRPr="00E97A38">
        <w:rPr>
          <w:rFonts w:ascii="Times New Roman" w:hAnsi="Times New Roman" w:cs="Times New Roman"/>
        </w:rPr>
        <w:t xml:space="preserve">of patients undergoing PCI has increased over time </w:t>
      </w:r>
      <w:r w:rsidR="00931EA2" w:rsidRPr="00E97A38">
        <w:rPr>
          <w:rFonts w:ascii="Times New Roman" w:hAnsi="Times New Roman" w:cs="Times New Roman"/>
        </w:rPr>
        <w:t>and increasingly</w:t>
      </w:r>
      <w:r w:rsidR="002B1D17" w:rsidRPr="00E97A38">
        <w:rPr>
          <w:rFonts w:ascii="Times New Roman" w:hAnsi="Times New Roman" w:cs="Times New Roman"/>
        </w:rPr>
        <w:t xml:space="preserve"> complex disease</w:t>
      </w:r>
      <w:r w:rsidR="00A11260" w:rsidRPr="00E97A38">
        <w:rPr>
          <w:rFonts w:ascii="Times New Roman" w:hAnsi="Times New Roman" w:cs="Times New Roman"/>
        </w:rPr>
        <w:t xml:space="preserve"> </w:t>
      </w:r>
      <w:r w:rsidR="00571432" w:rsidRPr="00E97A38">
        <w:rPr>
          <w:rFonts w:ascii="Times New Roman" w:hAnsi="Times New Roman" w:cs="Times New Roman"/>
        </w:rPr>
        <w:t>is being tackled according to</w:t>
      </w:r>
      <w:r w:rsidR="00A11260" w:rsidRPr="00E97A38">
        <w:rPr>
          <w:rFonts w:ascii="Times New Roman" w:hAnsi="Times New Roman" w:cs="Times New Roman"/>
        </w:rPr>
        <w:t xml:space="preserve"> several national PCI</w:t>
      </w:r>
      <w:r w:rsidR="00F85C38" w:rsidRPr="00E97A38">
        <w:rPr>
          <w:rFonts w:ascii="Times New Roman" w:hAnsi="Times New Roman" w:cs="Times New Roman"/>
        </w:rPr>
        <w:t xml:space="preserve"> analyses</w:t>
      </w:r>
      <w:r w:rsidR="004D5C20">
        <w:rPr>
          <w:rFonts w:ascii="Times New Roman" w:hAnsi="Times New Roman" w:cs="Times New Roman"/>
        </w:rPr>
        <w:t>.</w:t>
      </w:r>
      <w:r w:rsidR="004D5C20">
        <w:rPr>
          <w:rFonts w:ascii="Times New Roman" w:hAnsi="Times New Roman" w:cs="Times New Roman"/>
          <w:vertAlign w:val="superscript"/>
        </w:rPr>
        <w:t>8,13-16</w:t>
      </w:r>
      <w:r w:rsidR="0095030F" w:rsidRPr="00E97A38">
        <w:rPr>
          <w:rFonts w:ascii="Times New Roman" w:hAnsi="Times New Roman" w:cs="Times New Roman"/>
        </w:rPr>
        <w:t xml:space="preserve"> M</w:t>
      </w:r>
      <w:r w:rsidR="00CB331B" w:rsidRPr="00E97A38">
        <w:rPr>
          <w:rFonts w:ascii="Times New Roman" w:hAnsi="Times New Roman" w:cs="Times New Roman"/>
        </w:rPr>
        <w:t xml:space="preserve">ost </w:t>
      </w:r>
      <w:r w:rsidR="0095030F" w:rsidRPr="00E97A38">
        <w:rPr>
          <w:rFonts w:ascii="Times New Roman" w:hAnsi="Times New Roman" w:cs="Times New Roman"/>
        </w:rPr>
        <w:t>contemporary</w:t>
      </w:r>
      <w:r w:rsidR="000E3EDD" w:rsidRPr="00E97A38">
        <w:rPr>
          <w:rFonts w:ascii="Times New Roman" w:hAnsi="Times New Roman" w:cs="Times New Roman"/>
        </w:rPr>
        <w:t xml:space="preserve"> studies </w:t>
      </w:r>
      <w:r w:rsidR="0095030F" w:rsidRPr="00E97A38">
        <w:rPr>
          <w:rFonts w:ascii="Times New Roman" w:hAnsi="Times New Roman" w:cs="Times New Roman"/>
        </w:rPr>
        <w:t>only report</w:t>
      </w:r>
      <w:r w:rsidR="00BC05BB" w:rsidRPr="00E97A38">
        <w:rPr>
          <w:rFonts w:ascii="Times New Roman" w:hAnsi="Times New Roman" w:cs="Times New Roman"/>
        </w:rPr>
        <w:t xml:space="preserve"> changes in</w:t>
      </w:r>
      <w:r w:rsidR="000E3EDD" w:rsidRPr="00E97A38">
        <w:rPr>
          <w:rFonts w:ascii="Times New Roman" w:hAnsi="Times New Roman" w:cs="Times New Roman"/>
        </w:rPr>
        <w:t xml:space="preserve"> </w:t>
      </w:r>
      <w:r w:rsidR="006347F7" w:rsidRPr="00E97A38">
        <w:rPr>
          <w:rFonts w:ascii="Times New Roman" w:hAnsi="Times New Roman" w:cs="Times New Roman"/>
        </w:rPr>
        <w:t xml:space="preserve">either </w:t>
      </w:r>
      <w:r w:rsidR="000E3EDD" w:rsidRPr="00E97A38">
        <w:rPr>
          <w:rFonts w:ascii="Times New Roman" w:hAnsi="Times New Roman" w:cs="Times New Roman"/>
        </w:rPr>
        <w:t xml:space="preserve">cardiovascular comorbidities or </w:t>
      </w:r>
      <w:r w:rsidR="006347F7" w:rsidRPr="00E97A38">
        <w:rPr>
          <w:rFonts w:ascii="Times New Roman" w:hAnsi="Times New Roman" w:cs="Times New Roman"/>
        </w:rPr>
        <w:t xml:space="preserve">cardiovascular </w:t>
      </w:r>
      <w:r w:rsidR="000E3EDD" w:rsidRPr="00E97A38">
        <w:rPr>
          <w:rFonts w:ascii="Times New Roman" w:hAnsi="Times New Roman" w:cs="Times New Roman"/>
        </w:rPr>
        <w:t xml:space="preserve">risk factors </w:t>
      </w:r>
      <w:r w:rsidR="0095030F" w:rsidRPr="00E97A38">
        <w:rPr>
          <w:rFonts w:ascii="Times New Roman" w:hAnsi="Times New Roman" w:cs="Times New Roman"/>
        </w:rPr>
        <w:t>when temporal trends in case mix have been examined and have</w:t>
      </w:r>
      <w:r w:rsidR="006D0A10" w:rsidRPr="00E97A38">
        <w:rPr>
          <w:rFonts w:ascii="Times New Roman" w:hAnsi="Times New Roman" w:cs="Times New Roman"/>
        </w:rPr>
        <w:t>, furthermore,</w:t>
      </w:r>
      <w:r w:rsidR="0095030F" w:rsidRPr="00E97A38">
        <w:rPr>
          <w:rFonts w:ascii="Times New Roman" w:hAnsi="Times New Roman" w:cs="Times New Roman"/>
        </w:rPr>
        <w:t xml:space="preserve"> treated </w:t>
      </w:r>
      <w:r w:rsidR="00FF75EA" w:rsidRPr="00E97A38">
        <w:rPr>
          <w:rFonts w:ascii="Times New Roman" w:hAnsi="Times New Roman" w:cs="Times New Roman"/>
        </w:rPr>
        <w:t xml:space="preserve">individual </w:t>
      </w:r>
      <w:r w:rsidR="0095030F" w:rsidRPr="00E97A38">
        <w:rPr>
          <w:rFonts w:ascii="Times New Roman" w:hAnsi="Times New Roman" w:cs="Times New Roman"/>
        </w:rPr>
        <w:t>comorbidit</w:t>
      </w:r>
      <w:r w:rsidR="00FF75EA" w:rsidRPr="00E97A38">
        <w:rPr>
          <w:rFonts w:ascii="Times New Roman" w:hAnsi="Times New Roman" w:cs="Times New Roman"/>
        </w:rPr>
        <w:t>ies</w:t>
      </w:r>
      <w:r w:rsidR="0095030F" w:rsidRPr="00E97A38">
        <w:rPr>
          <w:rFonts w:ascii="Times New Roman" w:hAnsi="Times New Roman" w:cs="Times New Roman"/>
        </w:rPr>
        <w:t xml:space="preserve"> </w:t>
      </w:r>
      <w:r w:rsidR="00BC05BB" w:rsidRPr="00E97A38">
        <w:rPr>
          <w:rFonts w:ascii="Times New Roman" w:hAnsi="Times New Roman" w:cs="Times New Roman"/>
        </w:rPr>
        <w:t xml:space="preserve">as isolated </w:t>
      </w:r>
      <w:r w:rsidR="0095030F" w:rsidRPr="00E97A38">
        <w:rPr>
          <w:rFonts w:ascii="Times New Roman" w:hAnsi="Times New Roman" w:cs="Times New Roman"/>
        </w:rPr>
        <w:t xml:space="preserve">risk </w:t>
      </w:r>
      <w:r w:rsidR="00BC05BB" w:rsidRPr="00E97A38">
        <w:rPr>
          <w:rFonts w:ascii="Times New Roman" w:hAnsi="Times New Roman" w:cs="Times New Roman"/>
        </w:rPr>
        <w:t>factors</w:t>
      </w:r>
      <w:r w:rsidR="0095030F" w:rsidRPr="00E97A38">
        <w:rPr>
          <w:rFonts w:ascii="Times New Roman" w:hAnsi="Times New Roman" w:cs="Times New Roman"/>
        </w:rPr>
        <w:t>,</w:t>
      </w:r>
      <w:r w:rsidR="00BC05BB" w:rsidRPr="00E97A38">
        <w:rPr>
          <w:rFonts w:ascii="Times New Roman" w:hAnsi="Times New Roman" w:cs="Times New Roman"/>
        </w:rPr>
        <w:t xml:space="preserve"> rather than </w:t>
      </w:r>
      <w:r w:rsidR="00434588" w:rsidRPr="00E97A38">
        <w:rPr>
          <w:rFonts w:ascii="Times New Roman" w:hAnsi="Times New Roman" w:cs="Times New Roman"/>
        </w:rPr>
        <w:t>more holistically using global measures of</w:t>
      </w:r>
      <w:r w:rsidR="00BC05BB" w:rsidRPr="00E97A38">
        <w:rPr>
          <w:rFonts w:ascii="Times New Roman" w:hAnsi="Times New Roman" w:cs="Times New Roman"/>
        </w:rPr>
        <w:t xml:space="preserve"> comorbid burden</w:t>
      </w:r>
      <w:r w:rsidR="0095030F" w:rsidRPr="00E97A38">
        <w:rPr>
          <w:rFonts w:ascii="Times New Roman" w:hAnsi="Times New Roman" w:cs="Times New Roman"/>
        </w:rPr>
        <w:t xml:space="preserve">. </w:t>
      </w:r>
      <w:r w:rsidR="008B3FBE" w:rsidRPr="00E97A38">
        <w:rPr>
          <w:rFonts w:ascii="Times New Roman" w:hAnsi="Times New Roman" w:cs="Times New Roman"/>
        </w:rPr>
        <w:t>N</w:t>
      </w:r>
      <w:r w:rsidR="00BC05BB" w:rsidRPr="00E97A38">
        <w:rPr>
          <w:rFonts w:ascii="Times New Roman" w:hAnsi="Times New Roman" w:cs="Times New Roman"/>
        </w:rPr>
        <w:t xml:space="preserve">on-cardiovascular conditions </w:t>
      </w:r>
      <w:r w:rsidR="006D0A10" w:rsidRPr="00E97A38">
        <w:rPr>
          <w:rFonts w:ascii="Times New Roman" w:hAnsi="Times New Roman" w:cs="Times New Roman"/>
        </w:rPr>
        <w:t>make an</w:t>
      </w:r>
      <w:r w:rsidR="008B3FBE" w:rsidRPr="00E97A38">
        <w:rPr>
          <w:rFonts w:ascii="Times New Roman" w:hAnsi="Times New Roman" w:cs="Times New Roman"/>
        </w:rPr>
        <w:t xml:space="preserve"> important contribut</w:t>
      </w:r>
      <w:r w:rsidR="006D0A10" w:rsidRPr="00E97A38">
        <w:rPr>
          <w:rFonts w:ascii="Times New Roman" w:hAnsi="Times New Roman" w:cs="Times New Roman"/>
        </w:rPr>
        <w:t>ion</w:t>
      </w:r>
      <w:r w:rsidR="008B3FBE" w:rsidRPr="00E97A38">
        <w:rPr>
          <w:rFonts w:ascii="Times New Roman" w:hAnsi="Times New Roman" w:cs="Times New Roman"/>
        </w:rPr>
        <w:t xml:space="preserve"> to overall comorbid burden and yet their association with </w:t>
      </w:r>
      <w:r w:rsidR="00A71F9B" w:rsidRPr="00E97A38">
        <w:rPr>
          <w:rFonts w:ascii="Times New Roman" w:hAnsi="Times New Roman" w:cs="Times New Roman"/>
        </w:rPr>
        <w:t>outcomes</w:t>
      </w:r>
      <w:r w:rsidR="006D0A10" w:rsidRPr="00E97A38">
        <w:rPr>
          <w:rFonts w:ascii="Times New Roman" w:hAnsi="Times New Roman" w:cs="Times New Roman"/>
        </w:rPr>
        <w:t xml:space="preserve"> after PCI</w:t>
      </w:r>
      <w:r w:rsidR="008B3FBE" w:rsidRPr="00E97A38">
        <w:rPr>
          <w:rFonts w:ascii="Times New Roman" w:hAnsi="Times New Roman" w:cs="Times New Roman"/>
        </w:rPr>
        <w:t xml:space="preserve"> </w:t>
      </w:r>
      <w:r w:rsidR="0095030F" w:rsidRPr="00E97A38">
        <w:rPr>
          <w:rFonts w:ascii="Times New Roman" w:hAnsi="Times New Roman" w:cs="Times New Roman"/>
        </w:rPr>
        <w:t>ha</w:t>
      </w:r>
      <w:r w:rsidR="006D0A10" w:rsidRPr="00E97A38">
        <w:rPr>
          <w:rFonts w:ascii="Times New Roman" w:hAnsi="Times New Roman" w:cs="Times New Roman"/>
        </w:rPr>
        <w:t>s</w:t>
      </w:r>
      <w:r w:rsidR="0095030F" w:rsidRPr="00E97A38">
        <w:rPr>
          <w:rFonts w:ascii="Times New Roman" w:hAnsi="Times New Roman" w:cs="Times New Roman"/>
        </w:rPr>
        <w:t xml:space="preserve"> not </w:t>
      </w:r>
      <w:r w:rsidR="008B3FBE" w:rsidRPr="00E97A38">
        <w:rPr>
          <w:rFonts w:ascii="Times New Roman" w:hAnsi="Times New Roman" w:cs="Times New Roman"/>
        </w:rPr>
        <w:t xml:space="preserve">been </w:t>
      </w:r>
      <w:r w:rsidR="006D0A10" w:rsidRPr="00E97A38">
        <w:rPr>
          <w:rFonts w:ascii="Times New Roman" w:hAnsi="Times New Roman" w:cs="Times New Roman"/>
        </w:rPr>
        <w:t xml:space="preserve">comprehensively </w:t>
      </w:r>
      <w:r w:rsidR="008B3FBE" w:rsidRPr="00E97A38">
        <w:rPr>
          <w:rFonts w:ascii="Times New Roman" w:hAnsi="Times New Roman" w:cs="Times New Roman"/>
        </w:rPr>
        <w:t>studied</w:t>
      </w:r>
      <w:r w:rsidR="00A71F9B" w:rsidRPr="00E97A38">
        <w:rPr>
          <w:rFonts w:ascii="Times New Roman" w:hAnsi="Times New Roman" w:cs="Times New Roman"/>
        </w:rPr>
        <w:t xml:space="preserve">. </w:t>
      </w:r>
      <w:r w:rsidR="00254D75" w:rsidRPr="00E97A38">
        <w:rPr>
          <w:rFonts w:ascii="Times New Roman" w:hAnsi="Times New Roman" w:cs="Times New Roman"/>
        </w:rPr>
        <w:t>In fact</w:t>
      </w:r>
      <w:r w:rsidR="00725034" w:rsidRPr="00E97A38">
        <w:rPr>
          <w:rFonts w:ascii="Times New Roman" w:hAnsi="Times New Roman" w:cs="Times New Roman"/>
        </w:rPr>
        <w:t xml:space="preserve">, </w:t>
      </w:r>
      <w:r w:rsidR="00254D75" w:rsidRPr="00E97A38">
        <w:rPr>
          <w:rFonts w:ascii="Times New Roman" w:hAnsi="Times New Roman" w:cs="Times New Roman"/>
        </w:rPr>
        <w:t xml:space="preserve">it is conceivable </w:t>
      </w:r>
      <w:r w:rsidR="00725034" w:rsidRPr="00E97A38">
        <w:rPr>
          <w:rFonts w:ascii="Times New Roman" w:hAnsi="Times New Roman" w:cs="Times New Roman"/>
        </w:rPr>
        <w:t>non-</w:t>
      </w:r>
      <w:r w:rsidR="00A71F9B" w:rsidRPr="00E97A38">
        <w:rPr>
          <w:rFonts w:ascii="Times New Roman" w:hAnsi="Times New Roman" w:cs="Times New Roman"/>
        </w:rPr>
        <w:t xml:space="preserve">cardiovascular comorbid conditions </w:t>
      </w:r>
      <w:r w:rsidR="00BC05BB" w:rsidRPr="00E97A38">
        <w:rPr>
          <w:rFonts w:ascii="Times New Roman" w:hAnsi="Times New Roman" w:cs="Times New Roman"/>
        </w:rPr>
        <w:t xml:space="preserve">may </w:t>
      </w:r>
      <w:r w:rsidR="0095030F" w:rsidRPr="00E97A38">
        <w:rPr>
          <w:rFonts w:ascii="Times New Roman" w:hAnsi="Times New Roman" w:cs="Times New Roman"/>
        </w:rPr>
        <w:t xml:space="preserve">actually </w:t>
      </w:r>
      <w:r w:rsidR="00BC05BB" w:rsidRPr="00E97A38">
        <w:rPr>
          <w:rFonts w:ascii="Times New Roman" w:hAnsi="Times New Roman" w:cs="Times New Roman"/>
        </w:rPr>
        <w:t xml:space="preserve">have </w:t>
      </w:r>
      <w:r w:rsidR="0095030F" w:rsidRPr="00E97A38">
        <w:rPr>
          <w:rFonts w:ascii="Times New Roman" w:hAnsi="Times New Roman" w:cs="Times New Roman"/>
        </w:rPr>
        <w:t xml:space="preserve">a </w:t>
      </w:r>
      <w:r w:rsidR="00BC05BB" w:rsidRPr="00E97A38">
        <w:rPr>
          <w:rFonts w:ascii="Times New Roman" w:hAnsi="Times New Roman" w:cs="Times New Roman"/>
        </w:rPr>
        <w:t xml:space="preserve">greater impact </w:t>
      </w:r>
      <w:r w:rsidR="00892E6C" w:rsidRPr="00E97A38">
        <w:rPr>
          <w:rFonts w:ascii="Times New Roman" w:hAnsi="Times New Roman" w:cs="Times New Roman"/>
        </w:rPr>
        <w:t xml:space="preserve">on prognosis </w:t>
      </w:r>
      <w:r w:rsidR="00BC05BB" w:rsidRPr="00E97A38">
        <w:rPr>
          <w:rFonts w:ascii="Times New Roman" w:hAnsi="Times New Roman" w:cs="Times New Roman"/>
        </w:rPr>
        <w:t xml:space="preserve">and healthcare resource </w:t>
      </w:r>
      <w:r w:rsidR="00892E6C" w:rsidRPr="00E97A38">
        <w:rPr>
          <w:rFonts w:ascii="Times New Roman" w:hAnsi="Times New Roman" w:cs="Times New Roman"/>
        </w:rPr>
        <w:t>use</w:t>
      </w:r>
      <w:r w:rsidR="0095030F" w:rsidRPr="00E97A38">
        <w:rPr>
          <w:rFonts w:ascii="Times New Roman" w:hAnsi="Times New Roman" w:cs="Times New Roman"/>
        </w:rPr>
        <w:t xml:space="preserve"> than cardiovascular </w:t>
      </w:r>
      <w:r w:rsidR="00A71F9B" w:rsidRPr="00E97A38">
        <w:rPr>
          <w:rFonts w:ascii="Times New Roman" w:hAnsi="Times New Roman" w:cs="Times New Roman"/>
        </w:rPr>
        <w:t>comorbidities</w:t>
      </w:r>
      <w:r w:rsidR="00BC05BB" w:rsidRPr="00E97A38">
        <w:rPr>
          <w:rFonts w:ascii="Times New Roman" w:hAnsi="Times New Roman" w:cs="Times New Roman"/>
        </w:rPr>
        <w:t>.</w:t>
      </w:r>
      <w:r w:rsidR="002B53DB" w:rsidRPr="00E97A38">
        <w:rPr>
          <w:rFonts w:ascii="Times New Roman" w:hAnsi="Times New Roman" w:cs="Times New Roman"/>
        </w:rPr>
        <w:t xml:space="preserve"> </w:t>
      </w:r>
      <w:r w:rsidRPr="00E97A38">
        <w:rPr>
          <w:rFonts w:ascii="Times New Roman" w:hAnsi="Times New Roman" w:cs="Times New Roman"/>
        </w:rPr>
        <w:t>Our analysis suggests that comorbid burden</w:t>
      </w:r>
      <w:r w:rsidR="005309E6" w:rsidRPr="00E97A38">
        <w:rPr>
          <w:rFonts w:ascii="Times New Roman" w:hAnsi="Times New Roman" w:cs="Times New Roman"/>
        </w:rPr>
        <w:t xml:space="preserve"> and severity, as defined by CCI</w:t>
      </w:r>
      <w:r w:rsidR="00254D75" w:rsidRPr="00E97A38">
        <w:rPr>
          <w:rFonts w:ascii="Times New Roman" w:hAnsi="Times New Roman" w:cs="Times New Roman"/>
        </w:rPr>
        <w:t>,</w:t>
      </w:r>
      <w:r w:rsidRPr="00E97A38">
        <w:rPr>
          <w:rFonts w:ascii="Times New Roman" w:hAnsi="Times New Roman" w:cs="Times New Roman"/>
        </w:rPr>
        <w:t xml:space="preserve"> has increased over time in patients undergoing PCI in the United States</w:t>
      </w:r>
      <w:r w:rsidR="004B4286" w:rsidRPr="00E97A38">
        <w:rPr>
          <w:rFonts w:ascii="Times New Roman" w:hAnsi="Times New Roman" w:cs="Times New Roman"/>
        </w:rPr>
        <w:t xml:space="preserve">, in line with a previous study in Spain where the proportion of non-diabetic patients undergoing PCI with </w:t>
      </w:r>
      <w:r w:rsidR="00A53920" w:rsidRPr="00E97A38">
        <w:rPr>
          <w:rFonts w:ascii="Times New Roman" w:hAnsi="Times New Roman" w:cs="Times New Roman"/>
        </w:rPr>
        <w:t>at least 1</w:t>
      </w:r>
      <w:r w:rsidR="004B4286" w:rsidRPr="00E97A38">
        <w:rPr>
          <w:rFonts w:ascii="Times New Roman" w:hAnsi="Times New Roman" w:cs="Times New Roman"/>
        </w:rPr>
        <w:t xml:space="preserve"> comorbidity </w:t>
      </w:r>
      <w:r w:rsidR="00A53920" w:rsidRPr="00E97A38">
        <w:rPr>
          <w:rFonts w:ascii="Times New Roman" w:hAnsi="Times New Roman" w:cs="Times New Roman"/>
        </w:rPr>
        <w:t>increased</w:t>
      </w:r>
      <w:r w:rsidR="004B4286" w:rsidRPr="00E97A38">
        <w:rPr>
          <w:rFonts w:ascii="Times New Roman" w:hAnsi="Times New Roman" w:cs="Times New Roman"/>
        </w:rPr>
        <w:t xml:space="preserve"> from </w:t>
      </w:r>
      <w:r w:rsidR="00A53920" w:rsidRPr="00E97A38">
        <w:rPr>
          <w:rFonts w:ascii="Times New Roman" w:hAnsi="Times New Roman" w:cs="Times New Roman"/>
        </w:rPr>
        <w:t>22.6</w:t>
      </w:r>
      <w:r w:rsidR="004B4286" w:rsidRPr="00E97A38">
        <w:rPr>
          <w:rFonts w:ascii="Times New Roman" w:hAnsi="Times New Roman" w:cs="Times New Roman"/>
        </w:rPr>
        <w:t xml:space="preserve">% to </w:t>
      </w:r>
      <w:r w:rsidR="00A53920" w:rsidRPr="00E97A38">
        <w:rPr>
          <w:rFonts w:ascii="Times New Roman" w:hAnsi="Times New Roman" w:cs="Times New Roman"/>
        </w:rPr>
        <w:t>&gt;30</w:t>
      </w:r>
      <w:r w:rsidR="004B4286" w:rsidRPr="00E97A38">
        <w:rPr>
          <w:rFonts w:ascii="Times New Roman" w:hAnsi="Times New Roman" w:cs="Times New Roman"/>
        </w:rPr>
        <w:t>% over a decade</w:t>
      </w:r>
      <w:r w:rsidR="00A53920" w:rsidRPr="00E97A38">
        <w:rPr>
          <w:rFonts w:ascii="Times New Roman" w:hAnsi="Times New Roman" w:cs="Times New Roman"/>
        </w:rPr>
        <w:t>.</w:t>
      </w:r>
      <w:r w:rsidR="004D5C20">
        <w:rPr>
          <w:rFonts w:ascii="Times New Roman" w:hAnsi="Times New Roman" w:cs="Times New Roman"/>
          <w:vertAlign w:val="superscript"/>
        </w:rPr>
        <w:t>8</w:t>
      </w:r>
      <w:r w:rsidR="004B4286" w:rsidRPr="00E97A38">
        <w:rPr>
          <w:rFonts w:ascii="Times New Roman" w:hAnsi="Times New Roman" w:cs="Times New Roman"/>
        </w:rPr>
        <w:t xml:space="preserve"> </w:t>
      </w:r>
      <w:r w:rsidR="005712F8" w:rsidRPr="00E97A38">
        <w:rPr>
          <w:rFonts w:ascii="Times New Roman" w:hAnsi="Times New Roman" w:cs="Times New Roman"/>
        </w:rPr>
        <w:t xml:space="preserve">Our findings suggest that </w:t>
      </w:r>
      <w:r w:rsidR="00DE1AF2" w:rsidRPr="00E97A38">
        <w:rPr>
          <w:rFonts w:ascii="Times New Roman" w:hAnsi="Times New Roman" w:cs="Times New Roman"/>
        </w:rPr>
        <w:t xml:space="preserve">both </w:t>
      </w:r>
      <w:r w:rsidR="00CB331B" w:rsidRPr="00E97A38">
        <w:rPr>
          <w:rFonts w:ascii="Times New Roman" w:hAnsi="Times New Roman" w:cs="Times New Roman"/>
        </w:rPr>
        <w:t>cardiovascular</w:t>
      </w:r>
      <w:r w:rsidR="00147E4E">
        <w:rPr>
          <w:rFonts w:ascii="Times New Roman" w:hAnsi="Times New Roman" w:cs="Times New Roman"/>
        </w:rPr>
        <w:t xml:space="preserve"> and non-</w:t>
      </w:r>
      <w:r w:rsidR="00A71F9B" w:rsidRPr="00E97A38">
        <w:rPr>
          <w:rFonts w:ascii="Times New Roman" w:hAnsi="Times New Roman" w:cs="Times New Roman"/>
        </w:rPr>
        <w:t>cardiovascular</w:t>
      </w:r>
      <w:r w:rsidR="00CB331B" w:rsidRPr="00E97A38">
        <w:rPr>
          <w:rFonts w:ascii="Times New Roman" w:hAnsi="Times New Roman" w:cs="Times New Roman"/>
        </w:rPr>
        <w:t xml:space="preserve"> comorbid conditions such as </w:t>
      </w:r>
      <w:r w:rsidR="00303C79" w:rsidRPr="00E97A38">
        <w:rPr>
          <w:rFonts w:ascii="Times New Roman" w:hAnsi="Times New Roman" w:cs="Times New Roman"/>
        </w:rPr>
        <w:t xml:space="preserve">COPD, </w:t>
      </w:r>
      <w:r w:rsidR="00CB331B" w:rsidRPr="00E97A38">
        <w:rPr>
          <w:rFonts w:ascii="Times New Roman" w:hAnsi="Times New Roman" w:cs="Times New Roman"/>
        </w:rPr>
        <w:t xml:space="preserve">cancer </w:t>
      </w:r>
      <w:r w:rsidR="00303C79" w:rsidRPr="00E97A38">
        <w:rPr>
          <w:rFonts w:ascii="Times New Roman" w:hAnsi="Times New Roman" w:cs="Times New Roman"/>
        </w:rPr>
        <w:t xml:space="preserve">and connective tissue diseases </w:t>
      </w:r>
      <w:r w:rsidR="00CB331B" w:rsidRPr="00E97A38">
        <w:rPr>
          <w:rFonts w:ascii="Times New Roman" w:hAnsi="Times New Roman" w:cs="Times New Roman"/>
        </w:rPr>
        <w:t xml:space="preserve">have increased in prevalence over </w:t>
      </w:r>
      <w:r w:rsidR="00375DE0" w:rsidRPr="00E97A38">
        <w:rPr>
          <w:rFonts w:ascii="Times New Roman" w:hAnsi="Times New Roman" w:cs="Times New Roman"/>
        </w:rPr>
        <w:t xml:space="preserve">the </w:t>
      </w:r>
      <w:r w:rsidR="00CB331B" w:rsidRPr="00E97A38">
        <w:rPr>
          <w:rFonts w:ascii="Times New Roman" w:hAnsi="Times New Roman" w:cs="Times New Roman"/>
        </w:rPr>
        <w:t>time</w:t>
      </w:r>
      <w:r w:rsidR="00375DE0" w:rsidRPr="00E97A38">
        <w:rPr>
          <w:rFonts w:ascii="Times New Roman" w:hAnsi="Times New Roman" w:cs="Times New Roman"/>
        </w:rPr>
        <w:t>frame studied</w:t>
      </w:r>
      <w:r w:rsidR="00DE1AF2" w:rsidRPr="00E97A38">
        <w:rPr>
          <w:rFonts w:ascii="Times New Roman" w:hAnsi="Times New Roman" w:cs="Times New Roman"/>
        </w:rPr>
        <w:t>,</w:t>
      </w:r>
      <w:r w:rsidR="00303C79" w:rsidRPr="00E97A38">
        <w:rPr>
          <w:rFonts w:ascii="Times New Roman" w:hAnsi="Times New Roman" w:cs="Times New Roman"/>
        </w:rPr>
        <w:t xml:space="preserve"> </w:t>
      </w:r>
      <w:r w:rsidR="00A71F9B" w:rsidRPr="00E97A38">
        <w:rPr>
          <w:rFonts w:ascii="Times New Roman" w:hAnsi="Times New Roman" w:cs="Times New Roman"/>
        </w:rPr>
        <w:t xml:space="preserve">and </w:t>
      </w:r>
      <w:r w:rsidR="009C34FA" w:rsidRPr="00E97A38">
        <w:rPr>
          <w:rFonts w:ascii="Times New Roman" w:hAnsi="Times New Roman" w:cs="Times New Roman"/>
        </w:rPr>
        <w:t xml:space="preserve">that they </w:t>
      </w:r>
      <w:r w:rsidR="00A71F9B" w:rsidRPr="00E97A38">
        <w:rPr>
          <w:rFonts w:ascii="Times New Roman" w:hAnsi="Times New Roman" w:cs="Times New Roman"/>
        </w:rPr>
        <w:t xml:space="preserve">have </w:t>
      </w:r>
      <w:r w:rsidR="005B546A" w:rsidRPr="00E97A38">
        <w:rPr>
          <w:rFonts w:ascii="Times New Roman" w:hAnsi="Times New Roman" w:cs="Times New Roman"/>
        </w:rPr>
        <w:t xml:space="preserve">an </w:t>
      </w:r>
      <w:r w:rsidR="00A71F9B" w:rsidRPr="00E97A38">
        <w:rPr>
          <w:rFonts w:ascii="Times New Roman" w:hAnsi="Times New Roman" w:cs="Times New Roman"/>
        </w:rPr>
        <w:t xml:space="preserve">important </w:t>
      </w:r>
      <w:r w:rsidR="005B546A" w:rsidRPr="00E97A38">
        <w:rPr>
          <w:rFonts w:ascii="Times New Roman" w:hAnsi="Times New Roman" w:cs="Times New Roman"/>
        </w:rPr>
        <w:t>impact</w:t>
      </w:r>
      <w:r w:rsidR="00A71F9B" w:rsidRPr="00E97A38">
        <w:rPr>
          <w:rFonts w:ascii="Times New Roman" w:hAnsi="Times New Roman" w:cs="Times New Roman"/>
        </w:rPr>
        <w:t xml:space="preserve"> </w:t>
      </w:r>
      <w:r w:rsidR="00892E6C" w:rsidRPr="00E97A38">
        <w:rPr>
          <w:rFonts w:ascii="Times New Roman" w:hAnsi="Times New Roman" w:cs="Times New Roman"/>
        </w:rPr>
        <w:t xml:space="preserve">on </w:t>
      </w:r>
      <w:r w:rsidR="008C159E" w:rsidRPr="00E97A38">
        <w:rPr>
          <w:rFonts w:ascii="Times New Roman" w:hAnsi="Times New Roman" w:cs="Times New Roman"/>
        </w:rPr>
        <w:t xml:space="preserve">short-term </w:t>
      </w:r>
      <w:r w:rsidR="00892E6C" w:rsidRPr="00E97A38">
        <w:rPr>
          <w:rFonts w:ascii="Times New Roman" w:hAnsi="Times New Roman" w:cs="Times New Roman"/>
        </w:rPr>
        <w:t xml:space="preserve">clinical and health-economic outcomes </w:t>
      </w:r>
      <w:r w:rsidR="005B546A" w:rsidRPr="00E97A38">
        <w:rPr>
          <w:rFonts w:ascii="Times New Roman" w:hAnsi="Times New Roman" w:cs="Times New Roman"/>
        </w:rPr>
        <w:t xml:space="preserve">in </w:t>
      </w:r>
      <w:r w:rsidR="00DE1AF2" w:rsidRPr="00E97A38">
        <w:rPr>
          <w:rFonts w:ascii="Times New Roman" w:hAnsi="Times New Roman" w:cs="Times New Roman"/>
        </w:rPr>
        <w:t>patients undergoing PCI.</w:t>
      </w:r>
      <w:r w:rsidR="00A71F9B" w:rsidRPr="00E97A38">
        <w:rPr>
          <w:rFonts w:ascii="Times New Roman" w:hAnsi="Times New Roman" w:cs="Times New Roman"/>
        </w:rPr>
        <w:t xml:space="preserve"> </w:t>
      </w:r>
      <w:r w:rsidR="003F6EFF">
        <w:rPr>
          <w:rFonts w:ascii="Times New Roman" w:hAnsi="Times New Roman" w:cs="Times New Roman"/>
        </w:rPr>
        <w:t xml:space="preserve">These changes may in part reflect referral bias and an increased willingness for interventional cardiologists to undertake increasingly complex cases in </w:t>
      </w:r>
      <w:r w:rsidR="003F6EFF">
        <w:rPr>
          <w:rFonts w:ascii="Times New Roman" w:hAnsi="Times New Roman" w:cs="Times New Roman"/>
        </w:rPr>
        <w:lastRenderedPageBreak/>
        <w:t xml:space="preserve">increasingly complex patients. As PCI outcomes have improved with improved stent technology, </w:t>
      </w:r>
      <w:r w:rsidR="001D351C">
        <w:rPr>
          <w:rFonts w:ascii="Times New Roman" w:hAnsi="Times New Roman" w:cs="Times New Roman"/>
        </w:rPr>
        <w:t xml:space="preserve">interventional </w:t>
      </w:r>
      <w:r w:rsidR="003F6EFF">
        <w:rPr>
          <w:rFonts w:ascii="Times New Roman" w:hAnsi="Times New Roman" w:cs="Times New Roman"/>
        </w:rPr>
        <w:t xml:space="preserve">equipment and more potent anti-thrombotic agents, interventional cardiologists are increasingly undertaking more complex </w:t>
      </w:r>
      <w:r w:rsidR="002B3ABF">
        <w:rPr>
          <w:rFonts w:ascii="Times New Roman" w:hAnsi="Times New Roman" w:cs="Times New Roman"/>
        </w:rPr>
        <w:t xml:space="preserve">comorbid </w:t>
      </w:r>
      <w:r w:rsidR="003F6EFF">
        <w:rPr>
          <w:rFonts w:ascii="Times New Roman" w:hAnsi="Times New Roman" w:cs="Times New Roman"/>
        </w:rPr>
        <w:t xml:space="preserve">PCI cases in multi-morbid patients with more extensive coronary disease that would have been managed medically, or surgically at earlier </w:t>
      </w:r>
      <w:proofErr w:type="spellStart"/>
      <w:r w:rsidR="003F6EFF">
        <w:rPr>
          <w:rFonts w:ascii="Times New Roman" w:hAnsi="Times New Roman" w:cs="Times New Roman"/>
        </w:rPr>
        <w:t>timepoints</w:t>
      </w:r>
      <w:proofErr w:type="spellEnd"/>
      <w:r w:rsidR="003F6EFF">
        <w:rPr>
          <w:rFonts w:ascii="Times New Roman" w:hAnsi="Times New Roman" w:cs="Times New Roman"/>
        </w:rPr>
        <w:t xml:space="preserve">. A change from elective PCI to ACS where there is less scope for case selection towards lower risk cases will also contribute to the observed increases in comorbid burden. </w:t>
      </w:r>
      <w:r w:rsidR="001D351C" w:rsidRPr="001D351C">
        <w:rPr>
          <w:rFonts w:ascii="Times New Roman" w:hAnsi="Times New Roman" w:cs="Times New Roman"/>
        </w:rPr>
        <w:t xml:space="preserve">Finally, </w:t>
      </w:r>
      <w:r w:rsidR="001D351C">
        <w:rPr>
          <w:rFonts w:ascii="Times New Roman" w:hAnsi="Times New Roman" w:cs="Times New Roman"/>
        </w:rPr>
        <w:t xml:space="preserve">the prevalence of </w:t>
      </w:r>
      <w:r w:rsidR="001D351C" w:rsidRPr="001D351C">
        <w:rPr>
          <w:rFonts w:ascii="Times New Roman" w:hAnsi="Times New Roman" w:cs="Times New Roman"/>
        </w:rPr>
        <w:t>comorbid conditions such as diabetes, hypertension have increased over time</w:t>
      </w:r>
      <w:r w:rsidR="001D351C">
        <w:rPr>
          <w:rFonts w:ascii="Times New Roman" w:hAnsi="Times New Roman" w:cs="Times New Roman"/>
        </w:rPr>
        <w:t>,</w:t>
      </w:r>
      <w:r w:rsidR="001D351C" w:rsidRPr="001D351C">
        <w:rPr>
          <w:rFonts w:ascii="Times New Roman" w:hAnsi="Times New Roman" w:cs="Times New Roman"/>
        </w:rPr>
        <w:t xml:space="preserve"> along with improvements in survival </w:t>
      </w:r>
      <w:r w:rsidR="001D351C">
        <w:rPr>
          <w:rFonts w:ascii="Times New Roman" w:hAnsi="Times New Roman" w:cs="Times New Roman"/>
        </w:rPr>
        <w:t>for a number of cardiovascular and non-cardiovascular diseases</w:t>
      </w:r>
      <w:r w:rsidR="001D351C" w:rsidRPr="001D351C">
        <w:rPr>
          <w:rFonts w:ascii="Times New Roman" w:hAnsi="Times New Roman" w:cs="Times New Roman"/>
        </w:rPr>
        <w:t xml:space="preserve"> has meant that patients undergoing PCI are increasingly comorbid. </w:t>
      </w:r>
    </w:p>
    <w:p w14:paraId="2AF69772" w14:textId="7958A353" w:rsidR="00AF1BF0" w:rsidRPr="00E97A38" w:rsidRDefault="00254D75" w:rsidP="00A675E3">
      <w:pPr>
        <w:spacing w:after="0" w:line="360" w:lineRule="auto"/>
        <w:ind w:firstLine="720"/>
        <w:jc w:val="both"/>
        <w:rPr>
          <w:rFonts w:ascii="Times New Roman" w:hAnsi="Times New Roman" w:cs="Times New Roman"/>
        </w:rPr>
      </w:pPr>
      <w:r w:rsidRPr="00E97A38">
        <w:rPr>
          <w:rFonts w:ascii="Times New Roman" w:hAnsi="Times New Roman" w:cs="Times New Roman"/>
        </w:rPr>
        <w:t>Our data demonstrate</w:t>
      </w:r>
      <w:r w:rsidR="00066994" w:rsidRPr="00E97A38">
        <w:rPr>
          <w:rFonts w:ascii="Times New Roman" w:hAnsi="Times New Roman" w:cs="Times New Roman"/>
        </w:rPr>
        <w:t xml:space="preserve"> that CCI is independently associated with both in hospital mortality as</w:t>
      </w:r>
      <w:r w:rsidRPr="00E97A38">
        <w:rPr>
          <w:rFonts w:ascii="Times New Roman" w:hAnsi="Times New Roman" w:cs="Times New Roman"/>
        </w:rPr>
        <w:t xml:space="preserve"> </w:t>
      </w:r>
      <w:r w:rsidR="00066994" w:rsidRPr="00E97A38">
        <w:rPr>
          <w:rFonts w:ascii="Times New Roman" w:hAnsi="Times New Roman" w:cs="Times New Roman"/>
        </w:rPr>
        <w:t>well as a wide range of peri</w:t>
      </w:r>
      <w:r w:rsidR="008274EE" w:rsidRPr="00E97A38">
        <w:rPr>
          <w:rFonts w:ascii="Times New Roman" w:hAnsi="Times New Roman" w:cs="Times New Roman"/>
        </w:rPr>
        <w:t>-</w:t>
      </w:r>
      <w:r w:rsidR="00066994" w:rsidRPr="00E97A38">
        <w:rPr>
          <w:rFonts w:ascii="Times New Roman" w:hAnsi="Times New Roman" w:cs="Times New Roman"/>
        </w:rPr>
        <w:t>procedural PCI complications</w:t>
      </w:r>
      <w:r w:rsidR="00173E03" w:rsidRPr="00E97A38">
        <w:rPr>
          <w:rFonts w:ascii="Times New Roman" w:hAnsi="Times New Roman" w:cs="Times New Roman"/>
        </w:rPr>
        <w:t xml:space="preserve">, </w:t>
      </w:r>
      <w:r w:rsidRPr="00E97A38">
        <w:rPr>
          <w:rFonts w:ascii="Times New Roman" w:hAnsi="Times New Roman" w:cs="Times New Roman"/>
        </w:rPr>
        <w:t xml:space="preserve">and </w:t>
      </w:r>
      <w:r w:rsidR="00173E03" w:rsidRPr="00E97A38">
        <w:rPr>
          <w:rFonts w:ascii="Times New Roman" w:hAnsi="Times New Roman" w:cs="Times New Roman"/>
        </w:rPr>
        <w:t xml:space="preserve">with </w:t>
      </w:r>
      <w:r w:rsidR="00066994" w:rsidRPr="00E97A38">
        <w:rPr>
          <w:rFonts w:ascii="Times New Roman" w:hAnsi="Times New Roman" w:cs="Times New Roman"/>
        </w:rPr>
        <w:t xml:space="preserve">prolonged length of </w:t>
      </w:r>
      <w:r w:rsidR="00173E03" w:rsidRPr="00E97A38">
        <w:rPr>
          <w:rFonts w:ascii="Times New Roman" w:hAnsi="Times New Roman" w:cs="Times New Roman"/>
        </w:rPr>
        <w:t xml:space="preserve">hospital </w:t>
      </w:r>
      <w:r w:rsidR="00066994" w:rsidRPr="00E97A38">
        <w:rPr>
          <w:rFonts w:ascii="Times New Roman" w:hAnsi="Times New Roman" w:cs="Times New Roman"/>
        </w:rPr>
        <w:t xml:space="preserve">stay and </w:t>
      </w:r>
      <w:r w:rsidR="00173E03" w:rsidRPr="00E97A38">
        <w:rPr>
          <w:rFonts w:ascii="Times New Roman" w:hAnsi="Times New Roman" w:cs="Times New Roman"/>
        </w:rPr>
        <w:t xml:space="preserve">associated </w:t>
      </w:r>
      <w:r w:rsidR="00066994" w:rsidRPr="00E97A38">
        <w:rPr>
          <w:rFonts w:ascii="Times New Roman" w:hAnsi="Times New Roman" w:cs="Times New Roman"/>
        </w:rPr>
        <w:t xml:space="preserve">healthcare costs. </w:t>
      </w:r>
      <w:r w:rsidRPr="00E97A38">
        <w:rPr>
          <w:rFonts w:ascii="Times New Roman" w:hAnsi="Times New Roman" w:cs="Times New Roman"/>
        </w:rPr>
        <w:t>This</w:t>
      </w:r>
      <w:r w:rsidR="00AB1C79" w:rsidRPr="00E97A38">
        <w:rPr>
          <w:rFonts w:ascii="Times New Roman" w:hAnsi="Times New Roman" w:cs="Times New Roman"/>
        </w:rPr>
        <w:t xml:space="preserve"> </w:t>
      </w:r>
      <w:r w:rsidR="00066994" w:rsidRPr="00E97A38">
        <w:rPr>
          <w:rFonts w:ascii="Times New Roman" w:hAnsi="Times New Roman" w:cs="Times New Roman"/>
        </w:rPr>
        <w:t>build</w:t>
      </w:r>
      <w:r w:rsidRPr="00E97A38">
        <w:rPr>
          <w:rFonts w:ascii="Times New Roman" w:hAnsi="Times New Roman" w:cs="Times New Roman"/>
        </w:rPr>
        <w:t>s</w:t>
      </w:r>
      <w:r w:rsidR="00066994" w:rsidRPr="00E97A38">
        <w:rPr>
          <w:rFonts w:ascii="Times New Roman" w:hAnsi="Times New Roman" w:cs="Times New Roman"/>
        </w:rPr>
        <w:t xml:space="preserve"> upon our previous findings </w:t>
      </w:r>
      <w:r w:rsidRPr="00E97A38">
        <w:rPr>
          <w:rFonts w:ascii="Times New Roman" w:hAnsi="Times New Roman" w:cs="Times New Roman"/>
        </w:rPr>
        <w:t xml:space="preserve">that </w:t>
      </w:r>
      <w:r w:rsidR="00066994" w:rsidRPr="00E97A38">
        <w:rPr>
          <w:rFonts w:ascii="Times New Roman" w:hAnsi="Times New Roman" w:cs="Times New Roman"/>
        </w:rPr>
        <w:t xml:space="preserve">demonstrated that CCI </w:t>
      </w:r>
      <w:r w:rsidR="00A03A19" w:rsidRPr="00E97A38">
        <w:rPr>
          <w:rFonts w:ascii="Times New Roman" w:hAnsi="Times New Roman" w:cs="Times New Roman"/>
        </w:rPr>
        <w:t>was</w:t>
      </w:r>
      <w:r w:rsidR="00066994" w:rsidRPr="00E97A38">
        <w:rPr>
          <w:rFonts w:ascii="Times New Roman" w:hAnsi="Times New Roman" w:cs="Times New Roman"/>
        </w:rPr>
        <w:t xml:space="preserve"> independently</w:t>
      </w:r>
      <w:r w:rsidR="00AB1C79" w:rsidRPr="00E97A38">
        <w:rPr>
          <w:rFonts w:ascii="Times New Roman" w:hAnsi="Times New Roman" w:cs="Times New Roman"/>
        </w:rPr>
        <w:t xml:space="preserve"> associated with cardiac death, major adverse cardiovascular events, major bleeding and stent thrombosis </w:t>
      </w:r>
      <w:r w:rsidR="004E3467" w:rsidRPr="00E97A38">
        <w:rPr>
          <w:rFonts w:ascii="Times New Roman" w:hAnsi="Times New Roman" w:cs="Times New Roman"/>
        </w:rPr>
        <w:t xml:space="preserve">in a </w:t>
      </w:r>
      <w:r w:rsidR="00066994" w:rsidRPr="00E97A38">
        <w:rPr>
          <w:rFonts w:ascii="Times New Roman" w:hAnsi="Times New Roman" w:cs="Times New Roman"/>
        </w:rPr>
        <w:t xml:space="preserve">much </w:t>
      </w:r>
      <w:r w:rsidR="00422562" w:rsidRPr="00E97A38">
        <w:rPr>
          <w:rFonts w:ascii="Times New Roman" w:hAnsi="Times New Roman" w:cs="Times New Roman"/>
        </w:rPr>
        <w:t xml:space="preserve">smaller </w:t>
      </w:r>
      <w:r w:rsidR="004E3467" w:rsidRPr="00E97A38">
        <w:rPr>
          <w:rFonts w:ascii="Times New Roman" w:hAnsi="Times New Roman" w:cs="Times New Roman"/>
        </w:rPr>
        <w:t xml:space="preserve">multicentre </w:t>
      </w:r>
      <w:r w:rsidR="00066994" w:rsidRPr="00E97A38">
        <w:rPr>
          <w:rFonts w:ascii="Times New Roman" w:hAnsi="Times New Roman" w:cs="Times New Roman"/>
        </w:rPr>
        <w:t>registry</w:t>
      </w:r>
      <w:r w:rsidR="00A03A19" w:rsidRPr="00E97A38">
        <w:rPr>
          <w:rFonts w:ascii="Times New Roman" w:hAnsi="Times New Roman" w:cs="Times New Roman"/>
        </w:rPr>
        <w:t xml:space="preserve"> </w:t>
      </w:r>
      <w:r w:rsidR="004D5C20">
        <w:rPr>
          <w:rFonts w:ascii="Times New Roman" w:hAnsi="Times New Roman" w:cs="Times New Roman"/>
        </w:rPr>
        <w:t>of patients undergoing PCI.</w:t>
      </w:r>
      <w:r w:rsidR="004D5C20">
        <w:rPr>
          <w:rFonts w:ascii="Times New Roman" w:hAnsi="Times New Roman" w:cs="Times New Roman"/>
          <w:vertAlign w:val="superscript"/>
        </w:rPr>
        <w:t>6</w:t>
      </w:r>
      <w:r w:rsidR="005F7993" w:rsidRPr="00E97A38">
        <w:rPr>
          <w:rFonts w:ascii="Times New Roman" w:hAnsi="Times New Roman" w:cs="Times New Roman"/>
        </w:rPr>
        <w:t xml:space="preserve"> O</w:t>
      </w:r>
      <w:r w:rsidR="00E21D45" w:rsidRPr="00E97A38">
        <w:rPr>
          <w:rFonts w:ascii="Times New Roman" w:hAnsi="Times New Roman" w:cs="Times New Roman"/>
        </w:rPr>
        <w:t xml:space="preserve">ur current </w:t>
      </w:r>
      <w:r w:rsidR="001608FB" w:rsidRPr="00E97A38">
        <w:rPr>
          <w:rFonts w:ascii="Times New Roman" w:hAnsi="Times New Roman" w:cs="Times New Roman"/>
        </w:rPr>
        <w:t xml:space="preserve">analysis is </w:t>
      </w:r>
      <w:r w:rsidR="00177B25" w:rsidRPr="00E97A38">
        <w:rPr>
          <w:rFonts w:ascii="Times New Roman" w:hAnsi="Times New Roman" w:cs="Times New Roman"/>
        </w:rPr>
        <w:t xml:space="preserve">several orders of magnitude </w:t>
      </w:r>
      <w:r w:rsidR="00D013C9" w:rsidRPr="00E97A38">
        <w:rPr>
          <w:rFonts w:ascii="Times New Roman" w:hAnsi="Times New Roman" w:cs="Times New Roman"/>
        </w:rPr>
        <w:t>larg</w:t>
      </w:r>
      <w:r w:rsidR="00177B25" w:rsidRPr="00E97A38">
        <w:rPr>
          <w:rFonts w:ascii="Times New Roman" w:hAnsi="Times New Roman" w:cs="Times New Roman"/>
        </w:rPr>
        <w:t>er than th</w:t>
      </w:r>
      <w:r w:rsidR="004E3467" w:rsidRPr="00E97A38">
        <w:rPr>
          <w:rFonts w:ascii="Times New Roman" w:hAnsi="Times New Roman" w:cs="Times New Roman"/>
        </w:rPr>
        <w:t>is</w:t>
      </w:r>
      <w:r w:rsidR="00177B25" w:rsidRPr="00E97A38">
        <w:rPr>
          <w:rFonts w:ascii="Times New Roman" w:hAnsi="Times New Roman" w:cs="Times New Roman"/>
        </w:rPr>
        <w:t xml:space="preserve"> </w:t>
      </w:r>
      <w:r w:rsidR="004E3467" w:rsidRPr="00E97A38">
        <w:rPr>
          <w:rFonts w:ascii="Times New Roman" w:hAnsi="Times New Roman" w:cs="Times New Roman"/>
        </w:rPr>
        <w:t xml:space="preserve">previous </w:t>
      </w:r>
      <w:r w:rsidR="00177B25" w:rsidRPr="00E97A38">
        <w:rPr>
          <w:rFonts w:ascii="Times New Roman" w:hAnsi="Times New Roman" w:cs="Times New Roman"/>
        </w:rPr>
        <w:t>stud</w:t>
      </w:r>
      <w:r w:rsidR="004E3467" w:rsidRPr="00E97A38">
        <w:rPr>
          <w:rFonts w:ascii="Times New Roman" w:hAnsi="Times New Roman" w:cs="Times New Roman"/>
        </w:rPr>
        <w:t>y</w:t>
      </w:r>
      <w:r w:rsidR="00177B25" w:rsidRPr="00E97A38">
        <w:rPr>
          <w:rFonts w:ascii="Times New Roman" w:hAnsi="Times New Roman" w:cs="Times New Roman"/>
        </w:rPr>
        <w:t xml:space="preserve"> (</w:t>
      </w:r>
      <w:r w:rsidR="00E21D45" w:rsidRPr="00E97A38">
        <w:rPr>
          <w:rFonts w:ascii="Times New Roman" w:hAnsi="Times New Roman" w:cs="Times New Roman"/>
        </w:rPr>
        <w:t>&gt;</w:t>
      </w:r>
      <w:r w:rsidR="00177B25" w:rsidRPr="00E97A38">
        <w:rPr>
          <w:rFonts w:ascii="Times New Roman" w:hAnsi="Times New Roman" w:cs="Times New Roman"/>
        </w:rPr>
        <w:t>6.</w:t>
      </w:r>
      <w:r w:rsidR="00E21D45" w:rsidRPr="00E97A38">
        <w:rPr>
          <w:rFonts w:ascii="Times New Roman" w:hAnsi="Times New Roman" w:cs="Times New Roman"/>
        </w:rPr>
        <w:t xml:space="preserve">0 </w:t>
      </w:r>
      <w:r w:rsidR="00177B25" w:rsidRPr="00E97A38">
        <w:rPr>
          <w:rFonts w:ascii="Times New Roman" w:hAnsi="Times New Roman" w:cs="Times New Roman"/>
        </w:rPr>
        <w:t xml:space="preserve">million </w:t>
      </w:r>
      <w:r w:rsidR="008866E6" w:rsidRPr="00E97A38">
        <w:rPr>
          <w:rFonts w:ascii="Times New Roman" w:hAnsi="Times New Roman" w:cs="Times New Roman"/>
        </w:rPr>
        <w:t>versus</w:t>
      </w:r>
      <w:r w:rsidR="00177B25" w:rsidRPr="00E97A38">
        <w:rPr>
          <w:rFonts w:ascii="Times New Roman" w:hAnsi="Times New Roman" w:cs="Times New Roman"/>
        </w:rPr>
        <w:t xml:space="preserve"> </w:t>
      </w:r>
      <w:r w:rsidR="008866E6" w:rsidRPr="00E97A38">
        <w:rPr>
          <w:rFonts w:ascii="Times New Roman" w:hAnsi="Times New Roman" w:cs="Times New Roman"/>
        </w:rPr>
        <w:t>3000 procedures</w:t>
      </w:r>
      <w:r w:rsidR="000A7AD7" w:rsidRPr="00E97A38">
        <w:rPr>
          <w:rFonts w:ascii="Times New Roman" w:hAnsi="Times New Roman" w:cs="Times New Roman"/>
        </w:rPr>
        <w:t>)</w:t>
      </w:r>
      <w:r w:rsidR="005F7993" w:rsidRPr="00E97A38">
        <w:rPr>
          <w:rFonts w:ascii="Times New Roman" w:hAnsi="Times New Roman" w:cs="Times New Roman"/>
        </w:rPr>
        <w:t xml:space="preserve"> </w:t>
      </w:r>
      <w:r w:rsidR="00422562" w:rsidRPr="00E97A38">
        <w:rPr>
          <w:rFonts w:ascii="Times New Roman" w:hAnsi="Times New Roman" w:cs="Times New Roman"/>
        </w:rPr>
        <w:t>allowing</w:t>
      </w:r>
      <w:r w:rsidR="005F7993" w:rsidRPr="00E97A38">
        <w:rPr>
          <w:rFonts w:ascii="Times New Roman" w:hAnsi="Times New Roman" w:cs="Times New Roman"/>
        </w:rPr>
        <w:t xml:space="preserve"> us sufficient statistical power to study the impact of individual comorbid conditions in isolation with much greater granularity</w:t>
      </w:r>
      <w:r w:rsidR="004E3467" w:rsidRPr="00E97A38">
        <w:rPr>
          <w:rFonts w:ascii="Times New Roman" w:hAnsi="Times New Roman" w:cs="Times New Roman"/>
        </w:rPr>
        <w:t>.</w:t>
      </w:r>
      <w:r w:rsidR="00CF1B4C" w:rsidRPr="00E97A38">
        <w:rPr>
          <w:rFonts w:ascii="Times New Roman" w:hAnsi="Times New Roman" w:cs="Times New Roman"/>
        </w:rPr>
        <w:t xml:space="preserve"> Furthermore, our large sample size and unselected nature of our cohort allows the more precise estimate of the effect of comorbid burden in this population compared to studies derived from smaller </w:t>
      </w:r>
      <w:r w:rsidR="0031183B" w:rsidRPr="00E97A38">
        <w:rPr>
          <w:rFonts w:ascii="Times New Roman" w:hAnsi="Times New Roman" w:cs="Times New Roman"/>
        </w:rPr>
        <w:t xml:space="preserve">more selective </w:t>
      </w:r>
      <w:r w:rsidR="00CF1B4C" w:rsidRPr="00E97A38">
        <w:rPr>
          <w:rFonts w:ascii="Times New Roman" w:hAnsi="Times New Roman" w:cs="Times New Roman"/>
        </w:rPr>
        <w:t>registries.</w:t>
      </w:r>
      <w:r w:rsidR="004E3467" w:rsidRPr="00E97A38">
        <w:rPr>
          <w:rFonts w:ascii="Times New Roman" w:hAnsi="Times New Roman" w:cs="Times New Roman"/>
        </w:rPr>
        <w:t xml:space="preserve"> </w:t>
      </w:r>
      <w:r w:rsidR="00AF1BF0" w:rsidRPr="00E97A38">
        <w:rPr>
          <w:rFonts w:ascii="Times New Roman" w:hAnsi="Times New Roman" w:cs="Times New Roman"/>
        </w:rPr>
        <w:t xml:space="preserve">Furthermore, our analysis for the first time provides insights into </w:t>
      </w:r>
      <w:r w:rsidR="00661932" w:rsidRPr="00E97A38">
        <w:rPr>
          <w:rFonts w:ascii="Times New Roman" w:hAnsi="Times New Roman" w:cs="Times New Roman"/>
        </w:rPr>
        <w:t>both</w:t>
      </w:r>
      <w:r w:rsidR="00147E4E">
        <w:rPr>
          <w:rFonts w:ascii="Times New Roman" w:hAnsi="Times New Roman" w:cs="Times New Roman"/>
        </w:rPr>
        <w:t xml:space="preserve"> the </w:t>
      </w:r>
      <w:r w:rsidR="00661932" w:rsidRPr="00E97A38">
        <w:rPr>
          <w:rFonts w:ascii="Times New Roman" w:hAnsi="Times New Roman" w:cs="Times New Roman"/>
        </w:rPr>
        <w:t xml:space="preserve">length of stay and </w:t>
      </w:r>
      <w:r w:rsidR="00AF1BF0" w:rsidRPr="00E97A38">
        <w:rPr>
          <w:rFonts w:ascii="Times New Roman" w:hAnsi="Times New Roman" w:cs="Times New Roman"/>
        </w:rPr>
        <w:t>health economic costs associated with comorbid burden</w:t>
      </w:r>
      <w:r w:rsidR="00AE058F" w:rsidRPr="00E97A38">
        <w:rPr>
          <w:rFonts w:ascii="Times New Roman" w:hAnsi="Times New Roman" w:cs="Times New Roman"/>
        </w:rPr>
        <w:t xml:space="preserve"> </w:t>
      </w:r>
      <w:r w:rsidR="00661932" w:rsidRPr="00E97A38">
        <w:rPr>
          <w:rFonts w:ascii="Times New Roman" w:hAnsi="Times New Roman" w:cs="Times New Roman"/>
        </w:rPr>
        <w:t>that increase substantially with increasing comorbid burden</w:t>
      </w:r>
      <w:r w:rsidR="00AE058F" w:rsidRPr="00E97A38">
        <w:rPr>
          <w:rFonts w:ascii="Times New Roman" w:hAnsi="Times New Roman" w:cs="Times New Roman"/>
        </w:rPr>
        <w:t>.</w:t>
      </w:r>
    </w:p>
    <w:p w14:paraId="511CB353" w14:textId="36684117" w:rsidR="00741621" w:rsidRPr="00E97A38" w:rsidRDefault="00AF1BF0" w:rsidP="00A675E3">
      <w:pPr>
        <w:spacing w:after="0" w:line="360" w:lineRule="auto"/>
        <w:jc w:val="both"/>
        <w:rPr>
          <w:rFonts w:ascii="Times New Roman" w:hAnsi="Times New Roman" w:cs="Times New Roman"/>
        </w:rPr>
      </w:pPr>
      <w:r w:rsidRPr="00E97A38">
        <w:rPr>
          <w:rFonts w:ascii="Times New Roman" w:hAnsi="Times New Roman" w:cs="Times New Roman"/>
        </w:rPr>
        <w:tab/>
      </w:r>
      <w:r w:rsidR="00751EB5" w:rsidRPr="00E97A38">
        <w:rPr>
          <w:rFonts w:ascii="Times New Roman" w:hAnsi="Times New Roman" w:cs="Times New Roman"/>
        </w:rPr>
        <w:t xml:space="preserve">Our analysis suggests that </w:t>
      </w:r>
      <w:r w:rsidR="006860E3" w:rsidRPr="00E97A38">
        <w:rPr>
          <w:rFonts w:ascii="Times New Roman" w:hAnsi="Times New Roman" w:cs="Times New Roman"/>
        </w:rPr>
        <w:t xml:space="preserve">many </w:t>
      </w:r>
      <w:r w:rsidR="009E06A5" w:rsidRPr="00E97A38">
        <w:rPr>
          <w:rFonts w:ascii="Times New Roman" w:hAnsi="Times New Roman" w:cs="Times New Roman"/>
        </w:rPr>
        <w:t>non-CV comorbidities</w:t>
      </w:r>
      <w:r w:rsidR="00751EB5" w:rsidRPr="00E97A38">
        <w:rPr>
          <w:rFonts w:ascii="Times New Roman" w:hAnsi="Times New Roman" w:cs="Times New Roman"/>
        </w:rPr>
        <w:t xml:space="preserve"> </w:t>
      </w:r>
      <w:r w:rsidR="009E06A5" w:rsidRPr="00E97A38">
        <w:rPr>
          <w:rFonts w:ascii="Times New Roman" w:hAnsi="Times New Roman" w:cs="Times New Roman"/>
        </w:rPr>
        <w:t xml:space="preserve">such as </w:t>
      </w:r>
      <w:r w:rsidR="006E354D" w:rsidRPr="00E97A38">
        <w:rPr>
          <w:rFonts w:ascii="Times New Roman" w:hAnsi="Times New Roman" w:cs="Times New Roman"/>
        </w:rPr>
        <w:t xml:space="preserve">liver disease, solid and haematological malignancies </w:t>
      </w:r>
      <w:r w:rsidR="000910AD" w:rsidRPr="00E97A38">
        <w:rPr>
          <w:rFonts w:ascii="Times New Roman" w:hAnsi="Times New Roman" w:cs="Times New Roman"/>
        </w:rPr>
        <w:t>are</w:t>
      </w:r>
      <w:r w:rsidR="006860E3" w:rsidRPr="00E97A38">
        <w:rPr>
          <w:rFonts w:ascii="Times New Roman" w:hAnsi="Times New Roman" w:cs="Times New Roman"/>
        </w:rPr>
        <w:t xml:space="preserve"> much </w:t>
      </w:r>
      <w:r w:rsidR="000910AD" w:rsidRPr="00E97A38">
        <w:rPr>
          <w:rFonts w:ascii="Times New Roman" w:hAnsi="Times New Roman" w:cs="Times New Roman"/>
        </w:rPr>
        <w:t xml:space="preserve">more strongly associated with </w:t>
      </w:r>
      <w:r w:rsidR="006860E3" w:rsidRPr="00E97A38">
        <w:rPr>
          <w:rFonts w:ascii="Times New Roman" w:hAnsi="Times New Roman" w:cs="Times New Roman"/>
        </w:rPr>
        <w:t>procedural outcomes than many cardiovascular comorbid conditions</w:t>
      </w:r>
      <w:r w:rsidR="00751EB5" w:rsidRPr="00E97A38">
        <w:rPr>
          <w:rFonts w:ascii="Times New Roman" w:hAnsi="Times New Roman" w:cs="Times New Roman"/>
        </w:rPr>
        <w:t xml:space="preserve">. </w:t>
      </w:r>
      <w:r w:rsidR="003D261E" w:rsidRPr="00E97A38">
        <w:rPr>
          <w:rFonts w:ascii="Times New Roman" w:hAnsi="Times New Roman" w:cs="Times New Roman"/>
        </w:rPr>
        <w:t xml:space="preserve">This is particularly important </w:t>
      </w:r>
      <w:r w:rsidR="00422562" w:rsidRPr="00E97A38">
        <w:rPr>
          <w:rFonts w:ascii="Times New Roman" w:hAnsi="Times New Roman" w:cs="Times New Roman"/>
        </w:rPr>
        <w:t>as</w:t>
      </w:r>
      <w:r w:rsidR="003D261E" w:rsidRPr="00E97A38">
        <w:rPr>
          <w:rFonts w:ascii="Times New Roman" w:hAnsi="Times New Roman" w:cs="Times New Roman"/>
        </w:rPr>
        <w:t xml:space="preserve"> whilst </w:t>
      </w:r>
      <w:r w:rsidR="00751EB5" w:rsidRPr="00E97A38">
        <w:rPr>
          <w:rFonts w:ascii="Times New Roman" w:hAnsi="Times New Roman" w:cs="Times New Roman"/>
        </w:rPr>
        <w:t xml:space="preserve">CV </w:t>
      </w:r>
      <w:r w:rsidR="006E354D" w:rsidRPr="00E97A38">
        <w:rPr>
          <w:rFonts w:ascii="Times New Roman" w:hAnsi="Times New Roman" w:cs="Times New Roman"/>
        </w:rPr>
        <w:t>comorbid conditions such as diabetes, heart failure, chronic renal failure are important components of contemporary risk stratification tools in PCI</w:t>
      </w:r>
      <w:r w:rsidR="004D5C20" w:rsidRPr="00E43D2C">
        <w:rPr>
          <w:rFonts w:ascii="Times New Roman" w:hAnsi="Times New Roman" w:cs="Times New Roman"/>
          <w:vertAlign w:val="superscript"/>
        </w:rPr>
        <w:t>1</w:t>
      </w:r>
      <w:r w:rsidR="004D5C20">
        <w:rPr>
          <w:rFonts w:ascii="Times New Roman" w:hAnsi="Times New Roman" w:cs="Times New Roman"/>
          <w:vertAlign w:val="superscript"/>
        </w:rPr>
        <w:t>7-19</w:t>
      </w:r>
      <w:r w:rsidR="006E354D" w:rsidRPr="00E97A38">
        <w:rPr>
          <w:rFonts w:ascii="Times New Roman" w:hAnsi="Times New Roman" w:cs="Times New Roman"/>
        </w:rPr>
        <w:t xml:space="preserve"> </w:t>
      </w:r>
      <w:r w:rsidR="00336EEA" w:rsidRPr="00E97A38">
        <w:rPr>
          <w:rFonts w:ascii="Times New Roman" w:hAnsi="Times New Roman" w:cs="Times New Roman"/>
        </w:rPr>
        <w:t xml:space="preserve">measures of </w:t>
      </w:r>
      <w:r w:rsidR="005D7419" w:rsidRPr="00E97A38">
        <w:rPr>
          <w:rFonts w:ascii="Times New Roman" w:hAnsi="Times New Roman" w:cs="Times New Roman"/>
        </w:rPr>
        <w:t xml:space="preserve">overall </w:t>
      </w:r>
      <w:r w:rsidR="00336EEA" w:rsidRPr="00E97A38">
        <w:rPr>
          <w:rFonts w:ascii="Times New Roman" w:hAnsi="Times New Roman" w:cs="Times New Roman"/>
        </w:rPr>
        <w:t>comorbid burden and non-CV comorbid conditions</w:t>
      </w:r>
      <w:r w:rsidR="005A79DF" w:rsidRPr="00E97A38">
        <w:rPr>
          <w:rFonts w:ascii="Times New Roman" w:hAnsi="Times New Roman" w:cs="Times New Roman"/>
        </w:rPr>
        <w:t xml:space="preserve"> are not routinely collected in datasets from which </w:t>
      </w:r>
      <w:r w:rsidR="00422562" w:rsidRPr="00E97A38">
        <w:rPr>
          <w:rFonts w:ascii="Times New Roman" w:hAnsi="Times New Roman" w:cs="Times New Roman"/>
        </w:rPr>
        <w:t xml:space="preserve">such </w:t>
      </w:r>
      <w:r w:rsidR="00336EEA" w:rsidRPr="00E97A38">
        <w:rPr>
          <w:rFonts w:ascii="Times New Roman" w:hAnsi="Times New Roman" w:cs="Times New Roman"/>
        </w:rPr>
        <w:t>contemporary</w:t>
      </w:r>
      <w:r w:rsidR="005A79DF" w:rsidRPr="00E97A38">
        <w:rPr>
          <w:rFonts w:ascii="Times New Roman" w:hAnsi="Times New Roman" w:cs="Times New Roman"/>
        </w:rPr>
        <w:t xml:space="preserve"> risk scores are derived</w:t>
      </w:r>
      <w:r w:rsidR="008F365A" w:rsidRPr="00E97A38">
        <w:rPr>
          <w:rFonts w:ascii="Times New Roman" w:hAnsi="Times New Roman" w:cs="Times New Roman"/>
        </w:rPr>
        <w:t xml:space="preserve"> and are therefore not included</w:t>
      </w:r>
      <w:r w:rsidR="00422562" w:rsidRPr="00E97A38">
        <w:rPr>
          <w:rFonts w:ascii="Times New Roman" w:hAnsi="Times New Roman" w:cs="Times New Roman"/>
        </w:rPr>
        <w:t xml:space="preserve"> in the assessment of risk</w:t>
      </w:r>
      <w:r w:rsidR="005A79DF" w:rsidRPr="00E97A38">
        <w:rPr>
          <w:rFonts w:ascii="Times New Roman" w:hAnsi="Times New Roman" w:cs="Times New Roman"/>
        </w:rPr>
        <w:t>.</w:t>
      </w:r>
      <w:r w:rsidR="00751EB5" w:rsidRPr="00E97A38">
        <w:rPr>
          <w:rFonts w:ascii="Times New Roman" w:hAnsi="Times New Roman" w:cs="Times New Roman"/>
        </w:rPr>
        <w:t xml:space="preserve"> </w:t>
      </w:r>
      <w:r w:rsidR="00EC6FDC" w:rsidRPr="00E97A38">
        <w:rPr>
          <w:rFonts w:ascii="Times New Roman" w:hAnsi="Times New Roman" w:cs="Times New Roman"/>
        </w:rPr>
        <w:t xml:space="preserve">The addition of </w:t>
      </w:r>
      <w:r w:rsidR="008F365A" w:rsidRPr="00E97A38">
        <w:rPr>
          <w:rFonts w:ascii="Times New Roman" w:hAnsi="Times New Roman" w:cs="Times New Roman"/>
        </w:rPr>
        <w:t xml:space="preserve">global measures of comorbid burden such as </w:t>
      </w:r>
      <w:r w:rsidR="00EC6FDC" w:rsidRPr="00E97A38">
        <w:rPr>
          <w:rFonts w:ascii="Times New Roman" w:hAnsi="Times New Roman" w:cs="Times New Roman"/>
        </w:rPr>
        <w:t xml:space="preserve">CCI to contemporary </w:t>
      </w:r>
      <w:r w:rsidR="00D9785D" w:rsidRPr="00E97A38">
        <w:rPr>
          <w:rFonts w:ascii="Times New Roman" w:hAnsi="Times New Roman" w:cs="Times New Roman"/>
        </w:rPr>
        <w:t xml:space="preserve">PCI </w:t>
      </w:r>
      <w:r w:rsidR="00EC6FDC" w:rsidRPr="00E97A38">
        <w:rPr>
          <w:rFonts w:ascii="Times New Roman" w:hAnsi="Times New Roman" w:cs="Times New Roman"/>
        </w:rPr>
        <w:t>risk stratification scores has been shown to improve the</w:t>
      </w:r>
      <w:r w:rsidR="00D5175A" w:rsidRPr="00E97A38">
        <w:rPr>
          <w:rFonts w:ascii="Times New Roman" w:hAnsi="Times New Roman" w:cs="Times New Roman"/>
        </w:rPr>
        <w:t>ir</w:t>
      </w:r>
      <w:r w:rsidR="00EC6FDC" w:rsidRPr="00E97A38">
        <w:rPr>
          <w:rFonts w:ascii="Times New Roman" w:hAnsi="Times New Roman" w:cs="Times New Roman"/>
        </w:rPr>
        <w:t xml:space="preserve"> performance. For</w:t>
      </w:r>
      <w:r w:rsidR="00D5175A" w:rsidRPr="00E97A38">
        <w:rPr>
          <w:rFonts w:ascii="Times New Roman" w:hAnsi="Times New Roman" w:cs="Times New Roman"/>
        </w:rPr>
        <w:t xml:space="preserve"> </w:t>
      </w:r>
      <w:r w:rsidR="00EC6FDC" w:rsidRPr="00E97A38">
        <w:rPr>
          <w:rFonts w:ascii="Times New Roman" w:hAnsi="Times New Roman" w:cs="Times New Roman"/>
        </w:rPr>
        <w:t>example, addition of CCI to the Mayo Clinic Risk Score for PCI increased net re-classification index by 34% and improved the c-statistic for the model significantly.</w:t>
      </w:r>
      <w:r w:rsidR="004D5C20">
        <w:rPr>
          <w:rFonts w:ascii="Times New Roman" w:hAnsi="Times New Roman" w:cs="Times New Roman"/>
          <w:vertAlign w:val="superscript"/>
        </w:rPr>
        <w:t>7</w:t>
      </w:r>
      <w:r w:rsidR="00EC6FDC" w:rsidRPr="00E97A38">
        <w:rPr>
          <w:rFonts w:ascii="Times New Roman" w:hAnsi="Times New Roman" w:cs="Times New Roman"/>
        </w:rPr>
        <w:t xml:space="preserve"> </w:t>
      </w:r>
      <w:r w:rsidR="00DB362E" w:rsidRPr="00E97A38">
        <w:rPr>
          <w:rFonts w:ascii="Times New Roman" w:hAnsi="Times New Roman" w:cs="Times New Roman"/>
        </w:rPr>
        <w:t xml:space="preserve">This is </w:t>
      </w:r>
      <w:r w:rsidR="005F06A8" w:rsidRPr="00E97A38">
        <w:rPr>
          <w:rFonts w:ascii="Times New Roman" w:hAnsi="Times New Roman" w:cs="Times New Roman"/>
        </w:rPr>
        <w:t xml:space="preserve">increasingly </w:t>
      </w:r>
      <w:r w:rsidR="00DB362E" w:rsidRPr="00E97A38">
        <w:rPr>
          <w:rFonts w:ascii="Times New Roman" w:hAnsi="Times New Roman" w:cs="Times New Roman"/>
        </w:rPr>
        <w:t xml:space="preserve">relevant as over the past 20 years the predominant cause of mortality following PCI has changed from cardiac to non-cardiac causes, </w:t>
      </w:r>
      <w:r w:rsidR="0095330D" w:rsidRPr="00E97A38">
        <w:rPr>
          <w:rFonts w:ascii="Times New Roman" w:hAnsi="Times New Roman" w:cs="Times New Roman"/>
        </w:rPr>
        <w:t xml:space="preserve">with cardiac deaths </w:t>
      </w:r>
      <w:r w:rsidR="00D96D00" w:rsidRPr="00E97A38">
        <w:rPr>
          <w:rFonts w:ascii="Times New Roman" w:hAnsi="Times New Roman" w:cs="Times New Roman"/>
        </w:rPr>
        <w:t xml:space="preserve">only </w:t>
      </w:r>
      <w:r w:rsidR="0095330D" w:rsidRPr="00E97A38">
        <w:rPr>
          <w:rFonts w:ascii="Times New Roman" w:hAnsi="Times New Roman" w:cs="Times New Roman"/>
        </w:rPr>
        <w:t xml:space="preserve">accounting for </w:t>
      </w:r>
      <w:r w:rsidR="00D96D00" w:rsidRPr="00E97A38">
        <w:rPr>
          <w:rFonts w:ascii="Times New Roman" w:hAnsi="Times New Roman" w:cs="Times New Roman"/>
        </w:rPr>
        <w:t>one third</w:t>
      </w:r>
      <w:r w:rsidR="0095330D" w:rsidRPr="00E97A38">
        <w:rPr>
          <w:rFonts w:ascii="Times New Roman" w:hAnsi="Times New Roman" w:cs="Times New Roman"/>
        </w:rPr>
        <w:t xml:space="preserve"> of deaths following PCI</w:t>
      </w:r>
      <w:r w:rsidR="004D5C20">
        <w:rPr>
          <w:rFonts w:ascii="Times New Roman" w:hAnsi="Times New Roman" w:cs="Times New Roman"/>
        </w:rPr>
        <w:t>.</w:t>
      </w:r>
      <w:r w:rsidR="004D5C20">
        <w:rPr>
          <w:rFonts w:ascii="Times New Roman" w:hAnsi="Times New Roman" w:cs="Times New Roman"/>
          <w:vertAlign w:val="superscript"/>
        </w:rPr>
        <w:t>20</w:t>
      </w:r>
      <w:r w:rsidR="0095330D" w:rsidRPr="00E97A38">
        <w:rPr>
          <w:rFonts w:ascii="Times New Roman" w:hAnsi="Times New Roman" w:cs="Times New Roman"/>
        </w:rPr>
        <w:t xml:space="preserve"> </w:t>
      </w:r>
      <w:r w:rsidR="00D96D00" w:rsidRPr="00E97A38">
        <w:rPr>
          <w:rFonts w:ascii="Times New Roman" w:hAnsi="Times New Roman" w:cs="Times New Roman"/>
        </w:rPr>
        <w:t xml:space="preserve">Studies have reported </w:t>
      </w:r>
      <w:r w:rsidR="00422562" w:rsidRPr="00E97A38">
        <w:rPr>
          <w:rFonts w:ascii="Times New Roman" w:hAnsi="Times New Roman" w:cs="Times New Roman"/>
        </w:rPr>
        <w:t xml:space="preserve">that </w:t>
      </w:r>
      <w:r w:rsidR="00DB362E" w:rsidRPr="00E97A38">
        <w:rPr>
          <w:rFonts w:ascii="Times New Roman" w:hAnsi="Times New Roman" w:cs="Times New Roman"/>
        </w:rPr>
        <w:t xml:space="preserve">non-cardiac comorbidities at baseline </w:t>
      </w:r>
      <w:r w:rsidR="00D96D00" w:rsidRPr="00E97A38">
        <w:rPr>
          <w:rFonts w:ascii="Times New Roman" w:hAnsi="Times New Roman" w:cs="Times New Roman"/>
        </w:rPr>
        <w:t xml:space="preserve">are </w:t>
      </w:r>
      <w:r w:rsidR="00DB362E" w:rsidRPr="00E97A38">
        <w:rPr>
          <w:rFonts w:ascii="Times New Roman" w:hAnsi="Times New Roman" w:cs="Times New Roman"/>
        </w:rPr>
        <w:t>strongly predictive of future non-cardiac death</w:t>
      </w:r>
      <w:r w:rsidR="00D96D00" w:rsidRPr="00E97A38">
        <w:rPr>
          <w:rFonts w:ascii="Times New Roman" w:hAnsi="Times New Roman" w:cs="Times New Roman"/>
        </w:rPr>
        <w:t xml:space="preserve">, </w:t>
      </w:r>
      <w:r w:rsidR="00EE7165" w:rsidRPr="00E97A38">
        <w:rPr>
          <w:rFonts w:ascii="Times New Roman" w:hAnsi="Times New Roman" w:cs="Times New Roman"/>
        </w:rPr>
        <w:t xml:space="preserve">which is </w:t>
      </w:r>
      <w:r w:rsidR="00D96D00" w:rsidRPr="00E97A38">
        <w:rPr>
          <w:rFonts w:ascii="Times New Roman" w:hAnsi="Times New Roman" w:cs="Times New Roman"/>
        </w:rPr>
        <w:t>the commonest cause of mortality post PCI</w:t>
      </w:r>
      <w:r w:rsidR="00422562" w:rsidRPr="00E97A38">
        <w:rPr>
          <w:rFonts w:ascii="Times New Roman" w:hAnsi="Times New Roman" w:cs="Times New Roman"/>
        </w:rPr>
        <w:t>,</w:t>
      </w:r>
      <w:r w:rsidR="004D5C20">
        <w:rPr>
          <w:rFonts w:ascii="Times New Roman" w:hAnsi="Times New Roman" w:cs="Times New Roman"/>
          <w:vertAlign w:val="superscript"/>
        </w:rPr>
        <w:t>20</w:t>
      </w:r>
      <w:r w:rsidR="00422562" w:rsidRPr="00E97A38">
        <w:rPr>
          <w:rFonts w:ascii="Times New Roman" w:hAnsi="Times New Roman" w:cs="Times New Roman"/>
        </w:rPr>
        <w:t xml:space="preserve"> and hence the ability to </w:t>
      </w:r>
      <w:r w:rsidR="002E4678" w:rsidRPr="00E97A38">
        <w:rPr>
          <w:rFonts w:ascii="Times New Roman" w:hAnsi="Times New Roman" w:cs="Times New Roman"/>
        </w:rPr>
        <w:t xml:space="preserve">predict </w:t>
      </w:r>
      <w:r w:rsidR="00EE7165" w:rsidRPr="00E97A38">
        <w:rPr>
          <w:rFonts w:ascii="Times New Roman" w:hAnsi="Times New Roman" w:cs="Times New Roman"/>
        </w:rPr>
        <w:t>adverse outcomes</w:t>
      </w:r>
      <w:r w:rsidR="00422562" w:rsidRPr="00E97A38">
        <w:rPr>
          <w:rFonts w:ascii="Times New Roman" w:hAnsi="Times New Roman" w:cs="Times New Roman"/>
        </w:rPr>
        <w:t xml:space="preserve"> using risk scores that do not include </w:t>
      </w:r>
      <w:r w:rsidR="00EE7165" w:rsidRPr="00E97A38">
        <w:rPr>
          <w:rFonts w:ascii="Times New Roman" w:hAnsi="Times New Roman" w:cs="Times New Roman"/>
        </w:rPr>
        <w:t xml:space="preserve">such </w:t>
      </w:r>
      <w:r w:rsidR="00422562" w:rsidRPr="00E97A38">
        <w:rPr>
          <w:rFonts w:ascii="Times New Roman" w:hAnsi="Times New Roman" w:cs="Times New Roman"/>
        </w:rPr>
        <w:t xml:space="preserve">non-cardiac comorbid conditions will be </w:t>
      </w:r>
      <w:r w:rsidR="00EE7165" w:rsidRPr="00E97A38">
        <w:rPr>
          <w:rFonts w:ascii="Times New Roman" w:hAnsi="Times New Roman" w:cs="Times New Roman"/>
        </w:rPr>
        <w:t>compromised</w:t>
      </w:r>
      <w:r w:rsidR="00D5175A" w:rsidRPr="00E97A38">
        <w:rPr>
          <w:rFonts w:ascii="Times New Roman" w:hAnsi="Times New Roman" w:cs="Times New Roman"/>
        </w:rPr>
        <w:t xml:space="preserve">. </w:t>
      </w:r>
      <w:r w:rsidR="00D96D00" w:rsidRPr="00E97A38">
        <w:rPr>
          <w:rFonts w:ascii="Times New Roman" w:hAnsi="Times New Roman" w:cs="Times New Roman"/>
        </w:rPr>
        <w:t>T</w:t>
      </w:r>
      <w:r w:rsidR="00D5175A" w:rsidRPr="00E97A38">
        <w:rPr>
          <w:rFonts w:ascii="Times New Roman" w:hAnsi="Times New Roman" w:cs="Times New Roman"/>
        </w:rPr>
        <w:t xml:space="preserve">he performance of many risk models used in PCI has declined </w:t>
      </w:r>
      <w:r w:rsidR="00D96D00" w:rsidRPr="00E97A38">
        <w:rPr>
          <w:rFonts w:ascii="Times New Roman" w:hAnsi="Times New Roman" w:cs="Times New Roman"/>
        </w:rPr>
        <w:t xml:space="preserve">over time, </w:t>
      </w:r>
      <w:r w:rsidR="00D5175A" w:rsidRPr="00E97A38">
        <w:rPr>
          <w:rFonts w:ascii="Times New Roman" w:hAnsi="Times New Roman" w:cs="Times New Roman"/>
        </w:rPr>
        <w:t>in line with changes in practice</w:t>
      </w:r>
      <w:r w:rsidR="00A73E5B" w:rsidRPr="00E97A38">
        <w:rPr>
          <w:rFonts w:ascii="Times New Roman" w:hAnsi="Times New Roman" w:cs="Times New Roman"/>
        </w:rPr>
        <w:t>, equipment</w:t>
      </w:r>
      <w:r w:rsidR="00D5175A" w:rsidRPr="00E97A38">
        <w:rPr>
          <w:rFonts w:ascii="Times New Roman" w:hAnsi="Times New Roman" w:cs="Times New Roman"/>
        </w:rPr>
        <w:t xml:space="preserve"> and the </w:t>
      </w:r>
      <w:r w:rsidR="00A73E5B" w:rsidRPr="00E97A38">
        <w:rPr>
          <w:rFonts w:ascii="Times New Roman" w:hAnsi="Times New Roman" w:cs="Times New Roman"/>
        </w:rPr>
        <w:t>clinical profile of</w:t>
      </w:r>
      <w:r w:rsidR="00D5175A" w:rsidRPr="00E97A38">
        <w:rPr>
          <w:rFonts w:ascii="Times New Roman" w:hAnsi="Times New Roman" w:cs="Times New Roman"/>
        </w:rPr>
        <w:t xml:space="preserve"> </w:t>
      </w:r>
      <w:r w:rsidR="00422562" w:rsidRPr="00E97A38">
        <w:rPr>
          <w:rFonts w:ascii="Times New Roman" w:hAnsi="Times New Roman" w:cs="Times New Roman"/>
        </w:rPr>
        <w:t xml:space="preserve">patients </w:t>
      </w:r>
      <w:r w:rsidR="00D5175A" w:rsidRPr="00E97A38">
        <w:rPr>
          <w:rFonts w:ascii="Times New Roman" w:hAnsi="Times New Roman" w:cs="Times New Roman"/>
        </w:rPr>
        <w:t xml:space="preserve">undergoing these procedures, with several scores </w:t>
      </w:r>
      <w:r w:rsidR="00A73E5B" w:rsidRPr="00E97A38">
        <w:rPr>
          <w:rFonts w:ascii="Times New Roman" w:hAnsi="Times New Roman" w:cs="Times New Roman"/>
        </w:rPr>
        <w:t>requiring an update</w:t>
      </w:r>
      <w:r w:rsidR="00422562" w:rsidRPr="00E97A38">
        <w:rPr>
          <w:rFonts w:ascii="Times New Roman" w:hAnsi="Times New Roman" w:cs="Times New Roman"/>
        </w:rPr>
        <w:t xml:space="preserve"> </w:t>
      </w:r>
      <w:r w:rsidR="00D5175A" w:rsidRPr="00E97A38">
        <w:rPr>
          <w:rFonts w:ascii="Times New Roman" w:hAnsi="Times New Roman" w:cs="Times New Roman"/>
        </w:rPr>
        <w:t>to avoid calibration drift.</w:t>
      </w:r>
      <w:r w:rsidR="004D5C20" w:rsidRPr="00E43D2C">
        <w:rPr>
          <w:rFonts w:ascii="Times New Roman" w:hAnsi="Times New Roman" w:cs="Times New Roman"/>
          <w:vertAlign w:val="superscript"/>
        </w:rPr>
        <w:t>1</w:t>
      </w:r>
      <w:r w:rsidR="004D5C20">
        <w:rPr>
          <w:rFonts w:ascii="Times New Roman" w:hAnsi="Times New Roman" w:cs="Times New Roman"/>
          <w:vertAlign w:val="superscript"/>
        </w:rPr>
        <w:t>7,18</w:t>
      </w:r>
      <w:r w:rsidR="00D5175A" w:rsidRPr="00E97A38">
        <w:rPr>
          <w:rFonts w:ascii="Times New Roman" w:hAnsi="Times New Roman" w:cs="Times New Roman"/>
        </w:rPr>
        <w:t xml:space="preserve"> Given the increasing comorbid burden of patients undergoing PCI in contemporary practice, and </w:t>
      </w:r>
      <w:r w:rsidR="00DB6940" w:rsidRPr="00E97A38">
        <w:rPr>
          <w:rFonts w:ascii="Times New Roman" w:hAnsi="Times New Roman" w:cs="Times New Roman"/>
        </w:rPr>
        <w:t xml:space="preserve">their </w:t>
      </w:r>
      <w:r w:rsidR="00D5175A" w:rsidRPr="00E97A38">
        <w:rPr>
          <w:rFonts w:ascii="Times New Roman" w:hAnsi="Times New Roman" w:cs="Times New Roman"/>
        </w:rPr>
        <w:t xml:space="preserve">important impact on outcomes, future </w:t>
      </w:r>
      <w:r w:rsidR="00741621" w:rsidRPr="00E97A38">
        <w:rPr>
          <w:rFonts w:ascii="Times New Roman" w:hAnsi="Times New Roman" w:cs="Times New Roman"/>
        </w:rPr>
        <w:t>risk scores should seek to incorporate more global measures of comorbid burden.</w:t>
      </w:r>
      <w:r w:rsidR="001D351C">
        <w:rPr>
          <w:rFonts w:ascii="Times New Roman" w:hAnsi="Times New Roman" w:cs="Times New Roman"/>
        </w:rPr>
        <w:t xml:space="preserve"> </w:t>
      </w:r>
      <w:r w:rsidR="00A675E3">
        <w:rPr>
          <w:rFonts w:ascii="Times New Roman" w:hAnsi="Times New Roman" w:cs="Times New Roman"/>
        </w:rPr>
        <w:t xml:space="preserve">Global </w:t>
      </w:r>
      <w:r w:rsidR="00A675E3">
        <w:rPr>
          <w:rFonts w:ascii="Times New Roman" w:hAnsi="Times New Roman" w:cs="Times New Roman"/>
        </w:rPr>
        <w:lastRenderedPageBreak/>
        <w:t xml:space="preserve">measures of comorbid burden such as CCI can be used to identify patients at greatest risk of adverse outcomes and complications, </w:t>
      </w:r>
      <w:r w:rsidR="00701047">
        <w:rPr>
          <w:rFonts w:ascii="Times New Roman" w:hAnsi="Times New Roman" w:cs="Times New Roman"/>
        </w:rPr>
        <w:t>enabling</w:t>
      </w:r>
      <w:r w:rsidR="00A675E3">
        <w:rPr>
          <w:rFonts w:ascii="Times New Roman" w:hAnsi="Times New Roman" w:cs="Times New Roman"/>
        </w:rPr>
        <w:t xml:space="preserve"> individuali</w:t>
      </w:r>
      <w:r w:rsidR="00701047">
        <w:rPr>
          <w:rFonts w:ascii="Times New Roman" w:hAnsi="Times New Roman" w:cs="Times New Roman"/>
        </w:rPr>
        <w:t>zation of treatments for higher risk individuals</w:t>
      </w:r>
      <w:r w:rsidR="00A675E3">
        <w:rPr>
          <w:rFonts w:ascii="Times New Roman" w:hAnsi="Times New Roman" w:cs="Times New Roman"/>
        </w:rPr>
        <w:t>. For example, o</w:t>
      </w:r>
      <w:r w:rsidR="00A675E3" w:rsidRPr="00A675E3">
        <w:rPr>
          <w:rFonts w:ascii="Times New Roman" w:hAnsi="Times New Roman" w:cs="Times New Roman"/>
        </w:rPr>
        <w:t xml:space="preserve">ur analysis suggests that patients with </w:t>
      </w:r>
      <w:r w:rsidR="00701047">
        <w:rPr>
          <w:rFonts w:ascii="Times New Roman" w:hAnsi="Times New Roman" w:cs="Times New Roman"/>
        </w:rPr>
        <w:t>severe</w:t>
      </w:r>
      <w:r w:rsidR="00A675E3" w:rsidRPr="00A675E3">
        <w:rPr>
          <w:rFonts w:ascii="Times New Roman" w:hAnsi="Times New Roman" w:cs="Times New Roman"/>
        </w:rPr>
        <w:t xml:space="preserve"> comorbid burden are at </w:t>
      </w:r>
      <w:r w:rsidR="00A675E3">
        <w:rPr>
          <w:rFonts w:ascii="Times New Roman" w:hAnsi="Times New Roman" w:cs="Times New Roman"/>
        </w:rPr>
        <w:t>high</w:t>
      </w:r>
      <w:r w:rsidR="00A675E3" w:rsidRPr="00A675E3">
        <w:rPr>
          <w:rFonts w:ascii="Times New Roman" w:hAnsi="Times New Roman" w:cs="Times New Roman"/>
        </w:rPr>
        <w:t xml:space="preserve"> risk of complications particular</w:t>
      </w:r>
      <w:r w:rsidR="00A675E3">
        <w:rPr>
          <w:rFonts w:ascii="Times New Roman" w:hAnsi="Times New Roman" w:cs="Times New Roman"/>
        </w:rPr>
        <w:t>ly</w:t>
      </w:r>
      <w:r w:rsidR="00A675E3" w:rsidRPr="00A675E3">
        <w:rPr>
          <w:rFonts w:ascii="Times New Roman" w:hAnsi="Times New Roman" w:cs="Times New Roman"/>
        </w:rPr>
        <w:t xml:space="preserve"> </w:t>
      </w:r>
      <w:r w:rsidR="00A675E3">
        <w:rPr>
          <w:rFonts w:ascii="Times New Roman" w:hAnsi="Times New Roman" w:cs="Times New Roman"/>
        </w:rPr>
        <w:t xml:space="preserve">major </w:t>
      </w:r>
      <w:r w:rsidR="00A675E3" w:rsidRPr="00A675E3">
        <w:rPr>
          <w:rFonts w:ascii="Times New Roman" w:hAnsi="Times New Roman" w:cs="Times New Roman"/>
        </w:rPr>
        <w:t xml:space="preserve">bleeding </w:t>
      </w:r>
      <w:r w:rsidR="00A675E3">
        <w:rPr>
          <w:rFonts w:ascii="Times New Roman" w:hAnsi="Times New Roman" w:cs="Times New Roman"/>
        </w:rPr>
        <w:t>events,</w:t>
      </w:r>
      <w:r w:rsidR="00A675E3" w:rsidRPr="00A675E3">
        <w:rPr>
          <w:rFonts w:ascii="Times New Roman" w:hAnsi="Times New Roman" w:cs="Times New Roman"/>
        </w:rPr>
        <w:t xml:space="preserve"> w</w:t>
      </w:r>
      <w:r w:rsidR="00701047">
        <w:rPr>
          <w:rFonts w:ascii="Times New Roman" w:hAnsi="Times New Roman" w:cs="Times New Roman"/>
        </w:rPr>
        <w:t xml:space="preserve">ith patients with a </w:t>
      </w:r>
      <w:r w:rsidR="00A675E3" w:rsidRPr="00A675E3">
        <w:rPr>
          <w:rFonts w:ascii="Times New Roman" w:hAnsi="Times New Roman" w:cs="Times New Roman"/>
        </w:rPr>
        <w:t>CCI</w:t>
      </w:r>
      <w:r w:rsidR="00701047">
        <w:rPr>
          <w:rFonts w:ascii="Times New Roman" w:hAnsi="Times New Roman" w:cs="Times New Roman"/>
        </w:rPr>
        <w:t xml:space="preserve"> score of </w:t>
      </w:r>
      <w:r w:rsidR="00A675E3" w:rsidRPr="00A675E3">
        <w:rPr>
          <w:rFonts w:ascii="Times New Roman" w:hAnsi="Times New Roman" w:cs="Times New Roman"/>
        </w:rPr>
        <w:t>≥3 hav</w:t>
      </w:r>
      <w:r w:rsidR="00701047">
        <w:rPr>
          <w:rFonts w:ascii="Times New Roman" w:hAnsi="Times New Roman" w:cs="Times New Roman"/>
        </w:rPr>
        <w:t>ing</w:t>
      </w:r>
      <w:r w:rsidR="00A675E3" w:rsidRPr="00A675E3">
        <w:rPr>
          <w:rFonts w:ascii="Times New Roman" w:hAnsi="Times New Roman" w:cs="Times New Roman"/>
        </w:rPr>
        <w:t xml:space="preserve"> a 4-fold independent increase in odds of major bleeding complications. Bleeding avoidance strategies such as use of less aggressive antithrombotic regimes, stent platforms that require shorter DAPT</w:t>
      </w:r>
      <w:r w:rsidR="00A675E3">
        <w:rPr>
          <w:rFonts w:ascii="Times New Roman" w:hAnsi="Times New Roman" w:cs="Times New Roman"/>
        </w:rPr>
        <w:t xml:space="preserve"> duration</w:t>
      </w:r>
      <w:r w:rsidR="00B05470" w:rsidRPr="00B05470">
        <w:rPr>
          <w:rFonts w:ascii="Times New Roman" w:hAnsi="Times New Roman" w:cs="Times New Roman"/>
          <w:vertAlign w:val="superscript"/>
        </w:rPr>
        <w:t>21</w:t>
      </w:r>
      <w:r w:rsidR="00A675E3">
        <w:rPr>
          <w:rFonts w:ascii="Times New Roman" w:hAnsi="Times New Roman" w:cs="Times New Roman"/>
        </w:rPr>
        <w:t xml:space="preserve"> </w:t>
      </w:r>
      <w:r w:rsidR="00A675E3" w:rsidRPr="00A675E3">
        <w:rPr>
          <w:rFonts w:ascii="Times New Roman" w:hAnsi="Times New Roman" w:cs="Times New Roman"/>
        </w:rPr>
        <w:t>and adoption of radial access</w:t>
      </w:r>
      <w:r w:rsidR="00B05470" w:rsidRPr="00B05470">
        <w:rPr>
          <w:rFonts w:ascii="Times New Roman" w:hAnsi="Times New Roman" w:cs="Times New Roman"/>
          <w:vertAlign w:val="superscript"/>
        </w:rPr>
        <w:t>22,23</w:t>
      </w:r>
      <w:r w:rsidR="00A675E3" w:rsidRPr="00A675E3">
        <w:rPr>
          <w:rFonts w:ascii="Times New Roman" w:hAnsi="Times New Roman" w:cs="Times New Roman"/>
        </w:rPr>
        <w:t xml:space="preserve"> may improve outcomes in </w:t>
      </w:r>
      <w:r w:rsidR="00A675E3">
        <w:rPr>
          <w:rFonts w:ascii="Times New Roman" w:hAnsi="Times New Roman" w:cs="Times New Roman"/>
        </w:rPr>
        <w:t xml:space="preserve">such </w:t>
      </w:r>
      <w:r w:rsidR="00A675E3" w:rsidRPr="00A675E3">
        <w:rPr>
          <w:rFonts w:ascii="Times New Roman" w:hAnsi="Times New Roman" w:cs="Times New Roman"/>
        </w:rPr>
        <w:t xml:space="preserve">higher bleeding-risk </w:t>
      </w:r>
      <w:proofErr w:type="gramStart"/>
      <w:r w:rsidR="00A675E3" w:rsidRPr="00A675E3">
        <w:rPr>
          <w:rFonts w:ascii="Times New Roman" w:hAnsi="Times New Roman" w:cs="Times New Roman"/>
        </w:rPr>
        <w:t>patients</w:t>
      </w:r>
      <w:proofErr w:type="gramEnd"/>
      <w:r w:rsidR="00A675E3" w:rsidRPr="00A675E3">
        <w:rPr>
          <w:rFonts w:ascii="Times New Roman" w:hAnsi="Times New Roman" w:cs="Times New Roman"/>
        </w:rPr>
        <w:t xml:space="preserve"> groups.</w:t>
      </w:r>
      <w:r w:rsidR="00A675E3">
        <w:rPr>
          <w:rFonts w:ascii="Times New Roman" w:hAnsi="Times New Roman" w:cs="Times New Roman"/>
        </w:rPr>
        <w:t xml:space="preserve"> </w:t>
      </w:r>
      <w:r w:rsidR="00E04326">
        <w:rPr>
          <w:rFonts w:ascii="Times New Roman" w:hAnsi="Times New Roman" w:cs="Times New Roman"/>
        </w:rPr>
        <w:t>B</w:t>
      </w:r>
      <w:r w:rsidR="00A675E3" w:rsidRPr="00A675E3">
        <w:rPr>
          <w:rFonts w:ascii="Times New Roman" w:hAnsi="Times New Roman" w:cs="Times New Roman"/>
        </w:rPr>
        <w:t xml:space="preserve">etter optimisation of comorbid conditions through a multi-speciality approach, particularly in elective cases where there is no urgency may contribute to better </w:t>
      </w:r>
      <w:r w:rsidR="00701047">
        <w:rPr>
          <w:rFonts w:ascii="Times New Roman" w:hAnsi="Times New Roman" w:cs="Times New Roman"/>
        </w:rPr>
        <w:t>in-patient</w:t>
      </w:r>
      <w:r w:rsidR="00E04326">
        <w:rPr>
          <w:rFonts w:ascii="Times New Roman" w:hAnsi="Times New Roman" w:cs="Times New Roman"/>
        </w:rPr>
        <w:t xml:space="preserve"> and outpatient </w:t>
      </w:r>
      <w:r w:rsidR="00A675E3" w:rsidRPr="00A675E3">
        <w:rPr>
          <w:rFonts w:ascii="Times New Roman" w:hAnsi="Times New Roman" w:cs="Times New Roman"/>
        </w:rPr>
        <w:t>outcomes.</w:t>
      </w:r>
      <w:r w:rsidR="00E04326">
        <w:rPr>
          <w:rFonts w:ascii="Times New Roman" w:hAnsi="Times New Roman" w:cs="Times New Roman"/>
        </w:rPr>
        <w:t xml:space="preserve"> For example, recent work has reported that PCI p</w:t>
      </w:r>
      <w:r w:rsidR="00E04326" w:rsidRPr="00E04326">
        <w:rPr>
          <w:rFonts w:ascii="Times New Roman" w:hAnsi="Times New Roman" w:cs="Times New Roman"/>
        </w:rPr>
        <w:t xml:space="preserve">atients with high comorbid burden are a high-risk group for </w:t>
      </w:r>
      <w:r w:rsidR="00701047">
        <w:rPr>
          <w:rFonts w:ascii="Times New Roman" w:hAnsi="Times New Roman" w:cs="Times New Roman"/>
        </w:rPr>
        <w:t xml:space="preserve">unplanned </w:t>
      </w:r>
      <w:r w:rsidR="00E04326" w:rsidRPr="00E04326">
        <w:rPr>
          <w:rFonts w:ascii="Times New Roman" w:hAnsi="Times New Roman" w:cs="Times New Roman"/>
        </w:rPr>
        <w:t>readmissions.</w:t>
      </w:r>
      <w:r w:rsidR="00B05470" w:rsidRPr="00B05470">
        <w:rPr>
          <w:rFonts w:ascii="Times New Roman" w:hAnsi="Times New Roman" w:cs="Times New Roman"/>
          <w:vertAlign w:val="superscript"/>
        </w:rPr>
        <w:t>24</w:t>
      </w:r>
      <w:r w:rsidR="00E04326" w:rsidRPr="00E04326">
        <w:rPr>
          <w:rFonts w:ascii="Times New Roman" w:hAnsi="Times New Roman" w:cs="Times New Roman"/>
        </w:rPr>
        <w:t xml:space="preserve"> </w:t>
      </w:r>
      <w:r w:rsidR="00E04326">
        <w:rPr>
          <w:rFonts w:ascii="Times New Roman" w:hAnsi="Times New Roman" w:cs="Times New Roman"/>
        </w:rPr>
        <w:t>Targeted</w:t>
      </w:r>
      <w:r w:rsidR="00E04326" w:rsidRPr="00E04326">
        <w:rPr>
          <w:rFonts w:ascii="Times New Roman" w:hAnsi="Times New Roman" w:cs="Times New Roman"/>
        </w:rPr>
        <w:t xml:space="preserve"> intervention</w:t>
      </w:r>
      <w:r w:rsidR="00E04326">
        <w:rPr>
          <w:rFonts w:ascii="Times New Roman" w:hAnsi="Times New Roman" w:cs="Times New Roman"/>
        </w:rPr>
        <w:t>s that focus on management of comorbid conditions</w:t>
      </w:r>
      <w:r w:rsidR="00E04326" w:rsidRPr="00E04326">
        <w:rPr>
          <w:rFonts w:ascii="Times New Roman" w:hAnsi="Times New Roman" w:cs="Times New Roman"/>
        </w:rPr>
        <w:t xml:space="preserve"> </w:t>
      </w:r>
      <w:r w:rsidR="00E04326">
        <w:rPr>
          <w:rFonts w:ascii="Times New Roman" w:hAnsi="Times New Roman" w:cs="Times New Roman"/>
        </w:rPr>
        <w:t xml:space="preserve">with discharge checklists </w:t>
      </w:r>
      <w:r w:rsidR="00E04326" w:rsidRPr="00E04326">
        <w:rPr>
          <w:rFonts w:ascii="Times New Roman" w:hAnsi="Times New Roman" w:cs="Times New Roman"/>
        </w:rPr>
        <w:t xml:space="preserve">has been shown to reduce </w:t>
      </w:r>
      <w:r w:rsidR="00701047">
        <w:rPr>
          <w:rFonts w:ascii="Times New Roman" w:hAnsi="Times New Roman" w:cs="Times New Roman"/>
        </w:rPr>
        <w:t xml:space="preserve">such unplanned </w:t>
      </w:r>
      <w:r w:rsidR="00E04326" w:rsidRPr="00E04326">
        <w:rPr>
          <w:rFonts w:ascii="Times New Roman" w:hAnsi="Times New Roman" w:cs="Times New Roman"/>
        </w:rPr>
        <w:t>readmissions after PCI from 9.6% to 5.3%.</w:t>
      </w:r>
      <w:r w:rsidR="001E3C6F" w:rsidRPr="001E3C6F">
        <w:rPr>
          <w:rFonts w:ascii="Times New Roman" w:hAnsi="Times New Roman" w:cs="Times New Roman"/>
          <w:vertAlign w:val="superscript"/>
        </w:rPr>
        <w:t>25</w:t>
      </w:r>
      <w:r w:rsidR="00E04326" w:rsidRPr="00E04326">
        <w:rPr>
          <w:rFonts w:ascii="Times New Roman" w:hAnsi="Times New Roman" w:cs="Times New Roman"/>
        </w:rPr>
        <w:t xml:space="preserve"> </w:t>
      </w:r>
    </w:p>
    <w:p w14:paraId="551858DC" w14:textId="6A988306" w:rsidR="00AB1C79" w:rsidRPr="00E97A38" w:rsidRDefault="00741621" w:rsidP="00A675E3">
      <w:pPr>
        <w:spacing w:after="0" w:line="360" w:lineRule="auto"/>
        <w:jc w:val="both"/>
        <w:rPr>
          <w:rFonts w:ascii="Times New Roman" w:hAnsi="Times New Roman" w:cs="Times New Roman"/>
        </w:rPr>
      </w:pPr>
      <w:r w:rsidRPr="00E97A38">
        <w:rPr>
          <w:rFonts w:ascii="Times New Roman" w:hAnsi="Times New Roman" w:cs="Times New Roman"/>
        </w:rPr>
        <w:tab/>
        <w:t>Our analysis has several strengths</w:t>
      </w:r>
      <w:r w:rsidR="00123E4C" w:rsidRPr="00E97A38">
        <w:rPr>
          <w:rFonts w:ascii="Times New Roman" w:hAnsi="Times New Roman" w:cs="Times New Roman"/>
        </w:rPr>
        <w:t>. O</w:t>
      </w:r>
      <w:r w:rsidR="00D96D00" w:rsidRPr="00E97A38">
        <w:rPr>
          <w:rFonts w:ascii="Times New Roman" w:hAnsi="Times New Roman" w:cs="Times New Roman"/>
        </w:rPr>
        <w:t>ur analysis into the patterns of comorbidity</w:t>
      </w:r>
      <w:r w:rsidR="007A73BE" w:rsidRPr="00E97A38">
        <w:rPr>
          <w:rFonts w:ascii="Times New Roman" w:hAnsi="Times New Roman" w:cs="Times New Roman"/>
        </w:rPr>
        <w:t xml:space="preserve">, their prevalence, temporal trends and associated clinical outcomes </w:t>
      </w:r>
      <w:r w:rsidR="00D96D00" w:rsidRPr="00E97A38">
        <w:rPr>
          <w:rFonts w:ascii="Times New Roman" w:hAnsi="Times New Roman" w:cs="Times New Roman"/>
        </w:rPr>
        <w:t xml:space="preserve">in </w:t>
      </w:r>
      <w:r w:rsidR="007A73BE" w:rsidRPr="00E97A38">
        <w:rPr>
          <w:rFonts w:ascii="Times New Roman" w:hAnsi="Times New Roman" w:cs="Times New Roman"/>
        </w:rPr>
        <w:t>over 6 million</w:t>
      </w:r>
      <w:r w:rsidR="00D96D00" w:rsidRPr="00E97A38">
        <w:rPr>
          <w:rFonts w:ascii="Times New Roman" w:hAnsi="Times New Roman" w:cs="Times New Roman"/>
        </w:rPr>
        <w:t xml:space="preserve"> PCI </w:t>
      </w:r>
      <w:r w:rsidR="007A73BE" w:rsidRPr="00E97A38">
        <w:rPr>
          <w:rFonts w:ascii="Times New Roman" w:hAnsi="Times New Roman" w:cs="Times New Roman"/>
        </w:rPr>
        <w:t xml:space="preserve">procedures </w:t>
      </w:r>
      <w:r w:rsidR="00D96D00" w:rsidRPr="00E97A38">
        <w:rPr>
          <w:rFonts w:ascii="Times New Roman" w:hAnsi="Times New Roman" w:cs="Times New Roman"/>
        </w:rPr>
        <w:t>in the United States</w:t>
      </w:r>
      <w:r w:rsidR="007A73BE" w:rsidRPr="00E97A38">
        <w:rPr>
          <w:rFonts w:ascii="Times New Roman" w:hAnsi="Times New Roman" w:cs="Times New Roman"/>
        </w:rPr>
        <w:t xml:space="preserve"> undertaken over a decade is the largest to date by several orders of magnitude. Our analysis provides statistical power to study the prognostic impact of individual comorbid conditions, particularly non-cardiovascular </w:t>
      </w:r>
      <w:r w:rsidR="00501BE2" w:rsidRPr="00E97A38">
        <w:rPr>
          <w:rFonts w:ascii="Times New Roman" w:hAnsi="Times New Roman" w:cs="Times New Roman"/>
        </w:rPr>
        <w:t xml:space="preserve">conditions </w:t>
      </w:r>
      <w:r w:rsidR="007A73BE" w:rsidRPr="00E97A38">
        <w:rPr>
          <w:rFonts w:ascii="Times New Roman" w:hAnsi="Times New Roman" w:cs="Times New Roman"/>
        </w:rPr>
        <w:t xml:space="preserve">whose prognostic impact is greatest but where literature </w:t>
      </w:r>
      <w:r w:rsidR="00501BE2" w:rsidRPr="00E97A38">
        <w:rPr>
          <w:rFonts w:ascii="Times New Roman" w:hAnsi="Times New Roman" w:cs="Times New Roman"/>
        </w:rPr>
        <w:t>is most limited</w:t>
      </w:r>
      <w:r w:rsidRPr="00E97A38">
        <w:rPr>
          <w:rFonts w:ascii="Times New Roman" w:hAnsi="Times New Roman" w:cs="Times New Roman"/>
        </w:rPr>
        <w:t xml:space="preserve">. </w:t>
      </w:r>
      <w:r w:rsidR="00FF2993" w:rsidRPr="00E97A38">
        <w:rPr>
          <w:rFonts w:ascii="Times New Roman" w:hAnsi="Times New Roman" w:cs="Times New Roman"/>
        </w:rPr>
        <w:t xml:space="preserve">Finally, our analysis is the first to study the health economic implications of comorbid burden in PCI in both </w:t>
      </w:r>
      <w:r w:rsidR="00147E4E">
        <w:rPr>
          <w:rFonts w:ascii="Times New Roman" w:hAnsi="Times New Roman" w:cs="Times New Roman"/>
        </w:rPr>
        <w:t xml:space="preserve">the </w:t>
      </w:r>
      <w:r w:rsidR="00FF2993" w:rsidRPr="00E97A38">
        <w:rPr>
          <w:rFonts w:ascii="Times New Roman" w:hAnsi="Times New Roman" w:cs="Times New Roman"/>
        </w:rPr>
        <w:t>length of stay and healthcare costs</w:t>
      </w:r>
      <w:r w:rsidR="00147E4E">
        <w:rPr>
          <w:rFonts w:ascii="Times New Roman" w:hAnsi="Times New Roman" w:cs="Times New Roman"/>
        </w:rPr>
        <w:t>.</w:t>
      </w:r>
    </w:p>
    <w:p w14:paraId="2215C45E" w14:textId="744AF7C9" w:rsidR="00EF5AF2" w:rsidRPr="00E97A38" w:rsidRDefault="00EB16E4" w:rsidP="00A675E3">
      <w:pPr>
        <w:spacing w:after="0" w:line="360" w:lineRule="auto"/>
        <w:jc w:val="both"/>
        <w:rPr>
          <w:rFonts w:ascii="Times New Roman" w:hAnsi="Times New Roman" w:cs="Times New Roman"/>
        </w:rPr>
      </w:pPr>
      <w:r w:rsidRPr="00E97A38">
        <w:rPr>
          <w:rFonts w:ascii="Times New Roman" w:hAnsi="Times New Roman" w:cs="Times New Roman"/>
        </w:rPr>
        <w:tab/>
        <w:t>Th</w:t>
      </w:r>
      <w:r w:rsidR="00D013C9" w:rsidRPr="00E97A38">
        <w:rPr>
          <w:rFonts w:ascii="Times New Roman" w:hAnsi="Times New Roman" w:cs="Times New Roman"/>
        </w:rPr>
        <w:t>is work</w:t>
      </w:r>
      <w:r w:rsidRPr="00E97A38">
        <w:rPr>
          <w:rFonts w:ascii="Times New Roman" w:hAnsi="Times New Roman" w:cs="Times New Roman"/>
        </w:rPr>
        <w:t xml:space="preserve"> is subject to a number of limitations</w:t>
      </w:r>
      <w:r w:rsidR="00AE058F" w:rsidRPr="00E97A38">
        <w:rPr>
          <w:rFonts w:ascii="Times New Roman" w:hAnsi="Times New Roman" w:cs="Times New Roman"/>
        </w:rPr>
        <w:t xml:space="preserve"> that are inherent to the </w:t>
      </w:r>
      <w:r w:rsidR="00AE058F" w:rsidRPr="00E97A38">
        <w:rPr>
          <w:rFonts w:ascii="Times New Roman" w:hAnsi="Times New Roman" w:cs="Times New Roman"/>
          <w:i/>
        </w:rPr>
        <w:t>post hoc</w:t>
      </w:r>
      <w:r w:rsidR="00AE058F" w:rsidRPr="00E97A38">
        <w:rPr>
          <w:rFonts w:ascii="Times New Roman" w:hAnsi="Times New Roman" w:cs="Times New Roman"/>
        </w:rPr>
        <w:t xml:space="preserve"> analysis of large administrative databases.</w:t>
      </w:r>
      <w:r w:rsidRPr="00E97A38">
        <w:rPr>
          <w:rFonts w:ascii="Times New Roman" w:hAnsi="Times New Roman" w:cs="Times New Roman"/>
        </w:rPr>
        <w:t xml:space="preserve"> The lack of long-term follow up data limits our analysis to in</w:t>
      </w:r>
      <w:r w:rsidR="00AE058F" w:rsidRPr="00E97A38">
        <w:rPr>
          <w:rFonts w:ascii="Times New Roman" w:hAnsi="Times New Roman" w:cs="Times New Roman"/>
        </w:rPr>
        <w:t>-</w:t>
      </w:r>
      <w:r w:rsidRPr="00E97A38">
        <w:rPr>
          <w:rFonts w:ascii="Times New Roman" w:hAnsi="Times New Roman" w:cs="Times New Roman"/>
        </w:rPr>
        <w:t>hospital endpoints</w:t>
      </w:r>
      <w:r w:rsidR="00AE058F" w:rsidRPr="00E97A38">
        <w:rPr>
          <w:rFonts w:ascii="Times New Roman" w:hAnsi="Times New Roman" w:cs="Times New Roman"/>
        </w:rPr>
        <w:t xml:space="preserve">, although our previous analysis derived from the Nobori-2 </w:t>
      </w:r>
      <w:r w:rsidR="009F7AB2" w:rsidRPr="00E97A38">
        <w:rPr>
          <w:rFonts w:ascii="Times New Roman" w:hAnsi="Times New Roman" w:cs="Times New Roman"/>
        </w:rPr>
        <w:t xml:space="preserve">study </w:t>
      </w:r>
      <w:r w:rsidR="00AE058F" w:rsidRPr="00E97A38">
        <w:rPr>
          <w:rFonts w:ascii="Times New Roman" w:hAnsi="Times New Roman" w:cs="Times New Roman"/>
        </w:rPr>
        <w:t xml:space="preserve">suggests that comorbid burden may </w:t>
      </w:r>
      <w:r w:rsidR="00D013C9" w:rsidRPr="00E97A38">
        <w:rPr>
          <w:rFonts w:ascii="Times New Roman" w:hAnsi="Times New Roman" w:cs="Times New Roman"/>
        </w:rPr>
        <w:t xml:space="preserve">also </w:t>
      </w:r>
      <w:r w:rsidR="00AE058F" w:rsidRPr="00E97A38">
        <w:rPr>
          <w:rFonts w:ascii="Times New Roman" w:hAnsi="Times New Roman" w:cs="Times New Roman"/>
        </w:rPr>
        <w:t xml:space="preserve">impact on longer term outcomes, with CCI independently associated with cardiovascular death and major adverse cardiovascular events </w:t>
      </w:r>
      <w:r w:rsidR="00147E4E" w:rsidRPr="00E97A38">
        <w:rPr>
          <w:rFonts w:ascii="Times New Roman" w:hAnsi="Times New Roman" w:cs="Times New Roman"/>
        </w:rPr>
        <w:t>up to</w:t>
      </w:r>
      <w:r w:rsidR="00AE058F" w:rsidRPr="00E97A38">
        <w:rPr>
          <w:rFonts w:ascii="Times New Roman" w:hAnsi="Times New Roman" w:cs="Times New Roman"/>
        </w:rPr>
        <w:t xml:space="preserve"> 5 years follow up</w:t>
      </w:r>
      <w:r w:rsidR="00E43D2C">
        <w:rPr>
          <w:rFonts w:ascii="Times New Roman" w:hAnsi="Times New Roman" w:cs="Times New Roman"/>
        </w:rPr>
        <w:t>.</w:t>
      </w:r>
      <w:r w:rsidR="004D5C20">
        <w:rPr>
          <w:rFonts w:ascii="Times New Roman" w:hAnsi="Times New Roman" w:cs="Times New Roman"/>
          <w:vertAlign w:val="superscript"/>
        </w:rPr>
        <w:t>2</w:t>
      </w:r>
      <w:r w:rsidRPr="00E97A38">
        <w:rPr>
          <w:rFonts w:ascii="Times New Roman" w:hAnsi="Times New Roman" w:cs="Times New Roman"/>
        </w:rPr>
        <w:t xml:space="preserve"> </w:t>
      </w:r>
      <w:r w:rsidR="006C63C9" w:rsidRPr="00E97A38">
        <w:rPr>
          <w:rFonts w:ascii="Times New Roman" w:hAnsi="Times New Roman" w:cs="Times New Roman"/>
        </w:rPr>
        <w:t>By only using in-hospital endpoints, there is a limit on the analyses that can be conducted. The limited follow up</w:t>
      </w:r>
      <w:r w:rsidR="00064FDF" w:rsidRPr="00E97A38">
        <w:rPr>
          <w:rFonts w:ascii="Times New Roman" w:hAnsi="Times New Roman" w:cs="Times New Roman"/>
        </w:rPr>
        <w:t xml:space="preserve"> and lack of exact timing of events,</w:t>
      </w:r>
      <w:r w:rsidR="006C63C9" w:rsidRPr="00E97A38">
        <w:rPr>
          <w:rFonts w:ascii="Times New Roman" w:hAnsi="Times New Roman" w:cs="Times New Roman"/>
        </w:rPr>
        <w:t xml:space="preserve"> means that time to event analyses specifically looking at death </w:t>
      </w:r>
      <w:r w:rsidR="000C0AED" w:rsidRPr="00E97A38">
        <w:rPr>
          <w:rFonts w:ascii="Times New Roman" w:hAnsi="Times New Roman" w:cs="Times New Roman"/>
        </w:rPr>
        <w:t xml:space="preserve">as a competing risk for length of stay </w:t>
      </w:r>
      <w:r w:rsidR="00064FDF" w:rsidRPr="00E97A38">
        <w:rPr>
          <w:rFonts w:ascii="Times New Roman" w:hAnsi="Times New Roman" w:cs="Times New Roman"/>
        </w:rPr>
        <w:t xml:space="preserve">are </w:t>
      </w:r>
      <w:r w:rsidR="000C0AED" w:rsidRPr="00E97A38">
        <w:rPr>
          <w:rFonts w:ascii="Times New Roman" w:hAnsi="Times New Roman" w:cs="Times New Roman"/>
        </w:rPr>
        <w:t xml:space="preserve">unable to be investigated as mortality after hospital discharge is unable to be considered. </w:t>
      </w:r>
      <w:r w:rsidR="0031183B" w:rsidRPr="00E97A38">
        <w:rPr>
          <w:rFonts w:ascii="Times New Roman" w:hAnsi="Times New Roman" w:cs="Times New Roman"/>
        </w:rPr>
        <w:t>Furthermore, the prognostic impact of comorbid burden may be of even greater importan</w:t>
      </w:r>
      <w:r w:rsidR="00BC7ACE" w:rsidRPr="00E97A38">
        <w:rPr>
          <w:rFonts w:ascii="Times New Roman" w:hAnsi="Times New Roman" w:cs="Times New Roman"/>
        </w:rPr>
        <w:t>ce</w:t>
      </w:r>
      <w:r w:rsidR="0031183B" w:rsidRPr="00E97A38">
        <w:rPr>
          <w:rFonts w:ascii="Times New Roman" w:hAnsi="Times New Roman" w:cs="Times New Roman"/>
        </w:rPr>
        <w:t xml:space="preserve"> in this population</w:t>
      </w:r>
      <w:r w:rsidR="00BC7ACE" w:rsidRPr="00E97A38">
        <w:rPr>
          <w:rFonts w:ascii="Times New Roman" w:hAnsi="Times New Roman" w:cs="Times New Roman"/>
        </w:rPr>
        <w:t xml:space="preserve"> in the longer term and has significant implications in the continued management of such patients in primary care.</w:t>
      </w:r>
      <w:r w:rsidR="0031183B" w:rsidRPr="00E97A38">
        <w:rPr>
          <w:rFonts w:ascii="Times New Roman" w:hAnsi="Times New Roman" w:cs="Times New Roman"/>
        </w:rPr>
        <w:t xml:space="preserve"> </w:t>
      </w:r>
      <w:r w:rsidR="00AE058F" w:rsidRPr="00E97A38">
        <w:rPr>
          <w:rFonts w:ascii="Times New Roman" w:hAnsi="Times New Roman" w:cs="Times New Roman"/>
        </w:rPr>
        <w:t xml:space="preserve">Secondly, </w:t>
      </w:r>
      <w:r w:rsidRPr="00E97A38">
        <w:rPr>
          <w:rFonts w:ascii="Times New Roman" w:hAnsi="Times New Roman" w:cs="Times New Roman"/>
        </w:rPr>
        <w:t xml:space="preserve">NIS does not capture data </w:t>
      </w:r>
      <w:r w:rsidR="00D013C9" w:rsidRPr="00E97A38">
        <w:rPr>
          <w:rFonts w:ascii="Times New Roman" w:hAnsi="Times New Roman" w:cs="Times New Roman"/>
        </w:rPr>
        <w:t xml:space="preserve">about </w:t>
      </w:r>
      <w:r w:rsidRPr="00E97A38">
        <w:rPr>
          <w:rFonts w:ascii="Times New Roman" w:hAnsi="Times New Roman" w:cs="Times New Roman"/>
        </w:rPr>
        <w:t xml:space="preserve">pharmacotherapy, </w:t>
      </w:r>
      <w:r w:rsidR="00D013C9" w:rsidRPr="00E97A38">
        <w:rPr>
          <w:rFonts w:ascii="Times New Roman" w:hAnsi="Times New Roman" w:cs="Times New Roman"/>
        </w:rPr>
        <w:t xml:space="preserve">or </w:t>
      </w:r>
      <w:r w:rsidRPr="00E97A38">
        <w:rPr>
          <w:rFonts w:ascii="Times New Roman" w:hAnsi="Times New Roman" w:cs="Times New Roman"/>
        </w:rPr>
        <w:t xml:space="preserve">angiographic and procedural characteristics of the cohorts undergoing PCI and differences </w:t>
      </w:r>
      <w:r w:rsidR="00FF2993" w:rsidRPr="00E97A38">
        <w:rPr>
          <w:rFonts w:ascii="Times New Roman" w:hAnsi="Times New Roman" w:cs="Times New Roman"/>
        </w:rPr>
        <w:t xml:space="preserve">between groups </w:t>
      </w:r>
      <w:r w:rsidRPr="00E97A38">
        <w:rPr>
          <w:rFonts w:ascii="Times New Roman" w:hAnsi="Times New Roman" w:cs="Times New Roman"/>
        </w:rPr>
        <w:t xml:space="preserve">may contribute </w:t>
      </w:r>
      <w:r w:rsidR="00AE058F" w:rsidRPr="00E97A38">
        <w:rPr>
          <w:rFonts w:ascii="Times New Roman" w:hAnsi="Times New Roman" w:cs="Times New Roman"/>
        </w:rPr>
        <w:t>in part to some of the relationships reported. Thirdly, as with any such administrative database, coding errors are always a potential source of bias</w:t>
      </w:r>
      <w:r w:rsidR="00993D72" w:rsidRPr="00E97A38">
        <w:rPr>
          <w:rFonts w:ascii="Times New Roman" w:hAnsi="Times New Roman" w:cs="Times New Roman"/>
        </w:rPr>
        <w:t xml:space="preserve"> and as is under</w:t>
      </w:r>
      <w:r w:rsidR="00D013C9" w:rsidRPr="00E97A38">
        <w:rPr>
          <w:rFonts w:ascii="Times New Roman" w:hAnsi="Times New Roman" w:cs="Times New Roman"/>
        </w:rPr>
        <w:t>-</w:t>
      </w:r>
      <w:r w:rsidR="00993D72" w:rsidRPr="00E97A38">
        <w:rPr>
          <w:rFonts w:ascii="Times New Roman" w:hAnsi="Times New Roman" w:cs="Times New Roman"/>
        </w:rPr>
        <w:t xml:space="preserve">reporting of secondary and </w:t>
      </w:r>
      <w:r w:rsidR="00BC0A3F" w:rsidRPr="00E97A38">
        <w:rPr>
          <w:rFonts w:ascii="Times New Roman" w:hAnsi="Times New Roman" w:cs="Times New Roman"/>
        </w:rPr>
        <w:t>comorbid</w:t>
      </w:r>
      <w:r w:rsidR="00993D72" w:rsidRPr="00E97A38">
        <w:rPr>
          <w:rFonts w:ascii="Times New Roman" w:hAnsi="Times New Roman" w:cs="Times New Roman"/>
        </w:rPr>
        <w:t xml:space="preserve"> diagnos</w:t>
      </w:r>
      <w:r w:rsidR="00D013C9" w:rsidRPr="00E97A38">
        <w:rPr>
          <w:rFonts w:ascii="Times New Roman" w:hAnsi="Times New Roman" w:cs="Times New Roman"/>
        </w:rPr>
        <w:t>e</w:t>
      </w:r>
      <w:r w:rsidR="00993D72" w:rsidRPr="00E97A38">
        <w:rPr>
          <w:rFonts w:ascii="Times New Roman" w:hAnsi="Times New Roman" w:cs="Times New Roman"/>
        </w:rPr>
        <w:t>s</w:t>
      </w:r>
      <w:r w:rsidR="00AE058F" w:rsidRPr="00E97A38">
        <w:rPr>
          <w:rFonts w:ascii="Times New Roman" w:hAnsi="Times New Roman" w:cs="Times New Roman"/>
        </w:rPr>
        <w:t>.</w:t>
      </w:r>
      <w:r w:rsidR="00993D72" w:rsidRPr="00E97A38">
        <w:rPr>
          <w:rFonts w:ascii="Times New Roman" w:hAnsi="Times New Roman" w:cs="Times New Roman"/>
        </w:rPr>
        <w:t xml:space="preserve"> </w:t>
      </w:r>
      <w:r w:rsidR="00EA6664" w:rsidRPr="00E97A38">
        <w:rPr>
          <w:rFonts w:ascii="Times New Roman" w:hAnsi="Times New Roman" w:cs="Times New Roman"/>
        </w:rPr>
        <w:t>Finally,</w:t>
      </w:r>
      <w:r w:rsidR="00F17963" w:rsidRPr="00E97A38">
        <w:rPr>
          <w:rFonts w:ascii="Times New Roman" w:hAnsi="Times New Roman" w:cs="Times New Roman"/>
        </w:rPr>
        <w:t xml:space="preserve"> our imputation strategy meant that only data with greater than 10% missing data was imputed, meaning that 7% of the total number of records were discarded. In future a better method may be to impute all missing data. </w:t>
      </w:r>
      <w:r w:rsidRPr="00E97A38">
        <w:rPr>
          <w:rFonts w:ascii="Times New Roman" w:hAnsi="Times New Roman" w:cs="Times New Roman"/>
        </w:rPr>
        <w:t xml:space="preserve">These limitations aside, the NIS offers the largest publicly available database </w:t>
      </w:r>
      <w:r w:rsidR="00993D72" w:rsidRPr="00E97A38">
        <w:rPr>
          <w:rFonts w:ascii="Times New Roman" w:hAnsi="Times New Roman" w:cs="Times New Roman"/>
        </w:rPr>
        <w:t xml:space="preserve">in the world that enables analysis of real world outcomes of patients undergoing PCI, and allows the study of </w:t>
      </w:r>
      <w:r w:rsidR="00FF2993" w:rsidRPr="00E97A38">
        <w:rPr>
          <w:rFonts w:ascii="Times New Roman" w:hAnsi="Times New Roman" w:cs="Times New Roman"/>
        </w:rPr>
        <w:t>comorbid burden and clinical conditions</w:t>
      </w:r>
      <w:r w:rsidR="00993D72" w:rsidRPr="00E97A38">
        <w:rPr>
          <w:rFonts w:ascii="Times New Roman" w:hAnsi="Times New Roman" w:cs="Times New Roman"/>
        </w:rPr>
        <w:t xml:space="preserve"> that </w:t>
      </w:r>
      <w:r w:rsidR="00FF2993" w:rsidRPr="00E97A38">
        <w:rPr>
          <w:rFonts w:ascii="Times New Roman" w:hAnsi="Times New Roman" w:cs="Times New Roman"/>
        </w:rPr>
        <w:t>are</w:t>
      </w:r>
      <w:r w:rsidR="00993D72" w:rsidRPr="00E97A38">
        <w:rPr>
          <w:rFonts w:ascii="Times New Roman" w:hAnsi="Times New Roman" w:cs="Times New Roman"/>
        </w:rPr>
        <w:t xml:space="preserve"> not be routinely captured in large national PCI specific datasets.</w:t>
      </w:r>
    </w:p>
    <w:p w14:paraId="381B18D3" w14:textId="5C2ECDCB" w:rsidR="00FF2993" w:rsidRPr="00E97A38" w:rsidRDefault="00487C84" w:rsidP="00A675E3">
      <w:pPr>
        <w:spacing w:after="0" w:line="360" w:lineRule="auto"/>
        <w:jc w:val="both"/>
        <w:rPr>
          <w:rFonts w:ascii="Times New Roman" w:hAnsi="Times New Roman" w:cs="Times New Roman"/>
        </w:rPr>
      </w:pPr>
      <w:r w:rsidRPr="00E97A38">
        <w:rPr>
          <w:rFonts w:ascii="Times New Roman" w:hAnsi="Times New Roman" w:cs="Times New Roman"/>
        </w:rPr>
        <w:tab/>
        <w:t>In conclusion</w:t>
      </w:r>
      <w:r w:rsidR="00FF2993" w:rsidRPr="00E97A38">
        <w:rPr>
          <w:rFonts w:ascii="Times New Roman" w:hAnsi="Times New Roman" w:cs="Times New Roman"/>
        </w:rPr>
        <w:t>, our analysis of over 6</w:t>
      </w:r>
      <w:r w:rsidR="002353AE" w:rsidRPr="00E97A38">
        <w:rPr>
          <w:rFonts w:ascii="Times New Roman" w:hAnsi="Times New Roman" w:cs="Times New Roman"/>
        </w:rPr>
        <w:t>.5</w:t>
      </w:r>
      <w:r w:rsidR="00FF2993" w:rsidRPr="00E97A38">
        <w:rPr>
          <w:rFonts w:ascii="Times New Roman" w:hAnsi="Times New Roman" w:cs="Times New Roman"/>
        </w:rPr>
        <w:t xml:space="preserve"> million PCI procedures undertaken in the United States has shown that comorbid burden in patients has increased significant</w:t>
      </w:r>
      <w:r w:rsidR="00232939" w:rsidRPr="00E97A38">
        <w:rPr>
          <w:rFonts w:ascii="Times New Roman" w:hAnsi="Times New Roman" w:cs="Times New Roman"/>
        </w:rPr>
        <w:t>ly over the past decade, with 10</w:t>
      </w:r>
      <w:r w:rsidR="00FF2993" w:rsidRPr="00E97A38">
        <w:rPr>
          <w:rFonts w:ascii="Times New Roman" w:hAnsi="Times New Roman" w:cs="Times New Roman"/>
        </w:rPr>
        <w:t xml:space="preserve">% of patients </w:t>
      </w:r>
      <w:r w:rsidR="00FF2993" w:rsidRPr="00E97A38">
        <w:rPr>
          <w:rFonts w:ascii="Times New Roman" w:hAnsi="Times New Roman" w:cs="Times New Roman"/>
        </w:rPr>
        <w:lastRenderedPageBreak/>
        <w:t xml:space="preserve">experiencing severe comorbid burden (CCI ≥ 3). Comorbid burden is independently associated with increased risk of in hospital mortality, in hospital complications, length of stay and healthcare costs. Patients with the greatest comorbid burden (CCI≥3) have a </w:t>
      </w:r>
      <w:r w:rsidR="00D1604B" w:rsidRPr="00E97A38">
        <w:rPr>
          <w:rFonts w:ascii="Times New Roman" w:hAnsi="Times New Roman" w:cs="Times New Roman"/>
        </w:rPr>
        <w:t>2-</w:t>
      </w:r>
      <w:r w:rsidR="00FF2993" w:rsidRPr="00E97A38">
        <w:rPr>
          <w:rFonts w:ascii="Times New Roman" w:hAnsi="Times New Roman" w:cs="Times New Roman"/>
        </w:rPr>
        <w:t>fold independent increased</w:t>
      </w:r>
      <w:r w:rsidR="008F5BAF" w:rsidRPr="00E97A38">
        <w:rPr>
          <w:rFonts w:ascii="Times New Roman" w:hAnsi="Times New Roman" w:cs="Times New Roman"/>
        </w:rPr>
        <w:t xml:space="preserve"> risk of in hospital mortality, a</w:t>
      </w:r>
      <w:r w:rsidR="00D1604B" w:rsidRPr="00E97A38">
        <w:rPr>
          <w:rFonts w:ascii="Times New Roman" w:hAnsi="Times New Roman" w:cs="Times New Roman"/>
        </w:rPr>
        <w:t xml:space="preserve">s well as a </w:t>
      </w:r>
      <w:r w:rsidR="00EA6664" w:rsidRPr="00E97A38">
        <w:rPr>
          <w:rFonts w:ascii="Times New Roman" w:hAnsi="Times New Roman" w:cs="Times New Roman"/>
        </w:rPr>
        <w:t>2-day</w:t>
      </w:r>
      <w:r w:rsidR="008F5BAF" w:rsidRPr="00E97A38">
        <w:rPr>
          <w:rFonts w:ascii="Times New Roman" w:hAnsi="Times New Roman" w:cs="Times New Roman"/>
        </w:rPr>
        <w:t xml:space="preserve"> increased length of stay and an additional $</w:t>
      </w:r>
      <w:r w:rsidR="00D1604B" w:rsidRPr="00E97A38">
        <w:rPr>
          <w:rFonts w:ascii="Times New Roman" w:hAnsi="Times New Roman" w:cs="Times New Roman"/>
        </w:rPr>
        <w:t>5</w:t>
      </w:r>
      <w:r w:rsidR="008F5BAF" w:rsidRPr="00E97A38">
        <w:rPr>
          <w:rFonts w:ascii="Times New Roman" w:hAnsi="Times New Roman" w:cs="Times New Roman"/>
        </w:rPr>
        <w:t>,000 average healthcare costs compared to patients without comorbidities undergoing PCI.</w:t>
      </w:r>
      <w:r w:rsidR="00FF2993" w:rsidRPr="00E97A38">
        <w:rPr>
          <w:rFonts w:ascii="Times New Roman" w:hAnsi="Times New Roman" w:cs="Times New Roman"/>
        </w:rPr>
        <w:t xml:space="preserve"> Co</w:t>
      </w:r>
      <w:r w:rsidR="00621E97" w:rsidRPr="00E97A38">
        <w:rPr>
          <w:rFonts w:ascii="Times New Roman" w:hAnsi="Times New Roman" w:cs="Times New Roman"/>
        </w:rPr>
        <w:t xml:space="preserve">morbid burden is an important predictor of </w:t>
      </w:r>
      <w:r w:rsidR="002353AE" w:rsidRPr="00E97A38">
        <w:rPr>
          <w:rFonts w:ascii="Times New Roman" w:hAnsi="Times New Roman" w:cs="Times New Roman"/>
        </w:rPr>
        <w:t>poor</w:t>
      </w:r>
      <w:r w:rsidR="00621E97" w:rsidRPr="00E97A38">
        <w:rPr>
          <w:rFonts w:ascii="Times New Roman" w:hAnsi="Times New Roman" w:cs="Times New Roman"/>
        </w:rPr>
        <w:t xml:space="preserve"> outcomes </w:t>
      </w:r>
      <w:r w:rsidR="002353AE" w:rsidRPr="00E97A38">
        <w:rPr>
          <w:rFonts w:ascii="Times New Roman" w:hAnsi="Times New Roman" w:cs="Times New Roman"/>
        </w:rPr>
        <w:t xml:space="preserve">after PCI </w:t>
      </w:r>
      <w:r w:rsidR="00621E97" w:rsidRPr="00E97A38">
        <w:rPr>
          <w:rFonts w:ascii="Times New Roman" w:hAnsi="Times New Roman" w:cs="Times New Roman"/>
        </w:rPr>
        <w:t xml:space="preserve">and should be considered in </w:t>
      </w:r>
      <w:r w:rsidR="00BC7ACE" w:rsidRPr="00E97A38">
        <w:rPr>
          <w:rFonts w:ascii="Times New Roman" w:hAnsi="Times New Roman" w:cs="Times New Roman"/>
        </w:rPr>
        <w:t>decision-making</w:t>
      </w:r>
      <w:r w:rsidR="00621E97" w:rsidRPr="00E97A38">
        <w:rPr>
          <w:rFonts w:ascii="Times New Roman" w:hAnsi="Times New Roman" w:cs="Times New Roman"/>
        </w:rPr>
        <w:t xml:space="preserve"> processes </w:t>
      </w:r>
      <w:r w:rsidR="00C65D6C" w:rsidRPr="00E97A38">
        <w:rPr>
          <w:rFonts w:ascii="Times New Roman" w:hAnsi="Times New Roman" w:cs="Times New Roman"/>
        </w:rPr>
        <w:t xml:space="preserve">particularly around </w:t>
      </w:r>
      <w:r w:rsidR="00621E97" w:rsidRPr="00E97A38">
        <w:rPr>
          <w:rFonts w:ascii="Times New Roman" w:hAnsi="Times New Roman" w:cs="Times New Roman"/>
        </w:rPr>
        <w:t xml:space="preserve">patient </w:t>
      </w:r>
      <w:r w:rsidR="00C65D6C" w:rsidRPr="00E97A38">
        <w:rPr>
          <w:rFonts w:ascii="Times New Roman" w:hAnsi="Times New Roman" w:cs="Times New Roman"/>
        </w:rPr>
        <w:t>risk stratification</w:t>
      </w:r>
      <w:r w:rsidR="00621E97" w:rsidRPr="00E97A38">
        <w:rPr>
          <w:rFonts w:ascii="Times New Roman" w:hAnsi="Times New Roman" w:cs="Times New Roman"/>
        </w:rPr>
        <w:t xml:space="preserve">. </w:t>
      </w:r>
    </w:p>
    <w:p w14:paraId="39D9F520" w14:textId="77777777" w:rsidR="008376D1" w:rsidRPr="00E97A38" w:rsidRDefault="008376D1" w:rsidP="00B05470">
      <w:pPr>
        <w:spacing w:after="0" w:line="360" w:lineRule="auto"/>
        <w:rPr>
          <w:rFonts w:ascii="Times New Roman" w:hAnsi="Times New Roman" w:cs="Times New Roman"/>
        </w:rPr>
      </w:pPr>
    </w:p>
    <w:p w14:paraId="0FBB6030" w14:textId="6A63ACFE" w:rsidR="00B911A1" w:rsidRPr="00781B72" w:rsidRDefault="00F35B45" w:rsidP="00B05470">
      <w:pPr>
        <w:spacing w:after="0" w:line="360" w:lineRule="auto"/>
        <w:rPr>
          <w:rFonts w:ascii="Times New Roman" w:hAnsi="Times New Roman" w:cs="Times New Roman"/>
          <w:b/>
        </w:rPr>
      </w:pPr>
      <w:r w:rsidRPr="00781B72">
        <w:rPr>
          <w:rFonts w:ascii="Times New Roman" w:hAnsi="Times New Roman" w:cs="Times New Roman"/>
          <w:b/>
        </w:rPr>
        <w:t>References</w:t>
      </w:r>
    </w:p>
    <w:p w14:paraId="1FC1F51D" w14:textId="0C4211EE" w:rsidR="00617424"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617424">
        <w:rPr>
          <w:rFonts w:ascii="Times New Roman" w:hAnsi="Times New Roman" w:cs="Times New Roman"/>
        </w:rPr>
        <w:t xml:space="preserve">Singh M, </w:t>
      </w:r>
      <w:proofErr w:type="spellStart"/>
      <w:r w:rsidRPr="00617424">
        <w:rPr>
          <w:rFonts w:ascii="Times New Roman" w:hAnsi="Times New Roman" w:cs="Times New Roman"/>
        </w:rPr>
        <w:t>Rihal</w:t>
      </w:r>
      <w:proofErr w:type="spellEnd"/>
      <w:r w:rsidRPr="00617424">
        <w:rPr>
          <w:rFonts w:ascii="Times New Roman" w:hAnsi="Times New Roman" w:cs="Times New Roman"/>
        </w:rPr>
        <w:t xml:space="preserve"> CS, </w:t>
      </w:r>
      <w:proofErr w:type="spellStart"/>
      <w:r w:rsidRPr="00617424">
        <w:rPr>
          <w:rFonts w:ascii="Times New Roman" w:hAnsi="Times New Roman" w:cs="Times New Roman"/>
        </w:rPr>
        <w:t>Gersh</w:t>
      </w:r>
      <w:proofErr w:type="spellEnd"/>
      <w:r w:rsidRPr="00617424">
        <w:rPr>
          <w:rFonts w:ascii="Times New Roman" w:hAnsi="Times New Roman" w:cs="Times New Roman"/>
        </w:rPr>
        <w:t xml:space="preserve"> BJ, Lennon RJ, Prasad A, </w:t>
      </w:r>
      <w:proofErr w:type="spellStart"/>
      <w:r w:rsidRPr="00617424">
        <w:rPr>
          <w:rFonts w:ascii="Times New Roman" w:hAnsi="Times New Roman" w:cs="Times New Roman"/>
        </w:rPr>
        <w:t>Sorajja</w:t>
      </w:r>
      <w:proofErr w:type="spellEnd"/>
      <w:r w:rsidRPr="00617424">
        <w:rPr>
          <w:rFonts w:ascii="Times New Roman" w:hAnsi="Times New Roman" w:cs="Times New Roman"/>
        </w:rPr>
        <w:t xml:space="preserve"> P, </w:t>
      </w:r>
      <w:proofErr w:type="spellStart"/>
      <w:r w:rsidRPr="00617424">
        <w:rPr>
          <w:rFonts w:ascii="Times New Roman" w:hAnsi="Times New Roman" w:cs="Times New Roman"/>
        </w:rPr>
        <w:t>Gullerud</w:t>
      </w:r>
      <w:proofErr w:type="spellEnd"/>
      <w:r w:rsidRPr="00617424">
        <w:rPr>
          <w:rFonts w:ascii="Times New Roman" w:hAnsi="Times New Roman" w:cs="Times New Roman"/>
        </w:rPr>
        <w:t xml:space="preserve"> RE and Holmes DR, Jr. Twenty-five-year trends in in-hospital and long-term outcome after percutaneous coronary intervention: a single-institution experience. </w:t>
      </w:r>
      <w:r w:rsidRPr="00617424">
        <w:rPr>
          <w:rFonts w:ascii="Times New Roman" w:hAnsi="Times New Roman" w:cs="Times New Roman"/>
          <w:i/>
          <w:iCs/>
        </w:rPr>
        <w:t>Circulation</w:t>
      </w:r>
      <w:r w:rsidRPr="00617424">
        <w:rPr>
          <w:rFonts w:ascii="Times New Roman" w:hAnsi="Times New Roman" w:cs="Times New Roman"/>
        </w:rPr>
        <w:t xml:space="preserve"> </w:t>
      </w:r>
      <w:proofErr w:type="gramStart"/>
      <w:r w:rsidRPr="00617424">
        <w:rPr>
          <w:rFonts w:ascii="Times New Roman" w:hAnsi="Times New Roman" w:cs="Times New Roman"/>
        </w:rPr>
        <w:t>2007;115:2835</w:t>
      </w:r>
      <w:proofErr w:type="gramEnd"/>
      <w:r w:rsidRPr="00617424">
        <w:rPr>
          <w:rFonts w:ascii="Times New Roman" w:hAnsi="Times New Roman" w:cs="Times New Roman"/>
        </w:rPr>
        <w:t>-</w:t>
      </w:r>
      <w:r w:rsidR="006650D5">
        <w:rPr>
          <w:rFonts w:ascii="Times New Roman" w:hAnsi="Times New Roman" w:cs="Times New Roman"/>
        </w:rPr>
        <w:t>28</w:t>
      </w:r>
      <w:r w:rsidRPr="00617424">
        <w:rPr>
          <w:rFonts w:ascii="Times New Roman" w:hAnsi="Times New Roman" w:cs="Times New Roman"/>
        </w:rPr>
        <w:t>41.</w:t>
      </w:r>
    </w:p>
    <w:p w14:paraId="0E353611" w14:textId="434D4CB4" w:rsidR="00617424"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617424">
        <w:rPr>
          <w:rFonts w:ascii="Times New Roman" w:hAnsi="Times New Roman" w:cs="Times New Roman"/>
        </w:rPr>
        <w:t xml:space="preserve">Mamas MA, </w:t>
      </w:r>
      <w:proofErr w:type="spellStart"/>
      <w:r w:rsidRPr="00617424">
        <w:rPr>
          <w:rFonts w:ascii="Times New Roman" w:hAnsi="Times New Roman" w:cs="Times New Roman"/>
        </w:rPr>
        <w:t>Fath-Ordoubadi</w:t>
      </w:r>
      <w:proofErr w:type="spellEnd"/>
      <w:r w:rsidRPr="00617424">
        <w:rPr>
          <w:rFonts w:ascii="Times New Roman" w:hAnsi="Times New Roman" w:cs="Times New Roman"/>
        </w:rPr>
        <w:t xml:space="preserve"> F, </w:t>
      </w:r>
      <w:proofErr w:type="spellStart"/>
      <w:r w:rsidRPr="00617424">
        <w:rPr>
          <w:rFonts w:ascii="Times New Roman" w:hAnsi="Times New Roman" w:cs="Times New Roman"/>
        </w:rPr>
        <w:t>Danzi</w:t>
      </w:r>
      <w:proofErr w:type="spellEnd"/>
      <w:r w:rsidRPr="00617424">
        <w:rPr>
          <w:rFonts w:ascii="Times New Roman" w:hAnsi="Times New Roman" w:cs="Times New Roman"/>
        </w:rPr>
        <w:t xml:space="preserve"> GB, </w:t>
      </w:r>
      <w:proofErr w:type="spellStart"/>
      <w:r w:rsidRPr="00617424">
        <w:rPr>
          <w:rFonts w:ascii="Times New Roman" w:hAnsi="Times New Roman" w:cs="Times New Roman"/>
        </w:rPr>
        <w:t>Spaepen</w:t>
      </w:r>
      <w:proofErr w:type="spellEnd"/>
      <w:r w:rsidRPr="00617424">
        <w:rPr>
          <w:rFonts w:ascii="Times New Roman" w:hAnsi="Times New Roman" w:cs="Times New Roman"/>
        </w:rPr>
        <w:t xml:space="preserve"> E, Kwok CS, Buchan I, Peek N, de </w:t>
      </w:r>
      <w:proofErr w:type="spellStart"/>
      <w:r w:rsidRPr="00617424">
        <w:rPr>
          <w:rFonts w:ascii="Times New Roman" w:hAnsi="Times New Roman" w:cs="Times New Roman"/>
        </w:rPr>
        <w:t>Belder</w:t>
      </w:r>
      <w:proofErr w:type="spellEnd"/>
      <w:r w:rsidRPr="00617424">
        <w:rPr>
          <w:rFonts w:ascii="Times New Roman" w:hAnsi="Times New Roman" w:cs="Times New Roman"/>
        </w:rPr>
        <w:t xml:space="preserve"> MA, </w:t>
      </w:r>
      <w:proofErr w:type="spellStart"/>
      <w:r w:rsidRPr="00617424">
        <w:rPr>
          <w:rFonts w:ascii="Times New Roman" w:hAnsi="Times New Roman" w:cs="Times New Roman"/>
        </w:rPr>
        <w:t>Ludman</w:t>
      </w:r>
      <w:proofErr w:type="spellEnd"/>
      <w:r w:rsidRPr="00617424">
        <w:rPr>
          <w:rFonts w:ascii="Times New Roman" w:hAnsi="Times New Roman" w:cs="Times New Roman"/>
        </w:rPr>
        <w:t xml:space="preserve"> PF, </w:t>
      </w:r>
      <w:proofErr w:type="spellStart"/>
      <w:r w:rsidRPr="00617424">
        <w:rPr>
          <w:rFonts w:ascii="Times New Roman" w:hAnsi="Times New Roman" w:cs="Times New Roman"/>
        </w:rPr>
        <w:t>Paunovic</w:t>
      </w:r>
      <w:proofErr w:type="spellEnd"/>
      <w:r w:rsidRPr="00617424">
        <w:rPr>
          <w:rFonts w:ascii="Times New Roman" w:hAnsi="Times New Roman" w:cs="Times New Roman"/>
        </w:rPr>
        <w:t xml:space="preserve"> D and Urban P. Prevalence and Impact of Co-</w:t>
      </w:r>
      <w:proofErr w:type="gramStart"/>
      <w:r w:rsidRPr="00617424">
        <w:rPr>
          <w:rFonts w:ascii="Times New Roman" w:hAnsi="Times New Roman" w:cs="Times New Roman"/>
        </w:rPr>
        <w:t>morbidity</w:t>
      </w:r>
      <w:proofErr w:type="gramEnd"/>
      <w:r w:rsidRPr="00617424">
        <w:rPr>
          <w:rFonts w:ascii="Times New Roman" w:hAnsi="Times New Roman" w:cs="Times New Roman"/>
        </w:rPr>
        <w:t xml:space="preserve"> Burden as Defined by the Charlson Co-morbidity Index on 30-Day and 1- and 5-Year Outcomes After Coronary Stent Implantation (from the Nobori-2 Study). </w:t>
      </w:r>
      <w:r w:rsidRPr="00617424">
        <w:rPr>
          <w:rFonts w:ascii="Times New Roman" w:hAnsi="Times New Roman" w:cs="Times New Roman"/>
          <w:i/>
          <w:iCs/>
        </w:rPr>
        <w:t xml:space="preserve">Am J </w:t>
      </w:r>
      <w:proofErr w:type="spellStart"/>
      <w:r w:rsidRPr="00617424">
        <w:rPr>
          <w:rFonts w:ascii="Times New Roman" w:hAnsi="Times New Roman" w:cs="Times New Roman"/>
          <w:i/>
          <w:iCs/>
        </w:rPr>
        <w:t>Cardiol</w:t>
      </w:r>
      <w:proofErr w:type="spellEnd"/>
      <w:r w:rsidRPr="00617424">
        <w:rPr>
          <w:rFonts w:ascii="Times New Roman" w:hAnsi="Times New Roman" w:cs="Times New Roman"/>
        </w:rPr>
        <w:t xml:space="preserve"> </w:t>
      </w:r>
      <w:proofErr w:type="gramStart"/>
      <w:r w:rsidRPr="00617424">
        <w:rPr>
          <w:rFonts w:ascii="Times New Roman" w:hAnsi="Times New Roman" w:cs="Times New Roman"/>
        </w:rPr>
        <w:t>2015;116:364</w:t>
      </w:r>
      <w:proofErr w:type="gramEnd"/>
      <w:r w:rsidRPr="00617424">
        <w:rPr>
          <w:rFonts w:ascii="Times New Roman" w:hAnsi="Times New Roman" w:cs="Times New Roman"/>
        </w:rPr>
        <w:t>-</w:t>
      </w:r>
      <w:r w:rsidR="006650D5">
        <w:rPr>
          <w:rFonts w:ascii="Times New Roman" w:hAnsi="Times New Roman" w:cs="Times New Roman"/>
        </w:rPr>
        <w:t>3</w:t>
      </w:r>
      <w:r w:rsidRPr="00617424">
        <w:rPr>
          <w:rFonts w:ascii="Times New Roman" w:hAnsi="Times New Roman" w:cs="Times New Roman"/>
        </w:rPr>
        <w:t>71.</w:t>
      </w:r>
    </w:p>
    <w:p w14:paraId="2D99356F" w14:textId="569DA093" w:rsidR="00617424"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proofErr w:type="spellStart"/>
      <w:r w:rsidRPr="00617424">
        <w:rPr>
          <w:rFonts w:ascii="Times New Roman" w:hAnsi="Times New Roman" w:cs="Times New Roman"/>
        </w:rPr>
        <w:t>Fraccaro</w:t>
      </w:r>
      <w:proofErr w:type="spellEnd"/>
      <w:r w:rsidRPr="00617424">
        <w:rPr>
          <w:rFonts w:ascii="Times New Roman" w:hAnsi="Times New Roman" w:cs="Times New Roman"/>
        </w:rPr>
        <w:t xml:space="preserve"> P, </w:t>
      </w:r>
      <w:proofErr w:type="spellStart"/>
      <w:r w:rsidRPr="00617424">
        <w:rPr>
          <w:rFonts w:ascii="Times New Roman" w:hAnsi="Times New Roman" w:cs="Times New Roman"/>
        </w:rPr>
        <w:t>Kontopantelis</w:t>
      </w:r>
      <w:proofErr w:type="spellEnd"/>
      <w:r w:rsidRPr="00617424">
        <w:rPr>
          <w:rFonts w:ascii="Times New Roman" w:hAnsi="Times New Roman" w:cs="Times New Roman"/>
        </w:rPr>
        <w:t xml:space="preserve"> E, </w:t>
      </w:r>
      <w:proofErr w:type="spellStart"/>
      <w:r w:rsidRPr="00617424">
        <w:rPr>
          <w:rFonts w:ascii="Times New Roman" w:hAnsi="Times New Roman" w:cs="Times New Roman"/>
        </w:rPr>
        <w:t>Sperrin</w:t>
      </w:r>
      <w:proofErr w:type="spellEnd"/>
      <w:r w:rsidRPr="00617424">
        <w:rPr>
          <w:rFonts w:ascii="Times New Roman" w:hAnsi="Times New Roman" w:cs="Times New Roman"/>
        </w:rPr>
        <w:t xml:space="preserve"> M, Peek N, </w:t>
      </w:r>
      <w:proofErr w:type="spellStart"/>
      <w:r w:rsidRPr="00617424">
        <w:rPr>
          <w:rFonts w:ascii="Times New Roman" w:hAnsi="Times New Roman" w:cs="Times New Roman"/>
        </w:rPr>
        <w:t>Mallen</w:t>
      </w:r>
      <w:proofErr w:type="spellEnd"/>
      <w:r w:rsidRPr="00617424">
        <w:rPr>
          <w:rFonts w:ascii="Times New Roman" w:hAnsi="Times New Roman" w:cs="Times New Roman"/>
        </w:rPr>
        <w:t xml:space="preserve"> C, Urban P, Buchan IE and Mamas MA. Predicting mortality from change-over-time in the Charlson Comorbidity Index: A retrospective cohort study in a data-intensive UK health system. </w:t>
      </w:r>
      <w:r w:rsidR="00B949F8">
        <w:rPr>
          <w:rFonts w:ascii="Times New Roman" w:hAnsi="Times New Roman" w:cs="Times New Roman"/>
          <w:i/>
          <w:iCs/>
        </w:rPr>
        <w:t>Medicine</w:t>
      </w:r>
      <w:r w:rsidRPr="00617424">
        <w:rPr>
          <w:rFonts w:ascii="Times New Roman" w:hAnsi="Times New Roman" w:cs="Times New Roman"/>
        </w:rPr>
        <w:t xml:space="preserve"> 2016;</w:t>
      </w:r>
      <w:proofErr w:type="gramStart"/>
      <w:r w:rsidRPr="00617424">
        <w:rPr>
          <w:rFonts w:ascii="Times New Roman" w:hAnsi="Times New Roman" w:cs="Times New Roman"/>
        </w:rPr>
        <w:t>95:e</w:t>
      </w:r>
      <w:proofErr w:type="gramEnd"/>
      <w:r w:rsidRPr="00617424">
        <w:rPr>
          <w:rFonts w:ascii="Times New Roman" w:hAnsi="Times New Roman" w:cs="Times New Roman"/>
        </w:rPr>
        <w:t>4973.</w:t>
      </w:r>
    </w:p>
    <w:p w14:paraId="4DE129D1" w14:textId="7502C350" w:rsidR="00617424"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617424">
        <w:rPr>
          <w:rFonts w:ascii="Times New Roman" w:hAnsi="Times New Roman" w:cs="Times New Roman"/>
        </w:rPr>
        <w:t xml:space="preserve">Rashid M, Kwok CS, Gale CP, Doherty P, </w:t>
      </w:r>
      <w:proofErr w:type="spellStart"/>
      <w:r w:rsidRPr="00617424">
        <w:rPr>
          <w:rFonts w:ascii="Times New Roman" w:hAnsi="Times New Roman" w:cs="Times New Roman"/>
        </w:rPr>
        <w:t>Olier</w:t>
      </w:r>
      <w:proofErr w:type="spellEnd"/>
      <w:r w:rsidRPr="00617424">
        <w:rPr>
          <w:rFonts w:ascii="Times New Roman" w:hAnsi="Times New Roman" w:cs="Times New Roman"/>
        </w:rPr>
        <w:t xml:space="preserve"> I, </w:t>
      </w:r>
      <w:proofErr w:type="spellStart"/>
      <w:r w:rsidRPr="00617424">
        <w:rPr>
          <w:rFonts w:ascii="Times New Roman" w:hAnsi="Times New Roman" w:cs="Times New Roman"/>
        </w:rPr>
        <w:t>Sperrin</w:t>
      </w:r>
      <w:proofErr w:type="spellEnd"/>
      <w:r w:rsidR="009B44D3">
        <w:rPr>
          <w:rFonts w:ascii="Times New Roman" w:hAnsi="Times New Roman" w:cs="Times New Roman"/>
        </w:rPr>
        <w:t xml:space="preserve"> M, </w:t>
      </w:r>
      <w:proofErr w:type="spellStart"/>
      <w:r w:rsidR="009B44D3">
        <w:rPr>
          <w:rFonts w:ascii="Times New Roman" w:hAnsi="Times New Roman" w:cs="Times New Roman"/>
        </w:rPr>
        <w:t>Kontopantelis</w:t>
      </w:r>
      <w:proofErr w:type="spellEnd"/>
      <w:r w:rsidR="009B44D3">
        <w:rPr>
          <w:rFonts w:ascii="Times New Roman" w:hAnsi="Times New Roman" w:cs="Times New Roman"/>
        </w:rPr>
        <w:t xml:space="preserve"> E, Peat G, </w:t>
      </w:r>
      <w:r w:rsidRPr="00617424">
        <w:rPr>
          <w:rFonts w:ascii="Times New Roman" w:hAnsi="Times New Roman" w:cs="Times New Roman"/>
        </w:rPr>
        <w:t xml:space="preserve">Mamas MA. Impact of Co-morbid burden on mortality in patients with coronary heart disease, heart failure and cerebrovascular accident: A systematic review and meta-analysis. </w:t>
      </w:r>
      <w:proofErr w:type="spellStart"/>
      <w:r w:rsidRPr="00617424">
        <w:rPr>
          <w:rFonts w:ascii="Times New Roman" w:hAnsi="Times New Roman" w:cs="Times New Roman"/>
          <w:i/>
          <w:iCs/>
        </w:rPr>
        <w:t>Eur</w:t>
      </w:r>
      <w:proofErr w:type="spellEnd"/>
      <w:r w:rsidRPr="00617424">
        <w:rPr>
          <w:rFonts w:ascii="Times New Roman" w:hAnsi="Times New Roman" w:cs="Times New Roman"/>
          <w:i/>
          <w:iCs/>
        </w:rPr>
        <w:t xml:space="preserve"> Heart J </w:t>
      </w:r>
      <w:proofErr w:type="spellStart"/>
      <w:r w:rsidRPr="00617424">
        <w:rPr>
          <w:rFonts w:ascii="Times New Roman" w:hAnsi="Times New Roman" w:cs="Times New Roman"/>
          <w:i/>
          <w:iCs/>
        </w:rPr>
        <w:t>Qual</w:t>
      </w:r>
      <w:proofErr w:type="spellEnd"/>
      <w:r w:rsidRPr="00617424">
        <w:rPr>
          <w:rFonts w:ascii="Times New Roman" w:hAnsi="Times New Roman" w:cs="Times New Roman"/>
          <w:i/>
          <w:iCs/>
        </w:rPr>
        <w:t xml:space="preserve"> Care </w:t>
      </w:r>
      <w:proofErr w:type="spellStart"/>
      <w:r w:rsidRPr="00617424">
        <w:rPr>
          <w:rFonts w:ascii="Times New Roman" w:hAnsi="Times New Roman" w:cs="Times New Roman"/>
          <w:i/>
          <w:iCs/>
        </w:rPr>
        <w:t>Clin</w:t>
      </w:r>
      <w:proofErr w:type="spellEnd"/>
      <w:r w:rsidRPr="00617424">
        <w:rPr>
          <w:rFonts w:ascii="Times New Roman" w:hAnsi="Times New Roman" w:cs="Times New Roman"/>
          <w:i/>
          <w:iCs/>
        </w:rPr>
        <w:t xml:space="preserve"> Outcomes</w:t>
      </w:r>
      <w:r w:rsidRPr="00617424">
        <w:rPr>
          <w:rFonts w:ascii="Times New Roman" w:hAnsi="Times New Roman" w:cs="Times New Roman"/>
        </w:rPr>
        <w:t xml:space="preserve"> </w:t>
      </w:r>
      <w:proofErr w:type="gramStart"/>
      <w:r w:rsidRPr="00617424">
        <w:rPr>
          <w:rFonts w:ascii="Times New Roman" w:hAnsi="Times New Roman" w:cs="Times New Roman"/>
        </w:rPr>
        <w:t>2017;3:20</w:t>
      </w:r>
      <w:proofErr w:type="gramEnd"/>
      <w:r w:rsidRPr="00617424">
        <w:rPr>
          <w:rFonts w:ascii="Times New Roman" w:hAnsi="Times New Roman" w:cs="Times New Roman"/>
        </w:rPr>
        <w:t>-36.</w:t>
      </w:r>
    </w:p>
    <w:p w14:paraId="43065C02" w14:textId="495650F6" w:rsidR="00617424"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617424">
        <w:rPr>
          <w:rFonts w:ascii="Times New Roman" w:hAnsi="Times New Roman" w:cs="Times New Roman"/>
        </w:rPr>
        <w:t xml:space="preserve">Charlson ME, </w:t>
      </w:r>
      <w:proofErr w:type="spellStart"/>
      <w:r w:rsidRPr="00617424">
        <w:rPr>
          <w:rFonts w:ascii="Times New Roman" w:hAnsi="Times New Roman" w:cs="Times New Roman"/>
        </w:rPr>
        <w:t>Pompei</w:t>
      </w:r>
      <w:proofErr w:type="spellEnd"/>
      <w:r w:rsidRPr="00617424">
        <w:rPr>
          <w:rFonts w:ascii="Times New Roman" w:hAnsi="Times New Roman" w:cs="Times New Roman"/>
        </w:rPr>
        <w:t xml:space="preserve"> P, Ales KL and </w:t>
      </w:r>
      <w:proofErr w:type="spellStart"/>
      <w:r w:rsidRPr="00617424">
        <w:rPr>
          <w:rFonts w:ascii="Times New Roman" w:hAnsi="Times New Roman" w:cs="Times New Roman"/>
        </w:rPr>
        <w:t>MacKenzie</w:t>
      </w:r>
      <w:proofErr w:type="spellEnd"/>
      <w:r w:rsidRPr="00617424">
        <w:rPr>
          <w:rFonts w:ascii="Times New Roman" w:hAnsi="Times New Roman" w:cs="Times New Roman"/>
        </w:rPr>
        <w:t xml:space="preserve"> CR. A new method of classifying prognostic comorbidity in longitudinal studies: development and validation. </w:t>
      </w:r>
      <w:r w:rsidRPr="00617424">
        <w:rPr>
          <w:rFonts w:ascii="Times New Roman" w:hAnsi="Times New Roman" w:cs="Times New Roman"/>
          <w:i/>
          <w:iCs/>
        </w:rPr>
        <w:t>J Chronic Dis</w:t>
      </w:r>
      <w:r w:rsidRPr="00617424">
        <w:rPr>
          <w:rFonts w:ascii="Times New Roman" w:hAnsi="Times New Roman" w:cs="Times New Roman"/>
        </w:rPr>
        <w:t xml:space="preserve"> </w:t>
      </w:r>
      <w:proofErr w:type="gramStart"/>
      <w:r w:rsidRPr="00617424">
        <w:rPr>
          <w:rFonts w:ascii="Times New Roman" w:hAnsi="Times New Roman" w:cs="Times New Roman"/>
        </w:rPr>
        <w:t>1987;40:373</w:t>
      </w:r>
      <w:proofErr w:type="gramEnd"/>
      <w:r w:rsidRPr="00617424">
        <w:rPr>
          <w:rFonts w:ascii="Times New Roman" w:hAnsi="Times New Roman" w:cs="Times New Roman"/>
        </w:rPr>
        <w:t>-</w:t>
      </w:r>
      <w:r w:rsidR="006650D5">
        <w:rPr>
          <w:rFonts w:ascii="Times New Roman" w:hAnsi="Times New Roman" w:cs="Times New Roman"/>
        </w:rPr>
        <w:t>3</w:t>
      </w:r>
      <w:r w:rsidRPr="00617424">
        <w:rPr>
          <w:rFonts w:ascii="Times New Roman" w:hAnsi="Times New Roman" w:cs="Times New Roman"/>
        </w:rPr>
        <w:t>83.</w:t>
      </w:r>
    </w:p>
    <w:p w14:paraId="3694931D" w14:textId="326E8204" w:rsidR="00617424"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617424">
        <w:rPr>
          <w:rFonts w:ascii="Times New Roman" w:hAnsi="Times New Roman" w:cs="Times New Roman"/>
        </w:rPr>
        <w:t xml:space="preserve">Mamas MA, </w:t>
      </w:r>
      <w:proofErr w:type="spellStart"/>
      <w:r w:rsidRPr="00617424">
        <w:rPr>
          <w:rFonts w:ascii="Times New Roman" w:hAnsi="Times New Roman" w:cs="Times New Roman"/>
        </w:rPr>
        <w:t>Fath-Ordoubadi</w:t>
      </w:r>
      <w:proofErr w:type="spellEnd"/>
      <w:r w:rsidRPr="00617424">
        <w:rPr>
          <w:rFonts w:ascii="Times New Roman" w:hAnsi="Times New Roman" w:cs="Times New Roman"/>
        </w:rPr>
        <w:t xml:space="preserve"> F, </w:t>
      </w:r>
      <w:proofErr w:type="spellStart"/>
      <w:r w:rsidRPr="00617424">
        <w:rPr>
          <w:rFonts w:ascii="Times New Roman" w:hAnsi="Times New Roman" w:cs="Times New Roman"/>
        </w:rPr>
        <w:t>Danzi</w:t>
      </w:r>
      <w:proofErr w:type="spellEnd"/>
      <w:r w:rsidRPr="00617424">
        <w:rPr>
          <w:rFonts w:ascii="Times New Roman" w:hAnsi="Times New Roman" w:cs="Times New Roman"/>
        </w:rPr>
        <w:t xml:space="preserve"> GB, </w:t>
      </w:r>
      <w:proofErr w:type="spellStart"/>
      <w:r w:rsidRPr="00617424">
        <w:rPr>
          <w:rFonts w:ascii="Times New Roman" w:hAnsi="Times New Roman" w:cs="Times New Roman"/>
        </w:rPr>
        <w:t>Spaepen</w:t>
      </w:r>
      <w:proofErr w:type="spellEnd"/>
      <w:r w:rsidRPr="00617424">
        <w:rPr>
          <w:rFonts w:ascii="Times New Roman" w:hAnsi="Times New Roman" w:cs="Times New Roman"/>
        </w:rPr>
        <w:t xml:space="preserve"> E, Kwok CS, Buchan I, Peek N, de </w:t>
      </w:r>
      <w:proofErr w:type="spellStart"/>
      <w:r w:rsidRPr="00617424">
        <w:rPr>
          <w:rFonts w:ascii="Times New Roman" w:hAnsi="Times New Roman" w:cs="Times New Roman"/>
        </w:rPr>
        <w:t>Belder</w:t>
      </w:r>
      <w:proofErr w:type="spellEnd"/>
      <w:r w:rsidRPr="00617424">
        <w:rPr>
          <w:rFonts w:ascii="Times New Roman" w:hAnsi="Times New Roman" w:cs="Times New Roman"/>
        </w:rPr>
        <w:t xml:space="preserve"> MA, </w:t>
      </w:r>
      <w:proofErr w:type="spellStart"/>
      <w:r w:rsidRPr="00617424">
        <w:rPr>
          <w:rFonts w:ascii="Times New Roman" w:hAnsi="Times New Roman" w:cs="Times New Roman"/>
        </w:rPr>
        <w:t>Ludman</w:t>
      </w:r>
      <w:proofErr w:type="spellEnd"/>
      <w:r w:rsidRPr="00617424">
        <w:rPr>
          <w:rFonts w:ascii="Times New Roman" w:hAnsi="Times New Roman" w:cs="Times New Roman"/>
        </w:rPr>
        <w:t xml:space="preserve"> PF, </w:t>
      </w:r>
      <w:proofErr w:type="spellStart"/>
      <w:r w:rsidRPr="00617424">
        <w:rPr>
          <w:rFonts w:ascii="Times New Roman" w:hAnsi="Times New Roman" w:cs="Times New Roman"/>
        </w:rPr>
        <w:t>Paunovic</w:t>
      </w:r>
      <w:proofErr w:type="spellEnd"/>
      <w:r w:rsidRPr="00617424">
        <w:rPr>
          <w:rFonts w:ascii="Times New Roman" w:hAnsi="Times New Roman" w:cs="Times New Roman"/>
        </w:rPr>
        <w:t xml:space="preserve"> D and Urban P. Prevalence and Impact of Co-</w:t>
      </w:r>
      <w:proofErr w:type="gramStart"/>
      <w:r w:rsidRPr="00617424">
        <w:rPr>
          <w:rFonts w:ascii="Times New Roman" w:hAnsi="Times New Roman" w:cs="Times New Roman"/>
        </w:rPr>
        <w:t>morbidity</w:t>
      </w:r>
      <w:proofErr w:type="gramEnd"/>
      <w:r w:rsidRPr="00617424">
        <w:rPr>
          <w:rFonts w:ascii="Times New Roman" w:hAnsi="Times New Roman" w:cs="Times New Roman"/>
        </w:rPr>
        <w:t xml:space="preserve"> Burden as Defined by the Charlson Co-morbidity Index on 30-Day and 1- and 5-Year Outcomes After Coronary Stent Implantation (from the Nobori-2 Study). </w:t>
      </w:r>
      <w:r w:rsidRPr="00617424">
        <w:rPr>
          <w:rFonts w:ascii="Times New Roman" w:hAnsi="Times New Roman" w:cs="Times New Roman"/>
          <w:i/>
          <w:iCs/>
        </w:rPr>
        <w:t xml:space="preserve">Am J </w:t>
      </w:r>
      <w:proofErr w:type="spellStart"/>
      <w:r w:rsidRPr="00617424">
        <w:rPr>
          <w:rFonts w:ascii="Times New Roman" w:hAnsi="Times New Roman" w:cs="Times New Roman"/>
          <w:i/>
          <w:iCs/>
        </w:rPr>
        <w:t>Cardiol</w:t>
      </w:r>
      <w:proofErr w:type="spellEnd"/>
      <w:r w:rsidRPr="00617424">
        <w:rPr>
          <w:rFonts w:ascii="Times New Roman" w:hAnsi="Times New Roman" w:cs="Times New Roman"/>
        </w:rPr>
        <w:t xml:space="preserve"> </w:t>
      </w:r>
      <w:proofErr w:type="gramStart"/>
      <w:r w:rsidRPr="00617424">
        <w:rPr>
          <w:rFonts w:ascii="Times New Roman" w:hAnsi="Times New Roman" w:cs="Times New Roman"/>
        </w:rPr>
        <w:t>2015</w:t>
      </w:r>
      <w:r w:rsidR="00897670">
        <w:rPr>
          <w:rFonts w:ascii="Times New Roman" w:hAnsi="Times New Roman" w:cs="Times New Roman"/>
        </w:rPr>
        <w:t>;116:364</w:t>
      </w:r>
      <w:proofErr w:type="gramEnd"/>
      <w:r w:rsidR="00897670">
        <w:rPr>
          <w:rFonts w:ascii="Times New Roman" w:hAnsi="Times New Roman" w:cs="Times New Roman"/>
        </w:rPr>
        <w:t>-</w:t>
      </w:r>
      <w:r w:rsidR="006650D5">
        <w:rPr>
          <w:rFonts w:ascii="Times New Roman" w:hAnsi="Times New Roman" w:cs="Times New Roman"/>
        </w:rPr>
        <w:t>3</w:t>
      </w:r>
      <w:r w:rsidR="00897670">
        <w:rPr>
          <w:rFonts w:ascii="Times New Roman" w:hAnsi="Times New Roman" w:cs="Times New Roman"/>
        </w:rPr>
        <w:t>71</w:t>
      </w:r>
      <w:r w:rsidRPr="00617424">
        <w:rPr>
          <w:rFonts w:ascii="Times New Roman" w:hAnsi="Times New Roman" w:cs="Times New Roman"/>
        </w:rPr>
        <w:t>.</w:t>
      </w:r>
    </w:p>
    <w:p w14:paraId="383CD7A1" w14:textId="77777777"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617424">
        <w:rPr>
          <w:rFonts w:ascii="Times New Roman" w:hAnsi="Times New Roman" w:cs="Times New Roman"/>
        </w:rPr>
        <w:t xml:space="preserve">Singh M, </w:t>
      </w:r>
      <w:proofErr w:type="spellStart"/>
      <w:r w:rsidRPr="00617424">
        <w:rPr>
          <w:rFonts w:ascii="Times New Roman" w:hAnsi="Times New Roman" w:cs="Times New Roman"/>
        </w:rPr>
        <w:t>Rihal</w:t>
      </w:r>
      <w:proofErr w:type="spellEnd"/>
      <w:r w:rsidRPr="00617424">
        <w:rPr>
          <w:rFonts w:ascii="Times New Roman" w:hAnsi="Times New Roman" w:cs="Times New Roman"/>
        </w:rPr>
        <w:t xml:space="preserve"> CS, Lennon RJ, </w:t>
      </w:r>
      <w:proofErr w:type="spellStart"/>
      <w:r w:rsidRPr="00617424">
        <w:rPr>
          <w:rFonts w:ascii="Times New Roman" w:hAnsi="Times New Roman" w:cs="Times New Roman"/>
        </w:rPr>
        <w:t>Spertus</w:t>
      </w:r>
      <w:proofErr w:type="spellEnd"/>
      <w:r w:rsidRPr="00617424">
        <w:rPr>
          <w:rFonts w:ascii="Times New Roman" w:hAnsi="Times New Roman" w:cs="Times New Roman"/>
        </w:rPr>
        <w:t xml:space="preserve"> JA, Nair KS and Roger VL. Influence of frailty and health status on outcomes in patients with coronary disease undergoing percutaneous revascularization. </w:t>
      </w:r>
      <w:proofErr w:type="spellStart"/>
      <w:r w:rsidRPr="00617424">
        <w:rPr>
          <w:rFonts w:ascii="Times New Roman" w:hAnsi="Times New Roman" w:cs="Times New Roman"/>
          <w:i/>
          <w:iCs/>
        </w:rPr>
        <w:t>Circ</w:t>
      </w:r>
      <w:proofErr w:type="spellEnd"/>
      <w:r w:rsidRPr="00617424">
        <w:rPr>
          <w:rFonts w:ascii="Times New Roman" w:hAnsi="Times New Roman" w:cs="Times New Roman"/>
          <w:i/>
          <w:iCs/>
        </w:rPr>
        <w:t xml:space="preserve"> </w:t>
      </w:r>
      <w:proofErr w:type="spellStart"/>
      <w:r w:rsidRPr="00617424">
        <w:rPr>
          <w:rFonts w:ascii="Times New Roman" w:hAnsi="Times New Roman" w:cs="Times New Roman"/>
          <w:i/>
          <w:iCs/>
        </w:rPr>
        <w:t>Cardiovasc</w:t>
      </w:r>
      <w:proofErr w:type="spellEnd"/>
      <w:r w:rsidRPr="00617424">
        <w:rPr>
          <w:rFonts w:ascii="Times New Roman" w:hAnsi="Times New Roman" w:cs="Times New Roman"/>
          <w:i/>
          <w:iCs/>
        </w:rPr>
        <w:t xml:space="preserve"> </w:t>
      </w:r>
      <w:proofErr w:type="spellStart"/>
      <w:r w:rsidRPr="00617424">
        <w:rPr>
          <w:rFonts w:ascii="Times New Roman" w:hAnsi="Times New Roman" w:cs="Times New Roman"/>
          <w:i/>
          <w:iCs/>
        </w:rPr>
        <w:t>Qual</w:t>
      </w:r>
      <w:proofErr w:type="spellEnd"/>
      <w:r w:rsidRPr="00617424">
        <w:rPr>
          <w:rFonts w:ascii="Times New Roman" w:hAnsi="Times New Roman" w:cs="Times New Roman"/>
          <w:i/>
          <w:iCs/>
        </w:rPr>
        <w:t xml:space="preserve"> Outcomes</w:t>
      </w:r>
      <w:r w:rsidRPr="00617424">
        <w:rPr>
          <w:rFonts w:ascii="Times New Roman" w:hAnsi="Times New Roman" w:cs="Times New Roman"/>
        </w:rPr>
        <w:t xml:space="preserve"> </w:t>
      </w:r>
      <w:proofErr w:type="gramStart"/>
      <w:r w:rsidRPr="00617424">
        <w:rPr>
          <w:rFonts w:ascii="Times New Roman" w:hAnsi="Times New Roman" w:cs="Times New Roman"/>
        </w:rPr>
        <w:t>2011;4:496</w:t>
      </w:r>
      <w:proofErr w:type="gramEnd"/>
      <w:r w:rsidRPr="00617424">
        <w:rPr>
          <w:rFonts w:ascii="Times New Roman" w:hAnsi="Times New Roman" w:cs="Times New Roman"/>
        </w:rPr>
        <w:t>-502.</w:t>
      </w:r>
    </w:p>
    <w:p w14:paraId="25AA6CFE" w14:textId="77777777"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CC6A5C">
        <w:rPr>
          <w:rFonts w:ascii="Times New Roman" w:hAnsi="Times New Roman" w:cs="Times New Roman"/>
        </w:rPr>
        <w:t>Lopez-de-Andres A, Jimenez-Garcia R, Hernandez-Barrera V, Perez-</w:t>
      </w:r>
      <w:proofErr w:type="spellStart"/>
      <w:r w:rsidRPr="00CC6A5C">
        <w:rPr>
          <w:rFonts w:ascii="Times New Roman" w:hAnsi="Times New Roman" w:cs="Times New Roman"/>
        </w:rPr>
        <w:t>Farinos</w:t>
      </w:r>
      <w:proofErr w:type="spellEnd"/>
      <w:r w:rsidRPr="00CC6A5C">
        <w:rPr>
          <w:rFonts w:ascii="Times New Roman" w:hAnsi="Times New Roman" w:cs="Times New Roman"/>
        </w:rPr>
        <w:t xml:space="preserve"> N, de Miguel-</w:t>
      </w:r>
      <w:proofErr w:type="spellStart"/>
      <w:r w:rsidRPr="00CC6A5C">
        <w:rPr>
          <w:rFonts w:ascii="Times New Roman" w:hAnsi="Times New Roman" w:cs="Times New Roman"/>
        </w:rPr>
        <w:t>Yanes</w:t>
      </w:r>
      <w:proofErr w:type="spellEnd"/>
      <w:r w:rsidRPr="00CC6A5C">
        <w:rPr>
          <w:rFonts w:ascii="Times New Roman" w:hAnsi="Times New Roman" w:cs="Times New Roman"/>
        </w:rPr>
        <w:t xml:space="preserve"> JM, Mendez-</w:t>
      </w:r>
      <w:proofErr w:type="spellStart"/>
      <w:r w:rsidRPr="00CC6A5C">
        <w:rPr>
          <w:rFonts w:ascii="Times New Roman" w:hAnsi="Times New Roman" w:cs="Times New Roman"/>
        </w:rPr>
        <w:t>Bailon</w:t>
      </w:r>
      <w:proofErr w:type="spellEnd"/>
      <w:r w:rsidRPr="00CC6A5C">
        <w:rPr>
          <w:rFonts w:ascii="Times New Roman" w:hAnsi="Times New Roman" w:cs="Times New Roman"/>
        </w:rPr>
        <w:t xml:space="preserve"> M, Jimenez-Trujillo I, de Miguel AG, </w:t>
      </w:r>
      <w:proofErr w:type="spellStart"/>
      <w:r w:rsidRPr="00CC6A5C">
        <w:rPr>
          <w:rFonts w:ascii="Times New Roman" w:hAnsi="Times New Roman" w:cs="Times New Roman"/>
        </w:rPr>
        <w:t>Pino</w:t>
      </w:r>
      <w:proofErr w:type="spellEnd"/>
      <w:r w:rsidRPr="00CC6A5C">
        <w:rPr>
          <w:rFonts w:ascii="Times New Roman" w:hAnsi="Times New Roman" w:cs="Times New Roman"/>
        </w:rPr>
        <w:t xml:space="preserve"> CG and Carrasco-</w:t>
      </w:r>
      <w:proofErr w:type="spellStart"/>
      <w:r w:rsidRPr="00CC6A5C">
        <w:rPr>
          <w:rFonts w:ascii="Times New Roman" w:hAnsi="Times New Roman" w:cs="Times New Roman"/>
        </w:rPr>
        <w:t>Garrido</w:t>
      </w:r>
      <w:proofErr w:type="spellEnd"/>
      <w:r w:rsidRPr="00CC6A5C">
        <w:rPr>
          <w:rFonts w:ascii="Times New Roman" w:hAnsi="Times New Roman" w:cs="Times New Roman"/>
        </w:rPr>
        <w:t xml:space="preserve"> P. National trends in utilization and outcomes of coronary revascularization procedures among people with and without type 2 diabetes in Spain (2001-2011). </w:t>
      </w:r>
      <w:proofErr w:type="spellStart"/>
      <w:r w:rsidRPr="00CC6A5C">
        <w:rPr>
          <w:rFonts w:ascii="Times New Roman" w:hAnsi="Times New Roman" w:cs="Times New Roman"/>
          <w:i/>
          <w:iCs/>
        </w:rPr>
        <w:t>Cardiovasc</w:t>
      </w:r>
      <w:proofErr w:type="spellEnd"/>
      <w:r w:rsidRPr="00CC6A5C">
        <w:rPr>
          <w:rFonts w:ascii="Times New Roman" w:hAnsi="Times New Roman" w:cs="Times New Roman"/>
          <w:i/>
          <w:iCs/>
        </w:rPr>
        <w:t xml:space="preserve"> </w:t>
      </w:r>
      <w:proofErr w:type="spellStart"/>
      <w:r w:rsidRPr="00CC6A5C">
        <w:rPr>
          <w:rFonts w:ascii="Times New Roman" w:hAnsi="Times New Roman" w:cs="Times New Roman"/>
          <w:i/>
          <w:iCs/>
        </w:rPr>
        <w:t>Diabetol</w:t>
      </w:r>
      <w:proofErr w:type="spellEnd"/>
      <w:r w:rsidRPr="00CC6A5C">
        <w:rPr>
          <w:rFonts w:ascii="Times New Roman" w:hAnsi="Times New Roman" w:cs="Times New Roman"/>
        </w:rPr>
        <w:t xml:space="preserve"> </w:t>
      </w:r>
      <w:proofErr w:type="gramStart"/>
      <w:r w:rsidRPr="00CC6A5C">
        <w:rPr>
          <w:rFonts w:ascii="Times New Roman" w:hAnsi="Times New Roman" w:cs="Times New Roman"/>
        </w:rPr>
        <w:t>2014;13:3</w:t>
      </w:r>
      <w:proofErr w:type="gramEnd"/>
      <w:r w:rsidRPr="00CC6A5C">
        <w:rPr>
          <w:rFonts w:ascii="Times New Roman" w:hAnsi="Times New Roman" w:cs="Times New Roman"/>
        </w:rPr>
        <w:t>.</w:t>
      </w:r>
    </w:p>
    <w:p w14:paraId="206E7D26" w14:textId="12F95A2B"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proofErr w:type="spellStart"/>
      <w:r w:rsidRPr="00CC6A5C">
        <w:rPr>
          <w:rFonts w:ascii="Times New Roman" w:hAnsi="Times New Roman" w:cs="Times New Roman"/>
        </w:rPr>
        <w:t>Badheka</w:t>
      </w:r>
      <w:proofErr w:type="spellEnd"/>
      <w:r w:rsidRPr="00CC6A5C">
        <w:rPr>
          <w:rFonts w:ascii="Times New Roman" w:hAnsi="Times New Roman" w:cs="Times New Roman"/>
        </w:rPr>
        <w:t xml:space="preserve"> AO, Patel NJ, Grover P, Singh V, Patel N, Arora S, </w:t>
      </w:r>
      <w:proofErr w:type="spellStart"/>
      <w:r w:rsidRPr="00CC6A5C">
        <w:rPr>
          <w:rFonts w:ascii="Times New Roman" w:hAnsi="Times New Roman" w:cs="Times New Roman"/>
        </w:rPr>
        <w:t>Chothani</w:t>
      </w:r>
      <w:proofErr w:type="spellEnd"/>
      <w:r w:rsidRPr="00CC6A5C">
        <w:rPr>
          <w:rFonts w:ascii="Times New Roman" w:hAnsi="Times New Roman" w:cs="Times New Roman"/>
        </w:rPr>
        <w:t xml:space="preserve"> A, Mehta K, </w:t>
      </w:r>
      <w:proofErr w:type="spellStart"/>
      <w:r w:rsidRPr="00CC6A5C">
        <w:rPr>
          <w:rFonts w:ascii="Times New Roman" w:hAnsi="Times New Roman" w:cs="Times New Roman"/>
        </w:rPr>
        <w:t>Deshmukh</w:t>
      </w:r>
      <w:proofErr w:type="spellEnd"/>
      <w:r w:rsidRPr="00CC6A5C">
        <w:rPr>
          <w:rFonts w:ascii="Times New Roman" w:hAnsi="Times New Roman" w:cs="Times New Roman"/>
        </w:rPr>
        <w:t xml:space="preserve"> A, </w:t>
      </w:r>
      <w:proofErr w:type="spellStart"/>
      <w:r w:rsidRPr="00CC6A5C">
        <w:rPr>
          <w:rFonts w:ascii="Times New Roman" w:hAnsi="Times New Roman" w:cs="Times New Roman"/>
        </w:rPr>
        <w:t>Savani</w:t>
      </w:r>
      <w:proofErr w:type="spellEnd"/>
      <w:r w:rsidRPr="00CC6A5C">
        <w:rPr>
          <w:rFonts w:ascii="Times New Roman" w:hAnsi="Times New Roman" w:cs="Times New Roman"/>
        </w:rPr>
        <w:t xml:space="preserve"> GT, Patel A, </w:t>
      </w:r>
      <w:proofErr w:type="spellStart"/>
      <w:r w:rsidRPr="00CC6A5C">
        <w:rPr>
          <w:rFonts w:ascii="Times New Roman" w:hAnsi="Times New Roman" w:cs="Times New Roman"/>
        </w:rPr>
        <w:t>Panaich</w:t>
      </w:r>
      <w:proofErr w:type="spellEnd"/>
      <w:r w:rsidRPr="00CC6A5C">
        <w:rPr>
          <w:rFonts w:ascii="Times New Roman" w:hAnsi="Times New Roman" w:cs="Times New Roman"/>
        </w:rPr>
        <w:t xml:space="preserve"> SS, Shah N, </w:t>
      </w:r>
      <w:proofErr w:type="spellStart"/>
      <w:r w:rsidRPr="00CC6A5C">
        <w:rPr>
          <w:rFonts w:ascii="Times New Roman" w:hAnsi="Times New Roman" w:cs="Times New Roman"/>
        </w:rPr>
        <w:t>Rathod</w:t>
      </w:r>
      <w:proofErr w:type="spellEnd"/>
      <w:r w:rsidRPr="00CC6A5C">
        <w:rPr>
          <w:rFonts w:ascii="Times New Roman" w:hAnsi="Times New Roman" w:cs="Times New Roman"/>
        </w:rPr>
        <w:t xml:space="preserve"> A, Brown M, Mohamad T, </w:t>
      </w:r>
      <w:proofErr w:type="spellStart"/>
      <w:r w:rsidRPr="00CC6A5C">
        <w:rPr>
          <w:rFonts w:ascii="Times New Roman" w:hAnsi="Times New Roman" w:cs="Times New Roman"/>
        </w:rPr>
        <w:t>Tamburrino</w:t>
      </w:r>
      <w:proofErr w:type="spellEnd"/>
      <w:r w:rsidRPr="00CC6A5C">
        <w:rPr>
          <w:rFonts w:ascii="Times New Roman" w:hAnsi="Times New Roman" w:cs="Times New Roman"/>
        </w:rPr>
        <w:t xml:space="preserve"> FV, </w:t>
      </w:r>
      <w:proofErr w:type="spellStart"/>
      <w:r w:rsidRPr="00CC6A5C">
        <w:rPr>
          <w:rFonts w:ascii="Times New Roman" w:hAnsi="Times New Roman" w:cs="Times New Roman"/>
        </w:rPr>
        <w:t>Kar</w:t>
      </w:r>
      <w:proofErr w:type="spellEnd"/>
      <w:r w:rsidRPr="00CC6A5C">
        <w:rPr>
          <w:rFonts w:ascii="Times New Roman" w:hAnsi="Times New Roman" w:cs="Times New Roman"/>
        </w:rPr>
        <w:t xml:space="preserve"> S, </w:t>
      </w:r>
      <w:proofErr w:type="spellStart"/>
      <w:r w:rsidRPr="00CC6A5C">
        <w:rPr>
          <w:rFonts w:ascii="Times New Roman" w:hAnsi="Times New Roman" w:cs="Times New Roman"/>
        </w:rPr>
        <w:t>Makkar</w:t>
      </w:r>
      <w:proofErr w:type="spellEnd"/>
      <w:r w:rsidRPr="00CC6A5C">
        <w:rPr>
          <w:rFonts w:ascii="Times New Roman" w:hAnsi="Times New Roman" w:cs="Times New Roman"/>
        </w:rPr>
        <w:t xml:space="preserve"> R, </w:t>
      </w:r>
      <w:r w:rsidRPr="00CC6A5C">
        <w:rPr>
          <w:rFonts w:ascii="Times New Roman" w:hAnsi="Times New Roman" w:cs="Times New Roman"/>
        </w:rPr>
        <w:lastRenderedPageBreak/>
        <w:t xml:space="preserve">O'Neill WW, De </w:t>
      </w:r>
      <w:proofErr w:type="spellStart"/>
      <w:r w:rsidRPr="00CC6A5C">
        <w:rPr>
          <w:rFonts w:ascii="Times New Roman" w:hAnsi="Times New Roman" w:cs="Times New Roman"/>
        </w:rPr>
        <w:t>Marchena</w:t>
      </w:r>
      <w:proofErr w:type="spellEnd"/>
      <w:r w:rsidRPr="00CC6A5C">
        <w:rPr>
          <w:rFonts w:ascii="Times New Roman" w:hAnsi="Times New Roman" w:cs="Times New Roman"/>
        </w:rPr>
        <w:t xml:space="preserve"> E, Schreiber T, </w:t>
      </w:r>
      <w:proofErr w:type="spellStart"/>
      <w:r w:rsidRPr="00CC6A5C">
        <w:rPr>
          <w:rFonts w:ascii="Times New Roman" w:hAnsi="Times New Roman" w:cs="Times New Roman"/>
        </w:rPr>
        <w:t>Grines</w:t>
      </w:r>
      <w:proofErr w:type="spellEnd"/>
      <w:r w:rsidRPr="00CC6A5C">
        <w:rPr>
          <w:rFonts w:ascii="Times New Roman" w:hAnsi="Times New Roman" w:cs="Times New Roman"/>
        </w:rPr>
        <w:t xml:space="preserve"> CL, </w:t>
      </w:r>
      <w:proofErr w:type="spellStart"/>
      <w:r w:rsidRPr="00CC6A5C">
        <w:rPr>
          <w:rFonts w:ascii="Times New Roman" w:hAnsi="Times New Roman" w:cs="Times New Roman"/>
        </w:rPr>
        <w:t>Rihal</w:t>
      </w:r>
      <w:proofErr w:type="spellEnd"/>
      <w:r w:rsidRPr="00CC6A5C">
        <w:rPr>
          <w:rFonts w:ascii="Times New Roman" w:hAnsi="Times New Roman" w:cs="Times New Roman"/>
        </w:rPr>
        <w:t xml:space="preserve"> CS and Cohen MG. Impact of annual operator and institutional volume on percutaneous coronary intervention outcomes: a 5-year United States experience (2005-2009). </w:t>
      </w:r>
      <w:r w:rsidRPr="00CC6A5C">
        <w:rPr>
          <w:rFonts w:ascii="Times New Roman" w:hAnsi="Times New Roman" w:cs="Times New Roman"/>
          <w:i/>
          <w:iCs/>
        </w:rPr>
        <w:t>Circulation</w:t>
      </w:r>
      <w:r w:rsidRPr="00CC6A5C">
        <w:rPr>
          <w:rFonts w:ascii="Times New Roman" w:hAnsi="Times New Roman" w:cs="Times New Roman"/>
        </w:rPr>
        <w:t xml:space="preserve"> </w:t>
      </w:r>
      <w:proofErr w:type="gramStart"/>
      <w:r w:rsidRPr="00CC6A5C">
        <w:rPr>
          <w:rFonts w:ascii="Times New Roman" w:hAnsi="Times New Roman" w:cs="Times New Roman"/>
        </w:rPr>
        <w:t>2014;130:1392</w:t>
      </w:r>
      <w:proofErr w:type="gramEnd"/>
      <w:r w:rsidRPr="00CC6A5C">
        <w:rPr>
          <w:rFonts w:ascii="Times New Roman" w:hAnsi="Times New Roman" w:cs="Times New Roman"/>
        </w:rPr>
        <w:t>-1406.</w:t>
      </w:r>
    </w:p>
    <w:p w14:paraId="044F3B76" w14:textId="2ABC9BE6"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CC6A5C">
        <w:rPr>
          <w:rFonts w:ascii="Times New Roman" w:hAnsi="Times New Roman" w:cs="Times New Roman"/>
        </w:rPr>
        <w:t xml:space="preserve">Singh V, Patel NJ, Rodriguez AP, </w:t>
      </w:r>
      <w:proofErr w:type="spellStart"/>
      <w:r w:rsidRPr="00CC6A5C">
        <w:rPr>
          <w:rFonts w:ascii="Times New Roman" w:hAnsi="Times New Roman" w:cs="Times New Roman"/>
        </w:rPr>
        <w:t>Shantha</w:t>
      </w:r>
      <w:proofErr w:type="spellEnd"/>
      <w:r w:rsidRPr="00CC6A5C">
        <w:rPr>
          <w:rFonts w:ascii="Times New Roman" w:hAnsi="Times New Roman" w:cs="Times New Roman"/>
        </w:rPr>
        <w:t xml:space="preserve"> G, Arora S, </w:t>
      </w:r>
      <w:proofErr w:type="spellStart"/>
      <w:r w:rsidRPr="00CC6A5C">
        <w:rPr>
          <w:rFonts w:ascii="Times New Roman" w:hAnsi="Times New Roman" w:cs="Times New Roman"/>
        </w:rPr>
        <w:t>Deshmukh</w:t>
      </w:r>
      <w:proofErr w:type="spellEnd"/>
      <w:r w:rsidRPr="00CC6A5C">
        <w:rPr>
          <w:rFonts w:ascii="Times New Roman" w:hAnsi="Times New Roman" w:cs="Times New Roman"/>
        </w:rPr>
        <w:t xml:space="preserve"> A, Cohen MG, </w:t>
      </w:r>
      <w:proofErr w:type="spellStart"/>
      <w:r w:rsidRPr="00CC6A5C">
        <w:rPr>
          <w:rFonts w:ascii="Times New Roman" w:hAnsi="Times New Roman" w:cs="Times New Roman"/>
        </w:rPr>
        <w:t>Grines</w:t>
      </w:r>
      <w:proofErr w:type="spellEnd"/>
      <w:r w:rsidRPr="00CC6A5C">
        <w:rPr>
          <w:rFonts w:ascii="Times New Roman" w:hAnsi="Times New Roman" w:cs="Times New Roman"/>
        </w:rPr>
        <w:t xml:space="preserve"> C, De </w:t>
      </w:r>
      <w:proofErr w:type="spellStart"/>
      <w:r w:rsidRPr="00CC6A5C">
        <w:rPr>
          <w:rFonts w:ascii="Times New Roman" w:hAnsi="Times New Roman" w:cs="Times New Roman"/>
        </w:rPr>
        <w:t>Marchena</w:t>
      </w:r>
      <w:proofErr w:type="spellEnd"/>
      <w:r w:rsidRPr="00CC6A5C">
        <w:rPr>
          <w:rFonts w:ascii="Times New Roman" w:hAnsi="Times New Roman" w:cs="Times New Roman"/>
        </w:rPr>
        <w:t xml:space="preserve"> E, </w:t>
      </w:r>
      <w:proofErr w:type="spellStart"/>
      <w:r w:rsidRPr="00CC6A5C">
        <w:rPr>
          <w:rFonts w:ascii="Times New Roman" w:hAnsi="Times New Roman" w:cs="Times New Roman"/>
        </w:rPr>
        <w:t>Badheka</w:t>
      </w:r>
      <w:proofErr w:type="spellEnd"/>
      <w:r w:rsidRPr="00CC6A5C">
        <w:rPr>
          <w:rFonts w:ascii="Times New Roman" w:hAnsi="Times New Roman" w:cs="Times New Roman"/>
        </w:rPr>
        <w:t xml:space="preserve"> A and </w:t>
      </w:r>
      <w:proofErr w:type="spellStart"/>
      <w:r w:rsidRPr="00CC6A5C">
        <w:rPr>
          <w:rFonts w:ascii="Times New Roman" w:hAnsi="Times New Roman" w:cs="Times New Roman"/>
        </w:rPr>
        <w:t>Ghatak</w:t>
      </w:r>
      <w:proofErr w:type="spellEnd"/>
      <w:r w:rsidRPr="00CC6A5C">
        <w:rPr>
          <w:rFonts w:ascii="Times New Roman" w:hAnsi="Times New Roman" w:cs="Times New Roman"/>
        </w:rPr>
        <w:t xml:space="preserve"> A. Percutaneous Coronary Intervention in Patients </w:t>
      </w:r>
      <w:proofErr w:type="gramStart"/>
      <w:r w:rsidRPr="00CC6A5C">
        <w:rPr>
          <w:rFonts w:ascii="Times New Roman" w:hAnsi="Times New Roman" w:cs="Times New Roman"/>
        </w:rPr>
        <w:t>With</w:t>
      </w:r>
      <w:proofErr w:type="gramEnd"/>
      <w:r w:rsidRPr="00CC6A5C">
        <w:rPr>
          <w:rFonts w:ascii="Times New Roman" w:hAnsi="Times New Roman" w:cs="Times New Roman"/>
        </w:rPr>
        <w:t xml:space="preserve"> End-Stage Liver Disease. </w:t>
      </w:r>
      <w:r w:rsidRPr="00CC6A5C">
        <w:rPr>
          <w:rFonts w:ascii="Times New Roman" w:hAnsi="Times New Roman" w:cs="Times New Roman"/>
          <w:i/>
          <w:iCs/>
        </w:rPr>
        <w:t xml:space="preserve">Am J </w:t>
      </w:r>
      <w:proofErr w:type="spellStart"/>
      <w:r w:rsidRPr="00CC6A5C">
        <w:rPr>
          <w:rFonts w:ascii="Times New Roman" w:hAnsi="Times New Roman" w:cs="Times New Roman"/>
          <w:i/>
          <w:iCs/>
        </w:rPr>
        <w:t>Cardiol</w:t>
      </w:r>
      <w:proofErr w:type="spellEnd"/>
      <w:r w:rsidRPr="00CC6A5C">
        <w:rPr>
          <w:rFonts w:ascii="Times New Roman" w:hAnsi="Times New Roman" w:cs="Times New Roman"/>
        </w:rPr>
        <w:t xml:space="preserve"> </w:t>
      </w:r>
      <w:proofErr w:type="gramStart"/>
      <w:r w:rsidRPr="00CC6A5C">
        <w:rPr>
          <w:rFonts w:ascii="Times New Roman" w:hAnsi="Times New Roman" w:cs="Times New Roman"/>
        </w:rPr>
        <w:t>2016;117:1729</w:t>
      </w:r>
      <w:proofErr w:type="gramEnd"/>
      <w:r w:rsidRPr="00CC6A5C">
        <w:rPr>
          <w:rFonts w:ascii="Times New Roman" w:hAnsi="Times New Roman" w:cs="Times New Roman"/>
        </w:rPr>
        <w:t>-1734.</w:t>
      </w:r>
    </w:p>
    <w:p w14:paraId="11EE40B3" w14:textId="77777777"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proofErr w:type="spellStart"/>
      <w:r w:rsidRPr="00CC6A5C">
        <w:rPr>
          <w:rFonts w:ascii="Times New Roman" w:hAnsi="Times New Roman" w:cs="Times New Roman"/>
        </w:rPr>
        <w:t>Kontopantelis</w:t>
      </w:r>
      <w:proofErr w:type="spellEnd"/>
      <w:r w:rsidRPr="00CC6A5C">
        <w:rPr>
          <w:rFonts w:ascii="Times New Roman" w:hAnsi="Times New Roman" w:cs="Times New Roman"/>
        </w:rPr>
        <w:t xml:space="preserve"> E, White IR, </w:t>
      </w:r>
      <w:proofErr w:type="spellStart"/>
      <w:r w:rsidRPr="00CC6A5C">
        <w:rPr>
          <w:rFonts w:ascii="Times New Roman" w:hAnsi="Times New Roman" w:cs="Times New Roman"/>
        </w:rPr>
        <w:t>Sperrin</w:t>
      </w:r>
      <w:proofErr w:type="spellEnd"/>
      <w:r w:rsidRPr="00CC6A5C">
        <w:rPr>
          <w:rFonts w:ascii="Times New Roman" w:hAnsi="Times New Roman" w:cs="Times New Roman"/>
        </w:rPr>
        <w:t xml:space="preserve"> M and Buchan I. Outcome-sensitive multiple imputation: a simulation study. </w:t>
      </w:r>
      <w:r w:rsidRPr="00CC6A5C">
        <w:rPr>
          <w:rFonts w:ascii="Times New Roman" w:hAnsi="Times New Roman" w:cs="Times New Roman"/>
          <w:i/>
          <w:iCs/>
        </w:rPr>
        <w:t xml:space="preserve">BMC Med Res </w:t>
      </w:r>
      <w:proofErr w:type="spellStart"/>
      <w:r w:rsidRPr="00CC6A5C">
        <w:rPr>
          <w:rFonts w:ascii="Times New Roman" w:hAnsi="Times New Roman" w:cs="Times New Roman"/>
          <w:i/>
          <w:iCs/>
        </w:rPr>
        <w:t>Methodol</w:t>
      </w:r>
      <w:proofErr w:type="spellEnd"/>
      <w:r w:rsidRPr="00CC6A5C">
        <w:rPr>
          <w:rFonts w:ascii="Times New Roman" w:hAnsi="Times New Roman" w:cs="Times New Roman"/>
        </w:rPr>
        <w:t xml:space="preserve"> </w:t>
      </w:r>
      <w:proofErr w:type="gramStart"/>
      <w:r w:rsidRPr="00CC6A5C">
        <w:rPr>
          <w:rFonts w:ascii="Times New Roman" w:hAnsi="Times New Roman" w:cs="Times New Roman"/>
        </w:rPr>
        <w:t>2017;17:2</w:t>
      </w:r>
      <w:proofErr w:type="gramEnd"/>
      <w:r w:rsidRPr="00CC6A5C">
        <w:rPr>
          <w:rFonts w:ascii="Times New Roman" w:hAnsi="Times New Roman" w:cs="Times New Roman"/>
        </w:rPr>
        <w:t>.</w:t>
      </w:r>
    </w:p>
    <w:p w14:paraId="671B7BB3" w14:textId="77777777"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CC6A5C">
        <w:rPr>
          <w:rFonts w:ascii="Times New Roman" w:hAnsi="Times New Roman" w:cs="Times New Roman"/>
        </w:rPr>
        <w:t xml:space="preserve">Rubin, D. B.  Multiple Imputation for Nonresponse in Surveys. New York: Wiley. 1987.  </w:t>
      </w:r>
    </w:p>
    <w:p w14:paraId="3BC1EEF0" w14:textId="7FA25E31"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proofErr w:type="spellStart"/>
      <w:r w:rsidRPr="00CC6A5C">
        <w:rPr>
          <w:rFonts w:ascii="Times New Roman" w:hAnsi="Times New Roman" w:cs="Times New Roman"/>
        </w:rPr>
        <w:t>Blumenfeld</w:t>
      </w:r>
      <w:proofErr w:type="spellEnd"/>
      <w:r w:rsidRPr="00CC6A5C">
        <w:rPr>
          <w:rFonts w:ascii="Times New Roman" w:hAnsi="Times New Roman" w:cs="Times New Roman"/>
        </w:rPr>
        <w:t xml:space="preserve"> O, </w:t>
      </w:r>
      <w:proofErr w:type="spellStart"/>
      <w:r w:rsidRPr="00CC6A5C">
        <w:rPr>
          <w:rFonts w:ascii="Times New Roman" w:hAnsi="Times New Roman" w:cs="Times New Roman"/>
        </w:rPr>
        <w:t>Na'amnih</w:t>
      </w:r>
      <w:proofErr w:type="spellEnd"/>
      <w:r w:rsidRPr="00CC6A5C">
        <w:rPr>
          <w:rFonts w:ascii="Times New Roman" w:hAnsi="Times New Roman" w:cs="Times New Roman"/>
        </w:rPr>
        <w:t xml:space="preserve"> W, </w:t>
      </w:r>
      <w:proofErr w:type="spellStart"/>
      <w:r w:rsidRPr="00CC6A5C">
        <w:rPr>
          <w:rFonts w:ascii="Times New Roman" w:hAnsi="Times New Roman" w:cs="Times New Roman"/>
        </w:rPr>
        <w:t>Shapira</w:t>
      </w:r>
      <w:proofErr w:type="spellEnd"/>
      <w:r w:rsidRPr="00CC6A5C">
        <w:rPr>
          <w:rFonts w:ascii="Times New Roman" w:hAnsi="Times New Roman" w:cs="Times New Roman"/>
        </w:rPr>
        <w:t xml:space="preserve">-Daniels A, </w:t>
      </w:r>
      <w:proofErr w:type="spellStart"/>
      <w:r w:rsidRPr="00CC6A5C">
        <w:rPr>
          <w:rFonts w:ascii="Times New Roman" w:hAnsi="Times New Roman" w:cs="Times New Roman"/>
        </w:rPr>
        <w:t>Lotan</w:t>
      </w:r>
      <w:proofErr w:type="spellEnd"/>
      <w:r w:rsidRPr="00CC6A5C">
        <w:rPr>
          <w:rFonts w:ascii="Times New Roman" w:hAnsi="Times New Roman" w:cs="Times New Roman"/>
        </w:rPr>
        <w:t xml:space="preserve"> C, </w:t>
      </w:r>
      <w:proofErr w:type="spellStart"/>
      <w:r w:rsidRPr="00CC6A5C">
        <w:rPr>
          <w:rFonts w:ascii="Times New Roman" w:hAnsi="Times New Roman" w:cs="Times New Roman"/>
        </w:rPr>
        <w:t>Shohat</w:t>
      </w:r>
      <w:proofErr w:type="spellEnd"/>
      <w:r w:rsidRPr="00CC6A5C">
        <w:rPr>
          <w:rFonts w:ascii="Times New Roman" w:hAnsi="Times New Roman" w:cs="Times New Roman"/>
        </w:rPr>
        <w:t xml:space="preserve"> T and </w:t>
      </w:r>
      <w:proofErr w:type="spellStart"/>
      <w:r w:rsidRPr="00CC6A5C">
        <w:rPr>
          <w:rFonts w:ascii="Times New Roman" w:hAnsi="Times New Roman" w:cs="Times New Roman"/>
        </w:rPr>
        <w:t>Shapira</w:t>
      </w:r>
      <w:proofErr w:type="spellEnd"/>
      <w:r w:rsidRPr="00CC6A5C">
        <w:rPr>
          <w:rFonts w:ascii="Times New Roman" w:hAnsi="Times New Roman" w:cs="Times New Roman"/>
        </w:rPr>
        <w:t xml:space="preserve"> OM. Trends in Coronary Revascularization and Ischemic Heart Disease-Related Mortality in Israel. </w:t>
      </w:r>
      <w:r w:rsidRPr="00CC6A5C">
        <w:rPr>
          <w:rFonts w:ascii="Times New Roman" w:hAnsi="Times New Roman" w:cs="Times New Roman"/>
          <w:i/>
          <w:iCs/>
        </w:rPr>
        <w:t>J</w:t>
      </w:r>
      <w:r w:rsidR="00CC6A5C">
        <w:rPr>
          <w:rFonts w:ascii="Times New Roman" w:hAnsi="Times New Roman" w:cs="Times New Roman"/>
          <w:i/>
          <w:iCs/>
        </w:rPr>
        <w:t xml:space="preserve"> Am Heart </w:t>
      </w:r>
      <w:proofErr w:type="spellStart"/>
      <w:r w:rsidR="00CC6A5C" w:rsidRPr="006650D5">
        <w:rPr>
          <w:rFonts w:ascii="Times New Roman" w:hAnsi="Times New Roman" w:cs="Times New Roman"/>
          <w:i/>
          <w:iCs/>
        </w:rPr>
        <w:t>Assoc</w:t>
      </w:r>
      <w:proofErr w:type="spellEnd"/>
      <w:r w:rsidR="006650D5" w:rsidRPr="006650D5">
        <w:rPr>
          <w:rFonts w:ascii="Times New Roman" w:hAnsi="Times New Roman" w:cs="Times New Roman"/>
        </w:rPr>
        <w:t xml:space="preserve"> 2017;6</w:t>
      </w:r>
      <w:r w:rsidR="006650D5" w:rsidRPr="006650D5">
        <w:rPr>
          <w:rFonts w:ascii="Times New Roman" w:hAnsi="Times New Roman" w:cs="Times New Roman"/>
          <w:color w:val="000000"/>
          <w:shd w:val="clear" w:color="auto" w:fill="FFFFFF"/>
        </w:rPr>
        <w:t xml:space="preserve"> (2): e004734</w:t>
      </w:r>
    </w:p>
    <w:p w14:paraId="301B8654" w14:textId="60463BCF"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CC6A5C">
        <w:rPr>
          <w:rFonts w:ascii="Times New Roman" w:hAnsi="Times New Roman" w:cs="Times New Roman"/>
        </w:rPr>
        <w:t xml:space="preserve">Zheng X, Curtis JP, Hu S, Wang Y, Yang Y, </w:t>
      </w:r>
      <w:proofErr w:type="spellStart"/>
      <w:r w:rsidRPr="00CC6A5C">
        <w:rPr>
          <w:rFonts w:ascii="Times New Roman" w:hAnsi="Times New Roman" w:cs="Times New Roman"/>
        </w:rPr>
        <w:t>Masoudi</w:t>
      </w:r>
      <w:proofErr w:type="spellEnd"/>
      <w:r w:rsidRPr="00CC6A5C">
        <w:rPr>
          <w:rFonts w:ascii="Times New Roman" w:hAnsi="Times New Roman" w:cs="Times New Roman"/>
        </w:rPr>
        <w:t xml:space="preserve"> FA, </w:t>
      </w:r>
      <w:proofErr w:type="spellStart"/>
      <w:r w:rsidRPr="00CC6A5C">
        <w:rPr>
          <w:rFonts w:ascii="Times New Roman" w:hAnsi="Times New Roman" w:cs="Times New Roman"/>
        </w:rPr>
        <w:t>Spertus</w:t>
      </w:r>
      <w:proofErr w:type="spellEnd"/>
      <w:r w:rsidRPr="00CC6A5C">
        <w:rPr>
          <w:rFonts w:ascii="Times New Roman" w:hAnsi="Times New Roman" w:cs="Times New Roman"/>
        </w:rPr>
        <w:t xml:space="preserve"> JA, Li X, Li J, </w:t>
      </w:r>
      <w:proofErr w:type="spellStart"/>
      <w:r w:rsidRPr="00CC6A5C">
        <w:rPr>
          <w:rFonts w:ascii="Times New Roman" w:hAnsi="Times New Roman" w:cs="Times New Roman"/>
        </w:rPr>
        <w:t>Dharmarajan</w:t>
      </w:r>
      <w:proofErr w:type="spellEnd"/>
      <w:r w:rsidRPr="00CC6A5C">
        <w:rPr>
          <w:rFonts w:ascii="Times New Roman" w:hAnsi="Times New Roman" w:cs="Times New Roman"/>
        </w:rPr>
        <w:t xml:space="preserve"> K, Downing NS, </w:t>
      </w:r>
      <w:proofErr w:type="spellStart"/>
      <w:r w:rsidRPr="00CC6A5C">
        <w:rPr>
          <w:rFonts w:ascii="Times New Roman" w:hAnsi="Times New Roman" w:cs="Times New Roman"/>
        </w:rPr>
        <w:t>Krumholz</w:t>
      </w:r>
      <w:proofErr w:type="spellEnd"/>
      <w:r w:rsidRPr="00CC6A5C">
        <w:rPr>
          <w:rFonts w:ascii="Times New Roman" w:hAnsi="Times New Roman" w:cs="Times New Roman"/>
        </w:rPr>
        <w:t xml:space="preserve"> HM, Jiang L and China PCG. Coronary Catheterization and Percutaneous Coronary Intervention in China: 10-Year Results </w:t>
      </w:r>
      <w:proofErr w:type="gramStart"/>
      <w:r w:rsidRPr="00CC6A5C">
        <w:rPr>
          <w:rFonts w:ascii="Times New Roman" w:hAnsi="Times New Roman" w:cs="Times New Roman"/>
        </w:rPr>
        <w:t>From</w:t>
      </w:r>
      <w:proofErr w:type="gramEnd"/>
      <w:r w:rsidRPr="00CC6A5C">
        <w:rPr>
          <w:rFonts w:ascii="Times New Roman" w:hAnsi="Times New Roman" w:cs="Times New Roman"/>
        </w:rPr>
        <w:t xml:space="preserve"> the China PEACE-Retrospective </w:t>
      </w:r>
      <w:proofErr w:type="spellStart"/>
      <w:r w:rsidRPr="00CC6A5C">
        <w:rPr>
          <w:rFonts w:ascii="Times New Roman" w:hAnsi="Times New Roman" w:cs="Times New Roman"/>
        </w:rPr>
        <w:t>CathPCI</w:t>
      </w:r>
      <w:proofErr w:type="spellEnd"/>
      <w:r w:rsidRPr="00CC6A5C">
        <w:rPr>
          <w:rFonts w:ascii="Times New Roman" w:hAnsi="Times New Roman" w:cs="Times New Roman"/>
        </w:rPr>
        <w:t xml:space="preserve"> Study. </w:t>
      </w:r>
      <w:r w:rsidRPr="00CC6A5C">
        <w:rPr>
          <w:rFonts w:ascii="Times New Roman" w:hAnsi="Times New Roman" w:cs="Times New Roman"/>
          <w:i/>
          <w:iCs/>
        </w:rPr>
        <w:t>JAMA Intern Med</w:t>
      </w:r>
      <w:r w:rsidRPr="00CC6A5C">
        <w:rPr>
          <w:rFonts w:ascii="Times New Roman" w:hAnsi="Times New Roman" w:cs="Times New Roman"/>
        </w:rPr>
        <w:t xml:space="preserve"> </w:t>
      </w:r>
      <w:proofErr w:type="gramStart"/>
      <w:r w:rsidRPr="00CC6A5C">
        <w:rPr>
          <w:rFonts w:ascii="Times New Roman" w:hAnsi="Times New Roman" w:cs="Times New Roman"/>
        </w:rPr>
        <w:t>2016;176:512</w:t>
      </w:r>
      <w:proofErr w:type="gramEnd"/>
      <w:r w:rsidRPr="00CC6A5C">
        <w:rPr>
          <w:rFonts w:ascii="Times New Roman" w:hAnsi="Times New Roman" w:cs="Times New Roman"/>
        </w:rPr>
        <w:t>-521.</w:t>
      </w:r>
    </w:p>
    <w:p w14:paraId="123711E7" w14:textId="33550328"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CC6A5C">
        <w:rPr>
          <w:rFonts w:ascii="Times New Roman" w:hAnsi="Times New Roman" w:cs="Times New Roman"/>
        </w:rPr>
        <w:t xml:space="preserve">Mamas MA, Nolan J, de </w:t>
      </w:r>
      <w:proofErr w:type="spellStart"/>
      <w:r w:rsidRPr="00CC6A5C">
        <w:rPr>
          <w:rFonts w:ascii="Times New Roman" w:hAnsi="Times New Roman" w:cs="Times New Roman"/>
        </w:rPr>
        <w:t>Belder</w:t>
      </w:r>
      <w:proofErr w:type="spellEnd"/>
      <w:r w:rsidRPr="00CC6A5C">
        <w:rPr>
          <w:rFonts w:ascii="Times New Roman" w:hAnsi="Times New Roman" w:cs="Times New Roman"/>
        </w:rPr>
        <w:t xml:space="preserve"> MA, Zaman A, Kinnaird T, </w:t>
      </w:r>
      <w:proofErr w:type="spellStart"/>
      <w:r w:rsidRPr="00CC6A5C">
        <w:rPr>
          <w:rFonts w:ascii="Times New Roman" w:hAnsi="Times New Roman" w:cs="Times New Roman"/>
        </w:rPr>
        <w:t>Curzen</w:t>
      </w:r>
      <w:proofErr w:type="spellEnd"/>
      <w:r w:rsidRPr="00CC6A5C">
        <w:rPr>
          <w:rFonts w:ascii="Times New Roman" w:hAnsi="Times New Roman" w:cs="Times New Roman"/>
        </w:rPr>
        <w:t xml:space="preserve"> N, Kwok CS, Buchan I, </w:t>
      </w:r>
      <w:proofErr w:type="spellStart"/>
      <w:r w:rsidRPr="00CC6A5C">
        <w:rPr>
          <w:rFonts w:ascii="Times New Roman" w:hAnsi="Times New Roman" w:cs="Times New Roman"/>
        </w:rPr>
        <w:t>Ludman</w:t>
      </w:r>
      <w:proofErr w:type="spellEnd"/>
      <w:r w:rsidRPr="00CC6A5C">
        <w:rPr>
          <w:rFonts w:ascii="Times New Roman" w:hAnsi="Times New Roman" w:cs="Times New Roman"/>
        </w:rPr>
        <w:t xml:space="preserve"> P, </w:t>
      </w:r>
      <w:proofErr w:type="spellStart"/>
      <w:r w:rsidRPr="00CC6A5C">
        <w:rPr>
          <w:rFonts w:ascii="Times New Roman" w:hAnsi="Times New Roman" w:cs="Times New Roman"/>
        </w:rPr>
        <w:t>Kontopantelis</w:t>
      </w:r>
      <w:proofErr w:type="spellEnd"/>
      <w:r w:rsidRPr="00CC6A5C">
        <w:rPr>
          <w:rFonts w:ascii="Times New Roman" w:hAnsi="Times New Roman" w:cs="Times New Roman"/>
        </w:rPr>
        <w:t xml:space="preserve"> E, British Cardiovascular Intervention S and the National Institute for Clinical Outcomes R. Changes in Arterial Access Site and Association </w:t>
      </w:r>
      <w:proofErr w:type="gramStart"/>
      <w:r w:rsidRPr="00CC6A5C">
        <w:rPr>
          <w:rFonts w:ascii="Times New Roman" w:hAnsi="Times New Roman" w:cs="Times New Roman"/>
        </w:rPr>
        <w:t>With</w:t>
      </w:r>
      <w:proofErr w:type="gramEnd"/>
      <w:r w:rsidRPr="00CC6A5C">
        <w:rPr>
          <w:rFonts w:ascii="Times New Roman" w:hAnsi="Times New Roman" w:cs="Times New Roman"/>
        </w:rPr>
        <w:t xml:space="preserve"> Mortality in the United Kingdom: Observations From a National Percutaneous Coronary Intervention Database. </w:t>
      </w:r>
      <w:r w:rsidRPr="00CC6A5C">
        <w:rPr>
          <w:rFonts w:ascii="Times New Roman" w:hAnsi="Times New Roman" w:cs="Times New Roman"/>
          <w:i/>
          <w:iCs/>
        </w:rPr>
        <w:t>Circulation</w:t>
      </w:r>
      <w:r w:rsidRPr="00CC6A5C">
        <w:rPr>
          <w:rFonts w:ascii="Times New Roman" w:hAnsi="Times New Roman" w:cs="Times New Roman"/>
        </w:rPr>
        <w:t xml:space="preserve"> </w:t>
      </w:r>
      <w:proofErr w:type="gramStart"/>
      <w:r w:rsidRPr="00CC6A5C">
        <w:rPr>
          <w:rFonts w:ascii="Times New Roman" w:hAnsi="Times New Roman" w:cs="Times New Roman"/>
        </w:rPr>
        <w:t>2016;133:1655</w:t>
      </w:r>
      <w:proofErr w:type="gramEnd"/>
      <w:r w:rsidRPr="00CC6A5C">
        <w:rPr>
          <w:rFonts w:ascii="Times New Roman" w:hAnsi="Times New Roman" w:cs="Times New Roman"/>
        </w:rPr>
        <w:t>-</w:t>
      </w:r>
      <w:r w:rsidR="00CC6A5C">
        <w:rPr>
          <w:rFonts w:ascii="Times New Roman" w:hAnsi="Times New Roman" w:cs="Times New Roman"/>
        </w:rPr>
        <w:t>16</w:t>
      </w:r>
      <w:r w:rsidRPr="00CC6A5C">
        <w:rPr>
          <w:rFonts w:ascii="Times New Roman" w:hAnsi="Times New Roman" w:cs="Times New Roman"/>
        </w:rPr>
        <w:t>67.</w:t>
      </w:r>
    </w:p>
    <w:p w14:paraId="4C651C22" w14:textId="77777777"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CC6A5C">
        <w:rPr>
          <w:rFonts w:ascii="Times New Roman" w:hAnsi="Times New Roman" w:cs="Times New Roman"/>
        </w:rPr>
        <w:t xml:space="preserve">Choi YJ, Kim JB, Cho SJ, Cho J, </w:t>
      </w:r>
      <w:proofErr w:type="spellStart"/>
      <w:r w:rsidRPr="00CC6A5C">
        <w:rPr>
          <w:rFonts w:ascii="Times New Roman" w:hAnsi="Times New Roman" w:cs="Times New Roman"/>
        </w:rPr>
        <w:t>Sohn</w:t>
      </w:r>
      <w:proofErr w:type="spellEnd"/>
      <w:r w:rsidRPr="00CC6A5C">
        <w:rPr>
          <w:rFonts w:ascii="Times New Roman" w:hAnsi="Times New Roman" w:cs="Times New Roman"/>
        </w:rPr>
        <w:t xml:space="preserve"> J, Cho SK, Ha KH and Kim C. Changes in the Practice of Coronary Revascularization between 2006 and 2010 in the Republic of Korea. </w:t>
      </w:r>
      <w:proofErr w:type="spellStart"/>
      <w:r w:rsidRPr="00CC6A5C">
        <w:rPr>
          <w:rFonts w:ascii="Times New Roman" w:hAnsi="Times New Roman" w:cs="Times New Roman"/>
          <w:i/>
          <w:iCs/>
        </w:rPr>
        <w:t>Yonsei</w:t>
      </w:r>
      <w:proofErr w:type="spellEnd"/>
      <w:r w:rsidRPr="00CC6A5C">
        <w:rPr>
          <w:rFonts w:ascii="Times New Roman" w:hAnsi="Times New Roman" w:cs="Times New Roman"/>
          <w:i/>
          <w:iCs/>
        </w:rPr>
        <w:t xml:space="preserve"> Med J</w:t>
      </w:r>
      <w:r w:rsidRPr="00CC6A5C">
        <w:rPr>
          <w:rFonts w:ascii="Times New Roman" w:hAnsi="Times New Roman" w:cs="Times New Roman"/>
        </w:rPr>
        <w:t xml:space="preserve"> </w:t>
      </w:r>
      <w:proofErr w:type="gramStart"/>
      <w:r w:rsidRPr="00CC6A5C">
        <w:rPr>
          <w:rFonts w:ascii="Times New Roman" w:hAnsi="Times New Roman" w:cs="Times New Roman"/>
        </w:rPr>
        <w:t>2015;56:895</w:t>
      </w:r>
      <w:proofErr w:type="gramEnd"/>
      <w:r w:rsidRPr="00CC6A5C">
        <w:rPr>
          <w:rFonts w:ascii="Times New Roman" w:hAnsi="Times New Roman" w:cs="Times New Roman"/>
        </w:rPr>
        <w:t>-903.</w:t>
      </w:r>
    </w:p>
    <w:p w14:paraId="65E468A2" w14:textId="77777777"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CC6A5C">
        <w:rPr>
          <w:rFonts w:ascii="Times New Roman" w:hAnsi="Times New Roman" w:cs="Times New Roman"/>
        </w:rPr>
        <w:t xml:space="preserve">McAllister KS, </w:t>
      </w:r>
      <w:proofErr w:type="spellStart"/>
      <w:r w:rsidRPr="00CC6A5C">
        <w:rPr>
          <w:rFonts w:ascii="Times New Roman" w:hAnsi="Times New Roman" w:cs="Times New Roman"/>
        </w:rPr>
        <w:t>Ludman</w:t>
      </w:r>
      <w:proofErr w:type="spellEnd"/>
      <w:r w:rsidRPr="00CC6A5C">
        <w:rPr>
          <w:rFonts w:ascii="Times New Roman" w:hAnsi="Times New Roman" w:cs="Times New Roman"/>
        </w:rPr>
        <w:t xml:space="preserve"> PF, Hulme W, de </w:t>
      </w:r>
      <w:proofErr w:type="spellStart"/>
      <w:r w:rsidRPr="00CC6A5C">
        <w:rPr>
          <w:rFonts w:ascii="Times New Roman" w:hAnsi="Times New Roman" w:cs="Times New Roman"/>
        </w:rPr>
        <w:t>Belder</w:t>
      </w:r>
      <w:proofErr w:type="spellEnd"/>
      <w:r w:rsidRPr="00CC6A5C">
        <w:rPr>
          <w:rFonts w:ascii="Times New Roman" w:hAnsi="Times New Roman" w:cs="Times New Roman"/>
        </w:rPr>
        <w:t xml:space="preserve"> MA, Stables R, </w:t>
      </w:r>
      <w:proofErr w:type="spellStart"/>
      <w:r w:rsidRPr="00CC6A5C">
        <w:rPr>
          <w:rFonts w:ascii="Times New Roman" w:hAnsi="Times New Roman" w:cs="Times New Roman"/>
        </w:rPr>
        <w:t>Chowdhary</w:t>
      </w:r>
      <w:proofErr w:type="spellEnd"/>
      <w:r w:rsidRPr="00CC6A5C">
        <w:rPr>
          <w:rFonts w:ascii="Times New Roman" w:hAnsi="Times New Roman" w:cs="Times New Roman"/>
        </w:rPr>
        <w:t xml:space="preserve"> S, Mamas MA, </w:t>
      </w:r>
      <w:proofErr w:type="spellStart"/>
      <w:r w:rsidRPr="00CC6A5C">
        <w:rPr>
          <w:rFonts w:ascii="Times New Roman" w:hAnsi="Times New Roman" w:cs="Times New Roman"/>
        </w:rPr>
        <w:t>Sperrin</w:t>
      </w:r>
      <w:proofErr w:type="spellEnd"/>
      <w:r w:rsidRPr="00CC6A5C">
        <w:rPr>
          <w:rFonts w:ascii="Times New Roman" w:hAnsi="Times New Roman" w:cs="Times New Roman"/>
        </w:rPr>
        <w:t xml:space="preserve"> M, Buchan IE, British Cardiovascular Intervention S and the National Institute for Cardiovascular Outcomes R. A contemporary risk model for predicting 30-day mortality following percutaneous coronary intervention in England and Wales. </w:t>
      </w:r>
      <w:proofErr w:type="spellStart"/>
      <w:r w:rsidRPr="00CC6A5C">
        <w:rPr>
          <w:rFonts w:ascii="Times New Roman" w:hAnsi="Times New Roman" w:cs="Times New Roman"/>
          <w:i/>
          <w:iCs/>
        </w:rPr>
        <w:t>Int</w:t>
      </w:r>
      <w:proofErr w:type="spellEnd"/>
      <w:r w:rsidRPr="00CC6A5C">
        <w:rPr>
          <w:rFonts w:ascii="Times New Roman" w:hAnsi="Times New Roman" w:cs="Times New Roman"/>
          <w:i/>
          <w:iCs/>
        </w:rPr>
        <w:t xml:space="preserve"> J </w:t>
      </w:r>
      <w:proofErr w:type="spellStart"/>
      <w:r w:rsidRPr="00CC6A5C">
        <w:rPr>
          <w:rFonts w:ascii="Times New Roman" w:hAnsi="Times New Roman" w:cs="Times New Roman"/>
          <w:i/>
          <w:iCs/>
        </w:rPr>
        <w:t>Cardiol</w:t>
      </w:r>
      <w:proofErr w:type="spellEnd"/>
      <w:r w:rsidRPr="00CC6A5C">
        <w:rPr>
          <w:rFonts w:ascii="Times New Roman" w:hAnsi="Times New Roman" w:cs="Times New Roman"/>
        </w:rPr>
        <w:t xml:space="preserve"> </w:t>
      </w:r>
      <w:proofErr w:type="gramStart"/>
      <w:r w:rsidRPr="00CC6A5C">
        <w:rPr>
          <w:rFonts w:ascii="Times New Roman" w:hAnsi="Times New Roman" w:cs="Times New Roman"/>
        </w:rPr>
        <w:t>2016;210:125</w:t>
      </w:r>
      <w:proofErr w:type="gramEnd"/>
      <w:r w:rsidRPr="00CC6A5C">
        <w:rPr>
          <w:rFonts w:ascii="Times New Roman" w:hAnsi="Times New Roman" w:cs="Times New Roman"/>
        </w:rPr>
        <w:t>-132.</w:t>
      </w:r>
    </w:p>
    <w:p w14:paraId="795D30A4" w14:textId="64163C59"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CC6A5C">
        <w:rPr>
          <w:rFonts w:ascii="Times New Roman" w:hAnsi="Times New Roman" w:cs="Times New Roman"/>
        </w:rPr>
        <w:t xml:space="preserve">Brennan JM, Curtis JP, Dai D, Fitzgerald S, </w:t>
      </w:r>
      <w:proofErr w:type="spellStart"/>
      <w:r w:rsidRPr="00CC6A5C">
        <w:rPr>
          <w:rFonts w:ascii="Times New Roman" w:hAnsi="Times New Roman" w:cs="Times New Roman"/>
        </w:rPr>
        <w:t>Khandelwal</w:t>
      </w:r>
      <w:proofErr w:type="spellEnd"/>
      <w:r w:rsidRPr="00CC6A5C">
        <w:rPr>
          <w:rFonts w:ascii="Times New Roman" w:hAnsi="Times New Roman" w:cs="Times New Roman"/>
        </w:rPr>
        <w:t xml:space="preserve"> AK, </w:t>
      </w:r>
      <w:proofErr w:type="spellStart"/>
      <w:r w:rsidRPr="00CC6A5C">
        <w:rPr>
          <w:rFonts w:ascii="Times New Roman" w:hAnsi="Times New Roman" w:cs="Times New Roman"/>
        </w:rPr>
        <w:t>Spertus</w:t>
      </w:r>
      <w:proofErr w:type="spellEnd"/>
      <w:r w:rsidRPr="00CC6A5C">
        <w:rPr>
          <w:rFonts w:ascii="Times New Roman" w:hAnsi="Times New Roman" w:cs="Times New Roman"/>
        </w:rPr>
        <w:t xml:space="preserve"> JA, Rao SV, Singh M, Shaw RE, </w:t>
      </w:r>
      <w:proofErr w:type="spellStart"/>
      <w:r w:rsidRPr="00CC6A5C">
        <w:rPr>
          <w:rFonts w:ascii="Times New Roman" w:hAnsi="Times New Roman" w:cs="Times New Roman"/>
        </w:rPr>
        <w:t>Ho</w:t>
      </w:r>
      <w:proofErr w:type="spellEnd"/>
      <w:r w:rsidRPr="00CC6A5C">
        <w:rPr>
          <w:rFonts w:ascii="Times New Roman" w:hAnsi="Times New Roman" w:cs="Times New Roman"/>
        </w:rPr>
        <w:t xml:space="preserve"> KK, Krone RJ, Weintraub WS, Weaver WD, Peterson ED and National Cardiovascular Data R. Enhanced mortality risk prediction with a focus on high-risk percutaneous coronary intervention: results from 1,208,137 procedures in the NCDR (National Cardiovascular Data Registry). </w:t>
      </w:r>
      <w:r w:rsidRPr="00CC6A5C">
        <w:rPr>
          <w:rFonts w:ascii="Times New Roman" w:hAnsi="Times New Roman" w:cs="Times New Roman"/>
          <w:i/>
          <w:iCs/>
        </w:rPr>
        <w:t xml:space="preserve">JACC </w:t>
      </w:r>
      <w:proofErr w:type="spellStart"/>
      <w:r w:rsidRPr="00CC6A5C">
        <w:rPr>
          <w:rFonts w:ascii="Times New Roman" w:hAnsi="Times New Roman" w:cs="Times New Roman"/>
          <w:i/>
          <w:iCs/>
        </w:rPr>
        <w:t>Cardiovasc</w:t>
      </w:r>
      <w:proofErr w:type="spellEnd"/>
      <w:r w:rsidRPr="00CC6A5C">
        <w:rPr>
          <w:rFonts w:ascii="Times New Roman" w:hAnsi="Times New Roman" w:cs="Times New Roman"/>
          <w:i/>
          <w:iCs/>
        </w:rPr>
        <w:t xml:space="preserve"> </w:t>
      </w:r>
      <w:proofErr w:type="spellStart"/>
      <w:r w:rsidRPr="00CC6A5C">
        <w:rPr>
          <w:rFonts w:ascii="Times New Roman" w:hAnsi="Times New Roman" w:cs="Times New Roman"/>
          <w:i/>
          <w:iCs/>
        </w:rPr>
        <w:t>Interv</w:t>
      </w:r>
      <w:proofErr w:type="spellEnd"/>
      <w:r w:rsidRPr="00CC6A5C">
        <w:rPr>
          <w:rFonts w:ascii="Times New Roman" w:hAnsi="Times New Roman" w:cs="Times New Roman"/>
        </w:rPr>
        <w:t xml:space="preserve"> </w:t>
      </w:r>
      <w:proofErr w:type="gramStart"/>
      <w:r w:rsidRPr="00CC6A5C">
        <w:rPr>
          <w:rFonts w:ascii="Times New Roman" w:hAnsi="Times New Roman" w:cs="Times New Roman"/>
        </w:rPr>
        <w:t>2013;6:790</w:t>
      </w:r>
      <w:proofErr w:type="gramEnd"/>
      <w:r w:rsidRPr="00CC6A5C">
        <w:rPr>
          <w:rFonts w:ascii="Times New Roman" w:hAnsi="Times New Roman" w:cs="Times New Roman"/>
        </w:rPr>
        <w:t>-799.</w:t>
      </w:r>
    </w:p>
    <w:p w14:paraId="75AF86B4" w14:textId="77777777" w:rsidR="00CC6A5C" w:rsidRDefault="00617424" w:rsidP="00B05470">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CC6A5C">
        <w:rPr>
          <w:rFonts w:ascii="Times New Roman" w:hAnsi="Times New Roman" w:cs="Times New Roman"/>
        </w:rPr>
        <w:t xml:space="preserve">Mehran R, </w:t>
      </w:r>
      <w:proofErr w:type="spellStart"/>
      <w:r w:rsidRPr="00CC6A5C">
        <w:rPr>
          <w:rFonts w:ascii="Times New Roman" w:hAnsi="Times New Roman" w:cs="Times New Roman"/>
        </w:rPr>
        <w:t>Aymong</w:t>
      </w:r>
      <w:proofErr w:type="spellEnd"/>
      <w:r w:rsidRPr="00CC6A5C">
        <w:rPr>
          <w:rFonts w:ascii="Times New Roman" w:hAnsi="Times New Roman" w:cs="Times New Roman"/>
        </w:rPr>
        <w:t xml:space="preserve"> ED, </w:t>
      </w:r>
      <w:proofErr w:type="spellStart"/>
      <w:r w:rsidRPr="00CC6A5C">
        <w:rPr>
          <w:rFonts w:ascii="Times New Roman" w:hAnsi="Times New Roman" w:cs="Times New Roman"/>
        </w:rPr>
        <w:t>Nikolsky</w:t>
      </w:r>
      <w:proofErr w:type="spellEnd"/>
      <w:r w:rsidRPr="00CC6A5C">
        <w:rPr>
          <w:rFonts w:ascii="Times New Roman" w:hAnsi="Times New Roman" w:cs="Times New Roman"/>
        </w:rPr>
        <w:t xml:space="preserve"> E, </w:t>
      </w:r>
      <w:proofErr w:type="spellStart"/>
      <w:r w:rsidRPr="00CC6A5C">
        <w:rPr>
          <w:rFonts w:ascii="Times New Roman" w:hAnsi="Times New Roman" w:cs="Times New Roman"/>
        </w:rPr>
        <w:t>Lasic</w:t>
      </w:r>
      <w:proofErr w:type="spellEnd"/>
      <w:r w:rsidRPr="00CC6A5C">
        <w:rPr>
          <w:rFonts w:ascii="Times New Roman" w:hAnsi="Times New Roman" w:cs="Times New Roman"/>
        </w:rPr>
        <w:t xml:space="preserve"> Z, </w:t>
      </w:r>
      <w:proofErr w:type="spellStart"/>
      <w:r w:rsidRPr="00CC6A5C">
        <w:rPr>
          <w:rFonts w:ascii="Times New Roman" w:hAnsi="Times New Roman" w:cs="Times New Roman"/>
        </w:rPr>
        <w:t>Iakovou</w:t>
      </w:r>
      <w:proofErr w:type="spellEnd"/>
      <w:r w:rsidRPr="00CC6A5C">
        <w:rPr>
          <w:rFonts w:ascii="Times New Roman" w:hAnsi="Times New Roman" w:cs="Times New Roman"/>
        </w:rPr>
        <w:t xml:space="preserve"> I, </w:t>
      </w:r>
      <w:proofErr w:type="spellStart"/>
      <w:r w:rsidRPr="00CC6A5C">
        <w:rPr>
          <w:rFonts w:ascii="Times New Roman" w:hAnsi="Times New Roman" w:cs="Times New Roman"/>
        </w:rPr>
        <w:t>Fahy</w:t>
      </w:r>
      <w:proofErr w:type="spellEnd"/>
      <w:r w:rsidRPr="00CC6A5C">
        <w:rPr>
          <w:rFonts w:ascii="Times New Roman" w:hAnsi="Times New Roman" w:cs="Times New Roman"/>
        </w:rPr>
        <w:t xml:space="preserve"> M, </w:t>
      </w:r>
      <w:proofErr w:type="spellStart"/>
      <w:r w:rsidRPr="00CC6A5C">
        <w:rPr>
          <w:rFonts w:ascii="Times New Roman" w:hAnsi="Times New Roman" w:cs="Times New Roman"/>
        </w:rPr>
        <w:t>Mintz</w:t>
      </w:r>
      <w:proofErr w:type="spellEnd"/>
      <w:r w:rsidRPr="00CC6A5C">
        <w:rPr>
          <w:rFonts w:ascii="Times New Roman" w:hAnsi="Times New Roman" w:cs="Times New Roman"/>
        </w:rPr>
        <w:t xml:space="preserve"> GS, Lansky AJ, Moses JW, Stone GW, Leon MB and </w:t>
      </w:r>
      <w:proofErr w:type="spellStart"/>
      <w:r w:rsidRPr="00CC6A5C">
        <w:rPr>
          <w:rFonts w:ascii="Times New Roman" w:hAnsi="Times New Roman" w:cs="Times New Roman"/>
        </w:rPr>
        <w:t>Dangas</w:t>
      </w:r>
      <w:proofErr w:type="spellEnd"/>
      <w:r w:rsidRPr="00CC6A5C">
        <w:rPr>
          <w:rFonts w:ascii="Times New Roman" w:hAnsi="Times New Roman" w:cs="Times New Roman"/>
        </w:rPr>
        <w:t xml:space="preserve"> G. A simple risk score for prediction of contrast-induced nephropathy after percutaneous coronary intervention: development and initial validation. </w:t>
      </w:r>
      <w:r w:rsidRPr="00CC6A5C">
        <w:rPr>
          <w:rFonts w:ascii="Times New Roman" w:hAnsi="Times New Roman" w:cs="Times New Roman"/>
          <w:i/>
          <w:iCs/>
        </w:rPr>
        <w:t xml:space="preserve">J Am </w:t>
      </w:r>
      <w:proofErr w:type="spellStart"/>
      <w:r w:rsidRPr="00CC6A5C">
        <w:rPr>
          <w:rFonts w:ascii="Times New Roman" w:hAnsi="Times New Roman" w:cs="Times New Roman"/>
          <w:i/>
          <w:iCs/>
        </w:rPr>
        <w:t>Coll</w:t>
      </w:r>
      <w:proofErr w:type="spellEnd"/>
      <w:r w:rsidRPr="00CC6A5C">
        <w:rPr>
          <w:rFonts w:ascii="Times New Roman" w:hAnsi="Times New Roman" w:cs="Times New Roman"/>
          <w:i/>
          <w:iCs/>
        </w:rPr>
        <w:t xml:space="preserve"> </w:t>
      </w:r>
      <w:proofErr w:type="spellStart"/>
      <w:r w:rsidRPr="00CC6A5C">
        <w:rPr>
          <w:rFonts w:ascii="Times New Roman" w:hAnsi="Times New Roman" w:cs="Times New Roman"/>
          <w:i/>
          <w:iCs/>
        </w:rPr>
        <w:t>Cardiol</w:t>
      </w:r>
      <w:proofErr w:type="spellEnd"/>
      <w:r w:rsidRPr="00CC6A5C">
        <w:rPr>
          <w:rFonts w:ascii="Times New Roman" w:hAnsi="Times New Roman" w:cs="Times New Roman"/>
        </w:rPr>
        <w:t xml:space="preserve"> </w:t>
      </w:r>
      <w:proofErr w:type="gramStart"/>
      <w:r w:rsidRPr="00CC6A5C">
        <w:rPr>
          <w:rFonts w:ascii="Times New Roman" w:hAnsi="Times New Roman" w:cs="Times New Roman"/>
        </w:rPr>
        <w:t>2004;44:1393</w:t>
      </w:r>
      <w:proofErr w:type="gramEnd"/>
      <w:r w:rsidRPr="00CC6A5C">
        <w:rPr>
          <w:rFonts w:ascii="Times New Roman" w:hAnsi="Times New Roman" w:cs="Times New Roman"/>
        </w:rPr>
        <w:t>-1399.</w:t>
      </w:r>
    </w:p>
    <w:p w14:paraId="6A225EA2" w14:textId="5C8E845E" w:rsidR="00A73AB0" w:rsidRDefault="00617424" w:rsidP="001E3C6F">
      <w:pPr>
        <w:pStyle w:val="ListParagraph"/>
        <w:numPr>
          <w:ilvl w:val="0"/>
          <w:numId w:val="2"/>
        </w:numPr>
        <w:autoSpaceDE w:val="0"/>
        <w:autoSpaceDN w:val="0"/>
        <w:adjustRightInd w:val="0"/>
        <w:spacing w:after="0" w:line="360" w:lineRule="auto"/>
        <w:ind w:left="714" w:hanging="357"/>
        <w:jc w:val="both"/>
        <w:rPr>
          <w:rFonts w:ascii="Times New Roman" w:hAnsi="Times New Roman" w:cs="Times New Roman"/>
        </w:rPr>
      </w:pPr>
      <w:r w:rsidRPr="00CC6A5C">
        <w:rPr>
          <w:rFonts w:ascii="Times New Roman" w:hAnsi="Times New Roman" w:cs="Times New Roman"/>
        </w:rPr>
        <w:lastRenderedPageBreak/>
        <w:t xml:space="preserve">Spoon DB, </w:t>
      </w:r>
      <w:proofErr w:type="spellStart"/>
      <w:r w:rsidRPr="00CC6A5C">
        <w:rPr>
          <w:rFonts w:ascii="Times New Roman" w:hAnsi="Times New Roman" w:cs="Times New Roman"/>
        </w:rPr>
        <w:t>Psaltis</w:t>
      </w:r>
      <w:proofErr w:type="spellEnd"/>
      <w:r w:rsidRPr="00CC6A5C">
        <w:rPr>
          <w:rFonts w:ascii="Times New Roman" w:hAnsi="Times New Roman" w:cs="Times New Roman"/>
        </w:rPr>
        <w:t xml:space="preserve"> PJ, Singh M, Holmes DR, Jr., </w:t>
      </w:r>
      <w:proofErr w:type="spellStart"/>
      <w:r w:rsidRPr="00CC6A5C">
        <w:rPr>
          <w:rFonts w:ascii="Times New Roman" w:hAnsi="Times New Roman" w:cs="Times New Roman"/>
        </w:rPr>
        <w:t>Gersh</w:t>
      </w:r>
      <w:proofErr w:type="spellEnd"/>
      <w:r w:rsidRPr="00CC6A5C">
        <w:rPr>
          <w:rFonts w:ascii="Times New Roman" w:hAnsi="Times New Roman" w:cs="Times New Roman"/>
        </w:rPr>
        <w:t xml:space="preserve"> BJ, </w:t>
      </w:r>
      <w:proofErr w:type="spellStart"/>
      <w:r w:rsidRPr="00CC6A5C">
        <w:rPr>
          <w:rFonts w:ascii="Times New Roman" w:hAnsi="Times New Roman" w:cs="Times New Roman"/>
        </w:rPr>
        <w:t>Rihal</w:t>
      </w:r>
      <w:proofErr w:type="spellEnd"/>
      <w:r w:rsidRPr="00CC6A5C">
        <w:rPr>
          <w:rFonts w:ascii="Times New Roman" w:hAnsi="Times New Roman" w:cs="Times New Roman"/>
        </w:rPr>
        <w:t xml:space="preserve"> CS, Lennon RJ, Moussa ID, </w:t>
      </w:r>
      <w:proofErr w:type="spellStart"/>
      <w:r w:rsidRPr="00CC6A5C">
        <w:rPr>
          <w:rFonts w:ascii="Times New Roman" w:hAnsi="Times New Roman" w:cs="Times New Roman"/>
        </w:rPr>
        <w:t>Simari</w:t>
      </w:r>
      <w:proofErr w:type="spellEnd"/>
      <w:r w:rsidRPr="00CC6A5C">
        <w:rPr>
          <w:rFonts w:ascii="Times New Roman" w:hAnsi="Times New Roman" w:cs="Times New Roman"/>
        </w:rPr>
        <w:t xml:space="preserve"> RD and Gulati R. Trends in cause of death after percutaneous coronary intervention. </w:t>
      </w:r>
      <w:r w:rsidRPr="00CC6A5C">
        <w:rPr>
          <w:rFonts w:ascii="Times New Roman" w:hAnsi="Times New Roman" w:cs="Times New Roman"/>
          <w:i/>
          <w:iCs/>
        </w:rPr>
        <w:t>Circulation</w:t>
      </w:r>
      <w:r w:rsidRPr="00CC6A5C">
        <w:rPr>
          <w:rFonts w:ascii="Times New Roman" w:hAnsi="Times New Roman" w:cs="Times New Roman"/>
        </w:rPr>
        <w:t xml:space="preserve"> </w:t>
      </w:r>
      <w:proofErr w:type="gramStart"/>
      <w:r w:rsidRPr="00CC6A5C">
        <w:rPr>
          <w:rFonts w:ascii="Times New Roman" w:hAnsi="Times New Roman" w:cs="Times New Roman"/>
        </w:rPr>
        <w:t>2014;129:1286</w:t>
      </w:r>
      <w:proofErr w:type="gramEnd"/>
      <w:r w:rsidRPr="00CC6A5C">
        <w:rPr>
          <w:rFonts w:ascii="Times New Roman" w:hAnsi="Times New Roman" w:cs="Times New Roman"/>
        </w:rPr>
        <w:t>-1294.</w:t>
      </w:r>
    </w:p>
    <w:p w14:paraId="49051634" w14:textId="77777777" w:rsidR="00B05470" w:rsidRDefault="00B05470" w:rsidP="001E3C6F">
      <w:pPr>
        <w:pStyle w:val="ListParagraph"/>
        <w:numPr>
          <w:ilvl w:val="0"/>
          <w:numId w:val="2"/>
        </w:numPr>
        <w:spacing w:line="360" w:lineRule="auto"/>
        <w:ind w:left="714" w:hanging="357"/>
        <w:rPr>
          <w:rFonts w:ascii="Times New Roman" w:hAnsi="Times New Roman" w:cs="Times New Roman"/>
        </w:rPr>
      </w:pPr>
      <w:r w:rsidRPr="00B05470">
        <w:rPr>
          <w:rFonts w:ascii="Times New Roman" w:hAnsi="Times New Roman" w:cs="Times New Roman"/>
        </w:rPr>
        <w:t xml:space="preserve">Urban P, Meredith IT, </w:t>
      </w:r>
      <w:proofErr w:type="spellStart"/>
      <w:r w:rsidRPr="00B05470">
        <w:rPr>
          <w:rFonts w:ascii="Times New Roman" w:hAnsi="Times New Roman" w:cs="Times New Roman"/>
        </w:rPr>
        <w:t>Abizaid</w:t>
      </w:r>
      <w:proofErr w:type="spellEnd"/>
      <w:r w:rsidRPr="00B05470">
        <w:rPr>
          <w:rFonts w:ascii="Times New Roman" w:hAnsi="Times New Roman" w:cs="Times New Roman"/>
        </w:rPr>
        <w:t xml:space="preserve"> A, </w:t>
      </w:r>
      <w:proofErr w:type="spellStart"/>
      <w:r w:rsidRPr="00B05470">
        <w:rPr>
          <w:rFonts w:ascii="Times New Roman" w:hAnsi="Times New Roman" w:cs="Times New Roman"/>
        </w:rPr>
        <w:t>Pocock</w:t>
      </w:r>
      <w:proofErr w:type="spellEnd"/>
      <w:r w:rsidRPr="00B05470">
        <w:rPr>
          <w:rFonts w:ascii="Times New Roman" w:hAnsi="Times New Roman" w:cs="Times New Roman"/>
        </w:rPr>
        <w:t xml:space="preserve"> SJ, </w:t>
      </w:r>
      <w:proofErr w:type="spellStart"/>
      <w:r w:rsidRPr="00B05470">
        <w:rPr>
          <w:rFonts w:ascii="Times New Roman" w:hAnsi="Times New Roman" w:cs="Times New Roman"/>
        </w:rPr>
        <w:t>Carrié</w:t>
      </w:r>
      <w:proofErr w:type="spellEnd"/>
      <w:r w:rsidRPr="00B05470">
        <w:rPr>
          <w:rFonts w:ascii="Times New Roman" w:hAnsi="Times New Roman" w:cs="Times New Roman"/>
        </w:rPr>
        <w:t xml:space="preserve"> D, </w:t>
      </w:r>
      <w:proofErr w:type="spellStart"/>
      <w:r w:rsidRPr="00B05470">
        <w:rPr>
          <w:rFonts w:ascii="Times New Roman" w:hAnsi="Times New Roman" w:cs="Times New Roman"/>
        </w:rPr>
        <w:t>Naber</w:t>
      </w:r>
      <w:proofErr w:type="spellEnd"/>
      <w:r w:rsidRPr="00B05470">
        <w:rPr>
          <w:rFonts w:ascii="Times New Roman" w:hAnsi="Times New Roman" w:cs="Times New Roman"/>
        </w:rPr>
        <w:t xml:space="preserve"> C, </w:t>
      </w:r>
      <w:proofErr w:type="spellStart"/>
      <w:r w:rsidRPr="00B05470">
        <w:rPr>
          <w:rFonts w:ascii="Times New Roman" w:hAnsi="Times New Roman" w:cs="Times New Roman"/>
        </w:rPr>
        <w:t>Lipiecki</w:t>
      </w:r>
      <w:proofErr w:type="spellEnd"/>
      <w:r w:rsidRPr="00B05470">
        <w:rPr>
          <w:rFonts w:ascii="Times New Roman" w:hAnsi="Times New Roman" w:cs="Times New Roman"/>
        </w:rPr>
        <w:t xml:space="preserve"> J, Richardt G, </w:t>
      </w:r>
      <w:proofErr w:type="spellStart"/>
      <w:r w:rsidRPr="00B05470">
        <w:rPr>
          <w:rFonts w:ascii="Times New Roman" w:hAnsi="Times New Roman" w:cs="Times New Roman"/>
        </w:rPr>
        <w:t>Iñiguez</w:t>
      </w:r>
      <w:proofErr w:type="spellEnd"/>
      <w:r w:rsidRPr="00B05470">
        <w:rPr>
          <w:rFonts w:ascii="Times New Roman" w:hAnsi="Times New Roman" w:cs="Times New Roman"/>
        </w:rPr>
        <w:t xml:space="preserve"> A, Brunel P, Valdes-</w:t>
      </w:r>
      <w:proofErr w:type="spellStart"/>
      <w:r w:rsidRPr="00B05470">
        <w:rPr>
          <w:rFonts w:ascii="Times New Roman" w:hAnsi="Times New Roman" w:cs="Times New Roman"/>
        </w:rPr>
        <w:t>Chavarri</w:t>
      </w:r>
      <w:proofErr w:type="spellEnd"/>
      <w:r w:rsidRPr="00B05470">
        <w:rPr>
          <w:rFonts w:ascii="Times New Roman" w:hAnsi="Times New Roman" w:cs="Times New Roman"/>
        </w:rPr>
        <w:t xml:space="preserve"> M, </w:t>
      </w:r>
      <w:proofErr w:type="spellStart"/>
      <w:r w:rsidRPr="00B05470">
        <w:rPr>
          <w:rFonts w:ascii="Times New Roman" w:hAnsi="Times New Roman" w:cs="Times New Roman"/>
        </w:rPr>
        <w:t>Garot</w:t>
      </w:r>
      <w:proofErr w:type="spellEnd"/>
      <w:r w:rsidRPr="00B05470">
        <w:rPr>
          <w:rFonts w:ascii="Times New Roman" w:hAnsi="Times New Roman" w:cs="Times New Roman"/>
        </w:rPr>
        <w:t xml:space="preserve"> P, </w:t>
      </w:r>
      <w:proofErr w:type="spellStart"/>
      <w:r w:rsidRPr="00B05470">
        <w:rPr>
          <w:rFonts w:ascii="Times New Roman" w:hAnsi="Times New Roman" w:cs="Times New Roman"/>
        </w:rPr>
        <w:t>Talwar</w:t>
      </w:r>
      <w:proofErr w:type="spellEnd"/>
      <w:r w:rsidRPr="00B05470">
        <w:rPr>
          <w:rFonts w:ascii="Times New Roman" w:hAnsi="Times New Roman" w:cs="Times New Roman"/>
        </w:rPr>
        <w:t xml:space="preserve"> S, </w:t>
      </w:r>
      <w:proofErr w:type="spellStart"/>
      <w:r w:rsidRPr="00B05470">
        <w:rPr>
          <w:rFonts w:ascii="Times New Roman" w:hAnsi="Times New Roman" w:cs="Times New Roman"/>
        </w:rPr>
        <w:t>Berland</w:t>
      </w:r>
      <w:proofErr w:type="spellEnd"/>
      <w:r w:rsidRPr="00B05470">
        <w:rPr>
          <w:rFonts w:ascii="Times New Roman" w:hAnsi="Times New Roman" w:cs="Times New Roman"/>
        </w:rPr>
        <w:t xml:space="preserve"> J, </w:t>
      </w:r>
      <w:proofErr w:type="spellStart"/>
      <w:r w:rsidRPr="00B05470">
        <w:rPr>
          <w:rFonts w:ascii="Times New Roman" w:hAnsi="Times New Roman" w:cs="Times New Roman"/>
        </w:rPr>
        <w:t>Abdellaoui</w:t>
      </w:r>
      <w:proofErr w:type="spellEnd"/>
      <w:r w:rsidRPr="00B05470">
        <w:rPr>
          <w:rFonts w:ascii="Times New Roman" w:hAnsi="Times New Roman" w:cs="Times New Roman"/>
        </w:rPr>
        <w:t xml:space="preserve"> M, </w:t>
      </w:r>
      <w:proofErr w:type="spellStart"/>
      <w:r w:rsidRPr="00B05470">
        <w:rPr>
          <w:rFonts w:ascii="Times New Roman" w:hAnsi="Times New Roman" w:cs="Times New Roman"/>
        </w:rPr>
        <w:t>Eberli</w:t>
      </w:r>
      <w:proofErr w:type="spellEnd"/>
      <w:r w:rsidRPr="00B05470">
        <w:rPr>
          <w:rFonts w:ascii="Times New Roman" w:hAnsi="Times New Roman" w:cs="Times New Roman"/>
        </w:rPr>
        <w:t xml:space="preserve"> F, </w:t>
      </w:r>
      <w:proofErr w:type="spellStart"/>
      <w:r w:rsidRPr="00B05470">
        <w:rPr>
          <w:rFonts w:ascii="Times New Roman" w:hAnsi="Times New Roman" w:cs="Times New Roman"/>
        </w:rPr>
        <w:t>Oldroyd</w:t>
      </w:r>
      <w:proofErr w:type="spellEnd"/>
      <w:r w:rsidRPr="00B05470">
        <w:rPr>
          <w:rFonts w:ascii="Times New Roman" w:hAnsi="Times New Roman" w:cs="Times New Roman"/>
        </w:rPr>
        <w:t xml:space="preserve"> K, </w:t>
      </w:r>
      <w:proofErr w:type="spellStart"/>
      <w:r w:rsidRPr="00B05470">
        <w:rPr>
          <w:rFonts w:ascii="Times New Roman" w:hAnsi="Times New Roman" w:cs="Times New Roman"/>
        </w:rPr>
        <w:t>Zambahari</w:t>
      </w:r>
      <w:proofErr w:type="spellEnd"/>
      <w:r w:rsidRPr="00B05470">
        <w:rPr>
          <w:rFonts w:ascii="Times New Roman" w:hAnsi="Times New Roman" w:cs="Times New Roman"/>
        </w:rPr>
        <w:t xml:space="preserve"> R, Gregson J, Greene S, Stoll HP, </w:t>
      </w:r>
      <w:proofErr w:type="spellStart"/>
      <w:r w:rsidRPr="00B05470">
        <w:rPr>
          <w:rFonts w:ascii="Times New Roman" w:hAnsi="Times New Roman" w:cs="Times New Roman"/>
        </w:rPr>
        <w:t>Morice</w:t>
      </w:r>
      <w:proofErr w:type="spellEnd"/>
      <w:r w:rsidRPr="00B05470">
        <w:rPr>
          <w:rFonts w:ascii="Times New Roman" w:hAnsi="Times New Roman" w:cs="Times New Roman"/>
        </w:rPr>
        <w:t xml:space="preserve"> MC; LEADERS FREE Investigators. Polymer-free Drug-Coated Coronary Stents in Patients at High Bleeding Risk. </w:t>
      </w:r>
      <w:r w:rsidRPr="00B05470">
        <w:rPr>
          <w:rFonts w:ascii="Times New Roman" w:hAnsi="Times New Roman" w:cs="Times New Roman"/>
          <w:i/>
        </w:rPr>
        <w:t xml:space="preserve">N </w:t>
      </w:r>
      <w:proofErr w:type="spellStart"/>
      <w:r w:rsidRPr="00B05470">
        <w:rPr>
          <w:rFonts w:ascii="Times New Roman" w:hAnsi="Times New Roman" w:cs="Times New Roman"/>
          <w:i/>
        </w:rPr>
        <w:t>Engl</w:t>
      </w:r>
      <w:proofErr w:type="spellEnd"/>
      <w:r w:rsidRPr="00B05470">
        <w:rPr>
          <w:rFonts w:ascii="Times New Roman" w:hAnsi="Times New Roman" w:cs="Times New Roman"/>
          <w:i/>
        </w:rPr>
        <w:t xml:space="preserve"> J Med</w:t>
      </w:r>
      <w:r w:rsidRPr="00B05470">
        <w:rPr>
          <w:rFonts w:ascii="Times New Roman" w:hAnsi="Times New Roman" w:cs="Times New Roman"/>
        </w:rPr>
        <w:t xml:space="preserve"> </w:t>
      </w:r>
      <w:proofErr w:type="gramStart"/>
      <w:r w:rsidRPr="00B05470">
        <w:rPr>
          <w:rFonts w:ascii="Times New Roman" w:hAnsi="Times New Roman" w:cs="Times New Roman"/>
        </w:rPr>
        <w:t>2015;373:2038</w:t>
      </w:r>
      <w:proofErr w:type="gramEnd"/>
      <w:r w:rsidRPr="00B05470">
        <w:rPr>
          <w:rFonts w:ascii="Times New Roman" w:hAnsi="Times New Roman" w:cs="Times New Roman"/>
        </w:rPr>
        <w:t>-47.</w:t>
      </w:r>
    </w:p>
    <w:p w14:paraId="3AEBDE9F" w14:textId="723058A8" w:rsidR="00B05470" w:rsidRDefault="00B05470" w:rsidP="001E3C6F">
      <w:pPr>
        <w:pStyle w:val="ListParagraph"/>
        <w:numPr>
          <w:ilvl w:val="0"/>
          <w:numId w:val="2"/>
        </w:numPr>
        <w:spacing w:line="360" w:lineRule="auto"/>
        <w:ind w:left="714" w:hanging="357"/>
        <w:rPr>
          <w:rFonts w:ascii="Times New Roman" w:hAnsi="Times New Roman" w:cs="Times New Roman"/>
        </w:rPr>
      </w:pPr>
      <w:r w:rsidRPr="00B05470">
        <w:rPr>
          <w:rFonts w:ascii="Times New Roman" w:hAnsi="Times New Roman" w:cs="Times New Roman"/>
        </w:rPr>
        <w:t xml:space="preserve">Mamas MA, Nolan J, de </w:t>
      </w:r>
      <w:proofErr w:type="spellStart"/>
      <w:r w:rsidRPr="00B05470">
        <w:rPr>
          <w:rFonts w:ascii="Times New Roman" w:hAnsi="Times New Roman" w:cs="Times New Roman"/>
        </w:rPr>
        <w:t>Belder</w:t>
      </w:r>
      <w:proofErr w:type="spellEnd"/>
      <w:r w:rsidRPr="00B05470">
        <w:rPr>
          <w:rFonts w:ascii="Times New Roman" w:hAnsi="Times New Roman" w:cs="Times New Roman"/>
        </w:rPr>
        <w:t xml:space="preserve"> MA, Zaman A, Kinnaird T, </w:t>
      </w:r>
      <w:proofErr w:type="spellStart"/>
      <w:r w:rsidRPr="00B05470">
        <w:rPr>
          <w:rFonts w:ascii="Times New Roman" w:hAnsi="Times New Roman" w:cs="Times New Roman"/>
        </w:rPr>
        <w:t>Curzen</w:t>
      </w:r>
      <w:proofErr w:type="spellEnd"/>
      <w:r w:rsidRPr="00B05470">
        <w:rPr>
          <w:rFonts w:ascii="Times New Roman" w:hAnsi="Times New Roman" w:cs="Times New Roman"/>
        </w:rPr>
        <w:t xml:space="preserve"> N, Kwok CS, Buchan I, </w:t>
      </w:r>
      <w:proofErr w:type="spellStart"/>
      <w:r w:rsidRPr="00B05470">
        <w:rPr>
          <w:rFonts w:ascii="Times New Roman" w:hAnsi="Times New Roman" w:cs="Times New Roman"/>
        </w:rPr>
        <w:t>Ludman</w:t>
      </w:r>
      <w:proofErr w:type="spellEnd"/>
      <w:r w:rsidRPr="00B05470">
        <w:rPr>
          <w:rFonts w:ascii="Times New Roman" w:hAnsi="Times New Roman" w:cs="Times New Roman"/>
        </w:rPr>
        <w:t xml:space="preserve"> P, </w:t>
      </w:r>
      <w:proofErr w:type="spellStart"/>
      <w:r w:rsidRPr="00B05470">
        <w:rPr>
          <w:rFonts w:ascii="Times New Roman" w:hAnsi="Times New Roman" w:cs="Times New Roman"/>
        </w:rPr>
        <w:t>Kontopantelis</w:t>
      </w:r>
      <w:proofErr w:type="spellEnd"/>
      <w:r w:rsidRPr="00B05470">
        <w:rPr>
          <w:rFonts w:ascii="Times New Roman" w:hAnsi="Times New Roman" w:cs="Times New Roman"/>
        </w:rPr>
        <w:t xml:space="preserve"> E; British Cardiovascular Intervention Society (BCIS) and the National Institute for Clinical Outcomes Research (NICOR). Changes in Arterial Access Site and Association </w:t>
      </w:r>
      <w:proofErr w:type="gramStart"/>
      <w:r w:rsidRPr="00B05470">
        <w:rPr>
          <w:rFonts w:ascii="Times New Roman" w:hAnsi="Times New Roman" w:cs="Times New Roman"/>
        </w:rPr>
        <w:t>With</w:t>
      </w:r>
      <w:proofErr w:type="gramEnd"/>
      <w:r w:rsidRPr="00B05470">
        <w:rPr>
          <w:rFonts w:ascii="Times New Roman" w:hAnsi="Times New Roman" w:cs="Times New Roman"/>
        </w:rPr>
        <w:t xml:space="preserve"> Mortality in the United Kingdom: Observations From a National Percutaneous Coronary Intervention Database. Circulation. </w:t>
      </w:r>
      <w:proofErr w:type="gramStart"/>
      <w:r w:rsidRPr="00B05470">
        <w:rPr>
          <w:rFonts w:ascii="Times New Roman" w:hAnsi="Times New Roman" w:cs="Times New Roman"/>
        </w:rPr>
        <w:t>2016;133:1655</w:t>
      </w:r>
      <w:proofErr w:type="gramEnd"/>
      <w:r w:rsidRPr="00B05470">
        <w:rPr>
          <w:rFonts w:ascii="Times New Roman" w:hAnsi="Times New Roman" w:cs="Times New Roman"/>
        </w:rPr>
        <w:t>-</w:t>
      </w:r>
      <w:r w:rsidR="00B949F8">
        <w:rPr>
          <w:rFonts w:ascii="Times New Roman" w:hAnsi="Times New Roman" w:cs="Times New Roman"/>
        </w:rPr>
        <w:t>16</w:t>
      </w:r>
      <w:r w:rsidRPr="00B05470">
        <w:rPr>
          <w:rFonts w:ascii="Times New Roman" w:hAnsi="Times New Roman" w:cs="Times New Roman"/>
        </w:rPr>
        <w:t>67.</w:t>
      </w:r>
    </w:p>
    <w:p w14:paraId="46676A13" w14:textId="46B23D13" w:rsidR="00B05470" w:rsidRDefault="00B05470" w:rsidP="001E3C6F">
      <w:pPr>
        <w:pStyle w:val="ListParagraph"/>
        <w:numPr>
          <w:ilvl w:val="0"/>
          <w:numId w:val="2"/>
        </w:numPr>
        <w:spacing w:line="360" w:lineRule="auto"/>
        <w:ind w:left="714" w:hanging="357"/>
        <w:rPr>
          <w:rFonts w:ascii="Times New Roman" w:hAnsi="Times New Roman" w:cs="Times New Roman"/>
        </w:rPr>
      </w:pPr>
      <w:proofErr w:type="spellStart"/>
      <w:r w:rsidRPr="00B05470">
        <w:rPr>
          <w:rFonts w:ascii="Times New Roman" w:hAnsi="Times New Roman" w:cs="Times New Roman"/>
        </w:rPr>
        <w:t>Ratib</w:t>
      </w:r>
      <w:proofErr w:type="spellEnd"/>
      <w:r w:rsidRPr="00B05470">
        <w:rPr>
          <w:rFonts w:ascii="Times New Roman" w:hAnsi="Times New Roman" w:cs="Times New Roman"/>
        </w:rPr>
        <w:t xml:space="preserve"> K, Mamas MA, Anderson SG, Bhatia G, Routledge H, De </w:t>
      </w:r>
      <w:proofErr w:type="spellStart"/>
      <w:r w:rsidRPr="00B05470">
        <w:rPr>
          <w:rFonts w:ascii="Times New Roman" w:hAnsi="Times New Roman" w:cs="Times New Roman"/>
        </w:rPr>
        <w:t>Belder</w:t>
      </w:r>
      <w:proofErr w:type="spellEnd"/>
      <w:r w:rsidRPr="00B05470">
        <w:rPr>
          <w:rFonts w:ascii="Times New Roman" w:hAnsi="Times New Roman" w:cs="Times New Roman"/>
        </w:rPr>
        <w:t xml:space="preserve"> M, </w:t>
      </w:r>
      <w:proofErr w:type="spellStart"/>
      <w:r w:rsidRPr="00B05470">
        <w:rPr>
          <w:rFonts w:ascii="Times New Roman" w:hAnsi="Times New Roman" w:cs="Times New Roman"/>
        </w:rPr>
        <w:t>Ludman</w:t>
      </w:r>
      <w:proofErr w:type="spellEnd"/>
      <w:r w:rsidRPr="00B05470">
        <w:rPr>
          <w:rFonts w:ascii="Times New Roman" w:hAnsi="Times New Roman" w:cs="Times New Roman"/>
        </w:rPr>
        <w:t xml:space="preserve"> PF, Fraser D, Nolan J; British Cardiovascular Intervention Society and the National Institute for Cardiovascular Outcomes Research. Access site practice and procedural outcomes in relation to clinical presentation in 439,947 patients undergoing percutaneous coronary intervention in the </w:t>
      </w:r>
      <w:r w:rsidR="001E3C6F" w:rsidRPr="00B05470">
        <w:rPr>
          <w:rFonts w:ascii="Times New Roman" w:hAnsi="Times New Roman" w:cs="Times New Roman"/>
        </w:rPr>
        <w:t>United Kingdom</w:t>
      </w:r>
      <w:r w:rsidRPr="00B05470">
        <w:rPr>
          <w:rFonts w:ascii="Times New Roman" w:hAnsi="Times New Roman" w:cs="Times New Roman"/>
        </w:rPr>
        <w:t xml:space="preserve">. JACC </w:t>
      </w:r>
      <w:proofErr w:type="spellStart"/>
      <w:r w:rsidRPr="00B05470">
        <w:rPr>
          <w:rFonts w:ascii="Times New Roman" w:hAnsi="Times New Roman" w:cs="Times New Roman"/>
        </w:rPr>
        <w:t>Cardi</w:t>
      </w:r>
      <w:r>
        <w:rPr>
          <w:rFonts w:ascii="Times New Roman" w:hAnsi="Times New Roman" w:cs="Times New Roman"/>
        </w:rPr>
        <w:t>ovasc</w:t>
      </w:r>
      <w:proofErr w:type="spellEnd"/>
      <w:r>
        <w:rPr>
          <w:rFonts w:ascii="Times New Roman" w:hAnsi="Times New Roman" w:cs="Times New Roman"/>
        </w:rPr>
        <w:t xml:space="preserve"> </w:t>
      </w:r>
      <w:proofErr w:type="spellStart"/>
      <w:r>
        <w:rPr>
          <w:rFonts w:ascii="Times New Roman" w:hAnsi="Times New Roman" w:cs="Times New Roman"/>
        </w:rPr>
        <w:t>Interv</w:t>
      </w:r>
      <w:proofErr w:type="spellEnd"/>
      <w:r>
        <w:rPr>
          <w:rFonts w:ascii="Times New Roman" w:hAnsi="Times New Roman" w:cs="Times New Roman"/>
        </w:rPr>
        <w:t xml:space="preserve">. </w:t>
      </w:r>
      <w:proofErr w:type="gramStart"/>
      <w:r>
        <w:rPr>
          <w:rFonts w:ascii="Times New Roman" w:hAnsi="Times New Roman" w:cs="Times New Roman"/>
        </w:rPr>
        <w:t>2015;8</w:t>
      </w:r>
      <w:r w:rsidRPr="00B05470">
        <w:rPr>
          <w:rFonts w:ascii="Times New Roman" w:hAnsi="Times New Roman" w:cs="Times New Roman"/>
        </w:rPr>
        <w:t>:20</w:t>
      </w:r>
      <w:proofErr w:type="gramEnd"/>
      <w:r w:rsidRPr="00B05470">
        <w:rPr>
          <w:rFonts w:ascii="Times New Roman" w:hAnsi="Times New Roman" w:cs="Times New Roman"/>
        </w:rPr>
        <w:t>-</w:t>
      </w:r>
      <w:r w:rsidR="00B949F8">
        <w:rPr>
          <w:rFonts w:ascii="Times New Roman" w:hAnsi="Times New Roman" w:cs="Times New Roman"/>
        </w:rPr>
        <w:t>2</w:t>
      </w:r>
      <w:r w:rsidRPr="00B05470">
        <w:rPr>
          <w:rFonts w:ascii="Times New Roman" w:hAnsi="Times New Roman" w:cs="Times New Roman"/>
        </w:rPr>
        <w:t>9.</w:t>
      </w:r>
    </w:p>
    <w:p w14:paraId="43FC0CE2" w14:textId="016DE8D4" w:rsidR="00B05470" w:rsidRDefault="00B05470" w:rsidP="001E3C6F">
      <w:pPr>
        <w:pStyle w:val="ListParagraph"/>
        <w:numPr>
          <w:ilvl w:val="0"/>
          <w:numId w:val="2"/>
        </w:numPr>
        <w:spacing w:line="360" w:lineRule="auto"/>
        <w:ind w:left="714" w:hanging="357"/>
        <w:rPr>
          <w:rFonts w:ascii="Times New Roman" w:hAnsi="Times New Roman" w:cs="Times New Roman"/>
        </w:rPr>
      </w:pPr>
      <w:r w:rsidRPr="00B05470">
        <w:rPr>
          <w:rFonts w:ascii="Times New Roman" w:hAnsi="Times New Roman" w:cs="Times New Roman"/>
        </w:rPr>
        <w:t xml:space="preserve">Burden of 30-Day Readmissions After Percutaneous Coronary Intervention in 833,344 Patients in the United States: Predictors, Causes, and Cost: Insights </w:t>
      </w:r>
      <w:proofErr w:type="gramStart"/>
      <w:r w:rsidRPr="00B05470">
        <w:rPr>
          <w:rFonts w:ascii="Times New Roman" w:hAnsi="Times New Roman" w:cs="Times New Roman"/>
        </w:rPr>
        <w:t>From</w:t>
      </w:r>
      <w:proofErr w:type="gramEnd"/>
      <w:r w:rsidRPr="00B05470">
        <w:rPr>
          <w:rFonts w:ascii="Times New Roman" w:hAnsi="Times New Roman" w:cs="Times New Roman"/>
        </w:rPr>
        <w:t xml:space="preserve"> the Nationwide Readmission Database. Kwok CS, Rao SV, Potts JE, </w:t>
      </w:r>
      <w:proofErr w:type="spellStart"/>
      <w:r w:rsidRPr="00B05470">
        <w:rPr>
          <w:rFonts w:ascii="Times New Roman" w:hAnsi="Times New Roman" w:cs="Times New Roman"/>
        </w:rPr>
        <w:t>Kontopantelis</w:t>
      </w:r>
      <w:proofErr w:type="spellEnd"/>
      <w:r w:rsidRPr="00B05470">
        <w:rPr>
          <w:rFonts w:ascii="Times New Roman" w:hAnsi="Times New Roman" w:cs="Times New Roman"/>
        </w:rPr>
        <w:t xml:space="preserve"> E, Rashid M, Kinnaird T, </w:t>
      </w:r>
      <w:proofErr w:type="spellStart"/>
      <w:r w:rsidRPr="00B05470">
        <w:rPr>
          <w:rFonts w:ascii="Times New Roman" w:hAnsi="Times New Roman" w:cs="Times New Roman"/>
        </w:rPr>
        <w:t>Curzen</w:t>
      </w:r>
      <w:proofErr w:type="spellEnd"/>
      <w:r w:rsidRPr="00B05470">
        <w:rPr>
          <w:rFonts w:ascii="Times New Roman" w:hAnsi="Times New Roman" w:cs="Times New Roman"/>
        </w:rPr>
        <w:t xml:space="preserve"> N, Nolan J, </w:t>
      </w:r>
      <w:proofErr w:type="spellStart"/>
      <w:r w:rsidRPr="00B05470">
        <w:rPr>
          <w:rFonts w:ascii="Times New Roman" w:hAnsi="Times New Roman" w:cs="Times New Roman"/>
        </w:rPr>
        <w:t>Bagur</w:t>
      </w:r>
      <w:proofErr w:type="spellEnd"/>
      <w:r w:rsidRPr="00B05470">
        <w:rPr>
          <w:rFonts w:ascii="Times New Roman" w:hAnsi="Times New Roman" w:cs="Times New Roman"/>
        </w:rPr>
        <w:t xml:space="preserve"> R, Mamas MA. JACC </w:t>
      </w:r>
      <w:proofErr w:type="spellStart"/>
      <w:r w:rsidRPr="00B05470">
        <w:rPr>
          <w:rFonts w:ascii="Times New Roman" w:hAnsi="Times New Roman" w:cs="Times New Roman"/>
        </w:rPr>
        <w:t>Cardiovasc</w:t>
      </w:r>
      <w:proofErr w:type="spellEnd"/>
      <w:r w:rsidRPr="00B05470">
        <w:rPr>
          <w:rFonts w:ascii="Times New Roman" w:hAnsi="Times New Roman" w:cs="Times New Roman"/>
        </w:rPr>
        <w:t xml:space="preserve"> </w:t>
      </w:r>
      <w:proofErr w:type="spellStart"/>
      <w:r w:rsidRPr="00B05470">
        <w:rPr>
          <w:rFonts w:ascii="Times New Roman" w:hAnsi="Times New Roman" w:cs="Times New Roman"/>
        </w:rPr>
        <w:t>Interv</w:t>
      </w:r>
      <w:proofErr w:type="spellEnd"/>
      <w:r w:rsidRPr="00B05470">
        <w:rPr>
          <w:rFonts w:ascii="Times New Roman" w:hAnsi="Times New Roman" w:cs="Times New Roman"/>
        </w:rPr>
        <w:t xml:space="preserve">. </w:t>
      </w:r>
      <w:proofErr w:type="gramStart"/>
      <w:r w:rsidRPr="00B05470">
        <w:rPr>
          <w:rFonts w:ascii="Times New Roman" w:hAnsi="Times New Roman" w:cs="Times New Roman"/>
        </w:rPr>
        <w:t>2018;11:665</w:t>
      </w:r>
      <w:proofErr w:type="gramEnd"/>
      <w:r w:rsidRPr="00B05470">
        <w:rPr>
          <w:rFonts w:ascii="Times New Roman" w:hAnsi="Times New Roman" w:cs="Times New Roman"/>
        </w:rPr>
        <w:t>-674.</w:t>
      </w:r>
    </w:p>
    <w:p w14:paraId="7089CDAD" w14:textId="08454DBA" w:rsidR="001E3C6F" w:rsidRDefault="001E3C6F" w:rsidP="001E3C6F">
      <w:pPr>
        <w:pStyle w:val="ListParagraph"/>
        <w:numPr>
          <w:ilvl w:val="0"/>
          <w:numId w:val="2"/>
        </w:numPr>
        <w:spacing w:line="360" w:lineRule="auto"/>
        <w:ind w:left="714" w:hanging="357"/>
        <w:rPr>
          <w:rFonts w:ascii="Times New Roman" w:hAnsi="Times New Roman" w:cs="Times New Roman"/>
        </w:rPr>
      </w:pPr>
      <w:proofErr w:type="spellStart"/>
      <w:r w:rsidRPr="001E3C6F">
        <w:rPr>
          <w:rFonts w:ascii="Times New Roman" w:hAnsi="Times New Roman" w:cs="Times New Roman"/>
        </w:rPr>
        <w:t>Tanguturi</w:t>
      </w:r>
      <w:proofErr w:type="spellEnd"/>
      <w:r w:rsidRPr="001E3C6F">
        <w:rPr>
          <w:rFonts w:ascii="Times New Roman" w:hAnsi="Times New Roman" w:cs="Times New Roman"/>
        </w:rPr>
        <w:t xml:space="preserve"> VK, Temin E, </w:t>
      </w:r>
      <w:proofErr w:type="spellStart"/>
      <w:r w:rsidRPr="001E3C6F">
        <w:rPr>
          <w:rFonts w:ascii="Times New Roman" w:hAnsi="Times New Roman" w:cs="Times New Roman"/>
        </w:rPr>
        <w:t>Yeh</w:t>
      </w:r>
      <w:proofErr w:type="spellEnd"/>
      <w:r w:rsidRPr="001E3C6F">
        <w:rPr>
          <w:rFonts w:ascii="Times New Roman" w:hAnsi="Times New Roman" w:cs="Times New Roman"/>
        </w:rPr>
        <w:t xml:space="preserve"> RW, Thompson RW, Rao SK, </w:t>
      </w:r>
      <w:proofErr w:type="spellStart"/>
      <w:r w:rsidRPr="001E3C6F">
        <w:rPr>
          <w:rFonts w:ascii="Times New Roman" w:hAnsi="Times New Roman" w:cs="Times New Roman"/>
        </w:rPr>
        <w:t>Mallick</w:t>
      </w:r>
      <w:proofErr w:type="spellEnd"/>
      <w:r w:rsidRPr="001E3C6F">
        <w:rPr>
          <w:rFonts w:ascii="Times New Roman" w:hAnsi="Times New Roman" w:cs="Times New Roman"/>
        </w:rPr>
        <w:t xml:space="preserve"> A, </w:t>
      </w:r>
      <w:proofErr w:type="spellStart"/>
      <w:r w:rsidRPr="001E3C6F">
        <w:rPr>
          <w:rFonts w:ascii="Times New Roman" w:hAnsi="Times New Roman" w:cs="Times New Roman"/>
        </w:rPr>
        <w:t>Calvallo</w:t>
      </w:r>
      <w:proofErr w:type="spellEnd"/>
      <w:r w:rsidRPr="001E3C6F">
        <w:rPr>
          <w:rFonts w:ascii="Times New Roman" w:hAnsi="Times New Roman" w:cs="Times New Roman"/>
        </w:rPr>
        <w:t xml:space="preserve"> E, Ferris TG, </w:t>
      </w:r>
      <w:proofErr w:type="spellStart"/>
      <w:r w:rsidRPr="001E3C6F">
        <w:rPr>
          <w:rFonts w:ascii="Times New Roman" w:hAnsi="Times New Roman" w:cs="Times New Roman"/>
        </w:rPr>
        <w:t>Wasfy</w:t>
      </w:r>
      <w:proofErr w:type="spellEnd"/>
      <w:r w:rsidRPr="001E3C6F">
        <w:rPr>
          <w:rFonts w:ascii="Times New Roman" w:hAnsi="Times New Roman" w:cs="Times New Roman"/>
        </w:rPr>
        <w:t xml:space="preserve"> JH. Clinical interventions to reduce preventable hospital readmission after percutaneous coronary intervention. </w:t>
      </w:r>
      <w:proofErr w:type="spellStart"/>
      <w:r w:rsidRPr="001E3C6F">
        <w:rPr>
          <w:rFonts w:ascii="Times New Roman" w:hAnsi="Times New Roman" w:cs="Times New Roman"/>
        </w:rPr>
        <w:t>Circ</w:t>
      </w:r>
      <w:proofErr w:type="spellEnd"/>
      <w:r w:rsidRPr="001E3C6F">
        <w:rPr>
          <w:rFonts w:ascii="Times New Roman" w:hAnsi="Times New Roman" w:cs="Times New Roman"/>
        </w:rPr>
        <w:t xml:space="preserve"> </w:t>
      </w:r>
      <w:proofErr w:type="spellStart"/>
      <w:r w:rsidRPr="001E3C6F">
        <w:rPr>
          <w:rFonts w:ascii="Times New Roman" w:hAnsi="Times New Roman" w:cs="Times New Roman"/>
        </w:rPr>
        <w:t>Cardiovasc</w:t>
      </w:r>
      <w:proofErr w:type="spellEnd"/>
      <w:r w:rsidRPr="001E3C6F">
        <w:rPr>
          <w:rFonts w:ascii="Times New Roman" w:hAnsi="Times New Roman" w:cs="Times New Roman"/>
        </w:rPr>
        <w:t xml:space="preserve"> </w:t>
      </w:r>
      <w:proofErr w:type="spellStart"/>
      <w:r w:rsidRPr="001E3C6F">
        <w:rPr>
          <w:rFonts w:ascii="Times New Roman" w:hAnsi="Times New Roman" w:cs="Times New Roman"/>
        </w:rPr>
        <w:t>Interv</w:t>
      </w:r>
      <w:proofErr w:type="spellEnd"/>
      <w:r w:rsidRPr="001E3C6F">
        <w:rPr>
          <w:rFonts w:ascii="Times New Roman" w:hAnsi="Times New Roman" w:cs="Times New Roman"/>
        </w:rPr>
        <w:t xml:space="preserve"> </w:t>
      </w:r>
      <w:proofErr w:type="gramStart"/>
      <w:r w:rsidRPr="001E3C6F">
        <w:rPr>
          <w:rFonts w:ascii="Times New Roman" w:hAnsi="Times New Roman" w:cs="Times New Roman"/>
        </w:rPr>
        <w:t>2016;9:600</w:t>
      </w:r>
      <w:proofErr w:type="gramEnd"/>
      <w:r w:rsidRPr="001E3C6F">
        <w:rPr>
          <w:rFonts w:ascii="Times New Roman" w:hAnsi="Times New Roman" w:cs="Times New Roman"/>
        </w:rPr>
        <w:t>-604.</w:t>
      </w:r>
    </w:p>
    <w:p w14:paraId="65C38826" w14:textId="3D17CE61" w:rsidR="007E34FA" w:rsidRDefault="007E34FA" w:rsidP="007E34FA">
      <w:pPr>
        <w:spacing w:line="360" w:lineRule="auto"/>
        <w:rPr>
          <w:rFonts w:ascii="Times New Roman" w:hAnsi="Times New Roman" w:cs="Times New Roman"/>
        </w:rPr>
      </w:pPr>
    </w:p>
    <w:p w14:paraId="0AF9477E" w14:textId="77777777" w:rsidR="007E34FA" w:rsidRDefault="007E34FA" w:rsidP="007E34FA">
      <w:pPr>
        <w:spacing w:after="0" w:line="240" w:lineRule="auto"/>
        <w:rPr>
          <w:b/>
          <w:sz w:val="18"/>
          <w:szCs w:val="18"/>
        </w:rPr>
        <w:sectPr w:rsidR="007E34FA" w:rsidSect="007E34FA">
          <w:pgSz w:w="11906" w:h="16838"/>
          <w:pgMar w:top="1440" w:right="993" w:bottom="1440" w:left="993" w:header="708" w:footer="708" w:gutter="0"/>
          <w:cols w:space="720"/>
          <w:docGrid w:linePitch="299"/>
        </w:sectPr>
      </w:pPr>
    </w:p>
    <w:p w14:paraId="3CACBE85" w14:textId="15A8E22B" w:rsidR="007E34FA" w:rsidRDefault="007E34FA" w:rsidP="007E34FA">
      <w:pPr>
        <w:spacing w:after="0" w:line="240" w:lineRule="auto"/>
        <w:rPr>
          <w:sz w:val="18"/>
          <w:szCs w:val="18"/>
        </w:rPr>
      </w:pPr>
      <w:r>
        <w:rPr>
          <w:b/>
          <w:sz w:val="18"/>
          <w:szCs w:val="18"/>
        </w:rPr>
        <w:lastRenderedPageBreak/>
        <w:t>Table 1:</w:t>
      </w:r>
      <w:r>
        <w:rPr>
          <w:sz w:val="18"/>
          <w:szCs w:val="18"/>
        </w:rPr>
        <w:t xml:space="preserve"> Patient demographics for each year included in the study, from 2004 – 2014 including all years together.</w:t>
      </w:r>
    </w:p>
    <w:tbl>
      <w:tblPr>
        <w:tblStyle w:val="TableGrid"/>
        <w:tblW w:w="5150" w:type="pct"/>
        <w:tblInd w:w="-431"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472"/>
        <w:gridCol w:w="1022"/>
        <w:gridCol w:w="1022"/>
        <w:gridCol w:w="1022"/>
        <w:gridCol w:w="1022"/>
        <w:gridCol w:w="1021"/>
        <w:gridCol w:w="1021"/>
        <w:gridCol w:w="1021"/>
        <w:gridCol w:w="1021"/>
        <w:gridCol w:w="1021"/>
        <w:gridCol w:w="1021"/>
        <w:gridCol w:w="1021"/>
        <w:gridCol w:w="682"/>
      </w:tblGrid>
      <w:tr w:rsidR="007E34FA" w14:paraId="431DECA9" w14:textId="77777777" w:rsidTr="007E34FA">
        <w:trPr>
          <w:trHeight w:val="300"/>
        </w:trPr>
        <w:tc>
          <w:tcPr>
            <w:tcW w:w="807" w:type="pct"/>
            <w:tcBorders>
              <w:top w:val="single" w:sz="8" w:space="0" w:color="auto"/>
              <w:left w:val="nil"/>
              <w:bottom w:val="single" w:sz="8" w:space="0" w:color="auto"/>
              <w:right w:val="nil"/>
            </w:tcBorders>
            <w:noWrap/>
            <w:hideMark/>
          </w:tcPr>
          <w:p w14:paraId="4A15C829" w14:textId="77777777" w:rsidR="007E34FA" w:rsidRDefault="007E34FA">
            <w:pPr>
              <w:rPr>
                <w:sz w:val="18"/>
                <w:szCs w:val="18"/>
              </w:rPr>
            </w:pPr>
            <w:r>
              <w:rPr>
                <w:sz w:val="18"/>
                <w:szCs w:val="18"/>
              </w:rPr>
              <w:t>Variables</w:t>
            </w:r>
          </w:p>
        </w:tc>
        <w:tc>
          <w:tcPr>
            <w:tcW w:w="335" w:type="pct"/>
            <w:tcBorders>
              <w:top w:val="single" w:sz="8" w:space="0" w:color="auto"/>
              <w:left w:val="nil"/>
              <w:bottom w:val="single" w:sz="8" w:space="0" w:color="auto"/>
              <w:right w:val="nil"/>
            </w:tcBorders>
            <w:noWrap/>
            <w:hideMark/>
          </w:tcPr>
          <w:p w14:paraId="40ACB08D" w14:textId="77777777" w:rsidR="007E34FA" w:rsidRDefault="007E34FA">
            <w:pPr>
              <w:rPr>
                <w:sz w:val="18"/>
                <w:szCs w:val="18"/>
              </w:rPr>
            </w:pPr>
            <w:r>
              <w:rPr>
                <w:sz w:val="18"/>
                <w:szCs w:val="18"/>
              </w:rPr>
              <w:t>2004</w:t>
            </w:r>
          </w:p>
        </w:tc>
        <w:tc>
          <w:tcPr>
            <w:tcW w:w="335" w:type="pct"/>
            <w:tcBorders>
              <w:top w:val="single" w:sz="8" w:space="0" w:color="auto"/>
              <w:left w:val="nil"/>
              <w:bottom w:val="single" w:sz="8" w:space="0" w:color="auto"/>
              <w:right w:val="nil"/>
            </w:tcBorders>
            <w:noWrap/>
            <w:hideMark/>
          </w:tcPr>
          <w:p w14:paraId="3BFDDB07" w14:textId="77777777" w:rsidR="007E34FA" w:rsidRDefault="007E34FA">
            <w:pPr>
              <w:rPr>
                <w:sz w:val="18"/>
                <w:szCs w:val="18"/>
              </w:rPr>
            </w:pPr>
            <w:r>
              <w:rPr>
                <w:sz w:val="18"/>
                <w:szCs w:val="18"/>
              </w:rPr>
              <w:t>2005</w:t>
            </w:r>
          </w:p>
        </w:tc>
        <w:tc>
          <w:tcPr>
            <w:tcW w:w="335" w:type="pct"/>
            <w:tcBorders>
              <w:top w:val="single" w:sz="8" w:space="0" w:color="auto"/>
              <w:left w:val="nil"/>
              <w:bottom w:val="single" w:sz="8" w:space="0" w:color="auto"/>
              <w:right w:val="nil"/>
            </w:tcBorders>
            <w:noWrap/>
            <w:hideMark/>
          </w:tcPr>
          <w:p w14:paraId="14C8722A" w14:textId="77777777" w:rsidR="007E34FA" w:rsidRDefault="007E34FA">
            <w:pPr>
              <w:rPr>
                <w:sz w:val="18"/>
                <w:szCs w:val="18"/>
              </w:rPr>
            </w:pPr>
            <w:r>
              <w:rPr>
                <w:sz w:val="18"/>
                <w:szCs w:val="18"/>
              </w:rPr>
              <w:t>2006</w:t>
            </w:r>
          </w:p>
        </w:tc>
        <w:tc>
          <w:tcPr>
            <w:tcW w:w="335" w:type="pct"/>
            <w:tcBorders>
              <w:top w:val="single" w:sz="8" w:space="0" w:color="auto"/>
              <w:left w:val="nil"/>
              <w:bottom w:val="single" w:sz="8" w:space="0" w:color="auto"/>
              <w:right w:val="nil"/>
            </w:tcBorders>
            <w:noWrap/>
            <w:hideMark/>
          </w:tcPr>
          <w:p w14:paraId="68D067D5" w14:textId="77777777" w:rsidR="007E34FA" w:rsidRDefault="007E34FA">
            <w:pPr>
              <w:rPr>
                <w:sz w:val="18"/>
                <w:szCs w:val="18"/>
              </w:rPr>
            </w:pPr>
            <w:r>
              <w:rPr>
                <w:sz w:val="18"/>
                <w:szCs w:val="18"/>
              </w:rPr>
              <w:t>2007</w:t>
            </w:r>
          </w:p>
        </w:tc>
        <w:tc>
          <w:tcPr>
            <w:tcW w:w="335" w:type="pct"/>
            <w:tcBorders>
              <w:top w:val="single" w:sz="8" w:space="0" w:color="auto"/>
              <w:left w:val="nil"/>
              <w:bottom w:val="single" w:sz="8" w:space="0" w:color="auto"/>
              <w:right w:val="nil"/>
            </w:tcBorders>
            <w:noWrap/>
            <w:hideMark/>
          </w:tcPr>
          <w:p w14:paraId="1E2C4786" w14:textId="77777777" w:rsidR="007E34FA" w:rsidRDefault="007E34FA">
            <w:pPr>
              <w:rPr>
                <w:sz w:val="18"/>
                <w:szCs w:val="18"/>
              </w:rPr>
            </w:pPr>
            <w:r>
              <w:rPr>
                <w:sz w:val="18"/>
                <w:szCs w:val="18"/>
              </w:rPr>
              <w:t>2008</w:t>
            </w:r>
          </w:p>
        </w:tc>
        <w:tc>
          <w:tcPr>
            <w:tcW w:w="335" w:type="pct"/>
            <w:tcBorders>
              <w:top w:val="single" w:sz="8" w:space="0" w:color="auto"/>
              <w:left w:val="nil"/>
              <w:bottom w:val="single" w:sz="8" w:space="0" w:color="auto"/>
              <w:right w:val="nil"/>
            </w:tcBorders>
            <w:noWrap/>
            <w:hideMark/>
          </w:tcPr>
          <w:p w14:paraId="23C09DCC" w14:textId="77777777" w:rsidR="007E34FA" w:rsidRDefault="007E34FA">
            <w:pPr>
              <w:rPr>
                <w:sz w:val="18"/>
                <w:szCs w:val="18"/>
              </w:rPr>
            </w:pPr>
            <w:r>
              <w:rPr>
                <w:sz w:val="18"/>
                <w:szCs w:val="18"/>
              </w:rPr>
              <w:t>2009</w:t>
            </w:r>
          </w:p>
        </w:tc>
        <w:tc>
          <w:tcPr>
            <w:tcW w:w="335" w:type="pct"/>
            <w:tcBorders>
              <w:top w:val="single" w:sz="8" w:space="0" w:color="auto"/>
              <w:left w:val="nil"/>
              <w:bottom w:val="single" w:sz="8" w:space="0" w:color="auto"/>
              <w:right w:val="nil"/>
            </w:tcBorders>
            <w:noWrap/>
            <w:hideMark/>
          </w:tcPr>
          <w:p w14:paraId="2F7264D7" w14:textId="77777777" w:rsidR="007E34FA" w:rsidRDefault="007E34FA">
            <w:pPr>
              <w:rPr>
                <w:sz w:val="18"/>
                <w:szCs w:val="18"/>
              </w:rPr>
            </w:pPr>
            <w:r>
              <w:rPr>
                <w:sz w:val="18"/>
                <w:szCs w:val="18"/>
              </w:rPr>
              <w:t>2010</w:t>
            </w:r>
          </w:p>
        </w:tc>
        <w:tc>
          <w:tcPr>
            <w:tcW w:w="335" w:type="pct"/>
            <w:tcBorders>
              <w:top w:val="single" w:sz="8" w:space="0" w:color="auto"/>
              <w:left w:val="nil"/>
              <w:bottom w:val="single" w:sz="8" w:space="0" w:color="auto"/>
              <w:right w:val="nil"/>
            </w:tcBorders>
            <w:noWrap/>
            <w:hideMark/>
          </w:tcPr>
          <w:p w14:paraId="52935BC1" w14:textId="77777777" w:rsidR="007E34FA" w:rsidRDefault="007E34FA">
            <w:pPr>
              <w:rPr>
                <w:sz w:val="18"/>
                <w:szCs w:val="18"/>
              </w:rPr>
            </w:pPr>
            <w:r>
              <w:rPr>
                <w:sz w:val="18"/>
                <w:szCs w:val="18"/>
              </w:rPr>
              <w:t>2011</w:t>
            </w:r>
          </w:p>
        </w:tc>
        <w:tc>
          <w:tcPr>
            <w:tcW w:w="335" w:type="pct"/>
            <w:tcBorders>
              <w:top w:val="single" w:sz="8" w:space="0" w:color="auto"/>
              <w:left w:val="nil"/>
              <w:bottom w:val="single" w:sz="8" w:space="0" w:color="auto"/>
              <w:right w:val="nil"/>
            </w:tcBorders>
            <w:noWrap/>
            <w:hideMark/>
          </w:tcPr>
          <w:p w14:paraId="7A33D82C" w14:textId="77777777" w:rsidR="007E34FA" w:rsidRDefault="007E34FA">
            <w:pPr>
              <w:rPr>
                <w:sz w:val="18"/>
                <w:szCs w:val="18"/>
              </w:rPr>
            </w:pPr>
            <w:r>
              <w:rPr>
                <w:sz w:val="18"/>
                <w:szCs w:val="18"/>
              </w:rPr>
              <w:t>2012</w:t>
            </w:r>
          </w:p>
        </w:tc>
        <w:tc>
          <w:tcPr>
            <w:tcW w:w="335" w:type="pct"/>
            <w:tcBorders>
              <w:top w:val="single" w:sz="8" w:space="0" w:color="auto"/>
              <w:left w:val="nil"/>
              <w:bottom w:val="single" w:sz="8" w:space="0" w:color="auto"/>
              <w:right w:val="nil"/>
            </w:tcBorders>
            <w:noWrap/>
            <w:hideMark/>
          </w:tcPr>
          <w:p w14:paraId="31F900C1" w14:textId="77777777" w:rsidR="007E34FA" w:rsidRDefault="007E34FA">
            <w:pPr>
              <w:rPr>
                <w:sz w:val="18"/>
                <w:szCs w:val="18"/>
              </w:rPr>
            </w:pPr>
            <w:r>
              <w:rPr>
                <w:sz w:val="18"/>
                <w:szCs w:val="18"/>
              </w:rPr>
              <w:t>2013</w:t>
            </w:r>
          </w:p>
        </w:tc>
        <w:tc>
          <w:tcPr>
            <w:tcW w:w="348" w:type="pct"/>
            <w:tcBorders>
              <w:top w:val="single" w:sz="8" w:space="0" w:color="auto"/>
              <w:left w:val="nil"/>
              <w:bottom w:val="single" w:sz="8" w:space="0" w:color="auto"/>
              <w:right w:val="nil"/>
            </w:tcBorders>
            <w:noWrap/>
            <w:hideMark/>
          </w:tcPr>
          <w:p w14:paraId="389EADD4" w14:textId="77777777" w:rsidR="007E34FA" w:rsidRDefault="007E34FA">
            <w:pPr>
              <w:rPr>
                <w:sz w:val="18"/>
                <w:szCs w:val="18"/>
              </w:rPr>
            </w:pPr>
            <w:r>
              <w:rPr>
                <w:sz w:val="18"/>
                <w:szCs w:val="18"/>
              </w:rPr>
              <w:t>2014</w:t>
            </w:r>
          </w:p>
        </w:tc>
        <w:tc>
          <w:tcPr>
            <w:tcW w:w="493" w:type="pct"/>
            <w:tcBorders>
              <w:top w:val="single" w:sz="8" w:space="0" w:color="auto"/>
              <w:left w:val="nil"/>
              <w:bottom w:val="single" w:sz="8" w:space="0" w:color="auto"/>
              <w:right w:val="nil"/>
            </w:tcBorders>
            <w:hideMark/>
          </w:tcPr>
          <w:p w14:paraId="3A7F5CF5" w14:textId="77777777" w:rsidR="007E34FA" w:rsidRDefault="007E34FA">
            <w:pPr>
              <w:rPr>
                <w:sz w:val="18"/>
                <w:szCs w:val="18"/>
              </w:rPr>
            </w:pPr>
            <w:r>
              <w:rPr>
                <w:sz w:val="18"/>
                <w:szCs w:val="18"/>
              </w:rPr>
              <w:t>All years</w:t>
            </w:r>
          </w:p>
        </w:tc>
      </w:tr>
      <w:tr w:rsidR="007E34FA" w14:paraId="5CB4E063" w14:textId="77777777" w:rsidTr="007E34FA">
        <w:trPr>
          <w:trHeight w:val="300"/>
        </w:trPr>
        <w:tc>
          <w:tcPr>
            <w:tcW w:w="807" w:type="pct"/>
            <w:tcBorders>
              <w:top w:val="single" w:sz="8" w:space="0" w:color="auto"/>
              <w:left w:val="nil"/>
              <w:bottom w:val="single" w:sz="8" w:space="0" w:color="auto"/>
              <w:right w:val="nil"/>
            </w:tcBorders>
            <w:noWrap/>
            <w:hideMark/>
          </w:tcPr>
          <w:p w14:paraId="6E0CD813" w14:textId="77777777" w:rsidR="007E34FA" w:rsidRDefault="007E34FA">
            <w:pPr>
              <w:rPr>
                <w:sz w:val="18"/>
                <w:szCs w:val="18"/>
              </w:rPr>
            </w:pPr>
            <w:r>
              <w:rPr>
                <w:sz w:val="18"/>
                <w:szCs w:val="18"/>
              </w:rPr>
              <w:t>Number of discharges with PCI procedure</w:t>
            </w:r>
          </w:p>
        </w:tc>
        <w:tc>
          <w:tcPr>
            <w:tcW w:w="335" w:type="pct"/>
            <w:tcBorders>
              <w:top w:val="single" w:sz="8" w:space="0" w:color="auto"/>
              <w:left w:val="nil"/>
              <w:bottom w:val="single" w:sz="8" w:space="0" w:color="auto"/>
              <w:right w:val="nil"/>
            </w:tcBorders>
            <w:noWrap/>
            <w:hideMark/>
          </w:tcPr>
          <w:p w14:paraId="7DCA3215" w14:textId="77777777" w:rsidR="007E34FA" w:rsidRDefault="007E34FA">
            <w:pPr>
              <w:rPr>
                <w:rFonts w:ascii="Calibri" w:hAnsi="Calibri"/>
                <w:color w:val="000000"/>
                <w:sz w:val="18"/>
                <w:szCs w:val="18"/>
              </w:rPr>
            </w:pPr>
            <w:r>
              <w:rPr>
                <w:rFonts w:ascii="Calibri" w:hAnsi="Calibri"/>
                <w:color w:val="000000"/>
                <w:sz w:val="18"/>
                <w:szCs w:val="18"/>
              </w:rPr>
              <w:t>719,561</w:t>
            </w:r>
          </w:p>
        </w:tc>
        <w:tc>
          <w:tcPr>
            <w:tcW w:w="335" w:type="pct"/>
            <w:tcBorders>
              <w:top w:val="single" w:sz="8" w:space="0" w:color="auto"/>
              <w:left w:val="nil"/>
              <w:bottom w:val="single" w:sz="8" w:space="0" w:color="auto"/>
              <w:right w:val="nil"/>
            </w:tcBorders>
            <w:noWrap/>
            <w:hideMark/>
          </w:tcPr>
          <w:p w14:paraId="50F04018" w14:textId="77777777" w:rsidR="007E34FA" w:rsidRDefault="007E34FA">
            <w:pPr>
              <w:rPr>
                <w:rFonts w:ascii="Calibri" w:hAnsi="Calibri"/>
                <w:color w:val="000000"/>
                <w:sz w:val="18"/>
                <w:szCs w:val="18"/>
              </w:rPr>
            </w:pPr>
            <w:r>
              <w:rPr>
                <w:rFonts w:ascii="Calibri" w:hAnsi="Calibri"/>
                <w:color w:val="000000"/>
                <w:sz w:val="18"/>
                <w:szCs w:val="18"/>
              </w:rPr>
              <w:t>727,483</w:t>
            </w:r>
          </w:p>
        </w:tc>
        <w:tc>
          <w:tcPr>
            <w:tcW w:w="335" w:type="pct"/>
            <w:tcBorders>
              <w:top w:val="single" w:sz="8" w:space="0" w:color="auto"/>
              <w:left w:val="nil"/>
              <w:bottom w:val="single" w:sz="8" w:space="0" w:color="auto"/>
              <w:right w:val="nil"/>
            </w:tcBorders>
            <w:noWrap/>
            <w:hideMark/>
          </w:tcPr>
          <w:p w14:paraId="2BD7CB49" w14:textId="77777777" w:rsidR="007E34FA" w:rsidRDefault="007E34FA">
            <w:pPr>
              <w:rPr>
                <w:rFonts w:ascii="Calibri" w:hAnsi="Calibri"/>
                <w:color w:val="000000"/>
                <w:sz w:val="18"/>
                <w:szCs w:val="18"/>
              </w:rPr>
            </w:pPr>
            <w:r>
              <w:rPr>
                <w:rFonts w:ascii="Calibri" w:hAnsi="Calibri"/>
                <w:color w:val="000000"/>
                <w:sz w:val="18"/>
                <w:szCs w:val="18"/>
              </w:rPr>
              <w:t>843,009</w:t>
            </w:r>
          </w:p>
        </w:tc>
        <w:tc>
          <w:tcPr>
            <w:tcW w:w="335" w:type="pct"/>
            <w:tcBorders>
              <w:top w:val="single" w:sz="8" w:space="0" w:color="auto"/>
              <w:left w:val="nil"/>
              <w:bottom w:val="single" w:sz="8" w:space="0" w:color="auto"/>
              <w:right w:val="nil"/>
            </w:tcBorders>
            <w:noWrap/>
            <w:hideMark/>
          </w:tcPr>
          <w:p w14:paraId="109E7EF2" w14:textId="77777777" w:rsidR="007E34FA" w:rsidRDefault="007E34FA">
            <w:pPr>
              <w:rPr>
                <w:rFonts w:ascii="Calibri" w:hAnsi="Calibri"/>
                <w:color w:val="000000"/>
                <w:sz w:val="18"/>
                <w:szCs w:val="18"/>
              </w:rPr>
            </w:pPr>
            <w:r>
              <w:rPr>
                <w:rFonts w:ascii="Calibri" w:hAnsi="Calibri"/>
                <w:color w:val="000000"/>
                <w:sz w:val="18"/>
                <w:szCs w:val="18"/>
              </w:rPr>
              <w:t>646,285</w:t>
            </w:r>
          </w:p>
        </w:tc>
        <w:tc>
          <w:tcPr>
            <w:tcW w:w="335" w:type="pct"/>
            <w:tcBorders>
              <w:top w:val="single" w:sz="8" w:space="0" w:color="auto"/>
              <w:left w:val="nil"/>
              <w:bottom w:val="single" w:sz="8" w:space="0" w:color="auto"/>
              <w:right w:val="nil"/>
            </w:tcBorders>
            <w:noWrap/>
            <w:hideMark/>
          </w:tcPr>
          <w:p w14:paraId="2B78D212" w14:textId="77777777" w:rsidR="007E34FA" w:rsidRDefault="007E34FA">
            <w:pPr>
              <w:rPr>
                <w:rFonts w:ascii="Calibri" w:hAnsi="Calibri"/>
                <w:color w:val="000000"/>
                <w:sz w:val="18"/>
                <w:szCs w:val="18"/>
              </w:rPr>
            </w:pPr>
            <w:r>
              <w:rPr>
                <w:rFonts w:ascii="Calibri" w:hAnsi="Calibri"/>
                <w:color w:val="000000"/>
                <w:sz w:val="18"/>
                <w:szCs w:val="18"/>
              </w:rPr>
              <w:t>693,156</w:t>
            </w:r>
          </w:p>
        </w:tc>
        <w:tc>
          <w:tcPr>
            <w:tcW w:w="335" w:type="pct"/>
            <w:tcBorders>
              <w:top w:val="single" w:sz="8" w:space="0" w:color="auto"/>
              <w:left w:val="nil"/>
              <w:bottom w:val="single" w:sz="8" w:space="0" w:color="auto"/>
              <w:right w:val="nil"/>
            </w:tcBorders>
            <w:noWrap/>
            <w:hideMark/>
          </w:tcPr>
          <w:p w14:paraId="551FD34E" w14:textId="77777777" w:rsidR="007E34FA" w:rsidRDefault="007E34FA">
            <w:pPr>
              <w:rPr>
                <w:rFonts w:ascii="Calibri" w:hAnsi="Calibri"/>
                <w:color w:val="000000"/>
                <w:sz w:val="18"/>
                <w:szCs w:val="18"/>
              </w:rPr>
            </w:pPr>
            <w:r>
              <w:rPr>
                <w:rFonts w:ascii="Calibri" w:hAnsi="Calibri"/>
                <w:color w:val="000000"/>
                <w:sz w:val="18"/>
                <w:szCs w:val="18"/>
              </w:rPr>
              <w:t>619,219</w:t>
            </w:r>
          </w:p>
        </w:tc>
        <w:tc>
          <w:tcPr>
            <w:tcW w:w="335" w:type="pct"/>
            <w:tcBorders>
              <w:top w:val="single" w:sz="8" w:space="0" w:color="auto"/>
              <w:left w:val="nil"/>
              <w:bottom w:val="single" w:sz="8" w:space="0" w:color="auto"/>
              <w:right w:val="nil"/>
            </w:tcBorders>
            <w:noWrap/>
            <w:hideMark/>
          </w:tcPr>
          <w:p w14:paraId="40FA3E36" w14:textId="77777777" w:rsidR="007E34FA" w:rsidRDefault="007E34FA">
            <w:pPr>
              <w:rPr>
                <w:rFonts w:ascii="Calibri" w:hAnsi="Calibri"/>
                <w:color w:val="000000"/>
                <w:sz w:val="18"/>
                <w:szCs w:val="18"/>
              </w:rPr>
            </w:pPr>
            <w:r>
              <w:rPr>
                <w:rFonts w:ascii="Calibri" w:hAnsi="Calibri"/>
                <w:color w:val="000000"/>
                <w:sz w:val="18"/>
                <w:szCs w:val="18"/>
              </w:rPr>
              <w:t>500,392</w:t>
            </w:r>
          </w:p>
        </w:tc>
        <w:tc>
          <w:tcPr>
            <w:tcW w:w="335" w:type="pct"/>
            <w:tcBorders>
              <w:top w:val="single" w:sz="8" w:space="0" w:color="auto"/>
              <w:left w:val="nil"/>
              <w:bottom w:val="single" w:sz="8" w:space="0" w:color="auto"/>
              <w:right w:val="nil"/>
            </w:tcBorders>
            <w:noWrap/>
            <w:hideMark/>
          </w:tcPr>
          <w:p w14:paraId="5B318684" w14:textId="77777777" w:rsidR="007E34FA" w:rsidRDefault="007E34FA">
            <w:pPr>
              <w:rPr>
                <w:rFonts w:ascii="Calibri" w:hAnsi="Calibri"/>
                <w:color w:val="000000"/>
                <w:sz w:val="18"/>
                <w:szCs w:val="18"/>
              </w:rPr>
            </w:pPr>
            <w:r>
              <w:rPr>
                <w:rFonts w:ascii="Calibri" w:hAnsi="Calibri"/>
                <w:color w:val="000000"/>
                <w:sz w:val="18"/>
                <w:szCs w:val="18"/>
              </w:rPr>
              <w:t>526,798</w:t>
            </w:r>
          </w:p>
        </w:tc>
        <w:tc>
          <w:tcPr>
            <w:tcW w:w="335" w:type="pct"/>
            <w:tcBorders>
              <w:top w:val="single" w:sz="8" w:space="0" w:color="auto"/>
              <w:left w:val="nil"/>
              <w:bottom w:val="single" w:sz="8" w:space="0" w:color="auto"/>
              <w:right w:val="nil"/>
            </w:tcBorders>
            <w:noWrap/>
            <w:hideMark/>
          </w:tcPr>
          <w:p w14:paraId="16025B2F" w14:textId="77777777" w:rsidR="007E34FA" w:rsidRDefault="007E34FA">
            <w:pPr>
              <w:rPr>
                <w:rFonts w:ascii="Calibri" w:hAnsi="Calibri"/>
                <w:color w:val="000000"/>
                <w:sz w:val="18"/>
                <w:szCs w:val="18"/>
              </w:rPr>
            </w:pPr>
            <w:r>
              <w:rPr>
                <w:rFonts w:ascii="Calibri" w:hAnsi="Calibri"/>
                <w:color w:val="000000"/>
                <w:sz w:val="18"/>
                <w:szCs w:val="18"/>
              </w:rPr>
              <w:t>471,346</w:t>
            </w:r>
          </w:p>
        </w:tc>
        <w:tc>
          <w:tcPr>
            <w:tcW w:w="335" w:type="pct"/>
            <w:tcBorders>
              <w:top w:val="single" w:sz="8" w:space="0" w:color="auto"/>
              <w:left w:val="nil"/>
              <w:bottom w:val="single" w:sz="8" w:space="0" w:color="auto"/>
              <w:right w:val="nil"/>
            </w:tcBorders>
            <w:noWrap/>
            <w:hideMark/>
          </w:tcPr>
          <w:p w14:paraId="7370DCC2" w14:textId="77777777" w:rsidR="007E34FA" w:rsidRDefault="007E34FA">
            <w:pPr>
              <w:rPr>
                <w:rFonts w:ascii="Calibri" w:hAnsi="Calibri"/>
                <w:color w:val="000000"/>
                <w:sz w:val="18"/>
                <w:szCs w:val="18"/>
              </w:rPr>
            </w:pPr>
            <w:r>
              <w:rPr>
                <w:rFonts w:ascii="Calibri" w:hAnsi="Calibri"/>
                <w:color w:val="000000"/>
                <w:sz w:val="18"/>
                <w:szCs w:val="18"/>
              </w:rPr>
              <w:t>441,639</w:t>
            </w:r>
          </w:p>
        </w:tc>
        <w:tc>
          <w:tcPr>
            <w:tcW w:w="348" w:type="pct"/>
            <w:tcBorders>
              <w:top w:val="single" w:sz="8" w:space="0" w:color="auto"/>
              <w:left w:val="nil"/>
              <w:bottom w:val="single" w:sz="8" w:space="0" w:color="auto"/>
              <w:right w:val="nil"/>
            </w:tcBorders>
            <w:noWrap/>
            <w:hideMark/>
          </w:tcPr>
          <w:p w14:paraId="4BD1F1A4" w14:textId="77777777" w:rsidR="007E34FA" w:rsidRDefault="007E34FA">
            <w:pPr>
              <w:rPr>
                <w:rFonts w:ascii="Calibri" w:hAnsi="Calibri"/>
                <w:color w:val="000000"/>
                <w:sz w:val="18"/>
                <w:szCs w:val="18"/>
              </w:rPr>
            </w:pPr>
            <w:r>
              <w:rPr>
                <w:rFonts w:ascii="Calibri" w:hAnsi="Calibri"/>
                <w:color w:val="000000"/>
                <w:sz w:val="18"/>
                <w:szCs w:val="18"/>
              </w:rPr>
              <w:t>412,593</w:t>
            </w:r>
          </w:p>
        </w:tc>
        <w:tc>
          <w:tcPr>
            <w:tcW w:w="493" w:type="pct"/>
            <w:tcBorders>
              <w:top w:val="single" w:sz="8" w:space="0" w:color="auto"/>
              <w:left w:val="nil"/>
              <w:bottom w:val="single" w:sz="8" w:space="0" w:color="auto"/>
              <w:right w:val="nil"/>
            </w:tcBorders>
            <w:hideMark/>
          </w:tcPr>
          <w:p w14:paraId="50300176" w14:textId="77777777" w:rsidR="007E34FA" w:rsidRDefault="007E34FA">
            <w:pPr>
              <w:rPr>
                <w:rFonts w:ascii="Calibri" w:hAnsi="Calibri"/>
                <w:color w:val="000000"/>
                <w:sz w:val="18"/>
                <w:szCs w:val="18"/>
              </w:rPr>
            </w:pPr>
            <w:r>
              <w:rPr>
                <w:rFonts w:ascii="Calibri" w:hAnsi="Calibri"/>
                <w:color w:val="000000"/>
                <w:sz w:val="18"/>
                <w:szCs w:val="18"/>
              </w:rPr>
              <w:t>6,601,480</w:t>
            </w:r>
          </w:p>
        </w:tc>
      </w:tr>
      <w:tr w:rsidR="007E34FA" w14:paraId="105A8BC4" w14:textId="77777777" w:rsidTr="007E34FA">
        <w:trPr>
          <w:trHeight w:val="300"/>
        </w:trPr>
        <w:tc>
          <w:tcPr>
            <w:tcW w:w="807" w:type="pct"/>
            <w:tcBorders>
              <w:top w:val="single" w:sz="8" w:space="0" w:color="auto"/>
              <w:left w:val="nil"/>
              <w:bottom w:val="single" w:sz="8" w:space="0" w:color="auto"/>
              <w:right w:val="nil"/>
            </w:tcBorders>
            <w:noWrap/>
            <w:hideMark/>
          </w:tcPr>
          <w:p w14:paraId="22110B9C" w14:textId="77777777" w:rsidR="007E34FA" w:rsidRDefault="007E34FA">
            <w:pPr>
              <w:rPr>
                <w:sz w:val="18"/>
                <w:szCs w:val="18"/>
              </w:rPr>
            </w:pPr>
            <w:r>
              <w:rPr>
                <w:sz w:val="18"/>
                <w:szCs w:val="18"/>
              </w:rPr>
              <w:t>Median Age, [IQR] (years)</w:t>
            </w:r>
          </w:p>
        </w:tc>
        <w:tc>
          <w:tcPr>
            <w:tcW w:w="335" w:type="pct"/>
            <w:tcBorders>
              <w:top w:val="single" w:sz="8" w:space="0" w:color="auto"/>
              <w:left w:val="nil"/>
              <w:bottom w:val="single" w:sz="8" w:space="0" w:color="auto"/>
              <w:right w:val="nil"/>
            </w:tcBorders>
            <w:noWrap/>
            <w:hideMark/>
          </w:tcPr>
          <w:p w14:paraId="02F72AC1" w14:textId="77777777" w:rsidR="007E34FA" w:rsidRDefault="007E34FA">
            <w:pPr>
              <w:rPr>
                <w:sz w:val="18"/>
                <w:szCs w:val="18"/>
              </w:rPr>
            </w:pPr>
            <w:r>
              <w:rPr>
                <w:sz w:val="18"/>
                <w:szCs w:val="18"/>
              </w:rPr>
              <w:t>65 [56-74]</w:t>
            </w:r>
          </w:p>
        </w:tc>
        <w:tc>
          <w:tcPr>
            <w:tcW w:w="335" w:type="pct"/>
            <w:tcBorders>
              <w:top w:val="single" w:sz="8" w:space="0" w:color="auto"/>
              <w:left w:val="nil"/>
              <w:bottom w:val="single" w:sz="8" w:space="0" w:color="auto"/>
              <w:right w:val="nil"/>
            </w:tcBorders>
            <w:noWrap/>
            <w:hideMark/>
          </w:tcPr>
          <w:p w14:paraId="5F2FE1BD" w14:textId="77777777" w:rsidR="007E34FA" w:rsidRDefault="007E34FA">
            <w:pPr>
              <w:rPr>
                <w:sz w:val="18"/>
                <w:szCs w:val="18"/>
              </w:rPr>
            </w:pPr>
            <w:r>
              <w:rPr>
                <w:sz w:val="18"/>
                <w:szCs w:val="18"/>
              </w:rPr>
              <w:t>65 [56-74]</w:t>
            </w:r>
          </w:p>
        </w:tc>
        <w:tc>
          <w:tcPr>
            <w:tcW w:w="335" w:type="pct"/>
            <w:tcBorders>
              <w:top w:val="single" w:sz="8" w:space="0" w:color="auto"/>
              <w:left w:val="nil"/>
              <w:bottom w:val="single" w:sz="8" w:space="0" w:color="auto"/>
              <w:right w:val="nil"/>
            </w:tcBorders>
            <w:noWrap/>
            <w:hideMark/>
          </w:tcPr>
          <w:p w14:paraId="4AF3EF45" w14:textId="77777777" w:rsidR="007E34FA" w:rsidRDefault="007E34FA">
            <w:pPr>
              <w:rPr>
                <w:sz w:val="18"/>
                <w:szCs w:val="18"/>
              </w:rPr>
            </w:pPr>
            <w:r>
              <w:rPr>
                <w:sz w:val="18"/>
                <w:szCs w:val="18"/>
              </w:rPr>
              <w:t>65 [56-74]</w:t>
            </w:r>
          </w:p>
        </w:tc>
        <w:tc>
          <w:tcPr>
            <w:tcW w:w="335" w:type="pct"/>
            <w:tcBorders>
              <w:top w:val="single" w:sz="8" w:space="0" w:color="auto"/>
              <w:left w:val="nil"/>
              <w:bottom w:val="single" w:sz="8" w:space="0" w:color="auto"/>
              <w:right w:val="nil"/>
            </w:tcBorders>
            <w:noWrap/>
            <w:hideMark/>
          </w:tcPr>
          <w:p w14:paraId="0B2F1238" w14:textId="77777777" w:rsidR="007E34FA" w:rsidRDefault="007E34FA">
            <w:pPr>
              <w:rPr>
                <w:sz w:val="18"/>
                <w:szCs w:val="18"/>
              </w:rPr>
            </w:pPr>
            <w:r>
              <w:rPr>
                <w:sz w:val="18"/>
                <w:szCs w:val="18"/>
              </w:rPr>
              <w:t>65 [56-74]</w:t>
            </w:r>
          </w:p>
        </w:tc>
        <w:tc>
          <w:tcPr>
            <w:tcW w:w="335" w:type="pct"/>
            <w:tcBorders>
              <w:top w:val="single" w:sz="8" w:space="0" w:color="auto"/>
              <w:left w:val="nil"/>
              <w:bottom w:val="single" w:sz="8" w:space="0" w:color="auto"/>
              <w:right w:val="nil"/>
            </w:tcBorders>
            <w:noWrap/>
            <w:hideMark/>
          </w:tcPr>
          <w:p w14:paraId="27DAB441" w14:textId="77777777" w:rsidR="007E34FA" w:rsidRDefault="007E34FA">
            <w:pPr>
              <w:rPr>
                <w:sz w:val="18"/>
                <w:szCs w:val="18"/>
              </w:rPr>
            </w:pPr>
            <w:r>
              <w:rPr>
                <w:sz w:val="18"/>
                <w:szCs w:val="18"/>
              </w:rPr>
              <w:t>65 [56-74]</w:t>
            </w:r>
          </w:p>
        </w:tc>
        <w:tc>
          <w:tcPr>
            <w:tcW w:w="335" w:type="pct"/>
            <w:tcBorders>
              <w:top w:val="single" w:sz="8" w:space="0" w:color="auto"/>
              <w:left w:val="nil"/>
              <w:bottom w:val="single" w:sz="8" w:space="0" w:color="auto"/>
              <w:right w:val="nil"/>
            </w:tcBorders>
            <w:noWrap/>
            <w:hideMark/>
          </w:tcPr>
          <w:p w14:paraId="0C41E726" w14:textId="77777777" w:rsidR="007E34FA" w:rsidRDefault="007E34FA">
            <w:pPr>
              <w:rPr>
                <w:sz w:val="18"/>
                <w:szCs w:val="18"/>
              </w:rPr>
            </w:pPr>
            <w:r>
              <w:rPr>
                <w:sz w:val="18"/>
                <w:szCs w:val="18"/>
              </w:rPr>
              <w:t>65 [56-74]</w:t>
            </w:r>
          </w:p>
        </w:tc>
        <w:tc>
          <w:tcPr>
            <w:tcW w:w="335" w:type="pct"/>
            <w:tcBorders>
              <w:top w:val="single" w:sz="8" w:space="0" w:color="auto"/>
              <w:left w:val="nil"/>
              <w:bottom w:val="single" w:sz="8" w:space="0" w:color="auto"/>
              <w:right w:val="nil"/>
            </w:tcBorders>
            <w:noWrap/>
            <w:hideMark/>
          </w:tcPr>
          <w:p w14:paraId="574D65DC" w14:textId="77777777" w:rsidR="007E34FA" w:rsidRDefault="007E34FA">
            <w:pPr>
              <w:rPr>
                <w:sz w:val="18"/>
                <w:szCs w:val="18"/>
              </w:rPr>
            </w:pPr>
            <w:r>
              <w:rPr>
                <w:sz w:val="18"/>
                <w:szCs w:val="18"/>
              </w:rPr>
              <w:t>64 [55-74]</w:t>
            </w:r>
          </w:p>
        </w:tc>
        <w:tc>
          <w:tcPr>
            <w:tcW w:w="335" w:type="pct"/>
            <w:tcBorders>
              <w:top w:val="single" w:sz="8" w:space="0" w:color="auto"/>
              <w:left w:val="nil"/>
              <w:bottom w:val="single" w:sz="8" w:space="0" w:color="auto"/>
              <w:right w:val="nil"/>
            </w:tcBorders>
            <w:noWrap/>
            <w:hideMark/>
          </w:tcPr>
          <w:p w14:paraId="4F498695" w14:textId="77777777" w:rsidR="007E34FA" w:rsidRDefault="007E34FA">
            <w:pPr>
              <w:rPr>
                <w:sz w:val="18"/>
                <w:szCs w:val="18"/>
              </w:rPr>
            </w:pPr>
            <w:r>
              <w:rPr>
                <w:sz w:val="18"/>
                <w:szCs w:val="18"/>
              </w:rPr>
              <w:t>65 [56-74]</w:t>
            </w:r>
          </w:p>
        </w:tc>
        <w:tc>
          <w:tcPr>
            <w:tcW w:w="335" w:type="pct"/>
            <w:tcBorders>
              <w:top w:val="single" w:sz="8" w:space="0" w:color="auto"/>
              <w:left w:val="nil"/>
              <w:bottom w:val="single" w:sz="8" w:space="0" w:color="auto"/>
              <w:right w:val="nil"/>
            </w:tcBorders>
            <w:noWrap/>
            <w:hideMark/>
          </w:tcPr>
          <w:p w14:paraId="52BCDDEA" w14:textId="77777777" w:rsidR="007E34FA" w:rsidRDefault="007E34FA">
            <w:pPr>
              <w:rPr>
                <w:sz w:val="18"/>
                <w:szCs w:val="18"/>
              </w:rPr>
            </w:pPr>
            <w:r>
              <w:rPr>
                <w:sz w:val="18"/>
                <w:szCs w:val="18"/>
              </w:rPr>
              <w:t>65 [56-74]</w:t>
            </w:r>
          </w:p>
        </w:tc>
        <w:tc>
          <w:tcPr>
            <w:tcW w:w="335" w:type="pct"/>
            <w:tcBorders>
              <w:top w:val="single" w:sz="8" w:space="0" w:color="auto"/>
              <w:left w:val="nil"/>
              <w:bottom w:val="single" w:sz="8" w:space="0" w:color="auto"/>
              <w:right w:val="nil"/>
            </w:tcBorders>
            <w:noWrap/>
            <w:hideMark/>
          </w:tcPr>
          <w:p w14:paraId="329A4767" w14:textId="77777777" w:rsidR="007E34FA" w:rsidRDefault="007E34FA">
            <w:pPr>
              <w:rPr>
                <w:sz w:val="18"/>
                <w:szCs w:val="18"/>
              </w:rPr>
            </w:pPr>
            <w:r>
              <w:rPr>
                <w:sz w:val="18"/>
                <w:szCs w:val="18"/>
              </w:rPr>
              <w:t>65 [56-74]</w:t>
            </w:r>
          </w:p>
        </w:tc>
        <w:tc>
          <w:tcPr>
            <w:tcW w:w="348" w:type="pct"/>
            <w:tcBorders>
              <w:top w:val="single" w:sz="8" w:space="0" w:color="auto"/>
              <w:left w:val="nil"/>
              <w:bottom w:val="single" w:sz="8" w:space="0" w:color="auto"/>
              <w:right w:val="nil"/>
            </w:tcBorders>
            <w:noWrap/>
            <w:hideMark/>
          </w:tcPr>
          <w:p w14:paraId="63B21BBF" w14:textId="77777777" w:rsidR="007E34FA" w:rsidRDefault="007E34FA">
            <w:pPr>
              <w:rPr>
                <w:sz w:val="18"/>
                <w:szCs w:val="18"/>
              </w:rPr>
            </w:pPr>
            <w:r>
              <w:rPr>
                <w:sz w:val="18"/>
                <w:szCs w:val="18"/>
              </w:rPr>
              <w:t>64 [56-74]</w:t>
            </w:r>
          </w:p>
        </w:tc>
        <w:tc>
          <w:tcPr>
            <w:tcW w:w="493" w:type="pct"/>
            <w:tcBorders>
              <w:top w:val="single" w:sz="8" w:space="0" w:color="auto"/>
              <w:left w:val="nil"/>
              <w:bottom w:val="single" w:sz="8" w:space="0" w:color="auto"/>
              <w:right w:val="nil"/>
            </w:tcBorders>
            <w:hideMark/>
          </w:tcPr>
          <w:p w14:paraId="42DF6CB7" w14:textId="77777777" w:rsidR="007E34FA" w:rsidRDefault="007E34FA">
            <w:pPr>
              <w:rPr>
                <w:sz w:val="18"/>
                <w:szCs w:val="18"/>
              </w:rPr>
            </w:pPr>
            <w:r>
              <w:rPr>
                <w:sz w:val="18"/>
                <w:szCs w:val="18"/>
              </w:rPr>
              <w:t>65 [56-74]</w:t>
            </w:r>
          </w:p>
        </w:tc>
      </w:tr>
      <w:tr w:rsidR="007E34FA" w14:paraId="2FFCC874" w14:textId="77777777" w:rsidTr="007E34FA">
        <w:trPr>
          <w:trHeight w:val="300"/>
        </w:trPr>
        <w:tc>
          <w:tcPr>
            <w:tcW w:w="807" w:type="pct"/>
            <w:tcBorders>
              <w:top w:val="single" w:sz="8" w:space="0" w:color="auto"/>
              <w:left w:val="nil"/>
              <w:bottom w:val="single" w:sz="8" w:space="0" w:color="auto"/>
              <w:right w:val="nil"/>
            </w:tcBorders>
            <w:noWrap/>
            <w:hideMark/>
          </w:tcPr>
          <w:p w14:paraId="7CB0852A" w14:textId="77777777" w:rsidR="007E34FA" w:rsidRDefault="007E34FA">
            <w:pPr>
              <w:rPr>
                <w:sz w:val="18"/>
                <w:szCs w:val="18"/>
              </w:rPr>
            </w:pPr>
            <w:r>
              <w:rPr>
                <w:sz w:val="18"/>
                <w:szCs w:val="18"/>
              </w:rPr>
              <w:t>Men</w:t>
            </w:r>
          </w:p>
        </w:tc>
        <w:tc>
          <w:tcPr>
            <w:tcW w:w="335" w:type="pct"/>
            <w:tcBorders>
              <w:top w:val="single" w:sz="8" w:space="0" w:color="auto"/>
              <w:left w:val="nil"/>
              <w:bottom w:val="single" w:sz="8" w:space="0" w:color="auto"/>
              <w:right w:val="nil"/>
            </w:tcBorders>
            <w:noWrap/>
            <w:hideMark/>
          </w:tcPr>
          <w:p w14:paraId="1AF1877C" w14:textId="77777777" w:rsidR="007E34FA" w:rsidRDefault="007E34FA">
            <w:pPr>
              <w:rPr>
                <w:sz w:val="18"/>
                <w:szCs w:val="18"/>
              </w:rPr>
            </w:pPr>
            <w:r>
              <w:rPr>
                <w:sz w:val="18"/>
                <w:szCs w:val="18"/>
              </w:rPr>
              <w:t xml:space="preserve"> 65.7%</w:t>
            </w:r>
          </w:p>
        </w:tc>
        <w:tc>
          <w:tcPr>
            <w:tcW w:w="335" w:type="pct"/>
            <w:tcBorders>
              <w:top w:val="single" w:sz="8" w:space="0" w:color="auto"/>
              <w:left w:val="nil"/>
              <w:bottom w:val="single" w:sz="8" w:space="0" w:color="auto"/>
              <w:right w:val="nil"/>
            </w:tcBorders>
            <w:noWrap/>
            <w:hideMark/>
          </w:tcPr>
          <w:p w14:paraId="3EE750D3" w14:textId="77777777" w:rsidR="007E34FA" w:rsidRDefault="007E34FA">
            <w:pPr>
              <w:rPr>
                <w:sz w:val="18"/>
                <w:szCs w:val="18"/>
              </w:rPr>
            </w:pPr>
            <w:r>
              <w:rPr>
                <w:sz w:val="18"/>
                <w:szCs w:val="18"/>
              </w:rPr>
              <w:t xml:space="preserve"> 66.5%</w:t>
            </w:r>
          </w:p>
        </w:tc>
        <w:tc>
          <w:tcPr>
            <w:tcW w:w="335" w:type="pct"/>
            <w:tcBorders>
              <w:top w:val="single" w:sz="8" w:space="0" w:color="auto"/>
              <w:left w:val="nil"/>
              <w:bottom w:val="single" w:sz="8" w:space="0" w:color="auto"/>
              <w:right w:val="nil"/>
            </w:tcBorders>
            <w:noWrap/>
            <w:hideMark/>
          </w:tcPr>
          <w:p w14:paraId="4B149202" w14:textId="77777777" w:rsidR="007E34FA" w:rsidRDefault="007E34FA">
            <w:pPr>
              <w:rPr>
                <w:sz w:val="18"/>
                <w:szCs w:val="18"/>
              </w:rPr>
            </w:pPr>
            <w:r>
              <w:rPr>
                <w:sz w:val="18"/>
                <w:szCs w:val="18"/>
              </w:rPr>
              <w:t xml:space="preserve"> 66.0%</w:t>
            </w:r>
          </w:p>
        </w:tc>
        <w:tc>
          <w:tcPr>
            <w:tcW w:w="335" w:type="pct"/>
            <w:tcBorders>
              <w:top w:val="single" w:sz="8" w:space="0" w:color="auto"/>
              <w:left w:val="nil"/>
              <w:bottom w:val="single" w:sz="8" w:space="0" w:color="auto"/>
              <w:right w:val="nil"/>
            </w:tcBorders>
            <w:noWrap/>
            <w:hideMark/>
          </w:tcPr>
          <w:p w14:paraId="6F322B05" w14:textId="77777777" w:rsidR="007E34FA" w:rsidRDefault="007E34FA">
            <w:pPr>
              <w:rPr>
                <w:sz w:val="18"/>
                <w:szCs w:val="18"/>
              </w:rPr>
            </w:pPr>
            <w:r>
              <w:rPr>
                <w:sz w:val="18"/>
                <w:szCs w:val="18"/>
              </w:rPr>
              <w:t xml:space="preserve"> 66.1%</w:t>
            </w:r>
          </w:p>
        </w:tc>
        <w:tc>
          <w:tcPr>
            <w:tcW w:w="335" w:type="pct"/>
            <w:tcBorders>
              <w:top w:val="single" w:sz="8" w:space="0" w:color="auto"/>
              <w:left w:val="nil"/>
              <w:bottom w:val="single" w:sz="8" w:space="0" w:color="auto"/>
              <w:right w:val="nil"/>
            </w:tcBorders>
            <w:noWrap/>
            <w:hideMark/>
          </w:tcPr>
          <w:p w14:paraId="72A945EA" w14:textId="77777777" w:rsidR="007E34FA" w:rsidRDefault="007E34FA">
            <w:pPr>
              <w:rPr>
                <w:sz w:val="18"/>
                <w:szCs w:val="18"/>
              </w:rPr>
            </w:pPr>
            <w:r>
              <w:rPr>
                <w:sz w:val="18"/>
                <w:szCs w:val="18"/>
              </w:rPr>
              <w:t xml:space="preserve"> 66.1%</w:t>
            </w:r>
          </w:p>
        </w:tc>
        <w:tc>
          <w:tcPr>
            <w:tcW w:w="335" w:type="pct"/>
            <w:tcBorders>
              <w:top w:val="single" w:sz="8" w:space="0" w:color="auto"/>
              <w:left w:val="nil"/>
              <w:bottom w:val="single" w:sz="8" w:space="0" w:color="auto"/>
              <w:right w:val="nil"/>
            </w:tcBorders>
            <w:noWrap/>
            <w:hideMark/>
          </w:tcPr>
          <w:p w14:paraId="62EC1FD0" w14:textId="77777777" w:rsidR="007E34FA" w:rsidRDefault="007E34FA">
            <w:pPr>
              <w:rPr>
                <w:sz w:val="18"/>
                <w:szCs w:val="18"/>
              </w:rPr>
            </w:pPr>
            <w:r>
              <w:rPr>
                <w:sz w:val="18"/>
                <w:szCs w:val="18"/>
              </w:rPr>
              <w:t xml:space="preserve"> 65.9%</w:t>
            </w:r>
          </w:p>
        </w:tc>
        <w:tc>
          <w:tcPr>
            <w:tcW w:w="335" w:type="pct"/>
            <w:tcBorders>
              <w:top w:val="single" w:sz="8" w:space="0" w:color="auto"/>
              <w:left w:val="nil"/>
              <w:bottom w:val="single" w:sz="8" w:space="0" w:color="auto"/>
              <w:right w:val="nil"/>
            </w:tcBorders>
            <w:noWrap/>
            <w:hideMark/>
          </w:tcPr>
          <w:p w14:paraId="178D4781" w14:textId="77777777" w:rsidR="007E34FA" w:rsidRDefault="007E34FA">
            <w:pPr>
              <w:rPr>
                <w:sz w:val="18"/>
                <w:szCs w:val="18"/>
              </w:rPr>
            </w:pPr>
            <w:r>
              <w:rPr>
                <w:sz w:val="18"/>
                <w:szCs w:val="18"/>
              </w:rPr>
              <w:t xml:space="preserve"> 66.9%</w:t>
            </w:r>
          </w:p>
        </w:tc>
        <w:tc>
          <w:tcPr>
            <w:tcW w:w="335" w:type="pct"/>
            <w:tcBorders>
              <w:top w:val="single" w:sz="8" w:space="0" w:color="auto"/>
              <w:left w:val="nil"/>
              <w:bottom w:val="single" w:sz="8" w:space="0" w:color="auto"/>
              <w:right w:val="nil"/>
            </w:tcBorders>
            <w:noWrap/>
            <w:hideMark/>
          </w:tcPr>
          <w:p w14:paraId="21FCEAA5" w14:textId="77777777" w:rsidR="007E34FA" w:rsidRDefault="007E34FA">
            <w:pPr>
              <w:rPr>
                <w:sz w:val="18"/>
                <w:szCs w:val="18"/>
              </w:rPr>
            </w:pPr>
            <w:r>
              <w:rPr>
                <w:sz w:val="18"/>
                <w:szCs w:val="18"/>
              </w:rPr>
              <w:t xml:space="preserve"> 66.3%</w:t>
            </w:r>
          </w:p>
        </w:tc>
        <w:tc>
          <w:tcPr>
            <w:tcW w:w="335" w:type="pct"/>
            <w:tcBorders>
              <w:top w:val="single" w:sz="8" w:space="0" w:color="auto"/>
              <w:left w:val="nil"/>
              <w:bottom w:val="single" w:sz="8" w:space="0" w:color="auto"/>
              <w:right w:val="nil"/>
            </w:tcBorders>
            <w:noWrap/>
            <w:hideMark/>
          </w:tcPr>
          <w:p w14:paraId="7EC27A0E" w14:textId="77777777" w:rsidR="007E34FA" w:rsidRDefault="007E34FA">
            <w:pPr>
              <w:rPr>
                <w:sz w:val="18"/>
                <w:szCs w:val="18"/>
              </w:rPr>
            </w:pPr>
            <w:r>
              <w:rPr>
                <w:sz w:val="18"/>
                <w:szCs w:val="18"/>
              </w:rPr>
              <w:t xml:space="preserve"> 66.6%</w:t>
            </w:r>
          </w:p>
        </w:tc>
        <w:tc>
          <w:tcPr>
            <w:tcW w:w="335" w:type="pct"/>
            <w:tcBorders>
              <w:top w:val="single" w:sz="8" w:space="0" w:color="auto"/>
              <w:left w:val="nil"/>
              <w:bottom w:val="single" w:sz="8" w:space="0" w:color="auto"/>
              <w:right w:val="nil"/>
            </w:tcBorders>
            <w:noWrap/>
            <w:hideMark/>
          </w:tcPr>
          <w:p w14:paraId="05D15B2F" w14:textId="77777777" w:rsidR="007E34FA" w:rsidRDefault="007E34FA">
            <w:pPr>
              <w:rPr>
                <w:sz w:val="18"/>
                <w:szCs w:val="18"/>
              </w:rPr>
            </w:pPr>
            <w:r>
              <w:rPr>
                <w:sz w:val="18"/>
                <w:szCs w:val="18"/>
              </w:rPr>
              <w:t xml:space="preserve"> 67.0%</w:t>
            </w:r>
          </w:p>
        </w:tc>
        <w:tc>
          <w:tcPr>
            <w:tcW w:w="348" w:type="pct"/>
            <w:tcBorders>
              <w:top w:val="single" w:sz="8" w:space="0" w:color="auto"/>
              <w:left w:val="nil"/>
              <w:bottom w:val="single" w:sz="8" w:space="0" w:color="auto"/>
              <w:right w:val="nil"/>
            </w:tcBorders>
            <w:noWrap/>
            <w:hideMark/>
          </w:tcPr>
          <w:p w14:paraId="4BA3C35C" w14:textId="77777777" w:rsidR="007E34FA" w:rsidRDefault="007E34FA">
            <w:pPr>
              <w:rPr>
                <w:sz w:val="18"/>
                <w:szCs w:val="18"/>
              </w:rPr>
            </w:pPr>
            <w:r>
              <w:rPr>
                <w:sz w:val="18"/>
                <w:szCs w:val="18"/>
              </w:rPr>
              <w:t xml:space="preserve"> 67.5%</w:t>
            </w:r>
          </w:p>
        </w:tc>
        <w:tc>
          <w:tcPr>
            <w:tcW w:w="493" w:type="pct"/>
            <w:tcBorders>
              <w:top w:val="single" w:sz="8" w:space="0" w:color="auto"/>
              <w:left w:val="nil"/>
              <w:bottom w:val="single" w:sz="8" w:space="0" w:color="auto"/>
              <w:right w:val="nil"/>
            </w:tcBorders>
            <w:hideMark/>
          </w:tcPr>
          <w:p w14:paraId="648A7D7B" w14:textId="77777777" w:rsidR="007E34FA" w:rsidRDefault="007E34FA">
            <w:pPr>
              <w:rPr>
                <w:rFonts w:ascii="Calibri" w:hAnsi="Calibri"/>
                <w:color w:val="000000"/>
                <w:sz w:val="18"/>
                <w:szCs w:val="18"/>
              </w:rPr>
            </w:pPr>
            <w:r>
              <w:rPr>
                <w:rFonts w:ascii="Calibri" w:hAnsi="Calibri"/>
                <w:color w:val="000000"/>
                <w:sz w:val="18"/>
                <w:szCs w:val="18"/>
              </w:rPr>
              <w:t>66.4%</w:t>
            </w:r>
          </w:p>
        </w:tc>
      </w:tr>
      <w:tr w:rsidR="007E34FA" w14:paraId="0AE5CCF2" w14:textId="77777777" w:rsidTr="007E34FA">
        <w:trPr>
          <w:trHeight w:val="300"/>
        </w:trPr>
        <w:tc>
          <w:tcPr>
            <w:tcW w:w="807" w:type="pct"/>
            <w:tcBorders>
              <w:top w:val="single" w:sz="8" w:space="0" w:color="auto"/>
              <w:left w:val="nil"/>
              <w:bottom w:val="single" w:sz="8" w:space="0" w:color="auto"/>
              <w:right w:val="nil"/>
            </w:tcBorders>
            <w:noWrap/>
            <w:hideMark/>
          </w:tcPr>
          <w:p w14:paraId="0FA2CBC8" w14:textId="77777777" w:rsidR="007E34FA" w:rsidRDefault="007E34FA">
            <w:pPr>
              <w:rPr>
                <w:sz w:val="18"/>
                <w:szCs w:val="18"/>
              </w:rPr>
            </w:pPr>
            <w:r>
              <w:rPr>
                <w:sz w:val="18"/>
                <w:szCs w:val="18"/>
              </w:rPr>
              <w:t>White</w:t>
            </w:r>
          </w:p>
        </w:tc>
        <w:tc>
          <w:tcPr>
            <w:tcW w:w="335" w:type="pct"/>
            <w:tcBorders>
              <w:top w:val="single" w:sz="8" w:space="0" w:color="auto"/>
              <w:left w:val="nil"/>
              <w:bottom w:val="single" w:sz="8" w:space="0" w:color="auto"/>
              <w:right w:val="nil"/>
            </w:tcBorders>
            <w:noWrap/>
            <w:hideMark/>
          </w:tcPr>
          <w:p w14:paraId="73706FA0" w14:textId="77777777" w:rsidR="007E34FA" w:rsidRDefault="007E34FA">
            <w:pPr>
              <w:rPr>
                <w:rFonts w:ascii="Calibri" w:hAnsi="Calibri"/>
                <w:color w:val="000000"/>
                <w:sz w:val="18"/>
                <w:szCs w:val="18"/>
              </w:rPr>
            </w:pPr>
            <w:r>
              <w:rPr>
                <w:rFonts w:ascii="Calibri" w:hAnsi="Calibri"/>
                <w:color w:val="000000"/>
                <w:sz w:val="18"/>
                <w:szCs w:val="18"/>
              </w:rPr>
              <w:t>57.3%</w:t>
            </w:r>
          </w:p>
        </w:tc>
        <w:tc>
          <w:tcPr>
            <w:tcW w:w="335" w:type="pct"/>
            <w:tcBorders>
              <w:top w:val="single" w:sz="8" w:space="0" w:color="auto"/>
              <w:left w:val="nil"/>
              <w:bottom w:val="single" w:sz="8" w:space="0" w:color="auto"/>
              <w:right w:val="nil"/>
            </w:tcBorders>
            <w:noWrap/>
            <w:hideMark/>
          </w:tcPr>
          <w:p w14:paraId="3B774144" w14:textId="77777777" w:rsidR="007E34FA" w:rsidRDefault="007E34FA">
            <w:pPr>
              <w:rPr>
                <w:rFonts w:ascii="Calibri" w:hAnsi="Calibri"/>
                <w:color w:val="000000"/>
                <w:sz w:val="18"/>
                <w:szCs w:val="18"/>
              </w:rPr>
            </w:pPr>
            <w:r>
              <w:rPr>
                <w:rFonts w:ascii="Calibri" w:hAnsi="Calibri"/>
                <w:color w:val="000000"/>
                <w:sz w:val="18"/>
                <w:szCs w:val="18"/>
              </w:rPr>
              <w:t>59.2%</w:t>
            </w:r>
          </w:p>
        </w:tc>
        <w:tc>
          <w:tcPr>
            <w:tcW w:w="335" w:type="pct"/>
            <w:tcBorders>
              <w:top w:val="single" w:sz="8" w:space="0" w:color="auto"/>
              <w:left w:val="nil"/>
              <w:bottom w:val="single" w:sz="8" w:space="0" w:color="auto"/>
              <w:right w:val="nil"/>
            </w:tcBorders>
            <w:noWrap/>
            <w:hideMark/>
          </w:tcPr>
          <w:p w14:paraId="690F9628" w14:textId="77777777" w:rsidR="007E34FA" w:rsidRDefault="007E34FA">
            <w:pPr>
              <w:rPr>
                <w:rFonts w:ascii="Calibri" w:hAnsi="Calibri"/>
                <w:color w:val="000000"/>
                <w:sz w:val="18"/>
                <w:szCs w:val="18"/>
              </w:rPr>
            </w:pPr>
            <w:r>
              <w:rPr>
                <w:rFonts w:ascii="Calibri" w:hAnsi="Calibri"/>
                <w:color w:val="000000"/>
                <w:sz w:val="18"/>
                <w:szCs w:val="18"/>
              </w:rPr>
              <w:t>60.5%</w:t>
            </w:r>
          </w:p>
        </w:tc>
        <w:tc>
          <w:tcPr>
            <w:tcW w:w="335" w:type="pct"/>
            <w:tcBorders>
              <w:top w:val="single" w:sz="8" w:space="0" w:color="auto"/>
              <w:left w:val="nil"/>
              <w:bottom w:val="single" w:sz="8" w:space="0" w:color="auto"/>
              <w:right w:val="nil"/>
            </w:tcBorders>
            <w:noWrap/>
            <w:hideMark/>
          </w:tcPr>
          <w:p w14:paraId="16006F2D" w14:textId="77777777" w:rsidR="007E34FA" w:rsidRDefault="007E34FA">
            <w:pPr>
              <w:rPr>
                <w:rFonts w:ascii="Calibri" w:hAnsi="Calibri"/>
                <w:color w:val="000000"/>
                <w:sz w:val="18"/>
                <w:szCs w:val="18"/>
              </w:rPr>
            </w:pPr>
            <w:r>
              <w:rPr>
                <w:rFonts w:ascii="Calibri" w:hAnsi="Calibri"/>
                <w:color w:val="000000"/>
                <w:sz w:val="18"/>
                <w:szCs w:val="18"/>
              </w:rPr>
              <w:t>58.7%</w:t>
            </w:r>
          </w:p>
        </w:tc>
        <w:tc>
          <w:tcPr>
            <w:tcW w:w="335" w:type="pct"/>
            <w:tcBorders>
              <w:top w:val="single" w:sz="8" w:space="0" w:color="auto"/>
              <w:left w:val="nil"/>
              <w:bottom w:val="single" w:sz="8" w:space="0" w:color="auto"/>
              <w:right w:val="nil"/>
            </w:tcBorders>
            <w:noWrap/>
            <w:hideMark/>
          </w:tcPr>
          <w:p w14:paraId="29B5C161" w14:textId="77777777" w:rsidR="007E34FA" w:rsidRDefault="007E34FA">
            <w:pPr>
              <w:rPr>
                <w:rFonts w:ascii="Calibri" w:hAnsi="Calibri"/>
                <w:color w:val="000000"/>
                <w:sz w:val="18"/>
                <w:szCs w:val="18"/>
              </w:rPr>
            </w:pPr>
            <w:r>
              <w:rPr>
                <w:rFonts w:ascii="Calibri" w:hAnsi="Calibri"/>
                <w:color w:val="000000"/>
                <w:sz w:val="18"/>
                <w:szCs w:val="18"/>
              </w:rPr>
              <w:t>61.3%</w:t>
            </w:r>
          </w:p>
        </w:tc>
        <w:tc>
          <w:tcPr>
            <w:tcW w:w="335" w:type="pct"/>
            <w:tcBorders>
              <w:top w:val="single" w:sz="8" w:space="0" w:color="auto"/>
              <w:left w:val="nil"/>
              <w:bottom w:val="single" w:sz="8" w:space="0" w:color="auto"/>
              <w:right w:val="nil"/>
            </w:tcBorders>
            <w:noWrap/>
            <w:hideMark/>
          </w:tcPr>
          <w:p w14:paraId="3CC86A46" w14:textId="77777777" w:rsidR="007E34FA" w:rsidRDefault="007E34FA">
            <w:pPr>
              <w:rPr>
                <w:rFonts w:ascii="Calibri" w:hAnsi="Calibri"/>
                <w:color w:val="000000"/>
                <w:sz w:val="18"/>
                <w:szCs w:val="18"/>
              </w:rPr>
            </w:pPr>
            <w:r>
              <w:rPr>
                <w:rFonts w:ascii="Calibri" w:hAnsi="Calibri"/>
                <w:color w:val="000000"/>
                <w:sz w:val="18"/>
                <w:szCs w:val="18"/>
              </w:rPr>
              <w:t>65.9%</w:t>
            </w:r>
          </w:p>
        </w:tc>
        <w:tc>
          <w:tcPr>
            <w:tcW w:w="335" w:type="pct"/>
            <w:tcBorders>
              <w:top w:val="single" w:sz="8" w:space="0" w:color="auto"/>
              <w:left w:val="nil"/>
              <w:bottom w:val="single" w:sz="8" w:space="0" w:color="auto"/>
              <w:right w:val="nil"/>
            </w:tcBorders>
            <w:noWrap/>
            <w:hideMark/>
          </w:tcPr>
          <w:p w14:paraId="6FA1D692" w14:textId="77777777" w:rsidR="007E34FA" w:rsidRDefault="007E34FA">
            <w:pPr>
              <w:rPr>
                <w:rFonts w:ascii="Calibri" w:hAnsi="Calibri"/>
                <w:color w:val="000000"/>
                <w:sz w:val="18"/>
                <w:szCs w:val="18"/>
              </w:rPr>
            </w:pPr>
            <w:r>
              <w:rPr>
                <w:rFonts w:ascii="Calibri" w:hAnsi="Calibri"/>
                <w:color w:val="000000"/>
                <w:sz w:val="18"/>
                <w:szCs w:val="18"/>
              </w:rPr>
              <w:t>66.1%</w:t>
            </w:r>
          </w:p>
        </w:tc>
        <w:tc>
          <w:tcPr>
            <w:tcW w:w="335" w:type="pct"/>
            <w:tcBorders>
              <w:top w:val="single" w:sz="8" w:space="0" w:color="auto"/>
              <w:left w:val="nil"/>
              <w:bottom w:val="single" w:sz="8" w:space="0" w:color="auto"/>
              <w:right w:val="nil"/>
            </w:tcBorders>
            <w:noWrap/>
            <w:hideMark/>
          </w:tcPr>
          <w:p w14:paraId="2EB18265" w14:textId="77777777" w:rsidR="007E34FA" w:rsidRDefault="007E34FA">
            <w:pPr>
              <w:rPr>
                <w:rFonts w:ascii="Calibri" w:hAnsi="Calibri"/>
                <w:color w:val="000000"/>
                <w:sz w:val="18"/>
                <w:szCs w:val="18"/>
              </w:rPr>
            </w:pPr>
            <w:r>
              <w:rPr>
                <w:rFonts w:ascii="Calibri" w:hAnsi="Calibri"/>
                <w:color w:val="000000"/>
                <w:sz w:val="18"/>
                <w:szCs w:val="18"/>
              </w:rPr>
              <w:t>68.1%</w:t>
            </w:r>
          </w:p>
        </w:tc>
        <w:tc>
          <w:tcPr>
            <w:tcW w:w="335" w:type="pct"/>
            <w:tcBorders>
              <w:top w:val="single" w:sz="8" w:space="0" w:color="auto"/>
              <w:left w:val="nil"/>
              <w:bottom w:val="single" w:sz="8" w:space="0" w:color="auto"/>
              <w:right w:val="nil"/>
            </w:tcBorders>
            <w:noWrap/>
            <w:hideMark/>
          </w:tcPr>
          <w:p w14:paraId="6AE43122" w14:textId="77777777" w:rsidR="007E34FA" w:rsidRDefault="007E34FA">
            <w:pPr>
              <w:rPr>
                <w:rFonts w:ascii="Calibri" w:hAnsi="Calibri"/>
                <w:color w:val="000000"/>
                <w:sz w:val="18"/>
                <w:szCs w:val="18"/>
              </w:rPr>
            </w:pPr>
            <w:r>
              <w:rPr>
                <w:rFonts w:ascii="Calibri" w:hAnsi="Calibri"/>
                <w:color w:val="000000"/>
                <w:sz w:val="18"/>
                <w:szCs w:val="18"/>
              </w:rPr>
              <w:t>72.2%</w:t>
            </w:r>
          </w:p>
        </w:tc>
        <w:tc>
          <w:tcPr>
            <w:tcW w:w="335" w:type="pct"/>
            <w:tcBorders>
              <w:top w:val="single" w:sz="8" w:space="0" w:color="auto"/>
              <w:left w:val="nil"/>
              <w:bottom w:val="single" w:sz="8" w:space="0" w:color="auto"/>
              <w:right w:val="nil"/>
            </w:tcBorders>
            <w:noWrap/>
            <w:hideMark/>
          </w:tcPr>
          <w:p w14:paraId="4F3DDA64" w14:textId="77777777" w:rsidR="007E34FA" w:rsidRDefault="007E34FA">
            <w:pPr>
              <w:rPr>
                <w:rFonts w:ascii="Calibri" w:hAnsi="Calibri"/>
                <w:color w:val="000000"/>
                <w:sz w:val="18"/>
                <w:szCs w:val="18"/>
              </w:rPr>
            </w:pPr>
            <w:r>
              <w:rPr>
                <w:rFonts w:ascii="Calibri" w:hAnsi="Calibri"/>
                <w:color w:val="000000"/>
                <w:sz w:val="18"/>
                <w:szCs w:val="18"/>
              </w:rPr>
              <w:t>72.0%</w:t>
            </w:r>
          </w:p>
        </w:tc>
        <w:tc>
          <w:tcPr>
            <w:tcW w:w="348" w:type="pct"/>
            <w:tcBorders>
              <w:top w:val="single" w:sz="8" w:space="0" w:color="auto"/>
              <w:left w:val="nil"/>
              <w:bottom w:val="single" w:sz="8" w:space="0" w:color="auto"/>
              <w:right w:val="nil"/>
            </w:tcBorders>
            <w:noWrap/>
            <w:hideMark/>
          </w:tcPr>
          <w:p w14:paraId="12EFFDAE" w14:textId="77777777" w:rsidR="007E34FA" w:rsidRDefault="007E34FA">
            <w:pPr>
              <w:rPr>
                <w:rFonts w:ascii="Calibri" w:hAnsi="Calibri"/>
                <w:color w:val="000000"/>
                <w:sz w:val="18"/>
                <w:szCs w:val="18"/>
              </w:rPr>
            </w:pPr>
            <w:r>
              <w:rPr>
                <w:rFonts w:ascii="Calibri" w:hAnsi="Calibri"/>
                <w:color w:val="000000"/>
                <w:sz w:val="18"/>
                <w:szCs w:val="18"/>
              </w:rPr>
              <w:t>72.3%</w:t>
            </w:r>
          </w:p>
        </w:tc>
        <w:tc>
          <w:tcPr>
            <w:tcW w:w="493" w:type="pct"/>
            <w:tcBorders>
              <w:top w:val="single" w:sz="8" w:space="0" w:color="auto"/>
              <w:left w:val="nil"/>
              <w:bottom w:val="single" w:sz="8" w:space="0" w:color="auto"/>
              <w:right w:val="nil"/>
            </w:tcBorders>
            <w:hideMark/>
          </w:tcPr>
          <w:p w14:paraId="1BE3BD67" w14:textId="77777777" w:rsidR="007E34FA" w:rsidRDefault="007E34FA">
            <w:pPr>
              <w:rPr>
                <w:rFonts w:ascii="Calibri" w:hAnsi="Calibri"/>
                <w:color w:val="000000"/>
                <w:sz w:val="18"/>
                <w:szCs w:val="18"/>
              </w:rPr>
            </w:pPr>
            <w:r>
              <w:rPr>
                <w:rFonts w:ascii="Calibri" w:hAnsi="Calibri"/>
                <w:color w:val="000000"/>
                <w:sz w:val="18"/>
                <w:szCs w:val="18"/>
              </w:rPr>
              <w:t>64.9%</w:t>
            </w:r>
          </w:p>
        </w:tc>
      </w:tr>
      <w:tr w:rsidR="007E34FA" w14:paraId="75061DC9" w14:textId="77777777" w:rsidTr="007E34FA">
        <w:trPr>
          <w:trHeight w:val="300"/>
        </w:trPr>
        <w:tc>
          <w:tcPr>
            <w:tcW w:w="807" w:type="pct"/>
            <w:tcBorders>
              <w:top w:val="single" w:sz="8" w:space="0" w:color="auto"/>
              <w:left w:val="nil"/>
              <w:bottom w:val="single" w:sz="8" w:space="0" w:color="auto"/>
              <w:right w:val="nil"/>
            </w:tcBorders>
            <w:noWrap/>
            <w:hideMark/>
          </w:tcPr>
          <w:p w14:paraId="2CF4200E" w14:textId="77777777" w:rsidR="007E34FA" w:rsidRDefault="007E34FA">
            <w:pPr>
              <w:rPr>
                <w:sz w:val="18"/>
                <w:szCs w:val="18"/>
              </w:rPr>
            </w:pPr>
            <w:r>
              <w:rPr>
                <w:sz w:val="18"/>
                <w:szCs w:val="18"/>
              </w:rPr>
              <w:t>Black</w:t>
            </w:r>
          </w:p>
        </w:tc>
        <w:tc>
          <w:tcPr>
            <w:tcW w:w="335" w:type="pct"/>
            <w:tcBorders>
              <w:top w:val="single" w:sz="8" w:space="0" w:color="auto"/>
              <w:left w:val="nil"/>
              <w:bottom w:val="single" w:sz="8" w:space="0" w:color="auto"/>
              <w:right w:val="nil"/>
            </w:tcBorders>
            <w:noWrap/>
            <w:hideMark/>
          </w:tcPr>
          <w:p w14:paraId="2C7E7F25" w14:textId="77777777" w:rsidR="007E34FA" w:rsidRDefault="007E34FA">
            <w:pPr>
              <w:rPr>
                <w:rFonts w:ascii="Calibri" w:hAnsi="Calibri"/>
                <w:color w:val="000000"/>
                <w:sz w:val="18"/>
                <w:szCs w:val="18"/>
              </w:rPr>
            </w:pPr>
            <w:r>
              <w:rPr>
                <w:rFonts w:ascii="Calibri" w:hAnsi="Calibri"/>
                <w:color w:val="000000"/>
                <w:sz w:val="18"/>
                <w:szCs w:val="18"/>
              </w:rPr>
              <w:t>5.1%</w:t>
            </w:r>
          </w:p>
        </w:tc>
        <w:tc>
          <w:tcPr>
            <w:tcW w:w="335" w:type="pct"/>
            <w:tcBorders>
              <w:top w:val="single" w:sz="8" w:space="0" w:color="auto"/>
              <w:left w:val="nil"/>
              <w:bottom w:val="single" w:sz="8" w:space="0" w:color="auto"/>
              <w:right w:val="nil"/>
            </w:tcBorders>
            <w:noWrap/>
            <w:hideMark/>
          </w:tcPr>
          <w:p w14:paraId="0BE081EA" w14:textId="77777777" w:rsidR="007E34FA" w:rsidRDefault="007E34FA">
            <w:pPr>
              <w:rPr>
                <w:rFonts w:ascii="Calibri" w:hAnsi="Calibri"/>
                <w:color w:val="000000"/>
                <w:sz w:val="18"/>
                <w:szCs w:val="18"/>
              </w:rPr>
            </w:pPr>
            <w:r>
              <w:rPr>
                <w:rFonts w:ascii="Calibri" w:hAnsi="Calibri"/>
                <w:color w:val="000000"/>
                <w:sz w:val="18"/>
                <w:szCs w:val="18"/>
              </w:rPr>
              <w:t>3.9%</w:t>
            </w:r>
          </w:p>
        </w:tc>
        <w:tc>
          <w:tcPr>
            <w:tcW w:w="335" w:type="pct"/>
            <w:tcBorders>
              <w:top w:val="single" w:sz="8" w:space="0" w:color="auto"/>
              <w:left w:val="nil"/>
              <w:bottom w:val="single" w:sz="8" w:space="0" w:color="auto"/>
              <w:right w:val="nil"/>
            </w:tcBorders>
            <w:noWrap/>
            <w:hideMark/>
          </w:tcPr>
          <w:p w14:paraId="3EE4AED2" w14:textId="77777777" w:rsidR="007E34FA" w:rsidRDefault="007E34FA">
            <w:pPr>
              <w:rPr>
                <w:rFonts w:ascii="Calibri" w:hAnsi="Calibri"/>
                <w:color w:val="000000"/>
                <w:sz w:val="18"/>
                <w:szCs w:val="18"/>
              </w:rPr>
            </w:pPr>
            <w:r>
              <w:rPr>
                <w:rFonts w:ascii="Calibri" w:hAnsi="Calibri"/>
                <w:color w:val="000000"/>
                <w:sz w:val="18"/>
                <w:szCs w:val="18"/>
              </w:rPr>
              <w:t>5.0%</w:t>
            </w:r>
          </w:p>
        </w:tc>
        <w:tc>
          <w:tcPr>
            <w:tcW w:w="335" w:type="pct"/>
            <w:tcBorders>
              <w:top w:val="single" w:sz="8" w:space="0" w:color="auto"/>
              <w:left w:val="nil"/>
              <w:bottom w:val="single" w:sz="8" w:space="0" w:color="auto"/>
              <w:right w:val="nil"/>
            </w:tcBorders>
            <w:noWrap/>
            <w:hideMark/>
          </w:tcPr>
          <w:p w14:paraId="66138CB2" w14:textId="77777777" w:rsidR="007E34FA" w:rsidRDefault="007E34FA">
            <w:pPr>
              <w:rPr>
                <w:rFonts w:ascii="Calibri" w:hAnsi="Calibri"/>
                <w:color w:val="000000"/>
                <w:sz w:val="18"/>
                <w:szCs w:val="18"/>
              </w:rPr>
            </w:pPr>
            <w:r>
              <w:rPr>
                <w:rFonts w:ascii="Calibri" w:hAnsi="Calibri"/>
                <w:color w:val="000000"/>
                <w:sz w:val="18"/>
                <w:szCs w:val="18"/>
              </w:rPr>
              <w:t>6.2%</w:t>
            </w:r>
          </w:p>
        </w:tc>
        <w:tc>
          <w:tcPr>
            <w:tcW w:w="335" w:type="pct"/>
            <w:tcBorders>
              <w:top w:val="single" w:sz="8" w:space="0" w:color="auto"/>
              <w:left w:val="nil"/>
              <w:bottom w:val="single" w:sz="8" w:space="0" w:color="auto"/>
              <w:right w:val="nil"/>
            </w:tcBorders>
            <w:noWrap/>
            <w:hideMark/>
          </w:tcPr>
          <w:p w14:paraId="170983C6" w14:textId="77777777" w:rsidR="007E34FA" w:rsidRDefault="007E34FA">
            <w:pPr>
              <w:rPr>
                <w:rFonts w:ascii="Calibri" w:hAnsi="Calibri"/>
                <w:color w:val="000000"/>
                <w:sz w:val="18"/>
                <w:szCs w:val="18"/>
              </w:rPr>
            </w:pPr>
            <w:r>
              <w:rPr>
                <w:rFonts w:ascii="Calibri" w:hAnsi="Calibri"/>
                <w:color w:val="000000"/>
                <w:sz w:val="18"/>
                <w:szCs w:val="18"/>
              </w:rPr>
              <w:t>6.2%</w:t>
            </w:r>
          </w:p>
        </w:tc>
        <w:tc>
          <w:tcPr>
            <w:tcW w:w="335" w:type="pct"/>
            <w:tcBorders>
              <w:top w:val="single" w:sz="8" w:space="0" w:color="auto"/>
              <w:left w:val="nil"/>
              <w:bottom w:val="single" w:sz="8" w:space="0" w:color="auto"/>
              <w:right w:val="nil"/>
            </w:tcBorders>
            <w:noWrap/>
            <w:hideMark/>
          </w:tcPr>
          <w:p w14:paraId="6311071D" w14:textId="77777777" w:rsidR="007E34FA" w:rsidRDefault="007E34FA">
            <w:pPr>
              <w:rPr>
                <w:rFonts w:ascii="Calibri" w:hAnsi="Calibri"/>
                <w:color w:val="000000"/>
                <w:sz w:val="18"/>
                <w:szCs w:val="18"/>
              </w:rPr>
            </w:pPr>
            <w:r>
              <w:rPr>
                <w:rFonts w:ascii="Calibri" w:hAnsi="Calibri"/>
                <w:color w:val="000000"/>
                <w:sz w:val="18"/>
                <w:szCs w:val="18"/>
              </w:rPr>
              <w:t>6.4%</w:t>
            </w:r>
          </w:p>
        </w:tc>
        <w:tc>
          <w:tcPr>
            <w:tcW w:w="335" w:type="pct"/>
            <w:tcBorders>
              <w:top w:val="single" w:sz="8" w:space="0" w:color="auto"/>
              <w:left w:val="nil"/>
              <w:bottom w:val="single" w:sz="8" w:space="0" w:color="auto"/>
              <w:right w:val="nil"/>
            </w:tcBorders>
            <w:noWrap/>
            <w:hideMark/>
          </w:tcPr>
          <w:p w14:paraId="1F4AC89E" w14:textId="77777777" w:rsidR="007E34FA" w:rsidRDefault="007E34FA">
            <w:pPr>
              <w:rPr>
                <w:rFonts w:ascii="Calibri" w:hAnsi="Calibri"/>
                <w:color w:val="000000"/>
                <w:sz w:val="18"/>
                <w:szCs w:val="18"/>
              </w:rPr>
            </w:pPr>
            <w:r>
              <w:rPr>
                <w:rFonts w:ascii="Calibri" w:hAnsi="Calibri"/>
                <w:color w:val="000000"/>
                <w:sz w:val="18"/>
                <w:szCs w:val="18"/>
              </w:rPr>
              <w:t>7.7%</w:t>
            </w:r>
          </w:p>
        </w:tc>
        <w:tc>
          <w:tcPr>
            <w:tcW w:w="335" w:type="pct"/>
            <w:tcBorders>
              <w:top w:val="single" w:sz="8" w:space="0" w:color="auto"/>
              <w:left w:val="nil"/>
              <w:bottom w:val="single" w:sz="8" w:space="0" w:color="auto"/>
              <w:right w:val="nil"/>
            </w:tcBorders>
            <w:noWrap/>
            <w:hideMark/>
          </w:tcPr>
          <w:p w14:paraId="12FF0A27" w14:textId="77777777" w:rsidR="007E34FA" w:rsidRDefault="007E34FA">
            <w:pPr>
              <w:rPr>
                <w:rFonts w:ascii="Calibri" w:hAnsi="Calibri"/>
                <w:color w:val="000000"/>
                <w:sz w:val="18"/>
                <w:szCs w:val="18"/>
              </w:rPr>
            </w:pPr>
            <w:r>
              <w:rPr>
                <w:rFonts w:ascii="Calibri" w:hAnsi="Calibri"/>
                <w:color w:val="000000"/>
                <w:sz w:val="18"/>
                <w:szCs w:val="18"/>
              </w:rPr>
              <w:t>8.2%</w:t>
            </w:r>
          </w:p>
        </w:tc>
        <w:tc>
          <w:tcPr>
            <w:tcW w:w="335" w:type="pct"/>
            <w:tcBorders>
              <w:top w:val="single" w:sz="8" w:space="0" w:color="auto"/>
              <w:left w:val="nil"/>
              <w:bottom w:val="single" w:sz="8" w:space="0" w:color="auto"/>
              <w:right w:val="nil"/>
            </w:tcBorders>
            <w:noWrap/>
            <w:hideMark/>
          </w:tcPr>
          <w:p w14:paraId="5D3528D9" w14:textId="77777777" w:rsidR="007E34FA" w:rsidRDefault="007E34FA">
            <w:pPr>
              <w:rPr>
                <w:rFonts w:ascii="Calibri" w:hAnsi="Calibri"/>
                <w:color w:val="000000"/>
                <w:sz w:val="18"/>
                <w:szCs w:val="18"/>
              </w:rPr>
            </w:pPr>
            <w:r>
              <w:rPr>
                <w:rFonts w:ascii="Calibri" w:hAnsi="Calibri"/>
                <w:color w:val="000000"/>
                <w:sz w:val="18"/>
                <w:szCs w:val="18"/>
              </w:rPr>
              <w:t>8.5%</w:t>
            </w:r>
          </w:p>
        </w:tc>
        <w:tc>
          <w:tcPr>
            <w:tcW w:w="335" w:type="pct"/>
            <w:tcBorders>
              <w:top w:val="single" w:sz="8" w:space="0" w:color="auto"/>
              <w:left w:val="nil"/>
              <w:bottom w:val="single" w:sz="8" w:space="0" w:color="auto"/>
              <w:right w:val="nil"/>
            </w:tcBorders>
            <w:noWrap/>
            <w:hideMark/>
          </w:tcPr>
          <w:p w14:paraId="5B6CECE4" w14:textId="77777777" w:rsidR="007E34FA" w:rsidRDefault="007E34FA">
            <w:pPr>
              <w:rPr>
                <w:rFonts w:ascii="Calibri" w:hAnsi="Calibri"/>
                <w:color w:val="000000"/>
                <w:sz w:val="18"/>
                <w:szCs w:val="18"/>
              </w:rPr>
            </w:pPr>
            <w:r>
              <w:rPr>
                <w:rFonts w:ascii="Calibri" w:hAnsi="Calibri"/>
                <w:color w:val="000000"/>
                <w:sz w:val="18"/>
                <w:szCs w:val="18"/>
              </w:rPr>
              <w:t>8.5%</w:t>
            </w:r>
          </w:p>
        </w:tc>
        <w:tc>
          <w:tcPr>
            <w:tcW w:w="348" w:type="pct"/>
            <w:tcBorders>
              <w:top w:val="single" w:sz="8" w:space="0" w:color="auto"/>
              <w:left w:val="nil"/>
              <w:bottom w:val="single" w:sz="8" w:space="0" w:color="auto"/>
              <w:right w:val="nil"/>
            </w:tcBorders>
            <w:noWrap/>
            <w:hideMark/>
          </w:tcPr>
          <w:p w14:paraId="7CC8BB6B" w14:textId="77777777" w:rsidR="007E34FA" w:rsidRDefault="007E34FA">
            <w:pPr>
              <w:rPr>
                <w:rFonts w:ascii="Calibri" w:hAnsi="Calibri"/>
                <w:color w:val="000000"/>
                <w:sz w:val="18"/>
                <w:szCs w:val="18"/>
              </w:rPr>
            </w:pPr>
            <w:r>
              <w:rPr>
                <w:rFonts w:ascii="Calibri" w:hAnsi="Calibri"/>
                <w:color w:val="000000"/>
                <w:sz w:val="18"/>
                <w:szCs w:val="18"/>
              </w:rPr>
              <w:t>8.6%</w:t>
            </w:r>
          </w:p>
        </w:tc>
        <w:tc>
          <w:tcPr>
            <w:tcW w:w="493" w:type="pct"/>
            <w:tcBorders>
              <w:top w:val="single" w:sz="8" w:space="0" w:color="auto"/>
              <w:left w:val="nil"/>
              <w:bottom w:val="single" w:sz="8" w:space="0" w:color="auto"/>
              <w:right w:val="nil"/>
            </w:tcBorders>
            <w:hideMark/>
          </w:tcPr>
          <w:p w14:paraId="3BCAFAD9" w14:textId="77777777" w:rsidR="007E34FA" w:rsidRDefault="007E34FA">
            <w:pPr>
              <w:rPr>
                <w:rFonts w:ascii="Calibri" w:hAnsi="Calibri"/>
                <w:color w:val="000000"/>
                <w:sz w:val="18"/>
                <w:szCs w:val="18"/>
              </w:rPr>
            </w:pPr>
            <w:r>
              <w:rPr>
                <w:rFonts w:ascii="Calibri" w:hAnsi="Calibri"/>
                <w:color w:val="000000"/>
                <w:sz w:val="18"/>
                <w:szCs w:val="18"/>
              </w:rPr>
              <w:t>6.8%</w:t>
            </w:r>
          </w:p>
        </w:tc>
      </w:tr>
      <w:tr w:rsidR="007E34FA" w14:paraId="26B3EA4A" w14:textId="77777777" w:rsidTr="007E34FA">
        <w:trPr>
          <w:trHeight w:val="300"/>
        </w:trPr>
        <w:tc>
          <w:tcPr>
            <w:tcW w:w="807" w:type="pct"/>
            <w:tcBorders>
              <w:top w:val="single" w:sz="8" w:space="0" w:color="auto"/>
              <w:left w:val="nil"/>
              <w:bottom w:val="single" w:sz="8" w:space="0" w:color="auto"/>
              <w:right w:val="nil"/>
            </w:tcBorders>
            <w:noWrap/>
            <w:hideMark/>
          </w:tcPr>
          <w:p w14:paraId="06B1A8C0" w14:textId="77777777" w:rsidR="007E34FA" w:rsidRDefault="007E34FA">
            <w:pPr>
              <w:rPr>
                <w:sz w:val="18"/>
                <w:szCs w:val="18"/>
              </w:rPr>
            </w:pPr>
            <w:r>
              <w:rPr>
                <w:sz w:val="18"/>
                <w:szCs w:val="18"/>
              </w:rPr>
              <w:t>Hispanic</w:t>
            </w:r>
          </w:p>
        </w:tc>
        <w:tc>
          <w:tcPr>
            <w:tcW w:w="335" w:type="pct"/>
            <w:tcBorders>
              <w:top w:val="single" w:sz="8" w:space="0" w:color="auto"/>
              <w:left w:val="nil"/>
              <w:bottom w:val="single" w:sz="8" w:space="0" w:color="auto"/>
              <w:right w:val="nil"/>
            </w:tcBorders>
            <w:noWrap/>
            <w:hideMark/>
          </w:tcPr>
          <w:p w14:paraId="68A3839F" w14:textId="77777777" w:rsidR="007E34FA" w:rsidRDefault="007E34FA">
            <w:pPr>
              <w:rPr>
                <w:rFonts w:ascii="Calibri" w:hAnsi="Calibri"/>
                <w:color w:val="000000"/>
                <w:sz w:val="18"/>
                <w:szCs w:val="18"/>
              </w:rPr>
            </w:pPr>
            <w:r>
              <w:rPr>
                <w:rFonts w:ascii="Calibri" w:hAnsi="Calibri"/>
                <w:color w:val="000000"/>
                <w:sz w:val="18"/>
                <w:szCs w:val="18"/>
              </w:rPr>
              <w:t>3.8%</w:t>
            </w:r>
          </w:p>
        </w:tc>
        <w:tc>
          <w:tcPr>
            <w:tcW w:w="335" w:type="pct"/>
            <w:tcBorders>
              <w:top w:val="single" w:sz="8" w:space="0" w:color="auto"/>
              <w:left w:val="nil"/>
              <w:bottom w:val="single" w:sz="8" w:space="0" w:color="auto"/>
              <w:right w:val="nil"/>
            </w:tcBorders>
            <w:noWrap/>
            <w:hideMark/>
          </w:tcPr>
          <w:p w14:paraId="63FD5B9A" w14:textId="77777777" w:rsidR="007E34FA" w:rsidRDefault="007E34FA">
            <w:pPr>
              <w:rPr>
                <w:rFonts w:ascii="Calibri" w:hAnsi="Calibri"/>
                <w:color w:val="000000"/>
                <w:sz w:val="18"/>
                <w:szCs w:val="18"/>
              </w:rPr>
            </w:pPr>
            <w:r>
              <w:rPr>
                <w:rFonts w:ascii="Calibri" w:hAnsi="Calibri"/>
                <w:color w:val="000000"/>
                <w:sz w:val="18"/>
                <w:szCs w:val="18"/>
              </w:rPr>
              <w:t>4.9%</w:t>
            </w:r>
          </w:p>
        </w:tc>
        <w:tc>
          <w:tcPr>
            <w:tcW w:w="335" w:type="pct"/>
            <w:tcBorders>
              <w:top w:val="single" w:sz="8" w:space="0" w:color="auto"/>
              <w:left w:val="nil"/>
              <w:bottom w:val="single" w:sz="8" w:space="0" w:color="auto"/>
              <w:right w:val="nil"/>
            </w:tcBorders>
            <w:noWrap/>
            <w:hideMark/>
          </w:tcPr>
          <w:p w14:paraId="09B011EB" w14:textId="77777777" w:rsidR="007E34FA" w:rsidRDefault="007E34FA">
            <w:pPr>
              <w:rPr>
                <w:rFonts w:ascii="Calibri" w:hAnsi="Calibri"/>
                <w:color w:val="000000"/>
                <w:sz w:val="18"/>
                <w:szCs w:val="18"/>
              </w:rPr>
            </w:pPr>
            <w:r>
              <w:rPr>
                <w:rFonts w:ascii="Calibri" w:hAnsi="Calibri"/>
                <w:color w:val="000000"/>
                <w:sz w:val="18"/>
                <w:szCs w:val="18"/>
              </w:rPr>
              <w:t>4.8%</w:t>
            </w:r>
          </w:p>
        </w:tc>
        <w:tc>
          <w:tcPr>
            <w:tcW w:w="335" w:type="pct"/>
            <w:tcBorders>
              <w:top w:val="single" w:sz="8" w:space="0" w:color="auto"/>
              <w:left w:val="nil"/>
              <w:bottom w:val="single" w:sz="8" w:space="0" w:color="auto"/>
              <w:right w:val="nil"/>
            </w:tcBorders>
            <w:noWrap/>
            <w:hideMark/>
          </w:tcPr>
          <w:p w14:paraId="42AC1839" w14:textId="77777777" w:rsidR="007E34FA" w:rsidRDefault="007E34FA">
            <w:pPr>
              <w:rPr>
                <w:rFonts w:ascii="Calibri" w:hAnsi="Calibri"/>
                <w:color w:val="000000"/>
                <w:sz w:val="18"/>
                <w:szCs w:val="18"/>
              </w:rPr>
            </w:pPr>
            <w:r>
              <w:rPr>
                <w:rFonts w:ascii="Calibri" w:hAnsi="Calibri"/>
                <w:color w:val="000000"/>
                <w:sz w:val="18"/>
                <w:szCs w:val="18"/>
              </w:rPr>
              <w:t>5.1%</w:t>
            </w:r>
          </w:p>
        </w:tc>
        <w:tc>
          <w:tcPr>
            <w:tcW w:w="335" w:type="pct"/>
            <w:tcBorders>
              <w:top w:val="single" w:sz="8" w:space="0" w:color="auto"/>
              <w:left w:val="nil"/>
              <w:bottom w:val="single" w:sz="8" w:space="0" w:color="auto"/>
              <w:right w:val="nil"/>
            </w:tcBorders>
            <w:noWrap/>
            <w:hideMark/>
          </w:tcPr>
          <w:p w14:paraId="5F2A10DB" w14:textId="77777777" w:rsidR="007E34FA" w:rsidRDefault="007E34FA">
            <w:pPr>
              <w:rPr>
                <w:rFonts w:ascii="Calibri" w:hAnsi="Calibri"/>
                <w:color w:val="000000"/>
                <w:sz w:val="18"/>
                <w:szCs w:val="18"/>
              </w:rPr>
            </w:pPr>
            <w:r>
              <w:rPr>
                <w:rFonts w:ascii="Calibri" w:hAnsi="Calibri"/>
                <w:color w:val="000000"/>
                <w:sz w:val="18"/>
                <w:szCs w:val="18"/>
              </w:rPr>
              <w:t>5.0%</w:t>
            </w:r>
          </w:p>
        </w:tc>
        <w:tc>
          <w:tcPr>
            <w:tcW w:w="335" w:type="pct"/>
            <w:tcBorders>
              <w:top w:val="single" w:sz="8" w:space="0" w:color="auto"/>
              <w:left w:val="nil"/>
              <w:bottom w:val="single" w:sz="8" w:space="0" w:color="auto"/>
              <w:right w:val="nil"/>
            </w:tcBorders>
            <w:noWrap/>
            <w:hideMark/>
          </w:tcPr>
          <w:p w14:paraId="6BD58CB4" w14:textId="77777777" w:rsidR="007E34FA" w:rsidRDefault="007E34FA">
            <w:pPr>
              <w:rPr>
                <w:rFonts w:ascii="Calibri" w:hAnsi="Calibri"/>
                <w:color w:val="000000"/>
                <w:sz w:val="18"/>
                <w:szCs w:val="18"/>
              </w:rPr>
            </w:pPr>
            <w:r>
              <w:rPr>
                <w:rFonts w:ascii="Calibri" w:hAnsi="Calibri"/>
                <w:color w:val="000000"/>
                <w:sz w:val="18"/>
                <w:szCs w:val="18"/>
              </w:rPr>
              <w:t>5.4%</w:t>
            </w:r>
          </w:p>
        </w:tc>
        <w:tc>
          <w:tcPr>
            <w:tcW w:w="335" w:type="pct"/>
            <w:tcBorders>
              <w:top w:val="single" w:sz="8" w:space="0" w:color="auto"/>
              <w:left w:val="nil"/>
              <w:bottom w:val="single" w:sz="8" w:space="0" w:color="auto"/>
              <w:right w:val="nil"/>
            </w:tcBorders>
            <w:noWrap/>
            <w:hideMark/>
          </w:tcPr>
          <w:p w14:paraId="7A83CBD9" w14:textId="77777777" w:rsidR="007E34FA" w:rsidRDefault="007E34FA">
            <w:pPr>
              <w:rPr>
                <w:rFonts w:ascii="Calibri" w:hAnsi="Calibri"/>
                <w:color w:val="000000"/>
                <w:sz w:val="18"/>
                <w:szCs w:val="18"/>
              </w:rPr>
            </w:pPr>
            <w:r>
              <w:rPr>
                <w:rFonts w:ascii="Calibri" w:hAnsi="Calibri"/>
                <w:color w:val="000000"/>
                <w:sz w:val="18"/>
                <w:szCs w:val="18"/>
              </w:rPr>
              <w:t>6.2%</w:t>
            </w:r>
          </w:p>
        </w:tc>
        <w:tc>
          <w:tcPr>
            <w:tcW w:w="335" w:type="pct"/>
            <w:tcBorders>
              <w:top w:val="single" w:sz="8" w:space="0" w:color="auto"/>
              <w:left w:val="nil"/>
              <w:bottom w:val="single" w:sz="8" w:space="0" w:color="auto"/>
              <w:right w:val="nil"/>
            </w:tcBorders>
            <w:noWrap/>
            <w:hideMark/>
          </w:tcPr>
          <w:p w14:paraId="2D304AC8" w14:textId="77777777" w:rsidR="007E34FA" w:rsidRDefault="007E34FA">
            <w:pPr>
              <w:rPr>
                <w:rFonts w:ascii="Calibri" w:hAnsi="Calibri"/>
                <w:color w:val="000000"/>
                <w:sz w:val="18"/>
                <w:szCs w:val="18"/>
              </w:rPr>
            </w:pPr>
            <w:r>
              <w:rPr>
                <w:rFonts w:ascii="Calibri" w:hAnsi="Calibri"/>
                <w:color w:val="000000"/>
                <w:sz w:val="18"/>
                <w:szCs w:val="18"/>
              </w:rPr>
              <w:t>6.3%</w:t>
            </w:r>
          </w:p>
        </w:tc>
        <w:tc>
          <w:tcPr>
            <w:tcW w:w="335" w:type="pct"/>
            <w:tcBorders>
              <w:top w:val="single" w:sz="8" w:space="0" w:color="auto"/>
              <w:left w:val="nil"/>
              <w:bottom w:val="single" w:sz="8" w:space="0" w:color="auto"/>
              <w:right w:val="nil"/>
            </w:tcBorders>
            <w:noWrap/>
            <w:hideMark/>
          </w:tcPr>
          <w:p w14:paraId="30B19361" w14:textId="77777777" w:rsidR="007E34FA" w:rsidRDefault="007E34FA">
            <w:pPr>
              <w:rPr>
                <w:rFonts w:ascii="Calibri" w:hAnsi="Calibri"/>
                <w:color w:val="000000"/>
                <w:sz w:val="18"/>
                <w:szCs w:val="18"/>
              </w:rPr>
            </w:pPr>
            <w:r>
              <w:rPr>
                <w:rFonts w:ascii="Calibri" w:hAnsi="Calibri"/>
                <w:color w:val="000000"/>
                <w:sz w:val="18"/>
                <w:szCs w:val="18"/>
              </w:rPr>
              <w:t>6.6%</w:t>
            </w:r>
          </w:p>
        </w:tc>
        <w:tc>
          <w:tcPr>
            <w:tcW w:w="335" w:type="pct"/>
            <w:tcBorders>
              <w:top w:val="single" w:sz="8" w:space="0" w:color="auto"/>
              <w:left w:val="nil"/>
              <w:bottom w:val="single" w:sz="8" w:space="0" w:color="auto"/>
              <w:right w:val="nil"/>
            </w:tcBorders>
            <w:noWrap/>
            <w:hideMark/>
          </w:tcPr>
          <w:p w14:paraId="276FB6F9" w14:textId="77777777" w:rsidR="007E34FA" w:rsidRDefault="007E34FA">
            <w:pPr>
              <w:rPr>
                <w:rFonts w:ascii="Calibri" w:hAnsi="Calibri"/>
                <w:color w:val="000000"/>
                <w:sz w:val="18"/>
                <w:szCs w:val="18"/>
              </w:rPr>
            </w:pPr>
            <w:r>
              <w:rPr>
                <w:rFonts w:ascii="Calibri" w:hAnsi="Calibri"/>
                <w:color w:val="000000"/>
                <w:sz w:val="18"/>
                <w:szCs w:val="18"/>
              </w:rPr>
              <w:t>7.0%</w:t>
            </w:r>
          </w:p>
        </w:tc>
        <w:tc>
          <w:tcPr>
            <w:tcW w:w="348" w:type="pct"/>
            <w:tcBorders>
              <w:top w:val="single" w:sz="8" w:space="0" w:color="auto"/>
              <w:left w:val="nil"/>
              <w:bottom w:val="single" w:sz="8" w:space="0" w:color="auto"/>
              <w:right w:val="nil"/>
            </w:tcBorders>
            <w:noWrap/>
            <w:hideMark/>
          </w:tcPr>
          <w:p w14:paraId="03CB33EB" w14:textId="77777777" w:rsidR="007E34FA" w:rsidRDefault="007E34FA">
            <w:pPr>
              <w:rPr>
                <w:rFonts w:ascii="Calibri" w:hAnsi="Calibri"/>
                <w:color w:val="000000"/>
                <w:sz w:val="18"/>
                <w:szCs w:val="18"/>
              </w:rPr>
            </w:pPr>
            <w:r>
              <w:rPr>
                <w:rFonts w:ascii="Calibri" w:hAnsi="Calibri"/>
                <w:color w:val="000000"/>
                <w:sz w:val="18"/>
                <w:szCs w:val="18"/>
              </w:rPr>
              <w:t>7.1%</w:t>
            </w:r>
          </w:p>
        </w:tc>
        <w:tc>
          <w:tcPr>
            <w:tcW w:w="493" w:type="pct"/>
            <w:tcBorders>
              <w:top w:val="single" w:sz="8" w:space="0" w:color="auto"/>
              <w:left w:val="nil"/>
              <w:bottom w:val="single" w:sz="8" w:space="0" w:color="auto"/>
              <w:right w:val="nil"/>
            </w:tcBorders>
            <w:hideMark/>
          </w:tcPr>
          <w:p w14:paraId="25938076" w14:textId="77777777" w:rsidR="007E34FA" w:rsidRDefault="007E34FA">
            <w:pPr>
              <w:rPr>
                <w:rFonts w:ascii="Calibri" w:hAnsi="Calibri"/>
                <w:color w:val="000000"/>
                <w:sz w:val="18"/>
                <w:szCs w:val="18"/>
              </w:rPr>
            </w:pPr>
            <w:r>
              <w:rPr>
                <w:rFonts w:ascii="Calibri" w:hAnsi="Calibri"/>
                <w:color w:val="000000"/>
                <w:sz w:val="18"/>
                <w:szCs w:val="18"/>
              </w:rPr>
              <w:t>5.7%</w:t>
            </w:r>
          </w:p>
        </w:tc>
      </w:tr>
      <w:tr w:rsidR="007E34FA" w14:paraId="2A8BF512" w14:textId="77777777" w:rsidTr="007E34FA">
        <w:trPr>
          <w:trHeight w:val="300"/>
        </w:trPr>
        <w:tc>
          <w:tcPr>
            <w:tcW w:w="807" w:type="pct"/>
            <w:tcBorders>
              <w:top w:val="single" w:sz="8" w:space="0" w:color="auto"/>
              <w:left w:val="nil"/>
              <w:bottom w:val="single" w:sz="8" w:space="0" w:color="auto"/>
              <w:right w:val="nil"/>
            </w:tcBorders>
            <w:noWrap/>
            <w:hideMark/>
          </w:tcPr>
          <w:p w14:paraId="5F2FCDEE" w14:textId="77777777" w:rsidR="007E34FA" w:rsidRDefault="007E34FA">
            <w:pPr>
              <w:rPr>
                <w:sz w:val="18"/>
                <w:szCs w:val="18"/>
              </w:rPr>
            </w:pPr>
            <w:r>
              <w:rPr>
                <w:sz w:val="18"/>
                <w:szCs w:val="18"/>
              </w:rPr>
              <w:t>Asian/Pacific Islander</w:t>
            </w:r>
          </w:p>
        </w:tc>
        <w:tc>
          <w:tcPr>
            <w:tcW w:w="335" w:type="pct"/>
            <w:tcBorders>
              <w:top w:val="single" w:sz="8" w:space="0" w:color="auto"/>
              <w:left w:val="nil"/>
              <w:bottom w:val="single" w:sz="8" w:space="0" w:color="auto"/>
              <w:right w:val="nil"/>
            </w:tcBorders>
            <w:noWrap/>
            <w:hideMark/>
          </w:tcPr>
          <w:p w14:paraId="47FC1461" w14:textId="77777777" w:rsidR="007E34FA" w:rsidRDefault="007E34FA">
            <w:pPr>
              <w:rPr>
                <w:rFonts w:ascii="Calibri" w:hAnsi="Calibri"/>
                <w:color w:val="000000"/>
                <w:sz w:val="18"/>
                <w:szCs w:val="18"/>
              </w:rPr>
            </w:pPr>
            <w:r>
              <w:rPr>
                <w:rFonts w:ascii="Calibri" w:hAnsi="Calibri"/>
                <w:color w:val="000000"/>
                <w:sz w:val="18"/>
                <w:szCs w:val="18"/>
              </w:rPr>
              <w:t>1.1%</w:t>
            </w:r>
          </w:p>
        </w:tc>
        <w:tc>
          <w:tcPr>
            <w:tcW w:w="335" w:type="pct"/>
            <w:tcBorders>
              <w:top w:val="single" w:sz="8" w:space="0" w:color="auto"/>
              <w:left w:val="nil"/>
              <w:bottom w:val="single" w:sz="8" w:space="0" w:color="auto"/>
              <w:right w:val="nil"/>
            </w:tcBorders>
            <w:noWrap/>
            <w:hideMark/>
          </w:tcPr>
          <w:p w14:paraId="2CA69CD0" w14:textId="77777777" w:rsidR="007E34FA" w:rsidRDefault="007E34FA">
            <w:pPr>
              <w:rPr>
                <w:rFonts w:ascii="Calibri" w:hAnsi="Calibri"/>
                <w:color w:val="000000"/>
                <w:sz w:val="18"/>
                <w:szCs w:val="18"/>
              </w:rPr>
            </w:pPr>
            <w:r>
              <w:rPr>
                <w:rFonts w:ascii="Calibri" w:hAnsi="Calibri"/>
                <w:color w:val="000000"/>
                <w:sz w:val="18"/>
                <w:szCs w:val="18"/>
              </w:rPr>
              <w:t>1.3%</w:t>
            </w:r>
          </w:p>
        </w:tc>
        <w:tc>
          <w:tcPr>
            <w:tcW w:w="335" w:type="pct"/>
            <w:tcBorders>
              <w:top w:val="single" w:sz="8" w:space="0" w:color="auto"/>
              <w:left w:val="nil"/>
              <w:bottom w:val="single" w:sz="8" w:space="0" w:color="auto"/>
              <w:right w:val="nil"/>
            </w:tcBorders>
            <w:noWrap/>
            <w:hideMark/>
          </w:tcPr>
          <w:p w14:paraId="0EDAADA9" w14:textId="77777777" w:rsidR="007E34FA" w:rsidRDefault="007E34FA">
            <w:pPr>
              <w:rPr>
                <w:rFonts w:ascii="Calibri" w:hAnsi="Calibri"/>
                <w:color w:val="000000"/>
                <w:sz w:val="18"/>
                <w:szCs w:val="18"/>
              </w:rPr>
            </w:pPr>
            <w:r>
              <w:rPr>
                <w:rFonts w:ascii="Calibri" w:hAnsi="Calibri"/>
                <w:color w:val="000000"/>
                <w:sz w:val="18"/>
                <w:szCs w:val="18"/>
              </w:rPr>
              <w:t>1.4%</w:t>
            </w:r>
          </w:p>
        </w:tc>
        <w:tc>
          <w:tcPr>
            <w:tcW w:w="335" w:type="pct"/>
            <w:tcBorders>
              <w:top w:val="single" w:sz="8" w:space="0" w:color="auto"/>
              <w:left w:val="nil"/>
              <w:bottom w:val="single" w:sz="8" w:space="0" w:color="auto"/>
              <w:right w:val="nil"/>
            </w:tcBorders>
            <w:noWrap/>
            <w:hideMark/>
          </w:tcPr>
          <w:p w14:paraId="7644D48E" w14:textId="77777777" w:rsidR="007E34FA" w:rsidRDefault="007E34FA">
            <w:pPr>
              <w:rPr>
                <w:rFonts w:ascii="Calibri" w:hAnsi="Calibri"/>
                <w:color w:val="000000"/>
                <w:sz w:val="18"/>
                <w:szCs w:val="18"/>
              </w:rPr>
            </w:pPr>
            <w:r>
              <w:rPr>
                <w:rFonts w:ascii="Calibri" w:hAnsi="Calibri"/>
                <w:color w:val="000000"/>
                <w:sz w:val="18"/>
                <w:szCs w:val="18"/>
              </w:rPr>
              <w:t>1.6%</w:t>
            </w:r>
          </w:p>
        </w:tc>
        <w:tc>
          <w:tcPr>
            <w:tcW w:w="335" w:type="pct"/>
            <w:tcBorders>
              <w:top w:val="single" w:sz="8" w:space="0" w:color="auto"/>
              <w:left w:val="nil"/>
              <w:bottom w:val="single" w:sz="8" w:space="0" w:color="auto"/>
              <w:right w:val="nil"/>
            </w:tcBorders>
            <w:noWrap/>
            <w:hideMark/>
          </w:tcPr>
          <w:p w14:paraId="499B3336" w14:textId="77777777" w:rsidR="007E34FA" w:rsidRDefault="007E34FA">
            <w:pPr>
              <w:rPr>
                <w:rFonts w:ascii="Calibri" w:hAnsi="Calibri"/>
                <w:color w:val="000000"/>
                <w:sz w:val="18"/>
                <w:szCs w:val="18"/>
              </w:rPr>
            </w:pPr>
            <w:r>
              <w:rPr>
                <w:rFonts w:ascii="Calibri" w:hAnsi="Calibri"/>
                <w:color w:val="000000"/>
                <w:sz w:val="18"/>
                <w:szCs w:val="18"/>
              </w:rPr>
              <w:t>1.7%</w:t>
            </w:r>
          </w:p>
        </w:tc>
        <w:tc>
          <w:tcPr>
            <w:tcW w:w="335" w:type="pct"/>
            <w:tcBorders>
              <w:top w:val="single" w:sz="8" w:space="0" w:color="auto"/>
              <w:left w:val="nil"/>
              <w:bottom w:val="single" w:sz="8" w:space="0" w:color="auto"/>
              <w:right w:val="nil"/>
            </w:tcBorders>
            <w:noWrap/>
            <w:hideMark/>
          </w:tcPr>
          <w:p w14:paraId="6208808C" w14:textId="77777777" w:rsidR="007E34FA" w:rsidRDefault="007E34FA">
            <w:pPr>
              <w:rPr>
                <w:rFonts w:ascii="Calibri" w:hAnsi="Calibri"/>
                <w:color w:val="000000"/>
                <w:sz w:val="18"/>
                <w:szCs w:val="18"/>
              </w:rPr>
            </w:pPr>
            <w:r>
              <w:rPr>
                <w:rFonts w:ascii="Calibri" w:hAnsi="Calibri"/>
                <w:color w:val="000000"/>
                <w:sz w:val="18"/>
                <w:szCs w:val="18"/>
              </w:rPr>
              <w:t>1.7%</w:t>
            </w:r>
          </w:p>
        </w:tc>
        <w:tc>
          <w:tcPr>
            <w:tcW w:w="335" w:type="pct"/>
            <w:tcBorders>
              <w:top w:val="single" w:sz="8" w:space="0" w:color="auto"/>
              <w:left w:val="nil"/>
              <w:bottom w:val="single" w:sz="8" w:space="0" w:color="auto"/>
              <w:right w:val="nil"/>
            </w:tcBorders>
            <w:noWrap/>
            <w:hideMark/>
          </w:tcPr>
          <w:p w14:paraId="7B386435" w14:textId="77777777" w:rsidR="007E34FA" w:rsidRDefault="007E34FA">
            <w:pPr>
              <w:rPr>
                <w:rFonts w:ascii="Calibri" w:hAnsi="Calibri"/>
                <w:color w:val="000000"/>
                <w:sz w:val="18"/>
                <w:szCs w:val="18"/>
              </w:rPr>
            </w:pPr>
            <w:r>
              <w:rPr>
                <w:rFonts w:ascii="Calibri" w:hAnsi="Calibri"/>
                <w:color w:val="000000"/>
                <w:sz w:val="18"/>
                <w:szCs w:val="18"/>
              </w:rPr>
              <w:t>2.2%</w:t>
            </w:r>
          </w:p>
        </w:tc>
        <w:tc>
          <w:tcPr>
            <w:tcW w:w="335" w:type="pct"/>
            <w:tcBorders>
              <w:top w:val="single" w:sz="8" w:space="0" w:color="auto"/>
              <w:left w:val="nil"/>
              <w:bottom w:val="single" w:sz="8" w:space="0" w:color="auto"/>
              <w:right w:val="nil"/>
            </w:tcBorders>
            <w:noWrap/>
            <w:hideMark/>
          </w:tcPr>
          <w:p w14:paraId="3D692DEE" w14:textId="77777777" w:rsidR="007E34FA" w:rsidRDefault="007E34FA">
            <w:pPr>
              <w:rPr>
                <w:rFonts w:ascii="Calibri" w:hAnsi="Calibri"/>
                <w:color w:val="000000"/>
                <w:sz w:val="18"/>
                <w:szCs w:val="18"/>
              </w:rPr>
            </w:pPr>
            <w:r>
              <w:rPr>
                <w:rFonts w:ascii="Calibri" w:hAnsi="Calibri"/>
                <w:color w:val="000000"/>
                <w:sz w:val="18"/>
                <w:szCs w:val="18"/>
              </w:rPr>
              <w:t>2.2%</w:t>
            </w:r>
          </w:p>
        </w:tc>
        <w:tc>
          <w:tcPr>
            <w:tcW w:w="335" w:type="pct"/>
            <w:tcBorders>
              <w:top w:val="single" w:sz="8" w:space="0" w:color="auto"/>
              <w:left w:val="nil"/>
              <w:bottom w:val="single" w:sz="8" w:space="0" w:color="auto"/>
              <w:right w:val="nil"/>
            </w:tcBorders>
            <w:noWrap/>
            <w:hideMark/>
          </w:tcPr>
          <w:p w14:paraId="0713D3DD" w14:textId="77777777" w:rsidR="007E34FA" w:rsidRDefault="007E34FA">
            <w:pPr>
              <w:rPr>
                <w:rFonts w:ascii="Calibri" w:hAnsi="Calibri"/>
                <w:color w:val="000000"/>
                <w:sz w:val="18"/>
                <w:szCs w:val="18"/>
              </w:rPr>
            </w:pPr>
            <w:r>
              <w:rPr>
                <w:rFonts w:ascii="Calibri" w:hAnsi="Calibri"/>
                <w:color w:val="000000"/>
                <w:sz w:val="18"/>
                <w:szCs w:val="18"/>
              </w:rPr>
              <w:t>2.0%</w:t>
            </w:r>
          </w:p>
        </w:tc>
        <w:tc>
          <w:tcPr>
            <w:tcW w:w="335" w:type="pct"/>
            <w:tcBorders>
              <w:top w:val="single" w:sz="8" w:space="0" w:color="auto"/>
              <w:left w:val="nil"/>
              <w:bottom w:val="single" w:sz="8" w:space="0" w:color="auto"/>
              <w:right w:val="nil"/>
            </w:tcBorders>
            <w:noWrap/>
            <w:hideMark/>
          </w:tcPr>
          <w:p w14:paraId="1EB374F1" w14:textId="77777777" w:rsidR="007E34FA" w:rsidRDefault="007E34FA">
            <w:pPr>
              <w:rPr>
                <w:rFonts w:ascii="Calibri" w:hAnsi="Calibri"/>
                <w:color w:val="000000"/>
                <w:sz w:val="18"/>
                <w:szCs w:val="18"/>
              </w:rPr>
            </w:pPr>
            <w:r>
              <w:rPr>
                <w:rFonts w:ascii="Calibri" w:hAnsi="Calibri"/>
                <w:color w:val="000000"/>
                <w:sz w:val="18"/>
                <w:szCs w:val="18"/>
              </w:rPr>
              <w:t>2.2%</w:t>
            </w:r>
          </w:p>
        </w:tc>
        <w:tc>
          <w:tcPr>
            <w:tcW w:w="348" w:type="pct"/>
            <w:tcBorders>
              <w:top w:val="single" w:sz="8" w:space="0" w:color="auto"/>
              <w:left w:val="nil"/>
              <w:bottom w:val="single" w:sz="8" w:space="0" w:color="auto"/>
              <w:right w:val="nil"/>
            </w:tcBorders>
            <w:noWrap/>
            <w:hideMark/>
          </w:tcPr>
          <w:p w14:paraId="659A091B" w14:textId="77777777" w:rsidR="007E34FA" w:rsidRDefault="007E34FA">
            <w:pPr>
              <w:rPr>
                <w:rFonts w:ascii="Calibri" w:hAnsi="Calibri"/>
                <w:color w:val="000000"/>
                <w:sz w:val="18"/>
                <w:szCs w:val="18"/>
              </w:rPr>
            </w:pPr>
            <w:r>
              <w:rPr>
                <w:rFonts w:ascii="Calibri" w:hAnsi="Calibri"/>
                <w:color w:val="000000"/>
                <w:sz w:val="18"/>
                <w:szCs w:val="18"/>
              </w:rPr>
              <w:t>2.3%</w:t>
            </w:r>
          </w:p>
        </w:tc>
        <w:tc>
          <w:tcPr>
            <w:tcW w:w="493" w:type="pct"/>
            <w:tcBorders>
              <w:top w:val="single" w:sz="8" w:space="0" w:color="auto"/>
              <w:left w:val="nil"/>
              <w:bottom w:val="single" w:sz="8" w:space="0" w:color="auto"/>
              <w:right w:val="nil"/>
            </w:tcBorders>
            <w:hideMark/>
          </w:tcPr>
          <w:p w14:paraId="615C3C8E" w14:textId="77777777" w:rsidR="007E34FA" w:rsidRDefault="007E34FA">
            <w:pPr>
              <w:rPr>
                <w:rFonts w:ascii="Calibri" w:hAnsi="Calibri"/>
                <w:color w:val="000000"/>
                <w:sz w:val="18"/>
                <w:szCs w:val="18"/>
              </w:rPr>
            </w:pPr>
            <w:r>
              <w:rPr>
                <w:rFonts w:ascii="Calibri" w:hAnsi="Calibri"/>
                <w:color w:val="000000"/>
                <w:sz w:val="18"/>
                <w:szCs w:val="18"/>
              </w:rPr>
              <w:t>1.8%</w:t>
            </w:r>
          </w:p>
        </w:tc>
      </w:tr>
      <w:tr w:rsidR="007E34FA" w14:paraId="1AD2450C" w14:textId="77777777" w:rsidTr="007E34FA">
        <w:trPr>
          <w:trHeight w:val="300"/>
        </w:trPr>
        <w:tc>
          <w:tcPr>
            <w:tcW w:w="807" w:type="pct"/>
            <w:tcBorders>
              <w:top w:val="single" w:sz="8" w:space="0" w:color="auto"/>
              <w:left w:val="nil"/>
              <w:bottom w:val="single" w:sz="8" w:space="0" w:color="auto"/>
              <w:right w:val="nil"/>
            </w:tcBorders>
            <w:noWrap/>
            <w:hideMark/>
          </w:tcPr>
          <w:p w14:paraId="56457314" w14:textId="77777777" w:rsidR="007E34FA" w:rsidRDefault="007E34FA">
            <w:pPr>
              <w:rPr>
                <w:sz w:val="18"/>
                <w:szCs w:val="18"/>
              </w:rPr>
            </w:pPr>
            <w:r>
              <w:rPr>
                <w:sz w:val="18"/>
                <w:szCs w:val="18"/>
              </w:rPr>
              <w:t>Native American</w:t>
            </w:r>
          </w:p>
        </w:tc>
        <w:tc>
          <w:tcPr>
            <w:tcW w:w="335" w:type="pct"/>
            <w:tcBorders>
              <w:top w:val="single" w:sz="8" w:space="0" w:color="auto"/>
              <w:left w:val="nil"/>
              <w:bottom w:val="single" w:sz="8" w:space="0" w:color="auto"/>
              <w:right w:val="nil"/>
            </w:tcBorders>
            <w:noWrap/>
            <w:hideMark/>
          </w:tcPr>
          <w:p w14:paraId="415CA14E" w14:textId="77777777" w:rsidR="007E34FA" w:rsidRDefault="007E34FA">
            <w:pPr>
              <w:rPr>
                <w:rFonts w:ascii="Calibri" w:hAnsi="Calibri"/>
                <w:color w:val="000000"/>
                <w:sz w:val="18"/>
                <w:szCs w:val="18"/>
              </w:rPr>
            </w:pPr>
            <w:r>
              <w:rPr>
                <w:rFonts w:ascii="Calibri" w:hAnsi="Calibri"/>
                <w:color w:val="000000"/>
                <w:sz w:val="18"/>
                <w:szCs w:val="18"/>
              </w:rPr>
              <w:t>0.1%</w:t>
            </w:r>
          </w:p>
        </w:tc>
        <w:tc>
          <w:tcPr>
            <w:tcW w:w="335" w:type="pct"/>
            <w:tcBorders>
              <w:top w:val="single" w:sz="8" w:space="0" w:color="auto"/>
              <w:left w:val="nil"/>
              <w:bottom w:val="single" w:sz="8" w:space="0" w:color="auto"/>
              <w:right w:val="nil"/>
            </w:tcBorders>
            <w:noWrap/>
            <w:hideMark/>
          </w:tcPr>
          <w:p w14:paraId="19A4FB6A" w14:textId="77777777" w:rsidR="007E34FA" w:rsidRDefault="007E34FA">
            <w:pPr>
              <w:rPr>
                <w:rFonts w:ascii="Calibri" w:hAnsi="Calibri"/>
                <w:color w:val="000000"/>
                <w:sz w:val="18"/>
                <w:szCs w:val="18"/>
              </w:rPr>
            </w:pPr>
            <w:r>
              <w:rPr>
                <w:rFonts w:ascii="Calibri" w:hAnsi="Calibri"/>
                <w:color w:val="000000"/>
                <w:sz w:val="18"/>
                <w:szCs w:val="18"/>
              </w:rPr>
              <w:t>0.2%</w:t>
            </w:r>
          </w:p>
        </w:tc>
        <w:tc>
          <w:tcPr>
            <w:tcW w:w="335" w:type="pct"/>
            <w:tcBorders>
              <w:top w:val="single" w:sz="8" w:space="0" w:color="auto"/>
              <w:left w:val="nil"/>
              <w:bottom w:val="single" w:sz="8" w:space="0" w:color="auto"/>
              <w:right w:val="nil"/>
            </w:tcBorders>
            <w:noWrap/>
            <w:hideMark/>
          </w:tcPr>
          <w:p w14:paraId="694DCF52" w14:textId="77777777" w:rsidR="007E34FA" w:rsidRDefault="007E34FA">
            <w:pPr>
              <w:rPr>
                <w:rFonts w:ascii="Calibri" w:hAnsi="Calibri"/>
                <w:color w:val="000000"/>
                <w:sz w:val="18"/>
                <w:szCs w:val="18"/>
              </w:rPr>
            </w:pPr>
            <w:r>
              <w:rPr>
                <w:rFonts w:ascii="Calibri" w:hAnsi="Calibri"/>
                <w:color w:val="000000"/>
                <w:sz w:val="18"/>
                <w:szCs w:val="18"/>
              </w:rPr>
              <w:t>0.3%</w:t>
            </w:r>
          </w:p>
        </w:tc>
        <w:tc>
          <w:tcPr>
            <w:tcW w:w="335" w:type="pct"/>
            <w:tcBorders>
              <w:top w:val="single" w:sz="8" w:space="0" w:color="auto"/>
              <w:left w:val="nil"/>
              <w:bottom w:val="single" w:sz="8" w:space="0" w:color="auto"/>
              <w:right w:val="nil"/>
            </w:tcBorders>
            <w:noWrap/>
            <w:hideMark/>
          </w:tcPr>
          <w:p w14:paraId="6917775F" w14:textId="77777777" w:rsidR="007E34FA" w:rsidRDefault="007E34FA">
            <w:pPr>
              <w:rPr>
                <w:rFonts w:ascii="Calibri" w:hAnsi="Calibri"/>
                <w:color w:val="000000"/>
                <w:sz w:val="18"/>
                <w:szCs w:val="18"/>
              </w:rPr>
            </w:pPr>
            <w:r>
              <w:rPr>
                <w:rFonts w:ascii="Calibri" w:hAnsi="Calibri"/>
                <w:color w:val="000000"/>
                <w:sz w:val="18"/>
                <w:szCs w:val="18"/>
              </w:rPr>
              <w:t>0.5%</w:t>
            </w:r>
          </w:p>
        </w:tc>
        <w:tc>
          <w:tcPr>
            <w:tcW w:w="335" w:type="pct"/>
            <w:tcBorders>
              <w:top w:val="single" w:sz="8" w:space="0" w:color="auto"/>
              <w:left w:val="nil"/>
              <w:bottom w:val="single" w:sz="8" w:space="0" w:color="auto"/>
              <w:right w:val="nil"/>
            </w:tcBorders>
            <w:noWrap/>
            <w:hideMark/>
          </w:tcPr>
          <w:p w14:paraId="444B57A5" w14:textId="77777777" w:rsidR="007E34FA" w:rsidRDefault="007E34FA">
            <w:pPr>
              <w:rPr>
                <w:rFonts w:ascii="Calibri" w:hAnsi="Calibri"/>
                <w:color w:val="000000"/>
                <w:sz w:val="18"/>
                <w:szCs w:val="18"/>
              </w:rPr>
            </w:pPr>
            <w:r>
              <w:rPr>
                <w:rFonts w:ascii="Calibri" w:hAnsi="Calibri"/>
                <w:color w:val="000000"/>
                <w:sz w:val="18"/>
                <w:szCs w:val="18"/>
              </w:rPr>
              <w:t>0.7%</w:t>
            </w:r>
          </w:p>
        </w:tc>
        <w:tc>
          <w:tcPr>
            <w:tcW w:w="335" w:type="pct"/>
            <w:tcBorders>
              <w:top w:val="single" w:sz="8" w:space="0" w:color="auto"/>
              <w:left w:val="nil"/>
              <w:bottom w:val="single" w:sz="8" w:space="0" w:color="auto"/>
              <w:right w:val="nil"/>
            </w:tcBorders>
            <w:noWrap/>
            <w:hideMark/>
          </w:tcPr>
          <w:p w14:paraId="196E3082" w14:textId="77777777" w:rsidR="007E34FA" w:rsidRDefault="007E34FA">
            <w:pPr>
              <w:rPr>
                <w:rFonts w:ascii="Calibri" w:hAnsi="Calibri"/>
                <w:color w:val="000000"/>
                <w:sz w:val="18"/>
                <w:szCs w:val="18"/>
              </w:rPr>
            </w:pPr>
            <w:r>
              <w:rPr>
                <w:rFonts w:ascii="Calibri" w:hAnsi="Calibri"/>
                <w:color w:val="000000"/>
                <w:sz w:val="18"/>
                <w:szCs w:val="18"/>
              </w:rPr>
              <w:t>0.4%</w:t>
            </w:r>
          </w:p>
        </w:tc>
        <w:tc>
          <w:tcPr>
            <w:tcW w:w="335" w:type="pct"/>
            <w:tcBorders>
              <w:top w:val="single" w:sz="8" w:space="0" w:color="auto"/>
              <w:left w:val="nil"/>
              <w:bottom w:val="single" w:sz="8" w:space="0" w:color="auto"/>
              <w:right w:val="nil"/>
            </w:tcBorders>
            <w:noWrap/>
            <w:hideMark/>
          </w:tcPr>
          <w:p w14:paraId="33479D5B" w14:textId="77777777" w:rsidR="007E34FA" w:rsidRDefault="007E34FA">
            <w:pPr>
              <w:rPr>
                <w:rFonts w:ascii="Calibri" w:hAnsi="Calibri"/>
                <w:color w:val="000000"/>
                <w:sz w:val="18"/>
                <w:szCs w:val="18"/>
              </w:rPr>
            </w:pPr>
            <w:r>
              <w:rPr>
                <w:rFonts w:ascii="Calibri" w:hAnsi="Calibri"/>
                <w:color w:val="000000"/>
                <w:sz w:val="18"/>
                <w:szCs w:val="18"/>
              </w:rPr>
              <w:t>0.7%</w:t>
            </w:r>
          </w:p>
        </w:tc>
        <w:tc>
          <w:tcPr>
            <w:tcW w:w="335" w:type="pct"/>
            <w:tcBorders>
              <w:top w:val="single" w:sz="8" w:space="0" w:color="auto"/>
              <w:left w:val="nil"/>
              <w:bottom w:val="single" w:sz="8" w:space="0" w:color="auto"/>
              <w:right w:val="nil"/>
            </w:tcBorders>
            <w:noWrap/>
            <w:hideMark/>
          </w:tcPr>
          <w:p w14:paraId="5D6C7364" w14:textId="77777777" w:rsidR="007E34FA" w:rsidRDefault="007E34FA">
            <w:pPr>
              <w:rPr>
                <w:rFonts w:ascii="Calibri" w:hAnsi="Calibri"/>
                <w:color w:val="000000"/>
                <w:sz w:val="18"/>
                <w:szCs w:val="18"/>
              </w:rPr>
            </w:pPr>
            <w:r>
              <w:rPr>
                <w:rFonts w:ascii="Calibri" w:hAnsi="Calibri"/>
                <w:color w:val="000000"/>
                <w:sz w:val="18"/>
                <w:szCs w:val="18"/>
              </w:rPr>
              <w:t>0.3%</w:t>
            </w:r>
          </w:p>
        </w:tc>
        <w:tc>
          <w:tcPr>
            <w:tcW w:w="335" w:type="pct"/>
            <w:tcBorders>
              <w:top w:val="single" w:sz="8" w:space="0" w:color="auto"/>
              <w:left w:val="nil"/>
              <w:bottom w:val="single" w:sz="8" w:space="0" w:color="auto"/>
              <w:right w:val="nil"/>
            </w:tcBorders>
            <w:noWrap/>
            <w:hideMark/>
          </w:tcPr>
          <w:p w14:paraId="24939A2C" w14:textId="77777777" w:rsidR="007E34FA" w:rsidRDefault="007E34FA">
            <w:pPr>
              <w:rPr>
                <w:rFonts w:ascii="Calibri" w:hAnsi="Calibri"/>
                <w:color w:val="000000"/>
                <w:sz w:val="18"/>
                <w:szCs w:val="18"/>
              </w:rPr>
            </w:pPr>
            <w:r>
              <w:rPr>
                <w:rFonts w:ascii="Calibri" w:hAnsi="Calibri"/>
                <w:color w:val="000000"/>
                <w:sz w:val="18"/>
                <w:szCs w:val="18"/>
              </w:rPr>
              <w:t>0.6%</w:t>
            </w:r>
          </w:p>
        </w:tc>
        <w:tc>
          <w:tcPr>
            <w:tcW w:w="335" w:type="pct"/>
            <w:tcBorders>
              <w:top w:val="single" w:sz="8" w:space="0" w:color="auto"/>
              <w:left w:val="nil"/>
              <w:bottom w:val="single" w:sz="8" w:space="0" w:color="auto"/>
              <w:right w:val="nil"/>
            </w:tcBorders>
            <w:noWrap/>
            <w:hideMark/>
          </w:tcPr>
          <w:p w14:paraId="4D8E5177" w14:textId="77777777" w:rsidR="007E34FA" w:rsidRDefault="007E34FA">
            <w:pPr>
              <w:rPr>
                <w:rFonts w:ascii="Calibri" w:hAnsi="Calibri"/>
                <w:color w:val="000000"/>
                <w:sz w:val="18"/>
                <w:szCs w:val="18"/>
              </w:rPr>
            </w:pPr>
            <w:r>
              <w:rPr>
                <w:rFonts w:ascii="Calibri" w:hAnsi="Calibri"/>
                <w:color w:val="000000"/>
                <w:sz w:val="18"/>
                <w:szCs w:val="18"/>
              </w:rPr>
              <w:t>0.4%</w:t>
            </w:r>
          </w:p>
        </w:tc>
        <w:tc>
          <w:tcPr>
            <w:tcW w:w="348" w:type="pct"/>
            <w:tcBorders>
              <w:top w:val="single" w:sz="8" w:space="0" w:color="auto"/>
              <w:left w:val="nil"/>
              <w:bottom w:val="single" w:sz="8" w:space="0" w:color="auto"/>
              <w:right w:val="nil"/>
            </w:tcBorders>
            <w:noWrap/>
            <w:hideMark/>
          </w:tcPr>
          <w:p w14:paraId="67D82702" w14:textId="77777777" w:rsidR="007E34FA" w:rsidRDefault="007E34FA">
            <w:pPr>
              <w:rPr>
                <w:rFonts w:ascii="Calibri" w:hAnsi="Calibri"/>
                <w:color w:val="000000"/>
                <w:sz w:val="18"/>
                <w:szCs w:val="18"/>
              </w:rPr>
            </w:pPr>
            <w:r>
              <w:rPr>
                <w:rFonts w:ascii="Calibri" w:hAnsi="Calibri"/>
                <w:color w:val="000000"/>
                <w:sz w:val="18"/>
                <w:szCs w:val="18"/>
              </w:rPr>
              <w:t>0.5%</w:t>
            </w:r>
          </w:p>
        </w:tc>
        <w:tc>
          <w:tcPr>
            <w:tcW w:w="493" w:type="pct"/>
            <w:tcBorders>
              <w:top w:val="single" w:sz="8" w:space="0" w:color="auto"/>
              <w:left w:val="nil"/>
              <w:bottom w:val="single" w:sz="8" w:space="0" w:color="auto"/>
              <w:right w:val="nil"/>
            </w:tcBorders>
            <w:hideMark/>
          </w:tcPr>
          <w:p w14:paraId="6A5D5D54" w14:textId="77777777" w:rsidR="007E34FA" w:rsidRDefault="007E34FA">
            <w:pPr>
              <w:rPr>
                <w:rFonts w:ascii="Calibri" w:hAnsi="Calibri"/>
                <w:color w:val="000000"/>
                <w:sz w:val="18"/>
                <w:szCs w:val="18"/>
              </w:rPr>
            </w:pPr>
            <w:r>
              <w:rPr>
                <w:rFonts w:ascii="Calibri" w:hAnsi="Calibri"/>
                <w:color w:val="000000"/>
                <w:sz w:val="18"/>
                <w:szCs w:val="18"/>
              </w:rPr>
              <w:t>0.4%</w:t>
            </w:r>
          </w:p>
        </w:tc>
      </w:tr>
      <w:tr w:rsidR="007E34FA" w14:paraId="0BFC3471" w14:textId="77777777" w:rsidTr="007E34FA">
        <w:trPr>
          <w:trHeight w:val="300"/>
        </w:trPr>
        <w:tc>
          <w:tcPr>
            <w:tcW w:w="807" w:type="pct"/>
            <w:tcBorders>
              <w:top w:val="single" w:sz="8" w:space="0" w:color="auto"/>
              <w:left w:val="nil"/>
              <w:bottom w:val="single" w:sz="8" w:space="0" w:color="auto"/>
              <w:right w:val="nil"/>
            </w:tcBorders>
            <w:noWrap/>
            <w:hideMark/>
          </w:tcPr>
          <w:p w14:paraId="0FAF958F" w14:textId="77777777" w:rsidR="007E34FA" w:rsidRDefault="007E34FA">
            <w:pPr>
              <w:rPr>
                <w:sz w:val="18"/>
                <w:szCs w:val="18"/>
              </w:rPr>
            </w:pPr>
            <w:r>
              <w:rPr>
                <w:sz w:val="18"/>
                <w:szCs w:val="18"/>
              </w:rPr>
              <w:t>Other</w:t>
            </w:r>
          </w:p>
        </w:tc>
        <w:tc>
          <w:tcPr>
            <w:tcW w:w="335" w:type="pct"/>
            <w:tcBorders>
              <w:top w:val="single" w:sz="8" w:space="0" w:color="auto"/>
              <w:left w:val="nil"/>
              <w:bottom w:val="single" w:sz="8" w:space="0" w:color="auto"/>
              <w:right w:val="nil"/>
            </w:tcBorders>
            <w:noWrap/>
            <w:hideMark/>
          </w:tcPr>
          <w:p w14:paraId="5E094B44" w14:textId="77777777" w:rsidR="007E34FA" w:rsidRDefault="007E34FA">
            <w:pPr>
              <w:rPr>
                <w:rFonts w:ascii="Calibri" w:hAnsi="Calibri"/>
                <w:color w:val="000000"/>
                <w:sz w:val="18"/>
                <w:szCs w:val="18"/>
              </w:rPr>
            </w:pPr>
            <w:r>
              <w:rPr>
                <w:rFonts w:ascii="Calibri" w:hAnsi="Calibri"/>
                <w:color w:val="000000"/>
                <w:sz w:val="18"/>
                <w:szCs w:val="18"/>
              </w:rPr>
              <w:t>2.0%</w:t>
            </w:r>
          </w:p>
        </w:tc>
        <w:tc>
          <w:tcPr>
            <w:tcW w:w="335" w:type="pct"/>
            <w:tcBorders>
              <w:top w:val="single" w:sz="8" w:space="0" w:color="auto"/>
              <w:left w:val="nil"/>
              <w:bottom w:val="single" w:sz="8" w:space="0" w:color="auto"/>
              <w:right w:val="nil"/>
            </w:tcBorders>
            <w:noWrap/>
            <w:hideMark/>
          </w:tcPr>
          <w:p w14:paraId="25995203" w14:textId="77777777" w:rsidR="007E34FA" w:rsidRDefault="007E34FA">
            <w:pPr>
              <w:rPr>
                <w:rFonts w:ascii="Calibri" w:hAnsi="Calibri"/>
                <w:color w:val="000000"/>
                <w:sz w:val="18"/>
                <w:szCs w:val="18"/>
              </w:rPr>
            </w:pPr>
            <w:r>
              <w:rPr>
                <w:rFonts w:ascii="Calibri" w:hAnsi="Calibri"/>
                <w:color w:val="000000"/>
                <w:sz w:val="18"/>
                <w:szCs w:val="18"/>
              </w:rPr>
              <w:t>2.6%</w:t>
            </w:r>
          </w:p>
        </w:tc>
        <w:tc>
          <w:tcPr>
            <w:tcW w:w="335" w:type="pct"/>
            <w:tcBorders>
              <w:top w:val="single" w:sz="8" w:space="0" w:color="auto"/>
              <w:left w:val="nil"/>
              <w:bottom w:val="single" w:sz="8" w:space="0" w:color="auto"/>
              <w:right w:val="nil"/>
            </w:tcBorders>
            <w:noWrap/>
            <w:hideMark/>
          </w:tcPr>
          <w:p w14:paraId="05EBFC8F" w14:textId="77777777" w:rsidR="007E34FA" w:rsidRDefault="007E34FA">
            <w:pPr>
              <w:rPr>
                <w:rFonts w:ascii="Calibri" w:hAnsi="Calibri"/>
                <w:color w:val="000000"/>
                <w:sz w:val="18"/>
                <w:szCs w:val="18"/>
              </w:rPr>
            </w:pPr>
            <w:r>
              <w:rPr>
                <w:rFonts w:ascii="Calibri" w:hAnsi="Calibri"/>
                <w:color w:val="000000"/>
                <w:sz w:val="18"/>
                <w:szCs w:val="18"/>
              </w:rPr>
              <w:t>2.4%</w:t>
            </w:r>
          </w:p>
        </w:tc>
        <w:tc>
          <w:tcPr>
            <w:tcW w:w="335" w:type="pct"/>
            <w:tcBorders>
              <w:top w:val="single" w:sz="8" w:space="0" w:color="auto"/>
              <w:left w:val="nil"/>
              <w:bottom w:val="single" w:sz="8" w:space="0" w:color="auto"/>
              <w:right w:val="nil"/>
            </w:tcBorders>
            <w:noWrap/>
            <w:hideMark/>
          </w:tcPr>
          <w:p w14:paraId="4944A7A8" w14:textId="77777777" w:rsidR="007E34FA" w:rsidRDefault="007E34FA">
            <w:pPr>
              <w:rPr>
                <w:rFonts w:ascii="Calibri" w:hAnsi="Calibri"/>
                <w:color w:val="000000"/>
                <w:sz w:val="18"/>
                <w:szCs w:val="18"/>
              </w:rPr>
            </w:pPr>
            <w:r>
              <w:rPr>
                <w:rFonts w:ascii="Calibri" w:hAnsi="Calibri"/>
                <w:color w:val="000000"/>
                <w:sz w:val="18"/>
                <w:szCs w:val="18"/>
              </w:rPr>
              <w:t>2.5%</w:t>
            </w:r>
          </w:p>
        </w:tc>
        <w:tc>
          <w:tcPr>
            <w:tcW w:w="335" w:type="pct"/>
            <w:tcBorders>
              <w:top w:val="single" w:sz="8" w:space="0" w:color="auto"/>
              <w:left w:val="nil"/>
              <w:bottom w:val="single" w:sz="8" w:space="0" w:color="auto"/>
              <w:right w:val="nil"/>
            </w:tcBorders>
            <w:noWrap/>
            <w:hideMark/>
          </w:tcPr>
          <w:p w14:paraId="69E0AA3A" w14:textId="77777777" w:rsidR="007E34FA" w:rsidRDefault="007E34FA">
            <w:pPr>
              <w:rPr>
                <w:rFonts w:ascii="Calibri" w:hAnsi="Calibri"/>
                <w:color w:val="000000"/>
                <w:sz w:val="18"/>
                <w:szCs w:val="18"/>
              </w:rPr>
            </w:pPr>
            <w:r>
              <w:rPr>
                <w:rFonts w:ascii="Calibri" w:hAnsi="Calibri"/>
                <w:color w:val="000000"/>
                <w:sz w:val="18"/>
                <w:szCs w:val="18"/>
              </w:rPr>
              <w:t>3.3%</w:t>
            </w:r>
          </w:p>
        </w:tc>
        <w:tc>
          <w:tcPr>
            <w:tcW w:w="335" w:type="pct"/>
            <w:tcBorders>
              <w:top w:val="single" w:sz="8" w:space="0" w:color="auto"/>
              <w:left w:val="nil"/>
              <w:bottom w:val="single" w:sz="8" w:space="0" w:color="auto"/>
              <w:right w:val="nil"/>
            </w:tcBorders>
            <w:noWrap/>
            <w:hideMark/>
          </w:tcPr>
          <w:p w14:paraId="6AEF56DF" w14:textId="77777777" w:rsidR="007E34FA" w:rsidRDefault="007E34FA">
            <w:pPr>
              <w:rPr>
                <w:rFonts w:ascii="Calibri" w:hAnsi="Calibri"/>
                <w:color w:val="000000"/>
                <w:sz w:val="18"/>
                <w:szCs w:val="18"/>
              </w:rPr>
            </w:pPr>
            <w:r>
              <w:rPr>
                <w:rFonts w:ascii="Calibri" w:hAnsi="Calibri"/>
                <w:color w:val="000000"/>
                <w:sz w:val="18"/>
                <w:szCs w:val="18"/>
              </w:rPr>
              <w:t>2.9%</w:t>
            </w:r>
          </w:p>
        </w:tc>
        <w:tc>
          <w:tcPr>
            <w:tcW w:w="335" w:type="pct"/>
            <w:tcBorders>
              <w:top w:val="single" w:sz="8" w:space="0" w:color="auto"/>
              <w:left w:val="nil"/>
              <w:bottom w:val="single" w:sz="8" w:space="0" w:color="auto"/>
              <w:right w:val="nil"/>
            </w:tcBorders>
            <w:noWrap/>
            <w:hideMark/>
          </w:tcPr>
          <w:p w14:paraId="7AE4A71D" w14:textId="77777777" w:rsidR="007E34FA" w:rsidRDefault="007E34FA">
            <w:pPr>
              <w:rPr>
                <w:rFonts w:ascii="Calibri" w:hAnsi="Calibri"/>
                <w:color w:val="000000"/>
                <w:sz w:val="18"/>
                <w:szCs w:val="18"/>
              </w:rPr>
            </w:pPr>
            <w:r>
              <w:rPr>
                <w:rFonts w:ascii="Calibri" w:hAnsi="Calibri"/>
                <w:color w:val="000000"/>
                <w:sz w:val="18"/>
                <w:szCs w:val="18"/>
              </w:rPr>
              <w:t>2.4%</w:t>
            </w:r>
          </w:p>
        </w:tc>
        <w:tc>
          <w:tcPr>
            <w:tcW w:w="335" w:type="pct"/>
            <w:tcBorders>
              <w:top w:val="single" w:sz="8" w:space="0" w:color="auto"/>
              <w:left w:val="nil"/>
              <w:bottom w:val="single" w:sz="8" w:space="0" w:color="auto"/>
              <w:right w:val="nil"/>
            </w:tcBorders>
            <w:noWrap/>
            <w:hideMark/>
          </w:tcPr>
          <w:p w14:paraId="30EBF85A" w14:textId="77777777" w:rsidR="007E34FA" w:rsidRDefault="007E34FA">
            <w:pPr>
              <w:rPr>
                <w:rFonts w:ascii="Calibri" w:hAnsi="Calibri"/>
                <w:color w:val="000000"/>
                <w:sz w:val="18"/>
                <w:szCs w:val="18"/>
              </w:rPr>
            </w:pPr>
            <w:r>
              <w:rPr>
                <w:rFonts w:ascii="Calibri" w:hAnsi="Calibri"/>
                <w:color w:val="000000"/>
                <w:sz w:val="18"/>
                <w:szCs w:val="18"/>
              </w:rPr>
              <w:t>3.5%</w:t>
            </w:r>
          </w:p>
        </w:tc>
        <w:tc>
          <w:tcPr>
            <w:tcW w:w="335" w:type="pct"/>
            <w:tcBorders>
              <w:top w:val="single" w:sz="8" w:space="0" w:color="auto"/>
              <w:left w:val="nil"/>
              <w:bottom w:val="single" w:sz="8" w:space="0" w:color="auto"/>
              <w:right w:val="nil"/>
            </w:tcBorders>
            <w:noWrap/>
            <w:hideMark/>
          </w:tcPr>
          <w:p w14:paraId="67A34F10" w14:textId="77777777" w:rsidR="007E34FA" w:rsidRDefault="007E34FA">
            <w:pPr>
              <w:rPr>
                <w:rFonts w:ascii="Calibri" w:hAnsi="Calibri"/>
                <w:color w:val="000000"/>
                <w:sz w:val="18"/>
                <w:szCs w:val="18"/>
              </w:rPr>
            </w:pPr>
            <w:r>
              <w:rPr>
                <w:rFonts w:ascii="Calibri" w:hAnsi="Calibri"/>
                <w:color w:val="000000"/>
                <w:sz w:val="18"/>
                <w:szCs w:val="18"/>
              </w:rPr>
              <w:t>3.9%</w:t>
            </w:r>
          </w:p>
        </w:tc>
        <w:tc>
          <w:tcPr>
            <w:tcW w:w="335" w:type="pct"/>
            <w:tcBorders>
              <w:top w:val="single" w:sz="8" w:space="0" w:color="auto"/>
              <w:left w:val="nil"/>
              <w:bottom w:val="single" w:sz="8" w:space="0" w:color="auto"/>
              <w:right w:val="nil"/>
            </w:tcBorders>
            <w:noWrap/>
            <w:hideMark/>
          </w:tcPr>
          <w:p w14:paraId="7F1D05C1" w14:textId="77777777" w:rsidR="007E34FA" w:rsidRDefault="007E34FA">
            <w:pPr>
              <w:rPr>
                <w:rFonts w:ascii="Calibri" w:hAnsi="Calibri"/>
                <w:color w:val="000000"/>
                <w:sz w:val="18"/>
                <w:szCs w:val="18"/>
              </w:rPr>
            </w:pPr>
            <w:r>
              <w:rPr>
                <w:rFonts w:ascii="Calibri" w:hAnsi="Calibri"/>
                <w:color w:val="000000"/>
                <w:sz w:val="18"/>
                <w:szCs w:val="18"/>
              </w:rPr>
              <w:t>3.5%</w:t>
            </w:r>
          </w:p>
        </w:tc>
        <w:tc>
          <w:tcPr>
            <w:tcW w:w="348" w:type="pct"/>
            <w:tcBorders>
              <w:top w:val="single" w:sz="8" w:space="0" w:color="auto"/>
              <w:left w:val="nil"/>
              <w:bottom w:val="single" w:sz="8" w:space="0" w:color="auto"/>
              <w:right w:val="nil"/>
            </w:tcBorders>
            <w:noWrap/>
            <w:hideMark/>
          </w:tcPr>
          <w:p w14:paraId="1772C15D" w14:textId="77777777" w:rsidR="007E34FA" w:rsidRDefault="007E34FA">
            <w:pPr>
              <w:rPr>
                <w:rFonts w:ascii="Calibri" w:hAnsi="Calibri"/>
                <w:color w:val="000000"/>
                <w:sz w:val="18"/>
                <w:szCs w:val="18"/>
              </w:rPr>
            </w:pPr>
            <w:r>
              <w:rPr>
                <w:rFonts w:ascii="Calibri" w:hAnsi="Calibri"/>
                <w:color w:val="000000"/>
                <w:sz w:val="18"/>
                <w:szCs w:val="18"/>
              </w:rPr>
              <w:t>3.4%</w:t>
            </w:r>
          </w:p>
        </w:tc>
        <w:tc>
          <w:tcPr>
            <w:tcW w:w="493" w:type="pct"/>
            <w:tcBorders>
              <w:top w:val="single" w:sz="8" w:space="0" w:color="auto"/>
              <w:left w:val="nil"/>
              <w:bottom w:val="single" w:sz="8" w:space="0" w:color="auto"/>
              <w:right w:val="nil"/>
            </w:tcBorders>
            <w:hideMark/>
          </w:tcPr>
          <w:p w14:paraId="2870D731" w14:textId="77777777" w:rsidR="007E34FA" w:rsidRDefault="007E34FA">
            <w:pPr>
              <w:rPr>
                <w:rFonts w:ascii="Calibri" w:hAnsi="Calibri"/>
                <w:color w:val="000000"/>
                <w:sz w:val="18"/>
                <w:szCs w:val="18"/>
              </w:rPr>
            </w:pPr>
            <w:r>
              <w:rPr>
                <w:rFonts w:ascii="Calibri" w:hAnsi="Calibri"/>
                <w:color w:val="000000"/>
                <w:sz w:val="18"/>
                <w:szCs w:val="18"/>
              </w:rPr>
              <w:t>3.0%</w:t>
            </w:r>
          </w:p>
        </w:tc>
      </w:tr>
      <w:tr w:rsidR="007E34FA" w14:paraId="0B608855" w14:textId="77777777" w:rsidTr="007E34FA">
        <w:trPr>
          <w:trHeight w:val="300"/>
        </w:trPr>
        <w:tc>
          <w:tcPr>
            <w:tcW w:w="807" w:type="pct"/>
            <w:tcBorders>
              <w:top w:val="single" w:sz="8" w:space="0" w:color="auto"/>
              <w:left w:val="nil"/>
              <w:bottom w:val="single" w:sz="8" w:space="0" w:color="auto"/>
              <w:right w:val="nil"/>
            </w:tcBorders>
            <w:noWrap/>
            <w:hideMark/>
          </w:tcPr>
          <w:p w14:paraId="65748B05" w14:textId="77777777" w:rsidR="007E34FA" w:rsidRDefault="007E34FA">
            <w:pPr>
              <w:rPr>
                <w:sz w:val="18"/>
                <w:szCs w:val="18"/>
              </w:rPr>
            </w:pPr>
            <w:r>
              <w:rPr>
                <w:sz w:val="18"/>
                <w:szCs w:val="18"/>
              </w:rPr>
              <w:t>Missing Race</w:t>
            </w:r>
          </w:p>
        </w:tc>
        <w:tc>
          <w:tcPr>
            <w:tcW w:w="335" w:type="pct"/>
            <w:tcBorders>
              <w:top w:val="single" w:sz="8" w:space="0" w:color="auto"/>
              <w:left w:val="nil"/>
              <w:bottom w:val="single" w:sz="8" w:space="0" w:color="auto"/>
              <w:right w:val="nil"/>
            </w:tcBorders>
            <w:noWrap/>
            <w:hideMark/>
          </w:tcPr>
          <w:p w14:paraId="430632F5" w14:textId="77777777" w:rsidR="007E34FA" w:rsidRDefault="007E34FA">
            <w:pPr>
              <w:rPr>
                <w:rFonts w:ascii="Calibri" w:hAnsi="Calibri"/>
                <w:color w:val="000000"/>
                <w:sz w:val="18"/>
                <w:szCs w:val="18"/>
              </w:rPr>
            </w:pPr>
            <w:r>
              <w:rPr>
                <w:rFonts w:ascii="Calibri" w:hAnsi="Calibri"/>
                <w:color w:val="000000"/>
                <w:sz w:val="18"/>
                <w:szCs w:val="18"/>
              </w:rPr>
              <w:t>30.6%</w:t>
            </w:r>
          </w:p>
        </w:tc>
        <w:tc>
          <w:tcPr>
            <w:tcW w:w="335" w:type="pct"/>
            <w:tcBorders>
              <w:top w:val="single" w:sz="8" w:space="0" w:color="auto"/>
              <w:left w:val="nil"/>
              <w:bottom w:val="single" w:sz="8" w:space="0" w:color="auto"/>
              <w:right w:val="nil"/>
            </w:tcBorders>
            <w:noWrap/>
            <w:hideMark/>
          </w:tcPr>
          <w:p w14:paraId="5FDDA94F" w14:textId="77777777" w:rsidR="007E34FA" w:rsidRDefault="007E34FA">
            <w:pPr>
              <w:rPr>
                <w:rFonts w:ascii="Calibri" w:hAnsi="Calibri"/>
                <w:color w:val="000000"/>
                <w:sz w:val="18"/>
                <w:szCs w:val="18"/>
              </w:rPr>
            </w:pPr>
            <w:r>
              <w:rPr>
                <w:rFonts w:ascii="Calibri" w:hAnsi="Calibri"/>
                <w:color w:val="000000"/>
                <w:sz w:val="18"/>
                <w:szCs w:val="18"/>
              </w:rPr>
              <w:t>27.9%</w:t>
            </w:r>
          </w:p>
        </w:tc>
        <w:tc>
          <w:tcPr>
            <w:tcW w:w="335" w:type="pct"/>
            <w:tcBorders>
              <w:top w:val="single" w:sz="8" w:space="0" w:color="auto"/>
              <w:left w:val="nil"/>
              <w:bottom w:val="single" w:sz="8" w:space="0" w:color="auto"/>
              <w:right w:val="nil"/>
            </w:tcBorders>
            <w:noWrap/>
            <w:hideMark/>
          </w:tcPr>
          <w:p w14:paraId="55B52067" w14:textId="77777777" w:rsidR="007E34FA" w:rsidRDefault="007E34FA">
            <w:pPr>
              <w:rPr>
                <w:rFonts w:ascii="Calibri" w:hAnsi="Calibri"/>
                <w:color w:val="000000"/>
                <w:sz w:val="18"/>
                <w:szCs w:val="18"/>
              </w:rPr>
            </w:pPr>
            <w:r>
              <w:rPr>
                <w:rFonts w:ascii="Calibri" w:hAnsi="Calibri"/>
                <w:color w:val="000000"/>
                <w:sz w:val="18"/>
                <w:szCs w:val="18"/>
              </w:rPr>
              <w:t>25.8%</w:t>
            </w:r>
          </w:p>
        </w:tc>
        <w:tc>
          <w:tcPr>
            <w:tcW w:w="335" w:type="pct"/>
            <w:tcBorders>
              <w:top w:val="single" w:sz="8" w:space="0" w:color="auto"/>
              <w:left w:val="nil"/>
              <w:bottom w:val="single" w:sz="8" w:space="0" w:color="auto"/>
              <w:right w:val="nil"/>
            </w:tcBorders>
            <w:noWrap/>
            <w:hideMark/>
          </w:tcPr>
          <w:p w14:paraId="20A8EE0E" w14:textId="77777777" w:rsidR="007E34FA" w:rsidRDefault="007E34FA">
            <w:pPr>
              <w:rPr>
                <w:rFonts w:ascii="Calibri" w:hAnsi="Calibri"/>
                <w:color w:val="000000"/>
                <w:sz w:val="18"/>
                <w:szCs w:val="18"/>
              </w:rPr>
            </w:pPr>
            <w:r>
              <w:rPr>
                <w:rFonts w:ascii="Calibri" w:hAnsi="Calibri"/>
                <w:color w:val="000000"/>
                <w:sz w:val="18"/>
                <w:szCs w:val="18"/>
              </w:rPr>
              <w:t>25.4%</w:t>
            </w:r>
          </w:p>
        </w:tc>
        <w:tc>
          <w:tcPr>
            <w:tcW w:w="335" w:type="pct"/>
            <w:tcBorders>
              <w:top w:val="single" w:sz="8" w:space="0" w:color="auto"/>
              <w:left w:val="nil"/>
              <w:bottom w:val="single" w:sz="8" w:space="0" w:color="auto"/>
              <w:right w:val="nil"/>
            </w:tcBorders>
            <w:noWrap/>
            <w:hideMark/>
          </w:tcPr>
          <w:p w14:paraId="0BC15260" w14:textId="77777777" w:rsidR="007E34FA" w:rsidRDefault="007E34FA">
            <w:pPr>
              <w:rPr>
                <w:rFonts w:ascii="Calibri" w:hAnsi="Calibri"/>
                <w:color w:val="000000"/>
                <w:sz w:val="18"/>
                <w:szCs w:val="18"/>
              </w:rPr>
            </w:pPr>
            <w:r>
              <w:rPr>
                <w:rFonts w:ascii="Calibri" w:hAnsi="Calibri"/>
                <w:color w:val="000000"/>
                <w:sz w:val="18"/>
                <w:szCs w:val="18"/>
              </w:rPr>
              <w:t>21.8%</w:t>
            </w:r>
          </w:p>
        </w:tc>
        <w:tc>
          <w:tcPr>
            <w:tcW w:w="335" w:type="pct"/>
            <w:tcBorders>
              <w:top w:val="single" w:sz="8" w:space="0" w:color="auto"/>
              <w:left w:val="nil"/>
              <w:bottom w:val="single" w:sz="8" w:space="0" w:color="auto"/>
              <w:right w:val="nil"/>
            </w:tcBorders>
            <w:noWrap/>
            <w:hideMark/>
          </w:tcPr>
          <w:p w14:paraId="1281E4B3" w14:textId="77777777" w:rsidR="007E34FA" w:rsidRDefault="007E34FA">
            <w:pPr>
              <w:rPr>
                <w:rFonts w:ascii="Calibri" w:hAnsi="Calibri"/>
                <w:color w:val="000000"/>
                <w:sz w:val="18"/>
                <w:szCs w:val="18"/>
              </w:rPr>
            </w:pPr>
            <w:r>
              <w:rPr>
                <w:rFonts w:ascii="Calibri" w:hAnsi="Calibri"/>
                <w:color w:val="000000"/>
                <w:sz w:val="18"/>
                <w:szCs w:val="18"/>
              </w:rPr>
              <w:t>17.2%</w:t>
            </w:r>
          </w:p>
        </w:tc>
        <w:tc>
          <w:tcPr>
            <w:tcW w:w="335" w:type="pct"/>
            <w:tcBorders>
              <w:top w:val="single" w:sz="8" w:space="0" w:color="auto"/>
              <w:left w:val="nil"/>
              <w:bottom w:val="single" w:sz="8" w:space="0" w:color="auto"/>
              <w:right w:val="nil"/>
            </w:tcBorders>
            <w:noWrap/>
            <w:hideMark/>
          </w:tcPr>
          <w:p w14:paraId="1C2F66DE" w14:textId="77777777" w:rsidR="007E34FA" w:rsidRDefault="007E34FA">
            <w:pPr>
              <w:rPr>
                <w:rFonts w:ascii="Calibri" w:hAnsi="Calibri"/>
                <w:color w:val="000000"/>
                <w:sz w:val="18"/>
                <w:szCs w:val="18"/>
              </w:rPr>
            </w:pPr>
            <w:r>
              <w:rPr>
                <w:rFonts w:ascii="Calibri" w:hAnsi="Calibri"/>
                <w:color w:val="000000"/>
                <w:sz w:val="18"/>
                <w:szCs w:val="18"/>
              </w:rPr>
              <w:t>14.8%</w:t>
            </w:r>
          </w:p>
        </w:tc>
        <w:tc>
          <w:tcPr>
            <w:tcW w:w="335" w:type="pct"/>
            <w:tcBorders>
              <w:top w:val="single" w:sz="8" w:space="0" w:color="auto"/>
              <w:left w:val="nil"/>
              <w:bottom w:val="single" w:sz="8" w:space="0" w:color="auto"/>
              <w:right w:val="nil"/>
            </w:tcBorders>
            <w:noWrap/>
            <w:hideMark/>
          </w:tcPr>
          <w:p w14:paraId="618A2332" w14:textId="77777777" w:rsidR="007E34FA" w:rsidRDefault="007E34FA">
            <w:pPr>
              <w:rPr>
                <w:rFonts w:ascii="Calibri" w:hAnsi="Calibri"/>
                <w:color w:val="000000"/>
                <w:sz w:val="18"/>
                <w:szCs w:val="18"/>
              </w:rPr>
            </w:pPr>
            <w:r>
              <w:rPr>
                <w:rFonts w:ascii="Calibri" w:hAnsi="Calibri"/>
                <w:color w:val="000000"/>
                <w:sz w:val="18"/>
                <w:szCs w:val="18"/>
              </w:rPr>
              <w:t>11.4%</w:t>
            </w:r>
          </w:p>
        </w:tc>
        <w:tc>
          <w:tcPr>
            <w:tcW w:w="335" w:type="pct"/>
            <w:tcBorders>
              <w:top w:val="single" w:sz="8" w:space="0" w:color="auto"/>
              <w:left w:val="nil"/>
              <w:bottom w:val="single" w:sz="8" w:space="0" w:color="auto"/>
              <w:right w:val="nil"/>
            </w:tcBorders>
            <w:noWrap/>
            <w:hideMark/>
          </w:tcPr>
          <w:p w14:paraId="0B75191F" w14:textId="77777777" w:rsidR="007E34FA" w:rsidRDefault="007E34FA">
            <w:pPr>
              <w:rPr>
                <w:rFonts w:ascii="Calibri" w:hAnsi="Calibri"/>
                <w:color w:val="000000"/>
                <w:sz w:val="18"/>
                <w:szCs w:val="18"/>
              </w:rPr>
            </w:pPr>
            <w:r>
              <w:rPr>
                <w:rFonts w:ascii="Calibri" w:hAnsi="Calibri"/>
                <w:color w:val="000000"/>
                <w:sz w:val="18"/>
                <w:szCs w:val="18"/>
              </w:rPr>
              <w:t>6.3%</w:t>
            </w:r>
          </w:p>
        </w:tc>
        <w:tc>
          <w:tcPr>
            <w:tcW w:w="335" w:type="pct"/>
            <w:tcBorders>
              <w:top w:val="single" w:sz="8" w:space="0" w:color="auto"/>
              <w:left w:val="nil"/>
              <w:bottom w:val="single" w:sz="8" w:space="0" w:color="auto"/>
              <w:right w:val="nil"/>
            </w:tcBorders>
            <w:noWrap/>
            <w:hideMark/>
          </w:tcPr>
          <w:p w14:paraId="26517994" w14:textId="77777777" w:rsidR="007E34FA" w:rsidRDefault="007E34FA">
            <w:pPr>
              <w:rPr>
                <w:rFonts w:ascii="Calibri" w:hAnsi="Calibri"/>
                <w:color w:val="000000"/>
                <w:sz w:val="18"/>
                <w:szCs w:val="18"/>
              </w:rPr>
            </w:pPr>
            <w:r>
              <w:rPr>
                <w:rFonts w:ascii="Calibri" w:hAnsi="Calibri"/>
                <w:color w:val="000000"/>
                <w:sz w:val="18"/>
                <w:szCs w:val="18"/>
              </w:rPr>
              <w:t>6.4%</w:t>
            </w:r>
          </w:p>
        </w:tc>
        <w:tc>
          <w:tcPr>
            <w:tcW w:w="348" w:type="pct"/>
            <w:tcBorders>
              <w:top w:val="single" w:sz="8" w:space="0" w:color="auto"/>
              <w:left w:val="nil"/>
              <w:bottom w:val="single" w:sz="8" w:space="0" w:color="auto"/>
              <w:right w:val="nil"/>
            </w:tcBorders>
            <w:noWrap/>
            <w:hideMark/>
          </w:tcPr>
          <w:p w14:paraId="1EB1E8E7" w14:textId="77777777" w:rsidR="007E34FA" w:rsidRDefault="007E34FA">
            <w:pPr>
              <w:rPr>
                <w:rFonts w:ascii="Calibri" w:hAnsi="Calibri"/>
                <w:color w:val="000000"/>
                <w:sz w:val="18"/>
                <w:szCs w:val="18"/>
              </w:rPr>
            </w:pPr>
            <w:r>
              <w:rPr>
                <w:rFonts w:ascii="Calibri" w:hAnsi="Calibri"/>
                <w:color w:val="000000"/>
                <w:sz w:val="18"/>
                <w:szCs w:val="18"/>
              </w:rPr>
              <w:t>5.8%</w:t>
            </w:r>
          </w:p>
        </w:tc>
        <w:tc>
          <w:tcPr>
            <w:tcW w:w="493" w:type="pct"/>
            <w:tcBorders>
              <w:top w:val="single" w:sz="8" w:space="0" w:color="auto"/>
              <w:left w:val="nil"/>
              <w:bottom w:val="single" w:sz="8" w:space="0" w:color="auto"/>
              <w:right w:val="nil"/>
            </w:tcBorders>
            <w:hideMark/>
          </w:tcPr>
          <w:p w14:paraId="2A4099FF" w14:textId="77777777" w:rsidR="007E34FA" w:rsidRDefault="007E34FA">
            <w:pPr>
              <w:rPr>
                <w:rFonts w:ascii="Calibri" w:hAnsi="Calibri"/>
                <w:color w:val="000000"/>
                <w:sz w:val="18"/>
                <w:szCs w:val="18"/>
              </w:rPr>
            </w:pPr>
            <w:r>
              <w:rPr>
                <w:rFonts w:ascii="Calibri" w:hAnsi="Calibri"/>
                <w:color w:val="000000"/>
                <w:sz w:val="18"/>
                <w:szCs w:val="18"/>
              </w:rPr>
              <w:t>17.6%</w:t>
            </w:r>
          </w:p>
        </w:tc>
      </w:tr>
      <w:tr w:rsidR="007E34FA" w14:paraId="15222A97" w14:textId="77777777" w:rsidTr="007E34FA">
        <w:trPr>
          <w:trHeight w:val="300"/>
        </w:trPr>
        <w:tc>
          <w:tcPr>
            <w:tcW w:w="807" w:type="pct"/>
            <w:tcBorders>
              <w:top w:val="single" w:sz="8" w:space="0" w:color="auto"/>
              <w:left w:val="nil"/>
              <w:bottom w:val="single" w:sz="8" w:space="0" w:color="auto"/>
              <w:right w:val="nil"/>
            </w:tcBorders>
            <w:noWrap/>
            <w:hideMark/>
          </w:tcPr>
          <w:p w14:paraId="115ADD4E" w14:textId="77777777" w:rsidR="007E34FA" w:rsidRDefault="007E34FA">
            <w:pPr>
              <w:rPr>
                <w:sz w:val="18"/>
                <w:szCs w:val="18"/>
              </w:rPr>
            </w:pPr>
            <w:r>
              <w:rPr>
                <w:sz w:val="18"/>
                <w:szCs w:val="18"/>
              </w:rPr>
              <w:t>Admission types - Elective admission</w:t>
            </w:r>
          </w:p>
        </w:tc>
        <w:tc>
          <w:tcPr>
            <w:tcW w:w="335" w:type="pct"/>
            <w:tcBorders>
              <w:top w:val="single" w:sz="8" w:space="0" w:color="auto"/>
              <w:left w:val="nil"/>
              <w:bottom w:val="single" w:sz="8" w:space="0" w:color="auto"/>
              <w:right w:val="nil"/>
            </w:tcBorders>
            <w:noWrap/>
            <w:hideMark/>
          </w:tcPr>
          <w:p w14:paraId="65E8A431" w14:textId="77777777" w:rsidR="007E34FA" w:rsidRDefault="007E34FA">
            <w:pPr>
              <w:rPr>
                <w:sz w:val="18"/>
                <w:szCs w:val="18"/>
              </w:rPr>
            </w:pPr>
            <w:r>
              <w:rPr>
                <w:sz w:val="18"/>
                <w:szCs w:val="18"/>
              </w:rPr>
              <w:t>38.1%</w:t>
            </w:r>
          </w:p>
        </w:tc>
        <w:tc>
          <w:tcPr>
            <w:tcW w:w="335" w:type="pct"/>
            <w:tcBorders>
              <w:top w:val="single" w:sz="8" w:space="0" w:color="auto"/>
              <w:left w:val="nil"/>
              <w:bottom w:val="single" w:sz="8" w:space="0" w:color="auto"/>
              <w:right w:val="nil"/>
            </w:tcBorders>
            <w:noWrap/>
            <w:hideMark/>
          </w:tcPr>
          <w:p w14:paraId="28EFE81C" w14:textId="77777777" w:rsidR="007E34FA" w:rsidRDefault="007E34FA">
            <w:pPr>
              <w:rPr>
                <w:sz w:val="18"/>
                <w:szCs w:val="18"/>
              </w:rPr>
            </w:pPr>
            <w:r>
              <w:rPr>
                <w:sz w:val="18"/>
                <w:szCs w:val="18"/>
              </w:rPr>
              <w:t>33.6%</w:t>
            </w:r>
          </w:p>
        </w:tc>
        <w:tc>
          <w:tcPr>
            <w:tcW w:w="335" w:type="pct"/>
            <w:tcBorders>
              <w:top w:val="single" w:sz="8" w:space="0" w:color="auto"/>
              <w:left w:val="nil"/>
              <w:bottom w:val="single" w:sz="8" w:space="0" w:color="auto"/>
              <w:right w:val="nil"/>
            </w:tcBorders>
            <w:noWrap/>
            <w:hideMark/>
          </w:tcPr>
          <w:p w14:paraId="16A83AC3" w14:textId="77777777" w:rsidR="007E34FA" w:rsidRDefault="007E34FA">
            <w:pPr>
              <w:rPr>
                <w:sz w:val="18"/>
                <w:szCs w:val="18"/>
              </w:rPr>
            </w:pPr>
            <w:r>
              <w:rPr>
                <w:sz w:val="18"/>
                <w:szCs w:val="18"/>
              </w:rPr>
              <w:t>35.5%</w:t>
            </w:r>
          </w:p>
        </w:tc>
        <w:tc>
          <w:tcPr>
            <w:tcW w:w="335" w:type="pct"/>
            <w:tcBorders>
              <w:top w:val="single" w:sz="8" w:space="0" w:color="auto"/>
              <w:left w:val="nil"/>
              <w:bottom w:val="single" w:sz="8" w:space="0" w:color="auto"/>
              <w:right w:val="nil"/>
            </w:tcBorders>
            <w:noWrap/>
            <w:hideMark/>
          </w:tcPr>
          <w:p w14:paraId="4EE31458" w14:textId="77777777" w:rsidR="007E34FA" w:rsidRDefault="007E34FA">
            <w:pPr>
              <w:rPr>
                <w:sz w:val="18"/>
                <w:szCs w:val="18"/>
              </w:rPr>
            </w:pPr>
            <w:r>
              <w:rPr>
                <w:sz w:val="18"/>
                <w:szCs w:val="18"/>
              </w:rPr>
              <w:t>33.8%</w:t>
            </w:r>
          </w:p>
        </w:tc>
        <w:tc>
          <w:tcPr>
            <w:tcW w:w="335" w:type="pct"/>
            <w:tcBorders>
              <w:top w:val="single" w:sz="8" w:space="0" w:color="auto"/>
              <w:left w:val="nil"/>
              <w:bottom w:val="single" w:sz="8" w:space="0" w:color="auto"/>
              <w:right w:val="nil"/>
            </w:tcBorders>
            <w:noWrap/>
            <w:hideMark/>
          </w:tcPr>
          <w:p w14:paraId="78905513" w14:textId="77777777" w:rsidR="007E34FA" w:rsidRDefault="007E34FA">
            <w:pPr>
              <w:rPr>
                <w:sz w:val="18"/>
                <w:szCs w:val="18"/>
              </w:rPr>
            </w:pPr>
            <w:r>
              <w:rPr>
                <w:sz w:val="18"/>
                <w:szCs w:val="18"/>
              </w:rPr>
              <w:t>30.2%</w:t>
            </w:r>
          </w:p>
        </w:tc>
        <w:tc>
          <w:tcPr>
            <w:tcW w:w="335" w:type="pct"/>
            <w:tcBorders>
              <w:top w:val="single" w:sz="8" w:space="0" w:color="auto"/>
              <w:left w:val="nil"/>
              <w:bottom w:val="single" w:sz="8" w:space="0" w:color="auto"/>
              <w:right w:val="nil"/>
            </w:tcBorders>
            <w:noWrap/>
            <w:hideMark/>
          </w:tcPr>
          <w:p w14:paraId="541CA353" w14:textId="77777777" w:rsidR="007E34FA" w:rsidRDefault="007E34FA">
            <w:pPr>
              <w:rPr>
                <w:sz w:val="18"/>
                <w:szCs w:val="18"/>
              </w:rPr>
            </w:pPr>
            <w:r>
              <w:rPr>
                <w:sz w:val="18"/>
                <w:szCs w:val="18"/>
              </w:rPr>
              <w:t>24.3%</w:t>
            </w:r>
          </w:p>
        </w:tc>
        <w:tc>
          <w:tcPr>
            <w:tcW w:w="335" w:type="pct"/>
            <w:tcBorders>
              <w:top w:val="single" w:sz="8" w:space="0" w:color="auto"/>
              <w:left w:val="nil"/>
              <w:bottom w:val="single" w:sz="8" w:space="0" w:color="auto"/>
              <w:right w:val="nil"/>
            </w:tcBorders>
            <w:noWrap/>
            <w:hideMark/>
          </w:tcPr>
          <w:p w14:paraId="69B296DE" w14:textId="77777777" w:rsidR="007E34FA" w:rsidRDefault="007E34FA">
            <w:pPr>
              <w:rPr>
                <w:sz w:val="18"/>
                <w:szCs w:val="18"/>
              </w:rPr>
            </w:pPr>
            <w:r>
              <w:rPr>
                <w:sz w:val="18"/>
                <w:szCs w:val="18"/>
              </w:rPr>
              <w:t>21.8%</w:t>
            </w:r>
          </w:p>
        </w:tc>
        <w:tc>
          <w:tcPr>
            <w:tcW w:w="335" w:type="pct"/>
            <w:tcBorders>
              <w:top w:val="single" w:sz="8" w:space="0" w:color="auto"/>
              <w:left w:val="nil"/>
              <w:bottom w:val="single" w:sz="8" w:space="0" w:color="auto"/>
              <w:right w:val="nil"/>
            </w:tcBorders>
            <w:noWrap/>
            <w:hideMark/>
          </w:tcPr>
          <w:p w14:paraId="0352BC30" w14:textId="77777777" w:rsidR="007E34FA" w:rsidRDefault="007E34FA">
            <w:pPr>
              <w:rPr>
                <w:sz w:val="18"/>
                <w:szCs w:val="18"/>
              </w:rPr>
            </w:pPr>
            <w:r>
              <w:rPr>
                <w:sz w:val="18"/>
                <w:szCs w:val="18"/>
              </w:rPr>
              <w:t>20.3%</w:t>
            </w:r>
          </w:p>
        </w:tc>
        <w:tc>
          <w:tcPr>
            <w:tcW w:w="335" w:type="pct"/>
            <w:tcBorders>
              <w:top w:val="single" w:sz="8" w:space="0" w:color="auto"/>
              <w:left w:val="nil"/>
              <w:bottom w:val="single" w:sz="8" w:space="0" w:color="auto"/>
              <w:right w:val="nil"/>
            </w:tcBorders>
            <w:noWrap/>
            <w:hideMark/>
          </w:tcPr>
          <w:p w14:paraId="180A2261" w14:textId="77777777" w:rsidR="007E34FA" w:rsidRDefault="007E34FA">
            <w:pPr>
              <w:rPr>
                <w:sz w:val="18"/>
                <w:szCs w:val="18"/>
              </w:rPr>
            </w:pPr>
            <w:r>
              <w:rPr>
                <w:sz w:val="18"/>
                <w:szCs w:val="18"/>
              </w:rPr>
              <w:t>18.1%</w:t>
            </w:r>
          </w:p>
        </w:tc>
        <w:tc>
          <w:tcPr>
            <w:tcW w:w="335" w:type="pct"/>
            <w:tcBorders>
              <w:top w:val="single" w:sz="8" w:space="0" w:color="auto"/>
              <w:left w:val="nil"/>
              <w:bottom w:val="single" w:sz="8" w:space="0" w:color="auto"/>
              <w:right w:val="nil"/>
            </w:tcBorders>
            <w:noWrap/>
            <w:hideMark/>
          </w:tcPr>
          <w:p w14:paraId="57D5ABC5" w14:textId="77777777" w:rsidR="007E34FA" w:rsidRDefault="007E34FA">
            <w:pPr>
              <w:rPr>
                <w:sz w:val="18"/>
                <w:szCs w:val="18"/>
              </w:rPr>
            </w:pPr>
            <w:r>
              <w:rPr>
                <w:sz w:val="18"/>
                <w:szCs w:val="18"/>
              </w:rPr>
              <w:t>15.5%</w:t>
            </w:r>
          </w:p>
        </w:tc>
        <w:tc>
          <w:tcPr>
            <w:tcW w:w="348" w:type="pct"/>
            <w:tcBorders>
              <w:top w:val="single" w:sz="8" w:space="0" w:color="auto"/>
              <w:left w:val="nil"/>
              <w:bottom w:val="single" w:sz="8" w:space="0" w:color="auto"/>
              <w:right w:val="nil"/>
            </w:tcBorders>
            <w:noWrap/>
            <w:hideMark/>
          </w:tcPr>
          <w:p w14:paraId="3B2B8ED1" w14:textId="77777777" w:rsidR="007E34FA" w:rsidRDefault="007E34FA">
            <w:pPr>
              <w:rPr>
                <w:sz w:val="18"/>
                <w:szCs w:val="18"/>
              </w:rPr>
            </w:pPr>
            <w:r>
              <w:rPr>
                <w:sz w:val="18"/>
                <w:szCs w:val="18"/>
              </w:rPr>
              <w:t>11.7%</w:t>
            </w:r>
          </w:p>
        </w:tc>
        <w:tc>
          <w:tcPr>
            <w:tcW w:w="493" w:type="pct"/>
            <w:tcBorders>
              <w:top w:val="single" w:sz="8" w:space="0" w:color="auto"/>
              <w:left w:val="nil"/>
              <w:bottom w:val="single" w:sz="8" w:space="0" w:color="auto"/>
              <w:right w:val="nil"/>
            </w:tcBorders>
            <w:hideMark/>
          </w:tcPr>
          <w:p w14:paraId="1112B122" w14:textId="77777777" w:rsidR="007E34FA" w:rsidRDefault="007E34FA">
            <w:pPr>
              <w:rPr>
                <w:rFonts w:ascii="Calibri" w:hAnsi="Calibri"/>
                <w:color w:val="000000"/>
                <w:sz w:val="18"/>
                <w:szCs w:val="18"/>
              </w:rPr>
            </w:pPr>
            <w:r>
              <w:rPr>
                <w:rFonts w:ascii="Calibri" w:hAnsi="Calibri"/>
                <w:color w:val="000000"/>
                <w:sz w:val="18"/>
                <w:szCs w:val="18"/>
              </w:rPr>
              <w:t>25.7%</w:t>
            </w:r>
          </w:p>
        </w:tc>
      </w:tr>
      <w:tr w:rsidR="007E34FA" w14:paraId="55AB9002" w14:textId="77777777" w:rsidTr="007E34FA">
        <w:trPr>
          <w:trHeight w:val="300"/>
        </w:trPr>
        <w:tc>
          <w:tcPr>
            <w:tcW w:w="807" w:type="pct"/>
            <w:tcBorders>
              <w:top w:val="single" w:sz="8" w:space="0" w:color="auto"/>
              <w:left w:val="nil"/>
              <w:bottom w:val="single" w:sz="8" w:space="0" w:color="auto"/>
              <w:right w:val="nil"/>
            </w:tcBorders>
            <w:noWrap/>
            <w:hideMark/>
          </w:tcPr>
          <w:p w14:paraId="5AC89009" w14:textId="77777777" w:rsidR="007E34FA" w:rsidRDefault="007E34FA">
            <w:pPr>
              <w:rPr>
                <w:sz w:val="18"/>
                <w:szCs w:val="18"/>
              </w:rPr>
            </w:pPr>
            <w:r>
              <w:rPr>
                <w:sz w:val="18"/>
                <w:szCs w:val="18"/>
              </w:rPr>
              <w:t>Admission Day, Weekday</w:t>
            </w:r>
          </w:p>
        </w:tc>
        <w:tc>
          <w:tcPr>
            <w:tcW w:w="335" w:type="pct"/>
            <w:tcBorders>
              <w:top w:val="single" w:sz="8" w:space="0" w:color="auto"/>
              <w:left w:val="nil"/>
              <w:bottom w:val="single" w:sz="8" w:space="0" w:color="auto"/>
              <w:right w:val="nil"/>
            </w:tcBorders>
            <w:noWrap/>
            <w:hideMark/>
          </w:tcPr>
          <w:p w14:paraId="5B4A976A" w14:textId="77777777" w:rsidR="007E34FA" w:rsidRDefault="007E34FA">
            <w:pPr>
              <w:rPr>
                <w:sz w:val="18"/>
                <w:szCs w:val="18"/>
              </w:rPr>
            </w:pPr>
            <w:r>
              <w:rPr>
                <w:sz w:val="18"/>
                <w:szCs w:val="18"/>
              </w:rPr>
              <w:t>87.6%</w:t>
            </w:r>
          </w:p>
        </w:tc>
        <w:tc>
          <w:tcPr>
            <w:tcW w:w="335" w:type="pct"/>
            <w:tcBorders>
              <w:top w:val="single" w:sz="8" w:space="0" w:color="auto"/>
              <w:left w:val="nil"/>
              <w:bottom w:val="single" w:sz="8" w:space="0" w:color="auto"/>
              <w:right w:val="nil"/>
            </w:tcBorders>
            <w:noWrap/>
            <w:hideMark/>
          </w:tcPr>
          <w:p w14:paraId="579F97CC" w14:textId="77777777" w:rsidR="007E34FA" w:rsidRDefault="007E34FA">
            <w:pPr>
              <w:rPr>
                <w:sz w:val="18"/>
                <w:szCs w:val="18"/>
              </w:rPr>
            </w:pPr>
            <w:r>
              <w:rPr>
                <w:sz w:val="18"/>
                <w:szCs w:val="18"/>
              </w:rPr>
              <w:t>87.3%</w:t>
            </w:r>
          </w:p>
        </w:tc>
        <w:tc>
          <w:tcPr>
            <w:tcW w:w="335" w:type="pct"/>
            <w:tcBorders>
              <w:top w:val="single" w:sz="8" w:space="0" w:color="auto"/>
              <w:left w:val="nil"/>
              <w:bottom w:val="single" w:sz="8" w:space="0" w:color="auto"/>
              <w:right w:val="nil"/>
            </w:tcBorders>
            <w:noWrap/>
            <w:hideMark/>
          </w:tcPr>
          <w:p w14:paraId="208F423B" w14:textId="77777777" w:rsidR="007E34FA" w:rsidRDefault="007E34FA">
            <w:pPr>
              <w:rPr>
                <w:sz w:val="18"/>
                <w:szCs w:val="18"/>
              </w:rPr>
            </w:pPr>
            <w:r>
              <w:rPr>
                <w:sz w:val="18"/>
                <w:szCs w:val="18"/>
              </w:rPr>
              <w:t>87.5%</w:t>
            </w:r>
          </w:p>
        </w:tc>
        <w:tc>
          <w:tcPr>
            <w:tcW w:w="335" w:type="pct"/>
            <w:tcBorders>
              <w:top w:val="single" w:sz="8" w:space="0" w:color="auto"/>
              <w:left w:val="nil"/>
              <w:bottom w:val="single" w:sz="8" w:space="0" w:color="auto"/>
              <w:right w:val="nil"/>
            </w:tcBorders>
            <w:noWrap/>
            <w:hideMark/>
          </w:tcPr>
          <w:p w14:paraId="32EC9219" w14:textId="77777777" w:rsidR="007E34FA" w:rsidRDefault="007E34FA">
            <w:pPr>
              <w:rPr>
                <w:sz w:val="18"/>
                <w:szCs w:val="18"/>
              </w:rPr>
            </w:pPr>
            <w:r>
              <w:rPr>
                <w:sz w:val="18"/>
                <w:szCs w:val="18"/>
              </w:rPr>
              <w:t>86.3%</w:t>
            </w:r>
          </w:p>
        </w:tc>
        <w:tc>
          <w:tcPr>
            <w:tcW w:w="335" w:type="pct"/>
            <w:tcBorders>
              <w:top w:val="single" w:sz="8" w:space="0" w:color="auto"/>
              <w:left w:val="nil"/>
              <w:bottom w:val="single" w:sz="8" w:space="0" w:color="auto"/>
              <w:right w:val="nil"/>
            </w:tcBorders>
            <w:noWrap/>
            <w:hideMark/>
          </w:tcPr>
          <w:p w14:paraId="38AD998E" w14:textId="77777777" w:rsidR="007E34FA" w:rsidRDefault="007E34FA">
            <w:pPr>
              <w:rPr>
                <w:sz w:val="18"/>
                <w:szCs w:val="18"/>
              </w:rPr>
            </w:pPr>
            <w:r>
              <w:rPr>
                <w:sz w:val="18"/>
                <w:szCs w:val="18"/>
              </w:rPr>
              <w:t>85.2%</w:t>
            </w:r>
          </w:p>
        </w:tc>
        <w:tc>
          <w:tcPr>
            <w:tcW w:w="335" w:type="pct"/>
            <w:tcBorders>
              <w:top w:val="single" w:sz="8" w:space="0" w:color="auto"/>
              <w:left w:val="nil"/>
              <w:bottom w:val="single" w:sz="8" w:space="0" w:color="auto"/>
              <w:right w:val="nil"/>
            </w:tcBorders>
            <w:noWrap/>
            <w:hideMark/>
          </w:tcPr>
          <w:p w14:paraId="76E8B992" w14:textId="77777777" w:rsidR="007E34FA" w:rsidRDefault="007E34FA">
            <w:pPr>
              <w:rPr>
                <w:sz w:val="18"/>
                <w:szCs w:val="18"/>
              </w:rPr>
            </w:pPr>
            <w:r>
              <w:rPr>
                <w:sz w:val="18"/>
                <w:szCs w:val="18"/>
              </w:rPr>
              <w:t>83.9%</w:t>
            </w:r>
          </w:p>
        </w:tc>
        <w:tc>
          <w:tcPr>
            <w:tcW w:w="335" w:type="pct"/>
            <w:tcBorders>
              <w:top w:val="single" w:sz="8" w:space="0" w:color="auto"/>
              <w:left w:val="nil"/>
              <w:bottom w:val="single" w:sz="8" w:space="0" w:color="auto"/>
              <w:right w:val="nil"/>
            </w:tcBorders>
            <w:noWrap/>
            <w:hideMark/>
          </w:tcPr>
          <w:p w14:paraId="5923FFD6" w14:textId="77777777" w:rsidR="007E34FA" w:rsidRDefault="007E34FA">
            <w:pPr>
              <w:rPr>
                <w:sz w:val="18"/>
                <w:szCs w:val="18"/>
              </w:rPr>
            </w:pPr>
            <w:r>
              <w:rPr>
                <w:sz w:val="18"/>
                <w:szCs w:val="18"/>
              </w:rPr>
              <w:t>81.1%</w:t>
            </w:r>
          </w:p>
        </w:tc>
        <w:tc>
          <w:tcPr>
            <w:tcW w:w="335" w:type="pct"/>
            <w:tcBorders>
              <w:top w:val="single" w:sz="8" w:space="0" w:color="auto"/>
              <w:left w:val="nil"/>
              <w:bottom w:val="single" w:sz="8" w:space="0" w:color="auto"/>
              <w:right w:val="nil"/>
            </w:tcBorders>
            <w:noWrap/>
            <w:hideMark/>
          </w:tcPr>
          <w:p w14:paraId="551AA0DD" w14:textId="77777777" w:rsidR="007E34FA" w:rsidRDefault="007E34FA">
            <w:pPr>
              <w:rPr>
                <w:sz w:val="18"/>
                <w:szCs w:val="18"/>
              </w:rPr>
            </w:pPr>
            <w:r>
              <w:rPr>
                <w:sz w:val="18"/>
                <w:szCs w:val="18"/>
              </w:rPr>
              <w:t>80.5%</w:t>
            </w:r>
          </w:p>
        </w:tc>
        <w:tc>
          <w:tcPr>
            <w:tcW w:w="335" w:type="pct"/>
            <w:tcBorders>
              <w:top w:val="single" w:sz="8" w:space="0" w:color="auto"/>
              <w:left w:val="nil"/>
              <w:bottom w:val="single" w:sz="8" w:space="0" w:color="auto"/>
              <w:right w:val="nil"/>
            </w:tcBorders>
            <w:noWrap/>
            <w:hideMark/>
          </w:tcPr>
          <w:p w14:paraId="799A1C3E" w14:textId="77777777" w:rsidR="007E34FA" w:rsidRDefault="007E34FA">
            <w:pPr>
              <w:rPr>
                <w:sz w:val="18"/>
                <w:szCs w:val="18"/>
              </w:rPr>
            </w:pPr>
            <w:r>
              <w:rPr>
                <w:sz w:val="18"/>
                <w:szCs w:val="18"/>
              </w:rPr>
              <w:t>80.1%</w:t>
            </w:r>
          </w:p>
        </w:tc>
        <w:tc>
          <w:tcPr>
            <w:tcW w:w="335" w:type="pct"/>
            <w:tcBorders>
              <w:top w:val="single" w:sz="8" w:space="0" w:color="auto"/>
              <w:left w:val="nil"/>
              <w:bottom w:val="single" w:sz="8" w:space="0" w:color="auto"/>
              <w:right w:val="nil"/>
            </w:tcBorders>
            <w:noWrap/>
            <w:hideMark/>
          </w:tcPr>
          <w:p w14:paraId="283A6E30" w14:textId="77777777" w:rsidR="007E34FA" w:rsidRDefault="007E34FA">
            <w:pPr>
              <w:rPr>
                <w:sz w:val="18"/>
                <w:szCs w:val="18"/>
              </w:rPr>
            </w:pPr>
            <w:r>
              <w:rPr>
                <w:sz w:val="18"/>
                <w:szCs w:val="18"/>
              </w:rPr>
              <w:t>78.4%</w:t>
            </w:r>
          </w:p>
        </w:tc>
        <w:tc>
          <w:tcPr>
            <w:tcW w:w="348" w:type="pct"/>
            <w:tcBorders>
              <w:top w:val="single" w:sz="8" w:space="0" w:color="auto"/>
              <w:left w:val="nil"/>
              <w:bottom w:val="single" w:sz="8" w:space="0" w:color="auto"/>
              <w:right w:val="nil"/>
            </w:tcBorders>
            <w:noWrap/>
            <w:hideMark/>
          </w:tcPr>
          <w:p w14:paraId="64A1DE0F" w14:textId="77777777" w:rsidR="007E34FA" w:rsidRDefault="007E34FA">
            <w:pPr>
              <w:rPr>
                <w:sz w:val="18"/>
                <w:szCs w:val="18"/>
              </w:rPr>
            </w:pPr>
            <w:r>
              <w:rPr>
                <w:sz w:val="18"/>
                <w:szCs w:val="18"/>
              </w:rPr>
              <w:t>76.9%</w:t>
            </w:r>
          </w:p>
        </w:tc>
        <w:tc>
          <w:tcPr>
            <w:tcW w:w="493" w:type="pct"/>
            <w:tcBorders>
              <w:top w:val="single" w:sz="8" w:space="0" w:color="auto"/>
              <w:left w:val="nil"/>
              <w:bottom w:val="single" w:sz="8" w:space="0" w:color="auto"/>
              <w:right w:val="nil"/>
            </w:tcBorders>
            <w:hideMark/>
          </w:tcPr>
          <w:p w14:paraId="30D0CF40" w14:textId="77777777" w:rsidR="007E34FA" w:rsidRDefault="007E34FA">
            <w:pPr>
              <w:rPr>
                <w:rFonts w:ascii="Calibri" w:hAnsi="Calibri"/>
                <w:color w:val="000000"/>
                <w:sz w:val="18"/>
                <w:szCs w:val="18"/>
              </w:rPr>
            </w:pPr>
            <w:r>
              <w:rPr>
                <w:rFonts w:ascii="Calibri" w:hAnsi="Calibri"/>
                <w:color w:val="000000"/>
                <w:sz w:val="18"/>
                <w:szCs w:val="18"/>
              </w:rPr>
              <w:t>83.2%</w:t>
            </w:r>
          </w:p>
        </w:tc>
      </w:tr>
      <w:tr w:rsidR="007E34FA" w14:paraId="6257A3C3" w14:textId="77777777" w:rsidTr="007E34FA">
        <w:trPr>
          <w:trHeight w:val="300"/>
        </w:trPr>
        <w:tc>
          <w:tcPr>
            <w:tcW w:w="807" w:type="pct"/>
            <w:tcBorders>
              <w:top w:val="single" w:sz="8" w:space="0" w:color="auto"/>
              <w:left w:val="nil"/>
              <w:bottom w:val="single" w:sz="8" w:space="0" w:color="auto"/>
              <w:right w:val="nil"/>
            </w:tcBorders>
            <w:noWrap/>
            <w:hideMark/>
          </w:tcPr>
          <w:p w14:paraId="31C07AB0" w14:textId="77777777" w:rsidR="007E34FA" w:rsidRDefault="007E34FA">
            <w:pPr>
              <w:rPr>
                <w:sz w:val="18"/>
                <w:szCs w:val="18"/>
              </w:rPr>
            </w:pPr>
            <w:r>
              <w:rPr>
                <w:sz w:val="18"/>
                <w:szCs w:val="18"/>
              </w:rPr>
              <w:t>Median Length of stay,[IQR] (days)</w:t>
            </w:r>
          </w:p>
        </w:tc>
        <w:tc>
          <w:tcPr>
            <w:tcW w:w="335" w:type="pct"/>
            <w:tcBorders>
              <w:top w:val="single" w:sz="8" w:space="0" w:color="auto"/>
              <w:left w:val="nil"/>
              <w:bottom w:val="single" w:sz="8" w:space="0" w:color="auto"/>
              <w:right w:val="nil"/>
            </w:tcBorders>
            <w:noWrap/>
            <w:hideMark/>
          </w:tcPr>
          <w:p w14:paraId="402F833C" w14:textId="77777777" w:rsidR="007E34FA" w:rsidRDefault="007E34FA">
            <w:pPr>
              <w:rPr>
                <w:sz w:val="18"/>
                <w:szCs w:val="18"/>
              </w:rPr>
            </w:pPr>
            <w:r>
              <w:rPr>
                <w:sz w:val="18"/>
                <w:szCs w:val="18"/>
              </w:rPr>
              <w:t>2 [1-4]</w:t>
            </w:r>
          </w:p>
        </w:tc>
        <w:tc>
          <w:tcPr>
            <w:tcW w:w="335" w:type="pct"/>
            <w:tcBorders>
              <w:top w:val="single" w:sz="8" w:space="0" w:color="auto"/>
              <w:left w:val="nil"/>
              <w:bottom w:val="single" w:sz="8" w:space="0" w:color="auto"/>
              <w:right w:val="nil"/>
            </w:tcBorders>
            <w:noWrap/>
            <w:hideMark/>
          </w:tcPr>
          <w:p w14:paraId="79CA71B4" w14:textId="77777777" w:rsidR="007E34FA" w:rsidRDefault="007E34FA">
            <w:pPr>
              <w:rPr>
                <w:sz w:val="18"/>
                <w:szCs w:val="18"/>
              </w:rPr>
            </w:pPr>
            <w:r>
              <w:rPr>
                <w:sz w:val="18"/>
                <w:szCs w:val="18"/>
              </w:rPr>
              <w:t>2 [1-3]</w:t>
            </w:r>
          </w:p>
        </w:tc>
        <w:tc>
          <w:tcPr>
            <w:tcW w:w="335" w:type="pct"/>
            <w:tcBorders>
              <w:top w:val="single" w:sz="8" w:space="0" w:color="auto"/>
              <w:left w:val="nil"/>
              <w:bottom w:val="single" w:sz="8" w:space="0" w:color="auto"/>
              <w:right w:val="nil"/>
            </w:tcBorders>
            <w:noWrap/>
            <w:hideMark/>
          </w:tcPr>
          <w:p w14:paraId="66790F95" w14:textId="77777777" w:rsidR="007E34FA" w:rsidRDefault="007E34FA">
            <w:pPr>
              <w:rPr>
                <w:sz w:val="18"/>
                <w:szCs w:val="18"/>
              </w:rPr>
            </w:pPr>
            <w:r>
              <w:rPr>
                <w:sz w:val="18"/>
                <w:szCs w:val="18"/>
              </w:rPr>
              <w:t>2 [1-3]</w:t>
            </w:r>
          </w:p>
        </w:tc>
        <w:tc>
          <w:tcPr>
            <w:tcW w:w="335" w:type="pct"/>
            <w:tcBorders>
              <w:top w:val="single" w:sz="8" w:space="0" w:color="auto"/>
              <w:left w:val="nil"/>
              <w:bottom w:val="single" w:sz="8" w:space="0" w:color="auto"/>
              <w:right w:val="nil"/>
            </w:tcBorders>
            <w:noWrap/>
            <w:hideMark/>
          </w:tcPr>
          <w:p w14:paraId="4D57B772" w14:textId="77777777" w:rsidR="007E34FA" w:rsidRDefault="007E34FA">
            <w:pPr>
              <w:rPr>
                <w:sz w:val="18"/>
                <w:szCs w:val="18"/>
              </w:rPr>
            </w:pPr>
            <w:r>
              <w:rPr>
                <w:sz w:val="18"/>
                <w:szCs w:val="18"/>
              </w:rPr>
              <w:t>2 [1-3]</w:t>
            </w:r>
          </w:p>
        </w:tc>
        <w:tc>
          <w:tcPr>
            <w:tcW w:w="335" w:type="pct"/>
            <w:tcBorders>
              <w:top w:val="single" w:sz="8" w:space="0" w:color="auto"/>
              <w:left w:val="nil"/>
              <w:bottom w:val="single" w:sz="8" w:space="0" w:color="auto"/>
              <w:right w:val="nil"/>
            </w:tcBorders>
            <w:noWrap/>
            <w:hideMark/>
          </w:tcPr>
          <w:p w14:paraId="392574F8" w14:textId="77777777" w:rsidR="007E34FA" w:rsidRDefault="007E34FA">
            <w:pPr>
              <w:rPr>
                <w:sz w:val="18"/>
                <w:szCs w:val="18"/>
              </w:rPr>
            </w:pPr>
            <w:r>
              <w:rPr>
                <w:sz w:val="18"/>
                <w:szCs w:val="18"/>
              </w:rPr>
              <w:t>2 [1-3]</w:t>
            </w:r>
          </w:p>
        </w:tc>
        <w:tc>
          <w:tcPr>
            <w:tcW w:w="335" w:type="pct"/>
            <w:tcBorders>
              <w:top w:val="single" w:sz="8" w:space="0" w:color="auto"/>
              <w:left w:val="nil"/>
              <w:bottom w:val="single" w:sz="8" w:space="0" w:color="auto"/>
              <w:right w:val="nil"/>
            </w:tcBorders>
            <w:noWrap/>
            <w:hideMark/>
          </w:tcPr>
          <w:p w14:paraId="6D051ECA" w14:textId="77777777" w:rsidR="007E34FA" w:rsidRDefault="007E34FA">
            <w:pPr>
              <w:rPr>
                <w:sz w:val="18"/>
                <w:szCs w:val="18"/>
              </w:rPr>
            </w:pPr>
            <w:r>
              <w:rPr>
                <w:sz w:val="18"/>
                <w:szCs w:val="18"/>
              </w:rPr>
              <w:t>2 [1-4]</w:t>
            </w:r>
          </w:p>
        </w:tc>
        <w:tc>
          <w:tcPr>
            <w:tcW w:w="335" w:type="pct"/>
            <w:tcBorders>
              <w:top w:val="single" w:sz="8" w:space="0" w:color="auto"/>
              <w:left w:val="nil"/>
              <w:bottom w:val="single" w:sz="8" w:space="0" w:color="auto"/>
              <w:right w:val="nil"/>
            </w:tcBorders>
            <w:noWrap/>
            <w:hideMark/>
          </w:tcPr>
          <w:p w14:paraId="787B1D45" w14:textId="77777777" w:rsidR="007E34FA" w:rsidRDefault="007E34FA">
            <w:pPr>
              <w:rPr>
                <w:sz w:val="18"/>
                <w:szCs w:val="18"/>
              </w:rPr>
            </w:pPr>
            <w:r>
              <w:rPr>
                <w:sz w:val="18"/>
                <w:szCs w:val="18"/>
              </w:rPr>
              <w:t>2 [1-4]</w:t>
            </w:r>
          </w:p>
        </w:tc>
        <w:tc>
          <w:tcPr>
            <w:tcW w:w="335" w:type="pct"/>
            <w:tcBorders>
              <w:top w:val="single" w:sz="8" w:space="0" w:color="auto"/>
              <w:left w:val="nil"/>
              <w:bottom w:val="single" w:sz="8" w:space="0" w:color="auto"/>
              <w:right w:val="nil"/>
            </w:tcBorders>
            <w:noWrap/>
            <w:hideMark/>
          </w:tcPr>
          <w:p w14:paraId="261EE3DE" w14:textId="77777777" w:rsidR="007E34FA" w:rsidRDefault="007E34FA">
            <w:pPr>
              <w:rPr>
                <w:sz w:val="18"/>
                <w:szCs w:val="18"/>
              </w:rPr>
            </w:pPr>
            <w:r>
              <w:rPr>
                <w:sz w:val="18"/>
                <w:szCs w:val="18"/>
              </w:rPr>
              <w:t>2 [1-4]</w:t>
            </w:r>
          </w:p>
        </w:tc>
        <w:tc>
          <w:tcPr>
            <w:tcW w:w="335" w:type="pct"/>
            <w:tcBorders>
              <w:top w:val="single" w:sz="8" w:space="0" w:color="auto"/>
              <w:left w:val="nil"/>
              <w:bottom w:val="single" w:sz="8" w:space="0" w:color="auto"/>
              <w:right w:val="nil"/>
            </w:tcBorders>
            <w:noWrap/>
            <w:hideMark/>
          </w:tcPr>
          <w:p w14:paraId="0A18829C" w14:textId="77777777" w:rsidR="007E34FA" w:rsidRDefault="007E34FA">
            <w:pPr>
              <w:rPr>
                <w:sz w:val="18"/>
                <w:szCs w:val="18"/>
              </w:rPr>
            </w:pPr>
            <w:r>
              <w:rPr>
                <w:sz w:val="18"/>
                <w:szCs w:val="18"/>
              </w:rPr>
              <w:t>2 [1-4]</w:t>
            </w:r>
          </w:p>
        </w:tc>
        <w:tc>
          <w:tcPr>
            <w:tcW w:w="335" w:type="pct"/>
            <w:tcBorders>
              <w:top w:val="single" w:sz="8" w:space="0" w:color="auto"/>
              <w:left w:val="nil"/>
              <w:bottom w:val="single" w:sz="8" w:space="0" w:color="auto"/>
              <w:right w:val="nil"/>
            </w:tcBorders>
            <w:noWrap/>
            <w:hideMark/>
          </w:tcPr>
          <w:p w14:paraId="69574EAB" w14:textId="77777777" w:rsidR="007E34FA" w:rsidRDefault="007E34FA">
            <w:pPr>
              <w:rPr>
                <w:sz w:val="18"/>
                <w:szCs w:val="18"/>
              </w:rPr>
            </w:pPr>
            <w:r>
              <w:rPr>
                <w:sz w:val="18"/>
                <w:szCs w:val="18"/>
              </w:rPr>
              <w:t>2 [2-4]</w:t>
            </w:r>
          </w:p>
        </w:tc>
        <w:tc>
          <w:tcPr>
            <w:tcW w:w="348" w:type="pct"/>
            <w:tcBorders>
              <w:top w:val="single" w:sz="8" w:space="0" w:color="auto"/>
              <w:left w:val="nil"/>
              <w:bottom w:val="single" w:sz="8" w:space="0" w:color="auto"/>
              <w:right w:val="nil"/>
            </w:tcBorders>
            <w:noWrap/>
            <w:hideMark/>
          </w:tcPr>
          <w:p w14:paraId="5571F892" w14:textId="77777777" w:rsidR="007E34FA" w:rsidRDefault="007E34FA">
            <w:pPr>
              <w:rPr>
                <w:sz w:val="18"/>
                <w:szCs w:val="18"/>
              </w:rPr>
            </w:pPr>
            <w:r>
              <w:rPr>
                <w:sz w:val="18"/>
                <w:szCs w:val="18"/>
              </w:rPr>
              <w:t>3 [2-4]</w:t>
            </w:r>
          </w:p>
        </w:tc>
        <w:tc>
          <w:tcPr>
            <w:tcW w:w="493" w:type="pct"/>
            <w:tcBorders>
              <w:top w:val="single" w:sz="8" w:space="0" w:color="auto"/>
              <w:left w:val="nil"/>
              <w:bottom w:val="single" w:sz="8" w:space="0" w:color="auto"/>
              <w:right w:val="nil"/>
            </w:tcBorders>
            <w:hideMark/>
          </w:tcPr>
          <w:p w14:paraId="1059DBF3" w14:textId="77777777" w:rsidR="007E34FA" w:rsidRDefault="007E34FA">
            <w:pPr>
              <w:rPr>
                <w:sz w:val="18"/>
                <w:szCs w:val="18"/>
              </w:rPr>
            </w:pPr>
            <w:r>
              <w:rPr>
                <w:sz w:val="18"/>
                <w:szCs w:val="18"/>
              </w:rPr>
              <w:t>2 [1-4]</w:t>
            </w:r>
          </w:p>
        </w:tc>
      </w:tr>
      <w:tr w:rsidR="007E34FA" w14:paraId="35BF5332" w14:textId="77777777" w:rsidTr="007E34FA">
        <w:trPr>
          <w:trHeight w:val="300"/>
        </w:trPr>
        <w:tc>
          <w:tcPr>
            <w:tcW w:w="807" w:type="pct"/>
            <w:tcBorders>
              <w:top w:val="single" w:sz="8" w:space="0" w:color="auto"/>
              <w:left w:val="nil"/>
              <w:bottom w:val="single" w:sz="8" w:space="0" w:color="auto"/>
              <w:right w:val="nil"/>
            </w:tcBorders>
            <w:noWrap/>
            <w:hideMark/>
          </w:tcPr>
          <w:p w14:paraId="5732494E" w14:textId="77777777" w:rsidR="007E34FA" w:rsidRDefault="007E34FA">
            <w:pPr>
              <w:rPr>
                <w:sz w:val="18"/>
                <w:szCs w:val="18"/>
              </w:rPr>
            </w:pPr>
            <w:r>
              <w:rPr>
                <w:sz w:val="18"/>
                <w:szCs w:val="18"/>
              </w:rPr>
              <w:t>Median total charge, [IQR] (dollars)</w:t>
            </w:r>
          </w:p>
        </w:tc>
        <w:tc>
          <w:tcPr>
            <w:tcW w:w="335" w:type="pct"/>
            <w:tcBorders>
              <w:top w:val="single" w:sz="8" w:space="0" w:color="auto"/>
              <w:left w:val="nil"/>
              <w:bottom w:val="single" w:sz="8" w:space="0" w:color="auto"/>
              <w:right w:val="nil"/>
            </w:tcBorders>
            <w:noWrap/>
            <w:hideMark/>
          </w:tcPr>
          <w:p w14:paraId="3F330A88" w14:textId="77777777" w:rsidR="007E34FA" w:rsidRDefault="007E34FA">
            <w:pPr>
              <w:rPr>
                <w:sz w:val="18"/>
                <w:szCs w:val="18"/>
              </w:rPr>
            </w:pPr>
            <w:r>
              <w:rPr>
                <w:sz w:val="18"/>
                <w:szCs w:val="18"/>
              </w:rPr>
              <w:t xml:space="preserve">$15494 </w:t>
            </w:r>
          </w:p>
          <w:p w14:paraId="2427CB0A" w14:textId="77777777" w:rsidR="007E34FA" w:rsidRDefault="007E34FA">
            <w:pPr>
              <w:rPr>
                <w:sz w:val="18"/>
                <w:szCs w:val="18"/>
              </w:rPr>
            </w:pPr>
            <w:r>
              <w:rPr>
                <w:sz w:val="18"/>
                <w:szCs w:val="18"/>
              </w:rPr>
              <w:t>[$11518-$21508]</w:t>
            </w:r>
          </w:p>
        </w:tc>
        <w:tc>
          <w:tcPr>
            <w:tcW w:w="335" w:type="pct"/>
            <w:tcBorders>
              <w:top w:val="single" w:sz="8" w:space="0" w:color="auto"/>
              <w:left w:val="nil"/>
              <w:bottom w:val="single" w:sz="8" w:space="0" w:color="auto"/>
              <w:right w:val="nil"/>
            </w:tcBorders>
            <w:noWrap/>
            <w:hideMark/>
          </w:tcPr>
          <w:p w14:paraId="25A50AFD" w14:textId="77777777" w:rsidR="007E34FA" w:rsidRDefault="007E34FA">
            <w:pPr>
              <w:rPr>
                <w:sz w:val="18"/>
                <w:szCs w:val="18"/>
              </w:rPr>
            </w:pPr>
            <w:r>
              <w:rPr>
                <w:sz w:val="18"/>
                <w:szCs w:val="18"/>
              </w:rPr>
              <w:t xml:space="preserve">$16117 </w:t>
            </w:r>
          </w:p>
          <w:p w14:paraId="47A342E8" w14:textId="77777777" w:rsidR="007E34FA" w:rsidRDefault="007E34FA">
            <w:pPr>
              <w:rPr>
                <w:sz w:val="18"/>
                <w:szCs w:val="18"/>
              </w:rPr>
            </w:pPr>
            <w:r>
              <w:rPr>
                <w:sz w:val="18"/>
                <w:szCs w:val="18"/>
              </w:rPr>
              <w:t>[$11811-$22447]</w:t>
            </w:r>
          </w:p>
        </w:tc>
        <w:tc>
          <w:tcPr>
            <w:tcW w:w="335" w:type="pct"/>
            <w:tcBorders>
              <w:top w:val="single" w:sz="8" w:space="0" w:color="auto"/>
              <w:left w:val="nil"/>
              <w:bottom w:val="single" w:sz="8" w:space="0" w:color="auto"/>
              <w:right w:val="nil"/>
            </w:tcBorders>
            <w:noWrap/>
            <w:hideMark/>
          </w:tcPr>
          <w:p w14:paraId="5D4AA48F" w14:textId="77777777" w:rsidR="007E34FA" w:rsidRDefault="007E34FA">
            <w:pPr>
              <w:rPr>
                <w:sz w:val="18"/>
                <w:szCs w:val="18"/>
              </w:rPr>
            </w:pPr>
            <w:r>
              <w:rPr>
                <w:sz w:val="18"/>
                <w:szCs w:val="18"/>
              </w:rPr>
              <w:t xml:space="preserve">$16539 </w:t>
            </w:r>
          </w:p>
          <w:p w14:paraId="1397D978" w14:textId="77777777" w:rsidR="007E34FA" w:rsidRDefault="007E34FA">
            <w:pPr>
              <w:rPr>
                <w:sz w:val="18"/>
                <w:szCs w:val="18"/>
              </w:rPr>
            </w:pPr>
            <w:r>
              <w:rPr>
                <w:sz w:val="18"/>
                <w:szCs w:val="18"/>
              </w:rPr>
              <w:t>[$12135-$22880]</w:t>
            </w:r>
          </w:p>
        </w:tc>
        <w:tc>
          <w:tcPr>
            <w:tcW w:w="335" w:type="pct"/>
            <w:tcBorders>
              <w:top w:val="single" w:sz="8" w:space="0" w:color="auto"/>
              <w:left w:val="nil"/>
              <w:bottom w:val="single" w:sz="8" w:space="0" w:color="auto"/>
              <w:right w:val="nil"/>
            </w:tcBorders>
            <w:noWrap/>
            <w:hideMark/>
          </w:tcPr>
          <w:p w14:paraId="437E8A10" w14:textId="77777777" w:rsidR="007E34FA" w:rsidRDefault="007E34FA">
            <w:pPr>
              <w:rPr>
                <w:sz w:val="18"/>
                <w:szCs w:val="18"/>
              </w:rPr>
            </w:pPr>
            <w:r>
              <w:rPr>
                <w:sz w:val="18"/>
                <w:szCs w:val="18"/>
              </w:rPr>
              <w:t xml:space="preserve">$16707 </w:t>
            </w:r>
          </w:p>
          <w:p w14:paraId="68836DDD" w14:textId="77777777" w:rsidR="007E34FA" w:rsidRDefault="007E34FA">
            <w:pPr>
              <w:rPr>
                <w:sz w:val="18"/>
                <w:szCs w:val="18"/>
              </w:rPr>
            </w:pPr>
            <w:r>
              <w:rPr>
                <w:sz w:val="18"/>
                <w:szCs w:val="18"/>
              </w:rPr>
              <w:t>[$12276-$23239]</w:t>
            </w:r>
          </w:p>
        </w:tc>
        <w:tc>
          <w:tcPr>
            <w:tcW w:w="335" w:type="pct"/>
            <w:tcBorders>
              <w:top w:val="single" w:sz="8" w:space="0" w:color="auto"/>
              <w:left w:val="nil"/>
              <w:bottom w:val="single" w:sz="8" w:space="0" w:color="auto"/>
              <w:right w:val="nil"/>
            </w:tcBorders>
            <w:noWrap/>
            <w:hideMark/>
          </w:tcPr>
          <w:p w14:paraId="151AA043" w14:textId="77777777" w:rsidR="007E34FA" w:rsidRDefault="007E34FA">
            <w:pPr>
              <w:rPr>
                <w:sz w:val="18"/>
                <w:szCs w:val="18"/>
              </w:rPr>
            </w:pPr>
            <w:r>
              <w:rPr>
                <w:sz w:val="18"/>
                <w:szCs w:val="18"/>
              </w:rPr>
              <w:t>$17830</w:t>
            </w:r>
          </w:p>
          <w:p w14:paraId="3982F02C" w14:textId="77777777" w:rsidR="007E34FA" w:rsidRDefault="007E34FA">
            <w:pPr>
              <w:rPr>
                <w:sz w:val="18"/>
                <w:szCs w:val="18"/>
              </w:rPr>
            </w:pPr>
            <w:r>
              <w:rPr>
                <w:sz w:val="18"/>
                <w:szCs w:val="18"/>
              </w:rPr>
              <w:t>[$13195-$24934]</w:t>
            </w:r>
          </w:p>
        </w:tc>
        <w:tc>
          <w:tcPr>
            <w:tcW w:w="335" w:type="pct"/>
            <w:tcBorders>
              <w:top w:val="single" w:sz="8" w:space="0" w:color="auto"/>
              <w:left w:val="nil"/>
              <w:bottom w:val="single" w:sz="8" w:space="0" w:color="auto"/>
              <w:right w:val="nil"/>
            </w:tcBorders>
            <w:noWrap/>
            <w:hideMark/>
          </w:tcPr>
          <w:p w14:paraId="6F44ACE9" w14:textId="77777777" w:rsidR="007E34FA" w:rsidRDefault="007E34FA">
            <w:pPr>
              <w:rPr>
                <w:sz w:val="18"/>
                <w:szCs w:val="18"/>
              </w:rPr>
            </w:pPr>
            <w:r>
              <w:rPr>
                <w:sz w:val="18"/>
                <w:szCs w:val="18"/>
              </w:rPr>
              <w:t>$17827</w:t>
            </w:r>
          </w:p>
          <w:p w14:paraId="38AA5A2F" w14:textId="77777777" w:rsidR="007E34FA" w:rsidRDefault="007E34FA">
            <w:pPr>
              <w:rPr>
                <w:sz w:val="18"/>
                <w:szCs w:val="18"/>
              </w:rPr>
            </w:pPr>
            <w:r>
              <w:rPr>
                <w:sz w:val="18"/>
                <w:szCs w:val="18"/>
              </w:rPr>
              <w:t>[$13134-$25038]</w:t>
            </w:r>
          </w:p>
        </w:tc>
        <w:tc>
          <w:tcPr>
            <w:tcW w:w="335" w:type="pct"/>
            <w:tcBorders>
              <w:top w:val="single" w:sz="8" w:space="0" w:color="auto"/>
              <w:left w:val="nil"/>
              <w:bottom w:val="single" w:sz="8" w:space="0" w:color="auto"/>
              <w:right w:val="nil"/>
            </w:tcBorders>
            <w:noWrap/>
            <w:hideMark/>
          </w:tcPr>
          <w:p w14:paraId="7A529A82" w14:textId="77777777" w:rsidR="007E34FA" w:rsidRDefault="007E34FA">
            <w:pPr>
              <w:rPr>
                <w:sz w:val="18"/>
                <w:szCs w:val="18"/>
              </w:rPr>
            </w:pPr>
            <w:r>
              <w:rPr>
                <w:sz w:val="18"/>
                <w:szCs w:val="18"/>
              </w:rPr>
              <w:t>$19576</w:t>
            </w:r>
          </w:p>
          <w:p w14:paraId="4DFE5A79" w14:textId="77777777" w:rsidR="007E34FA" w:rsidRDefault="007E34FA">
            <w:pPr>
              <w:rPr>
                <w:sz w:val="18"/>
                <w:szCs w:val="18"/>
              </w:rPr>
            </w:pPr>
            <w:r>
              <w:rPr>
                <w:sz w:val="18"/>
                <w:szCs w:val="18"/>
              </w:rPr>
              <w:t>[$14528-$27277]</w:t>
            </w:r>
          </w:p>
        </w:tc>
        <w:tc>
          <w:tcPr>
            <w:tcW w:w="335" w:type="pct"/>
            <w:tcBorders>
              <w:top w:val="single" w:sz="8" w:space="0" w:color="auto"/>
              <w:left w:val="nil"/>
              <w:bottom w:val="single" w:sz="8" w:space="0" w:color="auto"/>
              <w:right w:val="nil"/>
            </w:tcBorders>
            <w:noWrap/>
            <w:hideMark/>
          </w:tcPr>
          <w:p w14:paraId="31E1A781" w14:textId="77777777" w:rsidR="007E34FA" w:rsidRDefault="007E34FA">
            <w:pPr>
              <w:rPr>
                <w:sz w:val="18"/>
                <w:szCs w:val="18"/>
              </w:rPr>
            </w:pPr>
            <w:r>
              <w:rPr>
                <w:sz w:val="18"/>
                <w:szCs w:val="18"/>
              </w:rPr>
              <w:t>$19374</w:t>
            </w:r>
          </w:p>
          <w:p w14:paraId="38E3C7A5" w14:textId="77777777" w:rsidR="007E34FA" w:rsidRDefault="007E34FA">
            <w:pPr>
              <w:rPr>
                <w:sz w:val="18"/>
                <w:szCs w:val="18"/>
              </w:rPr>
            </w:pPr>
            <w:r>
              <w:rPr>
                <w:sz w:val="18"/>
                <w:szCs w:val="18"/>
              </w:rPr>
              <w:t>[$14397-$27023]</w:t>
            </w:r>
          </w:p>
        </w:tc>
        <w:tc>
          <w:tcPr>
            <w:tcW w:w="335" w:type="pct"/>
            <w:tcBorders>
              <w:top w:val="single" w:sz="8" w:space="0" w:color="auto"/>
              <w:left w:val="nil"/>
              <w:bottom w:val="single" w:sz="8" w:space="0" w:color="auto"/>
              <w:right w:val="nil"/>
            </w:tcBorders>
            <w:noWrap/>
            <w:hideMark/>
          </w:tcPr>
          <w:p w14:paraId="156EDF3C" w14:textId="77777777" w:rsidR="007E34FA" w:rsidRDefault="007E34FA">
            <w:pPr>
              <w:rPr>
                <w:sz w:val="18"/>
                <w:szCs w:val="18"/>
              </w:rPr>
            </w:pPr>
            <w:r>
              <w:rPr>
                <w:sz w:val="18"/>
                <w:szCs w:val="18"/>
              </w:rPr>
              <w:t>$17494</w:t>
            </w:r>
          </w:p>
          <w:p w14:paraId="5976AF8D" w14:textId="77777777" w:rsidR="007E34FA" w:rsidRDefault="007E34FA">
            <w:pPr>
              <w:rPr>
                <w:sz w:val="18"/>
                <w:szCs w:val="18"/>
              </w:rPr>
            </w:pPr>
            <w:r>
              <w:rPr>
                <w:sz w:val="18"/>
                <w:szCs w:val="18"/>
              </w:rPr>
              <w:t>[$13447-$23751]</w:t>
            </w:r>
          </w:p>
        </w:tc>
        <w:tc>
          <w:tcPr>
            <w:tcW w:w="335" w:type="pct"/>
            <w:tcBorders>
              <w:top w:val="single" w:sz="8" w:space="0" w:color="auto"/>
              <w:left w:val="nil"/>
              <w:bottom w:val="single" w:sz="8" w:space="0" w:color="auto"/>
              <w:right w:val="nil"/>
            </w:tcBorders>
            <w:noWrap/>
            <w:hideMark/>
          </w:tcPr>
          <w:p w14:paraId="39399B40" w14:textId="77777777" w:rsidR="007E34FA" w:rsidRDefault="007E34FA">
            <w:pPr>
              <w:rPr>
                <w:sz w:val="18"/>
                <w:szCs w:val="18"/>
              </w:rPr>
            </w:pPr>
            <w:r>
              <w:rPr>
                <w:sz w:val="18"/>
                <w:szCs w:val="18"/>
              </w:rPr>
              <w:t>$18569</w:t>
            </w:r>
          </w:p>
          <w:p w14:paraId="7205B6B8" w14:textId="77777777" w:rsidR="007E34FA" w:rsidRDefault="007E34FA">
            <w:pPr>
              <w:rPr>
                <w:sz w:val="18"/>
                <w:szCs w:val="18"/>
              </w:rPr>
            </w:pPr>
            <w:r>
              <w:rPr>
                <w:sz w:val="18"/>
                <w:szCs w:val="18"/>
              </w:rPr>
              <w:t>[$14174-$25598]</w:t>
            </w:r>
          </w:p>
        </w:tc>
        <w:tc>
          <w:tcPr>
            <w:tcW w:w="348" w:type="pct"/>
            <w:tcBorders>
              <w:top w:val="single" w:sz="8" w:space="0" w:color="auto"/>
              <w:left w:val="nil"/>
              <w:bottom w:val="single" w:sz="8" w:space="0" w:color="auto"/>
              <w:right w:val="nil"/>
            </w:tcBorders>
            <w:noWrap/>
            <w:hideMark/>
          </w:tcPr>
          <w:p w14:paraId="603FB431" w14:textId="77777777" w:rsidR="007E34FA" w:rsidRDefault="007E34FA">
            <w:pPr>
              <w:rPr>
                <w:sz w:val="18"/>
                <w:szCs w:val="18"/>
              </w:rPr>
            </w:pPr>
            <w:r>
              <w:rPr>
                <w:sz w:val="18"/>
                <w:szCs w:val="18"/>
              </w:rPr>
              <w:t>$19048</w:t>
            </w:r>
          </w:p>
          <w:p w14:paraId="06F0A5AE" w14:textId="77777777" w:rsidR="007E34FA" w:rsidRDefault="007E34FA">
            <w:pPr>
              <w:rPr>
                <w:sz w:val="18"/>
                <w:szCs w:val="18"/>
              </w:rPr>
            </w:pPr>
            <w:r>
              <w:rPr>
                <w:sz w:val="18"/>
                <w:szCs w:val="18"/>
              </w:rPr>
              <w:t>[$14725-$26164]</w:t>
            </w:r>
          </w:p>
        </w:tc>
        <w:tc>
          <w:tcPr>
            <w:tcW w:w="493" w:type="pct"/>
            <w:tcBorders>
              <w:top w:val="single" w:sz="8" w:space="0" w:color="auto"/>
              <w:left w:val="nil"/>
              <w:bottom w:val="single" w:sz="8" w:space="0" w:color="auto"/>
              <w:right w:val="nil"/>
            </w:tcBorders>
            <w:hideMark/>
          </w:tcPr>
          <w:p w14:paraId="5910AA93" w14:textId="77777777" w:rsidR="007E34FA" w:rsidRDefault="007E34FA">
            <w:pPr>
              <w:rPr>
                <w:sz w:val="18"/>
                <w:szCs w:val="18"/>
              </w:rPr>
            </w:pPr>
            <w:r>
              <w:rPr>
                <w:sz w:val="18"/>
                <w:szCs w:val="18"/>
              </w:rPr>
              <w:t xml:space="preserve">$17455 </w:t>
            </w:r>
          </w:p>
          <w:p w14:paraId="6F6CA33D" w14:textId="77777777" w:rsidR="007E34FA" w:rsidRDefault="007E34FA">
            <w:pPr>
              <w:rPr>
                <w:sz w:val="18"/>
                <w:szCs w:val="18"/>
              </w:rPr>
            </w:pPr>
            <w:r>
              <w:rPr>
                <w:sz w:val="18"/>
                <w:szCs w:val="18"/>
              </w:rPr>
              <w:t>[$12971-$24291]</w:t>
            </w:r>
          </w:p>
        </w:tc>
      </w:tr>
      <w:tr w:rsidR="007E34FA" w14:paraId="4EABA836" w14:textId="77777777" w:rsidTr="007E34FA">
        <w:trPr>
          <w:trHeight w:val="300"/>
        </w:trPr>
        <w:tc>
          <w:tcPr>
            <w:tcW w:w="807" w:type="pct"/>
            <w:tcBorders>
              <w:top w:val="single" w:sz="8" w:space="0" w:color="auto"/>
              <w:left w:val="nil"/>
              <w:bottom w:val="single" w:sz="8" w:space="0" w:color="auto"/>
              <w:right w:val="nil"/>
            </w:tcBorders>
            <w:noWrap/>
            <w:hideMark/>
          </w:tcPr>
          <w:p w14:paraId="07E77EB5" w14:textId="77777777" w:rsidR="007E34FA" w:rsidRDefault="007E34FA">
            <w:pPr>
              <w:rPr>
                <w:sz w:val="18"/>
                <w:szCs w:val="18"/>
              </w:rPr>
            </w:pPr>
            <w:r>
              <w:rPr>
                <w:sz w:val="18"/>
                <w:szCs w:val="18"/>
              </w:rPr>
              <w:t>Median ZIP income - 1st quartile</w:t>
            </w:r>
          </w:p>
        </w:tc>
        <w:tc>
          <w:tcPr>
            <w:tcW w:w="335" w:type="pct"/>
            <w:tcBorders>
              <w:top w:val="single" w:sz="8" w:space="0" w:color="auto"/>
              <w:left w:val="nil"/>
              <w:bottom w:val="single" w:sz="8" w:space="0" w:color="auto"/>
              <w:right w:val="nil"/>
            </w:tcBorders>
            <w:noWrap/>
            <w:hideMark/>
          </w:tcPr>
          <w:p w14:paraId="56F49B8D" w14:textId="77777777" w:rsidR="007E34FA" w:rsidRDefault="007E34FA">
            <w:pPr>
              <w:rPr>
                <w:sz w:val="18"/>
                <w:szCs w:val="18"/>
              </w:rPr>
            </w:pPr>
            <w:r>
              <w:rPr>
                <w:sz w:val="18"/>
                <w:szCs w:val="18"/>
              </w:rPr>
              <w:t>24.6%</w:t>
            </w:r>
          </w:p>
        </w:tc>
        <w:tc>
          <w:tcPr>
            <w:tcW w:w="335" w:type="pct"/>
            <w:tcBorders>
              <w:top w:val="single" w:sz="8" w:space="0" w:color="auto"/>
              <w:left w:val="nil"/>
              <w:bottom w:val="single" w:sz="8" w:space="0" w:color="auto"/>
              <w:right w:val="nil"/>
            </w:tcBorders>
            <w:noWrap/>
            <w:hideMark/>
          </w:tcPr>
          <w:p w14:paraId="01005A1A" w14:textId="77777777" w:rsidR="007E34FA" w:rsidRDefault="007E34FA">
            <w:pPr>
              <w:rPr>
                <w:sz w:val="18"/>
                <w:szCs w:val="18"/>
              </w:rPr>
            </w:pPr>
            <w:r>
              <w:rPr>
                <w:sz w:val="18"/>
                <w:szCs w:val="18"/>
              </w:rPr>
              <w:t>25.8%</w:t>
            </w:r>
          </w:p>
        </w:tc>
        <w:tc>
          <w:tcPr>
            <w:tcW w:w="335" w:type="pct"/>
            <w:tcBorders>
              <w:top w:val="single" w:sz="8" w:space="0" w:color="auto"/>
              <w:left w:val="nil"/>
              <w:bottom w:val="single" w:sz="8" w:space="0" w:color="auto"/>
              <w:right w:val="nil"/>
            </w:tcBorders>
            <w:noWrap/>
            <w:hideMark/>
          </w:tcPr>
          <w:p w14:paraId="058D3DD0" w14:textId="77777777" w:rsidR="007E34FA" w:rsidRDefault="007E34FA">
            <w:pPr>
              <w:rPr>
                <w:sz w:val="18"/>
                <w:szCs w:val="18"/>
              </w:rPr>
            </w:pPr>
            <w:r>
              <w:rPr>
                <w:sz w:val="18"/>
                <w:szCs w:val="18"/>
              </w:rPr>
              <w:t>23.6%</w:t>
            </w:r>
          </w:p>
        </w:tc>
        <w:tc>
          <w:tcPr>
            <w:tcW w:w="335" w:type="pct"/>
            <w:tcBorders>
              <w:top w:val="single" w:sz="8" w:space="0" w:color="auto"/>
              <w:left w:val="nil"/>
              <w:bottom w:val="single" w:sz="8" w:space="0" w:color="auto"/>
              <w:right w:val="nil"/>
            </w:tcBorders>
            <w:noWrap/>
            <w:hideMark/>
          </w:tcPr>
          <w:p w14:paraId="1689080B" w14:textId="77777777" w:rsidR="007E34FA" w:rsidRDefault="007E34FA">
            <w:pPr>
              <w:rPr>
                <w:sz w:val="18"/>
                <w:szCs w:val="18"/>
              </w:rPr>
            </w:pPr>
            <w:r>
              <w:rPr>
                <w:sz w:val="18"/>
                <w:szCs w:val="18"/>
              </w:rPr>
              <w:t>26.8%</w:t>
            </w:r>
          </w:p>
        </w:tc>
        <w:tc>
          <w:tcPr>
            <w:tcW w:w="335" w:type="pct"/>
            <w:tcBorders>
              <w:top w:val="single" w:sz="8" w:space="0" w:color="auto"/>
              <w:left w:val="nil"/>
              <w:bottom w:val="single" w:sz="8" w:space="0" w:color="auto"/>
              <w:right w:val="nil"/>
            </w:tcBorders>
            <w:noWrap/>
            <w:hideMark/>
          </w:tcPr>
          <w:p w14:paraId="220644CE" w14:textId="77777777" w:rsidR="007E34FA" w:rsidRDefault="007E34FA">
            <w:pPr>
              <w:rPr>
                <w:sz w:val="18"/>
                <w:szCs w:val="18"/>
              </w:rPr>
            </w:pPr>
            <w:r>
              <w:rPr>
                <w:sz w:val="18"/>
                <w:szCs w:val="18"/>
              </w:rPr>
              <w:t>26.7%</w:t>
            </w:r>
          </w:p>
        </w:tc>
        <w:tc>
          <w:tcPr>
            <w:tcW w:w="335" w:type="pct"/>
            <w:tcBorders>
              <w:top w:val="single" w:sz="8" w:space="0" w:color="auto"/>
              <w:left w:val="nil"/>
              <w:bottom w:val="single" w:sz="8" w:space="0" w:color="auto"/>
              <w:right w:val="nil"/>
            </w:tcBorders>
            <w:noWrap/>
            <w:hideMark/>
          </w:tcPr>
          <w:p w14:paraId="658A4CE2" w14:textId="77777777" w:rsidR="007E34FA" w:rsidRDefault="007E34FA">
            <w:pPr>
              <w:rPr>
                <w:sz w:val="18"/>
                <w:szCs w:val="18"/>
              </w:rPr>
            </w:pPr>
            <w:r>
              <w:rPr>
                <w:sz w:val="18"/>
                <w:szCs w:val="18"/>
              </w:rPr>
              <w:t>26.9%</w:t>
            </w:r>
          </w:p>
        </w:tc>
        <w:tc>
          <w:tcPr>
            <w:tcW w:w="335" w:type="pct"/>
            <w:tcBorders>
              <w:top w:val="single" w:sz="8" w:space="0" w:color="auto"/>
              <w:left w:val="nil"/>
              <w:bottom w:val="single" w:sz="8" w:space="0" w:color="auto"/>
              <w:right w:val="nil"/>
            </w:tcBorders>
            <w:noWrap/>
            <w:hideMark/>
          </w:tcPr>
          <w:p w14:paraId="05B47969" w14:textId="77777777" w:rsidR="007E34FA" w:rsidRDefault="007E34FA">
            <w:pPr>
              <w:rPr>
                <w:sz w:val="18"/>
                <w:szCs w:val="18"/>
              </w:rPr>
            </w:pPr>
            <w:r>
              <w:rPr>
                <w:sz w:val="18"/>
                <w:szCs w:val="18"/>
              </w:rPr>
              <w:t>27.3%</w:t>
            </w:r>
          </w:p>
        </w:tc>
        <w:tc>
          <w:tcPr>
            <w:tcW w:w="335" w:type="pct"/>
            <w:tcBorders>
              <w:top w:val="single" w:sz="8" w:space="0" w:color="auto"/>
              <w:left w:val="nil"/>
              <w:bottom w:val="single" w:sz="8" w:space="0" w:color="auto"/>
              <w:right w:val="nil"/>
            </w:tcBorders>
            <w:noWrap/>
            <w:hideMark/>
          </w:tcPr>
          <w:p w14:paraId="77A2558E" w14:textId="77777777" w:rsidR="007E34FA" w:rsidRDefault="007E34FA">
            <w:pPr>
              <w:rPr>
                <w:sz w:val="18"/>
                <w:szCs w:val="18"/>
              </w:rPr>
            </w:pPr>
            <w:r>
              <w:rPr>
                <w:sz w:val="18"/>
                <w:szCs w:val="18"/>
              </w:rPr>
              <w:t>28.1%</w:t>
            </w:r>
          </w:p>
        </w:tc>
        <w:tc>
          <w:tcPr>
            <w:tcW w:w="335" w:type="pct"/>
            <w:tcBorders>
              <w:top w:val="single" w:sz="8" w:space="0" w:color="auto"/>
              <w:left w:val="nil"/>
              <w:bottom w:val="single" w:sz="8" w:space="0" w:color="auto"/>
              <w:right w:val="nil"/>
            </w:tcBorders>
            <w:noWrap/>
            <w:hideMark/>
          </w:tcPr>
          <w:p w14:paraId="29B9336E" w14:textId="77777777" w:rsidR="007E34FA" w:rsidRDefault="007E34FA">
            <w:pPr>
              <w:rPr>
                <w:sz w:val="18"/>
                <w:szCs w:val="18"/>
              </w:rPr>
            </w:pPr>
            <w:r>
              <w:rPr>
                <w:sz w:val="18"/>
                <w:szCs w:val="18"/>
              </w:rPr>
              <w:t>30.6%</w:t>
            </w:r>
          </w:p>
        </w:tc>
        <w:tc>
          <w:tcPr>
            <w:tcW w:w="335" w:type="pct"/>
            <w:tcBorders>
              <w:top w:val="single" w:sz="8" w:space="0" w:color="auto"/>
              <w:left w:val="nil"/>
              <w:bottom w:val="single" w:sz="8" w:space="0" w:color="auto"/>
              <w:right w:val="nil"/>
            </w:tcBorders>
            <w:noWrap/>
            <w:hideMark/>
          </w:tcPr>
          <w:p w14:paraId="40F6CCC4" w14:textId="77777777" w:rsidR="007E34FA" w:rsidRDefault="007E34FA">
            <w:pPr>
              <w:rPr>
                <w:sz w:val="18"/>
                <w:szCs w:val="18"/>
              </w:rPr>
            </w:pPr>
            <w:r>
              <w:rPr>
                <w:sz w:val="18"/>
                <w:szCs w:val="18"/>
              </w:rPr>
              <w:t>29.2%</w:t>
            </w:r>
          </w:p>
        </w:tc>
        <w:tc>
          <w:tcPr>
            <w:tcW w:w="348" w:type="pct"/>
            <w:tcBorders>
              <w:top w:val="single" w:sz="8" w:space="0" w:color="auto"/>
              <w:left w:val="nil"/>
              <w:bottom w:val="single" w:sz="8" w:space="0" w:color="auto"/>
              <w:right w:val="nil"/>
            </w:tcBorders>
            <w:noWrap/>
            <w:hideMark/>
          </w:tcPr>
          <w:p w14:paraId="571A51D2" w14:textId="77777777" w:rsidR="007E34FA" w:rsidRDefault="007E34FA">
            <w:pPr>
              <w:rPr>
                <w:sz w:val="18"/>
                <w:szCs w:val="18"/>
              </w:rPr>
            </w:pPr>
            <w:r>
              <w:rPr>
                <w:sz w:val="18"/>
                <w:szCs w:val="18"/>
              </w:rPr>
              <w:t>28.7%</w:t>
            </w:r>
          </w:p>
        </w:tc>
        <w:tc>
          <w:tcPr>
            <w:tcW w:w="493" w:type="pct"/>
            <w:tcBorders>
              <w:top w:val="single" w:sz="8" w:space="0" w:color="auto"/>
              <w:left w:val="nil"/>
              <w:bottom w:val="single" w:sz="8" w:space="0" w:color="auto"/>
              <w:right w:val="nil"/>
            </w:tcBorders>
            <w:hideMark/>
          </w:tcPr>
          <w:p w14:paraId="27C1BE3B" w14:textId="77777777" w:rsidR="007E34FA" w:rsidRDefault="007E34FA">
            <w:pPr>
              <w:rPr>
                <w:rFonts w:ascii="Calibri" w:hAnsi="Calibri"/>
                <w:color w:val="000000"/>
                <w:sz w:val="18"/>
                <w:szCs w:val="18"/>
              </w:rPr>
            </w:pPr>
            <w:r>
              <w:rPr>
                <w:rFonts w:ascii="Calibri" w:hAnsi="Calibri"/>
                <w:color w:val="000000"/>
                <w:sz w:val="18"/>
                <w:szCs w:val="18"/>
              </w:rPr>
              <w:t>27.1%</w:t>
            </w:r>
          </w:p>
        </w:tc>
      </w:tr>
      <w:tr w:rsidR="007E34FA" w14:paraId="763DD916" w14:textId="77777777" w:rsidTr="007E34FA">
        <w:trPr>
          <w:trHeight w:val="300"/>
        </w:trPr>
        <w:tc>
          <w:tcPr>
            <w:tcW w:w="807" w:type="pct"/>
            <w:tcBorders>
              <w:top w:val="single" w:sz="8" w:space="0" w:color="auto"/>
              <w:left w:val="nil"/>
              <w:bottom w:val="single" w:sz="8" w:space="0" w:color="auto"/>
              <w:right w:val="nil"/>
            </w:tcBorders>
            <w:noWrap/>
            <w:hideMark/>
          </w:tcPr>
          <w:p w14:paraId="2A610419" w14:textId="77777777" w:rsidR="007E34FA" w:rsidRDefault="007E34FA">
            <w:pPr>
              <w:rPr>
                <w:sz w:val="18"/>
                <w:szCs w:val="18"/>
              </w:rPr>
            </w:pPr>
            <w:r>
              <w:rPr>
                <w:sz w:val="18"/>
                <w:szCs w:val="18"/>
              </w:rPr>
              <w:t>2nd quartile</w:t>
            </w:r>
          </w:p>
        </w:tc>
        <w:tc>
          <w:tcPr>
            <w:tcW w:w="335" w:type="pct"/>
            <w:tcBorders>
              <w:top w:val="single" w:sz="8" w:space="0" w:color="auto"/>
              <w:left w:val="nil"/>
              <w:bottom w:val="single" w:sz="8" w:space="0" w:color="auto"/>
              <w:right w:val="nil"/>
            </w:tcBorders>
            <w:noWrap/>
            <w:hideMark/>
          </w:tcPr>
          <w:p w14:paraId="66E6FCCF" w14:textId="77777777" w:rsidR="007E34FA" w:rsidRDefault="007E34FA">
            <w:pPr>
              <w:rPr>
                <w:sz w:val="18"/>
                <w:szCs w:val="18"/>
              </w:rPr>
            </w:pPr>
            <w:r>
              <w:rPr>
                <w:sz w:val="18"/>
                <w:szCs w:val="18"/>
              </w:rPr>
              <w:t>26.6%</w:t>
            </w:r>
          </w:p>
        </w:tc>
        <w:tc>
          <w:tcPr>
            <w:tcW w:w="335" w:type="pct"/>
            <w:tcBorders>
              <w:top w:val="single" w:sz="8" w:space="0" w:color="auto"/>
              <w:left w:val="nil"/>
              <w:bottom w:val="single" w:sz="8" w:space="0" w:color="auto"/>
              <w:right w:val="nil"/>
            </w:tcBorders>
            <w:noWrap/>
            <w:hideMark/>
          </w:tcPr>
          <w:p w14:paraId="467D8736" w14:textId="77777777" w:rsidR="007E34FA" w:rsidRDefault="007E34FA">
            <w:pPr>
              <w:rPr>
                <w:sz w:val="18"/>
                <w:szCs w:val="18"/>
              </w:rPr>
            </w:pPr>
            <w:r>
              <w:rPr>
                <w:sz w:val="18"/>
                <w:szCs w:val="18"/>
              </w:rPr>
              <w:t>25.2%</w:t>
            </w:r>
          </w:p>
        </w:tc>
        <w:tc>
          <w:tcPr>
            <w:tcW w:w="335" w:type="pct"/>
            <w:tcBorders>
              <w:top w:val="single" w:sz="8" w:space="0" w:color="auto"/>
              <w:left w:val="nil"/>
              <w:bottom w:val="single" w:sz="8" w:space="0" w:color="auto"/>
              <w:right w:val="nil"/>
            </w:tcBorders>
            <w:noWrap/>
            <w:hideMark/>
          </w:tcPr>
          <w:p w14:paraId="58B8FFAD" w14:textId="77777777" w:rsidR="007E34FA" w:rsidRDefault="007E34FA">
            <w:pPr>
              <w:rPr>
                <w:sz w:val="18"/>
                <w:szCs w:val="18"/>
              </w:rPr>
            </w:pPr>
            <w:r>
              <w:rPr>
                <w:sz w:val="18"/>
                <w:szCs w:val="18"/>
              </w:rPr>
              <w:t>26.5%</w:t>
            </w:r>
          </w:p>
        </w:tc>
        <w:tc>
          <w:tcPr>
            <w:tcW w:w="335" w:type="pct"/>
            <w:tcBorders>
              <w:top w:val="single" w:sz="8" w:space="0" w:color="auto"/>
              <w:left w:val="nil"/>
              <w:bottom w:val="single" w:sz="8" w:space="0" w:color="auto"/>
              <w:right w:val="nil"/>
            </w:tcBorders>
            <w:noWrap/>
            <w:hideMark/>
          </w:tcPr>
          <w:p w14:paraId="4C35809D" w14:textId="77777777" w:rsidR="007E34FA" w:rsidRDefault="007E34FA">
            <w:pPr>
              <w:rPr>
                <w:sz w:val="18"/>
                <w:szCs w:val="18"/>
              </w:rPr>
            </w:pPr>
            <w:r>
              <w:rPr>
                <w:sz w:val="18"/>
                <w:szCs w:val="18"/>
              </w:rPr>
              <w:t>25.6%</w:t>
            </w:r>
          </w:p>
        </w:tc>
        <w:tc>
          <w:tcPr>
            <w:tcW w:w="335" w:type="pct"/>
            <w:tcBorders>
              <w:top w:val="single" w:sz="8" w:space="0" w:color="auto"/>
              <w:left w:val="nil"/>
              <w:bottom w:val="single" w:sz="8" w:space="0" w:color="auto"/>
              <w:right w:val="nil"/>
            </w:tcBorders>
            <w:noWrap/>
            <w:hideMark/>
          </w:tcPr>
          <w:p w14:paraId="3B93EF09" w14:textId="77777777" w:rsidR="007E34FA" w:rsidRDefault="007E34FA">
            <w:pPr>
              <w:rPr>
                <w:sz w:val="18"/>
                <w:szCs w:val="18"/>
              </w:rPr>
            </w:pPr>
            <w:r>
              <w:rPr>
                <w:sz w:val="18"/>
                <w:szCs w:val="18"/>
              </w:rPr>
              <w:t>29.0%</w:t>
            </w:r>
          </w:p>
        </w:tc>
        <w:tc>
          <w:tcPr>
            <w:tcW w:w="335" w:type="pct"/>
            <w:tcBorders>
              <w:top w:val="single" w:sz="8" w:space="0" w:color="auto"/>
              <w:left w:val="nil"/>
              <w:bottom w:val="single" w:sz="8" w:space="0" w:color="auto"/>
              <w:right w:val="nil"/>
            </w:tcBorders>
            <w:noWrap/>
            <w:hideMark/>
          </w:tcPr>
          <w:p w14:paraId="35460A9B" w14:textId="77777777" w:rsidR="007E34FA" w:rsidRDefault="007E34FA">
            <w:pPr>
              <w:rPr>
                <w:sz w:val="18"/>
                <w:szCs w:val="18"/>
              </w:rPr>
            </w:pPr>
            <w:r>
              <w:rPr>
                <w:sz w:val="18"/>
                <w:szCs w:val="18"/>
              </w:rPr>
              <w:t>28.3%</w:t>
            </w:r>
          </w:p>
        </w:tc>
        <w:tc>
          <w:tcPr>
            <w:tcW w:w="335" w:type="pct"/>
            <w:tcBorders>
              <w:top w:val="single" w:sz="8" w:space="0" w:color="auto"/>
              <w:left w:val="nil"/>
              <w:bottom w:val="single" w:sz="8" w:space="0" w:color="auto"/>
              <w:right w:val="nil"/>
            </w:tcBorders>
            <w:noWrap/>
            <w:hideMark/>
          </w:tcPr>
          <w:p w14:paraId="5B11AA15" w14:textId="77777777" w:rsidR="007E34FA" w:rsidRDefault="007E34FA">
            <w:pPr>
              <w:rPr>
                <w:sz w:val="18"/>
                <w:szCs w:val="18"/>
              </w:rPr>
            </w:pPr>
            <w:r>
              <w:rPr>
                <w:sz w:val="18"/>
                <w:szCs w:val="18"/>
              </w:rPr>
              <w:t>27.1%</w:t>
            </w:r>
          </w:p>
        </w:tc>
        <w:tc>
          <w:tcPr>
            <w:tcW w:w="335" w:type="pct"/>
            <w:tcBorders>
              <w:top w:val="single" w:sz="8" w:space="0" w:color="auto"/>
              <w:left w:val="nil"/>
              <w:bottom w:val="single" w:sz="8" w:space="0" w:color="auto"/>
              <w:right w:val="nil"/>
            </w:tcBorders>
            <w:noWrap/>
            <w:hideMark/>
          </w:tcPr>
          <w:p w14:paraId="4FB6D64C" w14:textId="77777777" w:rsidR="007E34FA" w:rsidRDefault="007E34FA">
            <w:pPr>
              <w:rPr>
                <w:sz w:val="18"/>
                <w:szCs w:val="18"/>
              </w:rPr>
            </w:pPr>
            <w:r>
              <w:rPr>
                <w:sz w:val="18"/>
                <w:szCs w:val="18"/>
              </w:rPr>
              <w:t>25.5%</w:t>
            </w:r>
          </w:p>
        </w:tc>
        <w:tc>
          <w:tcPr>
            <w:tcW w:w="335" w:type="pct"/>
            <w:tcBorders>
              <w:top w:val="single" w:sz="8" w:space="0" w:color="auto"/>
              <w:left w:val="nil"/>
              <w:bottom w:val="single" w:sz="8" w:space="0" w:color="auto"/>
              <w:right w:val="nil"/>
            </w:tcBorders>
            <w:noWrap/>
            <w:hideMark/>
          </w:tcPr>
          <w:p w14:paraId="34480650" w14:textId="77777777" w:rsidR="007E34FA" w:rsidRDefault="007E34FA">
            <w:pPr>
              <w:rPr>
                <w:sz w:val="18"/>
                <w:szCs w:val="18"/>
              </w:rPr>
            </w:pPr>
            <w:r>
              <w:rPr>
                <w:sz w:val="18"/>
                <w:szCs w:val="18"/>
              </w:rPr>
              <w:t>26.4%</w:t>
            </w:r>
          </w:p>
        </w:tc>
        <w:tc>
          <w:tcPr>
            <w:tcW w:w="335" w:type="pct"/>
            <w:tcBorders>
              <w:top w:val="single" w:sz="8" w:space="0" w:color="auto"/>
              <w:left w:val="nil"/>
              <w:bottom w:val="single" w:sz="8" w:space="0" w:color="auto"/>
              <w:right w:val="nil"/>
            </w:tcBorders>
            <w:noWrap/>
            <w:hideMark/>
          </w:tcPr>
          <w:p w14:paraId="4A2709B2" w14:textId="77777777" w:rsidR="007E34FA" w:rsidRDefault="007E34FA">
            <w:pPr>
              <w:rPr>
                <w:sz w:val="18"/>
                <w:szCs w:val="18"/>
              </w:rPr>
            </w:pPr>
            <w:r>
              <w:rPr>
                <w:sz w:val="18"/>
                <w:szCs w:val="18"/>
              </w:rPr>
              <w:t>27.5%</w:t>
            </w:r>
          </w:p>
        </w:tc>
        <w:tc>
          <w:tcPr>
            <w:tcW w:w="348" w:type="pct"/>
            <w:tcBorders>
              <w:top w:val="single" w:sz="8" w:space="0" w:color="auto"/>
              <w:left w:val="nil"/>
              <w:bottom w:val="single" w:sz="8" w:space="0" w:color="auto"/>
              <w:right w:val="nil"/>
            </w:tcBorders>
            <w:noWrap/>
            <w:hideMark/>
          </w:tcPr>
          <w:p w14:paraId="56ABDB50" w14:textId="77777777" w:rsidR="007E34FA" w:rsidRDefault="007E34FA">
            <w:pPr>
              <w:rPr>
                <w:sz w:val="18"/>
                <w:szCs w:val="18"/>
              </w:rPr>
            </w:pPr>
            <w:r>
              <w:rPr>
                <w:sz w:val="18"/>
                <w:szCs w:val="18"/>
              </w:rPr>
              <w:t>29.2%</w:t>
            </w:r>
          </w:p>
        </w:tc>
        <w:tc>
          <w:tcPr>
            <w:tcW w:w="493" w:type="pct"/>
            <w:tcBorders>
              <w:top w:val="single" w:sz="8" w:space="0" w:color="auto"/>
              <w:left w:val="nil"/>
              <w:bottom w:val="single" w:sz="8" w:space="0" w:color="auto"/>
              <w:right w:val="nil"/>
            </w:tcBorders>
            <w:hideMark/>
          </w:tcPr>
          <w:p w14:paraId="1A096A40" w14:textId="77777777" w:rsidR="007E34FA" w:rsidRDefault="007E34FA">
            <w:pPr>
              <w:rPr>
                <w:rFonts w:ascii="Calibri" w:hAnsi="Calibri"/>
                <w:color w:val="000000"/>
                <w:sz w:val="18"/>
                <w:szCs w:val="18"/>
              </w:rPr>
            </w:pPr>
            <w:r>
              <w:rPr>
                <w:rFonts w:ascii="Calibri" w:hAnsi="Calibri"/>
                <w:color w:val="000000"/>
                <w:sz w:val="18"/>
                <w:szCs w:val="18"/>
              </w:rPr>
              <w:t>27.0%</w:t>
            </w:r>
          </w:p>
        </w:tc>
      </w:tr>
      <w:tr w:rsidR="007E34FA" w14:paraId="57148DE3" w14:textId="77777777" w:rsidTr="007E34FA">
        <w:trPr>
          <w:trHeight w:val="300"/>
        </w:trPr>
        <w:tc>
          <w:tcPr>
            <w:tcW w:w="807" w:type="pct"/>
            <w:tcBorders>
              <w:top w:val="single" w:sz="8" w:space="0" w:color="auto"/>
              <w:left w:val="nil"/>
              <w:bottom w:val="single" w:sz="8" w:space="0" w:color="auto"/>
              <w:right w:val="nil"/>
            </w:tcBorders>
            <w:noWrap/>
            <w:hideMark/>
          </w:tcPr>
          <w:p w14:paraId="3DBE17E7" w14:textId="77777777" w:rsidR="007E34FA" w:rsidRDefault="007E34FA">
            <w:pPr>
              <w:rPr>
                <w:sz w:val="18"/>
                <w:szCs w:val="18"/>
              </w:rPr>
            </w:pPr>
            <w:r>
              <w:rPr>
                <w:sz w:val="18"/>
                <w:szCs w:val="18"/>
              </w:rPr>
              <w:t>3rd quartile</w:t>
            </w:r>
          </w:p>
        </w:tc>
        <w:tc>
          <w:tcPr>
            <w:tcW w:w="335" w:type="pct"/>
            <w:tcBorders>
              <w:top w:val="single" w:sz="8" w:space="0" w:color="auto"/>
              <w:left w:val="nil"/>
              <w:bottom w:val="single" w:sz="8" w:space="0" w:color="auto"/>
              <w:right w:val="nil"/>
            </w:tcBorders>
            <w:noWrap/>
            <w:hideMark/>
          </w:tcPr>
          <w:p w14:paraId="40A7DCF3" w14:textId="77777777" w:rsidR="007E34FA" w:rsidRDefault="007E34FA">
            <w:pPr>
              <w:rPr>
                <w:sz w:val="18"/>
                <w:szCs w:val="18"/>
              </w:rPr>
            </w:pPr>
            <w:r>
              <w:rPr>
                <w:sz w:val="18"/>
                <w:szCs w:val="18"/>
              </w:rPr>
              <w:t>24.0%</w:t>
            </w:r>
          </w:p>
        </w:tc>
        <w:tc>
          <w:tcPr>
            <w:tcW w:w="335" w:type="pct"/>
            <w:tcBorders>
              <w:top w:val="single" w:sz="8" w:space="0" w:color="auto"/>
              <w:left w:val="nil"/>
              <w:bottom w:val="single" w:sz="8" w:space="0" w:color="auto"/>
              <w:right w:val="nil"/>
            </w:tcBorders>
            <w:noWrap/>
            <w:hideMark/>
          </w:tcPr>
          <w:p w14:paraId="02D41C90" w14:textId="77777777" w:rsidR="007E34FA" w:rsidRDefault="007E34FA">
            <w:pPr>
              <w:rPr>
                <w:sz w:val="18"/>
                <w:szCs w:val="18"/>
              </w:rPr>
            </w:pPr>
            <w:r>
              <w:rPr>
                <w:sz w:val="18"/>
                <w:szCs w:val="18"/>
              </w:rPr>
              <w:t>26.0%</w:t>
            </w:r>
          </w:p>
        </w:tc>
        <w:tc>
          <w:tcPr>
            <w:tcW w:w="335" w:type="pct"/>
            <w:tcBorders>
              <w:top w:val="single" w:sz="8" w:space="0" w:color="auto"/>
              <w:left w:val="nil"/>
              <w:bottom w:val="single" w:sz="8" w:space="0" w:color="auto"/>
              <w:right w:val="nil"/>
            </w:tcBorders>
            <w:noWrap/>
            <w:hideMark/>
          </w:tcPr>
          <w:p w14:paraId="1E588254" w14:textId="77777777" w:rsidR="007E34FA" w:rsidRDefault="007E34FA">
            <w:pPr>
              <w:rPr>
                <w:sz w:val="18"/>
                <w:szCs w:val="18"/>
              </w:rPr>
            </w:pPr>
            <w:r>
              <w:rPr>
                <w:sz w:val="18"/>
                <w:szCs w:val="18"/>
              </w:rPr>
              <w:t>25.9%</w:t>
            </w:r>
          </w:p>
        </w:tc>
        <w:tc>
          <w:tcPr>
            <w:tcW w:w="335" w:type="pct"/>
            <w:tcBorders>
              <w:top w:val="single" w:sz="8" w:space="0" w:color="auto"/>
              <w:left w:val="nil"/>
              <w:bottom w:val="single" w:sz="8" w:space="0" w:color="auto"/>
              <w:right w:val="nil"/>
            </w:tcBorders>
            <w:noWrap/>
            <w:hideMark/>
          </w:tcPr>
          <w:p w14:paraId="448C84F8" w14:textId="77777777" w:rsidR="007E34FA" w:rsidRDefault="007E34FA">
            <w:pPr>
              <w:rPr>
                <w:sz w:val="18"/>
                <w:szCs w:val="18"/>
              </w:rPr>
            </w:pPr>
            <w:r>
              <w:rPr>
                <w:sz w:val="18"/>
                <w:szCs w:val="18"/>
              </w:rPr>
              <w:t>24.0%</w:t>
            </w:r>
          </w:p>
        </w:tc>
        <w:tc>
          <w:tcPr>
            <w:tcW w:w="335" w:type="pct"/>
            <w:tcBorders>
              <w:top w:val="single" w:sz="8" w:space="0" w:color="auto"/>
              <w:left w:val="nil"/>
              <w:bottom w:val="single" w:sz="8" w:space="0" w:color="auto"/>
              <w:right w:val="nil"/>
            </w:tcBorders>
            <w:noWrap/>
            <w:hideMark/>
          </w:tcPr>
          <w:p w14:paraId="5DD5EE44" w14:textId="77777777" w:rsidR="007E34FA" w:rsidRDefault="007E34FA">
            <w:pPr>
              <w:rPr>
                <w:sz w:val="18"/>
                <w:szCs w:val="18"/>
              </w:rPr>
            </w:pPr>
            <w:r>
              <w:rPr>
                <w:sz w:val="18"/>
                <w:szCs w:val="18"/>
              </w:rPr>
              <w:t>23.5%</w:t>
            </w:r>
          </w:p>
        </w:tc>
        <w:tc>
          <w:tcPr>
            <w:tcW w:w="335" w:type="pct"/>
            <w:tcBorders>
              <w:top w:val="single" w:sz="8" w:space="0" w:color="auto"/>
              <w:left w:val="nil"/>
              <w:bottom w:val="single" w:sz="8" w:space="0" w:color="auto"/>
              <w:right w:val="nil"/>
            </w:tcBorders>
            <w:noWrap/>
            <w:hideMark/>
          </w:tcPr>
          <w:p w14:paraId="73228E2D" w14:textId="77777777" w:rsidR="007E34FA" w:rsidRDefault="007E34FA">
            <w:pPr>
              <w:rPr>
                <w:sz w:val="18"/>
                <w:szCs w:val="18"/>
              </w:rPr>
            </w:pPr>
            <w:r>
              <w:rPr>
                <w:sz w:val="18"/>
                <w:szCs w:val="18"/>
              </w:rPr>
              <w:t>24.6%</w:t>
            </w:r>
          </w:p>
        </w:tc>
        <w:tc>
          <w:tcPr>
            <w:tcW w:w="335" w:type="pct"/>
            <w:tcBorders>
              <w:top w:val="single" w:sz="8" w:space="0" w:color="auto"/>
              <w:left w:val="nil"/>
              <w:bottom w:val="single" w:sz="8" w:space="0" w:color="auto"/>
              <w:right w:val="nil"/>
            </w:tcBorders>
            <w:noWrap/>
            <w:hideMark/>
          </w:tcPr>
          <w:p w14:paraId="0FB54EA2" w14:textId="77777777" w:rsidR="007E34FA" w:rsidRDefault="007E34FA">
            <w:pPr>
              <w:rPr>
                <w:sz w:val="18"/>
                <w:szCs w:val="18"/>
              </w:rPr>
            </w:pPr>
            <w:r>
              <w:rPr>
                <w:sz w:val="18"/>
                <w:szCs w:val="18"/>
              </w:rPr>
              <w:t>24.8%</w:t>
            </w:r>
          </w:p>
        </w:tc>
        <w:tc>
          <w:tcPr>
            <w:tcW w:w="335" w:type="pct"/>
            <w:tcBorders>
              <w:top w:val="single" w:sz="8" w:space="0" w:color="auto"/>
              <w:left w:val="nil"/>
              <w:bottom w:val="single" w:sz="8" w:space="0" w:color="auto"/>
              <w:right w:val="nil"/>
            </w:tcBorders>
            <w:noWrap/>
            <w:hideMark/>
          </w:tcPr>
          <w:p w14:paraId="3996611D" w14:textId="77777777" w:rsidR="007E34FA" w:rsidRDefault="007E34FA">
            <w:pPr>
              <w:rPr>
                <w:sz w:val="18"/>
                <w:szCs w:val="18"/>
              </w:rPr>
            </w:pPr>
            <w:r>
              <w:rPr>
                <w:sz w:val="18"/>
                <w:szCs w:val="18"/>
              </w:rPr>
              <w:t>26.2%</w:t>
            </w:r>
          </w:p>
        </w:tc>
        <w:tc>
          <w:tcPr>
            <w:tcW w:w="335" w:type="pct"/>
            <w:tcBorders>
              <w:top w:val="single" w:sz="8" w:space="0" w:color="auto"/>
              <w:left w:val="nil"/>
              <w:bottom w:val="single" w:sz="8" w:space="0" w:color="auto"/>
              <w:right w:val="nil"/>
            </w:tcBorders>
            <w:noWrap/>
            <w:hideMark/>
          </w:tcPr>
          <w:p w14:paraId="59185B38" w14:textId="77777777" w:rsidR="007E34FA" w:rsidRDefault="007E34FA">
            <w:pPr>
              <w:rPr>
                <w:sz w:val="18"/>
                <w:szCs w:val="18"/>
              </w:rPr>
            </w:pPr>
            <w:r>
              <w:rPr>
                <w:sz w:val="18"/>
                <w:szCs w:val="18"/>
              </w:rPr>
              <w:t>23.4%</w:t>
            </w:r>
          </w:p>
        </w:tc>
        <w:tc>
          <w:tcPr>
            <w:tcW w:w="335" w:type="pct"/>
            <w:tcBorders>
              <w:top w:val="single" w:sz="8" w:space="0" w:color="auto"/>
              <w:left w:val="nil"/>
              <w:bottom w:val="single" w:sz="8" w:space="0" w:color="auto"/>
              <w:right w:val="nil"/>
            </w:tcBorders>
            <w:noWrap/>
            <w:hideMark/>
          </w:tcPr>
          <w:p w14:paraId="16704A57" w14:textId="77777777" w:rsidR="007E34FA" w:rsidRDefault="007E34FA">
            <w:pPr>
              <w:rPr>
                <w:sz w:val="18"/>
                <w:szCs w:val="18"/>
              </w:rPr>
            </w:pPr>
            <w:r>
              <w:rPr>
                <w:sz w:val="18"/>
                <w:szCs w:val="18"/>
              </w:rPr>
              <w:t>23.9%</w:t>
            </w:r>
          </w:p>
        </w:tc>
        <w:tc>
          <w:tcPr>
            <w:tcW w:w="348" w:type="pct"/>
            <w:tcBorders>
              <w:top w:val="single" w:sz="8" w:space="0" w:color="auto"/>
              <w:left w:val="nil"/>
              <w:bottom w:val="single" w:sz="8" w:space="0" w:color="auto"/>
              <w:right w:val="nil"/>
            </w:tcBorders>
            <w:noWrap/>
            <w:hideMark/>
          </w:tcPr>
          <w:p w14:paraId="6CE09AA8" w14:textId="77777777" w:rsidR="007E34FA" w:rsidRDefault="007E34FA">
            <w:pPr>
              <w:rPr>
                <w:sz w:val="18"/>
                <w:szCs w:val="18"/>
              </w:rPr>
            </w:pPr>
            <w:r>
              <w:rPr>
                <w:sz w:val="18"/>
                <w:szCs w:val="18"/>
              </w:rPr>
              <w:t>23.1%</w:t>
            </w:r>
          </w:p>
        </w:tc>
        <w:tc>
          <w:tcPr>
            <w:tcW w:w="493" w:type="pct"/>
            <w:tcBorders>
              <w:top w:val="single" w:sz="8" w:space="0" w:color="auto"/>
              <w:left w:val="nil"/>
              <w:bottom w:val="single" w:sz="8" w:space="0" w:color="auto"/>
              <w:right w:val="nil"/>
            </w:tcBorders>
            <w:hideMark/>
          </w:tcPr>
          <w:p w14:paraId="7F9A21ED" w14:textId="77777777" w:rsidR="007E34FA" w:rsidRDefault="007E34FA">
            <w:pPr>
              <w:rPr>
                <w:rFonts w:ascii="Calibri" w:hAnsi="Calibri"/>
                <w:color w:val="000000"/>
                <w:sz w:val="18"/>
                <w:szCs w:val="18"/>
              </w:rPr>
            </w:pPr>
            <w:r>
              <w:rPr>
                <w:rFonts w:ascii="Calibri" w:hAnsi="Calibri"/>
                <w:color w:val="000000"/>
                <w:sz w:val="18"/>
                <w:szCs w:val="18"/>
              </w:rPr>
              <w:t>24.5%</w:t>
            </w:r>
          </w:p>
        </w:tc>
      </w:tr>
      <w:tr w:rsidR="007E34FA" w14:paraId="1FB7800A" w14:textId="77777777" w:rsidTr="007E34FA">
        <w:trPr>
          <w:trHeight w:val="300"/>
        </w:trPr>
        <w:tc>
          <w:tcPr>
            <w:tcW w:w="807" w:type="pct"/>
            <w:tcBorders>
              <w:top w:val="single" w:sz="8" w:space="0" w:color="auto"/>
              <w:left w:val="nil"/>
              <w:bottom w:val="single" w:sz="8" w:space="0" w:color="auto"/>
              <w:right w:val="nil"/>
            </w:tcBorders>
            <w:noWrap/>
            <w:hideMark/>
          </w:tcPr>
          <w:p w14:paraId="4A9422FE" w14:textId="77777777" w:rsidR="007E34FA" w:rsidRDefault="007E34FA">
            <w:pPr>
              <w:rPr>
                <w:sz w:val="18"/>
                <w:szCs w:val="18"/>
              </w:rPr>
            </w:pPr>
            <w:r>
              <w:rPr>
                <w:sz w:val="18"/>
                <w:szCs w:val="18"/>
              </w:rPr>
              <w:t>4th quartile</w:t>
            </w:r>
          </w:p>
        </w:tc>
        <w:tc>
          <w:tcPr>
            <w:tcW w:w="335" w:type="pct"/>
            <w:tcBorders>
              <w:top w:val="single" w:sz="8" w:space="0" w:color="auto"/>
              <w:left w:val="nil"/>
              <w:bottom w:val="single" w:sz="8" w:space="0" w:color="auto"/>
              <w:right w:val="nil"/>
            </w:tcBorders>
            <w:noWrap/>
            <w:hideMark/>
          </w:tcPr>
          <w:p w14:paraId="300F48D6" w14:textId="77777777" w:rsidR="007E34FA" w:rsidRDefault="007E34FA">
            <w:pPr>
              <w:rPr>
                <w:sz w:val="18"/>
                <w:szCs w:val="18"/>
              </w:rPr>
            </w:pPr>
            <w:r>
              <w:rPr>
                <w:sz w:val="18"/>
                <w:szCs w:val="18"/>
              </w:rPr>
              <w:t>24.8%</w:t>
            </w:r>
          </w:p>
        </w:tc>
        <w:tc>
          <w:tcPr>
            <w:tcW w:w="335" w:type="pct"/>
            <w:tcBorders>
              <w:top w:val="single" w:sz="8" w:space="0" w:color="auto"/>
              <w:left w:val="nil"/>
              <w:bottom w:val="single" w:sz="8" w:space="0" w:color="auto"/>
              <w:right w:val="nil"/>
            </w:tcBorders>
            <w:noWrap/>
            <w:hideMark/>
          </w:tcPr>
          <w:p w14:paraId="5569F60F" w14:textId="77777777" w:rsidR="007E34FA" w:rsidRDefault="007E34FA">
            <w:pPr>
              <w:rPr>
                <w:sz w:val="18"/>
                <w:szCs w:val="18"/>
              </w:rPr>
            </w:pPr>
            <w:r>
              <w:rPr>
                <w:sz w:val="18"/>
                <w:szCs w:val="18"/>
              </w:rPr>
              <w:t>23.0%</w:t>
            </w:r>
          </w:p>
        </w:tc>
        <w:tc>
          <w:tcPr>
            <w:tcW w:w="335" w:type="pct"/>
            <w:tcBorders>
              <w:top w:val="single" w:sz="8" w:space="0" w:color="auto"/>
              <w:left w:val="nil"/>
              <w:bottom w:val="single" w:sz="8" w:space="0" w:color="auto"/>
              <w:right w:val="nil"/>
            </w:tcBorders>
            <w:noWrap/>
            <w:hideMark/>
          </w:tcPr>
          <w:p w14:paraId="5D117FC1" w14:textId="77777777" w:rsidR="007E34FA" w:rsidRDefault="007E34FA">
            <w:pPr>
              <w:rPr>
                <w:sz w:val="18"/>
                <w:szCs w:val="18"/>
              </w:rPr>
            </w:pPr>
            <w:r>
              <w:rPr>
                <w:sz w:val="18"/>
                <w:szCs w:val="18"/>
              </w:rPr>
              <w:t>24.1%</w:t>
            </w:r>
          </w:p>
        </w:tc>
        <w:tc>
          <w:tcPr>
            <w:tcW w:w="335" w:type="pct"/>
            <w:tcBorders>
              <w:top w:val="single" w:sz="8" w:space="0" w:color="auto"/>
              <w:left w:val="nil"/>
              <w:bottom w:val="single" w:sz="8" w:space="0" w:color="auto"/>
              <w:right w:val="nil"/>
            </w:tcBorders>
            <w:noWrap/>
            <w:hideMark/>
          </w:tcPr>
          <w:p w14:paraId="035EF4F2" w14:textId="77777777" w:rsidR="007E34FA" w:rsidRDefault="007E34FA">
            <w:pPr>
              <w:rPr>
                <w:sz w:val="18"/>
                <w:szCs w:val="18"/>
              </w:rPr>
            </w:pPr>
            <w:r>
              <w:rPr>
                <w:sz w:val="18"/>
                <w:szCs w:val="18"/>
              </w:rPr>
              <w:t>23.6%</w:t>
            </w:r>
          </w:p>
        </w:tc>
        <w:tc>
          <w:tcPr>
            <w:tcW w:w="335" w:type="pct"/>
            <w:tcBorders>
              <w:top w:val="single" w:sz="8" w:space="0" w:color="auto"/>
              <w:left w:val="nil"/>
              <w:bottom w:val="single" w:sz="8" w:space="0" w:color="auto"/>
              <w:right w:val="nil"/>
            </w:tcBorders>
            <w:noWrap/>
            <w:hideMark/>
          </w:tcPr>
          <w:p w14:paraId="6CE7959E" w14:textId="77777777" w:rsidR="007E34FA" w:rsidRDefault="007E34FA">
            <w:pPr>
              <w:rPr>
                <w:sz w:val="18"/>
                <w:szCs w:val="18"/>
              </w:rPr>
            </w:pPr>
            <w:r>
              <w:rPr>
                <w:sz w:val="18"/>
                <w:szCs w:val="18"/>
              </w:rPr>
              <w:t>20.8%</w:t>
            </w:r>
          </w:p>
        </w:tc>
        <w:tc>
          <w:tcPr>
            <w:tcW w:w="335" w:type="pct"/>
            <w:tcBorders>
              <w:top w:val="single" w:sz="8" w:space="0" w:color="auto"/>
              <w:left w:val="nil"/>
              <w:bottom w:val="single" w:sz="8" w:space="0" w:color="auto"/>
              <w:right w:val="nil"/>
            </w:tcBorders>
            <w:noWrap/>
            <w:hideMark/>
          </w:tcPr>
          <w:p w14:paraId="0B63C6F6" w14:textId="77777777" w:rsidR="007E34FA" w:rsidRDefault="007E34FA">
            <w:pPr>
              <w:rPr>
                <w:sz w:val="18"/>
                <w:szCs w:val="18"/>
              </w:rPr>
            </w:pPr>
            <w:r>
              <w:rPr>
                <w:sz w:val="18"/>
                <w:szCs w:val="18"/>
              </w:rPr>
              <w:t>20.2%</w:t>
            </w:r>
          </w:p>
        </w:tc>
        <w:tc>
          <w:tcPr>
            <w:tcW w:w="335" w:type="pct"/>
            <w:tcBorders>
              <w:top w:val="single" w:sz="8" w:space="0" w:color="auto"/>
              <w:left w:val="nil"/>
              <w:bottom w:val="single" w:sz="8" w:space="0" w:color="auto"/>
              <w:right w:val="nil"/>
            </w:tcBorders>
            <w:noWrap/>
            <w:hideMark/>
          </w:tcPr>
          <w:p w14:paraId="0DD488E3" w14:textId="77777777" w:rsidR="007E34FA" w:rsidRDefault="007E34FA">
            <w:pPr>
              <w:rPr>
                <w:sz w:val="18"/>
                <w:szCs w:val="18"/>
              </w:rPr>
            </w:pPr>
            <w:r>
              <w:rPr>
                <w:sz w:val="18"/>
                <w:szCs w:val="18"/>
              </w:rPr>
              <w:t>20.8%</w:t>
            </w:r>
          </w:p>
        </w:tc>
        <w:tc>
          <w:tcPr>
            <w:tcW w:w="335" w:type="pct"/>
            <w:tcBorders>
              <w:top w:val="single" w:sz="8" w:space="0" w:color="auto"/>
              <w:left w:val="nil"/>
              <w:bottom w:val="single" w:sz="8" w:space="0" w:color="auto"/>
              <w:right w:val="nil"/>
            </w:tcBorders>
            <w:noWrap/>
            <w:hideMark/>
          </w:tcPr>
          <w:p w14:paraId="2D9424D0" w14:textId="77777777" w:rsidR="007E34FA" w:rsidRDefault="007E34FA">
            <w:pPr>
              <w:rPr>
                <w:sz w:val="18"/>
                <w:szCs w:val="18"/>
              </w:rPr>
            </w:pPr>
            <w:r>
              <w:rPr>
                <w:sz w:val="18"/>
                <w:szCs w:val="18"/>
              </w:rPr>
              <w:t>20.2%</w:t>
            </w:r>
          </w:p>
        </w:tc>
        <w:tc>
          <w:tcPr>
            <w:tcW w:w="335" w:type="pct"/>
            <w:tcBorders>
              <w:top w:val="single" w:sz="8" w:space="0" w:color="auto"/>
              <w:left w:val="nil"/>
              <w:bottom w:val="single" w:sz="8" w:space="0" w:color="auto"/>
              <w:right w:val="nil"/>
            </w:tcBorders>
            <w:noWrap/>
            <w:hideMark/>
          </w:tcPr>
          <w:p w14:paraId="275509D1" w14:textId="77777777" w:rsidR="007E34FA" w:rsidRDefault="007E34FA">
            <w:pPr>
              <w:rPr>
                <w:sz w:val="18"/>
                <w:szCs w:val="18"/>
              </w:rPr>
            </w:pPr>
            <w:r>
              <w:rPr>
                <w:sz w:val="18"/>
                <w:szCs w:val="18"/>
              </w:rPr>
              <w:t>19.6%</w:t>
            </w:r>
          </w:p>
        </w:tc>
        <w:tc>
          <w:tcPr>
            <w:tcW w:w="335" w:type="pct"/>
            <w:tcBorders>
              <w:top w:val="single" w:sz="8" w:space="0" w:color="auto"/>
              <w:left w:val="nil"/>
              <w:bottom w:val="single" w:sz="8" w:space="0" w:color="auto"/>
              <w:right w:val="nil"/>
            </w:tcBorders>
            <w:noWrap/>
            <w:hideMark/>
          </w:tcPr>
          <w:p w14:paraId="046670FE" w14:textId="77777777" w:rsidR="007E34FA" w:rsidRDefault="007E34FA">
            <w:pPr>
              <w:rPr>
                <w:sz w:val="18"/>
                <w:szCs w:val="18"/>
              </w:rPr>
            </w:pPr>
            <w:r>
              <w:rPr>
                <w:sz w:val="18"/>
                <w:szCs w:val="18"/>
              </w:rPr>
              <w:t>19.4%</w:t>
            </w:r>
          </w:p>
        </w:tc>
        <w:tc>
          <w:tcPr>
            <w:tcW w:w="348" w:type="pct"/>
            <w:tcBorders>
              <w:top w:val="single" w:sz="8" w:space="0" w:color="auto"/>
              <w:left w:val="nil"/>
              <w:bottom w:val="single" w:sz="8" w:space="0" w:color="auto"/>
              <w:right w:val="nil"/>
            </w:tcBorders>
            <w:noWrap/>
            <w:hideMark/>
          </w:tcPr>
          <w:p w14:paraId="6909807C" w14:textId="77777777" w:rsidR="007E34FA" w:rsidRDefault="007E34FA">
            <w:pPr>
              <w:rPr>
                <w:sz w:val="18"/>
                <w:szCs w:val="18"/>
              </w:rPr>
            </w:pPr>
            <w:r>
              <w:rPr>
                <w:sz w:val="18"/>
                <w:szCs w:val="18"/>
              </w:rPr>
              <w:t>18.9%</w:t>
            </w:r>
          </w:p>
        </w:tc>
        <w:tc>
          <w:tcPr>
            <w:tcW w:w="493" w:type="pct"/>
            <w:tcBorders>
              <w:top w:val="single" w:sz="8" w:space="0" w:color="auto"/>
              <w:left w:val="nil"/>
              <w:bottom w:val="single" w:sz="8" w:space="0" w:color="auto"/>
              <w:right w:val="nil"/>
            </w:tcBorders>
            <w:hideMark/>
          </w:tcPr>
          <w:p w14:paraId="2C930870" w14:textId="77777777" w:rsidR="007E34FA" w:rsidRDefault="007E34FA">
            <w:pPr>
              <w:rPr>
                <w:rFonts w:ascii="Calibri" w:hAnsi="Calibri"/>
                <w:color w:val="000000"/>
                <w:sz w:val="18"/>
                <w:szCs w:val="18"/>
              </w:rPr>
            </w:pPr>
            <w:r>
              <w:rPr>
                <w:rFonts w:ascii="Calibri" w:hAnsi="Calibri"/>
                <w:color w:val="000000"/>
                <w:sz w:val="18"/>
                <w:szCs w:val="18"/>
              </w:rPr>
              <w:t>21.4%</w:t>
            </w:r>
          </w:p>
        </w:tc>
      </w:tr>
      <w:tr w:rsidR="007E34FA" w14:paraId="244F2C4D" w14:textId="77777777" w:rsidTr="007E34FA">
        <w:trPr>
          <w:trHeight w:val="300"/>
        </w:trPr>
        <w:tc>
          <w:tcPr>
            <w:tcW w:w="807" w:type="pct"/>
            <w:tcBorders>
              <w:top w:val="single" w:sz="8" w:space="0" w:color="auto"/>
              <w:left w:val="nil"/>
              <w:bottom w:val="single" w:sz="8" w:space="0" w:color="auto"/>
              <w:right w:val="nil"/>
            </w:tcBorders>
            <w:noWrap/>
            <w:hideMark/>
          </w:tcPr>
          <w:p w14:paraId="5DB7C0D2" w14:textId="77777777" w:rsidR="007E34FA" w:rsidRDefault="007E34FA">
            <w:pPr>
              <w:rPr>
                <w:sz w:val="18"/>
                <w:szCs w:val="18"/>
              </w:rPr>
            </w:pPr>
            <w:r>
              <w:rPr>
                <w:sz w:val="18"/>
                <w:szCs w:val="18"/>
              </w:rPr>
              <w:t>Single vessel PCI</w:t>
            </w:r>
          </w:p>
        </w:tc>
        <w:tc>
          <w:tcPr>
            <w:tcW w:w="335" w:type="pct"/>
            <w:tcBorders>
              <w:top w:val="single" w:sz="8" w:space="0" w:color="auto"/>
              <w:left w:val="nil"/>
              <w:bottom w:val="single" w:sz="8" w:space="0" w:color="auto"/>
              <w:right w:val="nil"/>
            </w:tcBorders>
            <w:noWrap/>
            <w:hideMark/>
          </w:tcPr>
          <w:p w14:paraId="6D6D132D" w14:textId="77777777" w:rsidR="007E34FA" w:rsidRDefault="007E34FA">
            <w:pPr>
              <w:rPr>
                <w:sz w:val="18"/>
                <w:szCs w:val="18"/>
              </w:rPr>
            </w:pPr>
            <w:r>
              <w:rPr>
                <w:sz w:val="18"/>
                <w:szCs w:val="18"/>
              </w:rPr>
              <w:t>82.1%</w:t>
            </w:r>
          </w:p>
        </w:tc>
        <w:tc>
          <w:tcPr>
            <w:tcW w:w="335" w:type="pct"/>
            <w:tcBorders>
              <w:top w:val="single" w:sz="8" w:space="0" w:color="auto"/>
              <w:left w:val="nil"/>
              <w:bottom w:val="single" w:sz="8" w:space="0" w:color="auto"/>
              <w:right w:val="nil"/>
            </w:tcBorders>
            <w:noWrap/>
            <w:hideMark/>
          </w:tcPr>
          <w:p w14:paraId="0C858BDA" w14:textId="77777777" w:rsidR="007E34FA" w:rsidRDefault="007E34FA">
            <w:pPr>
              <w:rPr>
                <w:sz w:val="18"/>
                <w:szCs w:val="18"/>
              </w:rPr>
            </w:pPr>
            <w:r>
              <w:rPr>
                <w:sz w:val="18"/>
                <w:szCs w:val="18"/>
              </w:rPr>
              <w:t>76.6%</w:t>
            </w:r>
          </w:p>
        </w:tc>
        <w:tc>
          <w:tcPr>
            <w:tcW w:w="335" w:type="pct"/>
            <w:tcBorders>
              <w:top w:val="single" w:sz="8" w:space="0" w:color="auto"/>
              <w:left w:val="nil"/>
              <w:bottom w:val="single" w:sz="8" w:space="0" w:color="auto"/>
              <w:right w:val="nil"/>
            </w:tcBorders>
            <w:noWrap/>
            <w:hideMark/>
          </w:tcPr>
          <w:p w14:paraId="7A52F040" w14:textId="77777777" w:rsidR="007E34FA" w:rsidRDefault="007E34FA">
            <w:pPr>
              <w:rPr>
                <w:sz w:val="18"/>
                <w:szCs w:val="18"/>
              </w:rPr>
            </w:pPr>
            <w:r>
              <w:rPr>
                <w:sz w:val="18"/>
                <w:szCs w:val="18"/>
              </w:rPr>
              <w:t>66.8%</w:t>
            </w:r>
          </w:p>
        </w:tc>
        <w:tc>
          <w:tcPr>
            <w:tcW w:w="335" w:type="pct"/>
            <w:tcBorders>
              <w:top w:val="single" w:sz="8" w:space="0" w:color="auto"/>
              <w:left w:val="nil"/>
              <w:bottom w:val="single" w:sz="8" w:space="0" w:color="auto"/>
              <w:right w:val="nil"/>
            </w:tcBorders>
            <w:noWrap/>
            <w:hideMark/>
          </w:tcPr>
          <w:p w14:paraId="5AD7C115" w14:textId="77777777" w:rsidR="007E34FA" w:rsidRDefault="007E34FA">
            <w:pPr>
              <w:rPr>
                <w:sz w:val="18"/>
                <w:szCs w:val="18"/>
              </w:rPr>
            </w:pPr>
            <w:r>
              <w:rPr>
                <w:sz w:val="18"/>
                <w:szCs w:val="18"/>
              </w:rPr>
              <w:t>67.5%</w:t>
            </w:r>
          </w:p>
        </w:tc>
        <w:tc>
          <w:tcPr>
            <w:tcW w:w="335" w:type="pct"/>
            <w:tcBorders>
              <w:top w:val="single" w:sz="8" w:space="0" w:color="auto"/>
              <w:left w:val="nil"/>
              <w:bottom w:val="single" w:sz="8" w:space="0" w:color="auto"/>
              <w:right w:val="nil"/>
            </w:tcBorders>
            <w:noWrap/>
            <w:hideMark/>
          </w:tcPr>
          <w:p w14:paraId="221729F5" w14:textId="77777777" w:rsidR="007E34FA" w:rsidRDefault="007E34FA">
            <w:pPr>
              <w:rPr>
                <w:sz w:val="18"/>
                <w:szCs w:val="18"/>
              </w:rPr>
            </w:pPr>
            <w:r>
              <w:rPr>
                <w:sz w:val="18"/>
                <w:szCs w:val="18"/>
              </w:rPr>
              <w:t>67.8%</w:t>
            </w:r>
          </w:p>
        </w:tc>
        <w:tc>
          <w:tcPr>
            <w:tcW w:w="335" w:type="pct"/>
            <w:tcBorders>
              <w:top w:val="single" w:sz="8" w:space="0" w:color="auto"/>
              <w:left w:val="nil"/>
              <w:bottom w:val="single" w:sz="8" w:space="0" w:color="auto"/>
              <w:right w:val="nil"/>
            </w:tcBorders>
            <w:noWrap/>
            <w:hideMark/>
          </w:tcPr>
          <w:p w14:paraId="6DB161FC" w14:textId="77777777" w:rsidR="007E34FA" w:rsidRDefault="007E34FA">
            <w:pPr>
              <w:rPr>
                <w:sz w:val="18"/>
                <w:szCs w:val="18"/>
              </w:rPr>
            </w:pPr>
            <w:r>
              <w:rPr>
                <w:sz w:val="18"/>
                <w:szCs w:val="18"/>
              </w:rPr>
              <w:t>72.8%</w:t>
            </w:r>
          </w:p>
        </w:tc>
        <w:tc>
          <w:tcPr>
            <w:tcW w:w="335" w:type="pct"/>
            <w:tcBorders>
              <w:top w:val="single" w:sz="8" w:space="0" w:color="auto"/>
              <w:left w:val="nil"/>
              <w:bottom w:val="single" w:sz="8" w:space="0" w:color="auto"/>
              <w:right w:val="nil"/>
            </w:tcBorders>
            <w:noWrap/>
            <w:hideMark/>
          </w:tcPr>
          <w:p w14:paraId="4908F369" w14:textId="77777777" w:rsidR="007E34FA" w:rsidRDefault="007E34FA">
            <w:pPr>
              <w:rPr>
                <w:sz w:val="18"/>
                <w:szCs w:val="18"/>
              </w:rPr>
            </w:pPr>
            <w:r>
              <w:rPr>
                <w:sz w:val="18"/>
                <w:szCs w:val="18"/>
              </w:rPr>
              <w:t>69.3%</w:t>
            </w:r>
          </w:p>
        </w:tc>
        <w:tc>
          <w:tcPr>
            <w:tcW w:w="335" w:type="pct"/>
            <w:tcBorders>
              <w:top w:val="single" w:sz="8" w:space="0" w:color="auto"/>
              <w:left w:val="nil"/>
              <w:bottom w:val="single" w:sz="8" w:space="0" w:color="auto"/>
              <w:right w:val="nil"/>
            </w:tcBorders>
            <w:noWrap/>
            <w:hideMark/>
          </w:tcPr>
          <w:p w14:paraId="776EEE84" w14:textId="77777777" w:rsidR="007E34FA" w:rsidRDefault="007E34FA">
            <w:pPr>
              <w:rPr>
                <w:sz w:val="18"/>
                <w:szCs w:val="18"/>
              </w:rPr>
            </w:pPr>
            <w:r>
              <w:rPr>
                <w:sz w:val="18"/>
                <w:szCs w:val="18"/>
              </w:rPr>
              <w:t>75.4%</w:t>
            </w:r>
          </w:p>
        </w:tc>
        <w:tc>
          <w:tcPr>
            <w:tcW w:w="335" w:type="pct"/>
            <w:tcBorders>
              <w:top w:val="single" w:sz="8" w:space="0" w:color="auto"/>
              <w:left w:val="nil"/>
              <w:bottom w:val="single" w:sz="8" w:space="0" w:color="auto"/>
              <w:right w:val="nil"/>
            </w:tcBorders>
            <w:noWrap/>
            <w:hideMark/>
          </w:tcPr>
          <w:p w14:paraId="75C122F4" w14:textId="77777777" w:rsidR="007E34FA" w:rsidRDefault="007E34FA">
            <w:pPr>
              <w:rPr>
                <w:sz w:val="18"/>
                <w:szCs w:val="18"/>
              </w:rPr>
            </w:pPr>
            <w:r>
              <w:rPr>
                <w:sz w:val="18"/>
                <w:szCs w:val="18"/>
              </w:rPr>
              <w:t>77.1%</w:t>
            </w:r>
          </w:p>
        </w:tc>
        <w:tc>
          <w:tcPr>
            <w:tcW w:w="335" w:type="pct"/>
            <w:tcBorders>
              <w:top w:val="single" w:sz="8" w:space="0" w:color="auto"/>
              <w:left w:val="nil"/>
              <w:bottom w:val="single" w:sz="8" w:space="0" w:color="auto"/>
              <w:right w:val="nil"/>
            </w:tcBorders>
            <w:noWrap/>
            <w:hideMark/>
          </w:tcPr>
          <w:p w14:paraId="0D66E527" w14:textId="77777777" w:rsidR="007E34FA" w:rsidRDefault="007E34FA">
            <w:pPr>
              <w:rPr>
                <w:sz w:val="18"/>
                <w:szCs w:val="18"/>
              </w:rPr>
            </w:pPr>
            <w:r>
              <w:rPr>
                <w:sz w:val="18"/>
                <w:szCs w:val="18"/>
              </w:rPr>
              <w:t>77.4%</w:t>
            </w:r>
          </w:p>
        </w:tc>
        <w:tc>
          <w:tcPr>
            <w:tcW w:w="348" w:type="pct"/>
            <w:tcBorders>
              <w:top w:val="single" w:sz="8" w:space="0" w:color="auto"/>
              <w:left w:val="nil"/>
              <w:bottom w:val="single" w:sz="8" w:space="0" w:color="auto"/>
              <w:right w:val="nil"/>
            </w:tcBorders>
            <w:noWrap/>
            <w:hideMark/>
          </w:tcPr>
          <w:p w14:paraId="3F71BC0B" w14:textId="77777777" w:rsidR="007E34FA" w:rsidRDefault="007E34FA">
            <w:pPr>
              <w:rPr>
                <w:sz w:val="18"/>
                <w:szCs w:val="18"/>
              </w:rPr>
            </w:pPr>
            <w:r>
              <w:rPr>
                <w:sz w:val="18"/>
                <w:szCs w:val="18"/>
              </w:rPr>
              <w:t>76.1%</w:t>
            </w:r>
          </w:p>
        </w:tc>
        <w:tc>
          <w:tcPr>
            <w:tcW w:w="493" w:type="pct"/>
            <w:tcBorders>
              <w:top w:val="single" w:sz="8" w:space="0" w:color="auto"/>
              <w:left w:val="nil"/>
              <w:bottom w:val="single" w:sz="8" w:space="0" w:color="auto"/>
              <w:right w:val="nil"/>
            </w:tcBorders>
            <w:hideMark/>
          </w:tcPr>
          <w:p w14:paraId="0947D8A7" w14:textId="77777777" w:rsidR="007E34FA" w:rsidRDefault="007E34FA">
            <w:pPr>
              <w:rPr>
                <w:rFonts w:ascii="Calibri" w:hAnsi="Calibri"/>
                <w:color w:val="000000"/>
                <w:sz w:val="18"/>
                <w:szCs w:val="18"/>
              </w:rPr>
            </w:pPr>
            <w:r>
              <w:rPr>
                <w:rFonts w:ascii="Calibri" w:hAnsi="Calibri"/>
                <w:color w:val="000000"/>
                <w:sz w:val="18"/>
                <w:szCs w:val="18"/>
              </w:rPr>
              <w:t>73.5%</w:t>
            </w:r>
          </w:p>
        </w:tc>
      </w:tr>
      <w:tr w:rsidR="007E34FA" w14:paraId="690A4F94" w14:textId="77777777" w:rsidTr="007E34FA">
        <w:trPr>
          <w:trHeight w:val="300"/>
        </w:trPr>
        <w:tc>
          <w:tcPr>
            <w:tcW w:w="807" w:type="pct"/>
            <w:tcBorders>
              <w:top w:val="single" w:sz="8" w:space="0" w:color="auto"/>
              <w:left w:val="nil"/>
              <w:bottom w:val="single" w:sz="8" w:space="0" w:color="auto"/>
              <w:right w:val="nil"/>
            </w:tcBorders>
            <w:noWrap/>
            <w:hideMark/>
          </w:tcPr>
          <w:p w14:paraId="0C635134" w14:textId="77777777" w:rsidR="007E34FA" w:rsidRDefault="007E34FA">
            <w:pPr>
              <w:rPr>
                <w:sz w:val="18"/>
                <w:szCs w:val="18"/>
              </w:rPr>
            </w:pPr>
            <w:r>
              <w:rPr>
                <w:sz w:val="18"/>
                <w:szCs w:val="18"/>
              </w:rPr>
              <w:t>Multi-vessel PCI</w:t>
            </w:r>
          </w:p>
        </w:tc>
        <w:tc>
          <w:tcPr>
            <w:tcW w:w="335" w:type="pct"/>
            <w:tcBorders>
              <w:top w:val="single" w:sz="8" w:space="0" w:color="auto"/>
              <w:left w:val="nil"/>
              <w:bottom w:val="single" w:sz="8" w:space="0" w:color="auto"/>
              <w:right w:val="nil"/>
            </w:tcBorders>
            <w:noWrap/>
            <w:hideMark/>
          </w:tcPr>
          <w:p w14:paraId="592EF974" w14:textId="77777777" w:rsidR="007E34FA" w:rsidRDefault="007E34FA">
            <w:pPr>
              <w:rPr>
                <w:sz w:val="18"/>
                <w:szCs w:val="18"/>
              </w:rPr>
            </w:pPr>
            <w:r>
              <w:rPr>
                <w:sz w:val="18"/>
                <w:szCs w:val="18"/>
              </w:rPr>
              <w:t>18.3%</w:t>
            </w:r>
          </w:p>
        </w:tc>
        <w:tc>
          <w:tcPr>
            <w:tcW w:w="335" w:type="pct"/>
            <w:tcBorders>
              <w:top w:val="single" w:sz="8" w:space="0" w:color="auto"/>
              <w:left w:val="nil"/>
              <w:bottom w:val="single" w:sz="8" w:space="0" w:color="auto"/>
              <w:right w:val="nil"/>
            </w:tcBorders>
            <w:noWrap/>
            <w:hideMark/>
          </w:tcPr>
          <w:p w14:paraId="7A24AE81" w14:textId="77777777" w:rsidR="007E34FA" w:rsidRDefault="007E34FA">
            <w:pPr>
              <w:rPr>
                <w:sz w:val="18"/>
                <w:szCs w:val="18"/>
              </w:rPr>
            </w:pPr>
            <w:r>
              <w:rPr>
                <w:sz w:val="18"/>
                <w:szCs w:val="18"/>
              </w:rPr>
              <w:t>19.2%</w:t>
            </w:r>
          </w:p>
        </w:tc>
        <w:tc>
          <w:tcPr>
            <w:tcW w:w="335" w:type="pct"/>
            <w:tcBorders>
              <w:top w:val="single" w:sz="8" w:space="0" w:color="auto"/>
              <w:left w:val="nil"/>
              <w:bottom w:val="single" w:sz="8" w:space="0" w:color="auto"/>
              <w:right w:val="nil"/>
            </w:tcBorders>
            <w:noWrap/>
            <w:hideMark/>
          </w:tcPr>
          <w:p w14:paraId="6C47831F" w14:textId="77777777" w:rsidR="007E34FA" w:rsidRDefault="007E34FA">
            <w:pPr>
              <w:rPr>
                <w:sz w:val="18"/>
                <w:szCs w:val="18"/>
              </w:rPr>
            </w:pPr>
            <w:r>
              <w:rPr>
                <w:sz w:val="18"/>
                <w:szCs w:val="18"/>
              </w:rPr>
              <w:t>18.6%</w:t>
            </w:r>
          </w:p>
        </w:tc>
        <w:tc>
          <w:tcPr>
            <w:tcW w:w="335" w:type="pct"/>
            <w:tcBorders>
              <w:top w:val="single" w:sz="8" w:space="0" w:color="auto"/>
              <w:left w:val="nil"/>
              <w:bottom w:val="single" w:sz="8" w:space="0" w:color="auto"/>
              <w:right w:val="nil"/>
            </w:tcBorders>
            <w:noWrap/>
            <w:hideMark/>
          </w:tcPr>
          <w:p w14:paraId="0E7E2AA2" w14:textId="77777777" w:rsidR="007E34FA" w:rsidRDefault="007E34FA">
            <w:pPr>
              <w:rPr>
                <w:sz w:val="18"/>
                <w:szCs w:val="18"/>
              </w:rPr>
            </w:pPr>
            <w:r>
              <w:rPr>
                <w:sz w:val="18"/>
                <w:szCs w:val="18"/>
              </w:rPr>
              <w:t>16.4%</w:t>
            </w:r>
          </w:p>
        </w:tc>
        <w:tc>
          <w:tcPr>
            <w:tcW w:w="335" w:type="pct"/>
            <w:tcBorders>
              <w:top w:val="single" w:sz="8" w:space="0" w:color="auto"/>
              <w:left w:val="nil"/>
              <w:bottom w:val="single" w:sz="8" w:space="0" w:color="auto"/>
              <w:right w:val="nil"/>
            </w:tcBorders>
            <w:noWrap/>
            <w:hideMark/>
          </w:tcPr>
          <w:p w14:paraId="193651C2" w14:textId="77777777" w:rsidR="007E34FA" w:rsidRDefault="007E34FA">
            <w:pPr>
              <w:rPr>
                <w:sz w:val="18"/>
                <w:szCs w:val="18"/>
              </w:rPr>
            </w:pPr>
            <w:r>
              <w:rPr>
                <w:sz w:val="18"/>
                <w:szCs w:val="18"/>
              </w:rPr>
              <w:t>17.7%</w:t>
            </w:r>
          </w:p>
        </w:tc>
        <w:tc>
          <w:tcPr>
            <w:tcW w:w="335" w:type="pct"/>
            <w:tcBorders>
              <w:top w:val="single" w:sz="8" w:space="0" w:color="auto"/>
              <w:left w:val="nil"/>
              <w:bottom w:val="single" w:sz="8" w:space="0" w:color="auto"/>
              <w:right w:val="nil"/>
            </w:tcBorders>
            <w:noWrap/>
            <w:hideMark/>
          </w:tcPr>
          <w:p w14:paraId="53EB4F33" w14:textId="77777777" w:rsidR="007E34FA" w:rsidRDefault="007E34FA">
            <w:pPr>
              <w:rPr>
                <w:sz w:val="18"/>
                <w:szCs w:val="18"/>
              </w:rPr>
            </w:pPr>
            <w:r>
              <w:rPr>
                <w:sz w:val="18"/>
                <w:szCs w:val="18"/>
              </w:rPr>
              <w:t>17.1%</w:t>
            </w:r>
          </w:p>
        </w:tc>
        <w:tc>
          <w:tcPr>
            <w:tcW w:w="335" w:type="pct"/>
            <w:tcBorders>
              <w:top w:val="single" w:sz="8" w:space="0" w:color="auto"/>
              <w:left w:val="nil"/>
              <w:bottom w:val="single" w:sz="8" w:space="0" w:color="auto"/>
              <w:right w:val="nil"/>
            </w:tcBorders>
            <w:noWrap/>
            <w:hideMark/>
          </w:tcPr>
          <w:p w14:paraId="054A3B8F" w14:textId="77777777" w:rsidR="007E34FA" w:rsidRDefault="007E34FA">
            <w:pPr>
              <w:rPr>
                <w:sz w:val="18"/>
                <w:szCs w:val="18"/>
              </w:rPr>
            </w:pPr>
            <w:r>
              <w:rPr>
                <w:sz w:val="18"/>
                <w:szCs w:val="18"/>
              </w:rPr>
              <w:t>16.1%</w:t>
            </w:r>
          </w:p>
        </w:tc>
        <w:tc>
          <w:tcPr>
            <w:tcW w:w="335" w:type="pct"/>
            <w:tcBorders>
              <w:top w:val="single" w:sz="8" w:space="0" w:color="auto"/>
              <w:left w:val="nil"/>
              <w:bottom w:val="single" w:sz="8" w:space="0" w:color="auto"/>
              <w:right w:val="nil"/>
            </w:tcBorders>
            <w:noWrap/>
            <w:hideMark/>
          </w:tcPr>
          <w:p w14:paraId="0BDBA33C" w14:textId="77777777" w:rsidR="007E34FA" w:rsidRDefault="007E34FA">
            <w:pPr>
              <w:rPr>
                <w:sz w:val="18"/>
                <w:szCs w:val="18"/>
              </w:rPr>
            </w:pPr>
            <w:r>
              <w:rPr>
                <w:sz w:val="18"/>
                <w:szCs w:val="18"/>
              </w:rPr>
              <w:t>17.8%</w:t>
            </w:r>
          </w:p>
        </w:tc>
        <w:tc>
          <w:tcPr>
            <w:tcW w:w="335" w:type="pct"/>
            <w:tcBorders>
              <w:top w:val="single" w:sz="8" w:space="0" w:color="auto"/>
              <w:left w:val="nil"/>
              <w:bottom w:val="single" w:sz="8" w:space="0" w:color="auto"/>
              <w:right w:val="nil"/>
            </w:tcBorders>
            <w:noWrap/>
            <w:hideMark/>
          </w:tcPr>
          <w:p w14:paraId="0411F6D0" w14:textId="77777777" w:rsidR="007E34FA" w:rsidRDefault="007E34FA">
            <w:pPr>
              <w:rPr>
                <w:sz w:val="18"/>
                <w:szCs w:val="18"/>
              </w:rPr>
            </w:pPr>
            <w:r>
              <w:rPr>
                <w:sz w:val="18"/>
                <w:szCs w:val="18"/>
              </w:rPr>
              <w:t>17.3%</w:t>
            </w:r>
          </w:p>
        </w:tc>
        <w:tc>
          <w:tcPr>
            <w:tcW w:w="335" w:type="pct"/>
            <w:tcBorders>
              <w:top w:val="single" w:sz="8" w:space="0" w:color="auto"/>
              <w:left w:val="nil"/>
              <w:bottom w:val="single" w:sz="8" w:space="0" w:color="auto"/>
              <w:right w:val="nil"/>
            </w:tcBorders>
            <w:noWrap/>
            <w:hideMark/>
          </w:tcPr>
          <w:p w14:paraId="40363E03" w14:textId="77777777" w:rsidR="007E34FA" w:rsidRDefault="007E34FA">
            <w:pPr>
              <w:rPr>
                <w:sz w:val="18"/>
                <w:szCs w:val="18"/>
              </w:rPr>
            </w:pPr>
            <w:r>
              <w:rPr>
                <w:sz w:val="18"/>
                <w:szCs w:val="18"/>
              </w:rPr>
              <w:t>17.5%</w:t>
            </w:r>
          </w:p>
        </w:tc>
        <w:tc>
          <w:tcPr>
            <w:tcW w:w="348" w:type="pct"/>
            <w:tcBorders>
              <w:top w:val="single" w:sz="8" w:space="0" w:color="auto"/>
              <w:left w:val="nil"/>
              <w:bottom w:val="single" w:sz="8" w:space="0" w:color="auto"/>
              <w:right w:val="nil"/>
            </w:tcBorders>
            <w:noWrap/>
            <w:hideMark/>
          </w:tcPr>
          <w:p w14:paraId="7BF5D89F" w14:textId="77777777" w:rsidR="007E34FA" w:rsidRDefault="007E34FA">
            <w:pPr>
              <w:rPr>
                <w:sz w:val="18"/>
                <w:szCs w:val="18"/>
              </w:rPr>
            </w:pPr>
            <w:r>
              <w:rPr>
                <w:sz w:val="18"/>
                <w:szCs w:val="18"/>
              </w:rPr>
              <w:t>18.4%</w:t>
            </w:r>
          </w:p>
        </w:tc>
        <w:tc>
          <w:tcPr>
            <w:tcW w:w="493" w:type="pct"/>
            <w:tcBorders>
              <w:top w:val="single" w:sz="8" w:space="0" w:color="auto"/>
              <w:left w:val="nil"/>
              <w:bottom w:val="single" w:sz="8" w:space="0" w:color="auto"/>
              <w:right w:val="nil"/>
            </w:tcBorders>
            <w:hideMark/>
          </w:tcPr>
          <w:p w14:paraId="21843C4E" w14:textId="77777777" w:rsidR="007E34FA" w:rsidRDefault="007E34FA">
            <w:pPr>
              <w:rPr>
                <w:rFonts w:ascii="Calibri" w:hAnsi="Calibri"/>
                <w:color w:val="000000"/>
                <w:sz w:val="18"/>
                <w:szCs w:val="18"/>
              </w:rPr>
            </w:pPr>
            <w:r>
              <w:rPr>
                <w:rFonts w:ascii="Calibri" w:hAnsi="Calibri"/>
                <w:color w:val="000000"/>
                <w:sz w:val="18"/>
                <w:szCs w:val="18"/>
              </w:rPr>
              <w:t>17.7%</w:t>
            </w:r>
          </w:p>
        </w:tc>
      </w:tr>
      <w:tr w:rsidR="007E34FA" w14:paraId="04199126" w14:textId="77777777" w:rsidTr="007E34FA">
        <w:trPr>
          <w:trHeight w:val="300"/>
        </w:trPr>
        <w:tc>
          <w:tcPr>
            <w:tcW w:w="807" w:type="pct"/>
            <w:tcBorders>
              <w:top w:val="single" w:sz="8" w:space="0" w:color="auto"/>
              <w:left w:val="nil"/>
              <w:bottom w:val="single" w:sz="8" w:space="0" w:color="auto"/>
              <w:right w:val="nil"/>
            </w:tcBorders>
            <w:noWrap/>
            <w:hideMark/>
          </w:tcPr>
          <w:p w14:paraId="4B9BD966" w14:textId="77777777" w:rsidR="007E34FA" w:rsidRDefault="007E34FA">
            <w:pPr>
              <w:rPr>
                <w:sz w:val="18"/>
                <w:szCs w:val="18"/>
              </w:rPr>
            </w:pPr>
            <w:r>
              <w:rPr>
                <w:sz w:val="18"/>
                <w:szCs w:val="18"/>
              </w:rPr>
              <w:t>Unknown vessel number</w:t>
            </w:r>
          </w:p>
        </w:tc>
        <w:tc>
          <w:tcPr>
            <w:tcW w:w="335" w:type="pct"/>
            <w:tcBorders>
              <w:top w:val="single" w:sz="8" w:space="0" w:color="auto"/>
              <w:left w:val="nil"/>
              <w:bottom w:val="single" w:sz="8" w:space="0" w:color="auto"/>
              <w:right w:val="nil"/>
            </w:tcBorders>
            <w:noWrap/>
            <w:hideMark/>
          </w:tcPr>
          <w:p w14:paraId="34F008D4" w14:textId="77777777" w:rsidR="007E34FA" w:rsidRDefault="007E34FA">
            <w:pPr>
              <w:rPr>
                <w:sz w:val="18"/>
                <w:szCs w:val="18"/>
              </w:rPr>
            </w:pPr>
            <w:r>
              <w:rPr>
                <w:sz w:val="18"/>
                <w:szCs w:val="18"/>
              </w:rPr>
              <w:t>0.4%</w:t>
            </w:r>
          </w:p>
        </w:tc>
        <w:tc>
          <w:tcPr>
            <w:tcW w:w="335" w:type="pct"/>
            <w:tcBorders>
              <w:top w:val="single" w:sz="8" w:space="0" w:color="auto"/>
              <w:left w:val="nil"/>
              <w:bottom w:val="single" w:sz="8" w:space="0" w:color="auto"/>
              <w:right w:val="nil"/>
            </w:tcBorders>
            <w:noWrap/>
            <w:hideMark/>
          </w:tcPr>
          <w:p w14:paraId="778F80A2" w14:textId="77777777" w:rsidR="007E34FA" w:rsidRDefault="007E34FA">
            <w:pPr>
              <w:rPr>
                <w:sz w:val="18"/>
                <w:szCs w:val="18"/>
              </w:rPr>
            </w:pPr>
            <w:r>
              <w:rPr>
                <w:sz w:val="18"/>
                <w:szCs w:val="18"/>
              </w:rPr>
              <w:t>3.8%</w:t>
            </w:r>
          </w:p>
        </w:tc>
        <w:tc>
          <w:tcPr>
            <w:tcW w:w="335" w:type="pct"/>
            <w:tcBorders>
              <w:top w:val="single" w:sz="8" w:space="0" w:color="auto"/>
              <w:left w:val="nil"/>
              <w:bottom w:val="single" w:sz="8" w:space="0" w:color="auto"/>
              <w:right w:val="nil"/>
            </w:tcBorders>
            <w:noWrap/>
            <w:hideMark/>
          </w:tcPr>
          <w:p w14:paraId="5746BBF7" w14:textId="77777777" w:rsidR="007E34FA" w:rsidRDefault="007E34FA">
            <w:pPr>
              <w:rPr>
                <w:sz w:val="18"/>
                <w:szCs w:val="18"/>
              </w:rPr>
            </w:pPr>
            <w:r>
              <w:rPr>
                <w:sz w:val="18"/>
                <w:szCs w:val="18"/>
              </w:rPr>
              <w:t>12.9%</w:t>
            </w:r>
          </w:p>
        </w:tc>
        <w:tc>
          <w:tcPr>
            <w:tcW w:w="335" w:type="pct"/>
            <w:tcBorders>
              <w:top w:val="single" w:sz="8" w:space="0" w:color="auto"/>
              <w:left w:val="nil"/>
              <w:bottom w:val="single" w:sz="8" w:space="0" w:color="auto"/>
              <w:right w:val="nil"/>
            </w:tcBorders>
            <w:noWrap/>
            <w:hideMark/>
          </w:tcPr>
          <w:p w14:paraId="4FA5C8F9" w14:textId="77777777" w:rsidR="007E34FA" w:rsidRDefault="007E34FA">
            <w:pPr>
              <w:rPr>
                <w:sz w:val="18"/>
                <w:szCs w:val="18"/>
              </w:rPr>
            </w:pPr>
            <w:r>
              <w:rPr>
                <w:sz w:val="18"/>
                <w:szCs w:val="18"/>
              </w:rPr>
              <w:t>14.0%</w:t>
            </w:r>
          </w:p>
        </w:tc>
        <w:tc>
          <w:tcPr>
            <w:tcW w:w="335" w:type="pct"/>
            <w:tcBorders>
              <w:top w:val="single" w:sz="8" w:space="0" w:color="auto"/>
              <w:left w:val="nil"/>
              <w:bottom w:val="single" w:sz="8" w:space="0" w:color="auto"/>
              <w:right w:val="nil"/>
            </w:tcBorders>
            <w:noWrap/>
            <w:hideMark/>
          </w:tcPr>
          <w:p w14:paraId="261BD4EC" w14:textId="77777777" w:rsidR="007E34FA" w:rsidRDefault="007E34FA">
            <w:pPr>
              <w:rPr>
                <w:sz w:val="18"/>
                <w:szCs w:val="18"/>
              </w:rPr>
            </w:pPr>
            <w:r>
              <w:rPr>
                <w:sz w:val="18"/>
                <w:szCs w:val="18"/>
              </w:rPr>
              <w:t>13.3%</w:t>
            </w:r>
          </w:p>
        </w:tc>
        <w:tc>
          <w:tcPr>
            <w:tcW w:w="335" w:type="pct"/>
            <w:tcBorders>
              <w:top w:val="single" w:sz="8" w:space="0" w:color="auto"/>
              <w:left w:val="nil"/>
              <w:bottom w:val="single" w:sz="8" w:space="0" w:color="auto"/>
              <w:right w:val="nil"/>
            </w:tcBorders>
            <w:noWrap/>
            <w:hideMark/>
          </w:tcPr>
          <w:p w14:paraId="14C41AC2" w14:textId="77777777" w:rsidR="007E34FA" w:rsidRDefault="007E34FA">
            <w:pPr>
              <w:rPr>
                <w:sz w:val="18"/>
                <w:szCs w:val="18"/>
              </w:rPr>
            </w:pPr>
            <w:r>
              <w:rPr>
                <w:sz w:val="18"/>
                <w:szCs w:val="18"/>
              </w:rPr>
              <w:t>7.9%</w:t>
            </w:r>
          </w:p>
        </w:tc>
        <w:tc>
          <w:tcPr>
            <w:tcW w:w="335" w:type="pct"/>
            <w:tcBorders>
              <w:top w:val="single" w:sz="8" w:space="0" w:color="auto"/>
              <w:left w:val="nil"/>
              <w:bottom w:val="single" w:sz="8" w:space="0" w:color="auto"/>
              <w:right w:val="nil"/>
            </w:tcBorders>
            <w:noWrap/>
            <w:hideMark/>
          </w:tcPr>
          <w:p w14:paraId="424340B8" w14:textId="77777777" w:rsidR="007E34FA" w:rsidRDefault="007E34FA">
            <w:pPr>
              <w:rPr>
                <w:sz w:val="18"/>
                <w:szCs w:val="18"/>
              </w:rPr>
            </w:pPr>
            <w:r>
              <w:rPr>
                <w:sz w:val="18"/>
                <w:szCs w:val="18"/>
              </w:rPr>
              <w:t>15.2%</w:t>
            </w:r>
          </w:p>
        </w:tc>
        <w:tc>
          <w:tcPr>
            <w:tcW w:w="335" w:type="pct"/>
            <w:tcBorders>
              <w:top w:val="single" w:sz="8" w:space="0" w:color="auto"/>
              <w:left w:val="nil"/>
              <w:bottom w:val="single" w:sz="8" w:space="0" w:color="auto"/>
              <w:right w:val="nil"/>
            </w:tcBorders>
            <w:noWrap/>
            <w:hideMark/>
          </w:tcPr>
          <w:p w14:paraId="2916AE2F" w14:textId="77777777" w:rsidR="007E34FA" w:rsidRDefault="007E34FA">
            <w:pPr>
              <w:rPr>
                <w:sz w:val="18"/>
                <w:szCs w:val="18"/>
              </w:rPr>
            </w:pPr>
            <w:r>
              <w:rPr>
                <w:sz w:val="18"/>
                <w:szCs w:val="18"/>
              </w:rPr>
              <w:t>6.5%</w:t>
            </w:r>
          </w:p>
        </w:tc>
        <w:tc>
          <w:tcPr>
            <w:tcW w:w="335" w:type="pct"/>
            <w:tcBorders>
              <w:top w:val="single" w:sz="8" w:space="0" w:color="auto"/>
              <w:left w:val="nil"/>
              <w:bottom w:val="single" w:sz="8" w:space="0" w:color="auto"/>
              <w:right w:val="nil"/>
            </w:tcBorders>
            <w:noWrap/>
            <w:hideMark/>
          </w:tcPr>
          <w:p w14:paraId="662504A8" w14:textId="77777777" w:rsidR="007E34FA" w:rsidRDefault="007E34FA">
            <w:pPr>
              <w:rPr>
                <w:sz w:val="18"/>
                <w:szCs w:val="18"/>
              </w:rPr>
            </w:pPr>
            <w:r>
              <w:rPr>
                <w:sz w:val="18"/>
                <w:szCs w:val="18"/>
              </w:rPr>
              <w:t>6.1%</w:t>
            </w:r>
          </w:p>
        </w:tc>
        <w:tc>
          <w:tcPr>
            <w:tcW w:w="335" w:type="pct"/>
            <w:tcBorders>
              <w:top w:val="single" w:sz="8" w:space="0" w:color="auto"/>
              <w:left w:val="nil"/>
              <w:bottom w:val="single" w:sz="8" w:space="0" w:color="auto"/>
              <w:right w:val="nil"/>
            </w:tcBorders>
            <w:noWrap/>
            <w:hideMark/>
          </w:tcPr>
          <w:p w14:paraId="35309B17" w14:textId="77777777" w:rsidR="007E34FA" w:rsidRDefault="007E34FA">
            <w:pPr>
              <w:rPr>
                <w:sz w:val="18"/>
                <w:szCs w:val="18"/>
              </w:rPr>
            </w:pPr>
            <w:r>
              <w:rPr>
                <w:sz w:val="18"/>
                <w:szCs w:val="18"/>
              </w:rPr>
              <w:t>5.5%</w:t>
            </w:r>
          </w:p>
        </w:tc>
        <w:tc>
          <w:tcPr>
            <w:tcW w:w="348" w:type="pct"/>
            <w:tcBorders>
              <w:top w:val="single" w:sz="8" w:space="0" w:color="auto"/>
              <w:left w:val="nil"/>
              <w:bottom w:val="single" w:sz="8" w:space="0" w:color="auto"/>
              <w:right w:val="nil"/>
            </w:tcBorders>
            <w:noWrap/>
            <w:hideMark/>
          </w:tcPr>
          <w:p w14:paraId="24BA9713" w14:textId="77777777" w:rsidR="007E34FA" w:rsidRDefault="007E34FA">
            <w:pPr>
              <w:rPr>
                <w:sz w:val="18"/>
                <w:szCs w:val="18"/>
              </w:rPr>
            </w:pPr>
            <w:r>
              <w:rPr>
                <w:sz w:val="18"/>
                <w:szCs w:val="18"/>
              </w:rPr>
              <w:t>5.7%</w:t>
            </w:r>
          </w:p>
        </w:tc>
        <w:tc>
          <w:tcPr>
            <w:tcW w:w="493" w:type="pct"/>
            <w:tcBorders>
              <w:top w:val="single" w:sz="8" w:space="0" w:color="auto"/>
              <w:left w:val="nil"/>
              <w:bottom w:val="single" w:sz="8" w:space="0" w:color="auto"/>
              <w:right w:val="nil"/>
            </w:tcBorders>
            <w:hideMark/>
          </w:tcPr>
          <w:p w14:paraId="254285F3" w14:textId="77777777" w:rsidR="007E34FA" w:rsidRDefault="007E34FA">
            <w:pPr>
              <w:rPr>
                <w:rFonts w:ascii="Calibri" w:hAnsi="Calibri"/>
                <w:color w:val="000000"/>
                <w:sz w:val="18"/>
                <w:szCs w:val="18"/>
              </w:rPr>
            </w:pPr>
            <w:r>
              <w:rPr>
                <w:rFonts w:ascii="Calibri" w:hAnsi="Calibri"/>
                <w:color w:val="000000"/>
                <w:sz w:val="18"/>
                <w:szCs w:val="18"/>
              </w:rPr>
              <w:t>8.3%</w:t>
            </w:r>
          </w:p>
        </w:tc>
      </w:tr>
      <w:tr w:rsidR="007E34FA" w14:paraId="6A50E9B3" w14:textId="77777777" w:rsidTr="007E34FA">
        <w:trPr>
          <w:trHeight w:val="300"/>
        </w:trPr>
        <w:tc>
          <w:tcPr>
            <w:tcW w:w="807" w:type="pct"/>
            <w:tcBorders>
              <w:top w:val="single" w:sz="8" w:space="0" w:color="auto"/>
              <w:left w:val="nil"/>
              <w:bottom w:val="single" w:sz="8" w:space="0" w:color="auto"/>
              <w:right w:val="nil"/>
            </w:tcBorders>
            <w:noWrap/>
            <w:hideMark/>
          </w:tcPr>
          <w:p w14:paraId="63E2186C" w14:textId="77777777" w:rsidR="007E34FA" w:rsidRDefault="007E34FA">
            <w:pPr>
              <w:rPr>
                <w:sz w:val="18"/>
                <w:szCs w:val="18"/>
              </w:rPr>
            </w:pPr>
            <w:r>
              <w:rPr>
                <w:sz w:val="18"/>
                <w:szCs w:val="18"/>
              </w:rPr>
              <w:t>Bifurcation stenting</w:t>
            </w:r>
          </w:p>
        </w:tc>
        <w:tc>
          <w:tcPr>
            <w:tcW w:w="335" w:type="pct"/>
            <w:tcBorders>
              <w:top w:val="single" w:sz="8" w:space="0" w:color="auto"/>
              <w:left w:val="nil"/>
              <w:bottom w:val="single" w:sz="8" w:space="0" w:color="auto"/>
              <w:right w:val="nil"/>
            </w:tcBorders>
            <w:noWrap/>
            <w:hideMark/>
          </w:tcPr>
          <w:p w14:paraId="73CFDB38" w14:textId="77777777" w:rsidR="007E34FA" w:rsidRDefault="007E34FA">
            <w:pPr>
              <w:rPr>
                <w:sz w:val="18"/>
                <w:szCs w:val="18"/>
              </w:rPr>
            </w:pPr>
            <w:r>
              <w:rPr>
                <w:sz w:val="18"/>
                <w:szCs w:val="18"/>
              </w:rPr>
              <w:t>No Data</w:t>
            </w:r>
          </w:p>
        </w:tc>
        <w:tc>
          <w:tcPr>
            <w:tcW w:w="335" w:type="pct"/>
            <w:tcBorders>
              <w:top w:val="single" w:sz="8" w:space="0" w:color="auto"/>
              <w:left w:val="nil"/>
              <w:bottom w:val="single" w:sz="8" w:space="0" w:color="auto"/>
              <w:right w:val="nil"/>
            </w:tcBorders>
            <w:noWrap/>
            <w:hideMark/>
          </w:tcPr>
          <w:p w14:paraId="0819FA71" w14:textId="77777777" w:rsidR="007E34FA" w:rsidRDefault="007E34FA">
            <w:pPr>
              <w:rPr>
                <w:sz w:val="18"/>
                <w:szCs w:val="18"/>
              </w:rPr>
            </w:pPr>
            <w:r>
              <w:rPr>
                <w:sz w:val="18"/>
                <w:szCs w:val="18"/>
              </w:rPr>
              <w:t>No Data</w:t>
            </w:r>
          </w:p>
        </w:tc>
        <w:tc>
          <w:tcPr>
            <w:tcW w:w="335" w:type="pct"/>
            <w:tcBorders>
              <w:top w:val="single" w:sz="8" w:space="0" w:color="auto"/>
              <w:left w:val="nil"/>
              <w:bottom w:val="single" w:sz="8" w:space="0" w:color="auto"/>
              <w:right w:val="nil"/>
            </w:tcBorders>
            <w:noWrap/>
            <w:hideMark/>
          </w:tcPr>
          <w:p w14:paraId="67A987B5" w14:textId="77777777" w:rsidR="007E34FA" w:rsidRDefault="007E34FA">
            <w:pPr>
              <w:rPr>
                <w:sz w:val="18"/>
                <w:szCs w:val="18"/>
              </w:rPr>
            </w:pPr>
            <w:r>
              <w:rPr>
                <w:sz w:val="18"/>
                <w:szCs w:val="18"/>
              </w:rPr>
              <w:t xml:space="preserve"> 0.4%</w:t>
            </w:r>
          </w:p>
        </w:tc>
        <w:tc>
          <w:tcPr>
            <w:tcW w:w="335" w:type="pct"/>
            <w:tcBorders>
              <w:top w:val="single" w:sz="8" w:space="0" w:color="auto"/>
              <w:left w:val="nil"/>
              <w:bottom w:val="single" w:sz="8" w:space="0" w:color="auto"/>
              <w:right w:val="nil"/>
            </w:tcBorders>
            <w:noWrap/>
            <w:hideMark/>
          </w:tcPr>
          <w:p w14:paraId="6DC80F9B" w14:textId="77777777" w:rsidR="007E34FA" w:rsidRDefault="007E34FA">
            <w:pPr>
              <w:rPr>
                <w:sz w:val="18"/>
                <w:szCs w:val="18"/>
              </w:rPr>
            </w:pPr>
            <w:r>
              <w:rPr>
                <w:sz w:val="18"/>
                <w:szCs w:val="18"/>
              </w:rPr>
              <w:t>1.7%</w:t>
            </w:r>
          </w:p>
        </w:tc>
        <w:tc>
          <w:tcPr>
            <w:tcW w:w="335" w:type="pct"/>
            <w:tcBorders>
              <w:top w:val="single" w:sz="8" w:space="0" w:color="auto"/>
              <w:left w:val="nil"/>
              <w:bottom w:val="single" w:sz="8" w:space="0" w:color="auto"/>
              <w:right w:val="nil"/>
            </w:tcBorders>
            <w:noWrap/>
            <w:hideMark/>
          </w:tcPr>
          <w:p w14:paraId="2F0B99E2" w14:textId="77777777" w:rsidR="007E34FA" w:rsidRDefault="007E34FA">
            <w:pPr>
              <w:rPr>
                <w:sz w:val="18"/>
                <w:szCs w:val="18"/>
              </w:rPr>
            </w:pPr>
            <w:r>
              <w:rPr>
                <w:sz w:val="18"/>
                <w:szCs w:val="18"/>
              </w:rPr>
              <w:t>2.3%</w:t>
            </w:r>
          </w:p>
        </w:tc>
        <w:tc>
          <w:tcPr>
            <w:tcW w:w="335" w:type="pct"/>
            <w:tcBorders>
              <w:top w:val="single" w:sz="8" w:space="0" w:color="auto"/>
              <w:left w:val="nil"/>
              <w:bottom w:val="single" w:sz="8" w:space="0" w:color="auto"/>
              <w:right w:val="nil"/>
            </w:tcBorders>
            <w:noWrap/>
            <w:hideMark/>
          </w:tcPr>
          <w:p w14:paraId="6B1B2E38" w14:textId="77777777" w:rsidR="007E34FA" w:rsidRDefault="007E34FA">
            <w:pPr>
              <w:rPr>
                <w:sz w:val="18"/>
                <w:szCs w:val="18"/>
              </w:rPr>
            </w:pPr>
            <w:r>
              <w:rPr>
                <w:sz w:val="18"/>
                <w:szCs w:val="18"/>
              </w:rPr>
              <w:t>2.9%</w:t>
            </w:r>
          </w:p>
        </w:tc>
        <w:tc>
          <w:tcPr>
            <w:tcW w:w="335" w:type="pct"/>
            <w:tcBorders>
              <w:top w:val="single" w:sz="8" w:space="0" w:color="auto"/>
              <w:left w:val="nil"/>
              <w:bottom w:val="single" w:sz="8" w:space="0" w:color="auto"/>
              <w:right w:val="nil"/>
            </w:tcBorders>
            <w:noWrap/>
            <w:hideMark/>
          </w:tcPr>
          <w:p w14:paraId="0CC90040" w14:textId="77777777" w:rsidR="007E34FA" w:rsidRDefault="007E34FA">
            <w:pPr>
              <w:rPr>
                <w:sz w:val="18"/>
                <w:szCs w:val="18"/>
              </w:rPr>
            </w:pPr>
            <w:r>
              <w:rPr>
                <w:sz w:val="18"/>
                <w:szCs w:val="18"/>
              </w:rPr>
              <w:t>2.5%</w:t>
            </w:r>
          </w:p>
        </w:tc>
        <w:tc>
          <w:tcPr>
            <w:tcW w:w="335" w:type="pct"/>
            <w:tcBorders>
              <w:top w:val="single" w:sz="8" w:space="0" w:color="auto"/>
              <w:left w:val="nil"/>
              <w:bottom w:val="single" w:sz="8" w:space="0" w:color="auto"/>
              <w:right w:val="nil"/>
            </w:tcBorders>
            <w:noWrap/>
            <w:hideMark/>
          </w:tcPr>
          <w:p w14:paraId="161B4BED" w14:textId="77777777" w:rsidR="007E34FA" w:rsidRDefault="007E34FA">
            <w:pPr>
              <w:rPr>
                <w:sz w:val="18"/>
                <w:szCs w:val="18"/>
              </w:rPr>
            </w:pPr>
            <w:r>
              <w:rPr>
                <w:sz w:val="18"/>
                <w:szCs w:val="18"/>
              </w:rPr>
              <w:t>2.5%</w:t>
            </w:r>
          </w:p>
        </w:tc>
        <w:tc>
          <w:tcPr>
            <w:tcW w:w="335" w:type="pct"/>
            <w:tcBorders>
              <w:top w:val="single" w:sz="8" w:space="0" w:color="auto"/>
              <w:left w:val="nil"/>
              <w:bottom w:val="single" w:sz="8" w:space="0" w:color="auto"/>
              <w:right w:val="nil"/>
            </w:tcBorders>
            <w:noWrap/>
            <w:hideMark/>
          </w:tcPr>
          <w:p w14:paraId="303C912D" w14:textId="77777777" w:rsidR="007E34FA" w:rsidRDefault="007E34FA">
            <w:pPr>
              <w:rPr>
                <w:sz w:val="18"/>
                <w:szCs w:val="18"/>
              </w:rPr>
            </w:pPr>
            <w:r>
              <w:rPr>
                <w:sz w:val="18"/>
                <w:szCs w:val="18"/>
              </w:rPr>
              <w:t>2.6%</w:t>
            </w:r>
          </w:p>
        </w:tc>
        <w:tc>
          <w:tcPr>
            <w:tcW w:w="335" w:type="pct"/>
            <w:tcBorders>
              <w:top w:val="single" w:sz="8" w:space="0" w:color="auto"/>
              <w:left w:val="nil"/>
              <w:bottom w:val="single" w:sz="8" w:space="0" w:color="auto"/>
              <w:right w:val="nil"/>
            </w:tcBorders>
            <w:noWrap/>
            <w:hideMark/>
          </w:tcPr>
          <w:p w14:paraId="1E9A292A" w14:textId="77777777" w:rsidR="007E34FA" w:rsidRDefault="007E34FA">
            <w:pPr>
              <w:rPr>
                <w:sz w:val="18"/>
                <w:szCs w:val="18"/>
              </w:rPr>
            </w:pPr>
            <w:r>
              <w:rPr>
                <w:sz w:val="18"/>
                <w:szCs w:val="18"/>
              </w:rPr>
              <w:t>2.8%</w:t>
            </w:r>
          </w:p>
        </w:tc>
        <w:tc>
          <w:tcPr>
            <w:tcW w:w="348" w:type="pct"/>
            <w:tcBorders>
              <w:top w:val="single" w:sz="8" w:space="0" w:color="auto"/>
              <w:left w:val="nil"/>
              <w:bottom w:val="single" w:sz="8" w:space="0" w:color="auto"/>
              <w:right w:val="nil"/>
            </w:tcBorders>
            <w:noWrap/>
            <w:hideMark/>
          </w:tcPr>
          <w:p w14:paraId="1B2A047B" w14:textId="77777777" w:rsidR="007E34FA" w:rsidRDefault="007E34FA">
            <w:pPr>
              <w:rPr>
                <w:sz w:val="18"/>
                <w:szCs w:val="18"/>
              </w:rPr>
            </w:pPr>
            <w:r>
              <w:rPr>
                <w:sz w:val="18"/>
                <w:szCs w:val="18"/>
              </w:rPr>
              <w:t>2.7%</w:t>
            </w:r>
          </w:p>
        </w:tc>
        <w:tc>
          <w:tcPr>
            <w:tcW w:w="493" w:type="pct"/>
            <w:tcBorders>
              <w:top w:val="single" w:sz="8" w:space="0" w:color="auto"/>
              <w:left w:val="nil"/>
              <w:bottom w:val="single" w:sz="8" w:space="0" w:color="auto"/>
              <w:right w:val="nil"/>
            </w:tcBorders>
            <w:hideMark/>
          </w:tcPr>
          <w:p w14:paraId="35FA9C74" w14:textId="77777777" w:rsidR="007E34FA" w:rsidRDefault="007E34FA">
            <w:pPr>
              <w:rPr>
                <w:rFonts w:ascii="Calibri" w:hAnsi="Calibri"/>
                <w:color w:val="000000"/>
                <w:sz w:val="18"/>
                <w:szCs w:val="18"/>
              </w:rPr>
            </w:pPr>
            <w:r>
              <w:rPr>
                <w:rFonts w:ascii="Calibri" w:hAnsi="Calibri"/>
                <w:color w:val="000000"/>
                <w:sz w:val="18"/>
                <w:szCs w:val="18"/>
              </w:rPr>
              <w:t>2.3%</w:t>
            </w:r>
          </w:p>
        </w:tc>
      </w:tr>
      <w:tr w:rsidR="007E34FA" w14:paraId="63A70816" w14:textId="77777777" w:rsidTr="007E34FA">
        <w:trPr>
          <w:trHeight w:val="300"/>
        </w:trPr>
        <w:tc>
          <w:tcPr>
            <w:tcW w:w="807" w:type="pct"/>
            <w:tcBorders>
              <w:top w:val="single" w:sz="8" w:space="0" w:color="auto"/>
              <w:left w:val="nil"/>
              <w:bottom w:val="single" w:sz="8" w:space="0" w:color="auto"/>
              <w:right w:val="nil"/>
            </w:tcBorders>
            <w:noWrap/>
            <w:hideMark/>
          </w:tcPr>
          <w:p w14:paraId="3D2276E2" w14:textId="77777777" w:rsidR="007E34FA" w:rsidRDefault="007E34FA">
            <w:pPr>
              <w:rPr>
                <w:sz w:val="18"/>
                <w:szCs w:val="18"/>
              </w:rPr>
            </w:pPr>
            <w:r>
              <w:rPr>
                <w:sz w:val="18"/>
                <w:szCs w:val="18"/>
              </w:rPr>
              <w:lastRenderedPageBreak/>
              <w:t>Use of assist devise or intra-aortic balloon pump</w:t>
            </w:r>
          </w:p>
        </w:tc>
        <w:tc>
          <w:tcPr>
            <w:tcW w:w="335" w:type="pct"/>
            <w:tcBorders>
              <w:top w:val="single" w:sz="8" w:space="0" w:color="auto"/>
              <w:left w:val="nil"/>
              <w:bottom w:val="single" w:sz="8" w:space="0" w:color="auto"/>
              <w:right w:val="nil"/>
            </w:tcBorders>
            <w:noWrap/>
            <w:hideMark/>
          </w:tcPr>
          <w:p w14:paraId="6E37836E" w14:textId="77777777" w:rsidR="007E34FA" w:rsidRDefault="007E34FA">
            <w:pPr>
              <w:rPr>
                <w:sz w:val="18"/>
                <w:szCs w:val="18"/>
              </w:rPr>
            </w:pPr>
            <w:r>
              <w:rPr>
                <w:sz w:val="18"/>
                <w:szCs w:val="18"/>
              </w:rPr>
              <w:t>2.6%</w:t>
            </w:r>
          </w:p>
        </w:tc>
        <w:tc>
          <w:tcPr>
            <w:tcW w:w="335" w:type="pct"/>
            <w:tcBorders>
              <w:top w:val="single" w:sz="8" w:space="0" w:color="auto"/>
              <w:left w:val="nil"/>
              <w:bottom w:val="single" w:sz="8" w:space="0" w:color="auto"/>
              <w:right w:val="nil"/>
            </w:tcBorders>
            <w:noWrap/>
            <w:hideMark/>
          </w:tcPr>
          <w:p w14:paraId="62BA102A" w14:textId="77777777" w:rsidR="007E34FA" w:rsidRDefault="007E34FA">
            <w:pPr>
              <w:rPr>
                <w:sz w:val="18"/>
                <w:szCs w:val="18"/>
              </w:rPr>
            </w:pPr>
            <w:r>
              <w:rPr>
                <w:sz w:val="18"/>
                <w:szCs w:val="18"/>
              </w:rPr>
              <w:t>2.5%</w:t>
            </w:r>
          </w:p>
        </w:tc>
        <w:tc>
          <w:tcPr>
            <w:tcW w:w="335" w:type="pct"/>
            <w:tcBorders>
              <w:top w:val="single" w:sz="8" w:space="0" w:color="auto"/>
              <w:left w:val="nil"/>
              <w:bottom w:val="single" w:sz="8" w:space="0" w:color="auto"/>
              <w:right w:val="nil"/>
            </w:tcBorders>
            <w:noWrap/>
            <w:hideMark/>
          </w:tcPr>
          <w:p w14:paraId="170B092E" w14:textId="77777777" w:rsidR="007E34FA" w:rsidRDefault="007E34FA">
            <w:pPr>
              <w:rPr>
                <w:sz w:val="18"/>
                <w:szCs w:val="18"/>
              </w:rPr>
            </w:pPr>
            <w:r>
              <w:rPr>
                <w:sz w:val="18"/>
                <w:szCs w:val="18"/>
              </w:rPr>
              <w:t>2.5%</w:t>
            </w:r>
          </w:p>
        </w:tc>
        <w:tc>
          <w:tcPr>
            <w:tcW w:w="335" w:type="pct"/>
            <w:tcBorders>
              <w:top w:val="single" w:sz="8" w:space="0" w:color="auto"/>
              <w:left w:val="nil"/>
              <w:bottom w:val="single" w:sz="8" w:space="0" w:color="auto"/>
              <w:right w:val="nil"/>
            </w:tcBorders>
            <w:noWrap/>
            <w:hideMark/>
          </w:tcPr>
          <w:p w14:paraId="1D6BEF19" w14:textId="77777777" w:rsidR="007E34FA" w:rsidRDefault="007E34FA">
            <w:pPr>
              <w:rPr>
                <w:sz w:val="18"/>
                <w:szCs w:val="18"/>
              </w:rPr>
            </w:pPr>
            <w:r>
              <w:rPr>
                <w:sz w:val="18"/>
                <w:szCs w:val="18"/>
              </w:rPr>
              <w:t>2.8%</w:t>
            </w:r>
          </w:p>
        </w:tc>
        <w:tc>
          <w:tcPr>
            <w:tcW w:w="335" w:type="pct"/>
            <w:tcBorders>
              <w:top w:val="single" w:sz="8" w:space="0" w:color="auto"/>
              <w:left w:val="nil"/>
              <w:bottom w:val="single" w:sz="8" w:space="0" w:color="auto"/>
              <w:right w:val="nil"/>
            </w:tcBorders>
            <w:noWrap/>
            <w:hideMark/>
          </w:tcPr>
          <w:p w14:paraId="50C04D33" w14:textId="77777777" w:rsidR="007E34FA" w:rsidRDefault="007E34FA">
            <w:pPr>
              <w:rPr>
                <w:sz w:val="18"/>
                <w:szCs w:val="18"/>
              </w:rPr>
            </w:pPr>
            <w:r>
              <w:rPr>
                <w:sz w:val="18"/>
                <w:szCs w:val="18"/>
              </w:rPr>
              <w:t>3.2%</w:t>
            </w:r>
          </w:p>
        </w:tc>
        <w:tc>
          <w:tcPr>
            <w:tcW w:w="335" w:type="pct"/>
            <w:tcBorders>
              <w:top w:val="single" w:sz="8" w:space="0" w:color="auto"/>
              <w:left w:val="nil"/>
              <w:bottom w:val="single" w:sz="8" w:space="0" w:color="auto"/>
              <w:right w:val="nil"/>
            </w:tcBorders>
            <w:noWrap/>
            <w:hideMark/>
          </w:tcPr>
          <w:p w14:paraId="7C5E836D" w14:textId="77777777" w:rsidR="007E34FA" w:rsidRDefault="007E34FA">
            <w:pPr>
              <w:rPr>
                <w:sz w:val="18"/>
                <w:szCs w:val="18"/>
              </w:rPr>
            </w:pPr>
            <w:r>
              <w:rPr>
                <w:sz w:val="18"/>
                <w:szCs w:val="18"/>
              </w:rPr>
              <w:t>3.4%</w:t>
            </w:r>
          </w:p>
        </w:tc>
        <w:tc>
          <w:tcPr>
            <w:tcW w:w="335" w:type="pct"/>
            <w:tcBorders>
              <w:top w:val="single" w:sz="8" w:space="0" w:color="auto"/>
              <w:left w:val="nil"/>
              <w:bottom w:val="single" w:sz="8" w:space="0" w:color="auto"/>
              <w:right w:val="nil"/>
            </w:tcBorders>
            <w:noWrap/>
            <w:hideMark/>
          </w:tcPr>
          <w:p w14:paraId="50E4EE00" w14:textId="77777777" w:rsidR="007E34FA" w:rsidRDefault="007E34FA">
            <w:pPr>
              <w:rPr>
                <w:sz w:val="18"/>
                <w:szCs w:val="18"/>
              </w:rPr>
            </w:pPr>
            <w:r>
              <w:rPr>
                <w:sz w:val="18"/>
                <w:szCs w:val="18"/>
              </w:rPr>
              <w:t>3.9%</w:t>
            </w:r>
          </w:p>
        </w:tc>
        <w:tc>
          <w:tcPr>
            <w:tcW w:w="335" w:type="pct"/>
            <w:tcBorders>
              <w:top w:val="single" w:sz="8" w:space="0" w:color="auto"/>
              <w:left w:val="nil"/>
              <w:bottom w:val="single" w:sz="8" w:space="0" w:color="auto"/>
              <w:right w:val="nil"/>
            </w:tcBorders>
            <w:noWrap/>
            <w:hideMark/>
          </w:tcPr>
          <w:p w14:paraId="798B4426" w14:textId="77777777" w:rsidR="007E34FA" w:rsidRDefault="007E34FA">
            <w:pPr>
              <w:rPr>
                <w:sz w:val="18"/>
                <w:szCs w:val="18"/>
              </w:rPr>
            </w:pPr>
            <w:r>
              <w:rPr>
                <w:sz w:val="18"/>
                <w:szCs w:val="18"/>
              </w:rPr>
              <w:t>4.0%</w:t>
            </w:r>
          </w:p>
        </w:tc>
        <w:tc>
          <w:tcPr>
            <w:tcW w:w="335" w:type="pct"/>
            <w:tcBorders>
              <w:top w:val="single" w:sz="8" w:space="0" w:color="auto"/>
              <w:left w:val="nil"/>
              <w:bottom w:val="single" w:sz="8" w:space="0" w:color="auto"/>
              <w:right w:val="nil"/>
            </w:tcBorders>
            <w:noWrap/>
            <w:hideMark/>
          </w:tcPr>
          <w:p w14:paraId="6EC250F3" w14:textId="77777777" w:rsidR="007E34FA" w:rsidRDefault="007E34FA">
            <w:pPr>
              <w:rPr>
                <w:sz w:val="18"/>
                <w:szCs w:val="18"/>
              </w:rPr>
            </w:pPr>
            <w:r>
              <w:rPr>
                <w:sz w:val="18"/>
                <w:szCs w:val="18"/>
              </w:rPr>
              <w:t>4.2%</w:t>
            </w:r>
          </w:p>
        </w:tc>
        <w:tc>
          <w:tcPr>
            <w:tcW w:w="335" w:type="pct"/>
            <w:tcBorders>
              <w:top w:val="single" w:sz="8" w:space="0" w:color="auto"/>
              <w:left w:val="nil"/>
              <w:bottom w:val="single" w:sz="8" w:space="0" w:color="auto"/>
              <w:right w:val="nil"/>
            </w:tcBorders>
            <w:noWrap/>
            <w:hideMark/>
          </w:tcPr>
          <w:p w14:paraId="2FA870E4" w14:textId="77777777" w:rsidR="007E34FA" w:rsidRDefault="007E34FA">
            <w:pPr>
              <w:rPr>
                <w:sz w:val="18"/>
                <w:szCs w:val="18"/>
              </w:rPr>
            </w:pPr>
            <w:r>
              <w:rPr>
                <w:sz w:val="18"/>
                <w:szCs w:val="18"/>
              </w:rPr>
              <w:t>4.2%</w:t>
            </w:r>
          </w:p>
        </w:tc>
        <w:tc>
          <w:tcPr>
            <w:tcW w:w="348" w:type="pct"/>
            <w:tcBorders>
              <w:top w:val="single" w:sz="8" w:space="0" w:color="auto"/>
              <w:left w:val="nil"/>
              <w:bottom w:val="single" w:sz="8" w:space="0" w:color="auto"/>
              <w:right w:val="nil"/>
            </w:tcBorders>
            <w:noWrap/>
            <w:hideMark/>
          </w:tcPr>
          <w:p w14:paraId="6BFFA2FB" w14:textId="77777777" w:rsidR="007E34FA" w:rsidRDefault="007E34FA">
            <w:pPr>
              <w:rPr>
                <w:sz w:val="18"/>
                <w:szCs w:val="18"/>
              </w:rPr>
            </w:pPr>
            <w:r>
              <w:rPr>
                <w:sz w:val="18"/>
                <w:szCs w:val="18"/>
              </w:rPr>
              <w:t>4.6%</w:t>
            </w:r>
          </w:p>
        </w:tc>
        <w:tc>
          <w:tcPr>
            <w:tcW w:w="493" w:type="pct"/>
            <w:tcBorders>
              <w:top w:val="single" w:sz="8" w:space="0" w:color="auto"/>
              <w:left w:val="nil"/>
              <w:bottom w:val="single" w:sz="8" w:space="0" w:color="auto"/>
              <w:right w:val="nil"/>
            </w:tcBorders>
            <w:hideMark/>
          </w:tcPr>
          <w:p w14:paraId="491C7450" w14:textId="77777777" w:rsidR="007E34FA" w:rsidRDefault="007E34FA">
            <w:pPr>
              <w:rPr>
                <w:rFonts w:ascii="Calibri" w:hAnsi="Calibri"/>
                <w:color w:val="000000"/>
                <w:sz w:val="18"/>
                <w:szCs w:val="18"/>
              </w:rPr>
            </w:pPr>
            <w:r>
              <w:rPr>
                <w:rFonts w:ascii="Calibri" w:hAnsi="Calibri"/>
                <w:color w:val="000000"/>
                <w:sz w:val="18"/>
                <w:szCs w:val="18"/>
              </w:rPr>
              <w:t>3.5%</w:t>
            </w:r>
          </w:p>
        </w:tc>
      </w:tr>
      <w:tr w:rsidR="007E34FA" w14:paraId="1D470FBE" w14:textId="77777777" w:rsidTr="007E34FA">
        <w:trPr>
          <w:trHeight w:val="300"/>
        </w:trPr>
        <w:tc>
          <w:tcPr>
            <w:tcW w:w="807" w:type="pct"/>
            <w:tcBorders>
              <w:top w:val="single" w:sz="8" w:space="0" w:color="auto"/>
              <w:left w:val="nil"/>
              <w:bottom w:val="single" w:sz="8" w:space="0" w:color="auto"/>
              <w:right w:val="nil"/>
            </w:tcBorders>
            <w:noWrap/>
            <w:hideMark/>
          </w:tcPr>
          <w:p w14:paraId="19EE2AD5" w14:textId="77777777" w:rsidR="007E34FA" w:rsidRDefault="007E34FA">
            <w:pPr>
              <w:rPr>
                <w:sz w:val="18"/>
                <w:szCs w:val="18"/>
              </w:rPr>
            </w:pPr>
            <w:r>
              <w:rPr>
                <w:sz w:val="18"/>
                <w:szCs w:val="18"/>
              </w:rPr>
              <w:t>Shock</w:t>
            </w:r>
          </w:p>
        </w:tc>
        <w:tc>
          <w:tcPr>
            <w:tcW w:w="335" w:type="pct"/>
            <w:tcBorders>
              <w:top w:val="single" w:sz="8" w:space="0" w:color="auto"/>
              <w:left w:val="nil"/>
              <w:bottom w:val="single" w:sz="8" w:space="0" w:color="auto"/>
              <w:right w:val="nil"/>
            </w:tcBorders>
            <w:noWrap/>
            <w:hideMark/>
          </w:tcPr>
          <w:p w14:paraId="60EDE400" w14:textId="77777777" w:rsidR="007E34FA" w:rsidRDefault="007E34FA">
            <w:pPr>
              <w:rPr>
                <w:sz w:val="18"/>
                <w:szCs w:val="18"/>
              </w:rPr>
            </w:pPr>
            <w:r>
              <w:rPr>
                <w:sz w:val="18"/>
                <w:szCs w:val="18"/>
              </w:rPr>
              <w:t>1.6%</w:t>
            </w:r>
          </w:p>
        </w:tc>
        <w:tc>
          <w:tcPr>
            <w:tcW w:w="335" w:type="pct"/>
            <w:tcBorders>
              <w:top w:val="single" w:sz="8" w:space="0" w:color="auto"/>
              <w:left w:val="nil"/>
              <w:bottom w:val="single" w:sz="8" w:space="0" w:color="auto"/>
              <w:right w:val="nil"/>
            </w:tcBorders>
            <w:noWrap/>
            <w:hideMark/>
          </w:tcPr>
          <w:p w14:paraId="2150BDCD" w14:textId="77777777" w:rsidR="007E34FA" w:rsidRDefault="007E34FA">
            <w:pPr>
              <w:rPr>
                <w:sz w:val="18"/>
                <w:szCs w:val="18"/>
              </w:rPr>
            </w:pPr>
            <w:r>
              <w:rPr>
                <w:sz w:val="18"/>
                <w:szCs w:val="18"/>
              </w:rPr>
              <w:t>1.7%</w:t>
            </w:r>
          </w:p>
        </w:tc>
        <w:tc>
          <w:tcPr>
            <w:tcW w:w="335" w:type="pct"/>
            <w:tcBorders>
              <w:top w:val="single" w:sz="8" w:space="0" w:color="auto"/>
              <w:left w:val="nil"/>
              <w:bottom w:val="single" w:sz="8" w:space="0" w:color="auto"/>
              <w:right w:val="nil"/>
            </w:tcBorders>
            <w:noWrap/>
            <w:hideMark/>
          </w:tcPr>
          <w:p w14:paraId="318E273B" w14:textId="77777777" w:rsidR="007E34FA" w:rsidRDefault="007E34FA">
            <w:pPr>
              <w:rPr>
                <w:sz w:val="18"/>
                <w:szCs w:val="18"/>
              </w:rPr>
            </w:pPr>
            <w:r>
              <w:rPr>
                <w:sz w:val="18"/>
                <w:szCs w:val="18"/>
              </w:rPr>
              <w:t>1.8%</w:t>
            </w:r>
          </w:p>
        </w:tc>
        <w:tc>
          <w:tcPr>
            <w:tcW w:w="335" w:type="pct"/>
            <w:tcBorders>
              <w:top w:val="single" w:sz="8" w:space="0" w:color="auto"/>
              <w:left w:val="nil"/>
              <w:bottom w:val="single" w:sz="8" w:space="0" w:color="auto"/>
              <w:right w:val="nil"/>
            </w:tcBorders>
            <w:noWrap/>
            <w:hideMark/>
          </w:tcPr>
          <w:p w14:paraId="3583E065" w14:textId="77777777" w:rsidR="007E34FA" w:rsidRDefault="007E34FA">
            <w:pPr>
              <w:rPr>
                <w:sz w:val="18"/>
                <w:szCs w:val="18"/>
              </w:rPr>
            </w:pPr>
            <w:r>
              <w:rPr>
                <w:sz w:val="18"/>
                <w:szCs w:val="18"/>
              </w:rPr>
              <w:t>2.1%</w:t>
            </w:r>
          </w:p>
        </w:tc>
        <w:tc>
          <w:tcPr>
            <w:tcW w:w="335" w:type="pct"/>
            <w:tcBorders>
              <w:top w:val="single" w:sz="8" w:space="0" w:color="auto"/>
              <w:left w:val="nil"/>
              <w:bottom w:val="single" w:sz="8" w:space="0" w:color="auto"/>
              <w:right w:val="nil"/>
            </w:tcBorders>
            <w:noWrap/>
            <w:hideMark/>
          </w:tcPr>
          <w:p w14:paraId="1F4453FE" w14:textId="77777777" w:rsidR="007E34FA" w:rsidRDefault="007E34FA">
            <w:pPr>
              <w:rPr>
                <w:sz w:val="18"/>
                <w:szCs w:val="18"/>
              </w:rPr>
            </w:pPr>
            <w:r>
              <w:rPr>
                <w:sz w:val="18"/>
                <w:szCs w:val="18"/>
              </w:rPr>
              <w:t>2.5%</w:t>
            </w:r>
          </w:p>
        </w:tc>
        <w:tc>
          <w:tcPr>
            <w:tcW w:w="335" w:type="pct"/>
            <w:tcBorders>
              <w:top w:val="single" w:sz="8" w:space="0" w:color="auto"/>
              <w:left w:val="nil"/>
              <w:bottom w:val="single" w:sz="8" w:space="0" w:color="auto"/>
              <w:right w:val="nil"/>
            </w:tcBorders>
            <w:noWrap/>
            <w:hideMark/>
          </w:tcPr>
          <w:p w14:paraId="1B56EDD3" w14:textId="77777777" w:rsidR="007E34FA" w:rsidRDefault="007E34FA">
            <w:pPr>
              <w:rPr>
                <w:sz w:val="18"/>
                <w:szCs w:val="18"/>
              </w:rPr>
            </w:pPr>
            <w:r>
              <w:rPr>
                <w:sz w:val="18"/>
                <w:szCs w:val="18"/>
              </w:rPr>
              <w:t>2.8%</w:t>
            </w:r>
          </w:p>
        </w:tc>
        <w:tc>
          <w:tcPr>
            <w:tcW w:w="335" w:type="pct"/>
            <w:tcBorders>
              <w:top w:val="single" w:sz="8" w:space="0" w:color="auto"/>
              <w:left w:val="nil"/>
              <w:bottom w:val="single" w:sz="8" w:space="0" w:color="auto"/>
              <w:right w:val="nil"/>
            </w:tcBorders>
            <w:noWrap/>
            <w:hideMark/>
          </w:tcPr>
          <w:p w14:paraId="70EE741E" w14:textId="77777777" w:rsidR="007E34FA" w:rsidRDefault="007E34FA">
            <w:pPr>
              <w:rPr>
                <w:sz w:val="18"/>
                <w:szCs w:val="18"/>
              </w:rPr>
            </w:pPr>
            <w:r>
              <w:rPr>
                <w:sz w:val="18"/>
                <w:szCs w:val="18"/>
              </w:rPr>
              <w:t>3.5%</w:t>
            </w:r>
          </w:p>
        </w:tc>
        <w:tc>
          <w:tcPr>
            <w:tcW w:w="335" w:type="pct"/>
            <w:tcBorders>
              <w:top w:val="single" w:sz="8" w:space="0" w:color="auto"/>
              <w:left w:val="nil"/>
              <w:bottom w:val="single" w:sz="8" w:space="0" w:color="auto"/>
              <w:right w:val="nil"/>
            </w:tcBorders>
            <w:noWrap/>
            <w:hideMark/>
          </w:tcPr>
          <w:p w14:paraId="06E99325" w14:textId="77777777" w:rsidR="007E34FA" w:rsidRDefault="007E34FA">
            <w:pPr>
              <w:rPr>
                <w:sz w:val="18"/>
                <w:szCs w:val="18"/>
              </w:rPr>
            </w:pPr>
            <w:r>
              <w:rPr>
                <w:sz w:val="18"/>
                <w:szCs w:val="18"/>
              </w:rPr>
              <w:t>3.8%</w:t>
            </w:r>
          </w:p>
        </w:tc>
        <w:tc>
          <w:tcPr>
            <w:tcW w:w="335" w:type="pct"/>
            <w:tcBorders>
              <w:top w:val="single" w:sz="8" w:space="0" w:color="auto"/>
              <w:left w:val="nil"/>
              <w:bottom w:val="single" w:sz="8" w:space="0" w:color="auto"/>
              <w:right w:val="nil"/>
            </w:tcBorders>
            <w:noWrap/>
            <w:hideMark/>
          </w:tcPr>
          <w:p w14:paraId="49BEA9D0" w14:textId="77777777" w:rsidR="007E34FA" w:rsidRDefault="007E34FA">
            <w:pPr>
              <w:rPr>
                <w:sz w:val="18"/>
                <w:szCs w:val="18"/>
              </w:rPr>
            </w:pPr>
            <w:r>
              <w:rPr>
                <w:sz w:val="18"/>
                <w:szCs w:val="18"/>
              </w:rPr>
              <w:t>3.9%</w:t>
            </w:r>
          </w:p>
        </w:tc>
        <w:tc>
          <w:tcPr>
            <w:tcW w:w="335" w:type="pct"/>
            <w:tcBorders>
              <w:top w:val="single" w:sz="8" w:space="0" w:color="auto"/>
              <w:left w:val="nil"/>
              <w:bottom w:val="single" w:sz="8" w:space="0" w:color="auto"/>
              <w:right w:val="nil"/>
            </w:tcBorders>
            <w:noWrap/>
            <w:hideMark/>
          </w:tcPr>
          <w:p w14:paraId="32857352" w14:textId="77777777" w:rsidR="007E34FA" w:rsidRDefault="007E34FA">
            <w:pPr>
              <w:rPr>
                <w:sz w:val="18"/>
                <w:szCs w:val="18"/>
              </w:rPr>
            </w:pPr>
            <w:r>
              <w:rPr>
                <w:sz w:val="18"/>
                <w:szCs w:val="18"/>
              </w:rPr>
              <w:t>4.3%</w:t>
            </w:r>
          </w:p>
        </w:tc>
        <w:tc>
          <w:tcPr>
            <w:tcW w:w="348" w:type="pct"/>
            <w:tcBorders>
              <w:top w:val="single" w:sz="8" w:space="0" w:color="auto"/>
              <w:left w:val="nil"/>
              <w:bottom w:val="single" w:sz="8" w:space="0" w:color="auto"/>
              <w:right w:val="nil"/>
            </w:tcBorders>
            <w:noWrap/>
            <w:hideMark/>
          </w:tcPr>
          <w:p w14:paraId="44A5D3B3" w14:textId="77777777" w:rsidR="007E34FA" w:rsidRDefault="007E34FA">
            <w:pPr>
              <w:rPr>
                <w:sz w:val="18"/>
                <w:szCs w:val="18"/>
              </w:rPr>
            </w:pPr>
            <w:r>
              <w:rPr>
                <w:sz w:val="18"/>
                <w:szCs w:val="18"/>
              </w:rPr>
              <w:t>5.1%</w:t>
            </w:r>
          </w:p>
        </w:tc>
        <w:tc>
          <w:tcPr>
            <w:tcW w:w="493" w:type="pct"/>
            <w:tcBorders>
              <w:top w:val="single" w:sz="8" w:space="0" w:color="auto"/>
              <w:left w:val="nil"/>
              <w:bottom w:val="single" w:sz="8" w:space="0" w:color="auto"/>
              <w:right w:val="nil"/>
            </w:tcBorders>
            <w:hideMark/>
          </w:tcPr>
          <w:p w14:paraId="28B75BBC" w14:textId="77777777" w:rsidR="007E34FA" w:rsidRDefault="007E34FA">
            <w:pPr>
              <w:rPr>
                <w:rFonts w:ascii="Calibri" w:hAnsi="Calibri"/>
                <w:color w:val="000000"/>
                <w:sz w:val="18"/>
                <w:szCs w:val="18"/>
              </w:rPr>
            </w:pPr>
            <w:r>
              <w:rPr>
                <w:rFonts w:ascii="Calibri" w:hAnsi="Calibri"/>
                <w:color w:val="000000"/>
                <w:sz w:val="18"/>
                <w:szCs w:val="18"/>
              </w:rPr>
              <w:t>3.0%</w:t>
            </w:r>
          </w:p>
        </w:tc>
      </w:tr>
      <w:tr w:rsidR="007E34FA" w14:paraId="104EE214" w14:textId="77777777" w:rsidTr="007E34FA">
        <w:trPr>
          <w:trHeight w:val="300"/>
        </w:trPr>
        <w:tc>
          <w:tcPr>
            <w:tcW w:w="807" w:type="pct"/>
            <w:tcBorders>
              <w:top w:val="single" w:sz="8" w:space="0" w:color="auto"/>
              <w:left w:val="nil"/>
              <w:bottom w:val="single" w:sz="8" w:space="0" w:color="auto"/>
              <w:right w:val="nil"/>
            </w:tcBorders>
            <w:noWrap/>
            <w:hideMark/>
          </w:tcPr>
          <w:p w14:paraId="4A33BAB3" w14:textId="77777777" w:rsidR="007E34FA" w:rsidRDefault="007E34FA">
            <w:pPr>
              <w:rPr>
                <w:sz w:val="18"/>
                <w:szCs w:val="18"/>
              </w:rPr>
            </w:pPr>
            <w:r>
              <w:rPr>
                <w:sz w:val="18"/>
                <w:szCs w:val="18"/>
              </w:rPr>
              <w:t>Primary diagnosis acute myocardial infarction</w:t>
            </w:r>
          </w:p>
        </w:tc>
        <w:tc>
          <w:tcPr>
            <w:tcW w:w="335" w:type="pct"/>
            <w:tcBorders>
              <w:top w:val="single" w:sz="8" w:space="0" w:color="auto"/>
              <w:left w:val="nil"/>
              <w:bottom w:val="single" w:sz="8" w:space="0" w:color="auto"/>
              <w:right w:val="nil"/>
            </w:tcBorders>
            <w:noWrap/>
            <w:hideMark/>
          </w:tcPr>
          <w:p w14:paraId="3D8E343A" w14:textId="77777777" w:rsidR="007E34FA" w:rsidRDefault="007E34FA">
            <w:pPr>
              <w:rPr>
                <w:sz w:val="18"/>
                <w:szCs w:val="18"/>
              </w:rPr>
            </w:pPr>
            <w:r>
              <w:rPr>
                <w:sz w:val="18"/>
                <w:szCs w:val="18"/>
              </w:rPr>
              <w:t>31.2%</w:t>
            </w:r>
          </w:p>
        </w:tc>
        <w:tc>
          <w:tcPr>
            <w:tcW w:w="335" w:type="pct"/>
            <w:tcBorders>
              <w:top w:val="single" w:sz="8" w:space="0" w:color="auto"/>
              <w:left w:val="nil"/>
              <w:bottom w:val="single" w:sz="8" w:space="0" w:color="auto"/>
              <w:right w:val="nil"/>
            </w:tcBorders>
            <w:noWrap/>
            <w:hideMark/>
          </w:tcPr>
          <w:p w14:paraId="13766EB0" w14:textId="77777777" w:rsidR="007E34FA" w:rsidRDefault="007E34FA">
            <w:pPr>
              <w:rPr>
                <w:sz w:val="18"/>
                <w:szCs w:val="18"/>
              </w:rPr>
            </w:pPr>
            <w:r>
              <w:rPr>
                <w:sz w:val="18"/>
                <w:szCs w:val="18"/>
              </w:rPr>
              <w:t>31.3%</w:t>
            </w:r>
          </w:p>
        </w:tc>
        <w:tc>
          <w:tcPr>
            <w:tcW w:w="335" w:type="pct"/>
            <w:tcBorders>
              <w:top w:val="single" w:sz="8" w:space="0" w:color="auto"/>
              <w:left w:val="nil"/>
              <w:bottom w:val="single" w:sz="8" w:space="0" w:color="auto"/>
              <w:right w:val="nil"/>
            </w:tcBorders>
            <w:noWrap/>
            <w:hideMark/>
          </w:tcPr>
          <w:p w14:paraId="418112B4" w14:textId="77777777" w:rsidR="007E34FA" w:rsidRDefault="007E34FA">
            <w:pPr>
              <w:rPr>
                <w:sz w:val="18"/>
                <w:szCs w:val="18"/>
              </w:rPr>
            </w:pPr>
            <w:r>
              <w:rPr>
                <w:sz w:val="18"/>
                <w:szCs w:val="18"/>
              </w:rPr>
              <w:t>30.6%</w:t>
            </w:r>
          </w:p>
        </w:tc>
        <w:tc>
          <w:tcPr>
            <w:tcW w:w="335" w:type="pct"/>
            <w:tcBorders>
              <w:top w:val="single" w:sz="8" w:space="0" w:color="auto"/>
              <w:left w:val="nil"/>
              <w:bottom w:val="single" w:sz="8" w:space="0" w:color="auto"/>
              <w:right w:val="nil"/>
            </w:tcBorders>
            <w:noWrap/>
            <w:hideMark/>
          </w:tcPr>
          <w:p w14:paraId="0FB76926" w14:textId="77777777" w:rsidR="007E34FA" w:rsidRDefault="007E34FA">
            <w:pPr>
              <w:rPr>
                <w:sz w:val="18"/>
                <w:szCs w:val="18"/>
              </w:rPr>
            </w:pPr>
            <w:r>
              <w:rPr>
                <w:sz w:val="18"/>
                <w:szCs w:val="18"/>
              </w:rPr>
              <w:t>34.7%</w:t>
            </w:r>
          </w:p>
        </w:tc>
        <w:tc>
          <w:tcPr>
            <w:tcW w:w="335" w:type="pct"/>
            <w:tcBorders>
              <w:top w:val="single" w:sz="8" w:space="0" w:color="auto"/>
              <w:left w:val="nil"/>
              <w:bottom w:val="single" w:sz="8" w:space="0" w:color="auto"/>
              <w:right w:val="nil"/>
            </w:tcBorders>
            <w:noWrap/>
            <w:hideMark/>
          </w:tcPr>
          <w:p w14:paraId="0A497D8C" w14:textId="77777777" w:rsidR="007E34FA" w:rsidRDefault="007E34FA">
            <w:pPr>
              <w:rPr>
                <w:sz w:val="18"/>
                <w:szCs w:val="18"/>
              </w:rPr>
            </w:pPr>
            <w:r>
              <w:rPr>
                <w:sz w:val="18"/>
                <w:szCs w:val="18"/>
              </w:rPr>
              <w:t>35.6%</w:t>
            </w:r>
          </w:p>
        </w:tc>
        <w:tc>
          <w:tcPr>
            <w:tcW w:w="335" w:type="pct"/>
            <w:tcBorders>
              <w:top w:val="single" w:sz="8" w:space="0" w:color="auto"/>
              <w:left w:val="nil"/>
              <w:bottom w:val="single" w:sz="8" w:space="0" w:color="auto"/>
              <w:right w:val="nil"/>
            </w:tcBorders>
            <w:noWrap/>
            <w:hideMark/>
          </w:tcPr>
          <w:p w14:paraId="406213D0" w14:textId="77777777" w:rsidR="007E34FA" w:rsidRDefault="007E34FA">
            <w:pPr>
              <w:rPr>
                <w:sz w:val="18"/>
                <w:szCs w:val="18"/>
              </w:rPr>
            </w:pPr>
            <w:r>
              <w:rPr>
                <w:sz w:val="18"/>
                <w:szCs w:val="18"/>
              </w:rPr>
              <w:t>40.4%</w:t>
            </w:r>
          </w:p>
        </w:tc>
        <w:tc>
          <w:tcPr>
            <w:tcW w:w="335" w:type="pct"/>
            <w:tcBorders>
              <w:top w:val="single" w:sz="8" w:space="0" w:color="auto"/>
              <w:left w:val="nil"/>
              <w:bottom w:val="single" w:sz="8" w:space="0" w:color="auto"/>
              <w:right w:val="nil"/>
            </w:tcBorders>
            <w:noWrap/>
            <w:hideMark/>
          </w:tcPr>
          <w:p w14:paraId="0D9EF5FF" w14:textId="77777777" w:rsidR="007E34FA" w:rsidRDefault="007E34FA">
            <w:pPr>
              <w:rPr>
                <w:sz w:val="18"/>
                <w:szCs w:val="18"/>
              </w:rPr>
            </w:pPr>
            <w:r>
              <w:rPr>
                <w:sz w:val="18"/>
                <w:szCs w:val="18"/>
              </w:rPr>
              <w:t>47.8%</w:t>
            </w:r>
          </w:p>
        </w:tc>
        <w:tc>
          <w:tcPr>
            <w:tcW w:w="335" w:type="pct"/>
            <w:tcBorders>
              <w:top w:val="single" w:sz="8" w:space="0" w:color="auto"/>
              <w:left w:val="nil"/>
              <w:bottom w:val="single" w:sz="8" w:space="0" w:color="auto"/>
              <w:right w:val="nil"/>
            </w:tcBorders>
            <w:noWrap/>
            <w:hideMark/>
          </w:tcPr>
          <w:p w14:paraId="264FEC8A" w14:textId="77777777" w:rsidR="007E34FA" w:rsidRDefault="007E34FA">
            <w:pPr>
              <w:rPr>
                <w:sz w:val="18"/>
                <w:szCs w:val="18"/>
              </w:rPr>
            </w:pPr>
            <w:r>
              <w:rPr>
                <w:sz w:val="18"/>
                <w:szCs w:val="18"/>
              </w:rPr>
              <w:t>48.9%</w:t>
            </w:r>
          </w:p>
        </w:tc>
        <w:tc>
          <w:tcPr>
            <w:tcW w:w="335" w:type="pct"/>
            <w:tcBorders>
              <w:top w:val="single" w:sz="8" w:space="0" w:color="auto"/>
              <w:left w:val="nil"/>
              <w:bottom w:val="single" w:sz="8" w:space="0" w:color="auto"/>
              <w:right w:val="nil"/>
            </w:tcBorders>
            <w:noWrap/>
            <w:hideMark/>
          </w:tcPr>
          <w:p w14:paraId="633226BF" w14:textId="77777777" w:rsidR="007E34FA" w:rsidRDefault="007E34FA">
            <w:pPr>
              <w:rPr>
                <w:sz w:val="18"/>
                <w:szCs w:val="18"/>
              </w:rPr>
            </w:pPr>
            <w:r>
              <w:rPr>
                <w:sz w:val="18"/>
                <w:szCs w:val="18"/>
              </w:rPr>
              <w:t>53.3%</w:t>
            </w:r>
          </w:p>
        </w:tc>
        <w:tc>
          <w:tcPr>
            <w:tcW w:w="335" w:type="pct"/>
            <w:tcBorders>
              <w:top w:val="single" w:sz="8" w:space="0" w:color="auto"/>
              <w:left w:val="nil"/>
              <w:bottom w:val="single" w:sz="8" w:space="0" w:color="auto"/>
              <w:right w:val="nil"/>
            </w:tcBorders>
            <w:noWrap/>
            <w:hideMark/>
          </w:tcPr>
          <w:p w14:paraId="16056B92" w14:textId="77777777" w:rsidR="007E34FA" w:rsidRDefault="007E34FA">
            <w:pPr>
              <w:rPr>
                <w:sz w:val="18"/>
                <w:szCs w:val="18"/>
              </w:rPr>
            </w:pPr>
            <w:r>
              <w:rPr>
                <w:sz w:val="18"/>
                <w:szCs w:val="18"/>
              </w:rPr>
              <w:t>57.1%</w:t>
            </w:r>
          </w:p>
        </w:tc>
        <w:tc>
          <w:tcPr>
            <w:tcW w:w="348" w:type="pct"/>
            <w:tcBorders>
              <w:top w:val="single" w:sz="8" w:space="0" w:color="auto"/>
              <w:left w:val="nil"/>
              <w:bottom w:val="single" w:sz="8" w:space="0" w:color="auto"/>
              <w:right w:val="nil"/>
            </w:tcBorders>
            <w:noWrap/>
            <w:hideMark/>
          </w:tcPr>
          <w:p w14:paraId="68FC6F04" w14:textId="77777777" w:rsidR="007E34FA" w:rsidRDefault="007E34FA">
            <w:pPr>
              <w:rPr>
                <w:sz w:val="18"/>
                <w:szCs w:val="18"/>
              </w:rPr>
            </w:pPr>
            <w:r>
              <w:rPr>
                <w:sz w:val="18"/>
                <w:szCs w:val="18"/>
              </w:rPr>
              <w:t>62.8%</w:t>
            </w:r>
          </w:p>
        </w:tc>
        <w:tc>
          <w:tcPr>
            <w:tcW w:w="493" w:type="pct"/>
            <w:tcBorders>
              <w:top w:val="single" w:sz="8" w:space="0" w:color="auto"/>
              <w:left w:val="nil"/>
              <w:bottom w:val="single" w:sz="8" w:space="0" w:color="auto"/>
              <w:right w:val="nil"/>
            </w:tcBorders>
            <w:hideMark/>
          </w:tcPr>
          <w:p w14:paraId="373BE863" w14:textId="77777777" w:rsidR="007E34FA" w:rsidRDefault="007E34FA">
            <w:pPr>
              <w:rPr>
                <w:rFonts w:ascii="Calibri" w:hAnsi="Calibri"/>
                <w:color w:val="000000"/>
                <w:sz w:val="18"/>
                <w:szCs w:val="18"/>
              </w:rPr>
            </w:pPr>
            <w:r>
              <w:rPr>
                <w:rFonts w:ascii="Calibri" w:hAnsi="Calibri"/>
                <w:color w:val="000000"/>
                <w:sz w:val="18"/>
                <w:szCs w:val="18"/>
              </w:rPr>
              <w:t>43.1%</w:t>
            </w:r>
          </w:p>
        </w:tc>
      </w:tr>
      <w:tr w:rsidR="007E34FA" w14:paraId="794A61D9" w14:textId="77777777" w:rsidTr="007E34FA">
        <w:trPr>
          <w:trHeight w:val="300"/>
        </w:trPr>
        <w:tc>
          <w:tcPr>
            <w:tcW w:w="807" w:type="pct"/>
            <w:tcBorders>
              <w:top w:val="single" w:sz="8" w:space="0" w:color="auto"/>
              <w:left w:val="nil"/>
              <w:bottom w:val="single" w:sz="8" w:space="0" w:color="auto"/>
              <w:right w:val="nil"/>
            </w:tcBorders>
            <w:noWrap/>
            <w:hideMark/>
          </w:tcPr>
          <w:p w14:paraId="3D43D103" w14:textId="77777777" w:rsidR="007E34FA" w:rsidRDefault="007E34FA">
            <w:pPr>
              <w:rPr>
                <w:sz w:val="18"/>
                <w:szCs w:val="18"/>
              </w:rPr>
            </w:pPr>
            <w:r>
              <w:rPr>
                <w:sz w:val="18"/>
                <w:szCs w:val="18"/>
              </w:rPr>
              <w:t>Fractional flow reserve</w:t>
            </w:r>
          </w:p>
        </w:tc>
        <w:tc>
          <w:tcPr>
            <w:tcW w:w="335" w:type="pct"/>
            <w:tcBorders>
              <w:top w:val="single" w:sz="8" w:space="0" w:color="auto"/>
              <w:left w:val="nil"/>
              <w:bottom w:val="single" w:sz="8" w:space="0" w:color="auto"/>
              <w:right w:val="nil"/>
            </w:tcBorders>
            <w:noWrap/>
            <w:hideMark/>
          </w:tcPr>
          <w:p w14:paraId="6DB63F52" w14:textId="77777777" w:rsidR="007E34FA" w:rsidRDefault="007E34FA">
            <w:pPr>
              <w:rPr>
                <w:sz w:val="18"/>
                <w:szCs w:val="18"/>
              </w:rPr>
            </w:pPr>
            <w:r>
              <w:rPr>
                <w:sz w:val="18"/>
                <w:szCs w:val="18"/>
              </w:rPr>
              <w:t>No Data</w:t>
            </w:r>
          </w:p>
        </w:tc>
        <w:tc>
          <w:tcPr>
            <w:tcW w:w="335" w:type="pct"/>
            <w:tcBorders>
              <w:top w:val="single" w:sz="8" w:space="0" w:color="auto"/>
              <w:left w:val="nil"/>
              <w:bottom w:val="single" w:sz="8" w:space="0" w:color="auto"/>
              <w:right w:val="nil"/>
            </w:tcBorders>
            <w:noWrap/>
            <w:hideMark/>
          </w:tcPr>
          <w:p w14:paraId="03A827D3" w14:textId="77777777" w:rsidR="007E34FA" w:rsidRDefault="007E34FA">
            <w:pPr>
              <w:rPr>
                <w:sz w:val="18"/>
                <w:szCs w:val="18"/>
              </w:rPr>
            </w:pPr>
            <w:r>
              <w:rPr>
                <w:sz w:val="18"/>
                <w:szCs w:val="18"/>
              </w:rPr>
              <w:t>No Data</w:t>
            </w:r>
          </w:p>
        </w:tc>
        <w:tc>
          <w:tcPr>
            <w:tcW w:w="335" w:type="pct"/>
            <w:tcBorders>
              <w:top w:val="single" w:sz="8" w:space="0" w:color="auto"/>
              <w:left w:val="nil"/>
              <w:bottom w:val="single" w:sz="8" w:space="0" w:color="auto"/>
              <w:right w:val="nil"/>
            </w:tcBorders>
            <w:noWrap/>
            <w:hideMark/>
          </w:tcPr>
          <w:p w14:paraId="650C8704" w14:textId="77777777" w:rsidR="007E34FA" w:rsidRDefault="007E34FA">
            <w:pPr>
              <w:rPr>
                <w:sz w:val="18"/>
                <w:szCs w:val="18"/>
              </w:rPr>
            </w:pPr>
            <w:r>
              <w:rPr>
                <w:sz w:val="18"/>
                <w:szCs w:val="18"/>
              </w:rPr>
              <w:t>No Data</w:t>
            </w:r>
          </w:p>
        </w:tc>
        <w:tc>
          <w:tcPr>
            <w:tcW w:w="335" w:type="pct"/>
            <w:tcBorders>
              <w:top w:val="single" w:sz="8" w:space="0" w:color="auto"/>
              <w:left w:val="nil"/>
              <w:bottom w:val="single" w:sz="8" w:space="0" w:color="auto"/>
              <w:right w:val="nil"/>
            </w:tcBorders>
            <w:noWrap/>
            <w:hideMark/>
          </w:tcPr>
          <w:p w14:paraId="2CA49B97" w14:textId="77777777" w:rsidR="007E34FA" w:rsidRDefault="007E34FA">
            <w:pPr>
              <w:rPr>
                <w:sz w:val="18"/>
                <w:szCs w:val="18"/>
              </w:rPr>
            </w:pPr>
            <w:r>
              <w:rPr>
                <w:sz w:val="18"/>
                <w:szCs w:val="18"/>
              </w:rPr>
              <w:t>No Data</w:t>
            </w:r>
          </w:p>
        </w:tc>
        <w:tc>
          <w:tcPr>
            <w:tcW w:w="335" w:type="pct"/>
            <w:tcBorders>
              <w:top w:val="single" w:sz="8" w:space="0" w:color="auto"/>
              <w:left w:val="nil"/>
              <w:bottom w:val="single" w:sz="8" w:space="0" w:color="auto"/>
              <w:right w:val="nil"/>
            </w:tcBorders>
            <w:noWrap/>
            <w:hideMark/>
          </w:tcPr>
          <w:p w14:paraId="41F1C25A" w14:textId="77777777" w:rsidR="007E34FA" w:rsidRDefault="007E34FA">
            <w:pPr>
              <w:rPr>
                <w:sz w:val="18"/>
                <w:szCs w:val="18"/>
              </w:rPr>
            </w:pPr>
            <w:r>
              <w:rPr>
                <w:sz w:val="18"/>
                <w:szCs w:val="18"/>
              </w:rPr>
              <w:t xml:space="preserve"> 0.01%</w:t>
            </w:r>
          </w:p>
        </w:tc>
        <w:tc>
          <w:tcPr>
            <w:tcW w:w="335" w:type="pct"/>
            <w:tcBorders>
              <w:top w:val="single" w:sz="8" w:space="0" w:color="auto"/>
              <w:left w:val="nil"/>
              <w:bottom w:val="single" w:sz="8" w:space="0" w:color="auto"/>
              <w:right w:val="nil"/>
            </w:tcBorders>
            <w:noWrap/>
            <w:hideMark/>
          </w:tcPr>
          <w:p w14:paraId="72B9D002" w14:textId="77777777" w:rsidR="007E34FA" w:rsidRDefault="007E34FA">
            <w:pPr>
              <w:rPr>
                <w:sz w:val="18"/>
                <w:szCs w:val="18"/>
              </w:rPr>
            </w:pPr>
            <w:r>
              <w:rPr>
                <w:sz w:val="18"/>
                <w:szCs w:val="18"/>
              </w:rPr>
              <w:t xml:space="preserve"> 0.6%</w:t>
            </w:r>
          </w:p>
        </w:tc>
        <w:tc>
          <w:tcPr>
            <w:tcW w:w="335" w:type="pct"/>
            <w:tcBorders>
              <w:top w:val="single" w:sz="8" w:space="0" w:color="auto"/>
              <w:left w:val="nil"/>
              <w:bottom w:val="single" w:sz="8" w:space="0" w:color="auto"/>
              <w:right w:val="nil"/>
            </w:tcBorders>
            <w:noWrap/>
            <w:hideMark/>
          </w:tcPr>
          <w:p w14:paraId="5D6DCA58" w14:textId="77777777" w:rsidR="007E34FA" w:rsidRDefault="007E34FA">
            <w:pPr>
              <w:rPr>
                <w:sz w:val="18"/>
                <w:szCs w:val="18"/>
              </w:rPr>
            </w:pPr>
            <w:r>
              <w:rPr>
                <w:sz w:val="18"/>
                <w:szCs w:val="18"/>
              </w:rPr>
              <w:t>0.8%</w:t>
            </w:r>
          </w:p>
        </w:tc>
        <w:tc>
          <w:tcPr>
            <w:tcW w:w="335" w:type="pct"/>
            <w:tcBorders>
              <w:top w:val="single" w:sz="8" w:space="0" w:color="auto"/>
              <w:left w:val="nil"/>
              <w:bottom w:val="single" w:sz="8" w:space="0" w:color="auto"/>
              <w:right w:val="nil"/>
            </w:tcBorders>
            <w:noWrap/>
            <w:hideMark/>
          </w:tcPr>
          <w:p w14:paraId="57F88848" w14:textId="77777777" w:rsidR="007E34FA" w:rsidRDefault="007E34FA">
            <w:pPr>
              <w:rPr>
                <w:sz w:val="18"/>
                <w:szCs w:val="18"/>
              </w:rPr>
            </w:pPr>
            <w:r>
              <w:rPr>
                <w:sz w:val="18"/>
                <w:szCs w:val="18"/>
              </w:rPr>
              <w:t>1.2%</w:t>
            </w:r>
          </w:p>
        </w:tc>
        <w:tc>
          <w:tcPr>
            <w:tcW w:w="335" w:type="pct"/>
            <w:tcBorders>
              <w:top w:val="single" w:sz="8" w:space="0" w:color="auto"/>
              <w:left w:val="nil"/>
              <w:bottom w:val="single" w:sz="8" w:space="0" w:color="auto"/>
              <w:right w:val="nil"/>
            </w:tcBorders>
            <w:noWrap/>
            <w:hideMark/>
          </w:tcPr>
          <w:p w14:paraId="749104B9" w14:textId="77777777" w:rsidR="007E34FA" w:rsidRDefault="007E34FA">
            <w:pPr>
              <w:rPr>
                <w:sz w:val="18"/>
                <w:szCs w:val="18"/>
              </w:rPr>
            </w:pPr>
            <w:r>
              <w:rPr>
                <w:sz w:val="18"/>
                <w:szCs w:val="18"/>
              </w:rPr>
              <w:t>2.0%</w:t>
            </w:r>
          </w:p>
        </w:tc>
        <w:tc>
          <w:tcPr>
            <w:tcW w:w="335" w:type="pct"/>
            <w:tcBorders>
              <w:top w:val="single" w:sz="8" w:space="0" w:color="auto"/>
              <w:left w:val="nil"/>
              <w:bottom w:val="single" w:sz="8" w:space="0" w:color="auto"/>
              <w:right w:val="nil"/>
            </w:tcBorders>
            <w:noWrap/>
            <w:hideMark/>
          </w:tcPr>
          <w:p w14:paraId="7A6F33DA" w14:textId="77777777" w:rsidR="007E34FA" w:rsidRDefault="007E34FA">
            <w:pPr>
              <w:rPr>
                <w:sz w:val="18"/>
                <w:szCs w:val="18"/>
              </w:rPr>
            </w:pPr>
            <w:r>
              <w:rPr>
                <w:sz w:val="18"/>
                <w:szCs w:val="18"/>
              </w:rPr>
              <w:t>2.5%</w:t>
            </w:r>
          </w:p>
        </w:tc>
        <w:tc>
          <w:tcPr>
            <w:tcW w:w="348" w:type="pct"/>
            <w:tcBorders>
              <w:top w:val="single" w:sz="8" w:space="0" w:color="auto"/>
              <w:left w:val="nil"/>
              <w:bottom w:val="single" w:sz="8" w:space="0" w:color="auto"/>
              <w:right w:val="nil"/>
            </w:tcBorders>
            <w:noWrap/>
            <w:hideMark/>
          </w:tcPr>
          <w:p w14:paraId="17251BC6" w14:textId="77777777" w:rsidR="007E34FA" w:rsidRDefault="007E34FA">
            <w:pPr>
              <w:rPr>
                <w:sz w:val="18"/>
                <w:szCs w:val="18"/>
              </w:rPr>
            </w:pPr>
            <w:r>
              <w:rPr>
                <w:sz w:val="18"/>
                <w:szCs w:val="18"/>
              </w:rPr>
              <w:t>2.8%</w:t>
            </w:r>
          </w:p>
        </w:tc>
        <w:tc>
          <w:tcPr>
            <w:tcW w:w="493" w:type="pct"/>
            <w:tcBorders>
              <w:top w:val="single" w:sz="8" w:space="0" w:color="auto"/>
              <w:left w:val="nil"/>
              <w:bottom w:val="single" w:sz="8" w:space="0" w:color="auto"/>
              <w:right w:val="nil"/>
            </w:tcBorders>
            <w:hideMark/>
          </w:tcPr>
          <w:p w14:paraId="05A72BDD" w14:textId="77777777" w:rsidR="007E34FA" w:rsidRDefault="007E34FA">
            <w:pPr>
              <w:rPr>
                <w:rFonts w:ascii="Calibri" w:hAnsi="Calibri"/>
                <w:color w:val="000000"/>
                <w:sz w:val="18"/>
                <w:szCs w:val="18"/>
              </w:rPr>
            </w:pPr>
            <w:r>
              <w:rPr>
                <w:rFonts w:ascii="Calibri" w:hAnsi="Calibri"/>
                <w:color w:val="000000"/>
                <w:sz w:val="18"/>
                <w:szCs w:val="18"/>
              </w:rPr>
              <w:t>1.4%</w:t>
            </w:r>
          </w:p>
        </w:tc>
      </w:tr>
      <w:tr w:rsidR="007E34FA" w14:paraId="1E9AF0B7" w14:textId="77777777" w:rsidTr="007E34FA">
        <w:trPr>
          <w:trHeight w:val="300"/>
        </w:trPr>
        <w:tc>
          <w:tcPr>
            <w:tcW w:w="807" w:type="pct"/>
            <w:tcBorders>
              <w:top w:val="single" w:sz="8" w:space="0" w:color="auto"/>
              <w:left w:val="nil"/>
              <w:bottom w:val="single" w:sz="8" w:space="0" w:color="auto"/>
              <w:right w:val="nil"/>
            </w:tcBorders>
            <w:noWrap/>
            <w:hideMark/>
          </w:tcPr>
          <w:p w14:paraId="3598B440" w14:textId="77777777" w:rsidR="007E34FA" w:rsidRDefault="007E34FA">
            <w:pPr>
              <w:rPr>
                <w:sz w:val="18"/>
                <w:szCs w:val="18"/>
              </w:rPr>
            </w:pPr>
            <w:r>
              <w:rPr>
                <w:sz w:val="18"/>
                <w:szCs w:val="18"/>
              </w:rPr>
              <w:t>Intravascular ultrasound</w:t>
            </w:r>
          </w:p>
        </w:tc>
        <w:tc>
          <w:tcPr>
            <w:tcW w:w="335" w:type="pct"/>
            <w:tcBorders>
              <w:top w:val="single" w:sz="8" w:space="0" w:color="auto"/>
              <w:left w:val="nil"/>
              <w:bottom w:val="single" w:sz="8" w:space="0" w:color="auto"/>
              <w:right w:val="nil"/>
            </w:tcBorders>
            <w:noWrap/>
            <w:hideMark/>
          </w:tcPr>
          <w:p w14:paraId="3E47BCD0" w14:textId="77777777" w:rsidR="007E34FA" w:rsidRDefault="007E34FA">
            <w:pPr>
              <w:rPr>
                <w:sz w:val="18"/>
                <w:szCs w:val="18"/>
              </w:rPr>
            </w:pPr>
            <w:r>
              <w:rPr>
                <w:sz w:val="18"/>
                <w:szCs w:val="18"/>
              </w:rPr>
              <w:t xml:space="preserve"> 0.6%</w:t>
            </w:r>
          </w:p>
        </w:tc>
        <w:tc>
          <w:tcPr>
            <w:tcW w:w="335" w:type="pct"/>
            <w:tcBorders>
              <w:top w:val="single" w:sz="8" w:space="0" w:color="auto"/>
              <w:left w:val="nil"/>
              <w:bottom w:val="single" w:sz="8" w:space="0" w:color="auto"/>
              <w:right w:val="nil"/>
            </w:tcBorders>
            <w:noWrap/>
            <w:hideMark/>
          </w:tcPr>
          <w:p w14:paraId="61234EED" w14:textId="77777777" w:rsidR="007E34FA" w:rsidRDefault="007E34FA">
            <w:pPr>
              <w:rPr>
                <w:sz w:val="18"/>
                <w:szCs w:val="18"/>
              </w:rPr>
            </w:pPr>
            <w:r>
              <w:rPr>
                <w:sz w:val="18"/>
                <w:szCs w:val="18"/>
              </w:rPr>
              <w:t>3.5%</w:t>
            </w:r>
          </w:p>
        </w:tc>
        <w:tc>
          <w:tcPr>
            <w:tcW w:w="335" w:type="pct"/>
            <w:tcBorders>
              <w:top w:val="single" w:sz="8" w:space="0" w:color="auto"/>
              <w:left w:val="nil"/>
              <w:bottom w:val="single" w:sz="8" w:space="0" w:color="auto"/>
              <w:right w:val="nil"/>
            </w:tcBorders>
            <w:noWrap/>
            <w:hideMark/>
          </w:tcPr>
          <w:p w14:paraId="2297D25C" w14:textId="77777777" w:rsidR="007E34FA" w:rsidRDefault="007E34FA">
            <w:pPr>
              <w:rPr>
                <w:sz w:val="18"/>
                <w:szCs w:val="18"/>
              </w:rPr>
            </w:pPr>
            <w:r>
              <w:rPr>
                <w:sz w:val="18"/>
                <w:szCs w:val="18"/>
              </w:rPr>
              <w:t>3.1%</w:t>
            </w:r>
          </w:p>
        </w:tc>
        <w:tc>
          <w:tcPr>
            <w:tcW w:w="335" w:type="pct"/>
            <w:tcBorders>
              <w:top w:val="single" w:sz="8" w:space="0" w:color="auto"/>
              <w:left w:val="nil"/>
              <w:bottom w:val="single" w:sz="8" w:space="0" w:color="auto"/>
              <w:right w:val="nil"/>
            </w:tcBorders>
            <w:noWrap/>
            <w:hideMark/>
          </w:tcPr>
          <w:p w14:paraId="356DDB5B" w14:textId="77777777" w:rsidR="007E34FA" w:rsidRDefault="007E34FA">
            <w:pPr>
              <w:rPr>
                <w:sz w:val="18"/>
                <w:szCs w:val="18"/>
              </w:rPr>
            </w:pPr>
            <w:r>
              <w:rPr>
                <w:sz w:val="18"/>
                <w:szCs w:val="18"/>
              </w:rPr>
              <w:t>5.1%</w:t>
            </w:r>
          </w:p>
        </w:tc>
        <w:tc>
          <w:tcPr>
            <w:tcW w:w="335" w:type="pct"/>
            <w:tcBorders>
              <w:top w:val="single" w:sz="8" w:space="0" w:color="auto"/>
              <w:left w:val="nil"/>
              <w:bottom w:val="single" w:sz="8" w:space="0" w:color="auto"/>
              <w:right w:val="nil"/>
            </w:tcBorders>
            <w:noWrap/>
            <w:hideMark/>
          </w:tcPr>
          <w:p w14:paraId="5284F3EB" w14:textId="77777777" w:rsidR="007E34FA" w:rsidRDefault="007E34FA">
            <w:pPr>
              <w:rPr>
                <w:sz w:val="18"/>
                <w:szCs w:val="18"/>
              </w:rPr>
            </w:pPr>
            <w:r>
              <w:rPr>
                <w:sz w:val="18"/>
                <w:szCs w:val="18"/>
              </w:rPr>
              <w:t>5.3%</w:t>
            </w:r>
          </w:p>
        </w:tc>
        <w:tc>
          <w:tcPr>
            <w:tcW w:w="335" w:type="pct"/>
            <w:tcBorders>
              <w:top w:val="single" w:sz="8" w:space="0" w:color="auto"/>
              <w:left w:val="nil"/>
              <w:bottom w:val="single" w:sz="8" w:space="0" w:color="auto"/>
              <w:right w:val="nil"/>
            </w:tcBorders>
            <w:noWrap/>
            <w:hideMark/>
          </w:tcPr>
          <w:p w14:paraId="518E719C" w14:textId="77777777" w:rsidR="007E34FA" w:rsidRDefault="007E34FA">
            <w:pPr>
              <w:rPr>
                <w:sz w:val="18"/>
                <w:szCs w:val="18"/>
              </w:rPr>
            </w:pPr>
            <w:r>
              <w:rPr>
                <w:sz w:val="18"/>
                <w:szCs w:val="18"/>
              </w:rPr>
              <w:t>5.8%</w:t>
            </w:r>
          </w:p>
        </w:tc>
        <w:tc>
          <w:tcPr>
            <w:tcW w:w="335" w:type="pct"/>
            <w:tcBorders>
              <w:top w:val="single" w:sz="8" w:space="0" w:color="auto"/>
              <w:left w:val="nil"/>
              <w:bottom w:val="single" w:sz="8" w:space="0" w:color="auto"/>
              <w:right w:val="nil"/>
            </w:tcBorders>
            <w:noWrap/>
            <w:hideMark/>
          </w:tcPr>
          <w:p w14:paraId="60A95572" w14:textId="77777777" w:rsidR="007E34FA" w:rsidRDefault="007E34FA">
            <w:pPr>
              <w:rPr>
                <w:sz w:val="18"/>
                <w:szCs w:val="18"/>
              </w:rPr>
            </w:pPr>
            <w:r>
              <w:rPr>
                <w:sz w:val="18"/>
                <w:szCs w:val="18"/>
              </w:rPr>
              <w:t>6.0%</w:t>
            </w:r>
          </w:p>
        </w:tc>
        <w:tc>
          <w:tcPr>
            <w:tcW w:w="335" w:type="pct"/>
            <w:tcBorders>
              <w:top w:val="single" w:sz="8" w:space="0" w:color="auto"/>
              <w:left w:val="nil"/>
              <w:bottom w:val="single" w:sz="8" w:space="0" w:color="auto"/>
              <w:right w:val="nil"/>
            </w:tcBorders>
            <w:noWrap/>
            <w:hideMark/>
          </w:tcPr>
          <w:p w14:paraId="5B3FE635" w14:textId="77777777" w:rsidR="007E34FA" w:rsidRDefault="007E34FA">
            <w:pPr>
              <w:rPr>
                <w:sz w:val="18"/>
                <w:szCs w:val="18"/>
              </w:rPr>
            </w:pPr>
            <w:r>
              <w:rPr>
                <w:sz w:val="18"/>
                <w:szCs w:val="18"/>
              </w:rPr>
              <w:t>7.1%</w:t>
            </w:r>
          </w:p>
        </w:tc>
        <w:tc>
          <w:tcPr>
            <w:tcW w:w="335" w:type="pct"/>
            <w:tcBorders>
              <w:top w:val="single" w:sz="8" w:space="0" w:color="auto"/>
              <w:left w:val="nil"/>
              <w:bottom w:val="single" w:sz="8" w:space="0" w:color="auto"/>
              <w:right w:val="nil"/>
            </w:tcBorders>
            <w:noWrap/>
            <w:hideMark/>
          </w:tcPr>
          <w:p w14:paraId="3D6F5965" w14:textId="77777777" w:rsidR="007E34FA" w:rsidRDefault="007E34FA">
            <w:pPr>
              <w:rPr>
                <w:sz w:val="18"/>
                <w:szCs w:val="18"/>
              </w:rPr>
            </w:pPr>
            <w:r>
              <w:rPr>
                <w:sz w:val="18"/>
                <w:szCs w:val="18"/>
              </w:rPr>
              <w:t>6.8%</w:t>
            </w:r>
          </w:p>
        </w:tc>
        <w:tc>
          <w:tcPr>
            <w:tcW w:w="335" w:type="pct"/>
            <w:tcBorders>
              <w:top w:val="single" w:sz="8" w:space="0" w:color="auto"/>
              <w:left w:val="nil"/>
              <w:bottom w:val="single" w:sz="8" w:space="0" w:color="auto"/>
              <w:right w:val="nil"/>
            </w:tcBorders>
            <w:noWrap/>
            <w:hideMark/>
          </w:tcPr>
          <w:p w14:paraId="73C53EDF" w14:textId="77777777" w:rsidR="007E34FA" w:rsidRDefault="007E34FA">
            <w:pPr>
              <w:rPr>
                <w:sz w:val="18"/>
                <w:szCs w:val="18"/>
              </w:rPr>
            </w:pPr>
            <w:r>
              <w:rPr>
                <w:sz w:val="18"/>
                <w:szCs w:val="18"/>
              </w:rPr>
              <w:t>6.4%</w:t>
            </w:r>
          </w:p>
        </w:tc>
        <w:tc>
          <w:tcPr>
            <w:tcW w:w="348" w:type="pct"/>
            <w:tcBorders>
              <w:top w:val="single" w:sz="8" w:space="0" w:color="auto"/>
              <w:left w:val="nil"/>
              <w:bottom w:val="single" w:sz="8" w:space="0" w:color="auto"/>
              <w:right w:val="nil"/>
            </w:tcBorders>
            <w:noWrap/>
            <w:hideMark/>
          </w:tcPr>
          <w:p w14:paraId="7109E047" w14:textId="77777777" w:rsidR="007E34FA" w:rsidRDefault="007E34FA">
            <w:pPr>
              <w:rPr>
                <w:sz w:val="18"/>
                <w:szCs w:val="18"/>
              </w:rPr>
            </w:pPr>
            <w:r>
              <w:rPr>
                <w:sz w:val="18"/>
                <w:szCs w:val="18"/>
              </w:rPr>
              <w:t>6.3%</w:t>
            </w:r>
          </w:p>
        </w:tc>
        <w:tc>
          <w:tcPr>
            <w:tcW w:w="493" w:type="pct"/>
            <w:tcBorders>
              <w:top w:val="single" w:sz="8" w:space="0" w:color="auto"/>
              <w:left w:val="nil"/>
              <w:bottom w:val="single" w:sz="8" w:space="0" w:color="auto"/>
              <w:right w:val="nil"/>
            </w:tcBorders>
            <w:hideMark/>
          </w:tcPr>
          <w:p w14:paraId="22EDF9F5" w14:textId="77777777" w:rsidR="007E34FA" w:rsidRDefault="007E34FA">
            <w:pPr>
              <w:rPr>
                <w:rFonts w:ascii="Calibri" w:hAnsi="Calibri"/>
                <w:color w:val="000000"/>
                <w:sz w:val="18"/>
                <w:szCs w:val="18"/>
              </w:rPr>
            </w:pPr>
            <w:r>
              <w:rPr>
                <w:rFonts w:ascii="Calibri" w:hAnsi="Calibri"/>
                <w:color w:val="000000"/>
                <w:sz w:val="18"/>
                <w:szCs w:val="18"/>
              </w:rPr>
              <w:t>5.1%</w:t>
            </w:r>
          </w:p>
        </w:tc>
      </w:tr>
      <w:tr w:rsidR="007E34FA" w14:paraId="4241D26D" w14:textId="77777777" w:rsidTr="007E34FA">
        <w:trPr>
          <w:trHeight w:val="300"/>
        </w:trPr>
        <w:tc>
          <w:tcPr>
            <w:tcW w:w="807" w:type="pct"/>
            <w:tcBorders>
              <w:top w:val="single" w:sz="8" w:space="0" w:color="auto"/>
              <w:left w:val="nil"/>
              <w:bottom w:val="single" w:sz="8" w:space="0" w:color="auto"/>
              <w:right w:val="nil"/>
            </w:tcBorders>
            <w:noWrap/>
            <w:hideMark/>
          </w:tcPr>
          <w:p w14:paraId="3911659C" w14:textId="77777777" w:rsidR="007E34FA" w:rsidRDefault="007E34FA">
            <w:pPr>
              <w:rPr>
                <w:sz w:val="18"/>
                <w:szCs w:val="18"/>
              </w:rPr>
            </w:pPr>
            <w:r>
              <w:rPr>
                <w:sz w:val="18"/>
                <w:szCs w:val="18"/>
              </w:rPr>
              <w:t>Bare metal stent</w:t>
            </w:r>
          </w:p>
        </w:tc>
        <w:tc>
          <w:tcPr>
            <w:tcW w:w="335" w:type="pct"/>
            <w:tcBorders>
              <w:top w:val="single" w:sz="8" w:space="0" w:color="auto"/>
              <w:left w:val="nil"/>
              <w:bottom w:val="single" w:sz="8" w:space="0" w:color="auto"/>
              <w:right w:val="nil"/>
            </w:tcBorders>
            <w:noWrap/>
            <w:hideMark/>
          </w:tcPr>
          <w:p w14:paraId="6B73F64C" w14:textId="77777777" w:rsidR="007E34FA" w:rsidRDefault="007E34FA">
            <w:pPr>
              <w:rPr>
                <w:sz w:val="18"/>
                <w:szCs w:val="18"/>
              </w:rPr>
            </w:pPr>
            <w:r>
              <w:rPr>
                <w:sz w:val="18"/>
                <w:szCs w:val="18"/>
              </w:rPr>
              <w:t>22.3%</w:t>
            </w:r>
          </w:p>
        </w:tc>
        <w:tc>
          <w:tcPr>
            <w:tcW w:w="335" w:type="pct"/>
            <w:tcBorders>
              <w:top w:val="single" w:sz="8" w:space="0" w:color="auto"/>
              <w:left w:val="nil"/>
              <w:bottom w:val="single" w:sz="8" w:space="0" w:color="auto"/>
              <w:right w:val="nil"/>
            </w:tcBorders>
            <w:noWrap/>
            <w:hideMark/>
          </w:tcPr>
          <w:p w14:paraId="5ABCBFA3" w14:textId="77777777" w:rsidR="007E34FA" w:rsidRDefault="007E34FA">
            <w:pPr>
              <w:rPr>
                <w:sz w:val="18"/>
                <w:szCs w:val="18"/>
              </w:rPr>
            </w:pPr>
            <w:r>
              <w:rPr>
                <w:sz w:val="18"/>
                <w:szCs w:val="18"/>
              </w:rPr>
              <w:t>10.2%</w:t>
            </w:r>
          </w:p>
        </w:tc>
        <w:tc>
          <w:tcPr>
            <w:tcW w:w="335" w:type="pct"/>
            <w:tcBorders>
              <w:top w:val="single" w:sz="8" w:space="0" w:color="auto"/>
              <w:left w:val="nil"/>
              <w:bottom w:val="single" w:sz="8" w:space="0" w:color="auto"/>
              <w:right w:val="nil"/>
            </w:tcBorders>
            <w:noWrap/>
            <w:hideMark/>
          </w:tcPr>
          <w:p w14:paraId="1610BE23" w14:textId="77777777" w:rsidR="007E34FA" w:rsidRDefault="007E34FA">
            <w:pPr>
              <w:rPr>
                <w:sz w:val="18"/>
                <w:szCs w:val="18"/>
              </w:rPr>
            </w:pPr>
            <w:r>
              <w:rPr>
                <w:sz w:val="18"/>
                <w:szCs w:val="18"/>
              </w:rPr>
              <w:t>14.1%</w:t>
            </w:r>
          </w:p>
        </w:tc>
        <w:tc>
          <w:tcPr>
            <w:tcW w:w="335" w:type="pct"/>
            <w:tcBorders>
              <w:top w:val="single" w:sz="8" w:space="0" w:color="auto"/>
              <w:left w:val="nil"/>
              <w:bottom w:val="single" w:sz="8" w:space="0" w:color="auto"/>
              <w:right w:val="nil"/>
            </w:tcBorders>
            <w:noWrap/>
            <w:hideMark/>
          </w:tcPr>
          <w:p w14:paraId="1B5B0A1A" w14:textId="77777777" w:rsidR="007E34FA" w:rsidRDefault="007E34FA">
            <w:pPr>
              <w:rPr>
                <w:sz w:val="18"/>
                <w:szCs w:val="18"/>
              </w:rPr>
            </w:pPr>
            <w:r>
              <w:rPr>
                <w:sz w:val="18"/>
                <w:szCs w:val="18"/>
              </w:rPr>
              <w:t>31.5%</w:t>
            </w:r>
          </w:p>
        </w:tc>
        <w:tc>
          <w:tcPr>
            <w:tcW w:w="335" w:type="pct"/>
            <w:tcBorders>
              <w:top w:val="single" w:sz="8" w:space="0" w:color="auto"/>
              <w:left w:val="nil"/>
              <w:bottom w:val="single" w:sz="8" w:space="0" w:color="auto"/>
              <w:right w:val="nil"/>
            </w:tcBorders>
            <w:noWrap/>
            <w:hideMark/>
          </w:tcPr>
          <w:p w14:paraId="0E9F4291" w14:textId="77777777" w:rsidR="007E34FA" w:rsidRDefault="007E34FA">
            <w:pPr>
              <w:rPr>
                <w:sz w:val="18"/>
                <w:szCs w:val="18"/>
              </w:rPr>
            </w:pPr>
            <w:r>
              <w:rPr>
                <w:sz w:val="18"/>
                <w:szCs w:val="18"/>
              </w:rPr>
              <w:t>32.4%</w:t>
            </w:r>
          </w:p>
        </w:tc>
        <w:tc>
          <w:tcPr>
            <w:tcW w:w="335" w:type="pct"/>
            <w:tcBorders>
              <w:top w:val="single" w:sz="8" w:space="0" w:color="auto"/>
              <w:left w:val="nil"/>
              <w:bottom w:val="single" w:sz="8" w:space="0" w:color="auto"/>
              <w:right w:val="nil"/>
            </w:tcBorders>
            <w:noWrap/>
            <w:hideMark/>
          </w:tcPr>
          <w:p w14:paraId="0EC97438" w14:textId="77777777" w:rsidR="007E34FA" w:rsidRDefault="007E34FA">
            <w:pPr>
              <w:rPr>
                <w:sz w:val="18"/>
                <w:szCs w:val="18"/>
              </w:rPr>
            </w:pPr>
            <w:r>
              <w:rPr>
                <w:sz w:val="18"/>
                <w:szCs w:val="18"/>
              </w:rPr>
              <w:t>24.9%</w:t>
            </w:r>
          </w:p>
        </w:tc>
        <w:tc>
          <w:tcPr>
            <w:tcW w:w="335" w:type="pct"/>
            <w:tcBorders>
              <w:top w:val="single" w:sz="8" w:space="0" w:color="auto"/>
              <w:left w:val="nil"/>
              <w:bottom w:val="single" w:sz="8" w:space="0" w:color="auto"/>
              <w:right w:val="nil"/>
            </w:tcBorders>
            <w:noWrap/>
            <w:hideMark/>
          </w:tcPr>
          <w:p w14:paraId="617C3D04" w14:textId="77777777" w:rsidR="007E34FA" w:rsidRDefault="007E34FA">
            <w:pPr>
              <w:rPr>
                <w:sz w:val="18"/>
                <w:szCs w:val="18"/>
              </w:rPr>
            </w:pPr>
            <w:r>
              <w:rPr>
                <w:sz w:val="18"/>
                <w:szCs w:val="18"/>
              </w:rPr>
              <w:t>26.5%</w:t>
            </w:r>
          </w:p>
        </w:tc>
        <w:tc>
          <w:tcPr>
            <w:tcW w:w="335" w:type="pct"/>
            <w:tcBorders>
              <w:top w:val="single" w:sz="8" w:space="0" w:color="auto"/>
              <w:left w:val="nil"/>
              <w:bottom w:val="single" w:sz="8" w:space="0" w:color="auto"/>
              <w:right w:val="nil"/>
            </w:tcBorders>
            <w:noWrap/>
            <w:hideMark/>
          </w:tcPr>
          <w:p w14:paraId="763DB6E4" w14:textId="77777777" w:rsidR="007E34FA" w:rsidRDefault="007E34FA">
            <w:pPr>
              <w:rPr>
                <w:sz w:val="18"/>
                <w:szCs w:val="18"/>
              </w:rPr>
            </w:pPr>
            <w:r>
              <w:rPr>
                <w:sz w:val="18"/>
                <w:szCs w:val="18"/>
              </w:rPr>
              <w:t>25.1%</w:t>
            </w:r>
          </w:p>
        </w:tc>
        <w:tc>
          <w:tcPr>
            <w:tcW w:w="335" w:type="pct"/>
            <w:tcBorders>
              <w:top w:val="single" w:sz="8" w:space="0" w:color="auto"/>
              <w:left w:val="nil"/>
              <w:bottom w:val="single" w:sz="8" w:space="0" w:color="auto"/>
              <w:right w:val="nil"/>
            </w:tcBorders>
            <w:noWrap/>
            <w:hideMark/>
          </w:tcPr>
          <w:p w14:paraId="389E2D02" w14:textId="77777777" w:rsidR="007E34FA" w:rsidRDefault="007E34FA">
            <w:pPr>
              <w:rPr>
                <w:sz w:val="18"/>
                <w:szCs w:val="18"/>
              </w:rPr>
            </w:pPr>
            <w:r>
              <w:rPr>
                <w:sz w:val="18"/>
                <w:szCs w:val="18"/>
              </w:rPr>
              <w:t>21.9%</w:t>
            </w:r>
          </w:p>
        </w:tc>
        <w:tc>
          <w:tcPr>
            <w:tcW w:w="335" w:type="pct"/>
            <w:tcBorders>
              <w:top w:val="single" w:sz="8" w:space="0" w:color="auto"/>
              <w:left w:val="nil"/>
              <w:bottom w:val="single" w:sz="8" w:space="0" w:color="auto"/>
              <w:right w:val="nil"/>
            </w:tcBorders>
            <w:noWrap/>
            <w:hideMark/>
          </w:tcPr>
          <w:p w14:paraId="27317A06" w14:textId="77777777" w:rsidR="007E34FA" w:rsidRDefault="007E34FA">
            <w:pPr>
              <w:rPr>
                <w:sz w:val="18"/>
                <w:szCs w:val="18"/>
              </w:rPr>
            </w:pPr>
            <w:r>
              <w:rPr>
                <w:sz w:val="18"/>
                <w:szCs w:val="18"/>
              </w:rPr>
              <w:t>19.1%</w:t>
            </w:r>
          </w:p>
        </w:tc>
        <w:tc>
          <w:tcPr>
            <w:tcW w:w="348" w:type="pct"/>
            <w:tcBorders>
              <w:top w:val="single" w:sz="8" w:space="0" w:color="auto"/>
              <w:left w:val="nil"/>
              <w:bottom w:val="single" w:sz="8" w:space="0" w:color="auto"/>
              <w:right w:val="nil"/>
            </w:tcBorders>
            <w:noWrap/>
            <w:hideMark/>
          </w:tcPr>
          <w:p w14:paraId="3022F8EB" w14:textId="77777777" w:rsidR="007E34FA" w:rsidRDefault="007E34FA">
            <w:pPr>
              <w:rPr>
                <w:sz w:val="18"/>
                <w:szCs w:val="18"/>
              </w:rPr>
            </w:pPr>
            <w:r>
              <w:rPr>
                <w:sz w:val="18"/>
                <w:szCs w:val="18"/>
              </w:rPr>
              <w:t>16.7%</w:t>
            </w:r>
          </w:p>
        </w:tc>
        <w:tc>
          <w:tcPr>
            <w:tcW w:w="493" w:type="pct"/>
            <w:tcBorders>
              <w:top w:val="single" w:sz="8" w:space="0" w:color="auto"/>
              <w:left w:val="nil"/>
              <w:bottom w:val="single" w:sz="8" w:space="0" w:color="auto"/>
              <w:right w:val="nil"/>
            </w:tcBorders>
            <w:hideMark/>
          </w:tcPr>
          <w:p w14:paraId="48B426D0" w14:textId="77777777" w:rsidR="007E34FA" w:rsidRDefault="007E34FA">
            <w:pPr>
              <w:rPr>
                <w:rFonts w:ascii="Calibri" w:hAnsi="Calibri"/>
                <w:color w:val="000000"/>
                <w:sz w:val="18"/>
                <w:szCs w:val="18"/>
              </w:rPr>
            </w:pPr>
            <w:r>
              <w:rPr>
                <w:rFonts w:ascii="Calibri" w:hAnsi="Calibri"/>
                <w:color w:val="000000"/>
                <w:sz w:val="18"/>
                <w:szCs w:val="18"/>
              </w:rPr>
              <w:t>22.3%</w:t>
            </w:r>
          </w:p>
        </w:tc>
      </w:tr>
      <w:tr w:rsidR="007E34FA" w14:paraId="3EFA578F" w14:textId="77777777" w:rsidTr="007E34FA">
        <w:trPr>
          <w:trHeight w:val="300"/>
        </w:trPr>
        <w:tc>
          <w:tcPr>
            <w:tcW w:w="807" w:type="pct"/>
            <w:tcBorders>
              <w:top w:val="single" w:sz="8" w:space="0" w:color="auto"/>
              <w:left w:val="nil"/>
              <w:bottom w:val="single" w:sz="8" w:space="0" w:color="auto"/>
              <w:right w:val="nil"/>
            </w:tcBorders>
            <w:noWrap/>
            <w:hideMark/>
          </w:tcPr>
          <w:p w14:paraId="723289C5" w14:textId="77777777" w:rsidR="007E34FA" w:rsidRDefault="007E34FA">
            <w:pPr>
              <w:rPr>
                <w:sz w:val="18"/>
                <w:szCs w:val="18"/>
              </w:rPr>
            </w:pPr>
            <w:r>
              <w:rPr>
                <w:sz w:val="18"/>
                <w:szCs w:val="18"/>
              </w:rPr>
              <w:t>Drug eluting stent</w:t>
            </w:r>
          </w:p>
        </w:tc>
        <w:tc>
          <w:tcPr>
            <w:tcW w:w="335" w:type="pct"/>
            <w:tcBorders>
              <w:top w:val="single" w:sz="8" w:space="0" w:color="auto"/>
              <w:left w:val="nil"/>
              <w:bottom w:val="single" w:sz="8" w:space="0" w:color="auto"/>
              <w:right w:val="nil"/>
            </w:tcBorders>
            <w:noWrap/>
            <w:hideMark/>
          </w:tcPr>
          <w:p w14:paraId="17DC332B" w14:textId="77777777" w:rsidR="007E34FA" w:rsidRDefault="007E34FA">
            <w:pPr>
              <w:rPr>
                <w:sz w:val="18"/>
                <w:szCs w:val="18"/>
              </w:rPr>
            </w:pPr>
            <w:r>
              <w:rPr>
                <w:sz w:val="18"/>
                <w:szCs w:val="18"/>
              </w:rPr>
              <w:t>73.4%</w:t>
            </w:r>
          </w:p>
        </w:tc>
        <w:tc>
          <w:tcPr>
            <w:tcW w:w="335" w:type="pct"/>
            <w:tcBorders>
              <w:top w:val="single" w:sz="8" w:space="0" w:color="auto"/>
              <w:left w:val="nil"/>
              <w:bottom w:val="single" w:sz="8" w:space="0" w:color="auto"/>
              <w:right w:val="nil"/>
            </w:tcBorders>
            <w:noWrap/>
            <w:hideMark/>
          </w:tcPr>
          <w:p w14:paraId="75A3C1F9" w14:textId="77777777" w:rsidR="007E34FA" w:rsidRDefault="007E34FA">
            <w:pPr>
              <w:rPr>
                <w:sz w:val="18"/>
                <w:szCs w:val="18"/>
              </w:rPr>
            </w:pPr>
            <w:r>
              <w:rPr>
                <w:sz w:val="18"/>
                <w:szCs w:val="18"/>
              </w:rPr>
              <w:t>86.7%</w:t>
            </w:r>
          </w:p>
        </w:tc>
        <w:tc>
          <w:tcPr>
            <w:tcW w:w="335" w:type="pct"/>
            <w:tcBorders>
              <w:top w:val="single" w:sz="8" w:space="0" w:color="auto"/>
              <w:left w:val="nil"/>
              <w:bottom w:val="single" w:sz="8" w:space="0" w:color="auto"/>
              <w:right w:val="nil"/>
            </w:tcBorders>
            <w:noWrap/>
            <w:hideMark/>
          </w:tcPr>
          <w:p w14:paraId="265566FE" w14:textId="77777777" w:rsidR="007E34FA" w:rsidRDefault="007E34FA">
            <w:pPr>
              <w:rPr>
                <w:sz w:val="18"/>
                <w:szCs w:val="18"/>
              </w:rPr>
            </w:pPr>
            <w:r>
              <w:rPr>
                <w:sz w:val="18"/>
                <w:szCs w:val="18"/>
              </w:rPr>
              <w:t>82.7%</w:t>
            </w:r>
          </w:p>
        </w:tc>
        <w:tc>
          <w:tcPr>
            <w:tcW w:w="335" w:type="pct"/>
            <w:tcBorders>
              <w:top w:val="single" w:sz="8" w:space="0" w:color="auto"/>
              <w:left w:val="nil"/>
              <w:bottom w:val="single" w:sz="8" w:space="0" w:color="auto"/>
              <w:right w:val="nil"/>
            </w:tcBorders>
            <w:noWrap/>
            <w:hideMark/>
          </w:tcPr>
          <w:p w14:paraId="355CE9BA" w14:textId="77777777" w:rsidR="007E34FA" w:rsidRDefault="007E34FA">
            <w:pPr>
              <w:rPr>
                <w:sz w:val="18"/>
                <w:szCs w:val="18"/>
              </w:rPr>
            </w:pPr>
            <w:r>
              <w:rPr>
                <w:sz w:val="18"/>
                <w:szCs w:val="18"/>
              </w:rPr>
              <w:t>64.4%</w:t>
            </w:r>
          </w:p>
        </w:tc>
        <w:tc>
          <w:tcPr>
            <w:tcW w:w="335" w:type="pct"/>
            <w:tcBorders>
              <w:top w:val="single" w:sz="8" w:space="0" w:color="auto"/>
              <w:left w:val="nil"/>
              <w:bottom w:val="single" w:sz="8" w:space="0" w:color="auto"/>
              <w:right w:val="nil"/>
            </w:tcBorders>
            <w:noWrap/>
            <w:hideMark/>
          </w:tcPr>
          <w:p w14:paraId="487F5B0A" w14:textId="77777777" w:rsidR="007E34FA" w:rsidRDefault="007E34FA">
            <w:pPr>
              <w:rPr>
                <w:sz w:val="18"/>
                <w:szCs w:val="18"/>
              </w:rPr>
            </w:pPr>
            <w:r>
              <w:rPr>
                <w:sz w:val="18"/>
                <w:szCs w:val="18"/>
              </w:rPr>
              <w:t>63.2%</w:t>
            </w:r>
          </w:p>
        </w:tc>
        <w:tc>
          <w:tcPr>
            <w:tcW w:w="335" w:type="pct"/>
            <w:tcBorders>
              <w:top w:val="single" w:sz="8" w:space="0" w:color="auto"/>
              <w:left w:val="nil"/>
              <w:bottom w:val="single" w:sz="8" w:space="0" w:color="auto"/>
              <w:right w:val="nil"/>
            </w:tcBorders>
            <w:noWrap/>
            <w:hideMark/>
          </w:tcPr>
          <w:p w14:paraId="58D459A3" w14:textId="77777777" w:rsidR="007E34FA" w:rsidRDefault="007E34FA">
            <w:pPr>
              <w:rPr>
                <w:sz w:val="18"/>
                <w:szCs w:val="18"/>
              </w:rPr>
            </w:pPr>
            <w:r>
              <w:rPr>
                <w:sz w:val="18"/>
                <w:szCs w:val="18"/>
              </w:rPr>
              <w:t>69.7%</w:t>
            </w:r>
          </w:p>
        </w:tc>
        <w:tc>
          <w:tcPr>
            <w:tcW w:w="335" w:type="pct"/>
            <w:tcBorders>
              <w:top w:val="single" w:sz="8" w:space="0" w:color="auto"/>
              <w:left w:val="nil"/>
              <w:bottom w:val="single" w:sz="8" w:space="0" w:color="auto"/>
              <w:right w:val="nil"/>
            </w:tcBorders>
            <w:noWrap/>
            <w:hideMark/>
          </w:tcPr>
          <w:p w14:paraId="657F953C" w14:textId="77777777" w:rsidR="007E34FA" w:rsidRDefault="007E34FA">
            <w:pPr>
              <w:rPr>
                <w:sz w:val="18"/>
                <w:szCs w:val="18"/>
              </w:rPr>
            </w:pPr>
            <w:r>
              <w:rPr>
                <w:sz w:val="18"/>
                <w:szCs w:val="18"/>
              </w:rPr>
              <w:t>67.6%</w:t>
            </w:r>
          </w:p>
        </w:tc>
        <w:tc>
          <w:tcPr>
            <w:tcW w:w="335" w:type="pct"/>
            <w:tcBorders>
              <w:top w:val="single" w:sz="8" w:space="0" w:color="auto"/>
              <w:left w:val="nil"/>
              <w:bottom w:val="single" w:sz="8" w:space="0" w:color="auto"/>
              <w:right w:val="nil"/>
            </w:tcBorders>
            <w:noWrap/>
            <w:hideMark/>
          </w:tcPr>
          <w:p w14:paraId="6A8D0286" w14:textId="77777777" w:rsidR="007E34FA" w:rsidRDefault="007E34FA">
            <w:pPr>
              <w:rPr>
                <w:sz w:val="18"/>
                <w:szCs w:val="18"/>
              </w:rPr>
            </w:pPr>
            <w:r>
              <w:rPr>
                <w:sz w:val="18"/>
                <w:szCs w:val="18"/>
              </w:rPr>
              <w:t>68.7%</w:t>
            </w:r>
          </w:p>
        </w:tc>
        <w:tc>
          <w:tcPr>
            <w:tcW w:w="335" w:type="pct"/>
            <w:tcBorders>
              <w:top w:val="single" w:sz="8" w:space="0" w:color="auto"/>
              <w:left w:val="nil"/>
              <w:bottom w:val="single" w:sz="8" w:space="0" w:color="auto"/>
              <w:right w:val="nil"/>
            </w:tcBorders>
            <w:noWrap/>
            <w:hideMark/>
          </w:tcPr>
          <w:p w14:paraId="3EA6C5D1" w14:textId="77777777" w:rsidR="007E34FA" w:rsidRDefault="007E34FA">
            <w:pPr>
              <w:rPr>
                <w:sz w:val="18"/>
                <w:szCs w:val="18"/>
              </w:rPr>
            </w:pPr>
            <w:r>
              <w:rPr>
                <w:sz w:val="18"/>
                <w:szCs w:val="18"/>
              </w:rPr>
              <w:t>71.8%</w:t>
            </w:r>
          </w:p>
        </w:tc>
        <w:tc>
          <w:tcPr>
            <w:tcW w:w="335" w:type="pct"/>
            <w:tcBorders>
              <w:top w:val="single" w:sz="8" w:space="0" w:color="auto"/>
              <w:left w:val="nil"/>
              <w:bottom w:val="single" w:sz="8" w:space="0" w:color="auto"/>
              <w:right w:val="nil"/>
            </w:tcBorders>
            <w:noWrap/>
            <w:hideMark/>
          </w:tcPr>
          <w:p w14:paraId="1EFFB56D" w14:textId="77777777" w:rsidR="007E34FA" w:rsidRDefault="007E34FA">
            <w:pPr>
              <w:rPr>
                <w:sz w:val="18"/>
                <w:szCs w:val="18"/>
              </w:rPr>
            </w:pPr>
            <w:r>
              <w:rPr>
                <w:sz w:val="18"/>
                <w:szCs w:val="18"/>
              </w:rPr>
              <w:t>74.3%</w:t>
            </w:r>
          </w:p>
        </w:tc>
        <w:tc>
          <w:tcPr>
            <w:tcW w:w="348" w:type="pct"/>
            <w:tcBorders>
              <w:top w:val="single" w:sz="8" w:space="0" w:color="auto"/>
              <w:left w:val="nil"/>
              <w:bottom w:val="single" w:sz="8" w:space="0" w:color="auto"/>
              <w:right w:val="nil"/>
            </w:tcBorders>
            <w:noWrap/>
            <w:hideMark/>
          </w:tcPr>
          <w:p w14:paraId="52DFC98C" w14:textId="77777777" w:rsidR="007E34FA" w:rsidRDefault="007E34FA">
            <w:pPr>
              <w:rPr>
                <w:sz w:val="18"/>
                <w:szCs w:val="18"/>
              </w:rPr>
            </w:pPr>
            <w:r>
              <w:rPr>
                <w:sz w:val="18"/>
                <w:szCs w:val="18"/>
              </w:rPr>
              <w:t>76.4%</w:t>
            </w:r>
          </w:p>
        </w:tc>
        <w:tc>
          <w:tcPr>
            <w:tcW w:w="493" w:type="pct"/>
            <w:tcBorders>
              <w:top w:val="single" w:sz="8" w:space="0" w:color="auto"/>
              <w:left w:val="nil"/>
              <w:bottom w:val="single" w:sz="8" w:space="0" w:color="auto"/>
              <w:right w:val="nil"/>
            </w:tcBorders>
            <w:hideMark/>
          </w:tcPr>
          <w:p w14:paraId="6E43ED7A" w14:textId="77777777" w:rsidR="007E34FA" w:rsidRDefault="007E34FA">
            <w:pPr>
              <w:rPr>
                <w:rFonts w:ascii="Calibri" w:hAnsi="Calibri"/>
                <w:color w:val="000000"/>
                <w:sz w:val="18"/>
                <w:szCs w:val="18"/>
              </w:rPr>
            </w:pPr>
            <w:r>
              <w:rPr>
                <w:rFonts w:ascii="Calibri" w:hAnsi="Calibri"/>
                <w:color w:val="000000"/>
                <w:sz w:val="18"/>
                <w:szCs w:val="18"/>
              </w:rPr>
              <w:t>72.6%</w:t>
            </w:r>
          </w:p>
        </w:tc>
      </w:tr>
      <w:tr w:rsidR="007E34FA" w14:paraId="004AF8A3" w14:textId="77777777" w:rsidTr="007E34FA">
        <w:trPr>
          <w:trHeight w:val="300"/>
        </w:trPr>
        <w:tc>
          <w:tcPr>
            <w:tcW w:w="807" w:type="pct"/>
            <w:tcBorders>
              <w:top w:val="single" w:sz="8" w:space="0" w:color="auto"/>
              <w:left w:val="nil"/>
              <w:bottom w:val="single" w:sz="8" w:space="0" w:color="auto"/>
              <w:right w:val="nil"/>
            </w:tcBorders>
            <w:noWrap/>
            <w:hideMark/>
          </w:tcPr>
          <w:p w14:paraId="24FDD4B4" w14:textId="77777777" w:rsidR="007E34FA" w:rsidRDefault="007E34FA">
            <w:pPr>
              <w:rPr>
                <w:sz w:val="18"/>
                <w:szCs w:val="18"/>
              </w:rPr>
            </w:pPr>
            <w:r>
              <w:rPr>
                <w:sz w:val="18"/>
                <w:szCs w:val="18"/>
              </w:rPr>
              <w:t>Unknown stent type</w:t>
            </w:r>
          </w:p>
        </w:tc>
        <w:tc>
          <w:tcPr>
            <w:tcW w:w="335" w:type="pct"/>
            <w:tcBorders>
              <w:top w:val="single" w:sz="8" w:space="0" w:color="auto"/>
              <w:left w:val="nil"/>
              <w:bottom w:val="single" w:sz="8" w:space="0" w:color="auto"/>
              <w:right w:val="nil"/>
            </w:tcBorders>
            <w:noWrap/>
            <w:hideMark/>
          </w:tcPr>
          <w:p w14:paraId="38D5C95E" w14:textId="77777777" w:rsidR="007E34FA" w:rsidRDefault="007E34FA">
            <w:pPr>
              <w:rPr>
                <w:sz w:val="18"/>
                <w:szCs w:val="18"/>
              </w:rPr>
            </w:pPr>
            <w:r>
              <w:rPr>
                <w:sz w:val="18"/>
                <w:szCs w:val="18"/>
              </w:rPr>
              <w:t>7.1%</w:t>
            </w:r>
          </w:p>
        </w:tc>
        <w:tc>
          <w:tcPr>
            <w:tcW w:w="335" w:type="pct"/>
            <w:tcBorders>
              <w:top w:val="single" w:sz="8" w:space="0" w:color="auto"/>
              <w:left w:val="nil"/>
              <w:bottom w:val="single" w:sz="8" w:space="0" w:color="auto"/>
              <w:right w:val="nil"/>
            </w:tcBorders>
            <w:noWrap/>
            <w:hideMark/>
          </w:tcPr>
          <w:p w14:paraId="7C9AFC07" w14:textId="77777777" w:rsidR="007E34FA" w:rsidRDefault="007E34FA">
            <w:pPr>
              <w:rPr>
                <w:sz w:val="18"/>
                <w:szCs w:val="18"/>
              </w:rPr>
            </w:pPr>
            <w:r>
              <w:rPr>
                <w:sz w:val="18"/>
                <w:szCs w:val="18"/>
              </w:rPr>
              <w:t>5.3%</w:t>
            </w:r>
          </w:p>
        </w:tc>
        <w:tc>
          <w:tcPr>
            <w:tcW w:w="335" w:type="pct"/>
            <w:tcBorders>
              <w:top w:val="single" w:sz="8" w:space="0" w:color="auto"/>
              <w:left w:val="nil"/>
              <w:bottom w:val="single" w:sz="8" w:space="0" w:color="auto"/>
              <w:right w:val="nil"/>
            </w:tcBorders>
            <w:noWrap/>
            <w:hideMark/>
          </w:tcPr>
          <w:p w14:paraId="60C3936C" w14:textId="77777777" w:rsidR="007E34FA" w:rsidRDefault="007E34FA">
            <w:pPr>
              <w:rPr>
                <w:sz w:val="18"/>
                <w:szCs w:val="18"/>
              </w:rPr>
            </w:pPr>
            <w:r>
              <w:rPr>
                <w:sz w:val="18"/>
                <w:szCs w:val="18"/>
              </w:rPr>
              <w:t>5.9%</w:t>
            </w:r>
          </w:p>
        </w:tc>
        <w:tc>
          <w:tcPr>
            <w:tcW w:w="335" w:type="pct"/>
            <w:tcBorders>
              <w:top w:val="single" w:sz="8" w:space="0" w:color="auto"/>
              <w:left w:val="nil"/>
              <w:bottom w:val="single" w:sz="8" w:space="0" w:color="auto"/>
              <w:right w:val="nil"/>
            </w:tcBorders>
            <w:noWrap/>
            <w:hideMark/>
          </w:tcPr>
          <w:p w14:paraId="49FB923E" w14:textId="77777777" w:rsidR="007E34FA" w:rsidRDefault="007E34FA">
            <w:pPr>
              <w:rPr>
                <w:sz w:val="18"/>
                <w:szCs w:val="18"/>
              </w:rPr>
            </w:pPr>
            <w:r>
              <w:rPr>
                <w:sz w:val="18"/>
                <w:szCs w:val="18"/>
              </w:rPr>
              <w:t>7.3%</w:t>
            </w:r>
          </w:p>
        </w:tc>
        <w:tc>
          <w:tcPr>
            <w:tcW w:w="335" w:type="pct"/>
            <w:tcBorders>
              <w:top w:val="single" w:sz="8" w:space="0" w:color="auto"/>
              <w:left w:val="nil"/>
              <w:bottom w:val="single" w:sz="8" w:space="0" w:color="auto"/>
              <w:right w:val="nil"/>
            </w:tcBorders>
            <w:noWrap/>
            <w:hideMark/>
          </w:tcPr>
          <w:p w14:paraId="53261F9A" w14:textId="77777777" w:rsidR="007E34FA" w:rsidRDefault="007E34FA">
            <w:pPr>
              <w:rPr>
                <w:sz w:val="18"/>
                <w:szCs w:val="18"/>
              </w:rPr>
            </w:pPr>
            <w:r>
              <w:rPr>
                <w:sz w:val="18"/>
                <w:szCs w:val="18"/>
              </w:rPr>
              <w:t>7.3%</w:t>
            </w:r>
          </w:p>
        </w:tc>
        <w:tc>
          <w:tcPr>
            <w:tcW w:w="335" w:type="pct"/>
            <w:tcBorders>
              <w:top w:val="single" w:sz="8" w:space="0" w:color="auto"/>
              <w:left w:val="nil"/>
              <w:bottom w:val="single" w:sz="8" w:space="0" w:color="auto"/>
              <w:right w:val="nil"/>
            </w:tcBorders>
            <w:noWrap/>
            <w:hideMark/>
          </w:tcPr>
          <w:p w14:paraId="789730EE" w14:textId="77777777" w:rsidR="007E34FA" w:rsidRDefault="007E34FA">
            <w:pPr>
              <w:rPr>
                <w:sz w:val="18"/>
                <w:szCs w:val="18"/>
              </w:rPr>
            </w:pPr>
            <w:r>
              <w:rPr>
                <w:sz w:val="18"/>
                <w:szCs w:val="18"/>
              </w:rPr>
              <w:t>7.2%</w:t>
            </w:r>
          </w:p>
        </w:tc>
        <w:tc>
          <w:tcPr>
            <w:tcW w:w="335" w:type="pct"/>
            <w:tcBorders>
              <w:top w:val="single" w:sz="8" w:space="0" w:color="auto"/>
              <w:left w:val="nil"/>
              <w:bottom w:val="single" w:sz="8" w:space="0" w:color="auto"/>
              <w:right w:val="nil"/>
            </w:tcBorders>
            <w:noWrap/>
            <w:hideMark/>
          </w:tcPr>
          <w:p w14:paraId="5B3D206E" w14:textId="77777777" w:rsidR="007E34FA" w:rsidRDefault="007E34FA">
            <w:pPr>
              <w:rPr>
                <w:sz w:val="18"/>
                <w:szCs w:val="18"/>
              </w:rPr>
            </w:pPr>
            <w:r>
              <w:rPr>
                <w:sz w:val="18"/>
                <w:szCs w:val="18"/>
              </w:rPr>
              <w:t>7.7%</w:t>
            </w:r>
          </w:p>
        </w:tc>
        <w:tc>
          <w:tcPr>
            <w:tcW w:w="335" w:type="pct"/>
            <w:tcBorders>
              <w:top w:val="single" w:sz="8" w:space="0" w:color="auto"/>
              <w:left w:val="nil"/>
              <w:bottom w:val="single" w:sz="8" w:space="0" w:color="auto"/>
              <w:right w:val="nil"/>
            </w:tcBorders>
            <w:noWrap/>
            <w:hideMark/>
          </w:tcPr>
          <w:p w14:paraId="53121379" w14:textId="77777777" w:rsidR="007E34FA" w:rsidRDefault="007E34FA">
            <w:pPr>
              <w:rPr>
                <w:sz w:val="18"/>
                <w:szCs w:val="18"/>
              </w:rPr>
            </w:pPr>
            <w:r>
              <w:rPr>
                <w:sz w:val="18"/>
                <w:szCs w:val="18"/>
              </w:rPr>
              <w:t>7.7%</w:t>
            </w:r>
          </w:p>
        </w:tc>
        <w:tc>
          <w:tcPr>
            <w:tcW w:w="335" w:type="pct"/>
            <w:tcBorders>
              <w:top w:val="single" w:sz="8" w:space="0" w:color="auto"/>
              <w:left w:val="nil"/>
              <w:bottom w:val="single" w:sz="8" w:space="0" w:color="auto"/>
              <w:right w:val="nil"/>
            </w:tcBorders>
            <w:noWrap/>
            <w:hideMark/>
          </w:tcPr>
          <w:p w14:paraId="7781D7EE" w14:textId="77777777" w:rsidR="007E34FA" w:rsidRDefault="007E34FA">
            <w:pPr>
              <w:rPr>
                <w:sz w:val="18"/>
                <w:szCs w:val="18"/>
              </w:rPr>
            </w:pPr>
            <w:r>
              <w:rPr>
                <w:sz w:val="18"/>
                <w:szCs w:val="18"/>
              </w:rPr>
              <w:t>7.4%</w:t>
            </w:r>
          </w:p>
        </w:tc>
        <w:tc>
          <w:tcPr>
            <w:tcW w:w="335" w:type="pct"/>
            <w:tcBorders>
              <w:top w:val="single" w:sz="8" w:space="0" w:color="auto"/>
              <w:left w:val="nil"/>
              <w:bottom w:val="single" w:sz="8" w:space="0" w:color="auto"/>
              <w:right w:val="nil"/>
            </w:tcBorders>
            <w:noWrap/>
            <w:hideMark/>
          </w:tcPr>
          <w:p w14:paraId="4B45B088" w14:textId="77777777" w:rsidR="007E34FA" w:rsidRDefault="007E34FA">
            <w:pPr>
              <w:rPr>
                <w:sz w:val="18"/>
                <w:szCs w:val="18"/>
              </w:rPr>
            </w:pPr>
            <w:r>
              <w:rPr>
                <w:sz w:val="18"/>
                <w:szCs w:val="18"/>
              </w:rPr>
              <w:t>7.6%</w:t>
            </w:r>
          </w:p>
        </w:tc>
        <w:tc>
          <w:tcPr>
            <w:tcW w:w="348" w:type="pct"/>
            <w:tcBorders>
              <w:top w:val="single" w:sz="8" w:space="0" w:color="auto"/>
              <w:left w:val="nil"/>
              <w:bottom w:val="single" w:sz="8" w:space="0" w:color="auto"/>
              <w:right w:val="nil"/>
            </w:tcBorders>
            <w:noWrap/>
            <w:hideMark/>
          </w:tcPr>
          <w:p w14:paraId="4B9240F9" w14:textId="77777777" w:rsidR="007E34FA" w:rsidRDefault="007E34FA">
            <w:pPr>
              <w:rPr>
                <w:sz w:val="18"/>
                <w:szCs w:val="18"/>
              </w:rPr>
            </w:pPr>
            <w:r>
              <w:rPr>
                <w:sz w:val="18"/>
                <w:szCs w:val="18"/>
              </w:rPr>
              <w:t>7.9%</w:t>
            </w:r>
          </w:p>
        </w:tc>
        <w:tc>
          <w:tcPr>
            <w:tcW w:w="493" w:type="pct"/>
            <w:tcBorders>
              <w:top w:val="single" w:sz="8" w:space="0" w:color="auto"/>
              <w:left w:val="nil"/>
              <w:bottom w:val="single" w:sz="8" w:space="0" w:color="auto"/>
              <w:right w:val="nil"/>
            </w:tcBorders>
            <w:hideMark/>
          </w:tcPr>
          <w:p w14:paraId="44D37C0E" w14:textId="77777777" w:rsidR="007E34FA" w:rsidRDefault="007E34FA">
            <w:pPr>
              <w:rPr>
                <w:rFonts w:ascii="Calibri" w:hAnsi="Calibri"/>
                <w:color w:val="000000"/>
                <w:sz w:val="18"/>
                <w:szCs w:val="18"/>
              </w:rPr>
            </w:pPr>
            <w:r>
              <w:rPr>
                <w:rFonts w:ascii="Calibri" w:hAnsi="Calibri"/>
                <w:color w:val="000000"/>
                <w:sz w:val="18"/>
                <w:szCs w:val="18"/>
              </w:rPr>
              <w:t>7.1%</w:t>
            </w:r>
          </w:p>
        </w:tc>
      </w:tr>
      <w:tr w:rsidR="007E34FA" w14:paraId="00CAE47F" w14:textId="77777777" w:rsidTr="007E34FA">
        <w:trPr>
          <w:trHeight w:val="300"/>
        </w:trPr>
        <w:tc>
          <w:tcPr>
            <w:tcW w:w="807" w:type="pct"/>
            <w:tcBorders>
              <w:top w:val="single" w:sz="8" w:space="0" w:color="auto"/>
              <w:left w:val="nil"/>
              <w:bottom w:val="single" w:sz="8" w:space="0" w:color="auto"/>
              <w:right w:val="nil"/>
            </w:tcBorders>
            <w:noWrap/>
            <w:hideMark/>
          </w:tcPr>
          <w:p w14:paraId="573126A2" w14:textId="77777777" w:rsidR="007E34FA" w:rsidRDefault="007E34FA">
            <w:pPr>
              <w:rPr>
                <w:sz w:val="18"/>
                <w:szCs w:val="18"/>
              </w:rPr>
            </w:pPr>
            <w:r>
              <w:rPr>
                <w:sz w:val="18"/>
                <w:szCs w:val="18"/>
              </w:rPr>
              <w:t>Both stent types used</w:t>
            </w:r>
          </w:p>
        </w:tc>
        <w:tc>
          <w:tcPr>
            <w:tcW w:w="335" w:type="pct"/>
            <w:tcBorders>
              <w:top w:val="single" w:sz="8" w:space="0" w:color="auto"/>
              <w:left w:val="nil"/>
              <w:bottom w:val="single" w:sz="8" w:space="0" w:color="auto"/>
              <w:right w:val="nil"/>
            </w:tcBorders>
            <w:noWrap/>
            <w:hideMark/>
          </w:tcPr>
          <w:p w14:paraId="13A3EF25" w14:textId="77777777" w:rsidR="007E34FA" w:rsidRDefault="007E34FA">
            <w:pPr>
              <w:rPr>
                <w:sz w:val="18"/>
                <w:szCs w:val="18"/>
              </w:rPr>
            </w:pPr>
            <w:r>
              <w:rPr>
                <w:sz w:val="18"/>
                <w:szCs w:val="18"/>
              </w:rPr>
              <w:t>3.0%</w:t>
            </w:r>
          </w:p>
        </w:tc>
        <w:tc>
          <w:tcPr>
            <w:tcW w:w="335" w:type="pct"/>
            <w:tcBorders>
              <w:top w:val="single" w:sz="8" w:space="0" w:color="auto"/>
              <w:left w:val="nil"/>
              <w:bottom w:val="single" w:sz="8" w:space="0" w:color="auto"/>
              <w:right w:val="nil"/>
            </w:tcBorders>
            <w:noWrap/>
            <w:hideMark/>
          </w:tcPr>
          <w:p w14:paraId="131A1B96" w14:textId="77777777" w:rsidR="007E34FA" w:rsidRDefault="007E34FA">
            <w:pPr>
              <w:rPr>
                <w:sz w:val="18"/>
                <w:szCs w:val="18"/>
              </w:rPr>
            </w:pPr>
            <w:r>
              <w:rPr>
                <w:sz w:val="18"/>
                <w:szCs w:val="18"/>
              </w:rPr>
              <w:t>2.2%</w:t>
            </w:r>
          </w:p>
        </w:tc>
        <w:tc>
          <w:tcPr>
            <w:tcW w:w="335" w:type="pct"/>
            <w:tcBorders>
              <w:top w:val="single" w:sz="8" w:space="0" w:color="auto"/>
              <w:left w:val="nil"/>
              <w:bottom w:val="single" w:sz="8" w:space="0" w:color="auto"/>
              <w:right w:val="nil"/>
            </w:tcBorders>
            <w:noWrap/>
            <w:hideMark/>
          </w:tcPr>
          <w:p w14:paraId="6BA1055C" w14:textId="77777777" w:rsidR="007E34FA" w:rsidRDefault="007E34FA">
            <w:pPr>
              <w:rPr>
                <w:sz w:val="18"/>
                <w:szCs w:val="18"/>
              </w:rPr>
            </w:pPr>
            <w:r>
              <w:rPr>
                <w:sz w:val="18"/>
                <w:szCs w:val="18"/>
              </w:rPr>
              <w:t>3.0%</w:t>
            </w:r>
          </w:p>
        </w:tc>
        <w:tc>
          <w:tcPr>
            <w:tcW w:w="335" w:type="pct"/>
            <w:tcBorders>
              <w:top w:val="single" w:sz="8" w:space="0" w:color="auto"/>
              <w:left w:val="nil"/>
              <w:bottom w:val="single" w:sz="8" w:space="0" w:color="auto"/>
              <w:right w:val="nil"/>
            </w:tcBorders>
            <w:noWrap/>
            <w:hideMark/>
          </w:tcPr>
          <w:p w14:paraId="1B577949" w14:textId="77777777" w:rsidR="007E34FA" w:rsidRDefault="007E34FA">
            <w:pPr>
              <w:rPr>
                <w:sz w:val="18"/>
                <w:szCs w:val="18"/>
              </w:rPr>
            </w:pPr>
            <w:r>
              <w:rPr>
                <w:sz w:val="18"/>
                <w:szCs w:val="18"/>
              </w:rPr>
              <w:t>3.3%</w:t>
            </w:r>
          </w:p>
        </w:tc>
        <w:tc>
          <w:tcPr>
            <w:tcW w:w="335" w:type="pct"/>
            <w:tcBorders>
              <w:top w:val="single" w:sz="8" w:space="0" w:color="auto"/>
              <w:left w:val="nil"/>
              <w:bottom w:val="single" w:sz="8" w:space="0" w:color="auto"/>
              <w:right w:val="nil"/>
            </w:tcBorders>
            <w:noWrap/>
            <w:hideMark/>
          </w:tcPr>
          <w:p w14:paraId="05D49780" w14:textId="77777777" w:rsidR="007E34FA" w:rsidRDefault="007E34FA">
            <w:pPr>
              <w:rPr>
                <w:sz w:val="18"/>
                <w:szCs w:val="18"/>
              </w:rPr>
            </w:pPr>
            <w:r>
              <w:rPr>
                <w:sz w:val="18"/>
                <w:szCs w:val="18"/>
              </w:rPr>
              <w:t>3.0%</w:t>
            </w:r>
          </w:p>
        </w:tc>
        <w:tc>
          <w:tcPr>
            <w:tcW w:w="335" w:type="pct"/>
            <w:tcBorders>
              <w:top w:val="single" w:sz="8" w:space="0" w:color="auto"/>
              <w:left w:val="nil"/>
              <w:bottom w:val="single" w:sz="8" w:space="0" w:color="auto"/>
              <w:right w:val="nil"/>
            </w:tcBorders>
            <w:noWrap/>
            <w:hideMark/>
          </w:tcPr>
          <w:p w14:paraId="47C4C2E5" w14:textId="77777777" w:rsidR="007E34FA" w:rsidRDefault="007E34FA">
            <w:pPr>
              <w:rPr>
                <w:sz w:val="18"/>
                <w:szCs w:val="18"/>
              </w:rPr>
            </w:pPr>
            <w:r>
              <w:rPr>
                <w:sz w:val="18"/>
                <w:szCs w:val="18"/>
              </w:rPr>
              <w:t>1.8%</w:t>
            </w:r>
          </w:p>
        </w:tc>
        <w:tc>
          <w:tcPr>
            <w:tcW w:w="335" w:type="pct"/>
            <w:tcBorders>
              <w:top w:val="single" w:sz="8" w:space="0" w:color="auto"/>
              <w:left w:val="nil"/>
              <w:bottom w:val="single" w:sz="8" w:space="0" w:color="auto"/>
              <w:right w:val="nil"/>
            </w:tcBorders>
            <w:noWrap/>
            <w:hideMark/>
          </w:tcPr>
          <w:p w14:paraId="6275AA46" w14:textId="77777777" w:rsidR="007E34FA" w:rsidRDefault="007E34FA">
            <w:pPr>
              <w:rPr>
                <w:sz w:val="18"/>
                <w:szCs w:val="18"/>
              </w:rPr>
            </w:pPr>
            <w:r>
              <w:rPr>
                <w:sz w:val="18"/>
                <w:szCs w:val="18"/>
              </w:rPr>
              <w:t>1.5%</w:t>
            </w:r>
          </w:p>
        </w:tc>
        <w:tc>
          <w:tcPr>
            <w:tcW w:w="335" w:type="pct"/>
            <w:tcBorders>
              <w:top w:val="single" w:sz="8" w:space="0" w:color="auto"/>
              <w:left w:val="nil"/>
              <w:bottom w:val="single" w:sz="8" w:space="0" w:color="auto"/>
              <w:right w:val="nil"/>
            </w:tcBorders>
            <w:noWrap/>
            <w:hideMark/>
          </w:tcPr>
          <w:p w14:paraId="57122C86" w14:textId="77777777" w:rsidR="007E34FA" w:rsidRDefault="007E34FA">
            <w:pPr>
              <w:rPr>
                <w:sz w:val="18"/>
                <w:szCs w:val="18"/>
              </w:rPr>
            </w:pPr>
            <w:r>
              <w:rPr>
                <w:sz w:val="18"/>
                <w:szCs w:val="18"/>
              </w:rPr>
              <w:t>1.5%</w:t>
            </w:r>
          </w:p>
        </w:tc>
        <w:tc>
          <w:tcPr>
            <w:tcW w:w="335" w:type="pct"/>
            <w:tcBorders>
              <w:top w:val="single" w:sz="8" w:space="0" w:color="auto"/>
              <w:left w:val="nil"/>
              <w:bottom w:val="single" w:sz="8" w:space="0" w:color="auto"/>
              <w:right w:val="nil"/>
            </w:tcBorders>
            <w:noWrap/>
            <w:hideMark/>
          </w:tcPr>
          <w:p w14:paraId="6F42FC80" w14:textId="77777777" w:rsidR="007E34FA" w:rsidRDefault="007E34FA">
            <w:pPr>
              <w:rPr>
                <w:sz w:val="18"/>
                <w:szCs w:val="18"/>
              </w:rPr>
            </w:pPr>
            <w:r>
              <w:rPr>
                <w:sz w:val="18"/>
                <w:szCs w:val="18"/>
              </w:rPr>
              <w:t>1.1%</w:t>
            </w:r>
          </w:p>
        </w:tc>
        <w:tc>
          <w:tcPr>
            <w:tcW w:w="335" w:type="pct"/>
            <w:tcBorders>
              <w:top w:val="single" w:sz="8" w:space="0" w:color="auto"/>
              <w:left w:val="nil"/>
              <w:bottom w:val="single" w:sz="8" w:space="0" w:color="auto"/>
              <w:right w:val="nil"/>
            </w:tcBorders>
            <w:noWrap/>
            <w:hideMark/>
          </w:tcPr>
          <w:p w14:paraId="77DDA2F2" w14:textId="77777777" w:rsidR="007E34FA" w:rsidRDefault="007E34FA">
            <w:pPr>
              <w:rPr>
                <w:sz w:val="18"/>
                <w:szCs w:val="18"/>
              </w:rPr>
            </w:pPr>
            <w:r>
              <w:rPr>
                <w:sz w:val="18"/>
                <w:szCs w:val="18"/>
              </w:rPr>
              <w:t xml:space="preserve"> 1.0%</w:t>
            </w:r>
          </w:p>
        </w:tc>
        <w:tc>
          <w:tcPr>
            <w:tcW w:w="348" w:type="pct"/>
            <w:tcBorders>
              <w:top w:val="single" w:sz="8" w:space="0" w:color="auto"/>
              <w:left w:val="nil"/>
              <w:bottom w:val="single" w:sz="8" w:space="0" w:color="auto"/>
              <w:right w:val="nil"/>
            </w:tcBorders>
            <w:noWrap/>
            <w:hideMark/>
          </w:tcPr>
          <w:p w14:paraId="0CC12636" w14:textId="77777777" w:rsidR="007E34FA" w:rsidRDefault="007E34FA">
            <w:pPr>
              <w:rPr>
                <w:sz w:val="18"/>
                <w:szCs w:val="18"/>
              </w:rPr>
            </w:pPr>
            <w:r>
              <w:rPr>
                <w:sz w:val="18"/>
                <w:szCs w:val="18"/>
              </w:rPr>
              <w:t xml:space="preserve"> 1.0%</w:t>
            </w:r>
          </w:p>
        </w:tc>
        <w:tc>
          <w:tcPr>
            <w:tcW w:w="493" w:type="pct"/>
            <w:tcBorders>
              <w:top w:val="single" w:sz="8" w:space="0" w:color="auto"/>
              <w:left w:val="nil"/>
              <w:bottom w:val="single" w:sz="8" w:space="0" w:color="auto"/>
              <w:right w:val="nil"/>
            </w:tcBorders>
            <w:hideMark/>
          </w:tcPr>
          <w:p w14:paraId="68E3A8AD" w14:textId="77777777" w:rsidR="007E34FA" w:rsidRDefault="007E34FA">
            <w:pPr>
              <w:rPr>
                <w:rFonts w:ascii="Calibri" w:hAnsi="Calibri"/>
                <w:color w:val="000000"/>
                <w:sz w:val="18"/>
                <w:szCs w:val="18"/>
              </w:rPr>
            </w:pPr>
            <w:r>
              <w:rPr>
                <w:rFonts w:ascii="Calibri" w:hAnsi="Calibri"/>
                <w:color w:val="000000"/>
                <w:sz w:val="18"/>
                <w:szCs w:val="18"/>
              </w:rPr>
              <w:t>2.0%</w:t>
            </w:r>
          </w:p>
        </w:tc>
      </w:tr>
      <w:tr w:rsidR="007E34FA" w14:paraId="713524E8" w14:textId="77777777" w:rsidTr="007E34FA">
        <w:trPr>
          <w:trHeight w:val="300"/>
        </w:trPr>
        <w:tc>
          <w:tcPr>
            <w:tcW w:w="807" w:type="pct"/>
            <w:tcBorders>
              <w:top w:val="single" w:sz="8" w:space="0" w:color="auto"/>
              <w:left w:val="nil"/>
              <w:bottom w:val="single" w:sz="8" w:space="0" w:color="auto"/>
              <w:right w:val="nil"/>
            </w:tcBorders>
            <w:noWrap/>
            <w:hideMark/>
          </w:tcPr>
          <w:p w14:paraId="02AC81FB" w14:textId="77777777" w:rsidR="007E34FA" w:rsidRDefault="007E34FA">
            <w:pPr>
              <w:rPr>
                <w:sz w:val="18"/>
                <w:szCs w:val="18"/>
              </w:rPr>
            </w:pPr>
            <w:r>
              <w:rPr>
                <w:sz w:val="18"/>
                <w:szCs w:val="18"/>
              </w:rPr>
              <w:t>Comorbidities - Charlson Comorbidity Index</w:t>
            </w:r>
          </w:p>
        </w:tc>
        <w:tc>
          <w:tcPr>
            <w:tcW w:w="335" w:type="pct"/>
            <w:tcBorders>
              <w:top w:val="single" w:sz="8" w:space="0" w:color="auto"/>
              <w:left w:val="nil"/>
              <w:bottom w:val="single" w:sz="8" w:space="0" w:color="auto"/>
              <w:right w:val="nil"/>
            </w:tcBorders>
            <w:noWrap/>
          </w:tcPr>
          <w:p w14:paraId="2F03233F" w14:textId="77777777" w:rsidR="007E34FA" w:rsidRDefault="007E34FA">
            <w:pPr>
              <w:rPr>
                <w:sz w:val="18"/>
                <w:szCs w:val="18"/>
              </w:rPr>
            </w:pPr>
          </w:p>
        </w:tc>
        <w:tc>
          <w:tcPr>
            <w:tcW w:w="335" w:type="pct"/>
            <w:tcBorders>
              <w:top w:val="single" w:sz="8" w:space="0" w:color="auto"/>
              <w:left w:val="nil"/>
              <w:bottom w:val="single" w:sz="8" w:space="0" w:color="auto"/>
              <w:right w:val="nil"/>
            </w:tcBorders>
            <w:noWrap/>
          </w:tcPr>
          <w:p w14:paraId="266BFB8B" w14:textId="77777777" w:rsidR="007E34FA" w:rsidRDefault="007E34FA">
            <w:pPr>
              <w:rPr>
                <w:sz w:val="18"/>
                <w:szCs w:val="18"/>
              </w:rPr>
            </w:pPr>
          </w:p>
        </w:tc>
        <w:tc>
          <w:tcPr>
            <w:tcW w:w="335" w:type="pct"/>
            <w:tcBorders>
              <w:top w:val="single" w:sz="8" w:space="0" w:color="auto"/>
              <w:left w:val="nil"/>
              <w:bottom w:val="single" w:sz="8" w:space="0" w:color="auto"/>
              <w:right w:val="nil"/>
            </w:tcBorders>
            <w:noWrap/>
          </w:tcPr>
          <w:p w14:paraId="179DD1E9" w14:textId="77777777" w:rsidR="007E34FA" w:rsidRDefault="007E34FA">
            <w:pPr>
              <w:rPr>
                <w:sz w:val="18"/>
                <w:szCs w:val="18"/>
              </w:rPr>
            </w:pPr>
          </w:p>
        </w:tc>
        <w:tc>
          <w:tcPr>
            <w:tcW w:w="335" w:type="pct"/>
            <w:tcBorders>
              <w:top w:val="single" w:sz="8" w:space="0" w:color="auto"/>
              <w:left w:val="nil"/>
              <w:bottom w:val="single" w:sz="8" w:space="0" w:color="auto"/>
              <w:right w:val="nil"/>
            </w:tcBorders>
            <w:noWrap/>
          </w:tcPr>
          <w:p w14:paraId="1C8AA1A4" w14:textId="77777777" w:rsidR="007E34FA" w:rsidRDefault="007E34FA">
            <w:pPr>
              <w:rPr>
                <w:sz w:val="18"/>
                <w:szCs w:val="18"/>
              </w:rPr>
            </w:pPr>
          </w:p>
        </w:tc>
        <w:tc>
          <w:tcPr>
            <w:tcW w:w="335" w:type="pct"/>
            <w:tcBorders>
              <w:top w:val="single" w:sz="8" w:space="0" w:color="auto"/>
              <w:left w:val="nil"/>
              <w:bottom w:val="single" w:sz="8" w:space="0" w:color="auto"/>
              <w:right w:val="nil"/>
            </w:tcBorders>
            <w:noWrap/>
          </w:tcPr>
          <w:p w14:paraId="0D67BF13" w14:textId="77777777" w:rsidR="007E34FA" w:rsidRDefault="007E34FA">
            <w:pPr>
              <w:rPr>
                <w:sz w:val="18"/>
                <w:szCs w:val="18"/>
              </w:rPr>
            </w:pPr>
          </w:p>
        </w:tc>
        <w:tc>
          <w:tcPr>
            <w:tcW w:w="335" w:type="pct"/>
            <w:tcBorders>
              <w:top w:val="single" w:sz="8" w:space="0" w:color="auto"/>
              <w:left w:val="nil"/>
              <w:bottom w:val="single" w:sz="8" w:space="0" w:color="auto"/>
              <w:right w:val="nil"/>
            </w:tcBorders>
            <w:noWrap/>
          </w:tcPr>
          <w:p w14:paraId="6019F75B" w14:textId="77777777" w:rsidR="007E34FA" w:rsidRDefault="007E34FA">
            <w:pPr>
              <w:rPr>
                <w:sz w:val="18"/>
                <w:szCs w:val="18"/>
              </w:rPr>
            </w:pPr>
          </w:p>
        </w:tc>
        <w:tc>
          <w:tcPr>
            <w:tcW w:w="335" w:type="pct"/>
            <w:tcBorders>
              <w:top w:val="single" w:sz="8" w:space="0" w:color="auto"/>
              <w:left w:val="nil"/>
              <w:bottom w:val="single" w:sz="8" w:space="0" w:color="auto"/>
              <w:right w:val="nil"/>
            </w:tcBorders>
            <w:noWrap/>
          </w:tcPr>
          <w:p w14:paraId="5F335023" w14:textId="77777777" w:rsidR="007E34FA" w:rsidRDefault="007E34FA">
            <w:pPr>
              <w:rPr>
                <w:sz w:val="18"/>
                <w:szCs w:val="18"/>
              </w:rPr>
            </w:pPr>
          </w:p>
        </w:tc>
        <w:tc>
          <w:tcPr>
            <w:tcW w:w="335" w:type="pct"/>
            <w:tcBorders>
              <w:top w:val="single" w:sz="8" w:space="0" w:color="auto"/>
              <w:left w:val="nil"/>
              <w:bottom w:val="single" w:sz="8" w:space="0" w:color="auto"/>
              <w:right w:val="nil"/>
            </w:tcBorders>
            <w:noWrap/>
          </w:tcPr>
          <w:p w14:paraId="4E962A6D" w14:textId="77777777" w:rsidR="007E34FA" w:rsidRDefault="007E34FA">
            <w:pPr>
              <w:rPr>
                <w:sz w:val="18"/>
                <w:szCs w:val="18"/>
              </w:rPr>
            </w:pPr>
          </w:p>
        </w:tc>
        <w:tc>
          <w:tcPr>
            <w:tcW w:w="335" w:type="pct"/>
            <w:tcBorders>
              <w:top w:val="single" w:sz="8" w:space="0" w:color="auto"/>
              <w:left w:val="nil"/>
              <w:bottom w:val="single" w:sz="8" w:space="0" w:color="auto"/>
              <w:right w:val="nil"/>
            </w:tcBorders>
            <w:noWrap/>
          </w:tcPr>
          <w:p w14:paraId="71E67E06" w14:textId="77777777" w:rsidR="007E34FA" w:rsidRDefault="007E34FA">
            <w:pPr>
              <w:rPr>
                <w:sz w:val="18"/>
                <w:szCs w:val="18"/>
              </w:rPr>
            </w:pPr>
          </w:p>
        </w:tc>
        <w:tc>
          <w:tcPr>
            <w:tcW w:w="335" w:type="pct"/>
            <w:tcBorders>
              <w:top w:val="single" w:sz="8" w:space="0" w:color="auto"/>
              <w:left w:val="nil"/>
              <w:bottom w:val="single" w:sz="8" w:space="0" w:color="auto"/>
              <w:right w:val="nil"/>
            </w:tcBorders>
            <w:noWrap/>
          </w:tcPr>
          <w:p w14:paraId="327D91A2" w14:textId="77777777" w:rsidR="007E34FA" w:rsidRDefault="007E34FA">
            <w:pPr>
              <w:rPr>
                <w:sz w:val="18"/>
                <w:szCs w:val="18"/>
              </w:rPr>
            </w:pPr>
          </w:p>
        </w:tc>
        <w:tc>
          <w:tcPr>
            <w:tcW w:w="348" w:type="pct"/>
            <w:tcBorders>
              <w:top w:val="single" w:sz="8" w:space="0" w:color="auto"/>
              <w:left w:val="nil"/>
              <w:bottom w:val="single" w:sz="8" w:space="0" w:color="auto"/>
              <w:right w:val="nil"/>
            </w:tcBorders>
            <w:noWrap/>
          </w:tcPr>
          <w:p w14:paraId="1648CB98" w14:textId="77777777" w:rsidR="007E34FA" w:rsidRDefault="007E34FA">
            <w:pPr>
              <w:rPr>
                <w:sz w:val="18"/>
                <w:szCs w:val="18"/>
              </w:rPr>
            </w:pPr>
          </w:p>
        </w:tc>
        <w:tc>
          <w:tcPr>
            <w:tcW w:w="493" w:type="pct"/>
            <w:tcBorders>
              <w:top w:val="single" w:sz="8" w:space="0" w:color="auto"/>
              <w:left w:val="nil"/>
              <w:bottom w:val="single" w:sz="8" w:space="0" w:color="auto"/>
              <w:right w:val="nil"/>
            </w:tcBorders>
          </w:tcPr>
          <w:p w14:paraId="01B75499" w14:textId="77777777" w:rsidR="007E34FA" w:rsidRDefault="007E34FA">
            <w:pPr>
              <w:rPr>
                <w:sz w:val="18"/>
                <w:szCs w:val="18"/>
              </w:rPr>
            </w:pPr>
          </w:p>
        </w:tc>
      </w:tr>
      <w:tr w:rsidR="007E34FA" w14:paraId="0ED6EF41" w14:textId="77777777" w:rsidTr="007E34FA">
        <w:trPr>
          <w:trHeight w:val="300"/>
        </w:trPr>
        <w:tc>
          <w:tcPr>
            <w:tcW w:w="807" w:type="pct"/>
            <w:tcBorders>
              <w:top w:val="single" w:sz="8" w:space="0" w:color="auto"/>
              <w:left w:val="nil"/>
              <w:bottom w:val="single" w:sz="8" w:space="0" w:color="auto"/>
              <w:right w:val="nil"/>
            </w:tcBorders>
            <w:noWrap/>
            <w:hideMark/>
          </w:tcPr>
          <w:p w14:paraId="1ED5C262" w14:textId="77777777" w:rsidR="007E34FA" w:rsidRDefault="007E34FA">
            <w:pPr>
              <w:rPr>
                <w:sz w:val="18"/>
                <w:szCs w:val="18"/>
              </w:rPr>
            </w:pPr>
            <w:r>
              <w:rPr>
                <w:sz w:val="18"/>
                <w:szCs w:val="18"/>
              </w:rPr>
              <w:t>0</w:t>
            </w:r>
          </w:p>
        </w:tc>
        <w:tc>
          <w:tcPr>
            <w:tcW w:w="335" w:type="pct"/>
            <w:tcBorders>
              <w:top w:val="single" w:sz="8" w:space="0" w:color="auto"/>
              <w:left w:val="nil"/>
              <w:bottom w:val="single" w:sz="8" w:space="0" w:color="auto"/>
              <w:right w:val="nil"/>
            </w:tcBorders>
            <w:noWrap/>
            <w:hideMark/>
          </w:tcPr>
          <w:p w14:paraId="098EFBF4" w14:textId="77777777" w:rsidR="007E34FA" w:rsidRDefault="007E34FA">
            <w:pPr>
              <w:rPr>
                <w:sz w:val="18"/>
                <w:szCs w:val="18"/>
              </w:rPr>
            </w:pPr>
            <w:r>
              <w:rPr>
                <w:sz w:val="18"/>
                <w:szCs w:val="18"/>
              </w:rPr>
              <w:t>46.6%</w:t>
            </w:r>
          </w:p>
        </w:tc>
        <w:tc>
          <w:tcPr>
            <w:tcW w:w="335" w:type="pct"/>
            <w:tcBorders>
              <w:top w:val="single" w:sz="8" w:space="0" w:color="auto"/>
              <w:left w:val="nil"/>
              <w:bottom w:val="single" w:sz="8" w:space="0" w:color="auto"/>
              <w:right w:val="nil"/>
            </w:tcBorders>
            <w:noWrap/>
            <w:hideMark/>
          </w:tcPr>
          <w:p w14:paraId="4D6464A8" w14:textId="77777777" w:rsidR="007E34FA" w:rsidRDefault="007E34FA">
            <w:pPr>
              <w:rPr>
                <w:sz w:val="18"/>
                <w:szCs w:val="18"/>
              </w:rPr>
            </w:pPr>
            <w:r>
              <w:rPr>
                <w:sz w:val="18"/>
                <w:szCs w:val="18"/>
              </w:rPr>
              <w:t>46.8%</w:t>
            </w:r>
          </w:p>
        </w:tc>
        <w:tc>
          <w:tcPr>
            <w:tcW w:w="335" w:type="pct"/>
            <w:tcBorders>
              <w:top w:val="single" w:sz="8" w:space="0" w:color="auto"/>
              <w:left w:val="nil"/>
              <w:bottom w:val="single" w:sz="8" w:space="0" w:color="auto"/>
              <w:right w:val="nil"/>
            </w:tcBorders>
            <w:noWrap/>
            <w:hideMark/>
          </w:tcPr>
          <w:p w14:paraId="1F765088" w14:textId="77777777" w:rsidR="007E34FA" w:rsidRDefault="007E34FA">
            <w:pPr>
              <w:rPr>
                <w:sz w:val="18"/>
                <w:szCs w:val="18"/>
              </w:rPr>
            </w:pPr>
            <w:r>
              <w:rPr>
                <w:sz w:val="18"/>
                <w:szCs w:val="18"/>
              </w:rPr>
              <w:t>45.6%</w:t>
            </w:r>
          </w:p>
        </w:tc>
        <w:tc>
          <w:tcPr>
            <w:tcW w:w="335" w:type="pct"/>
            <w:tcBorders>
              <w:top w:val="single" w:sz="8" w:space="0" w:color="auto"/>
              <w:left w:val="nil"/>
              <w:bottom w:val="single" w:sz="8" w:space="0" w:color="auto"/>
              <w:right w:val="nil"/>
            </w:tcBorders>
            <w:noWrap/>
            <w:hideMark/>
          </w:tcPr>
          <w:p w14:paraId="18FC4089" w14:textId="77777777" w:rsidR="007E34FA" w:rsidRDefault="007E34FA">
            <w:pPr>
              <w:rPr>
                <w:sz w:val="18"/>
                <w:szCs w:val="18"/>
              </w:rPr>
            </w:pPr>
            <w:r>
              <w:rPr>
                <w:sz w:val="18"/>
                <w:szCs w:val="18"/>
              </w:rPr>
              <w:t>43.5%</w:t>
            </w:r>
          </w:p>
        </w:tc>
        <w:tc>
          <w:tcPr>
            <w:tcW w:w="335" w:type="pct"/>
            <w:tcBorders>
              <w:top w:val="single" w:sz="8" w:space="0" w:color="auto"/>
              <w:left w:val="nil"/>
              <w:bottom w:val="single" w:sz="8" w:space="0" w:color="auto"/>
              <w:right w:val="nil"/>
            </w:tcBorders>
            <w:noWrap/>
            <w:hideMark/>
          </w:tcPr>
          <w:p w14:paraId="2044740E" w14:textId="77777777" w:rsidR="007E34FA" w:rsidRDefault="007E34FA">
            <w:pPr>
              <w:rPr>
                <w:sz w:val="18"/>
                <w:szCs w:val="18"/>
              </w:rPr>
            </w:pPr>
            <w:r>
              <w:rPr>
                <w:sz w:val="18"/>
                <w:szCs w:val="18"/>
              </w:rPr>
              <w:t>41.8%</w:t>
            </w:r>
          </w:p>
        </w:tc>
        <w:tc>
          <w:tcPr>
            <w:tcW w:w="335" w:type="pct"/>
            <w:tcBorders>
              <w:top w:val="single" w:sz="8" w:space="0" w:color="auto"/>
              <w:left w:val="nil"/>
              <w:bottom w:val="single" w:sz="8" w:space="0" w:color="auto"/>
              <w:right w:val="nil"/>
            </w:tcBorders>
            <w:noWrap/>
            <w:hideMark/>
          </w:tcPr>
          <w:p w14:paraId="7D24FDF8" w14:textId="77777777" w:rsidR="007E34FA" w:rsidRDefault="007E34FA">
            <w:pPr>
              <w:rPr>
                <w:sz w:val="18"/>
                <w:szCs w:val="18"/>
              </w:rPr>
            </w:pPr>
            <w:r>
              <w:rPr>
                <w:sz w:val="18"/>
                <w:szCs w:val="18"/>
              </w:rPr>
              <w:t>39.8%</w:t>
            </w:r>
          </w:p>
        </w:tc>
        <w:tc>
          <w:tcPr>
            <w:tcW w:w="335" w:type="pct"/>
            <w:tcBorders>
              <w:top w:val="single" w:sz="8" w:space="0" w:color="auto"/>
              <w:left w:val="nil"/>
              <w:bottom w:val="single" w:sz="8" w:space="0" w:color="auto"/>
              <w:right w:val="nil"/>
            </w:tcBorders>
            <w:noWrap/>
            <w:hideMark/>
          </w:tcPr>
          <w:p w14:paraId="0F301ED7" w14:textId="77777777" w:rsidR="007E34FA" w:rsidRDefault="007E34FA">
            <w:pPr>
              <w:rPr>
                <w:sz w:val="18"/>
                <w:szCs w:val="18"/>
              </w:rPr>
            </w:pPr>
            <w:r>
              <w:rPr>
                <w:sz w:val="18"/>
                <w:szCs w:val="18"/>
              </w:rPr>
              <w:t>39.3%</w:t>
            </w:r>
          </w:p>
        </w:tc>
        <w:tc>
          <w:tcPr>
            <w:tcW w:w="335" w:type="pct"/>
            <w:tcBorders>
              <w:top w:val="single" w:sz="8" w:space="0" w:color="auto"/>
              <w:left w:val="nil"/>
              <w:bottom w:val="single" w:sz="8" w:space="0" w:color="auto"/>
              <w:right w:val="nil"/>
            </w:tcBorders>
            <w:noWrap/>
            <w:hideMark/>
          </w:tcPr>
          <w:p w14:paraId="441BC871" w14:textId="77777777" w:rsidR="007E34FA" w:rsidRDefault="007E34FA">
            <w:pPr>
              <w:rPr>
                <w:sz w:val="18"/>
                <w:szCs w:val="18"/>
              </w:rPr>
            </w:pPr>
            <w:r>
              <w:rPr>
                <w:sz w:val="18"/>
                <w:szCs w:val="18"/>
              </w:rPr>
              <w:t>37.3%</w:t>
            </w:r>
          </w:p>
        </w:tc>
        <w:tc>
          <w:tcPr>
            <w:tcW w:w="335" w:type="pct"/>
            <w:tcBorders>
              <w:top w:val="single" w:sz="8" w:space="0" w:color="auto"/>
              <w:left w:val="nil"/>
              <w:bottom w:val="single" w:sz="8" w:space="0" w:color="auto"/>
              <w:right w:val="nil"/>
            </w:tcBorders>
            <w:noWrap/>
            <w:hideMark/>
          </w:tcPr>
          <w:p w14:paraId="78E56293" w14:textId="77777777" w:rsidR="007E34FA" w:rsidRDefault="007E34FA">
            <w:pPr>
              <w:rPr>
                <w:sz w:val="18"/>
                <w:szCs w:val="18"/>
              </w:rPr>
            </w:pPr>
            <w:r>
              <w:rPr>
                <w:sz w:val="18"/>
                <w:szCs w:val="18"/>
              </w:rPr>
              <w:t>36.6%</w:t>
            </w:r>
          </w:p>
        </w:tc>
        <w:tc>
          <w:tcPr>
            <w:tcW w:w="335" w:type="pct"/>
            <w:tcBorders>
              <w:top w:val="single" w:sz="8" w:space="0" w:color="auto"/>
              <w:left w:val="nil"/>
              <w:bottom w:val="single" w:sz="8" w:space="0" w:color="auto"/>
              <w:right w:val="nil"/>
            </w:tcBorders>
            <w:noWrap/>
            <w:hideMark/>
          </w:tcPr>
          <w:p w14:paraId="1303A534" w14:textId="77777777" w:rsidR="007E34FA" w:rsidRDefault="007E34FA">
            <w:pPr>
              <w:rPr>
                <w:sz w:val="18"/>
                <w:szCs w:val="18"/>
              </w:rPr>
            </w:pPr>
            <w:r>
              <w:rPr>
                <w:sz w:val="18"/>
                <w:szCs w:val="18"/>
              </w:rPr>
              <w:t>35.6%</w:t>
            </w:r>
          </w:p>
        </w:tc>
        <w:tc>
          <w:tcPr>
            <w:tcW w:w="348" w:type="pct"/>
            <w:tcBorders>
              <w:top w:val="single" w:sz="8" w:space="0" w:color="auto"/>
              <w:left w:val="nil"/>
              <w:bottom w:val="single" w:sz="8" w:space="0" w:color="auto"/>
              <w:right w:val="nil"/>
            </w:tcBorders>
            <w:noWrap/>
            <w:hideMark/>
          </w:tcPr>
          <w:p w14:paraId="0DE582DA" w14:textId="77777777" w:rsidR="007E34FA" w:rsidRDefault="007E34FA">
            <w:pPr>
              <w:rPr>
                <w:sz w:val="18"/>
                <w:szCs w:val="18"/>
              </w:rPr>
            </w:pPr>
            <w:r>
              <w:rPr>
                <w:sz w:val="18"/>
                <w:szCs w:val="18"/>
              </w:rPr>
              <w:t>34.2%</w:t>
            </w:r>
          </w:p>
        </w:tc>
        <w:tc>
          <w:tcPr>
            <w:tcW w:w="493" w:type="pct"/>
            <w:tcBorders>
              <w:top w:val="single" w:sz="8" w:space="0" w:color="auto"/>
              <w:left w:val="nil"/>
              <w:bottom w:val="single" w:sz="8" w:space="0" w:color="auto"/>
              <w:right w:val="nil"/>
            </w:tcBorders>
            <w:hideMark/>
          </w:tcPr>
          <w:p w14:paraId="38D99932" w14:textId="77777777" w:rsidR="007E34FA" w:rsidRDefault="007E34FA">
            <w:pPr>
              <w:rPr>
                <w:rFonts w:ascii="Calibri" w:hAnsi="Calibri"/>
                <w:color w:val="000000"/>
                <w:sz w:val="18"/>
                <w:szCs w:val="18"/>
              </w:rPr>
            </w:pPr>
            <w:r>
              <w:rPr>
                <w:rFonts w:ascii="Calibri" w:hAnsi="Calibri"/>
                <w:color w:val="000000"/>
                <w:sz w:val="18"/>
                <w:szCs w:val="18"/>
              </w:rPr>
              <w:t>40.7%</w:t>
            </w:r>
          </w:p>
        </w:tc>
      </w:tr>
      <w:tr w:rsidR="007E34FA" w14:paraId="1D4C3EC3" w14:textId="77777777" w:rsidTr="007E34FA">
        <w:trPr>
          <w:trHeight w:val="300"/>
        </w:trPr>
        <w:tc>
          <w:tcPr>
            <w:tcW w:w="807" w:type="pct"/>
            <w:tcBorders>
              <w:top w:val="single" w:sz="8" w:space="0" w:color="auto"/>
              <w:left w:val="nil"/>
              <w:bottom w:val="single" w:sz="8" w:space="0" w:color="auto"/>
              <w:right w:val="nil"/>
            </w:tcBorders>
            <w:noWrap/>
            <w:hideMark/>
          </w:tcPr>
          <w:p w14:paraId="66A54D27" w14:textId="77777777" w:rsidR="007E34FA" w:rsidRDefault="007E34FA">
            <w:pPr>
              <w:rPr>
                <w:sz w:val="18"/>
                <w:szCs w:val="18"/>
              </w:rPr>
            </w:pPr>
            <w:r>
              <w:rPr>
                <w:sz w:val="18"/>
                <w:szCs w:val="18"/>
              </w:rPr>
              <w:t>1</w:t>
            </w:r>
          </w:p>
        </w:tc>
        <w:tc>
          <w:tcPr>
            <w:tcW w:w="335" w:type="pct"/>
            <w:tcBorders>
              <w:top w:val="single" w:sz="8" w:space="0" w:color="auto"/>
              <w:left w:val="nil"/>
              <w:bottom w:val="single" w:sz="8" w:space="0" w:color="auto"/>
              <w:right w:val="nil"/>
            </w:tcBorders>
            <w:noWrap/>
            <w:hideMark/>
          </w:tcPr>
          <w:p w14:paraId="6E8DC860" w14:textId="77777777" w:rsidR="007E34FA" w:rsidRDefault="007E34FA">
            <w:pPr>
              <w:rPr>
                <w:sz w:val="18"/>
                <w:szCs w:val="18"/>
              </w:rPr>
            </w:pPr>
            <w:r>
              <w:rPr>
                <w:sz w:val="18"/>
                <w:szCs w:val="18"/>
              </w:rPr>
              <w:t>34.6%</w:t>
            </w:r>
          </w:p>
        </w:tc>
        <w:tc>
          <w:tcPr>
            <w:tcW w:w="335" w:type="pct"/>
            <w:tcBorders>
              <w:top w:val="single" w:sz="8" w:space="0" w:color="auto"/>
              <w:left w:val="nil"/>
              <w:bottom w:val="single" w:sz="8" w:space="0" w:color="auto"/>
              <w:right w:val="nil"/>
            </w:tcBorders>
            <w:noWrap/>
            <w:hideMark/>
          </w:tcPr>
          <w:p w14:paraId="504D0AB4" w14:textId="77777777" w:rsidR="007E34FA" w:rsidRDefault="007E34FA">
            <w:pPr>
              <w:rPr>
                <w:sz w:val="18"/>
                <w:szCs w:val="18"/>
              </w:rPr>
            </w:pPr>
            <w:r>
              <w:rPr>
                <w:sz w:val="18"/>
                <w:szCs w:val="18"/>
              </w:rPr>
              <w:t>34.5%</w:t>
            </w:r>
          </w:p>
        </w:tc>
        <w:tc>
          <w:tcPr>
            <w:tcW w:w="335" w:type="pct"/>
            <w:tcBorders>
              <w:top w:val="single" w:sz="8" w:space="0" w:color="auto"/>
              <w:left w:val="nil"/>
              <w:bottom w:val="single" w:sz="8" w:space="0" w:color="auto"/>
              <w:right w:val="nil"/>
            </w:tcBorders>
            <w:noWrap/>
            <w:hideMark/>
          </w:tcPr>
          <w:p w14:paraId="36A070BC" w14:textId="77777777" w:rsidR="007E34FA" w:rsidRDefault="007E34FA">
            <w:pPr>
              <w:rPr>
                <w:sz w:val="18"/>
                <w:szCs w:val="18"/>
              </w:rPr>
            </w:pPr>
            <w:r>
              <w:rPr>
                <w:sz w:val="18"/>
                <w:szCs w:val="18"/>
              </w:rPr>
              <w:t>35.2%</w:t>
            </w:r>
          </w:p>
        </w:tc>
        <w:tc>
          <w:tcPr>
            <w:tcW w:w="335" w:type="pct"/>
            <w:tcBorders>
              <w:top w:val="single" w:sz="8" w:space="0" w:color="auto"/>
              <w:left w:val="nil"/>
              <w:bottom w:val="single" w:sz="8" w:space="0" w:color="auto"/>
              <w:right w:val="nil"/>
            </w:tcBorders>
            <w:noWrap/>
            <w:hideMark/>
          </w:tcPr>
          <w:p w14:paraId="4411B1DD" w14:textId="77777777" w:rsidR="007E34FA" w:rsidRDefault="007E34FA">
            <w:pPr>
              <w:rPr>
                <w:sz w:val="18"/>
                <w:szCs w:val="18"/>
              </w:rPr>
            </w:pPr>
            <w:r>
              <w:rPr>
                <w:sz w:val="18"/>
                <w:szCs w:val="18"/>
              </w:rPr>
              <w:t>35.3%</w:t>
            </w:r>
          </w:p>
        </w:tc>
        <w:tc>
          <w:tcPr>
            <w:tcW w:w="335" w:type="pct"/>
            <w:tcBorders>
              <w:top w:val="single" w:sz="8" w:space="0" w:color="auto"/>
              <w:left w:val="nil"/>
              <w:bottom w:val="single" w:sz="8" w:space="0" w:color="auto"/>
              <w:right w:val="nil"/>
            </w:tcBorders>
            <w:noWrap/>
            <w:hideMark/>
          </w:tcPr>
          <w:p w14:paraId="75E155C1" w14:textId="77777777" w:rsidR="007E34FA" w:rsidRDefault="007E34FA">
            <w:pPr>
              <w:rPr>
                <w:sz w:val="18"/>
                <w:szCs w:val="18"/>
              </w:rPr>
            </w:pPr>
            <w:r>
              <w:rPr>
                <w:sz w:val="18"/>
                <w:szCs w:val="18"/>
              </w:rPr>
              <w:t>35.3%</w:t>
            </w:r>
          </w:p>
        </w:tc>
        <w:tc>
          <w:tcPr>
            <w:tcW w:w="335" w:type="pct"/>
            <w:tcBorders>
              <w:top w:val="single" w:sz="8" w:space="0" w:color="auto"/>
              <w:left w:val="nil"/>
              <w:bottom w:val="single" w:sz="8" w:space="0" w:color="auto"/>
              <w:right w:val="nil"/>
            </w:tcBorders>
            <w:noWrap/>
            <w:hideMark/>
          </w:tcPr>
          <w:p w14:paraId="60A3D196" w14:textId="77777777" w:rsidR="007E34FA" w:rsidRDefault="007E34FA">
            <w:pPr>
              <w:rPr>
                <w:sz w:val="18"/>
                <w:szCs w:val="18"/>
              </w:rPr>
            </w:pPr>
            <w:r>
              <w:rPr>
                <w:sz w:val="18"/>
                <w:szCs w:val="18"/>
              </w:rPr>
              <w:t>34.5%</w:t>
            </w:r>
          </w:p>
        </w:tc>
        <w:tc>
          <w:tcPr>
            <w:tcW w:w="335" w:type="pct"/>
            <w:tcBorders>
              <w:top w:val="single" w:sz="8" w:space="0" w:color="auto"/>
              <w:left w:val="nil"/>
              <w:bottom w:val="single" w:sz="8" w:space="0" w:color="auto"/>
              <w:right w:val="nil"/>
            </w:tcBorders>
            <w:noWrap/>
            <w:hideMark/>
          </w:tcPr>
          <w:p w14:paraId="07AC46BB" w14:textId="77777777" w:rsidR="007E34FA" w:rsidRDefault="007E34FA">
            <w:pPr>
              <w:rPr>
                <w:sz w:val="18"/>
                <w:szCs w:val="18"/>
              </w:rPr>
            </w:pPr>
            <w:r>
              <w:rPr>
                <w:sz w:val="18"/>
                <w:szCs w:val="18"/>
              </w:rPr>
              <w:t>34.0%</w:t>
            </w:r>
          </w:p>
        </w:tc>
        <w:tc>
          <w:tcPr>
            <w:tcW w:w="335" w:type="pct"/>
            <w:tcBorders>
              <w:top w:val="single" w:sz="8" w:space="0" w:color="auto"/>
              <w:left w:val="nil"/>
              <w:bottom w:val="single" w:sz="8" w:space="0" w:color="auto"/>
              <w:right w:val="nil"/>
            </w:tcBorders>
            <w:noWrap/>
            <w:hideMark/>
          </w:tcPr>
          <w:p w14:paraId="7722223C" w14:textId="77777777" w:rsidR="007E34FA" w:rsidRDefault="007E34FA">
            <w:pPr>
              <w:rPr>
                <w:sz w:val="18"/>
                <w:szCs w:val="18"/>
              </w:rPr>
            </w:pPr>
            <w:r>
              <w:rPr>
                <w:sz w:val="18"/>
                <w:szCs w:val="18"/>
              </w:rPr>
              <w:t>33.5%</w:t>
            </w:r>
          </w:p>
        </w:tc>
        <w:tc>
          <w:tcPr>
            <w:tcW w:w="335" w:type="pct"/>
            <w:tcBorders>
              <w:top w:val="single" w:sz="8" w:space="0" w:color="auto"/>
              <w:left w:val="nil"/>
              <w:bottom w:val="single" w:sz="8" w:space="0" w:color="auto"/>
              <w:right w:val="nil"/>
            </w:tcBorders>
            <w:noWrap/>
            <w:hideMark/>
          </w:tcPr>
          <w:p w14:paraId="738861BD" w14:textId="77777777" w:rsidR="007E34FA" w:rsidRDefault="007E34FA">
            <w:pPr>
              <w:rPr>
                <w:sz w:val="18"/>
                <w:szCs w:val="18"/>
              </w:rPr>
            </w:pPr>
            <w:r>
              <w:rPr>
                <w:sz w:val="18"/>
                <w:szCs w:val="18"/>
              </w:rPr>
              <w:t>33.5%</w:t>
            </w:r>
          </w:p>
        </w:tc>
        <w:tc>
          <w:tcPr>
            <w:tcW w:w="335" w:type="pct"/>
            <w:tcBorders>
              <w:top w:val="single" w:sz="8" w:space="0" w:color="auto"/>
              <w:left w:val="nil"/>
              <w:bottom w:val="single" w:sz="8" w:space="0" w:color="auto"/>
              <w:right w:val="nil"/>
            </w:tcBorders>
            <w:noWrap/>
            <w:hideMark/>
          </w:tcPr>
          <w:p w14:paraId="521A78EF" w14:textId="77777777" w:rsidR="007E34FA" w:rsidRDefault="007E34FA">
            <w:pPr>
              <w:rPr>
                <w:sz w:val="18"/>
                <w:szCs w:val="18"/>
              </w:rPr>
            </w:pPr>
            <w:r>
              <w:rPr>
                <w:sz w:val="18"/>
                <w:szCs w:val="18"/>
              </w:rPr>
              <w:t>32.9%</w:t>
            </w:r>
          </w:p>
        </w:tc>
        <w:tc>
          <w:tcPr>
            <w:tcW w:w="348" w:type="pct"/>
            <w:tcBorders>
              <w:top w:val="single" w:sz="8" w:space="0" w:color="auto"/>
              <w:left w:val="nil"/>
              <w:bottom w:val="single" w:sz="8" w:space="0" w:color="auto"/>
              <w:right w:val="nil"/>
            </w:tcBorders>
            <w:noWrap/>
            <w:hideMark/>
          </w:tcPr>
          <w:p w14:paraId="5C9E4A9B" w14:textId="77777777" w:rsidR="007E34FA" w:rsidRDefault="007E34FA">
            <w:pPr>
              <w:rPr>
                <w:sz w:val="18"/>
                <w:szCs w:val="18"/>
              </w:rPr>
            </w:pPr>
            <w:r>
              <w:rPr>
                <w:sz w:val="18"/>
                <w:szCs w:val="18"/>
              </w:rPr>
              <w:t>32.8%</w:t>
            </w:r>
          </w:p>
        </w:tc>
        <w:tc>
          <w:tcPr>
            <w:tcW w:w="493" w:type="pct"/>
            <w:tcBorders>
              <w:top w:val="single" w:sz="8" w:space="0" w:color="auto"/>
              <w:left w:val="nil"/>
              <w:bottom w:val="single" w:sz="8" w:space="0" w:color="auto"/>
              <w:right w:val="nil"/>
            </w:tcBorders>
            <w:hideMark/>
          </w:tcPr>
          <w:p w14:paraId="3FA0F7B9" w14:textId="77777777" w:rsidR="007E34FA" w:rsidRDefault="007E34FA">
            <w:pPr>
              <w:rPr>
                <w:rFonts w:ascii="Calibri" w:hAnsi="Calibri"/>
                <w:color w:val="000000"/>
                <w:sz w:val="18"/>
                <w:szCs w:val="18"/>
              </w:rPr>
            </w:pPr>
            <w:r>
              <w:rPr>
                <w:rFonts w:ascii="Calibri" w:hAnsi="Calibri"/>
                <w:color w:val="000000"/>
                <w:sz w:val="18"/>
                <w:szCs w:val="18"/>
              </w:rPr>
              <w:t>34.2%</w:t>
            </w:r>
          </w:p>
        </w:tc>
      </w:tr>
      <w:tr w:rsidR="007E34FA" w14:paraId="68C22C9A" w14:textId="77777777" w:rsidTr="007E34FA">
        <w:trPr>
          <w:trHeight w:val="300"/>
        </w:trPr>
        <w:tc>
          <w:tcPr>
            <w:tcW w:w="807" w:type="pct"/>
            <w:tcBorders>
              <w:top w:val="single" w:sz="8" w:space="0" w:color="auto"/>
              <w:left w:val="nil"/>
              <w:bottom w:val="single" w:sz="8" w:space="0" w:color="auto"/>
              <w:right w:val="nil"/>
            </w:tcBorders>
            <w:noWrap/>
            <w:hideMark/>
          </w:tcPr>
          <w:p w14:paraId="11108E6B" w14:textId="77777777" w:rsidR="007E34FA" w:rsidRDefault="007E34FA">
            <w:pPr>
              <w:rPr>
                <w:sz w:val="18"/>
                <w:szCs w:val="18"/>
              </w:rPr>
            </w:pPr>
            <w:r>
              <w:rPr>
                <w:sz w:val="18"/>
                <w:szCs w:val="18"/>
              </w:rPr>
              <w:t>2</w:t>
            </w:r>
          </w:p>
        </w:tc>
        <w:tc>
          <w:tcPr>
            <w:tcW w:w="335" w:type="pct"/>
            <w:tcBorders>
              <w:top w:val="single" w:sz="8" w:space="0" w:color="auto"/>
              <w:left w:val="nil"/>
              <w:bottom w:val="single" w:sz="8" w:space="0" w:color="auto"/>
              <w:right w:val="nil"/>
            </w:tcBorders>
            <w:noWrap/>
            <w:hideMark/>
          </w:tcPr>
          <w:p w14:paraId="43344E9A" w14:textId="77777777" w:rsidR="007E34FA" w:rsidRDefault="007E34FA">
            <w:pPr>
              <w:rPr>
                <w:sz w:val="18"/>
                <w:szCs w:val="18"/>
              </w:rPr>
            </w:pPr>
            <w:r>
              <w:rPr>
                <w:sz w:val="18"/>
                <w:szCs w:val="18"/>
              </w:rPr>
              <w:t>13.5%</w:t>
            </w:r>
          </w:p>
        </w:tc>
        <w:tc>
          <w:tcPr>
            <w:tcW w:w="335" w:type="pct"/>
            <w:tcBorders>
              <w:top w:val="single" w:sz="8" w:space="0" w:color="auto"/>
              <w:left w:val="nil"/>
              <w:bottom w:val="single" w:sz="8" w:space="0" w:color="auto"/>
              <w:right w:val="nil"/>
            </w:tcBorders>
            <w:noWrap/>
            <w:hideMark/>
          </w:tcPr>
          <w:p w14:paraId="48B83878" w14:textId="77777777" w:rsidR="007E34FA" w:rsidRDefault="007E34FA">
            <w:pPr>
              <w:rPr>
                <w:sz w:val="18"/>
                <w:szCs w:val="18"/>
              </w:rPr>
            </w:pPr>
            <w:r>
              <w:rPr>
                <w:sz w:val="18"/>
                <w:szCs w:val="18"/>
              </w:rPr>
              <w:t>13.4%</w:t>
            </w:r>
          </w:p>
        </w:tc>
        <w:tc>
          <w:tcPr>
            <w:tcW w:w="335" w:type="pct"/>
            <w:tcBorders>
              <w:top w:val="single" w:sz="8" w:space="0" w:color="auto"/>
              <w:left w:val="nil"/>
              <w:bottom w:val="single" w:sz="8" w:space="0" w:color="auto"/>
              <w:right w:val="nil"/>
            </w:tcBorders>
            <w:noWrap/>
            <w:hideMark/>
          </w:tcPr>
          <w:p w14:paraId="5E5B3B38" w14:textId="77777777" w:rsidR="007E34FA" w:rsidRDefault="007E34FA">
            <w:pPr>
              <w:rPr>
                <w:sz w:val="18"/>
                <w:szCs w:val="18"/>
              </w:rPr>
            </w:pPr>
            <w:r>
              <w:rPr>
                <w:sz w:val="18"/>
                <w:szCs w:val="18"/>
              </w:rPr>
              <w:t>13.8%</w:t>
            </w:r>
          </w:p>
        </w:tc>
        <w:tc>
          <w:tcPr>
            <w:tcW w:w="335" w:type="pct"/>
            <w:tcBorders>
              <w:top w:val="single" w:sz="8" w:space="0" w:color="auto"/>
              <w:left w:val="nil"/>
              <w:bottom w:val="single" w:sz="8" w:space="0" w:color="auto"/>
              <w:right w:val="nil"/>
            </w:tcBorders>
            <w:noWrap/>
            <w:hideMark/>
          </w:tcPr>
          <w:p w14:paraId="6CFBB533" w14:textId="77777777" w:rsidR="007E34FA" w:rsidRDefault="007E34FA">
            <w:pPr>
              <w:rPr>
                <w:sz w:val="18"/>
                <w:szCs w:val="18"/>
              </w:rPr>
            </w:pPr>
            <w:r>
              <w:rPr>
                <w:sz w:val="18"/>
                <w:szCs w:val="18"/>
              </w:rPr>
              <w:t>14.8%</w:t>
            </w:r>
          </w:p>
        </w:tc>
        <w:tc>
          <w:tcPr>
            <w:tcW w:w="335" w:type="pct"/>
            <w:tcBorders>
              <w:top w:val="single" w:sz="8" w:space="0" w:color="auto"/>
              <w:left w:val="nil"/>
              <w:bottom w:val="single" w:sz="8" w:space="0" w:color="auto"/>
              <w:right w:val="nil"/>
            </w:tcBorders>
            <w:noWrap/>
            <w:hideMark/>
          </w:tcPr>
          <w:p w14:paraId="0F6347E9" w14:textId="77777777" w:rsidR="007E34FA" w:rsidRDefault="007E34FA">
            <w:pPr>
              <w:rPr>
                <w:sz w:val="18"/>
                <w:szCs w:val="18"/>
              </w:rPr>
            </w:pPr>
            <w:r>
              <w:rPr>
                <w:sz w:val="18"/>
                <w:szCs w:val="18"/>
              </w:rPr>
              <w:t>15.4%</w:t>
            </w:r>
          </w:p>
        </w:tc>
        <w:tc>
          <w:tcPr>
            <w:tcW w:w="335" w:type="pct"/>
            <w:tcBorders>
              <w:top w:val="single" w:sz="8" w:space="0" w:color="auto"/>
              <w:left w:val="nil"/>
              <w:bottom w:val="single" w:sz="8" w:space="0" w:color="auto"/>
              <w:right w:val="nil"/>
            </w:tcBorders>
            <w:noWrap/>
            <w:hideMark/>
          </w:tcPr>
          <w:p w14:paraId="6ECA7C26" w14:textId="77777777" w:rsidR="007E34FA" w:rsidRDefault="007E34FA">
            <w:pPr>
              <w:rPr>
                <w:sz w:val="18"/>
                <w:szCs w:val="18"/>
              </w:rPr>
            </w:pPr>
            <w:r>
              <w:rPr>
                <w:sz w:val="18"/>
                <w:szCs w:val="18"/>
              </w:rPr>
              <w:t>16.3%</w:t>
            </w:r>
          </w:p>
        </w:tc>
        <w:tc>
          <w:tcPr>
            <w:tcW w:w="335" w:type="pct"/>
            <w:tcBorders>
              <w:top w:val="single" w:sz="8" w:space="0" w:color="auto"/>
              <w:left w:val="nil"/>
              <w:bottom w:val="single" w:sz="8" w:space="0" w:color="auto"/>
              <w:right w:val="nil"/>
            </w:tcBorders>
            <w:noWrap/>
            <w:hideMark/>
          </w:tcPr>
          <w:p w14:paraId="6909BB15" w14:textId="77777777" w:rsidR="007E34FA" w:rsidRDefault="007E34FA">
            <w:pPr>
              <w:rPr>
                <w:sz w:val="18"/>
                <w:szCs w:val="18"/>
              </w:rPr>
            </w:pPr>
            <w:r>
              <w:rPr>
                <w:sz w:val="18"/>
                <w:szCs w:val="18"/>
              </w:rPr>
              <w:t>16.6%</w:t>
            </w:r>
          </w:p>
        </w:tc>
        <w:tc>
          <w:tcPr>
            <w:tcW w:w="335" w:type="pct"/>
            <w:tcBorders>
              <w:top w:val="single" w:sz="8" w:space="0" w:color="auto"/>
              <w:left w:val="nil"/>
              <w:bottom w:val="single" w:sz="8" w:space="0" w:color="auto"/>
              <w:right w:val="nil"/>
            </w:tcBorders>
            <w:noWrap/>
            <w:hideMark/>
          </w:tcPr>
          <w:p w14:paraId="355B0971" w14:textId="77777777" w:rsidR="007E34FA" w:rsidRDefault="007E34FA">
            <w:pPr>
              <w:rPr>
                <w:sz w:val="18"/>
                <w:szCs w:val="18"/>
              </w:rPr>
            </w:pPr>
            <w:r>
              <w:rPr>
                <w:sz w:val="18"/>
                <w:szCs w:val="18"/>
              </w:rPr>
              <w:t>17.6%</w:t>
            </w:r>
          </w:p>
        </w:tc>
        <w:tc>
          <w:tcPr>
            <w:tcW w:w="335" w:type="pct"/>
            <w:tcBorders>
              <w:top w:val="single" w:sz="8" w:space="0" w:color="auto"/>
              <w:left w:val="nil"/>
              <w:bottom w:val="single" w:sz="8" w:space="0" w:color="auto"/>
              <w:right w:val="nil"/>
            </w:tcBorders>
            <w:noWrap/>
            <w:hideMark/>
          </w:tcPr>
          <w:p w14:paraId="008614B6" w14:textId="77777777" w:rsidR="007E34FA" w:rsidRDefault="007E34FA">
            <w:pPr>
              <w:rPr>
                <w:sz w:val="18"/>
                <w:szCs w:val="18"/>
              </w:rPr>
            </w:pPr>
            <w:r>
              <w:rPr>
                <w:sz w:val="18"/>
                <w:szCs w:val="18"/>
              </w:rPr>
              <w:t>18.0%</w:t>
            </w:r>
          </w:p>
        </w:tc>
        <w:tc>
          <w:tcPr>
            <w:tcW w:w="335" w:type="pct"/>
            <w:tcBorders>
              <w:top w:val="single" w:sz="8" w:space="0" w:color="auto"/>
              <w:left w:val="nil"/>
              <w:bottom w:val="single" w:sz="8" w:space="0" w:color="auto"/>
              <w:right w:val="nil"/>
            </w:tcBorders>
            <w:noWrap/>
            <w:hideMark/>
          </w:tcPr>
          <w:p w14:paraId="32D549BC" w14:textId="77777777" w:rsidR="007E34FA" w:rsidRDefault="007E34FA">
            <w:pPr>
              <w:rPr>
                <w:sz w:val="18"/>
                <w:szCs w:val="18"/>
              </w:rPr>
            </w:pPr>
            <w:r>
              <w:rPr>
                <w:sz w:val="18"/>
                <w:szCs w:val="18"/>
              </w:rPr>
              <w:t>18.5%</w:t>
            </w:r>
          </w:p>
        </w:tc>
        <w:tc>
          <w:tcPr>
            <w:tcW w:w="348" w:type="pct"/>
            <w:tcBorders>
              <w:top w:val="single" w:sz="8" w:space="0" w:color="auto"/>
              <w:left w:val="nil"/>
              <w:bottom w:val="single" w:sz="8" w:space="0" w:color="auto"/>
              <w:right w:val="nil"/>
            </w:tcBorders>
            <w:noWrap/>
            <w:hideMark/>
          </w:tcPr>
          <w:p w14:paraId="3B7A6CF1" w14:textId="77777777" w:rsidR="007E34FA" w:rsidRDefault="007E34FA">
            <w:pPr>
              <w:rPr>
                <w:sz w:val="18"/>
                <w:szCs w:val="18"/>
              </w:rPr>
            </w:pPr>
            <w:r>
              <w:rPr>
                <w:sz w:val="18"/>
                <w:szCs w:val="18"/>
              </w:rPr>
              <w:t>18.8%</w:t>
            </w:r>
          </w:p>
        </w:tc>
        <w:tc>
          <w:tcPr>
            <w:tcW w:w="493" w:type="pct"/>
            <w:tcBorders>
              <w:top w:val="single" w:sz="8" w:space="0" w:color="auto"/>
              <w:left w:val="nil"/>
              <w:bottom w:val="single" w:sz="8" w:space="0" w:color="auto"/>
              <w:right w:val="nil"/>
            </w:tcBorders>
            <w:hideMark/>
          </w:tcPr>
          <w:p w14:paraId="62B22F01" w14:textId="77777777" w:rsidR="007E34FA" w:rsidRDefault="007E34FA">
            <w:pPr>
              <w:rPr>
                <w:rFonts w:ascii="Calibri" w:hAnsi="Calibri"/>
                <w:color w:val="000000"/>
                <w:sz w:val="18"/>
                <w:szCs w:val="18"/>
              </w:rPr>
            </w:pPr>
            <w:r>
              <w:rPr>
                <w:rFonts w:ascii="Calibri" w:hAnsi="Calibri"/>
                <w:color w:val="000000"/>
                <w:sz w:val="18"/>
                <w:szCs w:val="18"/>
              </w:rPr>
              <w:t>16.1%</w:t>
            </w:r>
          </w:p>
        </w:tc>
      </w:tr>
      <w:tr w:rsidR="007E34FA" w14:paraId="1DCF14AC" w14:textId="77777777" w:rsidTr="007E34FA">
        <w:trPr>
          <w:trHeight w:val="300"/>
        </w:trPr>
        <w:tc>
          <w:tcPr>
            <w:tcW w:w="807" w:type="pct"/>
            <w:tcBorders>
              <w:top w:val="single" w:sz="8" w:space="0" w:color="auto"/>
              <w:left w:val="nil"/>
              <w:bottom w:val="single" w:sz="8" w:space="0" w:color="auto"/>
              <w:right w:val="nil"/>
            </w:tcBorders>
            <w:noWrap/>
            <w:hideMark/>
          </w:tcPr>
          <w:p w14:paraId="7C35F7B8" w14:textId="77777777" w:rsidR="007E34FA" w:rsidRDefault="007E34FA">
            <w:pPr>
              <w:rPr>
                <w:sz w:val="18"/>
                <w:szCs w:val="18"/>
              </w:rPr>
            </w:pPr>
            <w:r>
              <w:rPr>
                <w:sz w:val="18"/>
                <w:szCs w:val="18"/>
              </w:rPr>
              <w:t>≥3</w:t>
            </w:r>
          </w:p>
        </w:tc>
        <w:tc>
          <w:tcPr>
            <w:tcW w:w="335" w:type="pct"/>
            <w:tcBorders>
              <w:top w:val="single" w:sz="8" w:space="0" w:color="auto"/>
              <w:left w:val="nil"/>
              <w:bottom w:val="single" w:sz="8" w:space="0" w:color="auto"/>
              <w:right w:val="nil"/>
            </w:tcBorders>
            <w:noWrap/>
            <w:hideMark/>
          </w:tcPr>
          <w:p w14:paraId="3D6D3DA3" w14:textId="77777777" w:rsidR="007E34FA" w:rsidRDefault="007E34FA">
            <w:pPr>
              <w:rPr>
                <w:sz w:val="18"/>
                <w:szCs w:val="18"/>
              </w:rPr>
            </w:pPr>
            <w:r>
              <w:rPr>
                <w:sz w:val="18"/>
                <w:szCs w:val="18"/>
              </w:rPr>
              <w:t>5.3%</w:t>
            </w:r>
          </w:p>
        </w:tc>
        <w:tc>
          <w:tcPr>
            <w:tcW w:w="335" w:type="pct"/>
            <w:tcBorders>
              <w:top w:val="single" w:sz="8" w:space="0" w:color="auto"/>
              <w:left w:val="nil"/>
              <w:bottom w:val="single" w:sz="8" w:space="0" w:color="auto"/>
              <w:right w:val="nil"/>
            </w:tcBorders>
            <w:noWrap/>
            <w:hideMark/>
          </w:tcPr>
          <w:p w14:paraId="22E2705B" w14:textId="77777777" w:rsidR="007E34FA" w:rsidRDefault="007E34FA">
            <w:pPr>
              <w:rPr>
                <w:sz w:val="18"/>
                <w:szCs w:val="18"/>
              </w:rPr>
            </w:pPr>
            <w:r>
              <w:rPr>
                <w:sz w:val="18"/>
                <w:szCs w:val="18"/>
              </w:rPr>
              <w:t>5.4%</w:t>
            </w:r>
          </w:p>
        </w:tc>
        <w:tc>
          <w:tcPr>
            <w:tcW w:w="335" w:type="pct"/>
            <w:tcBorders>
              <w:top w:val="single" w:sz="8" w:space="0" w:color="auto"/>
              <w:left w:val="nil"/>
              <w:bottom w:val="single" w:sz="8" w:space="0" w:color="auto"/>
              <w:right w:val="nil"/>
            </w:tcBorders>
            <w:noWrap/>
            <w:hideMark/>
          </w:tcPr>
          <w:p w14:paraId="63FD1A3D" w14:textId="77777777" w:rsidR="007E34FA" w:rsidRDefault="007E34FA">
            <w:pPr>
              <w:rPr>
                <w:sz w:val="18"/>
                <w:szCs w:val="18"/>
              </w:rPr>
            </w:pPr>
            <w:r>
              <w:rPr>
                <w:sz w:val="18"/>
                <w:szCs w:val="18"/>
              </w:rPr>
              <w:t>5.4%</w:t>
            </w:r>
          </w:p>
        </w:tc>
        <w:tc>
          <w:tcPr>
            <w:tcW w:w="335" w:type="pct"/>
            <w:tcBorders>
              <w:top w:val="single" w:sz="8" w:space="0" w:color="auto"/>
              <w:left w:val="nil"/>
              <w:bottom w:val="single" w:sz="8" w:space="0" w:color="auto"/>
              <w:right w:val="nil"/>
            </w:tcBorders>
            <w:noWrap/>
            <w:hideMark/>
          </w:tcPr>
          <w:p w14:paraId="7FE4856D" w14:textId="77777777" w:rsidR="007E34FA" w:rsidRDefault="007E34FA">
            <w:pPr>
              <w:rPr>
                <w:sz w:val="18"/>
                <w:szCs w:val="18"/>
              </w:rPr>
            </w:pPr>
            <w:r>
              <w:rPr>
                <w:sz w:val="18"/>
                <w:szCs w:val="18"/>
              </w:rPr>
              <w:t>6.4%</w:t>
            </w:r>
          </w:p>
        </w:tc>
        <w:tc>
          <w:tcPr>
            <w:tcW w:w="335" w:type="pct"/>
            <w:tcBorders>
              <w:top w:val="single" w:sz="8" w:space="0" w:color="auto"/>
              <w:left w:val="nil"/>
              <w:bottom w:val="single" w:sz="8" w:space="0" w:color="auto"/>
              <w:right w:val="nil"/>
            </w:tcBorders>
            <w:noWrap/>
            <w:hideMark/>
          </w:tcPr>
          <w:p w14:paraId="7CDF9CAE" w14:textId="77777777" w:rsidR="007E34FA" w:rsidRDefault="007E34FA">
            <w:pPr>
              <w:rPr>
                <w:sz w:val="18"/>
                <w:szCs w:val="18"/>
              </w:rPr>
            </w:pPr>
            <w:r>
              <w:rPr>
                <w:sz w:val="18"/>
                <w:szCs w:val="18"/>
              </w:rPr>
              <w:t>7.5%</w:t>
            </w:r>
          </w:p>
        </w:tc>
        <w:tc>
          <w:tcPr>
            <w:tcW w:w="335" w:type="pct"/>
            <w:tcBorders>
              <w:top w:val="single" w:sz="8" w:space="0" w:color="auto"/>
              <w:left w:val="nil"/>
              <w:bottom w:val="single" w:sz="8" w:space="0" w:color="auto"/>
              <w:right w:val="nil"/>
            </w:tcBorders>
            <w:noWrap/>
            <w:hideMark/>
          </w:tcPr>
          <w:p w14:paraId="298AC99B" w14:textId="77777777" w:rsidR="007E34FA" w:rsidRDefault="007E34FA">
            <w:pPr>
              <w:rPr>
                <w:sz w:val="18"/>
                <w:szCs w:val="18"/>
              </w:rPr>
            </w:pPr>
            <w:r>
              <w:rPr>
                <w:sz w:val="18"/>
                <w:szCs w:val="18"/>
              </w:rPr>
              <w:t>7.5%</w:t>
            </w:r>
          </w:p>
        </w:tc>
        <w:tc>
          <w:tcPr>
            <w:tcW w:w="335" w:type="pct"/>
            <w:tcBorders>
              <w:top w:val="single" w:sz="8" w:space="0" w:color="auto"/>
              <w:left w:val="nil"/>
              <w:bottom w:val="single" w:sz="8" w:space="0" w:color="auto"/>
              <w:right w:val="nil"/>
            </w:tcBorders>
            <w:noWrap/>
            <w:hideMark/>
          </w:tcPr>
          <w:p w14:paraId="4C6505AA" w14:textId="77777777" w:rsidR="007E34FA" w:rsidRDefault="007E34FA">
            <w:pPr>
              <w:rPr>
                <w:sz w:val="18"/>
                <w:szCs w:val="18"/>
              </w:rPr>
            </w:pPr>
            <w:r>
              <w:rPr>
                <w:sz w:val="18"/>
                <w:szCs w:val="18"/>
              </w:rPr>
              <w:t>10.1%</w:t>
            </w:r>
          </w:p>
        </w:tc>
        <w:tc>
          <w:tcPr>
            <w:tcW w:w="335" w:type="pct"/>
            <w:tcBorders>
              <w:top w:val="single" w:sz="8" w:space="0" w:color="auto"/>
              <w:left w:val="nil"/>
              <w:bottom w:val="single" w:sz="8" w:space="0" w:color="auto"/>
              <w:right w:val="nil"/>
            </w:tcBorders>
            <w:noWrap/>
            <w:hideMark/>
          </w:tcPr>
          <w:p w14:paraId="5A973A1A" w14:textId="77777777" w:rsidR="007E34FA" w:rsidRDefault="007E34FA">
            <w:pPr>
              <w:rPr>
                <w:sz w:val="18"/>
                <w:szCs w:val="18"/>
              </w:rPr>
            </w:pPr>
            <w:r>
              <w:rPr>
                <w:sz w:val="18"/>
                <w:szCs w:val="18"/>
              </w:rPr>
              <w:t>11.5%</w:t>
            </w:r>
          </w:p>
        </w:tc>
        <w:tc>
          <w:tcPr>
            <w:tcW w:w="335" w:type="pct"/>
            <w:tcBorders>
              <w:top w:val="single" w:sz="8" w:space="0" w:color="auto"/>
              <w:left w:val="nil"/>
              <w:bottom w:val="single" w:sz="8" w:space="0" w:color="auto"/>
              <w:right w:val="nil"/>
            </w:tcBorders>
            <w:noWrap/>
            <w:hideMark/>
          </w:tcPr>
          <w:p w14:paraId="769CCE22" w14:textId="77777777" w:rsidR="007E34FA" w:rsidRDefault="007E34FA">
            <w:pPr>
              <w:rPr>
                <w:sz w:val="18"/>
                <w:szCs w:val="18"/>
              </w:rPr>
            </w:pPr>
            <w:r>
              <w:rPr>
                <w:sz w:val="18"/>
                <w:szCs w:val="18"/>
              </w:rPr>
              <w:t>11.9%</w:t>
            </w:r>
          </w:p>
        </w:tc>
        <w:tc>
          <w:tcPr>
            <w:tcW w:w="335" w:type="pct"/>
            <w:tcBorders>
              <w:top w:val="single" w:sz="8" w:space="0" w:color="auto"/>
              <w:left w:val="nil"/>
              <w:bottom w:val="single" w:sz="8" w:space="0" w:color="auto"/>
              <w:right w:val="nil"/>
            </w:tcBorders>
            <w:noWrap/>
            <w:hideMark/>
          </w:tcPr>
          <w:p w14:paraId="789CF49F" w14:textId="77777777" w:rsidR="007E34FA" w:rsidRDefault="007E34FA">
            <w:pPr>
              <w:rPr>
                <w:sz w:val="18"/>
                <w:szCs w:val="18"/>
              </w:rPr>
            </w:pPr>
            <w:r>
              <w:rPr>
                <w:sz w:val="18"/>
                <w:szCs w:val="18"/>
              </w:rPr>
              <w:t>13.0%</w:t>
            </w:r>
          </w:p>
        </w:tc>
        <w:tc>
          <w:tcPr>
            <w:tcW w:w="348" w:type="pct"/>
            <w:tcBorders>
              <w:top w:val="single" w:sz="8" w:space="0" w:color="auto"/>
              <w:left w:val="nil"/>
              <w:bottom w:val="single" w:sz="8" w:space="0" w:color="auto"/>
              <w:right w:val="nil"/>
            </w:tcBorders>
            <w:noWrap/>
            <w:hideMark/>
          </w:tcPr>
          <w:p w14:paraId="386164C8" w14:textId="77777777" w:rsidR="007E34FA" w:rsidRDefault="007E34FA">
            <w:pPr>
              <w:rPr>
                <w:sz w:val="18"/>
                <w:szCs w:val="18"/>
              </w:rPr>
            </w:pPr>
            <w:r>
              <w:rPr>
                <w:sz w:val="18"/>
                <w:szCs w:val="18"/>
              </w:rPr>
              <w:t>14.2%</w:t>
            </w:r>
          </w:p>
        </w:tc>
        <w:tc>
          <w:tcPr>
            <w:tcW w:w="493" w:type="pct"/>
            <w:tcBorders>
              <w:top w:val="single" w:sz="8" w:space="0" w:color="auto"/>
              <w:left w:val="nil"/>
              <w:bottom w:val="single" w:sz="8" w:space="0" w:color="auto"/>
              <w:right w:val="nil"/>
            </w:tcBorders>
            <w:hideMark/>
          </w:tcPr>
          <w:p w14:paraId="0B643197" w14:textId="77777777" w:rsidR="007E34FA" w:rsidRDefault="007E34FA">
            <w:pPr>
              <w:rPr>
                <w:rFonts w:ascii="Calibri" w:hAnsi="Calibri"/>
                <w:color w:val="000000"/>
                <w:sz w:val="18"/>
                <w:szCs w:val="18"/>
              </w:rPr>
            </w:pPr>
            <w:r>
              <w:rPr>
                <w:rFonts w:ascii="Calibri" w:hAnsi="Calibri"/>
                <w:color w:val="000000"/>
                <w:sz w:val="18"/>
                <w:szCs w:val="18"/>
              </w:rPr>
              <w:t>8.9%</w:t>
            </w:r>
          </w:p>
        </w:tc>
      </w:tr>
      <w:tr w:rsidR="007E34FA" w14:paraId="2AB50402" w14:textId="77777777" w:rsidTr="007E34FA">
        <w:trPr>
          <w:trHeight w:val="300"/>
        </w:trPr>
        <w:tc>
          <w:tcPr>
            <w:tcW w:w="807" w:type="pct"/>
            <w:tcBorders>
              <w:top w:val="single" w:sz="8" w:space="0" w:color="auto"/>
              <w:left w:val="nil"/>
              <w:bottom w:val="single" w:sz="8" w:space="0" w:color="auto"/>
              <w:right w:val="nil"/>
            </w:tcBorders>
            <w:noWrap/>
            <w:hideMark/>
          </w:tcPr>
          <w:p w14:paraId="2C58C169" w14:textId="77777777" w:rsidR="007E34FA" w:rsidRDefault="007E34FA">
            <w:pPr>
              <w:rPr>
                <w:sz w:val="18"/>
                <w:szCs w:val="18"/>
              </w:rPr>
            </w:pPr>
            <w:r>
              <w:rPr>
                <w:sz w:val="18"/>
                <w:szCs w:val="18"/>
              </w:rPr>
              <w:t>Mean CCI (SD)</w:t>
            </w:r>
          </w:p>
        </w:tc>
        <w:tc>
          <w:tcPr>
            <w:tcW w:w="335" w:type="pct"/>
            <w:tcBorders>
              <w:top w:val="single" w:sz="8" w:space="0" w:color="auto"/>
              <w:left w:val="nil"/>
              <w:bottom w:val="single" w:sz="8" w:space="0" w:color="auto"/>
              <w:right w:val="nil"/>
            </w:tcBorders>
            <w:noWrap/>
            <w:hideMark/>
          </w:tcPr>
          <w:p w14:paraId="64009217" w14:textId="77777777" w:rsidR="007E34FA" w:rsidRDefault="007E34FA">
            <w:pPr>
              <w:rPr>
                <w:sz w:val="18"/>
                <w:szCs w:val="18"/>
              </w:rPr>
            </w:pPr>
            <w:r>
              <w:rPr>
                <w:sz w:val="18"/>
                <w:szCs w:val="18"/>
              </w:rPr>
              <w:t>1.0 (1.0)</w:t>
            </w:r>
          </w:p>
        </w:tc>
        <w:tc>
          <w:tcPr>
            <w:tcW w:w="335" w:type="pct"/>
            <w:tcBorders>
              <w:top w:val="single" w:sz="8" w:space="0" w:color="auto"/>
              <w:left w:val="nil"/>
              <w:bottom w:val="single" w:sz="8" w:space="0" w:color="auto"/>
              <w:right w:val="nil"/>
            </w:tcBorders>
            <w:noWrap/>
            <w:hideMark/>
          </w:tcPr>
          <w:p w14:paraId="04F157FF" w14:textId="77777777" w:rsidR="007E34FA" w:rsidRDefault="007E34FA">
            <w:pPr>
              <w:rPr>
                <w:sz w:val="18"/>
                <w:szCs w:val="18"/>
              </w:rPr>
            </w:pPr>
            <w:r>
              <w:rPr>
                <w:sz w:val="18"/>
                <w:szCs w:val="18"/>
              </w:rPr>
              <w:t>1.1 (1.1)</w:t>
            </w:r>
          </w:p>
        </w:tc>
        <w:tc>
          <w:tcPr>
            <w:tcW w:w="335" w:type="pct"/>
            <w:tcBorders>
              <w:top w:val="single" w:sz="8" w:space="0" w:color="auto"/>
              <w:left w:val="nil"/>
              <w:bottom w:val="single" w:sz="8" w:space="0" w:color="auto"/>
              <w:right w:val="nil"/>
            </w:tcBorders>
            <w:noWrap/>
            <w:hideMark/>
          </w:tcPr>
          <w:p w14:paraId="39C98ABC" w14:textId="77777777" w:rsidR="007E34FA" w:rsidRDefault="007E34FA">
            <w:pPr>
              <w:rPr>
                <w:sz w:val="18"/>
                <w:szCs w:val="18"/>
              </w:rPr>
            </w:pPr>
            <w:r>
              <w:rPr>
                <w:sz w:val="18"/>
                <w:szCs w:val="18"/>
              </w:rPr>
              <w:t>1.1 (1.1)</w:t>
            </w:r>
          </w:p>
        </w:tc>
        <w:tc>
          <w:tcPr>
            <w:tcW w:w="335" w:type="pct"/>
            <w:tcBorders>
              <w:top w:val="single" w:sz="8" w:space="0" w:color="auto"/>
              <w:left w:val="nil"/>
              <w:bottom w:val="single" w:sz="8" w:space="0" w:color="auto"/>
              <w:right w:val="nil"/>
            </w:tcBorders>
            <w:noWrap/>
            <w:hideMark/>
          </w:tcPr>
          <w:p w14:paraId="03DC1183" w14:textId="77777777" w:rsidR="007E34FA" w:rsidRDefault="007E34FA">
            <w:pPr>
              <w:rPr>
                <w:sz w:val="18"/>
                <w:szCs w:val="18"/>
              </w:rPr>
            </w:pPr>
            <w:r>
              <w:rPr>
                <w:sz w:val="18"/>
                <w:szCs w:val="18"/>
              </w:rPr>
              <w:t>1.2 (1.1)</w:t>
            </w:r>
          </w:p>
        </w:tc>
        <w:tc>
          <w:tcPr>
            <w:tcW w:w="335" w:type="pct"/>
            <w:tcBorders>
              <w:top w:val="single" w:sz="8" w:space="0" w:color="auto"/>
              <w:left w:val="nil"/>
              <w:bottom w:val="single" w:sz="8" w:space="0" w:color="auto"/>
              <w:right w:val="nil"/>
            </w:tcBorders>
            <w:noWrap/>
            <w:hideMark/>
          </w:tcPr>
          <w:p w14:paraId="2C987F72" w14:textId="77777777" w:rsidR="007E34FA" w:rsidRDefault="007E34FA">
            <w:pPr>
              <w:rPr>
                <w:sz w:val="18"/>
                <w:szCs w:val="18"/>
              </w:rPr>
            </w:pPr>
            <w:r>
              <w:rPr>
                <w:sz w:val="18"/>
                <w:szCs w:val="18"/>
              </w:rPr>
              <w:t>1.2 (1.1)</w:t>
            </w:r>
          </w:p>
        </w:tc>
        <w:tc>
          <w:tcPr>
            <w:tcW w:w="335" w:type="pct"/>
            <w:tcBorders>
              <w:top w:val="single" w:sz="8" w:space="0" w:color="auto"/>
              <w:left w:val="nil"/>
              <w:bottom w:val="single" w:sz="8" w:space="0" w:color="auto"/>
              <w:right w:val="nil"/>
            </w:tcBorders>
            <w:noWrap/>
            <w:hideMark/>
          </w:tcPr>
          <w:p w14:paraId="715DFC5F" w14:textId="77777777" w:rsidR="007E34FA" w:rsidRDefault="007E34FA">
            <w:pPr>
              <w:rPr>
                <w:sz w:val="18"/>
                <w:szCs w:val="18"/>
              </w:rPr>
            </w:pPr>
            <w:r>
              <w:rPr>
                <w:sz w:val="18"/>
                <w:szCs w:val="18"/>
              </w:rPr>
              <w:t>1.3 (1.2)</w:t>
            </w:r>
          </w:p>
        </w:tc>
        <w:tc>
          <w:tcPr>
            <w:tcW w:w="335" w:type="pct"/>
            <w:tcBorders>
              <w:top w:val="single" w:sz="8" w:space="0" w:color="auto"/>
              <w:left w:val="nil"/>
              <w:bottom w:val="single" w:sz="8" w:space="0" w:color="auto"/>
              <w:right w:val="nil"/>
            </w:tcBorders>
            <w:noWrap/>
            <w:hideMark/>
          </w:tcPr>
          <w:p w14:paraId="3DA7BF0C" w14:textId="77777777" w:rsidR="007E34FA" w:rsidRDefault="007E34FA">
            <w:pPr>
              <w:rPr>
                <w:sz w:val="18"/>
                <w:szCs w:val="18"/>
              </w:rPr>
            </w:pPr>
            <w:r>
              <w:rPr>
                <w:sz w:val="18"/>
                <w:szCs w:val="18"/>
              </w:rPr>
              <w:t>1.4 (1.2)</w:t>
            </w:r>
          </w:p>
        </w:tc>
        <w:tc>
          <w:tcPr>
            <w:tcW w:w="335" w:type="pct"/>
            <w:tcBorders>
              <w:top w:val="single" w:sz="8" w:space="0" w:color="auto"/>
              <w:left w:val="nil"/>
              <w:bottom w:val="single" w:sz="8" w:space="0" w:color="auto"/>
              <w:right w:val="nil"/>
            </w:tcBorders>
            <w:noWrap/>
            <w:hideMark/>
          </w:tcPr>
          <w:p w14:paraId="675916FC" w14:textId="77777777" w:rsidR="007E34FA" w:rsidRDefault="007E34FA">
            <w:pPr>
              <w:rPr>
                <w:sz w:val="18"/>
                <w:szCs w:val="18"/>
              </w:rPr>
            </w:pPr>
            <w:r>
              <w:rPr>
                <w:sz w:val="18"/>
                <w:szCs w:val="18"/>
              </w:rPr>
              <w:t>1.5 (1.2)</w:t>
            </w:r>
          </w:p>
        </w:tc>
        <w:tc>
          <w:tcPr>
            <w:tcW w:w="335" w:type="pct"/>
            <w:tcBorders>
              <w:top w:val="single" w:sz="8" w:space="0" w:color="auto"/>
              <w:left w:val="nil"/>
              <w:bottom w:val="single" w:sz="8" w:space="0" w:color="auto"/>
              <w:right w:val="nil"/>
            </w:tcBorders>
            <w:noWrap/>
            <w:hideMark/>
          </w:tcPr>
          <w:p w14:paraId="5FD3A367" w14:textId="77777777" w:rsidR="007E34FA" w:rsidRDefault="007E34FA">
            <w:pPr>
              <w:rPr>
                <w:sz w:val="18"/>
                <w:szCs w:val="18"/>
              </w:rPr>
            </w:pPr>
            <w:r>
              <w:rPr>
                <w:sz w:val="18"/>
                <w:szCs w:val="18"/>
              </w:rPr>
              <w:t>1.5 (1.2)</w:t>
            </w:r>
          </w:p>
        </w:tc>
        <w:tc>
          <w:tcPr>
            <w:tcW w:w="335" w:type="pct"/>
            <w:tcBorders>
              <w:top w:val="single" w:sz="8" w:space="0" w:color="auto"/>
              <w:left w:val="nil"/>
              <w:bottom w:val="single" w:sz="8" w:space="0" w:color="auto"/>
              <w:right w:val="nil"/>
            </w:tcBorders>
            <w:noWrap/>
            <w:hideMark/>
          </w:tcPr>
          <w:p w14:paraId="553088CC" w14:textId="77777777" w:rsidR="007E34FA" w:rsidRDefault="007E34FA">
            <w:pPr>
              <w:rPr>
                <w:sz w:val="18"/>
                <w:szCs w:val="18"/>
              </w:rPr>
            </w:pPr>
            <w:r>
              <w:rPr>
                <w:sz w:val="18"/>
                <w:szCs w:val="18"/>
              </w:rPr>
              <w:t>1.6 (1.3)</w:t>
            </w:r>
          </w:p>
        </w:tc>
        <w:tc>
          <w:tcPr>
            <w:tcW w:w="348" w:type="pct"/>
            <w:tcBorders>
              <w:top w:val="single" w:sz="8" w:space="0" w:color="auto"/>
              <w:left w:val="nil"/>
              <w:bottom w:val="single" w:sz="8" w:space="0" w:color="auto"/>
              <w:right w:val="nil"/>
            </w:tcBorders>
            <w:noWrap/>
            <w:hideMark/>
          </w:tcPr>
          <w:p w14:paraId="41FCE6E8" w14:textId="77777777" w:rsidR="007E34FA" w:rsidRDefault="007E34FA">
            <w:pPr>
              <w:rPr>
                <w:sz w:val="18"/>
                <w:szCs w:val="18"/>
              </w:rPr>
            </w:pPr>
            <w:r>
              <w:rPr>
                <w:sz w:val="18"/>
                <w:szCs w:val="18"/>
              </w:rPr>
              <w:t>1.7 (1.3)</w:t>
            </w:r>
          </w:p>
        </w:tc>
        <w:tc>
          <w:tcPr>
            <w:tcW w:w="493" w:type="pct"/>
            <w:tcBorders>
              <w:top w:val="single" w:sz="8" w:space="0" w:color="auto"/>
              <w:left w:val="nil"/>
              <w:bottom w:val="single" w:sz="8" w:space="0" w:color="auto"/>
              <w:right w:val="nil"/>
            </w:tcBorders>
            <w:hideMark/>
          </w:tcPr>
          <w:p w14:paraId="1E33223B" w14:textId="77777777" w:rsidR="007E34FA" w:rsidRDefault="007E34FA">
            <w:pPr>
              <w:rPr>
                <w:rFonts w:ascii="Calibri" w:hAnsi="Calibri"/>
                <w:color w:val="000000"/>
                <w:sz w:val="18"/>
                <w:szCs w:val="18"/>
              </w:rPr>
            </w:pPr>
            <w:r>
              <w:rPr>
                <w:rFonts w:ascii="Calibri" w:hAnsi="Calibri"/>
                <w:color w:val="000000"/>
                <w:sz w:val="18"/>
                <w:szCs w:val="18"/>
              </w:rPr>
              <w:t>1.3 (1.2)</w:t>
            </w:r>
          </w:p>
        </w:tc>
      </w:tr>
      <w:tr w:rsidR="007E34FA" w14:paraId="645546A8" w14:textId="77777777" w:rsidTr="007E34FA">
        <w:trPr>
          <w:trHeight w:val="300"/>
        </w:trPr>
        <w:tc>
          <w:tcPr>
            <w:tcW w:w="807" w:type="pct"/>
            <w:tcBorders>
              <w:top w:val="single" w:sz="8" w:space="0" w:color="auto"/>
              <w:left w:val="nil"/>
              <w:bottom w:val="single" w:sz="8" w:space="0" w:color="auto"/>
              <w:right w:val="nil"/>
            </w:tcBorders>
            <w:noWrap/>
            <w:hideMark/>
          </w:tcPr>
          <w:p w14:paraId="7D677AA5" w14:textId="77777777" w:rsidR="007E34FA" w:rsidRDefault="007E34FA">
            <w:pPr>
              <w:rPr>
                <w:sz w:val="18"/>
                <w:szCs w:val="18"/>
              </w:rPr>
            </w:pPr>
            <w:r>
              <w:rPr>
                <w:sz w:val="18"/>
                <w:szCs w:val="18"/>
              </w:rPr>
              <w:t>Previous myocardial infarction</w:t>
            </w:r>
          </w:p>
        </w:tc>
        <w:tc>
          <w:tcPr>
            <w:tcW w:w="335" w:type="pct"/>
            <w:tcBorders>
              <w:top w:val="single" w:sz="8" w:space="0" w:color="auto"/>
              <w:left w:val="nil"/>
              <w:bottom w:val="single" w:sz="8" w:space="0" w:color="auto"/>
              <w:right w:val="nil"/>
            </w:tcBorders>
            <w:noWrap/>
            <w:hideMark/>
          </w:tcPr>
          <w:p w14:paraId="05D8F572" w14:textId="77777777" w:rsidR="007E34FA" w:rsidRDefault="007E34FA">
            <w:pPr>
              <w:rPr>
                <w:sz w:val="18"/>
                <w:szCs w:val="18"/>
              </w:rPr>
            </w:pPr>
            <w:r>
              <w:rPr>
                <w:sz w:val="18"/>
                <w:szCs w:val="18"/>
              </w:rPr>
              <w:t>12.6%</w:t>
            </w:r>
          </w:p>
        </w:tc>
        <w:tc>
          <w:tcPr>
            <w:tcW w:w="335" w:type="pct"/>
            <w:tcBorders>
              <w:top w:val="single" w:sz="8" w:space="0" w:color="auto"/>
              <w:left w:val="nil"/>
              <w:bottom w:val="single" w:sz="8" w:space="0" w:color="auto"/>
              <w:right w:val="nil"/>
            </w:tcBorders>
            <w:noWrap/>
            <w:hideMark/>
          </w:tcPr>
          <w:p w14:paraId="6F4CC04C" w14:textId="77777777" w:rsidR="007E34FA" w:rsidRDefault="007E34FA">
            <w:pPr>
              <w:rPr>
                <w:sz w:val="18"/>
                <w:szCs w:val="18"/>
              </w:rPr>
            </w:pPr>
            <w:r>
              <w:rPr>
                <w:sz w:val="18"/>
                <w:szCs w:val="18"/>
              </w:rPr>
              <w:t>12.1%</w:t>
            </w:r>
          </w:p>
        </w:tc>
        <w:tc>
          <w:tcPr>
            <w:tcW w:w="335" w:type="pct"/>
            <w:tcBorders>
              <w:top w:val="single" w:sz="8" w:space="0" w:color="auto"/>
              <w:left w:val="nil"/>
              <w:bottom w:val="single" w:sz="8" w:space="0" w:color="auto"/>
              <w:right w:val="nil"/>
            </w:tcBorders>
            <w:noWrap/>
            <w:hideMark/>
          </w:tcPr>
          <w:p w14:paraId="6E7A120D" w14:textId="77777777" w:rsidR="007E34FA" w:rsidRDefault="007E34FA">
            <w:pPr>
              <w:rPr>
                <w:sz w:val="18"/>
                <w:szCs w:val="18"/>
              </w:rPr>
            </w:pPr>
            <w:r>
              <w:rPr>
                <w:sz w:val="18"/>
                <w:szCs w:val="18"/>
              </w:rPr>
              <w:t>12.2%</w:t>
            </w:r>
          </w:p>
        </w:tc>
        <w:tc>
          <w:tcPr>
            <w:tcW w:w="335" w:type="pct"/>
            <w:tcBorders>
              <w:top w:val="single" w:sz="8" w:space="0" w:color="auto"/>
              <w:left w:val="nil"/>
              <w:bottom w:val="single" w:sz="8" w:space="0" w:color="auto"/>
              <w:right w:val="nil"/>
            </w:tcBorders>
            <w:noWrap/>
            <w:hideMark/>
          </w:tcPr>
          <w:p w14:paraId="5C137308" w14:textId="77777777" w:rsidR="007E34FA" w:rsidRDefault="007E34FA">
            <w:pPr>
              <w:rPr>
                <w:sz w:val="18"/>
                <w:szCs w:val="18"/>
              </w:rPr>
            </w:pPr>
            <w:r>
              <w:rPr>
                <w:sz w:val="18"/>
                <w:szCs w:val="18"/>
              </w:rPr>
              <w:t>12.7%</w:t>
            </w:r>
          </w:p>
        </w:tc>
        <w:tc>
          <w:tcPr>
            <w:tcW w:w="335" w:type="pct"/>
            <w:tcBorders>
              <w:top w:val="single" w:sz="8" w:space="0" w:color="auto"/>
              <w:left w:val="nil"/>
              <w:bottom w:val="single" w:sz="8" w:space="0" w:color="auto"/>
              <w:right w:val="nil"/>
            </w:tcBorders>
            <w:noWrap/>
            <w:hideMark/>
          </w:tcPr>
          <w:p w14:paraId="7130F2EA" w14:textId="77777777" w:rsidR="007E34FA" w:rsidRDefault="007E34FA">
            <w:pPr>
              <w:rPr>
                <w:sz w:val="18"/>
                <w:szCs w:val="18"/>
              </w:rPr>
            </w:pPr>
            <w:r>
              <w:rPr>
                <w:sz w:val="18"/>
                <w:szCs w:val="18"/>
              </w:rPr>
              <w:t>13.0%</w:t>
            </w:r>
          </w:p>
        </w:tc>
        <w:tc>
          <w:tcPr>
            <w:tcW w:w="335" w:type="pct"/>
            <w:tcBorders>
              <w:top w:val="single" w:sz="8" w:space="0" w:color="auto"/>
              <w:left w:val="nil"/>
              <w:bottom w:val="single" w:sz="8" w:space="0" w:color="auto"/>
              <w:right w:val="nil"/>
            </w:tcBorders>
            <w:noWrap/>
            <w:hideMark/>
          </w:tcPr>
          <w:p w14:paraId="7DE3E241" w14:textId="77777777" w:rsidR="007E34FA" w:rsidRDefault="007E34FA">
            <w:pPr>
              <w:rPr>
                <w:sz w:val="18"/>
                <w:szCs w:val="18"/>
              </w:rPr>
            </w:pPr>
            <w:r>
              <w:rPr>
                <w:sz w:val="18"/>
                <w:szCs w:val="18"/>
              </w:rPr>
              <w:t>13.7%</w:t>
            </w:r>
          </w:p>
        </w:tc>
        <w:tc>
          <w:tcPr>
            <w:tcW w:w="335" w:type="pct"/>
            <w:tcBorders>
              <w:top w:val="single" w:sz="8" w:space="0" w:color="auto"/>
              <w:left w:val="nil"/>
              <w:bottom w:val="single" w:sz="8" w:space="0" w:color="auto"/>
              <w:right w:val="nil"/>
            </w:tcBorders>
            <w:noWrap/>
            <w:hideMark/>
          </w:tcPr>
          <w:p w14:paraId="2A6BE382" w14:textId="77777777" w:rsidR="007E34FA" w:rsidRDefault="007E34FA">
            <w:pPr>
              <w:rPr>
                <w:sz w:val="18"/>
                <w:szCs w:val="18"/>
              </w:rPr>
            </w:pPr>
            <w:r>
              <w:rPr>
                <w:sz w:val="18"/>
                <w:szCs w:val="18"/>
              </w:rPr>
              <w:t>13.6%</w:t>
            </w:r>
          </w:p>
        </w:tc>
        <w:tc>
          <w:tcPr>
            <w:tcW w:w="335" w:type="pct"/>
            <w:tcBorders>
              <w:top w:val="single" w:sz="8" w:space="0" w:color="auto"/>
              <w:left w:val="nil"/>
              <w:bottom w:val="single" w:sz="8" w:space="0" w:color="auto"/>
              <w:right w:val="nil"/>
            </w:tcBorders>
            <w:noWrap/>
            <w:hideMark/>
          </w:tcPr>
          <w:p w14:paraId="0803AA80" w14:textId="77777777" w:rsidR="007E34FA" w:rsidRDefault="007E34FA">
            <w:pPr>
              <w:rPr>
                <w:sz w:val="18"/>
                <w:szCs w:val="18"/>
              </w:rPr>
            </w:pPr>
            <w:r>
              <w:rPr>
                <w:sz w:val="18"/>
                <w:szCs w:val="18"/>
              </w:rPr>
              <w:t>13.6%</w:t>
            </w:r>
          </w:p>
        </w:tc>
        <w:tc>
          <w:tcPr>
            <w:tcW w:w="335" w:type="pct"/>
            <w:tcBorders>
              <w:top w:val="single" w:sz="8" w:space="0" w:color="auto"/>
              <w:left w:val="nil"/>
              <w:bottom w:val="single" w:sz="8" w:space="0" w:color="auto"/>
              <w:right w:val="nil"/>
            </w:tcBorders>
            <w:noWrap/>
            <w:hideMark/>
          </w:tcPr>
          <w:p w14:paraId="0FB0B3CA" w14:textId="77777777" w:rsidR="007E34FA" w:rsidRDefault="007E34FA">
            <w:pPr>
              <w:rPr>
                <w:sz w:val="18"/>
                <w:szCs w:val="18"/>
              </w:rPr>
            </w:pPr>
            <w:r>
              <w:rPr>
                <w:sz w:val="18"/>
                <w:szCs w:val="18"/>
              </w:rPr>
              <w:t>14.1%</w:t>
            </w:r>
          </w:p>
        </w:tc>
        <w:tc>
          <w:tcPr>
            <w:tcW w:w="335" w:type="pct"/>
            <w:tcBorders>
              <w:top w:val="single" w:sz="8" w:space="0" w:color="auto"/>
              <w:left w:val="nil"/>
              <w:bottom w:val="single" w:sz="8" w:space="0" w:color="auto"/>
              <w:right w:val="nil"/>
            </w:tcBorders>
            <w:noWrap/>
            <w:hideMark/>
          </w:tcPr>
          <w:p w14:paraId="08EE0435" w14:textId="77777777" w:rsidR="007E34FA" w:rsidRDefault="007E34FA">
            <w:pPr>
              <w:rPr>
                <w:sz w:val="18"/>
                <w:szCs w:val="18"/>
              </w:rPr>
            </w:pPr>
            <w:r>
              <w:rPr>
                <w:sz w:val="18"/>
                <w:szCs w:val="18"/>
              </w:rPr>
              <w:t>14.5%</w:t>
            </w:r>
          </w:p>
        </w:tc>
        <w:tc>
          <w:tcPr>
            <w:tcW w:w="348" w:type="pct"/>
            <w:tcBorders>
              <w:top w:val="single" w:sz="8" w:space="0" w:color="auto"/>
              <w:left w:val="nil"/>
              <w:bottom w:val="single" w:sz="8" w:space="0" w:color="auto"/>
              <w:right w:val="nil"/>
            </w:tcBorders>
            <w:noWrap/>
            <w:hideMark/>
          </w:tcPr>
          <w:p w14:paraId="2E242518" w14:textId="77777777" w:rsidR="007E34FA" w:rsidRDefault="007E34FA">
            <w:pPr>
              <w:rPr>
                <w:sz w:val="18"/>
                <w:szCs w:val="18"/>
              </w:rPr>
            </w:pPr>
            <w:r>
              <w:rPr>
                <w:sz w:val="18"/>
                <w:szCs w:val="18"/>
              </w:rPr>
              <w:t>14.9%</w:t>
            </w:r>
          </w:p>
        </w:tc>
        <w:tc>
          <w:tcPr>
            <w:tcW w:w="493" w:type="pct"/>
            <w:tcBorders>
              <w:top w:val="single" w:sz="8" w:space="0" w:color="auto"/>
              <w:left w:val="nil"/>
              <w:bottom w:val="single" w:sz="8" w:space="0" w:color="auto"/>
              <w:right w:val="nil"/>
            </w:tcBorders>
            <w:hideMark/>
          </w:tcPr>
          <w:p w14:paraId="3BAFDA44" w14:textId="77777777" w:rsidR="007E34FA" w:rsidRDefault="007E34FA">
            <w:pPr>
              <w:rPr>
                <w:rFonts w:ascii="Calibri" w:hAnsi="Calibri"/>
                <w:color w:val="000000"/>
                <w:sz w:val="18"/>
                <w:szCs w:val="18"/>
              </w:rPr>
            </w:pPr>
            <w:r>
              <w:rPr>
                <w:rFonts w:ascii="Calibri" w:hAnsi="Calibri"/>
                <w:color w:val="000000"/>
                <w:sz w:val="18"/>
                <w:szCs w:val="18"/>
              </w:rPr>
              <w:t>13.4%</w:t>
            </w:r>
          </w:p>
        </w:tc>
      </w:tr>
      <w:tr w:rsidR="007E34FA" w14:paraId="121E0DCE" w14:textId="77777777" w:rsidTr="007E34FA">
        <w:trPr>
          <w:trHeight w:val="300"/>
        </w:trPr>
        <w:tc>
          <w:tcPr>
            <w:tcW w:w="807" w:type="pct"/>
            <w:tcBorders>
              <w:top w:val="single" w:sz="8" w:space="0" w:color="auto"/>
              <w:left w:val="nil"/>
              <w:bottom w:val="single" w:sz="8" w:space="0" w:color="auto"/>
              <w:right w:val="nil"/>
            </w:tcBorders>
            <w:noWrap/>
            <w:hideMark/>
          </w:tcPr>
          <w:p w14:paraId="368480B6" w14:textId="77777777" w:rsidR="007E34FA" w:rsidRDefault="007E34FA">
            <w:pPr>
              <w:rPr>
                <w:sz w:val="18"/>
                <w:szCs w:val="18"/>
              </w:rPr>
            </w:pPr>
            <w:r>
              <w:rPr>
                <w:sz w:val="18"/>
                <w:szCs w:val="18"/>
              </w:rPr>
              <w:t>Heart failure</w:t>
            </w:r>
          </w:p>
        </w:tc>
        <w:tc>
          <w:tcPr>
            <w:tcW w:w="335" w:type="pct"/>
            <w:tcBorders>
              <w:top w:val="single" w:sz="8" w:space="0" w:color="auto"/>
              <w:left w:val="nil"/>
              <w:bottom w:val="single" w:sz="8" w:space="0" w:color="auto"/>
              <w:right w:val="nil"/>
            </w:tcBorders>
            <w:noWrap/>
            <w:hideMark/>
          </w:tcPr>
          <w:p w14:paraId="144A8C41" w14:textId="77777777" w:rsidR="007E34FA" w:rsidRDefault="007E34FA">
            <w:pPr>
              <w:rPr>
                <w:sz w:val="18"/>
                <w:szCs w:val="18"/>
              </w:rPr>
            </w:pPr>
            <w:r>
              <w:rPr>
                <w:sz w:val="18"/>
                <w:szCs w:val="18"/>
              </w:rPr>
              <w:t>12.6%</w:t>
            </w:r>
          </w:p>
        </w:tc>
        <w:tc>
          <w:tcPr>
            <w:tcW w:w="335" w:type="pct"/>
            <w:tcBorders>
              <w:top w:val="single" w:sz="8" w:space="0" w:color="auto"/>
              <w:left w:val="nil"/>
              <w:bottom w:val="single" w:sz="8" w:space="0" w:color="auto"/>
              <w:right w:val="nil"/>
            </w:tcBorders>
            <w:noWrap/>
            <w:hideMark/>
          </w:tcPr>
          <w:p w14:paraId="0AF34DB1" w14:textId="77777777" w:rsidR="007E34FA" w:rsidRDefault="007E34FA">
            <w:pPr>
              <w:rPr>
                <w:sz w:val="18"/>
                <w:szCs w:val="18"/>
              </w:rPr>
            </w:pPr>
            <w:r>
              <w:rPr>
                <w:sz w:val="18"/>
                <w:szCs w:val="18"/>
              </w:rPr>
              <w:t>12.4%</w:t>
            </w:r>
          </w:p>
        </w:tc>
        <w:tc>
          <w:tcPr>
            <w:tcW w:w="335" w:type="pct"/>
            <w:tcBorders>
              <w:top w:val="single" w:sz="8" w:space="0" w:color="auto"/>
              <w:left w:val="nil"/>
              <w:bottom w:val="single" w:sz="8" w:space="0" w:color="auto"/>
              <w:right w:val="nil"/>
            </w:tcBorders>
            <w:noWrap/>
            <w:hideMark/>
          </w:tcPr>
          <w:p w14:paraId="32F83BFE" w14:textId="77777777" w:rsidR="007E34FA" w:rsidRDefault="007E34FA">
            <w:pPr>
              <w:rPr>
                <w:sz w:val="18"/>
                <w:szCs w:val="18"/>
              </w:rPr>
            </w:pPr>
            <w:r>
              <w:rPr>
                <w:sz w:val="18"/>
                <w:szCs w:val="18"/>
              </w:rPr>
              <w:t>12.8%</w:t>
            </w:r>
          </w:p>
        </w:tc>
        <w:tc>
          <w:tcPr>
            <w:tcW w:w="335" w:type="pct"/>
            <w:tcBorders>
              <w:top w:val="single" w:sz="8" w:space="0" w:color="auto"/>
              <w:left w:val="nil"/>
              <w:bottom w:val="single" w:sz="8" w:space="0" w:color="auto"/>
              <w:right w:val="nil"/>
            </w:tcBorders>
            <w:noWrap/>
            <w:hideMark/>
          </w:tcPr>
          <w:p w14:paraId="78225E0E" w14:textId="77777777" w:rsidR="007E34FA" w:rsidRDefault="007E34FA">
            <w:pPr>
              <w:rPr>
                <w:sz w:val="18"/>
                <w:szCs w:val="18"/>
              </w:rPr>
            </w:pPr>
            <w:r>
              <w:rPr>
                <w:sz w:val="18"/>
                <w:szCs w:val="18"/>
              </w:rPr>
              <w:t>13.7%</w:t>
            </w:r>
          </w:p>
        </w:tc>
        <w:tc>
          <w:tcPr>
            <w:tcW w:w="335" w:type="pct"/>
            <w:tcBorders>
              <w:top w:val="single" w:sz="8" w:space="0" w:color="auto"/>
              <w:left w:val="nil"/>
              <w:bottom w:val="single" w:sz="8" w:space="0" w:color="auto"/>
              <w:right w:val="nil"/>
            </w:tcBorders>
            <w:noWrap/>
            <w:hideMark/>
          </w:tcPr>
          <w:p w14:paraId="597F36AC" w14:textId="77777777" w:rsidR="007E34FA" w:rsidRDefault="007E34FA">
            <w:pPr>
              <w:rPr>
                <w:sz w:val="18"/>
                <w:szCs w:val="18"/>
              </w:rPr>
            </w:pPr>
            <w:r>
              <w:rPr>
                <w:sz w:val="18"/>
                <w:szCs w:val="18"/>
              </w:rPr>
              <w:t>13.8%</w:t>
            </w:r>
          </w:p>
        </w:tc>
        <w:tc>
          <w:tcPr>
            <w:tcW w:w="335" w:type="pct"/>
            <w:tcBorders>
              <w:top w:val="single" w:sz="8" w:space="0" w:color="auto"/>
              <w:left w:val="nil"/>
              <w:bottom w:val="single" w:sz="8" w:space="0" w:color="auto"/>
              <w:right w:val="nil"/>
            </w:tcBorders>
            <w:noWrap/>
            <w:hideMark/>
          </w:tcPr>
          <w:p w14:paraId="00613A6E" w14:textId="77777777" w:rsidR="007E34FA" w:rsidRDefault="007E34FA">
            <w:pPr>
              <w:rPr>
                <w:sz w:val="18"/>
                <w:szCs w:val="18"/>
              </w:rPr>
            </w:pPr>
            <w:r>
              <w:rPr>
                <w:sz w:val="18"/>
                <w:szCs w:val="18"/>
              </w:rPr>
              <w:t>15.5%</w:t>
            </w:r>
          </w:p>
        </w:tc>
        <w:tc>
          <w:tcPr>
            <w:tcW w:w="335" w:type="pct"/>
            <w:tcBorders>
              <w:top w:val="single" w:sz="8" w:space="0" w:color="auto"/>
              <w:left w:val="nil"/>
              <w:bottom w:val="single" w:sz="8" w:space="0" w:color="auto"/>
              <w:right w:val="nil"/>
            </w:tcBorders>
            <w:noWrap/>
            <w:hideMark/>
          </w:tcPr>
          <w:p w14:paraId="2D0B4E8D" w14:textId="77777777" w:rsidR="007E34FA" w:rsidRDefault="007E34FA">
            <w:pPr>
              <w:rPr>
                <w:sz w:val="18"/>
                <w:szCs w:val="18"/>
              </w:rPr>
            </w:pPr>
            <w:r>
              <w:rPr>
                <w:sz w:val="18"/>
                <w:szCs w:val="18"/>
              </w:rPr>
              <w:t>16.8%</w:t>
            </w:r>
          </w:p>
        </w:tc>
        <w:tc>
          <w:tcPr>
            <w:tcW w:w="335" w:type="pct"/>
            <w:tcBorders>
              <w:top w:val="single" w:sz="8" w:space="0" w:color="auto"/>
              <w:left w:val="nil"/>
              <w:bottom w:val="single" w:sz="8" w:space="0" w:color="auto"/>
              <w:right w:val="nil"/>
            </w:tcBorders>
            <w:noWrap/>
            <w:hideMark/>
          </w:tcPr>
          <w:p w14:paraId="25D140BB" w14:textId="77777777" w:rsidR="007E34FA" w:rsidRDefault="007E34FA">
            <w:pPr>
              <w:rPr>
                <w:sz w:val="18"/>
                <w:szCs w:val="18"/>
              </w:rPr>
            </w:pPr>
            <w:r>
              <w:rPr>
                <w:sz w:val="18"/>
                <w:szCs w:val="18"/>
              </w:rPr>
              <w:t>18.6%</w:t>
            </w:r>
          </w:p>
        </w:tc>
        <w:tc>
          <w:tcPr>
            <w:tcW w:w="335" w:type="pct"/>
            <w:tcBorders>
              <w:top w:val="single" w:sz="8" w:space="0" w:color="auto"/>
              <w:left w:val="nil"/>
              <w:bottom w:val="single" w:sz="8" w:space="0" w:color="auto"/>
              <w:right w:val="nil"/>
            </w:tcBorders>
            <w:noWrap/>
            <w:hideMark/>
          </w:tcPr>
          <w:p w14:paraId="67AD0F10" w14:textId="77777777" w:rsidR="007E34FA" w:rsidRDefault="007E34FA">
            <w:pPr>
              <w:rPr>
                <w:sz w:val="18"/>
                <w:szCs w:val="18"/>
              </w:rPr>
            </w:pPr>
            <w:r>
              <w:rPr>
                <w:sz w:val="18"/>
                <w:szCs w:val="18"/>
              </w:rPr>
              <w:t>19.1%</w:t>
            </w:r>
          </w:p>
        </w:tc>
        <w:tc>
          <w:tcPr>
            <w:tcW w:w="335" w:type="pct"/>
            <w:tcBorders>
              <w:top w:val="single" w:sz="8" w:space="0" w:color="auto"/>
              <w:left w:val="nil"/>
              <w:bottom w:val="single" w:sz="8" w:space="0" w:color="auto"/>
              <w:right w:val="nil"/>
            </w:tcBorders>
            <w:noWrap/>
            <w:hideMark/>
          </w:tcPr>
          <w:p w14:paraId="7527BD70" w14:textId="77777777" w:rsidR="007E34FA" w:rsidRDefault="007E34FA">
            <w:pPr>
              <w:rPr>
                <w:sz w:val="18"/>
                <w:szCs w:val="18"/>
              </w:rPr>
            </w:pPr>
            <w:r>
              <w:rPr>
                <w:sz w:val="18"/>
                <w:szCs w:val="18"/>
              </w:rPr>
              <w:t>20.9%</w:t>
            </w:r>
          </w:p>
        </w:tc>
        <w:tc>
          <w:tcPr>
            <w:tcW w:w="348" w:type="pct"/>
            <w:tcBorders>
              <w:top w:val="single" w:sz="8" w:space="0" w:color="auto"/>
              <w:left w:val="nil"/>
              <w:bottom w:val="single" w:sz="8" w:space="0" w:color="auto"/>
              <w:right w:val="nil"/>
            </w:tcBorders>
            <w:noWrap/>
            <w:hideMark/>
          </w:tcPr>
          <w:p w14:paraId="109B6FB8" w14:textId="77777777" w:rsidR="007E34FA" w:rsidRDefault="007E34FA">
            <w:pPr>
              <w:rPr>
                <w:sz w:val="18"/>
                <w:szCs w:val="18"/>
              </w:rPr>
            </w:pPr>
            <w:r>
              <w:rPr>
                <w:sz w:val="18"/>
                <w:szCs w:val="18"/>
              </w:rPr>
              <w:t>22.7%</w:t>
            </w:r>
          </w:p>
        </w:tc>
        <w:tc>
          <w:tcPr>
            <w:tcW w:w="493" w:type="pct"/>
            <w:tcBorders>
              <w:top w:val="single" w:sz="8" w:space="0" w:color="auto"/>
              <w:left w:val="nil"/>
              <w:bottom w:val="single" w:sz="8" w:space="0" w:color="auto"/>
              <w:right w:val="nil"/>
            </w:tcBorders>
            <w:hideMark/>
          </w:tcPr>
          <w:p w14:paraId="3619AD67" w14:textId="77777777" w:rsidR="007E34FA" w:rsidRDefault="007E34FA">
            <w:pPr>
              <w:rPr>
                <w:rFonts w:ascii="Calibri" w:hAnsi="Calibri"/>
                <w:color w:val="000000"/>
                <w:sz w:val="18"/>
                <w:szCs w:val="18"/>
              </w:rPr>
            </w:pPr>
            <w:r>
              <w:rPr>
                <w:rFonts w:ascii="Calibri" w:hAnsi="Calibri"/>
                <w:color w:val="000000"/>
                <w:sz w:val="18"/>
                <w:szCs w:val="18"/>
              </w:rPr>
              <w:t>16.3%</w:t>
            </w:r>
          </w:p>
        </w:tc>
      </w:tr>
      <w:tr w:rsidR="007E34FA" w14:paraId="18245CDC" w14:textId="77777777" w:rsidTr="007E34FA">
        <w:trPr>
          <w:trHeight w:val="300"/>
        </w:trPr>
        <w:tc>
          <w:tcPr>
            <w:tcW w:w="807" w:type="pct"/>
            <w:tcBorders>
              <w:top w:val="single" w:sz="8" w:space="0" w:color="auto"/>
              <w:left w:val="nil"/>
              <w:bottom w:val="single" w:sz="8" w:space="0" w:color="auto"/>
              <w:right w:val="nil"/>
            </w:tcBorders>
            <w:noWrap/>
            <w:hideMark/>
          </w:tcPr>
          <w:p w14:paraId="260452F5" w14:textId="77777777" w:rsidR="007E34FA" w:rsidRDefault="007E34FA">
            <w:pPr>
              <w:rPr>
                <w:sz w:val="18"/>
                <w:szCs w:val="18"/>
              </w:rPr>
            </w:pPr>
            <w:r>
              <w:rPr>
                <w:sz w:val="18"/>
                <w:szCs w:val="18"/>
              </w:rPr>
              <w:t>Peripheral vascular disease</w:t>
            </w:r>
          </w:p>
        </w:tc>
        <w:tc>
          <w:tcPr>
            <w:tcW w:w="335" w:type="pct"/>
            <w:tcBorders>
              <w:top w:val="single" w:sz="8" w:space="0" w:color="auto"/>
              <w:left w:val="nil"/>
              <w:bottom w:val="single" w:sz="8" w:space="0" w:color="auto"/>
              <w:right w:val="nil"/>
            </w:tcBorders>
            <w:noWrap/>
            <w:hideMark/>
          </w:tcPr>
          <w:p w14:paraId="0EEF408C" w14:textId="77777777" w:rsidR="007E34FA" w:rsidRDefault="007E34FA">
            <w:pPr>
              <w:rPr>
                <w:sz w:val="18"/>
                <w:szCs w:val="18"/>
              </w:rPr>
            </w:pPr>
            <w:r>
              <w:rPr>
                <w:sz w:val="18"/>
                <w:szCs w:val="18"/>
              </w:rPr>
              <w:t>1.1%</w:t>
            </w:r>
          </w:p>
        </w:tc>
        <w:tc>
          <w:tcPr>
            <w:tcW w:w="335" w:type="pct"/>
            <w:tcBorders>
              <w:top w:val="single" w:sz="8" w:space="0" w:color="auto"/>
              <w:left w:val="nil"/>
              <w:bottom w:val="single" w:sz="8" w:space="0" w:color="auto"/>
              <w:right w:val="nil"/>
            </w:tcBorders>
            <w:noWrap/>
            <w:hideMark/>
          </w:tcPr>
          <w:p w14:paraId="0B8BEF8A" w14:textId="77777777" w:rsidR="007E34FA" w:rsidRDefault="007E34FA">
            <w:pPr>
              <w:rPr>
                <w:sz w:val="18"/>
                <w:szCs w:val="18"/>
              </w:rPr>
            </w:pPr>
            <w:r>
              <w:rPr>
                <w:sz w:val="18"/>
                <w:szCs w:val="18"/>
              </w:rPr>
              <w:t>1.0%</w:t>
            </w:r>
          </w:p>
        </w:tc>
        <w:tc>
          <w:tcPr>
            <w:tcW w:w="335" w:type="pct"/>
            <w:tcBorders>
              <w:top w:val="single" w:sz="8" w:space="0" w:color="auto"/>
              <w:left w:val="nil"/>
              <w:bottom w:val="single" w:sz="8" w:space="0" w:color="auto"/>
              <w:right w:val="nil"/>
            </w:tcBorders>
            <w:noWrap/>
            <w:hideMark/>
          </w:tcPr>
          <w:p w14:paraId="127128D9" w14:textId="77777777" w:rsidR="007E34FA" w:rsidRDefault="007E34FA">
            <w:pPr>
              <w:rPr>
                <w:sz w:val="18"/>
                <w:szCs w:val="18"/>
              </w:rPr>
            </w:pPr>
            <w:r>
              <w:rPr>
                <w:sz w:val="18"/>
                <w:szCs w:val="18"/>
              </w:rPr>
              <w:t>1.2%</w:t>
            </w:r>
          </w:p>
        </w:tc>
        <w:tc>
          <w:tcPr>
            <w:tcW w:w="335" w:type="pct"/>
            <w:tcBorders>
              <w:top w:val="single" w:sz="8" w:space="0" w:color="auto"/>
              <w:left w:val="nil"/>
              <w:bottom w:val="single" w:sz="8" w:space="0" w:color="auto"/>
              <w:right w:val="nil"/>
            </w:tcBorders>
            <w:noWrap/>
            <w:hideMark/>
          </w:tcPr>
          <w:p w14:paraId="1A38CAA7" w14:textId="77777777" w:rsidR="007E34FA" w:rsidRDefault="007E34FA">
            <w:pPr>
              <w:rPr>
                <w:sz w:val="18"/>
                <w:szCs w:val="18"/>
              </w:rPr>
            </w:pPr>
            <w:r>
              <w:rPr>
                <w:sz w:val="18"/>
                <w:szCs w:val="18"/>
              </w:rPr>
              <w:t>1.3%</w:t>
            </w:r>
          </w:p>
        </w:tc>
        <w:tc>
          <w:tcPr>
            <w:tcW w:w="335" w:type="pct"/>
            <w:tcBorders>
              <w:top w:val="single" w:sz="8" w:space="0" w:color="auto"/>
              <w:left w:val="nil"/>
              <w:bottom w:val="single" w:sz="8" w:space="0" w:color="auto"/>
              <w:right w:val="nil"/>
            </w:tcBorders>
            <w:noWrap/>
            <w:hideMark/>
          </w:tcPr>
          <w:p w14:paraId="0FC31687" w14:textId="77777777" w:rsidR="007E34FA" w:rsidRDefault="007E34FA">
            <w:pPr>
              <w:rPr>
                <w:sz w:val="18"/>
                <w:szCs w:val="18"/>
              </w:rPr>
            </w:pPr>
            <w:r>
              <w:rPr>
                <w:sz w:val="18"/>
                <w:szCs w:val="18"/>
              </w:rPr>
              <w:t>1.4%</w:t>
            </w:r>
          </w:p>
        </w:tc>
        <w:tc>
          <w:tcPr>
            <w:tcW w:w="335" w:type="pct"/>
            <w:tcBorders>
              <w:top w:val="single" w:sz="8" w:space="0" w:color="auto"/>
              <w:left w:val="nil"/>
              <w:bottom w:val="single" w:sz="8" w:space="0" w:color="auto"/>
              <w:right w:val="nil"/>
            </w:tcBorders>
            <w:noWrap/>
            <w:hideMark/>
          </w:tcPr>
          <w:p w14:paraId="4A43F2D0" w14:textId="77777777" w:rsidR="007E34FA" w:rsidRDefault="007E34FA">
            <w:pPr>
              <w:rPr>
                <w:sz w:val="18"/>
                <w:szCs w:val="18"/>
              </w:rPr>
            </w:pPr>
            <w:r>
              <w:rPr>
                <w:sz w:val="18"/>
                <w:szCs w:val="18"/>
              </w:rPr>
              <w:t>1.6%</w:t>
            </w:r>
          </w:p>
        </w:tc>
        <w:tc>
          <w:tcPr>
            <w:tcW w:w="335" w:type="pct"/>
            <w:tcBorders>
              <w:top w:val="single" w:sz="8" w:space="0" w:color="auto"/>
              <w:left w:val="nil"/>
              <w:bottom w:val="single" w:sz="8" w:space="0" w:color="auto"/>
              <w:right w:val="nil"/>
            </w:tcBorders>
            <w:noWrap/>
            <w:hideMark/>
          </w:tcPr>
          <w:p w14:paraId="2BC6F120" w14:textId="77777777" w:rsidR="007E34FA" w:rsidRDefault="007E34FA">
            <w:pPr>
              <w:rPr>
                <w:sz w:val="18"/>
                <w:szCs w:val="18"/>
              </w:rPr>
            </w:pPr>
            <w:r>
              <w:rPr>
                <w:sz w:val="18"/>
                <w:szCs w:val="18"/>
              </w:rPr>
              <w:t>1.4%</w:t>
            </w:r>
          </w:p>
        </w:tc>
        <w:tc>
          <w:tcPr>
            <w:tcW w:w="335" w:type="pct"/>
            <w:tcBorders>
              <w:top w:val="single" w:sz="8" w:space="0" w:color="auto"/>
              <w:left w:val="nil"/>
              <w:bottom w:val="single" w:sz="8" w:space="0" w:color="auto"/>
              <w:right w:val="nil"/>
            </w:tcBorders>
            <w:noWrap/>
            <w:hideMark/>
          </w:tcPr>
          <w:p w14:paraId="0A1D311E" w14:textId="77777777" w:rsidR="007E34FA" w:rsidRDefault="007E34FA">
            <w:pPr>
              <w:rPr>
                <w:sz w:val="18"/>
                <w:szCs w:val="18"/>
              </w:rPr>
            </w:pPr>
            <w:r>
              <w:rPr>
                <w:sz w:val="18"/>
                <w:szCs w:val="18"/>
              </w:rPr>
              <w:t>1.4%</w:t>
            </w:r>
          </w:p>
        </w:tc>
        <w:tc>
          <w:tcPr>
            <w:tcW w:w="335" w:type="pct"/>
            <w:tcBorders>
              <w:top w:val="single" w:sz="8" w:space="0" w:color="auto"/>
              <w:left w:val="nil"/>
              <w:bottom w:val="single" w:sz="8" w:space="0" w:color="auto"/>
              <w:right w:val="nil"/>
            </w:tcBorders>
            <w:noWrap/>
            <w:hideMark/>
          </w:tcPr>
          <w:p w14:paraId="1CF2133C" w14:textId="77777777" w:rsidR="007E34FA" w:rsidRDefault="007E34FA">
            <w:pPr>
              <w:rPr>
                <w:sz w:val="18"/>
                <w:szCs w:val="18"/>
              </w:rPr>
            </w:pPr>
            <w:r>
              <w:rPr>
                <w:sz w:val="18"/>
                <w:szCs w:val="18"/>
              </w:rPr>
              <w:t>1.4%</w:t>
            </w:r>
          </w:p>
        </w:tc>
        <w:tc>
          <w:tcPr>
            <w:tcW w:w="335" w:type="pct"/>
            <w:tcBorders>
              <w:top w:val="single" w:sz="8" w:space="0" w:color="auto"/>
              <w:left w:val="nil"/>
              <w:bottom w:val="single" w:sz="8" w:space="0" w:color="auto"/>
              <w:right w:val="nil"/>
            </w:tcBorders>
            <w:noWrap/>
            <w:hideMark/>
          </w:tcPr>
          <w:p w14:paraId="0DD89547" w14:textId="77777777" w:rsidR="007E34FA" w:rsidRDefault="007E34FA">
            <w:pPr>
              <w:rPr>
                <w:sz w:val="18"/>
                <w:szCs w:val="18"/>
              </w:rPr>
            </w:pPr>
            <w:r>
              <w:rPr>
                <w:sz w:val="18"/>
                <w:szCs w:val="18"/>
              </w:rPr>
              <w:t>1.5%</w:t>
            </w:r>
          </w:p>
        </w:tc>
        <w:tc>
          <w:tcPr>
            <w:tcW w:w="348" w:type="pct"/>
            <w:tcBorders>
              <w:top w:val="single" w:sz="8" w:space="0" w:color="auto"/>
              <w:left w:val="nil"/>
              <w:bottom w:val="single" w:sz="8" w:space="0" w:color="auto"/>
              <w:right w:val="nil"/>
            </w:tcBorders>
            <w:noWrap/>
            <w:hideMark/>
          </w:tcPr>
          <w:p w14:paraId="48E38C46" w14:textId="77777777" w:rsidR="007E34FA" w:rsidRDefault="007E34FA">
            <w:pPr>
              <w:rPr>
                <w:sz w:val="18"/>
                <w:szCs w:val="18"/>
              </w:rPr>
            </w:pPr>
            <w:r>
              <w:rPr>
                <w:sz w:val="18"/>
                <w:szCs w:val="18"/>
              </w:rPr>
              <w:t>1.5%</w:t>
            </w:r>
          </w:p>
        </w:tc>
        <w:tc>
          <w:tcPr>
            <w:tcW w:w="493" w:type="pct"/>
            <w:tcBorders>
              <w:top w:val="single" w:sz="8" w:space="0" w:color="auto"/>
              <w:left w:val="nil"/>
              <w:bottom w:val="single" w:sz="8" w:space="0" w:color="auto"/>
              <w:right w:val="nil"/>
            </w:tcBorders>
            <w:hideMark/>
          </w:tcPr>
          <w:p w14:paraId="5C893E35" w14:textId="77777777" w:rsidR="007E34FA" w:rsidRDefault="007E34FA">
            <w:pPr>
              <w:rPr>
                <w:rFonts w:ascii="Calibri" w:hAnsi="Calibri"/>
                <w:color w:val="000000"/>
                <w:sz w:val="18"/>
                <w:szCs w:val="18"/>
              </w:rPr>
            </w:pPr>
            <w:r>
              <w:rPr>
                <w:rFonts w:ascii="Calibri" w:hAnsi="Calibri"/>
                <w:color w:val="000000"/>
                <w:sz w:val="18"/>
                <w:szCs w:val="18"/>
              </w:rPr>
              <w:t>1.4%</w:t>
            </w:r>
          </w:p>
        </w:tc>
      </w:tr>
      <w:tr w:rsidR="007E34FA" w14:paraId="4591B1A2" w14:textId="77777777" w:rsidTr="007E34FA">
        <w:trPr>
          <w:trHeight w:val="300"/>
        </w:trPr>
        <w:tc>
          <w:tcPr>
            <w:tcW w:w="807" w:type="pct"/>
            <w:tcBorders>
              <w:top w:val="single" w:sz="8" w:space="0" w:color="auto"/>
              <w:left w:val="nil"/>
              <w:bottom w:val="single" w:sz="8" w:space="0" w:color="auto"/>
              <w:right w:val="nil"/>
            </w:tcBorders>
            <w:noWrap/>
            <w:hideMark/>
          </w:tcPr>
          <w:p w14:paraId="460B2316" w14:textId="77777777" w:rsidR="007E34FA" w:rsidRDefault="007E34FA">
            <w:pPr>
              <w:rPr>
                <w:sz w:val="18"/>
                <w:szCs w:val="18"/>
              </w:rPr>
            </w:pPr>
            <w:r>
              <w:rPr>
                <w:sz w:val="18"/>
                <w:szCs w:val="18"/>
              </w:rPr>
              <w:t>Previous stroke</w:t>
            </w:r>
          </w:p>
        </w:tc>
        <w:tc>
          <w:tcPr>
            <w:tcW w:w="335" w:type="pct"/>
            <w:tcBorders>
              <w:top w:val="single" w:sz="8" w:space="0" w:color="auto"/>
              <w:left w:val="nil"/>
              <w:bottom w:val="single" w:sz="8" w:space="0" w:color="auto"/>
              <w:right w:val="nil"/>
            </w:tcBorders>
            <w:noWrap/>
            <w:hideMark/>
          </w:tcPr>
          <w:p w14:paraId="344DE18D" w14:textId="77777777" w:rsidR="007E34FA" w:rsidRDefault="007E34FA">
            <w:pPr>
              <w:rPr>
                <w:sz w:val="18"/>
                <w:szCs w:val="18"/>
              </w:rPr>
            </w:pPr>
            <w:r>
              <w:rPr>
                <w:sz w:val="18"/>
                <w:szCs w:val="18"/>
              </w:rPr>
              <w:t>0.8%</w:t>
            </w:r>
          </w:p>
        </w:tc>
        <w:tc>
          <w:tcPr>
            <w:tcW w:w="335" w:type="pct"/>
            <w:tcBorders>
              <w:top w:val="single" w:sz="8" w:space="0" w:color="auto"/>
              <w:left w:val="nil"/>
              <w:bottom w:val="single" w:sz="8" w:space="0" w:color="auto"/>
              <w:right w:val="nil"/>
            </w:tcBorders>
            <w:noWrap/>
            <w:hideMark/>
          </w:tcPr>
          <w:p w14:paraId="2AD2C0E8" w14:textId="77777777" w:rsidR="007E34FA" w:rsidRDefault="007E34FA">
            <w:pPr>
              <w:rPr>
                <w:sz w:val="18"/>
                <w:szCs w:val="18"/>
              </w:rPr>
            </w:pPr>
            <w:r>
              <w:rPr>
                <w:sz w:val="18"/>
                <w:szCs w:val="18"/>
              </w:rPr>
              <w:t>0.7%</w:t>
            </w:r>
          </w:p>
        </w:tc>
        <w:tc>
          <w:tcPr>
            <w:tcW w:w="335" w:type="pct"/>
            <w:tcBorders>
              <w:top w:val="single" w:sz="8" w:space="0" w:color="auto"/>
              <w:left w:val="nil"/>
              <w:bottom w:val="single" w:sz="8" w:space="0" w:color="auto"/>
              <w:right w:val="nil"/>
            </w:tcBorders>
            <w:noWrap/>
            <w:hideMark/>
          </w:tcPr>
          <w:p w14:paraId="723F4039" w14:textId="77777777" w:rsidR="007E34FA" w:rsidRDefault="007E34FA">
            <w:pPr>
              <w:rPr>
                <w:sz w:val="18"/>
                <w:szCs w:val="18"/>
              </w:rPr>
            </w:pPr>
            <w:r>
              <w:rPr>
                <w:sz w:val="18"/>
                <w:szCs w:val="18"/>
              </w:rPr>
              <w:t>0.8%</w:t>
            </w:r>
          </w:p>
        </w:tc>
        <w:tc>
          <w:tcPr>
            <w:tcW w:w="335" w:type="pct"/>
            <w:tcBorders>
              <w:top w:val="single" w:sz="8" w:space="0" w:color="auto"/>
              <w:left w:val="nil"/>
              <w:bottom w:val="single" w:sz="8" w:space="0" w:color="auto"/>
              <w:right w:val="nil"/>
            </w:tcBorders>
            <w:noWrap/>
            <w:hideMark/>
          </w:tcPr>
          <w:p w14:paraId="7F8FB088" w14:textId="77777777" w:rsidR="007E34FA" w:rsidRDefault="007E34FA">
            <w:pPr>
              <w:rPr>
                <w:sz w:val="18"/>
                <w:szCs w:val="18"/>
              </w:rPr>
            </w:pPr>
            <w:r>
              <w:rPr>
                <w:sz w:val="18"/>
                <w:szCs w:val="18"/>
              </w:rPr>
              <w:t>1.4%</w:t>
            </w:r>
          </w:p>
        </w:tc>
        <w:tc>
          <w:tcPr>
            <w:tcW w:w="335" w:type="pct"/>
            <w:tcBorders>
              <w:top w:val="single" w:sz="8" w:space="0" w:color="auto"/>
              <w:left w:val="nil"/>
              <w:bottom w:val="single" w:sz="8" w:space="0" w:color="auto"/>
              <w:right w:val="nil"/>
            </w:tcBorders>
            <w:noWrap/>
            <w:hideMark/>
          </w:tcPr>
          <w:p w14:paraId="46744BEA" w14:textId="77777777" w:rsidR="007E34FA" w:rsidRDefault="007E34FA">
            <w:pPr>
              <w:rPr>
                <w:sz w:val="18"/>
                <w:szCs w:val="18"/>
              </w:rPr>
            </w:pPr>
            <w:r>
              <w:rPr>
                <w:sz w:val="18"/>
                <w:szCs w:val="18"/>
              </w:rPr>
              <w:t>4.6%</w:t>
            </w:r>
          </w:p>
        </w:tc>
        <w:tc>
          <w:tcPr>
            <w:tcW w:w="335" w:type="pct"/>
            <w:tcBorders>
              <w:top w:val="single" w:sz="8" w:space="0" w:color="auto"/>
              <w:left w:val="nil"/>
              <w:bottom w:val="single" w:sz="8" w:space="0" w:color="auto"/>
              <w:right w:val="nil"/>
            </w:tcBorders>
            <w:noWrap/>
            <w:hideMark/>
          </w:tcPr>
          <w:p w14:paraId="7691293F" w14:textId="77777777" w:rsidR="007E34FA" w:rsidRDefault="007E34FA">
            <w:pPr>
              <w:rPr>
                <w:sz w:val="18"/>
                <w:szCs w:val="18"/>
              </w:rPr>
            </w:pPr>
            <w:r>
              <w:rPr>
                <w:sz w:val="18"/>
                <w:szCs w:val="18"/>
              </w:rPr>
              <w:t>5.6%</w:t>
            </w:r>
          </w:p>
        </w:tc>
        <w:tc>
          <w:tcPr>
            <w:tcW w:w="335" w:type="pct"/>
            <w:tcBorders>
              <w:top w:val="single" w:sz="8" w:space="0" w:color="auto"/>
              <w:left w:val="nil"/>
              <w:bottom w:val="single" w:sz="8" w:space="0" w:color="auto"/>
              <w:right w:val="nil"/>
            </w:tcBorders>
            <w:noWrap/>
            <w:hideMark/>
          </w:tcPr>
          <w:p w14:paraId="39E83C8A" w14:textId="77777777" w:rsidR="007E34FA" w:rsidRDefault="007E34FA">
            <w:pPr>
              <w:rPr>
                <w:sz w:val="18"/>
                <w:szCs w:val="18"/>
              </w:rPr>
            </w:pPr>
            <w:r>
              <w:rPr>
                <w:sz w:val="18"/>
                <w:szCs w:val="18"/>
              </w:rPr>
              <w:t>5.8%</w:t>
            </w:r>
          </w:p>
        </w:tc>
        <w:tc>
          <w:tcPr>
            <w:tcW w:w="335" w:type="pct"/>
            <w:tcBorders>
              <w:top w:val="single" w:sz="8" w:space="0" w:color="auto"/>
              <w:left w:val="nil"/>
              <w:bottom w:val="single" w:sz="8" w:space="0" w:color="auto"/>
              <w:right w:val="nil"/>
            </w:tcBorders>
            <w:noWrap/>
            <w:hideMark/>
          </w:tcPr>
          <w:p w14:paraId="1D674E48" w14:textId="77777777" w:rsidR="007E34FA" w:rsidRDefault="007E34FA">
            <w:pPr>
              <w:rPr>
                <w:sz w:val="18"/>
                <w:szCs w:val="18"/>
              </w:rPr>
            </w:pPr>
            <w:r>
              <w:rPr>
                <w:sz w:val="18"/>
                <w:szCs w:val="18"/>
              </w:rPr>
              <w:t>6.6%</w:t>
            </w:r>
          </w:p>
        </w:tc>
        <w:tc>
          <w:tcPr>
            <w:tcW w:w="335" w:type="pct"/>
            <w:tcBorders>
              <w:top w:val="single" w:sz="8" w:space="0" w:color="auto"/>
              <w:left w:val="nil"/>
              <w:bottom w:val="single" w:sz="8" w:space="0" w:color="auto"/>
              <w:right w:val="nil"/>
            </w:tcBorders>
            <w:noWrap/>
            <w:hideMark/>
          </w:tcPr>
          <w:p w14:paraId="1F32D2F6" w14:textId="77777777" w:rsidR="007E34FA" w:rsidRDefault="007E34FA">
            <w:pPr>
              <w:rPr>
                <w:sz w:val="18"/>
                <w:szCs w:val="18"/>
              </w:rPr>
            </w:pPr>
            <w:r>
              <w:rPr>
                <w:sz w:val="18"/>
                <w:szCs w:val="18"/>
              </w:rPr>
              <w:t>6.8%</w:t>
            </w:r>
          </w:p>
        </w:tc>
        <w:tc>
          <w:tcPr>
            <w:tcW w:w="335" w:type="pct"/>
            <w:tcBorders>
              <w:top w:val="single" w:sz="8" w:space="0" w:color="auto"/>
              <w:left w:val="nil"/>
              <w:bottom w:val="single" w:sz="8" w:space="0" w:color="auto"/>
              <w:right w:val="nil"/>
            </w:tcBorders>
            <w:noWrap/>
            <w:hideMark/>
          </w:tcPr>
          <w:p w14:paraId="7BD3E0AF" w14:textId="77777777" w:rsidR="007E34FA" w:rsidRDefault="007E34FA">
            <w:pPr>
              <w:rPr>
                <w:sz w:val="18"/>
                <w:szCs w:val="18"/>
              </w:rPr>
            </w:pPr>
            <w:r>
              <w:rPr>
                <w:sz w:val="18"/>
                <w:szCs w:val="18"/>
              </w:rPr>
              <w:t>7.1%</w:t>
            </w:r>
          </w:p>
        </w:tc>
        <w:tc>
          <w:tcPr>
            <w:tcW w:w="348" w:type="pct"/>
            <w:tcBorders>
              <w:top w:val="single" w:sz="8" w:space="0" w:color="auto"/>
              <w:left w:val="nil"/>
              <w:bottom w:val="single" w:sz="8" w:space="0" w:color="auto"/>
              <w:right w:val="nil"/>
            </w:tcBorders>
            <w:noWrap/>
            <w:hideMark/>
          </w:tcPr>
          <w:p w14:paraId="0A5F980F" w14:textId="77777777" w:rsidR="007E34FA" w:rsidRDefault="007E34FA">
            <w:pPr>
              <w:rPr>
                <w:sz w:val="18"/>
                <w:szCs w:val="18"/>
              </w:rPr>
            </w:pPr>
            <w:r>
              <w:rPr>
                <w:sz w:val="18"/>
                <w:szCs w:val="18"/>
              </w:rPr>
              <w:t>7.5%</w:t>
            </w:r>
          </w:p>
        </w:tc>
        <w:tc>
          <w:tcPr>
            <w:tcW w:w="493" w:type="pct"/>
            <w:tcBorders>
              <w:top w:val="single" w:sz="8" w:space="0" w:color="auto"/>
              <w:left w:val="nil"/>
              <w:bottom w:val="single" w:sz="8" w:space="0" w:color="auto"/>
              <w:right w:val="nil"/>
            </w:tcBorders>
            <w:hideMark/>
          </w:tcPr>
          <w:p w14:paraId="10591BF1" w14:textId="77777777" w:rsidR="007E34FA" w:rsidRDefault="007E34FA">
            <w:pPr>
              <w:rPr>
                <w:rFonts w:ascii="Calibri" w:hAnsi="Calibri"/>
                <w:color w:val="000000"/>
                <w:sz w:val="18"/>
                <w:szCs w:val="18"/>
              </w:rPr>
            </w:pPr>
            <w:r>
              <w:rPr>
                <w:rFonts w:ascii="Calibri" w:hAnsi="Calibri"/>
                <w:color w:val="000000"/>
                <w:sz w:val="18"/>
                <w:szCs w:val="18"/>
              </w:rPr>
              <w:t>4.4%</w:t>
            </w:r>
          </w:p>
        </w:tc>
      </w:tr>
      <w:tr w:rsidR="007E34FA" w14:paraId="28598E7C" w14:textId="77777777" w:rsidTr="007E34FA">
        <w:trPr>
          <w:trHeight w:val="300"/>
        </w:trPr>
        <w:tc>
          <w:tcPr>
            <w:tcW w:w="807" w:type="pct"/>
            <w:tcBorders>
              <w:top w:val="single" w:sz="8" w:space="0" w:color="auto"/>
              <w:left w:val="nil"/>
              <w:bottom w:val="single" w:sz="8" w:space="0" w:color="auto"/>
              <w:right w:val="nil"/>
            </w:tcBorders>
            <w:noWrap/>
            <w:hideMark/>
          </w:tcPr>
          <w:p w14:paraId="01587FD4" w14:textId="77777777" w:rsidR="007E34FA" w:rsidRDefault="007E34FA">
            <w:pPr>
              <w:rPr>
                <w:sz w:val="18"/>
                <w:szCs w:val="18"/>
              </w:rPr>
            </w:pPr>
            <w:r>
              <w:rPr>
                <w:sz w:val="18"/>
                <w:szCs w:val="18"/>
              </w:rPr>
              <w:t>Dementia</w:t>
            </w:r>
          </w:p>
        </w:tc>
        <w:tc>
          <w:tcPr>
            <w:tcW w:w="335" w:type="pct"/>
            <w:tcBorders>
              <w:top w:val="single" w:sz="8" w:space="0" w:color="auto"/>
              <w:left w:val="nil"/>
              <w:bottom w:val="single" w:sz="8" w:space="0" w:color="auto"/>
              <w:right w:val="nil"/>
            </w:tcBorders>
            <w:noWrap/>
            <w:hideMark/>
          </w:tcPr>
          <w:p w14:paraId="3B2C91AD"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37DD7364"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45A08497" w14:textId="77777777" w:rsidR="007E34FA" w:rsidRDefault="007E34FA">
            <w:pPr>
              <w:rPr>
                <w:sz w:val="18"/>
                <w:szCs w:val="18"/>
              </w:rPr>
            </w:pPr>
            <w:r>
              <w:rPr>
                <w:sz w:val="18"/>
                <w:szCs w:val="18"/>
              </w:rPr>
              <w:t xml:space="preserve"> 0.1%</w:t>
            </w:r>
          </w:p>
        </w:tc>
        <w:tc>
          <w:tcPr>
            <w:tcW w:w="335" w:type="pct"/>
            <w:tcBorders>
              <w:top w:val="single" w:sz="8" w:space="0" w:color="auto"/>
              <w:left w:val="nil"/>
              <w:bottom w:val="single" w:sz="8" w:space="0" w:color="auto"/>
              <w:right w:val="nil"/>
            </w:tcBorders>
            <w:noWrap/>
            <w:hideMark/>
          </w:tcPr>
          <w:p w14:paraId="3A0B76B6" w14:textId="77777777" w:rsidR="007E34FA" w:rsidRDefault="007E34FA">
            <w:pPr>
              <w:rPr>
                <w:sz w:val="18"/>
                <w:szCs w:val="18"/>
              </w:rPr>
            </w:pPr>
            <w:r>
              <w:rPr>
                <w:sz w:val="18"/>
                <w:szCs w:val="18"/>
              </w:rPr>
              <w:t xml:space="preserve"> 0.1%</w:t>
            </w:r>
          </w:p>
        </w:tc>
        <w:tc>
          <w:tcPr>
            <w:tcW w:w="335" w:type="pct"/>
            <w:tcBorders>
              <w:top w:val="single" w:sz="8" w:space="0" w:color="auto"/>
              <w:left w:val="nil"/>
              <w:bottom w:val="single" w:sz="8" w:space="0" w:color="auto"/>
              <w:right w:val="nil"/>
            </w:tcBorders>
            <w:noWrap/>
            <w:hideMark/>
          </w:tcPr>
          <w:p w14:paraId="64D6067F" w14:textId="77777777" w:rsidR="007E34FA" w:rsidRDefault="007E34FA">
            <w:pPr>
              <w:rPr>
                <w:sz w:val="18"/>
                <w:szCs w:val="18"/>
              </w:rPr>
            </w:pPr>
            <w:r>
              <w:rPr>
                <w:sz w:val="18"/>
                <w:szCs w:val="18"/>
              </w:rPr>
              <w:t xml:space="preserve"> 0.2%</w:t>
            </w:r>
          </w:p>
        </w:tc>
        <w:tc>
          <w:tcPr>
            <w:tcW w:w="335" w:type="pct"/>
            <w:tcBorders>
              <w:top w:val="single" w:sz="8" w:space="0" w:color="auto"/>
              <w:left w:val="nil"/>
              <w:bottom w:val="single" w:sz="8" w:space="0" w:color="auto"/>
              <w:right w:val="nil"/>
            </w:tcBorders>
            <w:noWrap/>
            <w:hideMark/>
          </w:tcPr>
          <w:p w14:paraId="01C422F0" w14:textId="77777777" w:rsidR="007E34FA" w:rsidRDefault="007E34FA">
            <w:pPr>
              <w:rPr>
                <w:sz w:val="18"/>
                <w:szCs w:val="18"/>
              </w:rPr>
            </w:pPr>
            <w:r>
              <w:rPr>
                <w:sz w:val="18"/>
                <w:szCs w:val="18"/>
              </w:rPr>
              <w:t xml:space="preserve"> 0.2%</w:t>
            </w:r>
          </w:p>
        </w:tc>
        <w:tc>
          <w:tcPr>
            <w:tcW w:w="335" w:type="pct"/>
            <w:tcBorders>
              <w:top w:val="single" w:sz="8" w:space="0" w:color="auto"/>
              <w:left w:val="nil"/>
              <w:bottom w:val="single" w:sz="8" w:space="0" w:color="auto"/>
              <w:right w:val="nil"/>
            </w:tcBorders>
            <w:noWrap/>
            <w:hideMark/>
          </w:tcPr>
          <w:p w14:paraId="5C7CFAC5" w14:textId="77777777" w:rsidR="007E34FA" w:rsidRDefault="007E34FA">
            <w:pPr>
              <w:rPr>
                <w:sz w:val="18"/>
                <w:szCs w:val="18"/>
              </w:rPr>
            </w:pPr>
            <w:r>
              <w:rPr>
                <w:sz w:val="18"/>
                <w:szCs w:val="18"/>
              </w:rPr>
              <w:t xml:space="preserve"> 0.2%</w:t>
            </w:r>
          </w:p>
        </w:tc>
        <w:tc>
          <w:tcPr>
            <w:tcW w:w="335" w:type="pct"/>
            <w:tcBorders>
              <w:top w:val="single" w:sz="8" w:space="0" w:color="auto"/>
              <w:left w:val="nil"/>
              <w:bottom w:val="single" w:sz="8" w:space="0" w:color="auto"/>
              <w:right w:val="nil"/>
            </w:tcBorders>
            <w:noWrap/>
            <w:hideMark/>
          </w:tcPr>
          <w:p w14:paraId="41AD5081" w14:textId="77777777" w:rsidR="007E34FA" w:rsidRDefault="007E34FA">
            <w:pPr>
              <w:rPr>
                <w:sz w:val="18"/>
                <w:szCs w:val="18"/>
              </w:rPr>
            </w:pPr>
            <w:r>
              <w:rPr>
                <w:sz w:val="18"/>
                <w:szCs w:val="18"/>
              </w:rPr>
              <w:t xml:space="preserve"> 0.2%</w:t>
            </w:r>
          </w:p>
        </w:tc>
        <w:tc>
          <w:tcPr>
            <w:tcW w:w="335" w:type="pct"/>
            <w:tcBorders>
              <w:top w:val="single" w:sz="8" w:space="0" w:color="auto"/>
              <w:left w:val="nil"/>
              <w:bottom w:val="single" w:sz="8" w:space="0" w:color="auto"/>
              <w:right w:val="nil"/>
            </w:tcBorders>
            <w:noWrap/>
            <w:hideMark/>
          </w:tcPr>
          <w:p w14:paraId="30F635C9" w14:textId="77777777" w:rsidR="007E34FA" w:rsidRDefault="007E34FA">
            <w:pPr>
              <w:rPr>
                <w:sz w:val="18"/>
                <w:szCs w:val="18"/>
              </w:rPr>
            </w:pPr>
            <w:r>
              <w:rPr>
                <w:sz w:val="18"/>
                <w:szCs w:val="18"/>
              </w:rPr>
              <w:t xml:space="preserve"> 0.2%</w:t>
            </w:r>
          </w:p>
        </w:tc>
        <w:tc>
          <w:tcPr>
            <w:tcW w:w="335" w:type="pct"/>
            <w:tcBorders>
              <w:top w:val="single" w:sz="8" w:space="0" w:color="auto"/>
              <w:left w:val="nil"/>
              <w:bottom w:val="single" w:sz="8" w:space="0" w:color="auto"/>
              <w:right w:val="nil"/>
            </w:tcBorders>
            <w:noWrap/>
            <w:hideMark/>
          </w:tcPr>
          <w:p w14:paraId="707A4073" w14:textId="77777777" w:rsidR="007E34FA" w:rsidRDefault="007E34FA">
            <w:pPr>
              <w:rPr>
                <w:sz w:val="18"/>
                <w:szCs w:val="18"/>
              </w:rPr>
            </w:pPr>
            <w:r>
              <w:rPr>
                <w:sz w:val="18"/>
                <w:szCs w:val="18"/>
              </w:rPr>
              <w:t xml:space="preserve"> 0.2%</w:t>
            </w:r>
          </w:p>
        </w:tc>
        <w:tc>
          <w:tcPr>
            <w:tcW w:w="348" w:type="pct"/>
            <w:tcBorders>
              <w:top w:val="single" w:sz="8" w:space="0" w:color="auto"/>
              <w:left w:val="nil"/>
              <w:bottom w:val="single" w:sz="8" w:space="0" w:color="auto"/>
              <w:right w:val="nil"/>
            </w:tcBorders>
            <w:noWrap/>
            <w:hideMark/>
          </w:tcPr>
          <w:p w14:paraId="1D077337" w14:textId="77777777" w:rsidR="007E34FA" w:rsidRDefault="007E34FA">
            <w:pPr>
              <w:rPr>
                <w:sz w:val="18"/>
                <w:szCs w:val="18"/>
              </w:rPr>
            </w:pPr>
            <w:r>
              <w:rPr>
                <w:sz w:val="18"/>
                <w:szCs w:val="18"/>
              </w:rPr>
              <w:t xml:space="preserve"> 0.2%</w:t>
            </w:r>
          </w:p>
        </w:tc>
        <w:tc>
          <w:tcPr>
            <w:tcW w:w="493" w:type="pct"/>
            <w:tcBorders>
              <w:top w:val="single" w:sz="8" w:space="0" w:color="auto"/>
              <w:left w:val="nil"/>
              <w:bottom w:val="single" w:sz="8" w:space="0" w:color="auto"/>
              <w:right w:val="nil"/>
            </w:tcBorders>
            <w:hideMark/>
          </w:tcPr>
          <w:p w14:paraId="41DBCD23" w14:textId="77777777" w:rsidR="007E34FA" w:rsidRDefault="007E34FA">
            <w:pPr>
              <w:rPr>
                <w:rFonts w:ascii="Calibri" w:hAnsi="Calibri"/>
                <w:color w:val="000000"/>
                <w:sz w:val="18"/>
                <w:szCs w:val="18"/>
              </w:rPr>
            </w:pPr>
            <w:r>
              <w:rPr>
                <w:rFonts w:ascii="Calibri" w:hAnsi="Calibri"/>
                <w:color w:val="000000"/>
                <w:sz w:val="18"/>
                <w:szCs w:val="18"/>
              </w:rPr>
              <w:t>0.2%</w:t>
            </w:r>
          </w:p>
        </w:tc>
      </w:tr>
      <w:tr w:rsidR="007E34FA" w14:paraId="56027397" w14:textId="77777777" w:rsidTr="007E34FA">
        <w:trPr>
          <w:trHeight w:val="300"/>
        </w:trPr>
        <w:tc>
          <w:tcPr>
            <w:tcW w:w="807" w:type="pct"/>
            <w:tcBorders>
              <w:top w:val="single" w:sz="8" w:space="0" w:color="auto"/>
              <w:left w:val="nil"/>
              <w:bottom w:val="single" w:sz="8" w:space="0" w:color="auto"/>
              <w:right w:val="nil"/>
            </w:tcBorders>
            <w:noWrap/>
            <w:hideMark/>
          </w:tcPr>
          <w:p w14:paraId="0EBBEB90" w14:textId="77777777" w:rsidR="007E34FA" w:rsidRDefault="007E34FA">
            <w:pPr>
              <w:rPr>
                <w:sz w:val="18"/>
                <w:szCs w:val="18"/>
              </w:rPr>
            </w:pPr>
            <w:r>
              <w:rPr>
                <w:sz w:val="18"/>
                <w:szCs w:val="18"/>
              </w:rPr>
              <w:t>Chronic obstructive disease</w:t>
            </w:r>
          </w:p>
        </w:tc>
        <w:tc>
          <w:tcPr>
            <w:tcW w:w="335" w:type="pct"/>
            <w:tcBorders>
              <w:top w:val="single" w:sz="8" w:space="0" w:color="auto"/>
              <w:left w:val="nil"/>
              <w:bottom w:val="single" w:sz="8" w:space="0" w:color="auto"/>
              <w:right w:val="nil"/>
            </w:tcBorders>
            <w:noWrap/>
            <w:hideMark/>
          </w:tcPr>
          <w:p w14:paraId="5A48B5D9" w14:textId="77777777" w:rsidR="007E34FA" w:rsidRDefault="007E34FA">
            <w:pPr>
              <w:rPr>
                <w:sz w:val="18"/>
                <w:szCs w:val="18"/>
              </w:rPr>
            </w:pPr>
            <w:r>
              <w:rPr>
                <w:sz w:val="18"/>
                <w:szCs w:val="18"/>
              </w:rPr>
              <w:t>13.2%</w:t>
            </w:r>
          </w:p>
        </w:tc>
        <w:tc>
          <w:tcPr>
            <w:tcW w:w="335" w:type="pct"/>
            <w:tcBorders>
              <w:top w:val="single" w:sz="8" w:space="0" w:color="auto"/>
              <w:left w:val="nil"/>
              <w:bottom w:val="single" w:sz="8" w:space="0" w:color="auto"/>
              <w:right w:val="nil"/>
            </w:tcBorders>
            <w:noWrap/>
            <w:hideMark/>
          </w:tcPr>
          <w:p w14:paraId="32752B10" w14:textId="77777777" w:rsidR="007E34FA" w:rsidRDefault="007E34FA">
            <w:pPr>
              <w:rPr>
                <w:sz w:val="18"/>
                <w:szCs w:val="18"/>
              </w:rPr>
            </w:pPr>
            <w:r>
              <w:rPr>
                <w:sz w:val="18"/>
                <w:szCs w:val="18"/>
              </w:rPr>
              <w:t>13.9%</w:t>
            </w:r>
          </w:p>
        </w:tc>
        <w:tc>
          <w:tcPr>
            <w:tcW w:w="335" w:type="pct"/>
            <w:tcBorders>
              <w:top w:val="single" w:sz="8" w:space="0" w:color="auto"/>
              <w:left w:val="nil"/>
              <w:bottom w:val="single" w:sz="8" w:space="0" w:color="auto"/>
              <w:right w:val="nil"/>
            </w:tcBorders>
            <w:noWrap/>
            <w:hideMark/>
          </w:tcPr>
          <w:p w14:paraId="5401C77F" w14:textId="77777777" w:rsidR="007E34FA" w:rsidRDefault="007E34FA">
            <w:pPr>
              <w:rPr>
                <w:sz w:val="18"/>
                <w:szCs w:val="18"/>
              </w:rPr>
            </w:pPr>
            <w:r>
              <w:rPr>
                <w:sz w:val="18"/>
                <w:szCs w:val="18"/>
              </w:rPr>
              <w:t>14.3%</w:t>
            </w:r>
          </w:p>
        </w:tc>
        <w:tc>
          <w:tcPr>
            <w:tcW w:w="335" w:type="pct"/>
            <w:tcBorders>
              <w:top w:val="single" w:sz="8" w:space="0" w:color="auto"/>
              <w:left w:val="nil"/>
              <w:bottom w:val="single" w:sz="8" w:space="0" w:color="auto"/>
              <w:right w:val="nil"/>
            </w:tcBorders>
            <w:noWrap/>
            <w:hideMark/>
          </w:tcPr>
          <w:p w14:paraId="634F464D" w14:textId="77777777" w:rsidR="007E34FA" w:rsidRDefault="007E34FA">
            <w:pPr>
              <w:rPr>
                <w:sz w:val="18"/>
                <w:szCs w:val="18"/>
              </w:rPr>
            </w:pPr>
            <w:r>
              <w:rPr>
                <w:sz w:val="18"/>
                <w:szCs w:val="18"/>
              </w:rPr>
              <w:t>15.2%</w:t>
            </w:r>
          </w:p>
        </w:tc>
        <w:tc>
          <w:tcPr>
            <w:tcW w:w="335" w:type="pct"/>
            <w:tcBorders>
              <w:top w:val="single" w:sz="8" w:space="0" w:color="auto"/>
              <w:left w:val="nil"/>
              <w:bottom w:val="single" w:sz="8" w:space="0" w:color="auto"/>
              <w:right w:val="nil"/>
            </w:tcBorders>
            <w:noWrap/>
            <w:hideMark/>
          </w:tcPr>
          <w:p w14:paraId="7348D8C7" w14:textId="77777777" w:rsidR="007E34FA" w:rsidRDefault="007E34FA">
            <w:pPr>
              <w:rPr>
                <w:sz w:val="18"/>
                <w:szCs w:val="18"/>
              </w:rPr>
            </w:pPr>
            <w:r>
              <w:rPr>
                <w:sz w:val="18"/>
                <w:szCs w:val="18"/>
              </w:rPr>
              <w:t>14.6%</w:t>
            </w:r>
          </w:p>
        </w:tc>
        <w:tc>
          <w:tcPr>
            <w:tcW w:w="335" w:type="pct"/>
            <w:tcBorders>
              <w:top w:val="single" w:sz="8" w:space="0" w:color="auto"/>
              <w:left w:val="nil"/>
              <w:bottom w:val="single" w:sz="8" w:space="0" w:color="auto"/>
              <w:right w:val="nil"/>
            </w:tcBorders>
            <w:noWrap/>
            <w:hideMark/>
          </w:tcPr>
          <w:p w14:paraId="4CB13E35" w14:textId="77777777" w:rsidR="007E34FA" w:rsidRDefault="007E34FA">
            <w:pPr>
              <w:rPr>
                <w:sz w:val="18"/>
                <w:szCs w:val="18"/>
              </w:rPr>
            </w:pPr>
            <w:r>
              <w:rPr>
                <w:sz w:val="18"/>
                <w:szCs w:val="18"/>
              </w:rPr>
              <w:t>16.2%</w:t>
            </w:r>
          </w:p>
        </w:tc>
        <w:tc>
          <w:tcPr>
            <w:tcW w:w="335" w:type="pct"/>
            <w:tcBorders>
              <w:top w:val="single" w:sz="8" w:space="0" w:color="auto"/>
              <w:left w:val="nil"/>
              <w:bottom w:val="single" w:sz="8" w:space="0" w:color="auto"/>
              <w:right w:val="nil"/>
            </w:tcBorders>
            <w:noWrap/>
            <w:hideMark/>
          </w:tcPr>
          <w:p w14:paraId="46AC5118" w14:textId="77777777" w:rsidR="007E34FA" w:rsidRDefault="007E34FA">
            <w:pPr>
              <w:rPr>
                <w:sz w:val="18"/>
                <w:szCs w:val="18"/>
              </w:rPr>
            </w:pPr>
            <w:r>
              <w:rPr>
                <w:sz w:val="18"/>
                <w:szCs w:val="18"/>
              </w:rPr>
              <w:t>16.1%</w:t>
            </w:r>
          </w:p>
        </w:tc>
        <w:tc>
          <w:tcPr>
            <w:tcW w:w="335" w:type="pct"/>
            <w:tcBorders>
              <w:top w:val="single" w:sz="8" w:space="0" w:color="auto"/>
              <w:left w:val="nil"/>
              <w:bottom w:val="single" w:sz="8" w:space="0" w:color="auto"/>
              <w:right w:val="nil"/>
            </w:tcBorders>
            <w:noWrap/>
            <w:hideMark/>
          </w:tcPr>
          <w:p w14:paraId="5BAFD764" w14:textId="77777777" w:rsidR="007E34FA" w:rsidRDefault="007E34FA">
            <w:pPr>
              <w:rPr>
                <w:sz w:val="18"/>
                <w:szCs w:val="18"/>
              </w:rPr>
            </w:pPr>
            <w:r>
              <w:rPr>
                <w:sz w:val="18"/>
                <w:szCs w:val="18"/>
              </w:rPr>
              <w:t>17.3%</w:t>
            </w:r>
          </w:p>
        </w:tc>
        <w:tc>
          <w:tcPr>
            <w:tcW w:w="335" w:type="pct"/>
            <w:tcBorders>
              <w:top w:val="single" w:sz="8" w:space="0" w:color="auto"/>
              <w:left w:val="nil"/>
              <w:bottom w:val="single" w:sz="8" w:space="0" w:color="auto"/>
              <w:right w:val="nil"/>
            </w:tcBorders>
            <w:noWrap/>
            <w:hideMark/>
          </w:tcPr>
          <w:p w14:paraId="03E6F0B9" w14:textId="77777777" w:rsidR="007E34FA" w:rsidRDefault="007E34FA">
            <w:pPr>
              <w:rPr>
                <w:sz w:val="18"/>
                <w:szCs w:val="18"/>
              </w:rPr>
            </w:pPr>
            <w:r>
              <w:rPr>
                <w:sz w:val="18"/>
                <w:szCs w:val="18"/>
              </w:rPr>
              <w:t>17.6%</w:t>
            </w:r>
          </w:p>
        </w:tc>
        <w:tc>
          <w:tcPr>
            <w:tcW w:w="335" w:type="pct"/>
            <w:tcBorders>
              <w:top w:val="single" w:sz="8" w:space="0" w:color="auto"/>
              <w:left w:val="nil"/>
              <w:bottom w:val="single" w:sz="8" w:space="0" w:color="auto"/>
              <w:right w:val="nil"/>
            </w:tcBorders>
            <w:noWrap/>
            <w:hideMark/>
          </w:tcPr>
          <w:p w14:paraId="4DAD9112" w14:textId="77777777" w:rsidR="007E34FA" w:rsidRDefault="007E34FA">
            <w:pPr>
              <w:rPr>
                <w:sz w:val="18"/>
                <w:szCs w:val="18"/>
              </w:rPr>
            </w:pPr>
            <w:r>
              <w:rPr>
                <w:sz w:val="18"/>
                <w:szCs w:val="18"/>
              </w:rPr>
              <w:t>18.2%</w:t>
            </w:r>
          </w:p>
        </w:tc>
        <w:tc>
          <w:tcPr>
            <w:tcW w:w="348" w:type="pct"/>
            <w:tcBorders>
              <w:top w:val="single" w:sz="8" w:space="0" w:color="auto"/>
              <w:left w:val="nil"/>
              <w:bottom w:val="single" w:sz="8" w:space="0" w:color="auto"/>
              <w:right w:val="nil"/>
            </w:tcBorders>
            <w:noWrap/>
            <w:hideMark/>
          </w:tcPr>
          <w:p w14:paraId="16A32B4B" w14:textId="77777777" w:rsidR="007E34FA" w:rsidRDefault="007E34FA">
            <w:pPr>
              <w:rPr>
                <w:sz w:val="18"/>
                <w:szCs w:val="18"/>
              </w:rPr>
            </w:pPr>
            <w:r>
              <w:rPr>
                <w:sz w:val="18"/>
                <w:szCs w:val="18"/>
              </w:rPr>
              <w:t>18.7%</w:t>
            </w:r>
          </w:p>
        </w:tc>
        <w:tc>
          <w:tcPr>
            <w:tcW w:w="493" w:type="pct"/>
            <w:tcBorders>
              <w:top w:val="single" w:sz="8" w:space="0" w:color="auto"/>
              <w:left w:val="nil"/>
              <w:bottom w:val="single" w:sz="8" w:space="0" w:color="auto"/>
              <w:right w:val="nil"/>
            </w:tcBorders>
            <w:hideMark/>
          </w:tcPr>
          <w:p w14:paraId="0CC0A83A" w14:textId="77777777" w:rsidR="007E34FA" w:rsidRDefault="007E34FA">
            <w:pPr>
              <w:rPr>
                <w:rFonts w:ascii="Calibri" w:hAnsi="Calibri"/>
                <w:color w:val="000000"/>
                <w:sz w:val="18"/>
                <w:szCs w:val="18"/>
              </w:rPr>
            </w:pPr>
            <w:r>
              <w:rPr>
                <w:rFonts w:ascii="Calibri" w:hAnsi="Calibri"/>
                <w:color w:val="000000"/>
                <w:sz w:val="18"/>
                <w:szCs w:val="18"/>
              </w:rPr>
              <w:t>15.9%</w:t>
            </w:r>
          </w:p>
        </w:tc>
      </w:tr>
      <w:tr w:rsidR="007E34FA" w14:paraId="2BB729A2" w14:textId="77777777" w:rsidTr="007E34FA">
        <w:trPr>
          <w:trHeight w:val="300"/>
        </w:trPr>
        <w:tc>
          <w:tcPr>
            <w:tcW w:w="807" w:type="pct"/>
            <w:tcBorders>
              <w:top w:val="single" w:sz="8" w:space="0" w:color="auto"/>
              <w:left w:val="nil"/>
              <w:bottom w:val="single" w:sz="8" w:space="0" w:color="auto"/>
              <w:right w:val="nil"/>
            </w:tcBorders>
            <w:noWrap/>
            <w:hideMark/>
          </w:tcPr>
          <w:p w14:paraId="37193C60" w14:textId="77777777" w:rsidR="007E34FA" w:rsidRDefault="007E34FA">
            <w:pPr>
              <w:rPr>
                <w:sz w:val="18"/>
                <w:szCs w:val="18"/>
              </w:rPr>
            </w:pPr>
            <w:r>
              <w:rPr>
                <w:sz w:val="18"/>
                <w:szCs w:val="18"/>
              </w:rPr>
              <w:t>Connective tissue disease</w:t>
            </w:r>
          </w:p>
        </w:tc>
        <w:tc>
          <w:tcPr>
            <w:tcW w:w="335" w:type="pct"/>
            <w:tcBorders>
              <w:top w:val="single" w:sz="8" w:space="0" w:color="auto"/>
              <w:left w:val="nil"/>
              <w:bottom w:val="single" w:sz="8" w:space="0" w:color="auto"/>
              <w:right w:val="nil"/>
            </w:tcBorders>
            <w:noWrap/>
            <w:hideMark/>
          </w:tcPr>
          <w:p w14:paraId="5E2E0484" w14:textId="77777777" w:rsidR="007E34FA" w:rsidRDefault="007E34FA">
            <w:pPr>
              <w:rPr>
                <w:sz w:val="18"/>
                <w:szCs w:val="18"/>
              </w:rPr>
            </w:pPr>
            <w:r>
              <w:rPr>
                <w:sz w:val="18"/>
                <w:szCs w:val="18"/>
              </w:rPr>
              <w:t>1.3%</w:t>
            </w:r>
          </w:p>
        </w:tc>
        <w:tc>
          <w:tcPr>
            <w:tcW w:w="335" w:type="pct"/>
            <w:tcBorders>
              <w:top w:val="single" w:sz="8" w:space="0" w:color="auto"/>
              <w:left w:val="nil"/>
              <w:bottom w:val="single" w:sz="8" w:space="0" w:color="auto"/>
              <w:right w:val="nil"/>
            </w:tcBorders>
            <w:noWrap/>
            <w:hideMark/>
          </w:tcPr>
          <w:p w14:paraId="26702D65" w14:textId="77777777" w:rsidR="007E34FA" w:rsidRDefault="007E34FA">
            <w:pPr>
              <w:rPr>
                <w:sz w:val="18"/>
                <w:szCs w:val="18"/>
              </w:rPr>
            </w:pPr>
            <w:r>
              <w:rPr>
                <w:sz w:val="18"/>
                <w:szCs w:val="18"/>
              </w:rPr>
              <w:t>1.3%</w:t>
            </w:r>
          </w:p>
        </w:tc>
        <w:tc>
          <w:tcPr>
            <w:tcW w:w="335" w:type="pct"/>
            <w:tcBorders>
              <w:top w:val="single" w:sz="8" w:space="0" w:color="auto"/>
              <w:left w:val="nil"/>
              <w:bottom w:val="single" w:sz="8" w:space="0" w:color="auto"/>
              <w:right w:val="nil"/>
            </w:tcBorders>
            <w:noWrap/>
            <w:hideMark/>
          </w:tcPr>
          <w:p w14:paraId="388A55AE" w14:textId="77777777" w:rsidR="007E34FA" w:rsidRDefault="007E34FA">
            <w:pPr>
              <w:rPr>
                <w:sz w:val="18"/>
                <w:szCs w:val="18"/>
              </w:rPr>
            </w:pPr>
            <w:r>
              <w:rPr>
                <w:sz w:val="18"/>
                <w:szCs w:val="18"/>
              </w:rPr>
              <w:t>1.4%</w:t>
            </w:r>
          </w:p>
        </w:tc>
        <w:tc>
          <w:tcPr>
            <w:tcW w:w="335" w:type="pct"/>
            <w:tcBorders>
              <w:top w:val="single" w:sz="8" w:space="0" w:color="auto"/>
              <w:left w:val="nil"/>
              <w:bottom w:val="single" w:sz="8" w:space="0" w:color="auto"/>
              <w:right w:val="nil"/>
            </w:tcBorders>
            <w:noWrap/>
            <w:hideMark/>
          </w:tcPr>
          <w:p w14:paraId="2E05D3D2" w14:textId="77777777" w:rsidR="007E34FA" w:rsidRDefault="007E34FA">
            <w:pPr>
              <w:rPr>
                <w:sz w:val="18"/>
                <w:szCs w:val="18"/>
              </w:rPr>
            </w:pPr>
            <w:r>
              <w:rPr>
                <w:sz w:val="18"/>
                <w:szCs w:val="18"/>
              </w:rPr>
              <w:t>1.5%</w:t>
            </w:r>
          </w:p>
        </w:tc>
        <w:tc>
          <w:tcPr>
            <w:tcW w:w="335" w:type="pct"/>
            <w:tcBorders>
              <w:top w:val="single" w:sz="8" w:space="0" w:color="auto"/>
              <w:left w:val="nil"/>
              <w:bottom w:val="single" w:sz="8" w:space="0" w:color="auto"/>
              <w:right w:val="nil"/>
            </w:tcBorders>
            <w:noWrap/>
            <w:hideMark/>
          </w:tcPr>
          <w:p w14:paraId="309BF070" w14:textId="77777777" w:rsidR="007E34FA" w:rsidRDefault="007E34FA">
            <w:pPr>
              <w:rPr>
                <w:sz w:val="18"/>
                <w:szCs w:val="18"/>
              </w:rPr>
            </w:pPr>
            <w:r>
              <w:rPr>
                <w:sz w:val="18"/>
                <w:szCs w:val="18"/>
              </w:rPr>
              <w:t>1.6%</w:t>
            </w:r>
          </w:p>
        </w:tc>
        <w:tc>
          <w:tcPr>
            <w:tcW w:w="335" w:type="pct"/>
            <w:tcBorders>
              <w:top w:val="single" w:sz="8" w:space="0" w:color="auto"/>
              <w:left w:val="nil"/>
              <w:bottom w:val="single" w:sz="8" w:space="0" w:color="auto"/>
              <w:right w:val="nil"/>
            </w:tcBorders>
            <w:noWrap/>
            <w:hideMark/>
          </w:tcPr>
          <w:p w14:paraId="6963C7A9" w14:textId="77777777" w:rsidR="007E34FA" w:rsidRDefault="007E34FA">
            <w:pPr>
              <w:rPr>
                <w:sz w:val="18"/>
                <w:szCs w:val="18"/>
              </w:rPr>
            </w:pPr>
            <w:r>
              <w:rPr>
                <w:sz w:val="18"/>
                <w:szCs w:val="18"/>
              </w:rPr>
              <w:t>1.7%</w:t>
            </w:r>
          </w:p>
        </w:tc>
        <w:tc>
          <w:tcPr>
            <w:tcW w:w="335" w:type="pct"/>
            <w:tcBorders>
              <w:top w:val="single" w:sz="8" w:space="0" w:color="auto"/>
              <w:left w:val="nil"/>
              <w:bottom w:val="single" w:sz="8" w:space="0" w:color="auto"/>
              <w:right w:val="nil"/>
            </w:tcBorders>
            <w:noWrap/>
            <w:hideMark/>
          </w:tcPr>
          <w:p w14:paraId="33EF8978" w14:textId="77777777" w:rsidR="007E34FA" w:rsidRDefault="007E34FA">
            <w:pPr>
              <w:rPr>
                <w:sz w:val="18"/>
                <w:szCs w:val="18"/>
              </w:rPr>
            </w:pPr>
            <w:r>
              <w:rPr>
                <w:sz w:val="18"/>
                <w:szCs w:val="18"/>
              </w:rPr>
              <w:t>1.8%</w:t>
            </w:r>
          </w:p>
        </w:tc>
        <w:tc>
          <w:tcPr>
            <w:tcW w:w="335" w:type="pct"/>
            <w:tcBorders>
              <w:top w:val="single" w:sz="8" w:space="0" w:color="auto"/>
              <w:left w:val="nil"/>
              <w:bottom w:val="single" w:sz="8" w:space="0" w:color="auto"/>
              <w:right w:val="nil"/>
            </w:tcBorders>
            <w:noWrap/>
            <w:hideMark/>
          </w:tcPr>
          <w:p w14:paraId="077989BA" w14:textId="77777777" w:rsidR="007E34FA" w:rsidRDefault="007E34FA">
            <w:pPr>
              <w:rPr>
                <w:sz w:val="18"/>
                <w:szCs w:val="18"/>
              </w:rPr>
            </w:pPr>
            <w:r>
              <w:rPr>
                <w:sz w:val="18"/>
                <w:szCs w:val="18"/>
              </w:rPr>
              <w:t>2.0%</w:t>
            </w:r>
          </w:p>
        </w:tc>
        <w:tc>
          <w:tcPr>
            <w:tcW w:w="335" w:type="pct"/>
            <w:tcBorders>
              <w:top w:val="single" w:sz="8" w:space="0" w:color="auto"/>
              <w:left w:val="nil"/>
              <w:bottom w:val="single" w:sz="8" w:space="0" w:color="auto"/>
              <w:right w:val="nil"/>
            </w:tcBorders>
            <w:noWrap/>
            <w:hideMark/>
          </w:tcPr>
          <w:p w14:paraId="5CA562D6" w14:textId="77777777" w:rsidR="007E34FA" w:rsidRDefault="007E34FA">
            <w:pPr>
              <w:rPr>
                <w:sz w:val="18"/>
                <w:szCs w:val="18"/>
              </w:rPr>
            </w:pPr>
            <w:r>
              <w:rPr>
                <w:sz w:val="18"/>
                <w:szCs w:val="18"/>
              </w:rPr>
              <w:t>2.0%</w:t>
            </w:r>
          </w:p>
        </w:tc>
        <w:tc>
          <w:tcPr>
            <w:tcW w:w="335" w:type="pct"/>
            <w:tcBorders>
              <w:top w:val="single" w:sz="8" w:space="0" w:color="auto"/>
              <w:left w:val="nil"/>
              <w:bottom w:val="single" w:sz="8" w:space="0" w:color="auto"/>
              <w:right w:val="nil"/>
            </w:tcBorders>
            <w:noWrap/>
            <w:hideMark/>
          </w:tcPr>
          <w:p w14:paraId="4FCD8368" w14:textId="77777777" w:rsidR="007E34FA" w:rsidRDefault="007E34FA">
            <w:pPr>
              <w:rPr>
                <w:sz w:val="18"/>
                <w:szCs w:val="18"/>
              </w:rPr>
            </w:pPr>
            <w:r>
              <w:rPr>
                <w:sz w:val="18"/>
                <w:szCs w:val="18"/>
              </w:rPr>
              <w:t>2.0%</w:t>
            </w:r>
          </w:p>
        </w:tc>
        <w:tc>
          <w:tcPr>
            <w:tcW w:w="348" w:type="pct"/>
            <w:tcBorders>
              <w:top w:val="single" w:sz="8" w:space="0" w:color="auto"/>
              <w:left w:val="nil"/>
              <w:bottom w:val="single" w:sz="8" w:space="0" w:color="auto"/>
              <w:right w:val="nil"/>
            </w:tcBorders>
            <w:noWrap/>
            <w:hideMark/>
          </w:tcPr>
          <w:p w14:paraId="1A371A8E" w14:textId="77777777" w:rsidR="007E34FA" w:rsidRDefault="007E34FA">
            <w:pPr>
              <w:rPr>
                <w:sz w:val="18"/>
                <w:szCs w:val="18"/>
              </w:rPr>
            </w:pPr>
            <w:r>
              <w:rPr>
                <w:sz w:val="18"/>
                <w:szCs w:val="18"/>
              </w:rPr>
              <w:t>2.1%</w:t>
            </w:r>
          </w:p>
        </w:tc>
        <w:tc>
          <w:tcPr>
            <w:tcW w:w="493" w:type="pct"/>
            <w:tcBorders>
              <w:top w:val="single" w:sz="8" w:space="0" w:color="auto"/>
              <w:left w:val="nil"/>
              <w:bottom w:val="single" w:sz="8" w:space="0" w:color="auto"/>
              <w:right w:val="nil"/>
            </w:tcBorders>
            <w:hideMark/>
          </w:tcPr>
          <w:p w14:paraId="4F027108" w14:textId="77777777" w:rsidR="007E34FA" w:rsidRDefault="007E34FA">
            <w:pPr>
              <w:rPr>
                <w:rFonts w:ascii="Calibri" w:hAnsi="Calibri"/>
                <w:color w:val="000000"/>
                <w:sz w:val="18"/>
                <w:szCs w:val="18"/>
              </w:rPr>
            </w:pPr>
            <w:r>
              <w:rPr>
                <w:rFonts w:ascii="Calibri" w:hAnsi="Calibri"/>
                <w:color w:val="000000"/>
                <w:sz w:val="18"/>
                <w:szCs w:val="18"/>
              </w:rPr>
              <w:t>1.7%</w:t>
            </w:r>
          </w:p>
        </w:tc>
      </w:tr>
      <w:tr w:rsidR="007E34FA" w14:paraId="01D68A85" w14:textId="77777777" w:rsidTr="007E34FA">
        <w:trPr>
          <w:trHeight w:val="300"/>
        </w:trPr>
        <w:tc>
          <w:tcPr>
            <w:tcW w:w="807" w:type="pct"/>
            <w:tcBorders>
              <w:top w:val="single" w:sz="8" w:space="0" w:color="auto"/>
              <w:left w:val="nil"/>
              <w:bottom w:val="single" w:sz="8" w:space="0" w:color="auto"/>
              <w:right w:val="nil"/>
            </w:tcBorders>
            <w:noWrap/>
            <w:hideMark/>
          </w:tcPr>
          <w:p w14:paraId="2CC4EAA5" w14:textId="77777777" w:rsidR="007E34FA" w:rsidRDefault="007E34FA">
            <w:pPr>
              <w:rPr>
                <w:sz w:val="18"/>
                <w:szCs w:val="18"/>
              </w:rPr>
            </w:pPr>
            <w:r>
              <w:rPr>
                <w:sz w:val="18"/>
                <w:szCs w:val="18"/>
              </w:rPr>
              <w:t>Peptic ulcer</w:t>
            </w:r>
          </w:p>
        </w:tc>
        <w:tc>
          <w:tcPr>
            <w:tcW w:w="335" w:type="pct"/>
            <w:tcBorders>
              <w:top w:val="single" w:sz="8" w:space="0" w:color="auto"/>
              <w:left w:val="nil"/>
              <w:bottom w:val="single" w:sz="8" w:space="0" w:color="auto"/>
              <w:right w:val="nil"/>
            </w:tcBorders>
            <w:noWrap/>
            <w:hideMark/>
          </w:tcPr>
          <w:p w14:paraId="196A77A9" w14:textId="77777777" w:rsidR="007E34FA" w:rsidRDefault="007E34FA">
            <w:pPr>
              <w:rPr>
                <w:sz w:val="18"/>
                <w:szCs w:val="18"/>
              </w:rPr>
            </w:pPr>
            <w:r>
              <w:rPr>
                <w:sz w:val="18"/>
                <w:szCs w:val="18"/>
              </w:rPr>
              <w:t xml:space="preserve"> 0.8%</w:t>
            </w:r>
          </w:p>
        </w:tc>
        <w:tc>
          <w:tcPr>
            <w:tcW w:w="335" w:type="pct"/>
            <w:tcBorders>
              <w:top w:val="single" w:sz="8" w:space="0" w:color="auto"/>
              <w:left w:val="nil"/>
              <w:bottom w:val="single" w:sz="8" w:space="0" w:color="auto"/>
              <w:right w:val="nil"/>
            </w:tcBorders>
            <w:noWrap/>
            <w:hideMark/>
          </w:tcPr>
          <w:p w14:paraId="247D5F52" w14:textId="77777777" w:rsidR="007E34FA" w:rsidRDefault="007E34FA">
            <w:pPr>
              <w:rPr>
                <w:sz w:val="18"/>
                <w:szCs w:val="18"/>
              </w:rPr>
            </w:pPr>
            <w:r>
              <w:rPr>
                <w:sz w:val="18"/>
                <w:szCs w:val="18"/>
              </w:rPr>
              <w:t xml:space="preserve"> 0.7%</w:t>
            </w:r>
          </w:p>
        </w:tc>
        <w:tc>
          <w:tcPr>
            <w:tcW w:w="335" w:type="pct"/>
            <w:tcBorders>
              <w:top w:val="single" w:sz="8" w:space="0" w:color="auto"/>
              <w:left w:val="nil"/>
              <w:bottom w:val="single" w:sz="8" w:space="0" w:color="auto"/>
              <w:right w:val="nil"/>
            </w:tcBorders>
            <w:noWrap/>
            <w:hideMark/>
          </w:tcPr>
          <w:p w14:paraId="78BE86DB" w14:textId="77777777" w:rsidR="007E34FA" w:rsidRDefault="007E34FA">
            <w:pPr>
              <w:rPr>
                <w:sz w:val="18"/>
                <w:szCs w:val="18"/>
              </w:rPr>
            </w:pPr>
            <w:r>
              <w:rPr>
                <w:sz w:val="18"/>
                <w:szCs w:val="18"/>
              </w:rPr>
              <w:t xml:space="preserve"> 0.7%</w:t>
            </w:r>
          </w:p>
        </w:tc>
        <w:tc>
          <w:tcPr>
            <w:tcW w:w="335" w:type="pct"/>
            <w:tcBorders>
              <w:top w:val="single" w:sz="8" w:space="0" w:color="auto"/>
              <w:left w:val="nil"/>
              <w:bottom w:val="single" w:sz="8" w:space="0" w:color="auto"/>
              <w:right w:val="nil"/>
            </w:tcBorders>
            <w:noWrap/>
            <w:hideMark/>
          </w:tcPr>
          <w:p w14:paraId="404876FF" w14:textId="77777777" w:rsidR="007E34FA" w:rsidRDefault="007E34FA">
            <w:pPr>
              <w:rPr>
                <w:sz w:val="18"/>
                <w:szCs w:val="18"/>
              </w:rPr>
            </w:pPr>
            <w:r>
              <w:rPr>
                <w:sz w:val="18"/>
                <w:szCs w:val="18"/>
              </w:rPr>
              <w:t xml:space="preserve"> 0.6%</w:t>
            </w:r>
          </w:p>
        </w:tc>
        <w:tc>
          <w:tcPr>
            <w:tcW w:w="335" w:type="pct"/>
            <w:tcBorders>
              <w:top w:val="single" w:sz="8" w:space="0" w:color="auto"/>
              <w:left w:val="nil"/>
              <w:bottom w:val="single" w:sz="8" w:space="0" w:color="auto"/>
              <w:right w:val="nil"/>
            </w:tcBorders>
            <w:noWrap/>
            <w:hideMark/>
          </w:tcPr>
          <w:p w14:paraId="3709DCCB" w14:textId="77777777" w:rsidR="007E34FA" w:rsidRDefault="007E34FA">
            <w:pPr>
              <w:rPr>
                <w:sz w:val="18"/>
                <w:szCs w:val="18"/>
              </w:rPr>
            </w:pPr>
            <w:r>
              <w:rPr>
                <w:sz w:val="18"/>
                <w:szCs w:val="18"/>
              </w:rPr>
              <w:t xml:space="preserve"> 0.7%</w:t>
            </w:r>
          </w:p>
        </w:tc>
        <w:tc>
          <w:tcPr>
            <w:tcW w:w="335" w:type="pct"/>
            <w:tcBorders>
              <w:top w:val="single" w:sz="8" w:space="0" w:color="auto"/>
              <w:left w:val="nil"/>
              <w:bottom w:val="single" w:sz="8" w:space="0" w:color="auto"/>
              <w:right w:val="nil"/>
            </w:tcBorders>
            <w:noWrap/>
            <w:hideMark/>
          </w:tcPr>
          <w:p w14:paraId="10682E84" w14:textId="77777777" w:rsidR="007E34FA" w:rsidRDefault="007E34FA">
            <w:pPr>
              <w:rPr>
                <w:sz w:val="18"/>
                <w:szCs w:val="18"/>
              </w:rPr>
            </w:pPr>
            <w:r>
              <w:rPr>
                <w:sz w:val="18"/>
                <w:szCs w:val="18"/>
              </w:rPr>
              <w:t xml:space="preserve"> 0.8%</w:t>
            </w:r>
          </w:p>
        </w:tc>
        <w:tc>
          <w:tcPr>
            <w:tcW w:w="335" w:type="pct"/>
            <w:tcBorders>
              <w:top w:val="single" w:sz="8" w:space="0" w:color="auto"/>
              <w:left w:val="nil"/>
              <w:bottom w:val="single" w:sz="8" w:space="0" w:color="auto"/>
              <w:right w:val="nil"/>
            </w:tcBorders>
            <w:noWrap/>
            <w:hideMark/>
          </w:tcPr>
          <w:p w14:paraId="07CD3E78" w14:textId="77777777" w:rsidR="007E34FA" w:rsidRDefault="007E34FA">
            <w:pPr>
              <w:rPr>
                <w:sz w:val="18"/>
                <w:szCs w:val="18"/>
              </w:rPr>
            </w:pPr>
            <w:r>
              <w:rPr>
                <w:sz w:val="18"/>
                <w:szCs w:val="18"/>
              </w:rPr>
              <w:t xml:space="preserve"> 0.7%</w:t>
            </w:r>
          </w:p>
        </w:tc>
        <w:tc>
          <w:tcPr>
            <w:tcW w:w="335" w:type="pct"/>
            <w:tcBorders>
              <w:top w:val="single" w:sz="8" w:space="0" w:color="auto"/>
              <w:left w:val="nil"/>
              <w:bottom w:val="single" w:sz="8" w:space="0" w:color="auto"/>
              <w:right w:val="nil"/>
            </w:tcBorders>
            <w:noWrap/>
            <w:hideMark/>
          </w:tcPr>
          <w:p w14:paraId="67E24421" w14:textId="77777777" w:rsidR="007E34FA" w:rsidRDefault="007E34FA">
            <w:pPr>
              <w:rPr>
                <w:sz w:val="18"/>
                <w:szCs w:val="18"/>
              </w:rPr>
            </w:pPr>
            <w:r>
              <w:rPr>
                <w:sz w:val="18"/>
                <w:szCs w:val="18"/>
              </w:rPr>
              <w:t xml:space="preserve"> 0.8%</w:t>
            </w:r>
          </w:p>
        </w:tc>
        <w:tc>
          <w:tcPr>
            <w:tcW w:w="335" w:type="pct"/>
            <w:tcBorders>
              <w:top w:val="single" w:sz="8" w:space="0" w:color="auto"/>
              <w:left w:val="nil"/>
              <w:bottom w:val="single" w:sz="8" w:space="0" w:color="auto"/>
              <w:right w:val="nil"/>
            </w:tcBorders>
            <w:noWrap/>
            <w:hideMark/>
          </w:tcPr>
          <w:p w14:paraId="6E5C8B37" w14:textId="77777777" w:rsidR="007E34FA" w:rsidRDefault="007E34FA">
            <w:pPr>
              <w:rPr>
                <w:sz w:val="18"/>
                <w:szCs w:val="18"/>
              </w:rPr>
            </w:pPr>
            <w:r>
              <w:rPr>
                <w:sz w:val="18"/>
                <w:szCs w:val="18"/>
              </w:rPr>
              <w:t xml:space="preserve"> 0.7%</w:t>
            </w:r>
          </w:p>
        </w:tc>
        <w:tc>
          <w:tcPr>
            <w:tcW w:w="335" w:type="pct"/>
            <w:tcBorders>
              <w:top w:val="single" w:sz="8" w:space="0" w:color="auto"/>
              <w:left w:val="nil"/>
              <w:bottom w:val="single" w:sz="8" w:space="0" w:color="auto"/>
              <w:right w:val="nil"/>
            </w:tcBorders>
            <w:noWrap/>
            <w:hideMark/>
          </w:tcPr>
          <w:p w14:paraId="6F55A607" w14:textId="77777777" w:rsidR="007E34FA" w:rsidRDefault="007E34FA">
            <w:pPr>
              <w:rPr>
                <w:sz w:val="18"/>
                <w:szCs w:val="18"/>
              </w:rPr>
            </w:pPr>
            <w:r>
              <w:rPr>
                <w:sz w:val="18"/>
                <w:szCs w:val="18"/>
              </w:rPr>
              <w:t xml:space="preserve"> 0.7%</w:t>
            </w:r>
          </w:p>
        </w:tc>
        <w:tc>
          <w:tcPr>
            <w:tcW w:w="348" w:type="pct"/>
            <w:tcBorders>
              <w:top w:val="single" w:sz="8" w:space="0" w:color="auto"/>
              <w:left w:val="nil"/>
              <w:bottom w:val="single" w:sz="8" w:space="0" w:color="auto"/>
              <w:right w:val="nil"/>
            </w:tcBorders>
            <w:noWrap/>
            <w:hideMark/>
          </w:tcPr>
          <w:p w14:paraId="43CF4DDC" w14:textId="77777777" w:rsidR="007E34FA" w:rsidRDefault="007E34FA">
            <w:pPr>
              <w:rPr>
                <w:sz w:val="18"/>
                <w:szCs w:val="18"/>
              </w:rPr>
            </w:pPr>
            <w:r>
              <w:rPr>
                <w:sz w:val="18"/>
                <w:szCs w:val="18"/>
              </w:rPr>
              <w:t>0.7%</w:t>
            </w:r>
          </w:p>
        </w:tc>
        <w:tc>
          <w:tcPr>
            <w:tcW w:w="493" w:type="pct"/>
            <w:tcBorders>
              <w:top w:val="single" w:sz="8" w:space="0" w:color="auto"/>
              <w:left w:val="nil"/>
              <w:bottom w:val="single" w:sz="8" w:space="0" w:color="auto"/>
              <w:right w:val="nil"/>
            </w:tcBorders>
            <w:hideMark/>
          </w:tcPr>
          <w:p w14:paraId="02EAB962" w14:textId="77777777" w:rsidR="007E34FA" w:rsidRDefault="007E34FA">
            <w:pPr>
              <w:rPr>
                <w:rFonts w:ascii="Calibri" w:hAnsi="Calibri"/>
                <w:color w:val="000000"/>
                <w:sz w:val="18"/>
                <w:szCs w:val="18"/>
              </w:rPr>
            </w:pPr>
            <w:r>
              <w:rPr>
                <w:rFonts w:ascii="Calibri" w:hAnsi="Calibri"/>
                <w:color w:val="000000"/>
                <w:sz w:val="18"/>
                <w:szCs w:val="18"/>
              </w:rPr>
              <w:t>0.7%</w:t>
            </w:r>
          </w:p>
        </w:tc>
      </w:tr>
      <w:tr w:rsidR="007E34FA" w14:paraId="0A9F8805" w14:textId="77777777" w:rsidTr="007E34FA">
        <w:trPr>
          <w:trHeight w:val="40"/>
        </w:trPr>
        <w:tc>
          <w:tcPr>
            <w:tcW w:w="807" w:type="pct"/>
            <w:tcBorders>
              <w:top w:val="single" w:sz="8" w:space="0" w:color="auto"/>
              <w:left w:val="nil"/>
              <w:bottom w:val="single" w:sz="8" w:space="0" w:color="auto"/>
              <w:right w:val="nil"/>
            </w:tcBorders>
            <w:noWrap/>
            <w:hideMark/>
          </w:tcPr>
          <w:p w14:paraId="1E8CC05A" w14:textId="77777777" w:rsidR="007E34FA" w:rsidRDefault="007E34FA">
            <w:pPr>
              <w:rPr>
                <w:sz w:val="18"/>
                <w:szCs w:val="18"/>
              </w:rPr>
            </w:pPr>
            <w:r>
              <w:rPr>
                <w:sz w:val="18"/>
                <w:szCs w:val="18"/>
              </w:rPr>
              <w:t>Mild liver disease</w:t>
            </w:r>
          </w:p>
        </w:tc>
        <w:tc>
          <w:tcPr>
            <w:tcW w:w="335" w:type="pct"/>
            <w:tcBorders>
              <w:top w:val="single" w:sz="8" w:space="0" w:color="auto"/>
              <w:left w:val="nil"/>
              <w:bottom w:val="single" w:sz="8" w:space="0" w:color="auto"/>
              <w:right w:val="nil"/>
            </w:tcBorders>
            <w:noWrap/>
            <w:hideMark/>
          </w:tcPr>
          <w:p w14:paraId="18BBF15E" w14:textId="77777777" w:rsidR="007E34FA" w:rsidRDefault="007E34FA">
            <w:pPr>
              <w:rPr>
                <w:sz w:val="18"/>
                <w:szCs w:val="18"/>
              </w:rPr>
            </w:pPr>
            <w:r>
              <w:rPr>
                <w:sz w:val="18"/>
                <w:szCs w:val="18"/>
              </w:rPr>
              <w:t xml:space="preserve"> 0.2%</w:t>
            </w:r>
          </w:p>
        </w:tc>
        <w:tc>
          <w:tcPr>
            <w:tcW w:w="335" w:type="pct"/>
            <w:tcBorders>
              <w:top w:val="single" w:sz="8" w:space="0" w:color="auto"/>
              <w:left w:val="nil"/>
              <w:bottom w:val="single" w:sz="8" w:space="0" w:color="auto"/>
              <w:right w:val="nil"/>
            </w:tcBorders>
            <w:noWrap/>
            <w:hideMark/>
          </w:tcPr>
          <w:p w14:paraId="7D276994" w14:textId="77777777" w:rsidR="007E34FA" w:rsidRDefault="007E34FA">
            <w:pPr>
              <w:rPr>
                <w:sz w:val="18"/>
                <w:szCs w:val="18"/>
              </w:rPr>
            </w:pPr>
            <w:r>
              <w:rPr>
                <w:sz w:val="18"/>
                <w:szCs w:val="18"/>
              </w:rPr>
              <w:t>0.2%</w:t>
            </w:r>
          </w:p>
        </w:tc>
        <w:tc>
          <w:tcPr>
            <w:tcW w:w="335" w:type="pct"/>
            <w:tcBorders>
              <w:top w:val="single" w:sz="8" w:space="0" w:color="auto"/>
              <w:left w:val="nil"/>
              <w:bottom w:val="single" w:sz="8" w:space="0" w:color="auto"/>
              <w:right w:val="nil"/>
            </w:tcBorders>
            <w:noWrap/>
            <w:hideMark/>
          </w:tcPr>
          <w:p w14:paraId="6C0A4913" w14:textId="77777777" w:rsidR="007E34FA" w:rsidRDefault="007E34FA">
            <w:pPr>
              <w:rPr>
                <w:sz w:val="18"/>
                <w:szCs w:val="18"/>
              </w:rPr>
            </w:pPr>
            <w:r>
              <w:rPr>
                <w:sz w:val="18"/>
                <w:szCs w:val="18"/>
              </w:rPr>
              <w:t>0.2%</w:t>
            </w:r>
          </w:p>
        </w:tc>
        <w:tc>
          <w:tcPr>
            <w:tcW w:w="335" w:type="pct"/>
            <w:tcBorders>
              <w:top w:val="single" w:sz="8" w:space="0" w:color="auto"/>
              <w:left w:val="nil"/>
              <w:bottom w:val="single" w:sz="8" w:space="0" w:color="auto"/>
              <w:right w:val="nil"/>
            </w:tcBorders>
            <w:noWrap/>
            <w:hideMark/>
          </w:tcPr>
          <w:p w14:paraId="61A256E9" w14:textId="77777777" w:rsidR="007E34FA" w:rsidRDefault="007E34FA">
            <w:pPr>
              <w:rPr>
                <w:sz w:val="18"/>
                <w:szCs w:val="18"/>
              </w:rPr>
            </w:pPr>
            <w:r>
              <w:rPr>
                <w:sz w:val="18"/>
                <w:szCs w:val="18"/>
              </w:rPr>
              <w:t>0.6%</w:t>
            </w:r>
          </w:p>
        </w:tc>
        <w:tc>
          <w:tcPr>
            <w:tcW w:w="335" w:type="pct"/>
            <w:tcBorders>
              <w:top w:val="single" w:sz="8" w:space="0" w:color="auto"/>
              <w:left w:val="nil"/>
              <w:bottom w:val="single" w:sz="8" w:space="0" w:color="auto"/>
              <w:right w:val="nil"/>
            </w:tcBorders>
            <w:noWrap/>
            <w:hideMark/>
          </w:tcPr>
          <w:p w14:paraId="2BED0FF9" w14:textId="77777777" w:rsidR="007E34FA" w:rsidRDefault="007E34FA">
            <w:pPr>
              <w:rPr>
                <w:sz w:val="18"/>
                <w:szCs w:val="18"/>
              </w:rPr>
            </w:pPr>
            <w:r>
              <w:rPr>
                <w:sz w:val="18"/>
                <w:szCs w:val="18"/>
              </w:rPr>
              <w:t>0.2%</w:t>
            </w:r>
          </w:p>
        </w:tc>
        <w:tc>
          <w:tcPr>
            <w:tcW w:w="335" w:type="pct"/>
            <w:tcBorders>
              <w:top w:val="single" w:sz="8" w:space="0" w:color="auto"/>
              <w:left w:val="nil"/>
              <w:bottom w:val="single" w:sz="8" w:space="0" w:color="auto"/>
              <w:right w:val="nil"/>
            </w:tcBorders>
            <w:noWrap/>
            <w:hideMark/>
          </w:tcPr>
          <w:p w14:paraId="408A8971" w14:textId="77777777" w:rsidR="007E34FA" w:rsidRDefault="007E34FA">
            <w:pPr>
              <w:rPr>
                <w:sz w:val="18"/>
                <w:szCs w:val="18"/>
              </w:rPr>
            </w:pPr>
            <w:r>
              <w:rPr>
                <w:sz w:val="18"/>
                <w:szCs w:val="18"/>
              </w:rPr>
              <w:t>0.3%</w:t>
            </w:r>
          </w:p>
        </w:tc>
        <w:tc>
          <w:tcPr>
            <w:tcW w:w="335" w:type="pct"/>
            <w:tcBorders>
              <w:top w:val="single" w:sz="8" w:space="0" w:color="auto"/>
              <w:left w:val="nil"/>
              <w:bottom w:val="single" w:sz="8" w:space="0" w:color="auto"/>
              <w:right w:val="nil"/>
            </w:tcBorders>
            <w:noWrap/>
            <w:hideMark/>
          </w:tcPr>
          <w:p w14:paraId="1DC7808E" w14:textId="77777777" w:rsidR="007E34FA" w:rsidRDefault="007E34FA">
            <w:pPr>
              <w:rPr>
                <w:sz w:val="18"/>
                <w:szCs w:val="18"/>
              </w:rPr>
            </w:pPr>
            <w:r>
              <w:rPr>
                <w:sz w:val="18"/>
                <w:szCs w:val="18"/>
              </w:rPr>
              <w:t>0.3%</w:t>
            </w:r>
          </w:p>
        </w:tc>
        <w:tc>
          <w:tcPr>
            <w:tcW w:w="335" w:type="pct"/>
            <w:tcBorders>
              <w:top w:val="single" w:sz="8" w:space="0" w:color="auto"/>
              <w:left w:val="nil"/>
              <w:bottom w:val="single" w:sz="8" w:space="0" w:color="auto"/>
              <w:right w:val="nil"/>
            </w:tcBorders>
            <w:noWrap/>
            <w:hideMark/>
          </w:tcPr>
          <w:p w14:paraId="099B8C86" w14:textId="77777777" w:rsidR="007E34FA" w:rsidRDefault="007E34FA">
            <w:pPr>
              <w:rPr>
                <w:sz w:val="18"/>
                <w:szCs w:val="18"/>
              </w:rPr>
            </w:pPr>
            <w:r>
              <w:rPr>
                <w:sz w:val="18"/>
                <w:szCs w:val="18"/>
              </w:rPr>
              <w:t>0.4%</w:t>
            </w:r>
          </w:p>
        </w:tc>
        <w:tc>
          <w:tcPr>
            <w:tcW w:w="335" w:type="pct"/>
            <w:tcBorders>
              <w:top w:val="single" w:sz="8" w:space="0" w:color="auto"/>
              <w:left w:val="nil"/>
              <w:bottom w:val="single" w:sz="8" w:space="0" w:color="auto"/>
              <w:right w:val="nil"/>
            </w:tcBorders>
            <w:noWrap/>
            <w:hideMark/>
          </w:tcPr>
          <w:p w14:paraId="2F6AA85A" w14:textId="77777777" w:rsidR="007E34FA" w:rsidRDefault="007E34FA">
            <w:pPr>
              <w:rPr>
                <w:sz w:val="18"/>
                <w:szCs w:val="18"/>
              </w:rPr>
            </w:pPr>
            <w:r>
              <w:rPr>
                <w:sz w:val="18"/>
                <w:szCs w:val="18"/>
              </w:rPr>
              <w:t>0.4%</w:t>
            </w:r>
          </w:p>
        </w:tc>
        <w:tc>
          <w:tcPr>
            <w:tcW w:w="335" w:type="pct"/>
            <w:tcBorders>
              <w:top w:val="single" w:sz="8" w:space="0" w:color="auto"/>
              <w:left w:val="nil"/>
              <w:bottom w:val="single" w:sz="8" w:space="0" w:color="auto"/>
              <w:right w:val="nil"/>
            </w:tcBorders>
            <w:noWrap/>
            <w:hideMark/>
          </w:tcPr>
          <w:p w14:paraId="29C95CF6" w14:textId="77777777" w:rsidR="007E34FA" w:rsidRDefault="007E34FA">
            <w:pPr>
              <w:rPr>
                <w:sz w:val="18"/>
                <w:szCs w:val="18"/>
              </w:rPr>
            </w:pPr>
            <w:r>
              <w:rPr>
                <w:sz w:val="18"/>
                <w:szCs w:val="18"/>
              </w:rPr>
              <w:t xml:space="preserve"> 0.4%</w:t>
            </w:r>
          </w:p>
        </w:tc>
        <w:tc>
          <w:tcPr>
            <w:tcW w:w="348" w:type="pct"/>
            <w:tcBorders>
              <w:top w:val="single" w:sz="8" w:space="0" w:color="auto"/>
              <w:left w:val="nil"/>
              <w:bottom w:val="single" w:sz="8" w:space="0" w:color="auto"/>
              <w:right w:val="nil"/>
            </w:tcBorders>
            <w:noWrap/>
            <w:hideMark/>
          </w:tcPr>
          <w:p w14:paraId="2D002229" w14:textId="77777777" w:rsidR="007E34FA" w:rsidRDefault="007E34FA">
            <w:pPr>
              <w:rPr>
                <w:sz w:val="18"/>
                <w:szCs w:val="18"/>
              </w:rPr>
            </w:pPr>
            <w:r>
              <w:rPr>
                <w:sz w:val="18"/>
                <w:szCs w:val="18"/>
              </w:rPr>
              <w:t>0.5%</w:t>
            </w:r>
          </w:p>
        </w:tc>
        <w:tc>
          <w:tcPr>
            <w:tcW w:w="493" w:type="pct"/>
            <w:tcBorders>
              <w:top w:val="single" w:sz="8" w:space="0" w:color="auto"/>
              <w:left w:val="nil"/>
              <w:bottom w:val="single" w:sz="8" w:space="0" w:color="auto"/>
              <w:right w:val="nil"/>
            </w:tcBorders>
            <w:hideMark/>
          </w:tcPr>
          <w:p w14:paraId="792B3BBC" w14:textId="77777777" w:rsidR="007E34FA" w:rsidRDefault="007E34FA">
            <w:pPr>
              <w:rPr>
                <w:rFonts w:ascii="Calibri" w:hAnsi="Calibri"/>
                <w:color w:val="000000"/>
                <w:sz w:val="18"/>
                <w:szCs w:val="18"/>
              </w:rPr>
            </w:pPr>
            <w:r>
              <w:rPr>
                <w:rFonts w:ascii="Calibri" w:hAnsi="Calibri"/>
                <w:color w:val="000000"/>
                <w:sz w:val="18"/>
                <w:szCs w:val="18"/>
              </w:rPr>
              <w:t>0.3%</w:t>
            </w:r>
          </w:p>
        </w:tc>
      </w:tr>
      <w:tr w:rsidR="007E34FA" w14:paraId="130B5B9D" w14:textId="77777777" w:rsidTr="007E34FA">
        <w:trPr>
          <w:trHeight w:val="300"/>
        </w:trPr>
        <w:tc>
          <w:tcPr>
            <w:tcW w:w="807" w:type="pct"/>
            <w:tcBorders>
              <w:top w:val="single" w:sz="8" w:space="0" w:color="auto"/>
              <w:left w:val="nil"/>
              <w:bottom w:val="single" w:sz="8" w:space="0" w:color="auto"/>
              <w:right w:val="nil"/>
            </w:tcBorders>
            <w:noWrap/>
            <w:hideMark/>
          </w:tcPr>
          <w:p w14:paraId="2531F0E0" w14:textId="77777777" w:rsidR="007E34FA" w:rsidRDefault="007E34FA">
            <w:pPr>
              <w:rPr>
                <w:sz w:val="18"/>
                <w:szCs w:val="18"/>
              </w:rPr>
            </w:pPr>
            <w:r>
              <w:rPr>
                <w:sz w:val="18"/>
                <w:szCs w:val="18"/>
              </w:rPr>
              <w:t>Moderate-severe liver disease</w:t>
            </w:r>
          </w:p>
        </w:tc>
        <w:tc>
          <w:tcPr>
            <w:tcW w:w="335" w:type="pct"/>
            <w:tcBorders>
              <w:top w:val="single" w:sz="8" w:space="0" w:color="auto"/>
              <w:left w:val="nil"/>
              <w:bottom w:val="single" w:sz="8" w:space="0" w:color="auto"/>
              <w:right w:val="nil"/>
            </w:tcBorders>
            <w:noWrap/>
            <w:hideMark/>
          </w:tcPr>
          <w:p w14:paraId="07F278AD" w14:textId="77777777" w:rsidR="007E34FA" w:rsidRDefault="007E34FA">
            <w:pPr>
              <w:rPr>
                <w:sz w:val="18"/>
                <w:szCs w:val="18"/>
              </w:rPr>
            </w:pPr>
            <w:r>
              <w:rPr>
                <w:sz w:val="18"/>
                <w:szCs w:val="18"/>
              </w:rPr>
              <w:t xml:space="preserve"> 0.0%</w:t>
            </w:r>
          </w:p>
        </w:tc>
        <w:tc>
          <w:tcPr>
            <w:tcW w:w="335" w:type="pct"/>
            <w:tcBorders>
              <w:top w:val="single" w:sz="8" w:space="0" w:color="auto"/>
              <w:left w:val="nil"/>
              <w:bottom w:val="single" w:sz="8" w:space="0" w:color="auto"/>
              <w:right w:val="nil"/>
            </w:tcBorders>
            <w:noWrap/>
            <w:hideMark/>
          </w:tcPr>
          <w:p w14:paraId="7C0C3A45" w14:textId="77777777" w:rsidR="007E34FA" w:rsidRDefault="007E34FA">
            <w:pPr>
              <w:rPr>
                <w:sz w:val="18"/>
                <w:szCs w:val="18"/>
              </w:rPr>
            </w:pPr>
            <w:r>
              <w:rPr>
                <w:sz w:val="18"/>
                <w:szCs w:val="18"/>
              </w:rPr>
              <w:t>0.0%</w:t>
            </w:r>
          </w:p>
        </w:tc>
        <w:tc>
          <w:tcPr>
            <w:tcW w:w="335" w:type="pct"/>
            <w:tcBorders>
              <w:top w:val="single" w:sz="8" w:space="0" w:color="auto"/>
              <w:left w:val="nil"/>
              <w:bottom w:val="single" w:sz="8" w:space="0" w:color="auto"/>
              <w:right w:val="nil"/>
            </w:tcBorders>
            <w:noWrap/>
            <w:hideMark/>
          </w:tcPr>
          <w:p w14:paraId="7C245675" w14:textId="77777777" w:rsidR="007E34FA" w:rsidRDefault="007E34FA">
            <w:pPr>
              <w:rPr>
                <w:sz w:val="18"/>
                <w:szCs w:val="18"/>
              </w:rPr>
            </w:pPr>
            <w:r>
              <w:rPr>
                <w:sz w:val="18"/>
                <w:szCs w:val="18"/>
              </w:rPr>
              <w:t xml:space="preserve"> 0.0%</w:t>
            </w:r>
          </w:p>
        </w:tc>
        <w:tc>
          <w:tcPr>
            <w:tcW w:w="335" w:type="pct"/>
            <w:tcBorders>
              <w:top w:val="single" w:sz="8" w:space="0" w:color="auto"/>
              <w:left w:val="nil"/>
              <w:bottom w:val="single" w:sz="8" w:space="0" w:color="auto"/>
              <w:right w:val="nil"/>
            </w:tcBorders>
            <w:noWrap/>
            <w:hideMark/>
          </w:tcPr>
          <w:p w14:paraId="1915CE34" w14:textId="77777777" w:rsidR="007E34FA" w:rsidRDefault="007E34FA">
            <w:pPr>
              <w:rPr>
                <w:sz w:val="18"/>
                <w:szCs w:val="18"/>
              </w:rPr>
            </w:pPr>
            <w:r>
              <w:rPr>
                <w:sz w:val="18"/>
                <w:szCs w:val="18"/>
              </w:rPr>
              <w:t xml:space="preserve"> 0.1%</w:t>
            </w:r>
          </w:p>
        </w:tc>
        <w:tc>
          <w:tcPr>
            <w:tcW w:w="335" w:type="pct"/>
            <w:tcBorders>
              <w:top w:val="single" w:sz="8" w:space="0" w:color="auto"/>
              <w:left w:val="nil"/>
              <w:bottom w:val="single" w:sz="8" w:space="0" w:color="auto"/>
              <w:right w:val="nil"/>
            </w:tcBorders>
            <w:noWrap/>
            <w:hideMark/>
          </w:tcPr>
          <w:p w14:paraId="74945291" w14:textId="77777777" w:rsidR="007E34FA" w:rsidRDefault="007E34FA">
            <w:pPr>
              <w:rPr>
                <w:sz w:val="18"/>
                <w:szCs w:val="18"/>
              </w:rPr>
            </w:pPr>
            <w:r>
              <w:rPr>
                <w:sz w:val="18"/>
                <w:szCs w:val="18"/>
              </w:rPr>
              <w:t xml:space="preserve"> 0.1%</w:t>
            </w:r>
          </w:p>
        </w:tc>
        <w:tc>
          <w:tcPr>
            <w:tcW w:w="335" w:type="pct"/>
            <w:tcBorders>
              <w:top w:val="single" w:sz="8" w:space="0" w:color="auto"/>
              <w:left w:val="nil"/>
              <w:bottom w:val="single" w:sz="8" w:space="0" w:color="auto"/>
              <w:right w:val="nil"/>
            </w:tcBorders>
            <w:noWrap/>
            <w:hideMark/>
          </w:tcPr>
          <w:p w14:paraId="79306EEC" w14:textId="77777777" w:rsidR="007E34FA" w:rsidRDefault="007E34FA">
            <w:pPr>
              <w:rPr>
                <w:sz w:val="18"/>
                <w:szCs w:val="18"/>
              </w:rPr>
            </w:pPr>
            <w:r>
              <w:rPr>
                <w:sz w:val="18"/>
                <w:szCs w:val="18"/>
              </w:rPr>
              <w:t xml:space="preserve"> 0.1%</w:t>
            </w:r>
          </w:p>
        </w:tc>
        <w:tc>
          <w:tcPr>
            <w:tcW w:w="335" w:type="pct"/>
            <w:tcBorders>
              <w:top w:val="single" w:sz="8" w:space="0" w:color="auto"/>
              <w:left w:val="nil"/>
              <w:bottom w:val="single" w:sz="8" w:space="0" w:color="auto"/>
              <w:right w:val="nil"/>
            </w:tcBorders>
            <w:noWrap/>
            <w:hideMark/>
          </w:tcPr>
          <w:p w14:paraId="521C4374" w14:textId="77777777" w:rsidR="007E34FA" w:rsidRDefault="007E34FA">
            <w:pPr>
              <w:rPr>
                <w:sz w:val="18"/>
                <w:szCs w:val="18"/>
              </w:rPr>
            </w:pPr>
            <w:r>
              <w:rPr>
                <w:sz w:val="18"/>
                <w:szCs w:val="18"/>
              </w:rPr>
              <w:t xml:space="preserve"> 0.1%</w:t>
            </w:r>
          </w:p>
        </w:tc>
        <w:tc>
          <w:tcPr>
            <w:tcW w:w="335" w:type="pct"/>
            <w:tcBorders>
              <w:top w:val="single" w:sz="8" w:space="0" w:color="auto"/>
              <w:left w:val="nil"/>
              <w:bottom w:val="single" w:sz="8" w:space="0" w:color="auto"/>
              <w:right w:val="nil"/>
            </w:tcBorders>
            <w:noWrap/>
            <w:hideMark/>
          </w:tcPr>
          <w:p w14:paraId="21548C63" w14:textId="77777777" w:rsidR="007E34FA" w:rsidRDefault="007E34FA">
            <w:pPr>
              <w:rPr>
                <w:sz w:val="18"/>
                <w:szCs w:val="18"/>
              </w:rPr>
            </w:pPr>
            <w:r>
              <w:rPr>
                <w:sz w:val="18"/>
                <w:szCs w:val="18"/>
              </w:rPr>
              <w:t xml:space="preserve"> 0.1%</w:t>
            </w:r>
          </w:p>
        </w:tc>
        <w:tc>
          <w:tcPr>
            <w:tcW w:w="335" w:type="pct"/>
            <w:tcBorders>
              <w:top w:val="single" w:sz="8" w:space="0" w:color="auto"/>
              <w:left w:val="nil"/>
              <w:bottom w:val="single" w:sz="8" w:space="0" w:color="auto"/>
              <w:right w:val="nil"/>
            </w:tcBorders>
            <w:noWrap/>
            <w:hideMark/>
          </w:tcPr>
          <w:p w14:paraId="439A843C"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19CFDC93" w14:textId="77777777" w:rsidR="007E34FA" w:rsidRDefault="007E34FA">
            <w:pPr>
              <w:rPr>
                <w:sz w:val="18"/>
                <w:szCs w:val="18"/>
              </w:rPr>
            </w:pPr>
            <w:r>
              <w:rPr>
                <w:sz w:val="18"/>
                <w:szCs w:val="18"/>
              </w:rPr>
              <w:t xml:space="preserve"> 0.1%</w:t>
            </w:r>
          </w:p>
        </w:tc>
        <w:tc>
          <w:tcPr>
            <w:tcW w:w="348" w:type="pct"/>
            <w:tcBorders>
              <w:top w:val="single" w:sz="8" w:space="0" w:color="auto"/>
              <w:left w:val="nil"/>
              <w:bottom w:val="single" w:sz="8" w:space="0" w:color="auto"/>
              <w:right w:val="nil"/>
            </w:tcBorders>
            <w:noWrap/>
            <w:hideMark/>
          </w:tcPr>
          <w:p w14:paraId="564DA0A8" w14:textId="77777777" w:rsidR="007E34FA" w:rsidRDefault="007E34FA">
            <w:pPr>
              <w:rPr>
                <w:sz w:val="18"/>
                <w:szCs w:val="18"/>
              </w:rPr>
            </w:pPr>
            <w:r>
              <w:rPr>
                <w:sz w:val="18"/>
                <w:szCs w:val="18"/>
              </w:rPr>
              <w:t>0.2%</w:t>
            </w:r>
          </w:p>
        </w:tc>
        <w:tc>
          <w:tcPr>
            <w:tcW w:w="493" w:type="pct"/>
            <w:tcBorders>
              <w:top w:val="single" w:sz="8" w:space="0" w:color="auto"/>
              <w:left w:val="nil"/>
              <w:bottom w:val="single" w:sz="8" w:space="0" w:color="auto"/>
              <w:right w:val="nil"/>
            </w:tcBorders>
            <w:hideMark/>
          </w:tcPr>
          <w:p w14:paraId="7B194224" w14:textId="77777777" w:rsidR="007E34FA" w:rsidRDefault="007E34FA">
            <w:pPr>
              <w:rPr>
                <w:rFonts w:ascii="Calibri" w:hAnsi="Calibri"/>
                <w:color w:val="000000"/>
                <w:sz w:val="18"/>
                <w:szCs w:val="18"/>
              </w:rPr>
            </w:pPr>
            <w:r>
              <w:rPr>
                <w:rFonts w:ascii="Calibri" w:hAnsi="Calibri"/>
                <w:color w:val="000000"/>
                <w:sz w:val="18"/>
                <w:szCs w:val="18"/>
              </w:rPr>
              <w:t>0.1%</w:t>
            </w:r>
          </w:p>
        </w:tc>
      </w:tr>
      <w:tr w:rsidR="007E34FA" w14:paraId="2B6C6101" w14:textId="77777777" w:rsidTr="007E34FA">
        <w:trPr>
          <w:trHeight w:val="58"/>
        </w:trPr>
        <w:tc>
          <w:tcPr>
            <w:tcW w:w="807" w:type="pct"/>
            <w:tcBorders>
              <w:top w:val="single" w:sz="8" w:space="0" w:color="auto"/>
              <w:left w:val="nil"/>
              <w:bottom w:val="single" w:sz="8" w:space="0" w:color="auto"/>
              <w:right w:val="nil"/>
            </w:tcBorders>
            <w:noWrap/>
            <w:hideMark/>
          </w:tcPr>
          <w:p w14:paraId="35C64551" w14:textId="77777777" w:rsidR="007E34FA" w:rsidRDefault="007E34FA">
            <w:pPr>
              <w:rPr>
                <w:sz w:val="18"/>
                <w:szCs w:val="18"/>
              </w:rPr>
            </w:pPr>
            <w:r>
              <w:rPr>
                <w:sz w:val="18"/>
                <w:szCs w:val="18"/>
              </w:rPr>
              <w:t>Hemiplegia</w:t>
            </w:r>
          </w:p>
        </w:tc>
        <w:tc>
          <w:tcPr>
            <w:tcW w:w="335" w:type="pct"/>
            <w:tcBorders>
              <w:top w:val="single" w:sz="8" w:space="0" w:color="auto"/>
              <w:left w:val="nil"/>
              <w:bottom w:val="single" w:sz="8" w:space="0" w:color="auto"/>
              <w:right w:val="nil"/>
            </w:tcBorders>
            <w:noWrap/>
            <w:hideMark/>
          </w:tcPr>
          <w:p w14:paraId="125DFF82"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3B1FD1DA"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4EC277CE"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157AEAFC"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27959486" w14:textId="77777777" w:rsidR="007E34FA" w:rsidRDefault="007E34FA">
            <w:pPr>
              <w:rPr>
                <w:sz w:val="18"/>
                <w:szCs w:val="18"/>
              </w:rPr>
            </w:pPr>
            <w:r>
              <w:rPr>
                <w:sz w:val="18"/>
                <w:szCs w:val="18"/>
              </w:rPr>
              <w:t>0.2%</w:t>
            </w:r>
          </w:p>
        </w:tc>
        <w:tc>
          <w:tcPr>
            <w:tcW w:w="335" w:type="pct"/>
            <w:tcBorders>
              <w:top w:val="single" w:sz="8" w:space="0" w:color="auto"/>
              <w:left w:val="nil"/>
              <w:bottom w:val="single" w:sz="8" w:space="0" w:color="auto"/>
              <w:right w:val="nil"/>
            </w:tcBorders>
            <w:noWrap/>
            <w:hideMark/>
          </w:tcPr>
          <w:p w14:paraId="306F9D64" w14:textId="77777777" w:rsidR="007E34FA" w:rsidRDefault="007E34FA">
            <w:pPr>
              <w:rPr>
                <w:sz w:val="18"/>
                <w:szCs w:val="18"/>
              </w:rPr>
            </w:pPr>
            <w:r>
              <w:rPr>
                <w:sz w:val="18"/>
                <w:szCs w:val="18"/>
              </w:rPr>
              <w:t>0.3%</w:t>
            </w:r>
          </w:p>
        </w:tc>
        <w:tc>
          <w:tcPr>
            <w:tcW w:w="335" w:type="pct"/>
            <w:tcBorders>
              <w:top w:val="single" w:sz="8" w:space="0" w:color="auto"/>
              <w:left w:val="nil"/>
              <w:bottom w:val="single" w:sz="8" w:space="0" w:color="auto"/>
              <w:right w:val="nil"/>
            </w:tcBorders>
            <w:noWrap/>
            <w:hideMark/>
          </w:tcPr>
          <w:p w14:paraId="44F5CE75" w14:textId="77777777" w:rsidR="007E34FA" w:rsidRDefault="007E34FA">
            <w:pPr>
              <w:rPr>
                <w:sz w:val="18"/>
                <w:szCs w:val="18"/>
              </w:rPr>
            </w:pPr>
            <w:r>
              <w:rPr>
                <w:sz w:val="18"/>
                <w:szCs w:val="18"/>
              </w:rPr>
              <w:t>0.3%</w:t>
            </w:r>
          </w:p>
        </w:tc>
        <w:tc>
          <w:tcPr>
            <w:tcW w:w="335" w:type="pct"/>
            <w:tcBorders>
              <w:top w:val="single" w:sz="8" w:space="0" w:color="auto"/>
              <w:left w:val="nil"/>
              <w:bottom w:val="single" w:sz="8" w:space="0" w:color="auto"/>
              <w:right w:val="nil"/>
            </w:tcBorders>
            <w:noWrap/>
            <w:hideMark/>
          </w:tcPr>
          <w:p w14:paraId="24FE4322" w14:textId="77777777" w:rsidR="007E34FA" w:rsidRDefault="007E34FA">
            <w:pPr>
              <w:rPr>
                <w:sz w:val="18"/>
                <w:szCs w:val="18"/>
              </w:rPr>
            </w:pPr>
            <w:r>
              <w:rPr>
                <w:sz w:val="18"/>
                <w:szCs w:val="18"/>
              </w:rPr>
              <w:t>0.3%</w:t>
            </w:r>
          </w:p>
        </w:tc>
        <w:tc>
          <w:tcPr>
            <w:tcW w:w="335" w:type="pct"/>
            <w:tcBorders>
              <w:top w:val="single" w:sz="8" w:space="0" w:color="auto"/>
              <w:left w:val="nil"/>
              <w:bottom w:val="single" w:sz="8" w:space="0" w:color="auto"/>
              <w:right w:val="nil"/>
            </w:tcBorders>
            <w:noWrap/>
            <w:hideMark/>
          </w:tcPr>
          <w:p w14:paraId="49624704" w14:textId="77777777" w:rsidR="007E34FA" w:rsidRDefault="007E34FA">
            <w:pPr>
              <w:rPr>
                <w:sz w:val="18"/>
                <w:szCs w:val="18"/>
              </w:rPr>
            </w:pPr>
            <w:r>
              <w:rPr>
                <w:sz w:val="18"/>
                <w:szCs w:val="18"/>
              </w:rPr>
              <w:t>0.3%</w:t>
            </w:r>
          </w:p>
        </w:tc>
        <w:tc>
          <w:tcPr>
            <w:tcW w:w="335" w:type="pct"/>
            <w:tcBorders>
              <w:top w:val="single" w:sz="8" w:space="0" w:color="auto"/>
              <w:left w:val="nil"/>
              <w:bottom w:val="single" w:sz="8" w:space="0" w:color="auto"/>
              <w:right w:val="nil"/>
            </w:tcBorders>
            <w:noWrap/>
            <w:hideMark/>
          </w:tcPr>
          <w:p w14:paraId="5A4B5239" w14:textId="77777777" w:rsidR="007E34FA" w:rsidRDefault="007E34FA">
            <w:pPr>
              <w:rPr>
                <w:sz w:val="18"/>
                <w:szCs w:val="18"/>
              </w:rPr>
            </w:pPr>
            <w:r>
              <w:rPr>
                <w:sz w:val="18"/>
                <w:szCs w:val="18"/>
              </w:rPr>
              <w:t>0.3%</w:t>
            </w:r>
          </w:p>
        </w:tc>
        <w:tc>
          <w:tcPr>
            <w:tcW w:w="348" w:type="pct"/>
            <w:tcBorders>
              <w:top w:val="single" w:sz="8" w:space="0" w:color="auto"/>
              <w:left w:val="nil"/>
              <w:bottom w:val="single" w:sz="8" w:space="0" w:color="auto"/>
              <w:right w:val="nil"/>
            </w:tcBorders>
            <w:noWrap/>
            <w:hideMark/>
          </w:tcPr>
          <w:p w14:paraId="169E3285" w14:textId="77777777" w:rsidR="007E34FA" w:rsidRDefault="007E34FA">
            <w:pPr>
              <w:rPr>
                <w:sz w:val="18"/>
                <w:szCs w:val="18"/>
              </w:rPr>
            </w:pPr>
            <w:r>
              <w:rPr>
                <w:sz w:val="18"/>
                <w:szCs w:val="18"/>
              </w:rPr>
              <w:t>0.4%</w:t>
            </w:r>
          </w:p>
        </w:tc>
        <w:tc>
          <w:tcPr>
            <w:tcW w:w="493" w:type="pct"/>
            <w:tcBorders>
              <w:top w:val="single" w:sz="8" w:space="0" w:color="auto"/>
              <w:left w:val="nil"/>
              <w:bottom w:val="single" w:sz="8" w:space="0" w:color="auto"/>
              <w:right w:val="nil"/>
            </w:tcBorders>
            <w:hideMark/>
          </w:tcPr>
          <w:p w14:paraId="4E04DBAD" w14:textId="77777777" w:rsidR="007E34FA" w:rsidRDefault="007E34FA">
            <w:pPr>
              <w:rPr>
                <w:rFonts w:ascii="Calibri" w:hAnsi="Calibri"/>
                <w:color w:val="000000"/>
                <w:sz w:val="18"/>
                <w:szCs w:val="18"/>
              </w:rPr>
            </w:pPr>
            <w:r>
              <w:rPr>
                <w:rFonts w:ascii="Calibri" w:hAnsi="Calibri"/>
                <w:color w:val="000000"/>
                <w:sz w:val="18"/>
                <w:szCs w:val="18"/>
              </w:rPr>
              <w:t>0.2%</w:t>
            </w:r>
          </w:p>
        </w:tc>
      </w:tr>
      <w:tr w:rsidR="007E34FA" w14:paraId="65596995" w14:textId="77777777" w:rsidTr="007E34FA">
        <w:trPr>
          <w:trHeight w:val="300"/>
        </w:trPr>
        <w:tc>
          <w:tcPr>
            <w:tcW w:w="807" w:type="pct"/>
            <w:tcBorders>
              <w:top w:val="single" w:sz="8" w:space="0" w:color="auto"/>
              <w:left w:val="nil"/>
              <w:bottom w:val="single" w:sz="8" w:space="0" w:color="auto"/>
              <w:right w:val="nil"/>
            </w:tcBorders>
            <w:noWrap/>
            <w:hideMark/>
          </w:tcPr>
          <w:p w14:paraId="77D21F14" w14:textId="77777777" w:rsidR="007E34FA" w:rsidRDefault="007E34FA">
            <w:pPr>
              <w:rPr>
                <w:sz w:val="18"/>
                <w:szCs w:val="18"/>
              </w:rPr>
            </w:pPr>
            <w:r>
              <w:rPr>
                <w:sz w:val="18"/>
                <w:szCs w:val="18"/>
              </w:rPr>
              <w:t>Moderate-severe chronic kidney disease</w:t>
            </w:r>
          </w:p>
        </w:tc>
        <w:tc>
          <w:tcPr>
            <w:tcW w:w="335" w:type="pct"/>
            <w:tcBorders>
              <w:top w:val="single" w:sz="8" w:space="0" w:color="auto"/>
              <w:left w:val="nil"/>
              <w:bottom w:val="single" w:sz="8" w:space="0" w:color="auto"/>
              <w:right w:val="nil"/>
            </w:tcBorders>
            <w:noWrap/>
            <w:hideMark/>
          </w:tcPr>
          <w:p w14:paraId="52FF398D" w14:textId="77777777" w:rsidR="007E34FA" w:rsidRDefault="007E34FA">
            <w:pPr>
              <w:rPr>
                <w:sz w:val="18"/>
                <w:szCs w:val="18"/>
              </w:rPr>
            </w:pPr>
            <w:r>
              <w:rPr>
                <w:sz w:val="18"/>
                <w:szCs w:val="18"/>
              </w:rPr>
              <w:t>0.5%</w:t>
            </w:r>
          </w:p>
        </w:tc>
        <w:tc>
          <w:tcPr>
            <w:tcW w:w="335" w:type="pct"/>
            <w:tcBorders>
              <w:top w:val="single" w:sz="8" w:space="0" w:color="auto"/>
              <w:left w:val="nil"/>
              <w:bottom w:val="single" w:sz="8" w:space="0" w:color="auto"/>
              <w:right w:val="nil"/>
            </w:tcBorders>
            <w:noWrap/>
            <w:hideMark/>
          </w:tcPr>
          <w:p w14:paraId="244FB6A8" w14:textId="77777777" w:rsidR="007E34FA" w:rsidRDefault="007E34FA">
            <w:pPr>
              <w:rPr>
                <w:sz w:val="18"/>
                <w:szCs w:val="18"/>
              </w:rPr>
            </w:pPr>
            <w:r>
              <w:rPr>
                <w:sz w:val="18"/>
                <w:szCs w:val="18"/>
              </w:rPr>
              <w:t>0.4%</w:t>
            </w:r>
          </w:p>
        </w:tc>
        <w:tc>
          <w:tcPr>
            <w:tcW w:w="335" w:type="pct"/>
            <w:tcBorders>
              <w:top w:val="single" w:sz="8" w:space="0" w:color="auto"/>
              <w:left w:val="nil"/>
              <w:bottom w:val="single" w:sz="8" w:space="0" w:color="auto"/>
              <w:right w:val="nil"/>
            </w:tcBorders>
            <w:noWrap/>
            <w:hideMark/>
          </w:tcPr>
          <w:p w14:paraId="211F1C1B" w14:textId="77777777" w:rsidR="007E34FA" w:rsidRDefault="007E34FA">
            <w:pPr>
              <w:rPr>
                <w:sz w:val="18"/>
                <w:szCs w:val="18"/>
              </w:rPr>
            </w:pPr>
            <w:r>
              <w:rPr>
                <w:sz w:val="18"/>
                <w:szCs w:val="18"/>
              </w:rPr>
              <w:t>0.2%</w:t>
            </w:r>
          </w:p>
        </w:tc>
        <w:tc>
          <w:tcPr>
            <w:tcW w:w="335" w:type="pct"/>
            <w:tcBorders>
              <w:top w:val="single" w:sz="8" w:space="0" w:color="auto"/>
              <w:left w:val="nil"/>
              <w:bottom w:val="single" w:sz="8" w:space="0" w:color="auto"/>
              <w:right w:val="nil"/>
            </w:tcBorders>
            <w:noWrap/>
            <w:hideMark/>
          </w:tcPr>
          <w:p w14:paraId="4185FFD1" w14:textId="77777777" w:rsidR="007E34FA" w:rsidRDefault="007E34FA">
            <w:pPr>
              <w:rPr>
                <w:sz w:val="18"/>
                <w:szCs w:val="18"/>
              </w:rPr>
            </w:pPr>
            <w:r>
              <w:rPr>
                <w:sz w:val="18"/>
                <w:szCs w:val="18"/>
              </w:rPr>
              <w:t>0.2%</w:t>
            </w:r>
          </w:p>
        </w:tc>
        <w:tc>
          <w:tcPr>
            <w:tcW w:w="335" w:type="pct"/>
            <w:tcBorders>
              <w:top w:val="single" w:sz="8" w:space="0" w:color="auto"/>
              <w:left w:val="nil"/>
              <w:bottom w:val="single" w:sz="8" w:space="0" w:color="auto"/>
              <w:right w:val="nil"/>
            </w:tcBorders>
            <w:noWrap/>
            <w:hideMark/>
          </w:tcPr>
          <w:p w14:paraId="4CB3BDC1" w14:textId="77777777" w:rsidR="007E34FA" w:rsidRDefault="007E34FA">
            <w:pPr>
              <w:rPr>
                <w:sz w:val="18"/>
                <w:szCs w:val="18"/>
              </w:rPr>
            </w:pPr>
            <w:r>
              <w:rPr>
                <w:sz w:val="18"/>
                <w:szCs w:val="18"/>
              </w:rPr>
              <w:t>0.4%</w:t>
            </w:r>
          </w:p>
        </w:tc>
        <w:tc>
          <w:tcPr>
            <w:tcW w:w="335" w:type="pct"/>
            <w:tcBorders>
              <w:top w:val="single" w:sz="8" w:space="0" w:color="auto"/>
              <w:left w:val="nil"/>
              <w:bottom w:val="single" w:sz="8" w:space="0" w:color="auto"/>
              <w:right w:val="nil"/>
            </w:tcBorders>
            <w:noWrap/>
            <w:hideMark/>
          </w:tcPr>
          <w:p w14:paraId="2683843C" w14:textId="77777777" w:rsidR="007E34FA" w:rsidRDefault="007E34FA">
            <w:pPr>
              <w:rPr>
                <w:sz w:val="18"/>
                <w:szCs w:val="18"/>
              </w:rPr>
            </w:pPr>
            <w:r>
              <w:rPr>
                <w:sz w:val="18"/>
                <w:szCs w:val="18"/>
              </w:rPr>
              <w:t>0.6%</w:t>
            </w:r>
          </w:p>
        </w:tc>
        <w:tc>
          <w:tcPr>
            <w:tcW w:w="335" w:type="pct"/>
            <w:tcBorders>
              <w:top w:val="single" w:sz="8" w:space="0" w:color="auto"/>
              <w:left w:val="nil"/>
              <w:bottom w:val="single" w:sz="8" w:space="0" w:color="auto"/>
              <w:right w:val="nil"/>
            </w:tcBorders>
            <w:noWrap/>
            <w:hideMark/>
          </w:tcPr>
          <w:p w14:paraId="1E74B396" w14:textId="77777777" w:rsidR="007E34FA" w:rsidRDefault="007E34FA">
            <w:pPr>
              <w:rPr>
                <w:sz w:val="18"/>
                <w:szCs w:val="18"/>
              </w:rPr>
            </w:pPr>
            <w:r>
              <w:rPr>
                <w:sz w:val="18"/>
                <w:szCs w:val="18"/>
              </w:rPr>
              <w:t>0.8%</w:t>
            </w:r>
          </w:p>
        </w:tc>
        <w:tc>
          <w:tcPr>
            <w:tcW w:w="335" w:type="pct"/>
            <w:tcBorders>
              <w:top w:val="single" w:sz="8" w:space="0" w:color="auto"/>
              <w:left w:val="nil"/>
              <w:bottom w:val="single" w:sz="8" w:space="0" w:color="auto"/>
              <w:right w:val="nil"/>
            </w:tcBorders>
            <w:noWrap/>
            <w:hideMark/>
          </w:tcPr>
          <w:p w14:paraId="7E1A4766" w14:textId="77777777" w:rsidR="007E34FA" w:rsidRDefault="007E34FA">
            <w:pPr>
              <w:rPr>
                <w:sz w:val="18"/>
                <w:szCs w:val="18"/>
              </w:rPr>
            </w:pPr>
            <w:r>
              <w:rPr>
                <w:sz w:val="18"/>
                <w:szCs w:val="18"/>
              </w:rPr>
              <w:t>0.9%</w:t>
            </w:r>
          </w:p>
        </w:tc>
        <w:tc>
          <w:tcPr>
            <w:tcW w:w="335" w:type="pct"/>
            <w:tcBorders>
              <w:top w:val="single" w:sz="8" w:space="0" w:color="auto"/>
              <w:left w:val="nil"/>
              <w:bottom w:val="single" w:sz="8" w:space="0" w:color="auto"/>
              <w:right w:val="nil"/>
            </w:tcBorders>
            <w:noWrap/>
            <w:hideMark/>
          </w:tcPr>
          <w:p w14:paraId="5131FFF3" w14:textId="77777777" w:rsidR="007E34FA" w:rsidRDefault="007E34FA">
            <w:pPr>
              <w:rPr>
                <w:sz w:val="18"/>
                <w:szCs w:val="18"/>
              </w:rPr>
            </w:pPr>
            <w:r>
              <w:rPr>
                <w:sz w:val="18"/>
                <w:szCs w:val="18"/>
              </w:rPr>
              <w:t>0.8%</w:t>
            </w:r>
          </w:p>
        </w:tc>
        <w:tc>
          <w:tcPr>
            <w:tcW w:w="335" w:type="pct"/>
            <w:tcBorders>
              <w:top w:val="single" w:sz="8" w:space="0" w:color="auto"/>
              <w:left w:val="nil"/>
              <w:bottom w:val="single" w:sz="8" w:space="0" w:color="auto"/>
              <w:right w:val="nil"/>
            </w:tcBorders>
            <w:noWrap/>
            <w:hideMark/>
          </w:tcPr>
          <w:p w14:paraId="0634FCB3" w14:textId="77777777" w:rsidR="007E34FA" w:rsidRDefault="007E34FA">
            <w:pPr>
              <w:rPr>
                <w:sz w:val="18"/>
                <w:szCs w:val="18"/>
              </w:rPr>
            </w:pPr>
            <w:r>
              <w:rPr>
                <w:sz w:val="18"/>
                <w:szCs w:val="18"/>
              </w:rPr>
              <w:t xml:space="preserve"> 1.1%</w:t>
            </w:r>
          </w:p>
        </w:tc>
        <w:tc>
          <w:tcPr>
            <w:tcW w:w="348" w:type="pct"/>
            <w:tcBorders>
              <w:top w:val="single" w:sz="8" w:space="0" w:color="auto"/>
              <w:left w:val="nil"/>
              <w:bottom w:val="single" w:sz="8" w:space="0" w:color="auto"/>
              <w:right w:val="nil"/>
            </w:tcBorders>
            <w:noWrap/>
            <w:hideMark/>
          </w:tcPr>
          <w:p w14:paraId="39CF1653" w14:textId="77777777" w:rsidR="007E34FA" w:rsidRDefault="007E34FA">
            <w:pPr>
              <w:rPr>
                <w:sz w:val="18"/>
                <w:szCs w:val="18"/>
              </w:rPr>
            </w:pPr>
            <w:r>
              <w:rPr>
                <w:sz w:val="18"/>
                <w:szCs w:val="18"/>
              </w:rPr>
              <w:t xml:space="preserve"> 1.2%</w:t>
            </w:r>
          </w:p>
        </w:tc>
        <w:tc>
          <w:tcPr>
            <w:tcW w:w="493" w:type="pct"/>
            <w:tcBorders>
              <w:top w:val="single" w:sz="8" w:space="0" w:color="auto"/>
              <w:left w:val="nil"/>
              <w:bottom w:val="single" w:sz="8" w:space="0" w:color="auto"/>
              <w:right w:val="nil"/>
            </w:tcBorders>
            <w:hideMark/>
          </w:tcPr>
          <w:p w14:paraId="589849F0" w14:textId="77777777" w:rsidR="007E34FA" w:rsidRDefault="007E34FA">
            <w:pPr>
              <w:rPr>
                <w:rFonts w:ascii="Calibri" w:hAnsi="Calibri"/>
                <w:color w:val="000000"/>
                <w:sz w:val="18"/>
                <w:szCs w:val="18"/>
              </w:rPr>
            </w:pPr>
            <w:r>
              <w:rPr>
                <w:rFonts w:ascii="Calibri" w:hAnsi="Calibri"/>
                <w:color w:val="000000"/>
                <w:sz w:val="18"/>
                <w:szCs w:val="18"/>
              </w:rPr>
              <w:t>0.7%</w:t>
            </w:r>
          </w:p>
        </w:tc>
      </w:tr>
      <w:tr w:rsidR="007E34FA" w14:paraId="28352038" w14:textId="77777777" w:rsidTr="007E34FA">
        <w:trPr>
          <w:trHeight w:val="300"/>
        </w:trPr>
        <w:tc>
          <w:tcPr>
            <w:tcW w:w="807" w:type="pct"/>
            <w:tcBorders>
              <w:top w:val="single" w:sz="8" w:space="0" w:color="auto"/>
              <w:left w:val="nil"/>
              <w:bottom w:val="single" w:sz="8" w:space="0" w:color="auto"/>
              <w:right w:val="nil"/>
            </w:tcBorders>
            <w:noWrap/>
            <w:hideMark/>
          </w:tcPr>
          <w:p w14:paraId="32345A76" w14:textId="77777777" w:rsidR="007E34FA" w:rsidRDefault="007E34FA">
            <w:pPr>
              <w:rPr>
                <w:sz w:val="18"/>
                <w:szCs w:val="18"/>
              </w:rPr>
            </w:pPr>
            <w:r>
              <w:rPr>
                <w:sz w:val="18"/>
                <w:szCs w:val="18"/>
              </w:rPr>
              <w:t>Diabetes - controlled</w:t>
            </w:r>
          </w:p>
        </w:tc>
        <w:tc>
          <w:tcPr>
            <w:tcW w:w="335" w:type="pct"/>
            <w:tcBorders>
              <w:top w:val="single" w:sz="8" w:space="0" w:color="auto"/>
              <w:left w:val="nil"/>
              <w:bottom w:val="single" w:sz="8" w:space="0" w:color="auto"/>
              <w:right w:val="nil"/>
            </w:tcBorders>
            <w:noWrap/>
            <w:hideMark/>
          </w:tcPr>
          <w:p w14:paraId="1D7F38D6" w14:textId="77777777" w:rsidR="007E34FA" w:rsidRDefault="007E34FA">
            <w:pPr>
              <w:rPr>
                <w:sz w:val="18"/>
                <w:szCs w:val="18"/>
              </w:rPr>
            </w:pPr>
            <w:r>
              <w:rPr>
                <w:sz w:val="18"/>
                <w:szCs w:val="18"/>
              </w:rPr>
              <w:t>26.7%</w:t>
            </w:r>
          </w:p>
        </w:tc>
        <w:tc>
          <w:tcPr>
            <w:tcW w:w="335" w:type="pct"/>
            <w:tcBorders>
              <w:top w:val="single" w:sz="8" w:space="0" w:color="auto"/>
              <w:left w:val="nil"/>
              <w:bottom w:val="single" w:sz="8" w:space="0" w:color="auto"/>
              <w:right w:val="nil"/>
            </w:tcBorders>
            <w:noWrap/>
            <w:hideMark/>
          </w:tcPr>
          <w:p w14:paraId="34B426A9" w14:textId="77777777" w:rsidR="007E34FA" w:rsidRDefault="007E34FA">
            <w:pPr>
              <w:rPr>
                <w:sz w:val="18"/>
                <w:szCs w:val="18"/>
              </w:rPr>
            </w:pPr>
            <w:r>
              <w:rPr>
                <w:sz w:val="18"/>
                <w:szCs w:val="18"/>
              </w:rPr>
              <w:t>26.9%</w:t>
            </w:r>
          </w:p>
        </w:tc>
        <w:tc>
          <w:tcPr>
            <w:tcW w:w="335" w:type="pct"/>
            <w:tcBorders>
              <w:top w:val="single" w:sz="8" w:space="0" w:color="auto"/>
              <w:left w:val="nil"/>
              <w:bottom w:val="single" w:sz="8" w:space="0" w:color="auto"/>
              <w:right w:val="nil"/>
            </w:tcBorders>
            <w:noWrap/>
            <w:hideMark/>
          </w:tcPr>
          <w:p w14:paraId="7E3BEEB8" w14:textId="77777777" w:rsidR="007E34FA" w:rsidRDefault="007E34FA">
            <w:pPr>
              <w:rPr>
                <w:sz w:val="18"/>
                <w:szCs w:val="18"/>
              </w:rPr>
            </w:pPr>
            <w:r>
              <w:rPr>
                <w:sz w:val="18"/>
                <w:szCs w:val="18"/>
              </w:rPr>
              <w:t>27.7%</w:t>
            </w:r>
          </w:p>
        </w:tc>
        <w:tc>
          <w:tcPr>
            <w:tcW w:w="335" w:type="pct"/>
            <w:tcBorders>
              <w:top w:val="single" w:sz="8" w:space="0" w:color="auto"/>
              <w:left w:val="nil"/>
              <w:bottom w:val="single" w:sz="8" w:space="0" w:color="auto"/>
              <w:right w:val="nil"/>
            </w:tcBorders>
            <w:noWrap/>
            <w:hideMark/>
          </w:tcPr>
          <w:p w14:paraId="5C41F411" w14:textId="77777777" w:rsidR="007E34FA" w:rsidRDefault="007E34FA">
            <w:pPr>
              <w:rPr>
                <w:sz w:val="18"/>
                <w:szCs w:val="18"/>
              </w:rPr>
            </w:pPr>
            <w:r>
              <w:rPr>
                <w:sz w:val="18"/>
                <w:szCs w:val="18"/>
              </w:rPr>
              <w:t>28.8%</w:t>
            </w:r>
          </w:p>
        </w:tc>
        <w:tc>
          <w:tcPr>
            <w:tcW w:w="335" w:type="pct"/>
            <w:tcBorders>
              <w:top w:val="single" w:sz="8" w:space="0" w:color="auto"/>
              <w:left w:val="nil"/>
              <w:bottom w:val="single" w:sz="8" w:space="0" w:color="auto"/>
              <w:right w:val="nil"/>
            </w:tcBorders>
            <w:noWrap/>
            <w:hideMark/>
          </w:tcPr>
          <w:p w14:paraId="693D0751" w14:textId="77777777" w:rsidR="007E34FA" w:rsidRDefault="007E34FA">
            <w:pPr>
              <w:rPr>
                <w:sz w:val="18"/>
                <w:szCs w:val="18"/>
              </w:rPr>
            </w:pPr>
            <w:r>
              <w:rPr>
                <w:sz w:val="18"/>
                <w:szCs w:val="18"/>
              </w:rPr>
              <w:t>29.7%</w:t>
            </w:r>
          </w:p>
        </w:tc>
        <w:tc>
          <w:tcPr>
            <w:tcW w:w="335" w:type="pct"/>
            <w:tcBorders>
              <w:top w:val="single" w:sz="8" w:space="0" w:color="auto"/>
              <w:left w:val="nil"/>
              <w:bottom w:val="single" w:sz="8" w:space="0" w:color="auto"/>
              <w:right w:val="nil"/>
            </w:tcBorders>
            <w:noWrap/>
            <w:hideMark/>
          </w:tcPr>
          <w:p w14:paraId="654E91C7" w14:textId="77777777" w:rsidR="007E34FA" w:rsidRDefault="007E34FA">
            <w:pPr>
              <w:rPr>
                <w:sz w:val="18"/>
                <w:szCs w:val="18"/>
              </w:rPr>
            </w:pPr>
            <w:r>
              <w:rPr>
                <w:sz w:val="18"/>
                <w:szCs w:val="18"/>
              </w:rPr>
              <w:t>30.0%</w:t>
            </w:r>
          </w:p>
        </w:tc>
        <w:tc>
          <w:tcPr>
            <w:tcW w:w="335" w:type="pct"/>
            <w:tcBorders>
              <w:top w:val="single" w:sz="8" w:space="0" w:color="auto"/>
              <w:left w:val="nil"/>
              <w:bottom w:val="single" w:sz="8" w:space="0" w:color="auto"/>
              <w:right w:val="nil"/>
            </w:tcBorders>
            <w:noWrap/>
            <w:hideMark/>
          </w:tcPr>
          <w:p w14:paraId="123B79F4" w14:textId="77777777" w:rsidR="007E34FA" w:rsidRDefault="007E34FA">
            <w:pPr>
              <w:rPr>
                <w:sz w:val="18"/>
                <w:szCs w:val="18"/>
              </w:rPr>
            </w:pPr>
            <w:r>
              <w:rPr>
                <w:sz w:val="18"/>
                <w:szCs w:val="18"/>
              </w:rPr>
              <w:t>30.1%</w:t>
            </w:r>
          </w:p>
        </w:tc>
        <w:tc>
          <w:tcPr>
            <w:tcW w:w="335" w:type="pct"/>
            <w:tcBorders>
              <w:top w:val="single" w:sz="8" w:space="0" w:color="auto"/>
              <w:left w:val="nil"/>
              <w:bottom w:val="single" w:sz="8" w:space="0" w:color="auto"/>
              <w:right w:val="nil"/>
            </w:tcBorders>
            <w:noWrap/>
            <w:hideMark/>
          </w:tcPr>
          <w:p w14:paraId="0EC24662" w14:textId="77777777" w:rsidR="007E34FA" w:rsidRDefault="007E34FA">
            <w:pPr>
              <w:rPr>
                <w:sz w:val="18"/>
                <w:szCs w:val="18"/>
              </w:rPr>
            </w:pPr>
            <w:r>
              <w:rPr>
                <w:sz w:val="18"/>
                <w:szCs w:val="18"/>
              </w:rPr>
              <w:t>31.8%</w:t>
            </w:r>
          </w:p>
        </w:tc>
        <w:tc>
          <w:tcPr>
            <w:tcW w:w="335" w:type="pct"/>
            <w:tcBorders>
              <w:top w:val="single" w:sz="8" w:space="0" w:color="auto"/>
              <w:left w:val="nil"/>
              <w:bottom w:val="single" w:sz="8" w:space="0" w:color="auto"/>
              <w:right w:val="nil"/>
            </w:tcBorders>
            <w:noWrap/>
            <w:hideMark/>
          </w:tcPr>
          <w:p w14:paraId="4E12CEAE" w14:textId="77777777" w:rsidR="007E34FA" w:rsidRDefault="007E34FA">
            <w:pPr>
              <w:rPr>
                <w:sz w:val="18"/>
                <w:szCs w:val="18"/>
              </w:rPr>
            </w:pPr>
            <w:r>
              <w:rPr>
                <w:sz w:val="18"/>
                <w:szCs w:val="18"/>
              </w:rPr>
              <w:t>32.1%</w:t>
            </w:r>
          </w:p>
        </w:tc>
        <w:tc>
          <w:tcPr>
            <w:tcW w:w="335" w:type="pct"/>
            <w:tcBorders>
              <w:top w:val="single" w:sz="8" w:space="0" w:color="auto"/>
              <w:left w:val="nil"/>
              <w:bottom w:val="single" w:sz="8" w:space="0" w:color="auto"/>
              <w:right w:val="nil"/>
            </w:tcBorders>
            <w:noWrap/>
            <w:hideMark/>
          </w:tcPr>
          <w:p w14:paraId="428FC213" w14:textId="77777777" w:rsidR="007E34FA" w:rsidRDefault="007E34FA">
            <w:pPr>
              <w:rPr>
                <w:sz w:val="18"/>
                <w:szCs w:val="18"/>
              </w:rPr>
            </w:pPr>
            <w:r>
              <w:rPr>
                <w:sz w:val="18"/>
                <w:szCs w:val="18"/>
              </w:rPr>
              <w:t>32.3%</w:t>
            </w:r>
          </w:p>
        </w:tc>
        <w:tc>
          <w:tcPr>
            <w:tcW w:w="348" w:type="pct"/>
            <w:tcBorders>
              <w:top w:val="single" w:sz="8" w:space="0" w:color="auto"/>
              <w:left w:val="nil"/>
              <w:bottom w:val="single" w:sz="8" w:space="0" w:color="auto"/>
              <w:right w:val="nil"/>
            </w:tcBorders>
            <w:noWrap/>
            <w:hideMark/>
          </w:tcPr>
          <w:p w14:paraId="20153D14" w14:textId="77777777" w:rsidR="007E34FA" w:rsidRDefault="007E34FA">
            <w:pPr>
              <w:rPr>
                <w:sz w:val="18"/>
                <w:szCs w:val="18"/>
              </w:rPr>
            </w:pPr>
            <w:r>
              <w:rPr>
                <w:sz w:val="18"/>
                <w:szCs w:val="18"/>
              </w:rPr>
              <w:t>32.5%</w:t>
            </w:r>
          </w:p>
        </w:tc>
        <w:tc>
          <w:tcPr>
            <w:tcW w:w="493" w:type="pct"/>
            <w:tcBorders>
              <w:top w:val="single" w:sz="8" w:space="0" w:color="auto"/>
              <w:left w:val="nil"/>
              <w:bottom w:val="single" w:sz="8" w:space="0" w:color="auto"/>
              <w:right w:val="nil"/>
            </w:tcBorders>
            <w:hideMark/>
          </w:tcPr>
          <w:p w14:paraId="69D4EA80" w14:textId="77777777" w:rsidR="007E34FA" w:rsidRDefault="007E34FA">
            <w:pPr>
              <w:rPr>
                <w:rFonts w:ascii="Calibri" w:hAnsi="Calibri"/>
                <w:color w:val="000000"/>
                <w:sz w:val="18"/>
                <w:szCs w:val="18"/>
              </w:rPr>
            </w:pPr>
            <w:r>
              <w:rPr>
                <w:rFonts w:ascii="Calibri" w:hAnsi="Calibri"/>
                <w:color w:val="000000"/>
                <w:sz w:val="18"/>
                <w:szCs w:val="18"/>
              </w:rPr>
              <w:t>29.9%</w:t>
            </w:r>
          </w:p>
        </w:tc>
      </w:tr>
      <w:tr w:rsidR="007E34FA" w14:paraId="7B8AF569" w14:textId="77777777" w:rsidTr="007E34FA">
        <w:trPr>
          <w:trHeight w:val="300"/>
        </w:trPr>
        <w:tc>
          <w:tcPr>
            <w:tcW w:w="807" w:type="pct"/>
            <w:tcBorders>
              <w:top w:val="single" w:sz="8" w:space="0" w:color="auto"/>
              <w:left w:val="nil"/>
              <w:bottom w:val="single" w:sz="8" w:space="0" w:color="auto"/>
              <w:right w:val="nil"/>
            </w:tcBorders>
            <w:noWrap/>
            <w:hideMark/>
          </w:tcPr>
          <w:p w14:paraId="1921D784" w14:textId="77777777" w:rsidR="007E34FA" w:rsidRDefault="007E34FA">
            <w:pPr>
              <w:rPr>
                <w:sz w:val="18"/>
                <w:szCs w:val="18"/>
              </w:rPr>
            </w:pPr>
            <w:r>
              <w:rPr>
                <w:sz w:val="18"/>
                <w:szCs w:val="18"/>
              </w:rPr>
              <w:t>Diabetes - uncontrolled</w:t>
            </w:r>
          </w:p>
        </w:tc>
        <w:tc>
          <w:tcPr>
            <w:tcW w:w="335" w:type="pct"/>
            <w:tcBorders>
              <w:top w:val="single" w:sz="8" w:space="0" w:color="auto"/>
              <w:left w:val="nil"/>
              <w:bottom w:val="single" w:sz="8" w:space="0" w:color="auto"/>
              <w:right w:val="nil"/>
            </w:tcBorders>
            <w:noWrap/>
            <w:hideMark/>
          </w:tcPr>
          <w:p w14:paraId="4255AE42" w14:textId="77777777" w:rsidR="007E34FA" w:rsidRDefault="007E34FA">
            <w:pPr>
              <w:rPr>
                <w:sz w:val="18"/>
                <w:szCs w:val="18"/>
              </w:rPr>
            </w:pPr>
            <w:r>
              <w:rPr>
                <w:sz w:val="18"/>
                <w:szCs w:val="18"/>
              </w:rPr>
              <w:t>2.4%</w:t>
            </w:r>
          </w:p>
        </w:tc>
        <w:tc>
          <w:tcPr>
            <w:tcW w:w="335" w:type="pct"/>
            <w:tcBorders>
              <w:top w:val="single" w:sz="8" w:space="0" w:color="auto"/>
              <w:left w:val="nil"/>
              <w:bottom w:val="single" w:sz="8" w:space="0" w:color="auto"/>
              <w:right w:val="nil"/>
            </w:tcBorders>
            <w:noWrap/>
            <w:hideMark/>
          </w:tcPr>
          <w:p w14:paraId="6C0AE281" w14:textId="77777777" w:rsidR="007E34FA" w:rsidRDefault="007E34FA">
            <w:pPr>
              <w:rPr>
                <w:sz w:val="18"/>
                <w:szCs w:val="18"/>
              </w:rPr>
            </w:pPr>
            <w:r>
              <w:rPr>
                <w:sz w:val="18"/>
                <w:szCs w:val="18"/>
              </w:rPr>
              <w:t>2.5%</w:t>
            </w:r>
          </w:p>
        </w:tc>
        <w:tc>
          <w:tcPr>
            <w:tcW w:w="335" w:type="pct"/>
            <w:tcBorders>
              <w:top w:val="single" w:sz="8" w:space="0" w:color="auto"/>
              <w:left w:val="nil"/>
              <w:bottom w:val="single" w:sz="8" w:space="0" w:color="auto"/>
              <w:right w:val="nil"/>
            </w:tcBorders>
            <w:noWrap/>
            <w:hideMark/>
          </w:tcPr>
          <w:p w14:paraId="78A06878" w14:textId="77777777" w:rsidR="007E34FA" w:rsidRDefault="007E34FA">
            <w:pPr>
              <w:rPr>
                <w:sz w:val="18"/>
                <w:szCs w:val="18"/>
              </w:rPr>
            </w:pPr>
            <w:r>
              <w:rPr>
                <w:sz w:val="18"/>
                <w:szCs w:val="18"/>
              </w:rPr>
              <w:t>2.4%</w:t>
            </w:r>
          </w:p>
        </w:tc>
        <w:tc>
          <w:tcPr>
            <w:tcW w:w="335" w:type="pct"/>
            <w:tcBorders>
              <w:top w:val="single" w:sz="8" w:space="0" w:color="auto"/>
              <w:left w:val="nil"/>
              <w:bottom w:val="single" w:sz="8" w:space="0" w:color="auto"/>
              <w:right w:val="nil"/>
            </w:tcBorders>
            <w:noWrap/>
            <w:hideMark/>
          </w:tcPr>
          <w:p w14:paraId="3CD4BC4E" w14:textId="77777777" w:rsidR="007E34FA" w:rsidRDefault="007E34FA">
            <w:pPr>
              <w:rPr>
                <w:sz w:val="18"/>
                <w:szCs w:val="18"/>
              </w:rPr>
            </w:pPr>
            <w:r>
              <w:rPr>
                <w:sz w:val="18"/>
                <w:szCs w:val="18"/>
              </w:rPr>
              <w:t>2.8%</w:t>
            </w:r>
          </w:p>
        </w:tc>
        <w:tc>
          <w:tcPr>
            <w:tcW w:w="335" w:type="pct"/>
            <w:tcBorders>
              <w:top w:val="single" w:sz="8" w:space="0" w:color="auto"/>
              <w:left w:val="nil"/>
              <w:bottom w:val="single" w:sz="8" w:space="0" w:color="auto"/>
              <w:right w:val="nil"/>
            </w:tcBorders>
            <w:noWrap/>
            <w:hideMark/>
          </w:tcPr>
          <w:p w14:paraId="4848C7CA" w14:textId="77777777" w:rsidR="007E34FA" w:rsidRDefault="007E34FA">
            <w:pPr>
              <w:rPr>
                <w:sz w:val="18"/>
                <w:szCs w:val="18"/>
              </w:rPr>
            </w:pPr>
            <w:r>
              <w:rPr>
                <w:sz w:val="18"/>
                <w:szCs w:val="18"/>
              </w:rPr>
              <w:t>2.8%</w:t>
            </w:r>
          </w:p>
        </w:tc>
        <w:tc>
          <w:tcPr>
            <w:tcW w:w="335" w:type="pct"/>
            <w:tcBorders>
              <w:top w:val="single" w:sz="8" w:space="0" w:color="auto"/>
              <w:left w:val="nil"/>
              <w:bottom w:val="single" w:sz="8" w:space="0" w:color="auto"/>
              <w:right w:val="nil"/>
            </w:tcBorders>
            <w:noWrap/>
            <w:hideMark/>
          </w:tcPr>
          <w:p w14:paraId="2B2566DA" w14:textId="77777777" w:rsidR="007E34FA" w:rsidRDefault="007E34FA">
            <w:pPr>
              <w:rPr>
                <w:sz w:val="18"/>
                <w:szCs w:val="18"/>
              </w:rPr>
            </w:pPr>
            <w:r>
              <w:rPr>
                <w:sz w:val="18"/>
                <w:szCs w:val="18"/>
              </w:rPr>
              <w:t>3.3%</w:t>
            </w:r>
          </w:p>
        </w:tc>
        <w:tc>
          <w:tcPr>
            <w:tcW w:w="335" w:type="pct"/>
            <w:tcBorders>
              <w:top w:val="single" w:sz="8" w:space="0" w:color="auto"/>
              <w:left w:val="nil"/>
              <w:bottom w:val="single" w:sz="8" w:space="0" w:color="auto"/>
              <w:right w:val="nil"/>
            </w:tcBorders>
            <w:noWrap/>
            <w:hideMark/>
          </w:tcPr>
          <w:p w14:paraId="54E78433" w14:textId="77777777" w:rsidR="007E34FA" w:rsidRDefault="007E34FA">
            <w:pPr>
              <w:rPr>
                <w:sz w:val="18"/>
                <w:szCs w:val="18"/>
              </w:rPr>
            </w:pPr>
            <w:r>
              <w:rPr>
                <w:sz w:val="18"/>
                <w:szCs w:val="18"/>
              </w:rPr>
              <w:t>3.7%</w:t>
            </w:r>
          </w:p>
        </w:tc>
        <w:tc>
          <w:tcPr>
            <w:tcW w:w="335" w:type="pct"/>
            <w:tcBorders>
              <w:top w:val="single" w:sz="8" w:space="0" w:color="auto"/>
              <w:left w:val="nil"/>
              <w:bottom w:val="single" w:sz="8" w:space="0" w:color="auto"/>
              <w:right w:val="nil"/>
            </w:tcBorders>
            <w:noWrap/>
            <w:hideMark/>
          </w:tcPr>
          <w:p w14:paraId="50C76B8C" w14:textId="77777777" w:rsidR="007E34FA" w:rsidRDefault="007E34FA">
            <w:pPr>
              <w:rPr>
                <w:sz w:val="18"/>
                <w:szCs w:val="18"/>
              </w:rPr>
            </w:pPr>
            <w:r>
              <w:rPr>
                <w:sz w:val="18"/>
                <w:szCs w:val="18"/>
              </w:rPr>
              <w:t>4.3%</w:t>
            </w:r>
          </w:p>
        </w:tc>
        <w:tc>
          <w:tcPr>
            <w:tcW w:w="335" w:type="pct"/>
            <w:tcBorders>
              <w:top w:val="single" w:sz="8" w:space="0" w:color="auto"/>
              <w:left w:val="nil"/>
              <w:bottom w:val="single" w:sz="8" w:space="0" w:color="auto"/>
              <w:right w:val="nil"/>
            </w:tcBorders>
            <w:noWrap/>
            <w:hideMark/>
          </w:tcPr>
          <w:p w14:paraId="0D75BD98" w14:textId="77777777" w:rsidR="007E34FA" w:rsidRDefault="007E34FA">
            <w:pPr>
              <w:rPr>
                <w:sz w:val="18"/>
                <w:szCs w:val="18"/>
              </w:rPr>
            </w:pPr>
            <w:r>
              <w:rPr>
                <w:sz w:val="18"/>
                <w:szCs w:val="18"/>
              </w:rPr>
              <w:t>4.4%</w:t>
            </w:r>
          </w:p>
        </w:tc>
        <w:tc>
          <w:tcPr>
            <w:tcW w:w="335" w:type="pct"/>
            <w:tcBorders>
              <w:top w:val="single" w:sz="8" w:space="0" w:color="auto"/>
              <w:left w:val="nil"/>
              <w:bottom w:val="single" w:sz="8" w:space="0" w:color="auto"/>
              <w:right w:val="nil"/>
            </w:tcBorders>
            <w:noWrap/>
            <w:hideMark/>
          </w:tcPr>
          <w:p w14:paraId="78F71AA0" w14:textId="77777777" w:rsidR="007E34FA" w:rsidRDefault="007E34FA">
            <w:pPr>
              <w:rPr>
                <w:sz w:val="18"/>
                <w:szCs w:val="18"/>
              </w:rPr>
            </w:pPr>
            <w:r>
              <w:rPr>
                <w:sz w:val="18"/>
                <w:szCs w:val="18"/>
              </w:rPr>
              <w:t>4.6%</w:t>
            </w:r>
          </w:p>
        </w:tc>
        <w:tc>
          <w:tcPr>
            <w:tcW w:w="348" w:type="pct"/>
            <w:tcBorders>
              <w:top w:val="single" w:sz="8" w:space="0" w:color="auto"/>
              <w:left w:val="nil"/>
              <w:bottom w:val="single" w:sz="8" w:space="0" w:color="auto"/>
              <w:right w:val="nil"/>
            </w:tcBorders>
            <w:noWrap/>
            <w:hideMark/>
          </w:tcPr>
          <w:p w14:paraId="3AC564FC" w14:textId="77777777" w:rsidR="007E34FA" w:rsidRDefault="007E34FA">
            <w:pPr>
              <w:rPr>
                <w:sz w:val="18"/>
                <w:szCs w:val="18"/>
              </w:rPr>
            </w:pPr>
            <w:r>
              <w:rPr>
                <w:sz w:val="18"/>
                <w:szCs w:val="18"/>
              </w:rPr>
              <w:t>5.2%</w:t>
            </w:r>
          </w:p>
        </w:tc>
        <w:tc>
          <w:tcPr>
            <w:tcW w:w="493" w:type="pct"/>
            <w:tcBorders>
              <w:top w:val="single" w:sz="8" w:space="0" w:color="auto"/>
              <w:left w:val="nil"/>
              <w:bottom w:val="single" w:sz="8" w:space="0" w:color="auto"/>
              <w:right w:val="nil"/>
            </w:tcBorders>
            <w:hideMark/>
          </w:tcPr>
          <w:p w14:paraId="41BFF0F0" w14:textId="77777777" w:rsidR="007E34FA" w:rsidRDefault="007E34FA">
            <w:pPr>
              <w:rPr>
                <w:rFonts w:ascii="Calibri" w:hAnsi="Calibri"/>
                <w:color w:val="000000"/>
                <w:sz w:val="18"/>
                <w:szCs w:val="18"/>
              </w:rPr>
            </w:pPr>
            <w:r>
              <w:rPr>
                <w:rFonts w:ascii="Calibri" w:hAnsi="Calibri"/>
                <w:color w:val="000000"/>
                <w:sz w:val="18"/>
                <w:szCs w:val="18"/>
              </w:rPr>
              <w:t>3.5%</w:t>
            </w:r>
          </w:p>
        </w:tc>
      </w:tr>
      <w:tr w:rsidR="007E34FA" w14:paraId="0B7CBEA8" w14:textId="77777777" w:rsidTr="007E34FA">
        <w:trPr>
          <w:trHeight w:val="300"/>
        </w:trPr>
        <w:tc>
          <w:tcPr>
            <w:tcW w:w="807" w:type="pct"/>
            <w:tcBorders>
              <w:top w:val="single" w:sz="8" w:space="0" w:color="auto"/>
              <w:left w:val="nil"/>
              <w:bottom w:val="single" w:sz="8" w:space="0" w:color="auto"/>
              <w:right w:val="nil"/>
            </w:tcBorders>
            <w:noWrap/>
            <w:hideMark/>
          </w:tcPr>
          <w:p w14:paraId="1CF5AF43" w14:textId="77777777" w:rsidR="007E34FA" w:rsidRDefault="007E34FA">
            <w:pPr>
              <w:rPr>
                <w:sz w:val="18"/>
                <w:szCs w:val="18"/>
              </w:rPr>
            </w:pPr>
            <w:r>
              <w:rPr>
                <w:sz w:val="18"/>
                <w:szCs w:val="18"/>
              </w:rPr>
              <w:lastRenderedPageBreak/>
              <w:t>Leukaemia &amp; lymphoma</w:t>
            </w:r>
          </w:p>
        </w:tc>
        <w:tc>
          <w:tcPr>
            <w:tcW w:w="335" w:type="pct"/>
            <w:tcBorders>
              <w:top w:val="single" w:sz="8" w:space="0" w:color="auto"/>
              <w:left w:val="nil"/>
              <w:bottom w:val="single" w:sz="8" w:space="0" w:color="auto"/>
              <w:right w:val="nil"/>
            </w:tcBorders>
            <w:noWrap/>
            <w:hideMark/>
          </w:tcPr>
          <w:p w14:paraId="18516965" w14:textId="77777777" w:rsidR="007E34FA" w:rsidRDefault="007E34FA">
            <w:pPr>
              <w:rPr>
                <w:sz w:val="18"/>
                <w:szCs w:val="18"/>
              </w:rPr>
            </w:pPr>
            <w:r>
              <w:rPr>
                <w:sz w:val="18"/>
                <w:szCs w:val="18"/>
              </w:rPr>
              <w:t>1.5%</w:t>
            </w:r>
          </w:p>
        </w:tc>
        <w:tc>
          <w:tcPr>
            <w:tcW w:w="335" w:type="pct"/>
            <w:tcBorders>
              <w:top w:val="single" w:sz="8" w:space="0" w:color="auto"/>
              <w:left w:val="nil"/>
              <w:bottom w:val="single" w:sz="8" w:space="0" w:color="auto"/>
              <w:right w:val="nil"/>
            </w:tcBorders>
            <w:noWrap/>
            <w:hideMark/>
          </w:tcPr>
          <w:p w14:paraId="0645092F" w14:textId="77777777" w:rsidR="007E34FA" w:rsidRDefault="007E34FA">
            <w:pPr>
              <w:rPr>
                <w:sz w:val="18"/>
                <w:szCs w:val="18"/>
              </w:rPr>
            </w:pPr>
            <w:r>
              <w:rPr>
                <w:sz w:val="18"/>
                <w:szCs w:val="18"/>
              </w:rPr>
              <w:t>1.6%</w:t>
            </w:r>
          </w:p>
        </w:tc>
        <w:tc>
          <w:tcPr>
            <w:tcW w:w="335" w:type="pct"/>
            <w:tcBorders>
              <w:top w:val="single" w:sz="8" w:space="0" w:color="auto"/>
              <w:left w:val="nil"/>
              <w:bottom w:val="single" w:sz="8" w:space="0" w:color="auto"/>
              <w:right w:val="nil"/>
            </w:tcBorders>
            <w:noWrap/>
            <w:hideMark/>
          </w:tcPr>
          <w:p w14:paraId="217DFA1C" w14:textId="77777777" w:rsidR="007E34FA" w:rsidRDefault="007E34FA">
            <w:pPr>
              <w:rPr>
                <w:sz w:val="18"/>
                <w:szCs w:val="18"/>
              </w:rPr>
            </w:pPr>
            <w:r>
              <w:rPr>
                <w:sz w:val="18"/>
                <w:szCs w:val="18"/>
              </w:rPr>
              <w:t>1.5%</w:t>
            </w:r>
          </w:p>
        </w:tc>
        <w:tc>
          <w:tcPr>
            <w:tcW w:w="335" w:type="pct"/>
            <w:tcBorders>
              <w:top w:val="single" w:sz="8" w:space="0" w:color="auto"/>
              <w:left w:val="nil"/>
              <w:bottom w:val="single" w:sz="8" w:space="0" w:color="auto"/>
              <w:right w:val="nil"/>
            </w:tcBorders>
            <w:noWrap/>
            <w:hideMark/>
          </w:tcPr>
          <w:p w14:paraId="78F0DA30" w14:textId="77777777" w:rsidR="007E34FA" w:rsidRDefault="007E34FA">
            <w:pPr>
              <w:rPr>
                <w:sz w:val="18"/>
                <w:szCs w:val="18"/>
              </w:rPr>
            </w:pPr>
            <w:r>
              <w:rPr>
                <w:sz w:val="18"/>
                <w:szCs w:val="18"/>
              </w:rPr>
              <w:t>1.7%</w:t>
            </w:r>
          </w:p>
        </w:tc>
        <w:tc>
          <w:tcPr>
            <w:tcW w:w="335" w:type="pct"/>
            <w:tcBorders>
              <w:top w:val="single" w:sz="8" w:space="0" w:color="auto"/>
              <w:left w:val="nil"/>
              <w:bottom w:val="single" w:sz="8" w:space="0" w:color="auto"/>
              <w:right w:val="nil"/>
            </w:tcBorders>
            <w:noWrap/>
            <w:hideMark/>
          </w:tcPr>
          <w:p w14:paraId="4AEF515B" w14:textId="77777777" w:rsidR="007E34FA" w:rsidRDefault="007E34FA">
            <w:pPr>
              <w:rPr>
                <w:sz w:val="18"/>
                <w:szCs w:val="18"/>
              </w:rPr>
            </w:pPr>
            <w:r>
              <w:rPr>
                <w:sz w:val="18"/>
                <w:szCs w:val="18"/>
              </w:rPr>
              <w:t>1.8%</w:t>
            </w:r>
          </w:p>
        </w:tc>
        <w:tc>
          <w:tcPr>
            <w:tcW w:w="335" w:type="pct"/>
            <w:tcBorders>
              <w:top w:val="single" w:sz="8" w:space="0" w:color="auto"/>
              <w:left w:val="nil"/>
              <w:bottom w:val="single" w:sz="8" w:space="0" w:color="auto"/>
              <w:right w:val="nil"/>
            </w:tcBorders>
            <w:noWrap/>
            <w:hideMark/>
          </w:tcPr>
          <w:p w14:paraId="5A10FBE1" w14:textId="77777777" w:rsidR="007E34FA" w:rsidRDefault="007E34FA">
            <w:pPr>
              <w:rPr>
                <w:sz w:val="18"/>
                <w:szCs w:val="18"/>
              </w:rPr>
            </w:pPr>
            <w:r>
              <w:rPr>
                <w:sz w:val="18"/>
                <w:szCs w:val="18"/>
              </w:rPr>
              <w:t>1.9%</w:t>
            </w:r>
          </w:p>
        </w:tc>
        <w:tc>
          <w:tcPr>
            <w:tcW w:w="335" w:type="pct"/>
            <w:tcBorders>
              <w:top w:val="single" w:sz="8" w:space="0" w:color="auto"/>
              <w:left w:val="nil"/>
              <w:bottom w:val="single" w:sz="8" w:space="0" w:color="auto"/>
              <w:right w:val="nil"/>
            </w:tcBorders>
            <w:noWrap/>
            <w:hideMark/>
          </w:tcPr>
          <w:p w14:paraId="589BCF30" w14:textId="77777777" w:rsidR="007E34FA" w:rsidRDefault="007E34FA">
            <w:pPr>
              <w:rPr>
                <w:sz w:val="18"/>
                <w:szCs w:val="18"/>
              </w:rPr>
            </w:pPr>
            <w:r>
              <w:rPr>
                <w:sz w:val="18"/>
                <w:szCs w:val="18"/>
              </w:rPr>
              <w:t>2.0%</w:t>
            </w:r>
          </w:p>
        </w:tc>
        <w:tc>
          <w:tcPr>
            <w:tcW w:w="335" w:type="pct"/>
            <w:tcBorders>
              <w:top w:val="single" w:sz="8" w:space="0" w:color="auto"/>
              <w:left w:val="nil"/>
              <w:bottom w:val="single" w:sz="8" w:space="0" w:color="auto"/>
              <w:right w:val="nil"/>
            </w:tcBorders>
            <w:noWrap/>
            <w:hideMark/>
          </w:tcPr>
          <w:p w14:paraId="6C684637" w14:textId="77777777" w:rsidR="007E34FA" w:rsidRDefault="007E34FA">
            <w:pPr>
              <w:rPr>
                <w:sz w:val="18"/>
                <w:szCs w:val="18"/>
              </w:rPr>
            </w:pPr>
            <w:r>
              <w:rPr>
                <w:sz w:val="18"/>
                <w:szCs w:val="18"/>
              </w:rPr>
              <w:t>2.2%</w:t>
            </w:r>
          </w:p>
        </w:tc>
        <w:tc>
          <w:tcPr>
            <w:tcW w:w="335" w:type="pct"/>
            <w:tcBorders>
              <w:top w:val="single" w:sz="8" w:space="0" w:color="auto"/>
              <w:left w:val="nil"/>
              <w:bottom w:val="single" w:sz="8" w:space="0" w:color="auto"/>
              <w:right w:val="nil"/>
            </w:tcBorders>
            <w:noWrap/>
            <w:hideMark/>
          </w:tcPr>
          <w:p w14:paraId="775AADC1" w14:textId="77777777" w:rsidR="007E34FA" w:rsidRDefault="007E34FA">
            <w:pPr>
              <w:rPr>
                <w:sz w:val="18"/>
                <w:szCs w:val="18"/>
              </w:rPr>
            </w:pPr>
            <w:r>
              <w:rPr>
                <w:sz w:val="18"/>
                <w:szCs w:val="18"/>
              </w:rPr>
              <w:t>2.1%</w:t>
            </w:r>
          </w:p>
        </w:tc>
        <w:tc>
          <w:tcPr>
            <w:tcW w:w="335" w:type="pct"/>
            <w:tcBorders>
              <w:top w:val="single" w:sz="8" w:space="0" w:color="auto"/>
              <w:left w:val="nil"/>
              <w:bottom w:val="single" w:sz="8" w:space="0" w:color="auto"/>
              <w:right w:val="nil"/>
            </w:tcBorders>
            <w:noWrap/>
            <w:hideMark/>
          </w:tcPr>
          <w:p w14:paraId="6CC8B607" w14:textId="77777777" w:rsidR="007E34FA" w:rsidRDefault="007E34FA">
            <w:pPr>
              <w:rPr>
                <w:sz w:val="18"/>
                <w:szCs w:val="18"/>
              </w:rPr>
            </w:pPr>
            <w:r>
              <w:rPr>
                <w:sz w:val="18"/>
                <w:szCs w:val="18"/>
              </w:rPr>
              <w:t>2.3%</w:t>
            </w:r>
          </w:p>
        </w:tc>
        <w:tc>
          <w:tcPr>
            <w:tcW w:w="348" w:type="pct"/>
            <w:tcBorders>
              <w:top w:val="single" w:sz="8" w:space="0" w:color="auto"/>
              <w:left w:val="nil"/>
              <w:bottom w:val="single" w:sz="8" w:space="0" w:color="auto"/>
              <w:right w:val="nil"/>
            </w:tcBorders>
            <w:noWrap/>
            <w:hideMark/>
          </w:tcPr>
          <w:p w14:paraId="6AFC208E" w14:textId="77777777" w:rsidR="007E34FA" w:rsidRDefault="007E34FA">
            <w:pPr>
              <w:rPr>
                <w:sz w:val="18"/>
                <w:szCs w:val="18"/>
              </w:rPr>
            </w:pPr>
            <w:r>
              <w:rPr>
                <w:sz w:val="18"/>
                <w:szCs w:val="18"/>
              </w:rPr>
              <w:t>2.4%</w:t>
            </w:r>
          </w:p>
        </w:tc>
        <w:tc>
          <w:tcPr>
            <w:tcW w:w="493" w:type="pct"/>
            <w:tcBorders>
              <w:top w:val="single" w:sz="8" w:space="0" w:color="auto"/>
              <w:left w:val="nil"/>
              <w:bottom w:val="single" w:sz="8" w:space="0" w:color="auto"/>
              <w:right w:val="nil"/>
            </w:tcBorders>
            <w:hideMark/>
          </w:tcPr>
          <w:p w14:paraId="6579C4B8" w14:textId="77777777" w:rsidR="007E34FA" w:rsidRDefault="007E34FA">
            <w:pPr>
              <w:rPr>
                <w:rFonts w:ascii="Calibri" w:hAnsi="Calibri"/>
                <w:color w:val="000000"/>
                <w:sz w:val="18"/>
                <w:szCs w:val="18"/>
              </w:rPr>
            </w:pPr>
            <w:r>
              <w:rPr>
                <w:rFonts w:ascii="Calibri" w:hAnsi="Calibri"/>
                <w:color w:val="000000"/>
                <w:sz w:val="18"/>
                <w:szCs w:val="18"/>
              </w:rPr>
              <w:t>1.9%</w:t>
            </w:r>
          </w:p>
        </w:tc>
      </w:tr>
      <w:tr w:rsidR="007E34FA" w14:paraId="3448881D" w14:textId="77777777" w:rsidTr="007E34FA">
        <w:trPr>
          <w:trHeight w:val="300"/>
        </w:trPr>
        <w:tc>
          <w:tcPr>
            <w:tcW w:w="807" w:type="pct"/>
            <w:tcBorders>
              <w:top w:val="single" w:sz="8" w:space="0" w:color="auto"/>
              <w:left w:val="nil"/>
              <w:bottom w:val="single" w:sz="8" w:space="0" w:color="auto"/>
              <w:right w:val="nil"/>
            </w:tcBorders>
            <w:noWrap/>
            <w:hideMark/>
          </w:tcPr>
          <w:p w14:paraId="4BAAF784" w14:textId="77777777" w:rsidR="007E34FA" w:rsidRDefault="007E34FA">
            <w:pPr>
              <w:rPr>
                <w:sz w:val="18"/>
                <w:szCs w:val="18"/>
              </w:rPr>
            </w:pPr>
            <w:r>
              <w:rPr>
                <w:sz w:val="18"/>
                <w:szCs w:val="18"/>
              </w:rPr>
              <w:t>Solid  tumour + metastasis</w:t>
            </w:r>
          </w:p>
        </w:tc>
        <w:tc>
          <w:tcPr>
            <w:tcW w:w="335" w:type="pct"/>
            <w:tcBorders>
              <w:top w:val="single" w:sz="8" w:space="0" w:color="auto"/>
              <w:left w:val="nil"/>
              <w:bottom w:val="single" w:sz="8" w:space="0" w:color="auto"/>
              <w:right w:val="nil"/>
            </w:tcBorders>
            <w:noWrap/>
            <w:hideMark/>
          </w:tcPr>
          <w:p w14:paraId="78E65D8A" w14:textId="77777777" w:rsidR="007E34FA" w:rsidRDefault="007E34FA">
            <w:pPr>
              <w:rPr>
                <w:sz w:val="18"/>
                <w:szCs w:val="18"/>
              </w:rPr>
            </w:pPr>
            <w:r>
              <w:rPr>
                <w:sz w:val="18"/>
                <w:szCs w:val="18"/>
              </w:rPr>
              <w:t>0.2%</w:t>
            </w:r>
          </w:p>
        </w:tc>
        <w:tc>
          <w:tcPr>
            <w:tcW w:w="335" w:type="pct"/>
            <w:tcBorders>
              <w:top w:val="single" w:sz="8" w:space="0" w:color="auto"/>
              <w:left w:val="nil"/>
              <w:bottom w:val="single" w:sz="8" w:space="0" w:color="auto"/>
              <w:right w:val="nil"/>
            </w:tcBorders>
            <w:noWrap/>
            <w:hideMark/>
          </w:tcPr>
          <w:p w14:paraId="389F6820" w14:textId="77777777" w:rsidR="007E34FA" w:rsidRDefault="007E34FA">
            <w:pPr>
              <w:rPr>
                <w:sz w:val="18"/>
                <w:szCs w:val="18"/>
              </w:rPr>
            </w:pPr>
            <w:r>
              <w:rPr>
                <w:sz w:val="18"/>
                <w:szCs w:val="18"/>
              </w:rPr>
              <w:t>0.3%</w:t>
            </w:r>
          </w:p>
        </w:tc>
        <w:tc>
          <w:tcPr>
            <w:tcW w:w="335" w:type="pct"/>
            <w:tcBorders>
              <w:top w:val="single" w:sz="8" w:space="0" w:color="auto"/>
              <w:left w:val="nil"/>
              <w:bottom w:val="single" w:sz="8" w:space="0" w:color="auto"/>
              <w:right w:val="nil"/>
            </w:tcBorders>
            <w:noWrap/>
            <w:hideMark/>
          </w:tcPr>
          <w:p w14:paraId="566A6A2B" w14:textId="77777777" w:rsidR="007E34FA" w:rsidRDefault="007E34FA">
            <w:pPr>
              <w:rPr>
                <w:sz w:val="18"/>
                <w:szCs w:val="18"/>
              </w:rPr>
            </w:pPr>
            <w:r>
              <w:rPr>
                <w:sz w:val="18"/>
                <w:szCs w:val="18"/>
              </w:rPr>
              <w:t>0.3%</w:t>
            </w:r>
          </w:p>
        </w:tc>
        <w:tc>
          <w:tcPr>
            <w:tcW w:w="335" w:type="pct"/>
            <w:tcBorders>
              <w:top w:val="single" w:sz="8" w:space="0" w:color="auto"/>
              <w:left w:val="nil"/>
              <w:bottom w:val="single" w:sz="8" w:space="0" w:color="auto"/>
              <w:right w:val="nil"/>
            </w:tcBorders>
            <w:noWrap/>
            <w:hideMark/>
          </w:tcPr>
          <w:p w14:paraId="4B77C598" w14:textId="77777777" w:rsidR="007E34FA" w:rsidRDefault="007E34FA">
            <w:pPr>
              <w:rPr>
                <w:sz w:val="18"/>
                <w:szCs w:val="18"/>
              </w:rPr>
            </w:pPr>
            <w:r>
              <w:rPr>
                <w:sz w:val="18"/>
                <w:szCs w:val="18"/>
              </w:rPr>
              <w:t>0.3%</w:t>
            </w:r>
          </w:p>
        </w:tc>
        <w:tc>
          <w:tcPr>
            <w:tcW w:w="335" w:type="pct"/>
            <w:tcBorders>
              <w:top w:val="single" w:sz="8" w:space="0" w:color="auto"/>
              <w:left w:val="nil"/>
              <w:bottom w:val="single" w:sz="8" w:space="0" w:color="auto"/>
              <w:right w:val="nil"/>
            </w:tcBorders>
            <w:noWrap/>
            <w:hideMark/>
          </w:tcPr>
          <w:p w14:paraId="4CE4271E" w14:textId="77777777" w:rsidR="007E34FA" w:rsidRDefault="007E34FA">
            <w:pPr>
              <w:rPr>
                <w:sz w:val="18"/>
                <w:szCs w:val="18"/>
              </w:rPr>
            </w:pPr>
            <w:r>
              <w:rPr>
                <w:sz w:val="18"/>
                <w:szCs w:val="18"/>
              </w:rPr>
              <w:t>0.3%</w:t>
            </w:r>
          </w:p>
        </w:tc>
        <w:tc>
          <w:tcPr>
            <w:tcW w:w="335" w:type="pct"/>
            <w:tcBorders>
              <w:top w:val="single" w:sz="8" w:space="0" w:color="auto"/>
              <w:left w:val="nil"/>
              <w:bottom w:val="single" w:sz="8" w:space="0" w:color="auto"/>
              <w:right w:val="nil"/>
            </w:tcBorders>
            <w:noWrap/>
            <w:hideMark/>
          </w:tcPr>
          <w:p w14:paraId="67BD8E00" w14:textId="77777777" w:rsidR="007E34FA" w:rsidRDefault="007E34FA">
            <w:pPr>
              <w:rPr>
                <w:sz w:val="18"/>
                <w:szCs w:val="18"/>
              </w:rPr>
            </w:pPr>
            <w:r>
              <w:rPr>
                <w:sz w:val="18"/>
                <w:szCs w:val="18"/>
              </w:rPr>
              <w:t>0.3%</w:t>
            </w:r>
          </w:p>
        </w:tc>
        <w:tc>
          <w:tcPr>
            <w:tcW w:w="335" w:type="pct"/>
            <w:tcBorders>
              <w:top w:val="single" w:sz="8" w:space="0" w:color="auto"/>
              <w:left w:val="nil"/>
              <w:bottom w:val="single" w:sz="8" w:space="0" w:color="auto"/>
              <w:right w:val="nil"/>
            </w:tcBorders>
            <w:noWrap/>
            <w:hideMark/>
          </w:tcPr>
          <w:p w14:paraId="6DFD899D" w14:textId="77777777" w:rsidR="007E34FA" w:rsidRDefault="007E34FA">
            <w:pPr>
              <w:rPr>
                <w:sz w:val="18"/>
                <w:szCs w:val="18"/>
              </w:rPr>
            </w:pPr>
            <w:r>
              <w:rPr>
                <w:sz w:val="18"/>
                <w:szCs w:val="18"/>
              </w:rPr>
              <w:t>0.4%</w:t>
            </w:r>
          </w:p>
        </w:tc>
        <w:tc>
          <w:tcPr>
            <w:tcW w:w="335" w:type="pct"/>
            <w:tcBorders>
              <w:top w:val="single" w:sz="8" w:space="0" w:color="auto"/>
              <w:left w:val="nil"/>
              <w:bottom w:val="single" w:sz="8" w:space="0" w:color="auto"/>
              <w:right w:val="nil"/>
            </w:tcBorders>
            <w:noWrap/>
            <w:hideMark/>
          </w:tcPr>
          <w:p w14:paraId="3295304A" w14:textId="77777777" w:rsidR="007E34FA" w:rsidRDefault="007E34FA">
            <w:pPr>
              <w:rPr>
                <w:sz w:val="18"/>
                <w:szCs w:val="18"/>
              </w:rPr>
            </w:pPr>
            <w:r>
              <w:rPr>
                <w:sz w:val="18"/>
                <w:szCs w:val="18"/>
              </w:rPr>
              <w:t>0.4%</w:t>
            </w:r>
          </w:p>
        </w:tc>
        <w:tc>
          <w:tcPr>
            <w:tcW w:w="335" w:type="pct"/>
            <w:tcBorders>
              <w:top w:val="single" w:sz="8" w:space="0" w:color="auto"/>
              <w:left w:val="nil"/>
              <w:bottom w:val="single" w:sz="8" w:space="0" w:color="auto"/>
              <w:right w:val="nil"/>
            </w:tcBorders>
            <w:noWrap/>
            <w:hideMark/>
          </w:tcPr>
          <w:p w14:paraId="206A6239" w14:textId="77777777" w:rsidR="007E34FA" w:rsidRDefault="007E34FA">
            <w:pPr>
              <w:rPr>
                <w:sz w:val="18"/>
                <w:szCs w:val="18"/>
              </w:rPr>
            </w:pPr>
            <w:r>
              <w:rPr>
                <w:sz w:val="18"/>
                <w:szCs w:val="18"/>
              </w:rPr>
              <w:t>0.4%</w:t>
            </w:r>
          </w:p>
        </w:tc>
        <w:tc>
          <w:tcPr>
            <w:tcW w:w="335" w:type="pct"/>
            <w:tcBorders>
              <w:top w:val="single" w:sz="8" w:space="0" w:color="auto"/>
              <w:left w:val="nil"/>
              <w:bottom w:val="single" w:sz="8" w:space="0" w:color="auto"/>
              <w:right w:val="nil"/>
            </w:tcBorders>
            <w:noWrap/>
            <w:hideMark/>
          </w:tcPr>
          <w:p w14:paraId="2C46E84B" w14:textId="77777777" w:rsidR="007E34FA" w:rsidRDefault="007E34FA">
            <w:pPr>
              <w:rPr>
                <w:sz w:val="18"/>
                <w:szCs w:val="18"/>
              </w:rPr>
            </w:pPr>
            <w:r>
              <w:rPr>
                <w:sz w:val="18"/>
                <w:szCs w:val="18"/>
              </w:rPr>
              <w:t>0.4%</w:t>
            </w:r>
          </w:p>
        </w:tc>
        <w:tc>
          <w:tcPr>
            <w:tcW w:w="348" w:type="pct"/>
            <w:tcBorders>
              <w:top w:val="single" w:sz="8" w:space="0" w:color="auto"/>
              <w:left w:val="nil"/>
              <w:bottom w:val="single" w:sz="8" w:space="0" w:color="auto"/>
              <w:right w:val="nil"/>
            </w:tcBorders>
            <w:noWrap/>
            <w:hideMark/>
          </w:tcPr>
          <w:p w14:paraId="374A58F1" w14:textId="77777777" w:rsidR="007E34FA" w:rsidRDefault="007E34FA">
            <w:pPr>
              <w:rPr>
                <w:sz w:val="18"/>
                <w:szCs w:val="18"/>
              </w:rPr>
            </w:pPr>
            <w:r>
              <w:rPr>
                <w:sz w:val="18"/>
                <w:szCs w:val="18"/>
              </w:rPr>
              <w:t>0.4%</w:t>
            </w:r>
          </w:p>
        </w:tc>
        <w:tc>
          <w:tcPr>
            <w:tcW w:w="493" w:type="pct"/>
            <w:tcBorders>
              <w:top w:val="single" w:sz="8" w:space="0" w:color="auto"/>
              <w:left w:val="nil"/>
              <w:bottom w:val="single" w:sz="8" w:space="0" w:color="auto"/>
              <w:right w:val="nil"/>
            </w:tcBorders>
            <w:hideMark/>
          </w:tcPr>
          <w:p w14:paraId="3A42EB45" w14:textId="77777777" w:rsidR="007E34FA" w:rsidRDefault="007E34FA">
            <w:pPr>
              <w:rPr>
                <w:rFonts w:ascii="Calibri" w:hAnsi="Calibri"/>
                <w:color w:val="000000"/>
                <w:sz w:val="18"/>
                <w:szCs w:val="18"/>
              </w:rPr>
            </w:pPr>
            <w:r>
              <w:rPr>
                <w:rFonts w:ascii="Calibri" w:hAnsi="Calibri"/>
                <w:color w:val="000000"/>
                <w:sz w:val="18"/>
                <w:szCs w:val="18"/>
              </w:rPr>
              <w:t>0.3%</w:t>
            </w:r>
          </w:p>
        </w:tc>
      </w:tr>
      <w:tr w:rsidR="007E34FA" w14:paraId="6CB87F7B" w14:textId="77777777" w:rsidTr="007E34FA">
        <w:trPr>
          <w:trHeight w:val="300"/>
        </w:trPr>
        <w:tc>
          <w:tcPr>
            <w:tcW w:w="807" w:type="pct"/>
            <w:tcBorders>
              <w:top w:val="single" w:sz="8" w:space="0" w:color="auto"/>
              <w:left w:val="nil"/>
              <w:bottom w:val="single" w:sz="8" w:space="0" w:color="auto"/>
              <w:right w:val="nil"/>
            </w:tcBorders>
            <w:noWrap/>
            <w:hideMark/>
          </w:tcPr>
          <w:p w14:paraId="5D9A9667" w14:textId="77777777" w:rsidR="007E34FA" w:rsidRDefault="007E34FA">
            <w:pPr>
              <w:rPr>
                <w:sz w:val="18"/>
                <w:szCs w:val="18"/>
              </w:rPr>
            </w:pPr>
            <w:r>
              <w:rPr>
                <w:sz w:val="18"/>
                <w:szCs w:val="18"/>
              </w:rPr>
              <w:t>AIDS</w:t>
            </w:r>
          </w:p>
        </w:tc>
        <w:tc>
          <w:tcPr>
            <w:tcW w:w="335" w:type="pct"/>
            <w:tcBorders>
              <w:top w:val="single" w:sz="8" w:space="0" w:color="auto"/>
              <w:left w:val="nil"/>
              <w:bottom w:val="single" w:sz="8" w:space="0" w:color="auto"/>
              <w:right w:val="nil"/>
            </w:tcBorders>
            <w:noWrap/>
            <w:hideMark/>
          </w:tcPr>
          <w:p w14:paraId="0E88CD68"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313CB60B"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0120A4BC"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5C5C6084"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5EEF85D6"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25EE5EE6"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44BB7692"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66C090C9"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047F4F62" w14:textId="77777777" w:rsidR="007E34FA" w:rsidRDefault="007E34FA">
            <w:pPr>
              <w:rPr>
                <w:sz w:val="18"/>
                <w:szCs w:val="18"/>
              </w:rPr>
            </w:pPr>
            <w:r>
              <w:rPr>
                <w:sz w:val="18"/>
                <w:szCs w:val="18"/>
              </w:rPr>
              <w:t>0.1%</w:t>
            </w:r>
          </w:p>
        </w:tc>
        <w:tc>
          <w:tcPr>
            <w:tcW w:w="335" w:type="pct"/>
            <w:tcBorders>
              <w:top w:val="single" w:sz="8" w:space="0" w:color="auto"/>
              <w:left w:val="nil"/>
              <w:bottom w:val="single" w:sz="8" w:space="0" w:color="auto"/>
              <w:right w:val="nil"/>
            </w:tcBorders>
            <w:noWrap/>
            <w:hideMark/>
          </w:tcPr>
          <w:p w14:paraId="23150658" w14:textId="77777777" w:rsidR="007E34FA" w:rsidRDefault="007E34FA">
            <w:pPr>
              <w:rPr>
                <w:sz w:val="18"/>
                <w:szCs w:val="18"/>
              </w:rPr>
            </w:pPr>
            <w:r>
              <w:rPr>
                <w:sz w:val="18"/>
                <w:szCs w:val="18"/>
              </w:rPr>
              <w:t>0.1%</w:t>
            </w:r>
          </w:p>
        </w:tc>
        <w:tc>
          <w:tcPr>
            <w:tcW w:w="348" w:type="pct"/>
            <w:tcBorders>
              <w:top w:val="single" w:sz="8" w:space="0" w:color="auto"/>
              <w:left w:val="nil"/>
              <w:bottom w:val="single" w:sz="8" w:space="0" w:color="auto"/>
              <w:right w:val="nil"/>
            </w:tcBorders>
            <w:noWrap/>
            <w:hideMark/>
          </w:tcPr>
          <w:p w14:paraId="78A12A18" w14:textId="77777777" w:rsidR="007E34FA" w:rsidRDefault="007E34FA">
            <w:pPr>
              <w:rPr>
                <w:sz w:val="18"/>
                <w:szCs w:val="18"/>
              </w:rPr>
            </w:pPr>
            <w:r>
              <w:rPr>
                <w:sz w:val="18"/>
                <w:szCs w:val="18"/>
              </w:rPr>
              <w:t>0.1%</w:t>
            </w:r>
          </w:p>
        </w:tc>
        <w:tc>
          <w:tcPr>
            <w:tcW w:w="493" w:type="pct"/>
            <w:tcBorders>
              <w:top w:val="single" w:sz="8" w:space="0" w:color="auto"/>
              <w:left w:val="nil"/>
              <w:bottom w:val="single" w:sz="8" w:space="0" w:color="auto"/>
              <w:right w:val="nil"/>
            </w:tcBorders>
            <w:hideMark/>
          </w:tcPr>
          <w:p w14:paraId="59D8C989" w14:textId="77777777" w:rsidR="007E34FA" w:rsidRDefault="007E34FA">
            <w:pPr>
              <w:rPr>
                <w:rFonts w:ascii="Calibri" w:hAnsi="Calibri"/>
                <w:color w:val="000000"/>
                <w:sz w:val="18"/>
                <w:szCs w:val="18"/>
              </w:rPr>
            </w:pPr>
            <w:r>
              <w:rPr>
                <w:rFonts w:ascii="Calibri" w:hAnsi="Calibri"/>
                <w:color w:val="000000"/>
                <w:sz w:val="18"/>
                <w:szCs w:val="18"/>
              </w:rPr>
              <w:t>0.1%</w:t>
            </w:r>
          </w:p>
        </w:tc>
      </w:tr>
      <w:tr w:rsidR="007E34FA" w14:paraId="2CCA8931" w14:textId="77777777" w:rsidTr="007E34FA">
        <w:trPr>
          <w:trHeight w:val="300"/>
        </w:trPr>
        <w:tc>
          <w:tcPr>
            <w:tcW w:w="807" w:type="pct"/>
            <w:tcBorders>
              <w:top w:val="single" w:sz="8" w:space="0" w:color="auto"/>
              <w:left w:val="nil"/>
              <w:bottom w:val="single" w:sz="8" w:space="0" w:color="auto"/>
              <w:right w:val="nil"/>
            </w:tcBorders>
            <w:noWrap/>
            <w:hideMark/>
          </w:tcPr>
          <w:p w14:paraId="7CFF9567" w14:textId="77777777" w:rsidR="007E34FA" w:rsidRDefault="007E34FA">
            <w:pPr>
              <w:rPr>
                <w:sz w:val="18"/>
                <w:szCs w:val="18"/>
              </w:rPr>
            </w:pPr>
            <w:r>
              <w:rPr>
                <w:sz w:val="18"/>
                <w:szCs w:val="18"/>
              </w:rPr>
              <w:t>Hypertension</w:t>
            </w:r>
          </w:p>
        </w:tc>
        <w:tc>
          <w:tcPr>
            <w:tcW w:w="335" w:type="pct"/>
            <w:tcBorders>
              <w:top w:val="single" w:sz="8" w:space="0" w:color="auto"/>
              <w:left w:val="nil"/>
              <w:bottom w:val="single" w:sz="8" w:space="0" w:color="auto"/>
              <w:right w:val="nil"/>
            </w:tcBorders>
            <w:noWrap/>
            <w:hideMark/>
          </w:tcPr>
          <w:p w14:paraId="74139D35" w14:textId="77777777" w:rsidR="007E34FA" w:rsidRDefault="007E34FA">
            <w:pPr>
              <w:rPr>
                <w:sz w:val="18"/>
                <w:szCs w:val="18"/>
              </w:rPr>
            </w:pPr>
            <w:r>
              <w:rPr>
                <w:sz w:val="18"/>
                <w:szCs w:val="18"/>
              </w:rPr>
              <w:t>63.3%</w:t>
            </w:r>
          </w:p>
        </w:tc>
        <w:tc>
          <w:tcPr>
            <w:tcW w:w="335" w:type="pct"/>
            <w:tcBorders>
              <w:top w:val="single" w:sz="8" w:space="0" w:color="auto"/>
              <w:left w:val="nil"/>
              <w:bottom w:val="single" w:sz="8" w:space="0" w:color="auto"/>
              <w:right w:val="nil"/>
            </w:tcBorders>
            <w:noWrap/>
            <w:hideMark/>
          </w:tcPr>
          <w:p w14:paraId="2F82DFC8" w14:textId="77777777" w:rsidR="007E34FA" w:rsidRDefault="007E34FA">
            <w:pPr>
              <w:rPr>
                <w:sz w:val="18"/>
                <w:szCs w:val="18"/>
              </w:rPr>
            </w:pPr>
            <w:r>
              <w:rPr>
                <w:sz w:val="18"/>
                <w:szCs w:val="18"/>
              </w:rPr>
              <w:t>64.2%</w:t>
            </w:r>
          </w:p>
        </w:tc>
        <w:tc>
          <w:tcPr>
            <w:tcW w:w="335" w:type="pct"/>
            <w:tcBorders>
              <w:top w:val="single" w:sz="8" w:space="0" w:color="auto"/>
              <w:left w:val="nil"/>
              <w:bottom w:val="single" w:sz="8" w:space="0" w:color="auto"/>
              <w:right w:val="nil"/>
            </w:tcBorders>
            <w:noWrap/>
            <w:hideMark/>
          </w:tcPr>
          <w:p w14:paraId="4ACFDA4A" w14:textId="77777777" w:rsidR="007E34FA" w:rsidRDefault="007E34FA">
            <w:pPr>
              <w:rPr>
                <w:sz w:val="18"/>
                <w:szCs w:val="18"/>
              </w:rPr>
            </w:pPr>
            <w:r>
              <w:rPr>
                <w:sz w:val="18"/>
                <w:szCs w:val="18"/>
              </w:rPr>
              <w:t>67.0%</w:t>
            </w:r>
          </w:p>
        </w:tc>
        <w:tc>
          <w:tcPr>
            <w:tcW w:w="335" w:type="pct"/>
            <w:tcBorders>
              <w:top w:val="single" w:sz="8" w:space="0" w:color="auto"/>
              <w:left w:val="nil"/>
              <w:bottom w:val="single" w:sz="8" w:space="0" w:color="auto"/>
              <w:right w:val="nil"/>
            </w:tcBorders>
            <w:noWrap/>
            <w:hideMark/>
          </w:tcPr>
          <w:p w14:paraId="22F63289" w14:textId="77777777" w:rsidR="007E34FA" w:rsidRDefault="007E34FA">
            <w:pPr>
              <w:rPr>
                <w:sz w:val="18"/>
                <w:szCs w:val="18"/>
              </w:rPr>
            </w:pPr>
            <w:r>
              <w:rPr>
                <w:sz w:val="18"/>
                <w:szCs w:val="18"/>
              </w:rPr>
              <w:t>68.1%</w:t>
            </w:r>
          </w:p>
        </w:tc>
        <w:tc>
          <w:tcPr>
            <w:tcW w:w="335" w:type="pct"/>
            <w:tcBorders>
              <w:top w:val="single" w:sz="8" w:space="0" w:color="auto"/>
              <w:left w:val="nil"/>
              <w:bottom w:val="single" w:sz="8" w:space="0" w:color="auto"/>
              <w:right w:val="nil"/>
            </w:tcBorders>
            <w:noWrap/>
            <w:hideMark/>
          </w:tcPr>
          <w:p w14:paraId="59FD6997" w14:textId="77777777" w:rsidR="007E34FA" w:rsidRDefault="007E34FA">
            <w:pPr>
              <w:rPr>
                <w:sz w:val="18"/>
                <w:szCs w:val="18"/>
              </w:rPr>
            </w:pPr>
            <w:r>
              <w:rPr>
                <w:sz w:val="18"/>
                <w:szCs w:val="18"/>
              </w:rPr>
              <w:t>70.5%</w:t>
            </w:r>
          </w:p>
        </w:tc>
        <w:tc>
          <w:tcPr>
            <w:tcW w:w="335" w:type="pct"/>
            <w:tcBorders>
              <w:top w:val="single" w:sz="8" w:space="0" w:color="auto"/>
              <w:left w:val="nil"/>
              <w:bottom w:val="single" w:sz="8" w:space="0" w:color="auto"/>
              <w:right w:val="nil"/>
            </w:tcBorders>
            <w:noWrap/>
            <w:hideMark/>
          </w:tcPr>
          <w:p w14:paraId="69C8AC0E" w14:textId="77777777" w:rsidR="007E34FA" w:rsidRDefault="007E34FA">
            <w:pPr>
              <w:rPr>
                <w:sz w:val="18"/>
                <w:szCs w:val="18"/>
              </w:rPr>
            </w:pPr>
            <w:r>
              <w:rPr>
                <w:sz w:val="18"/>
                <w:szCs w:val="18"/>
              </w:rPr>
              <w:t>71.2%</w:t>
            </w:r>
          </w:p>
        </w:tc>
        <w:tc>
          <w:tcPr>
            <w:tcW w:w="335" w:type="pct"/>
            <w:tcBorders>
              <w:top w:val="single" w:sz="8" w:space="0" w:color="auto"/>
              <w:left w:val="nil"/>
              <w:bottom w:val="single" w:sz="8" w:space="0" w:color="auto"/>
              <w:right w:val="nil"/>
            </w:tcBorders>
            <w:noWrap/>
            <w:hideMark/>
          </w:tcPr>
          <w:p w14:paraId="527D8BFF" w14:textId="77777777" w:rsidR="007E34FA" w:rsidRDefault="007E34FA">
            <w:pPr>
              <w:rPr>
                <w:sz w:val="18"/>
                <w:szCs w:val="18"/>
              </w:rPr>
            </w:pPr>
            <w:r>
              <w:rPr>
                <w:sz w:val="18"/>
                <w:szCs w:val="18"/>
              </w:rPr>
              <w:t>71.8%</w:t>
            </w:r>
          </w:p>
        </w:tc>
        <w:tc>
          <w:tcPr>
            <w:tcW w:w="335" w:type="pct"/>
            <w:tcBorders>
              <w:top w:val="single" w:sz="8" w:space="0" w:color="auto"/>
              <w:left w:val="nil"/>
              <w:bottom w:val="single" w:sz="8" w:space="0" w:color="auto"/>
              <w:right w:val="nil"/>
            </w:tcBorders>
            <w:noWrap/>
            <w:hideMark/>
          </w:tcPr>
          <w:p w14:paraId="35709998" w14:textId="77777777" w:rsidR="007E34FA" w:rsidRDefault="007E34FA">
            <w:pPr>
              <w:rPr>
                <w:sz w:val="18"/>
                <w:szCs w:val="18"/>
              </w:rPr>
            </w:pPr>
            <w:r>
              <w:rPr>
                <w:sz w:val="18"/>
                <w:szCs w:val="18"/>
              </w:rPr>
              <w:t>73.3%</w:t>
            </w:r>
          </w:p>
        </w:tc>
        <w:tc>
          <w:tcPr>
            <w:tcW w:w="335" w:type="pct"/>
            <w:tcBorders>
              <w:top w:val="single" w:sz="8" w:space="0" w:color="auto"/>
              <w:left w:val="nil"/>
              <w:bottom w:val="single" w:sz="8" w:space="0" w:color="auto"/>
              <w:right w:val="nil"/>
            </w:tcBorders>
            <w:noWrap/>
            <w:hideMark/>
          </w:tcPr>
          <w:p w14:paraId="3BC11B89" w14:textId="77777777" w:rsidR="007E34FA" w:rsidRDefault="007E34FA">
            <w:pPr>
              <w:rPr>
                <w:sz w:val="18"/>
                <w:szCs w:val="18"/>
              </w:rPr>
            </w:pPr>
            <w:r>
              <w:rPr>
                <w:sz w:val="18"/>
                <w:szCs w:val="18"/>
              </w:rPr>
              <w:t>74.0%</w:t>
            </w:r>
          </w:p>
        </w:tc>
        <w:tc>
          <w:tcPr>
            <w:tcW w:w="335" w:type="pct"/>
            <w:tcBorders>
              <w:top w:val="single" w:sz="8" w:space="0" w:color="auto"/>
              <w:left w:val="nil"/>
              <w:bottom w:val="single" w:sz="8" w:space="0" w:color="auto"/>
              <w:right w:val="nil"/>
            </w:tcBorders>
            <w:noWrap/>
            <w:hideMark/>
          </w:tcPr>
          <w:p w14:paraId="7A4A1CE6" w14:textId="77777777" w:rsidR="007E34FA" w:rsidRDefault="007E34FA">
            <w:pPr>
              <w:rPr>
                <w:sz w:val="18"/>
                <w:szCs w:val="18"/>
              </w:rPr>
            </w:pPr>
            <w:r>
              <w:rPr>
                <w:sz w:val="18"/>
                <w:szCs w:val="18"/>
              </w:rPr>
              <w:t>74.4%</w:t>
            </w:r>
          </w:p>
        </w:tc>
        <w:tc>
          <w:tcPr>
            <w:tcW w:w="348" w:type="pct"/>
            <w:tcBorders>
              <w:top w:val="single" w:sz="8" w:space="0" w:color="auto"/>
              <w:left w:val="nil"/>
              <w:bottom w:val="single" w:sz="8" w:space="0" w:color="auto"/>
              <w:right w:val="nil"/>
            </w:tcBorders>
            <w:noWrap/>
            <w:hideMark/>
          </w:tcPr>
          <w:p w14:paraId="0843A45C" w14:textId="77777777" w:rsidR="007E34FA" w:rsidRDefault="007E34FA">
            <w:pPr>
              <w:rPr>
                <w:sz w:val="18"/>
                <w:szCs w:val="18"/>
              </w:rPr>
            </w:pPr>
            <w:r>
              <w:rPr>
                <w:sz w:val="18"/>
                <w:szCs w:val="18"/>
              </w:rPr>
              <w:t>75.1%</w:t>
            </w:r>
          </w:p>
        </w:tc>
        <w:tc>
          <w:tcPr>
            <w:tcW w:w="493" w:type="pct"/>
            <w:tcBorders>
              <w:top w:val="single" w:sz="8" w:space="0" w:color="auto"/>
              <w:left w:val="nil"/>
              <w:bottom w:val="single" w:sz="8" w:space="0" w:color="auto"/>
              <w:right w:val="nil"/>
            </w:tcBorders>
            <w:hideMark/>
          </w:tcPr>
          <w:p w14:paraId="26051A31" w14:textId="77777777" w:rsidR="007E34FA" w:rsidRDefault="007E34FA">
            <w:pPr>
              <w:rPr>
                <w:rFonts w:ascii="Calibri" w:hAnsi="Calibri"/>
                <w:color w:val="000000"/>
                <w:sz w:val="18"/>
                <w:szCs w:val="18"/>
              </w:rPr>
            </w:pPr>
            <w:r>
              <w:rPr>
                <w:rFonts w:ascii="Calibri" w:hAnsi="Calibri"/>
                <w:color w:val="000000"/>
                <w:sz w:val="18"/>
                <w:szCs w:val="18"/>
              </w:rPr>
              <w:t>69.5</w:t>
            </w:r>
            <w:r>
              <w:rPr>
                <w:sz w:val="18"/>
                <w:szCs w:val="18"/>
              </w:rPr>
              <w:t>%</w:t>
            </w:r>
          </w:p>
        </w:tc>
      </w:tr>
      <w:tr w:rsidR="007E34FA" w14:paraId="0AC1E25C" w14:textId="77777777" w:rsidTr="007E34FA">
        <w:trPr>
          <w:trHeight w:val="300"/>
        </w:trPr>
        <w:tc>
          <w:tcPr>
            <w:tcW w:w="807" w:type="pct"/>
            <w:tcBorders>
              <w:top w:val="single" w:sz="8" w:space="0" w:color="auto"/>
              <w:left w:val="nil"/>
              <w:bottom w:val="single" w:sz="8" w:space="0" w:color="auto"/>
              <w:right w:val="nil"/>
            </w:tcBorders>
            <w:noWrap/>
            <w:hideMark/>
          </w:tcPr>
          <w:p w14:paraId="70FDE9E6" w14:textId="77777777" w:rsidR="007E34FA" w:rsidRDefault="007E34FA">
            <w:pPr>
              <w:rPr>
                <w:sz w:val="18"/>
                <w:szCs w:val="18"/>
              </w:rPr>
            </w:pPr>
            <w:r>
              <w:rPr>
                <w:sz w:val="18"/>
                <w:szCs w:val="18"/>
              </w:rPr>
              <w:t>Hypercholesterolemia</w:t>
            </w:r>
          </w:p>
        </w:tc>
        <w:tc>
          <w:tcPr>
            <w:tcW w:w="335" w:type="pct"/>
            <w:tcBorders>
              <w:top w:val="single" w:sz="8" w:space="0" w:color="auto"/>
              <w:left w:val="nil"/>
              <w:bottom w:val="single" w:sz="8" w:space="0" w:color="auto"/>
              <w:right w:val="nil"/>
            </w:tcBorders>
            <w:noWrap/>
            <w:hideMark/>
          </w:tcPr>
          <w:p w14:paraId="5803193C" w14:textId="77777777" w:rsidR="007E34FA" w:rsidRDefault="007E34FA">
            <w:pPr>
              <w:rPr>
                <w:sz w:val="18"/>
                <w:szCs w:val="18"/>
              </w:rPr>
            </w:pPr>
            <w:r>
              <w:rPr>
                <w:sz w:val="18"/>
                <w:szCs w:val="18"/>
              </w:rPr>
              <w:t>19.5%</w:t>
            </w:r>
          </w:p>
        </w:tc>
        <w:tc>
          <w:tcPr>
            <w:tcW w:w="335" w:type="pct"/>
            <w:tcBorders>
              <w:top w:val="single" w:sz="8" w:space="0" w:color="auto"/>
              <w:left w:val="nil"/>
              <w:bottom w:val="single" w:sz="8" w:space="0" w:color="auto"/>
              <w:right w:val="nil"/>
            </w:tcBorders>
            <w:noWrap/>
            <w:hideMark/>
          </w:tcPr>
          <w:p w14:paraId="09EBF63B" w14:textId="77777777" w:rsidR="007E34FA" w:rsidRDefault="007E34FA">
            <w:pPr>
              <w:rPr>
                <w:sz w:val="18"/>
                <w:szCs w:val="18"/>
              </w:rPr>
            </w:pPr>
            <w:r>
              <w:rPr>
                <w:sz w:val="18"/>
                <w:szCs w:val="18"/>
              </w:rPr>
              <w:t>16.5%</w:t>
            </w:r>
          </w:p>
        </w:tc>
        <w:tc>
          <w:tcPr>
            <w:tcW w:w="335" w:type="pct"/>
            <w:tcBorders>
              <w:top w:val="single" w:sz="8" w:space="0" w:color="auto"/>
              <w:left w:val="nil"/>
              <w:bottom w:val="single" w:sz="8" w:space="0" w:color="auto"/>
              <w:right w:val="nil"/>
            </w:tcBorders>
            <w:noWrap/>
            <w:hideMark/>
          </w:tcPr>
          <w:p w14:paraId="3C51EA55" w14:textId="77777777" w:rsidR="007E34FA" w:rsidRDefault="007E34FA">
            <w:pPr>
              <w:rPr>
                <w:sz w:val="18"/>
                <w:szCs w:val="18"/>
              </w:rPr>
            </w:pPr>
            <w:r>
              <w:rPr>
                <w:sz w:val="18"/>
                <w:szCs w:val="18"/>
              </w:rPr>
              <w:t>14.6%</w:t>
            </w:r>
          </w:p>
        </w:tc>
        <w:tc>
          <w:tcPr>
            <w:tcW w:w="335" w:type="pct"/>
            <w:tcBorders>
              <w:top w:val="single" w:sz="8" w:space="0" w:color="auto"/>
              <w:left w:val="nil"/>
              <w:bottom w:val="single" w:sz="8" w:space="0" w:color="auto"/>
              <w:right w:val="nil"/>
            </w:tcBorders>
            <w:noWrap/>
            <w:hideMark/>
          </w:tcPr>
          <w:p w14:paraId="2D97A1DC" w14:textId="77777777" w:rsidR="007E34FA" w:rsidRDefault="007E34FA">
            <w:pPr>
              <w:rPr>
                <w:sz w:val="18"/>
                <w:szCs w:val="18"/>
              </w:rPr>
            </w:pPr>
            <w:r>
              <w:rPr>
                <w:sz w:val="18"/>
                <w:szCs w:val="18"/>
              </w:rPr>
              <w:t>14.0%</w:t>
            </w:r>
          </w:p>
        </w:tc>
        <w:tc>
          <w:tcPr>
            <w:tcW w:w="335" w:type="pct"/>
            <w:tcBorders>
              <w:top w:val="single" w:sz="8" w:space="0" w:color="auto"/>
              <w:left w:val="nil"/>
              <w:bottom w:val="single" w:sz="8" w:space="0" w:color="auto"/>
              <w:right w:val="nil"/>
            </w:tcBorders>
            <w:noWrap/>
            <w:hideMark/>
          </w:tcPr>
          <w:p w14:paraId="2D294CBD" w14:textId="77777777" w:rsidR="007E34FA" w:rsidRDefault="007E34FA">
            <w:pPr>
              <w:rPr>
                <w:sz w:val="18"/>
                <w:szCs w:val="18"/>
              </w:rPr>
            </w:pPr>
            <w:r>
              <w:rPr>
                <w:sz w:val="18"/>
                <w:szCs w:val="18"/>
              </w:rPr>
              <w:t>13.0%</w:t>
            </w:r>
          </w:p>
        </w:tc>
        <w:tc>
          <w:tcPr>
            <w:tcW w:w="335" w:type="pct"/>
            <w:tcBorders>
              <w:top w:val="single" w:sz="8" w:space="0" w:color="auto"/>
              <w:left w:val="nil"/>
              <w:bottom w:val="single" w:sz="8" w:space="0" w:color="auto"/>
              <w:right w:val="nil"/>
            </w:tcBorders>
            <w:noWrap/>
            <w:hideMark/>
          </w:tcPr>
          <w:p w14:paraId="2471C401" w14:textId="77777777" w:rsidR="007E34FA" w:rsidRDefault="007E34FA">
            <w:pPr>
              <w:rPr>
                <w:sz w:val="18"/>
                <w:szCs w:val="18"/>
              </w:rPr>
            </w:pPr>
            <w:r>
              <w:rPr>
                <w:sz w:val="18"/>
                <w:szCs w:val="18"/>
              </w:rPr>
              <w:t>12.1%</w:t>
            </w:r>
          </w:p>
        </w:tc>
        <w:tc>
          <w:tcPr>
            <w:tcW w:w="335" w:type="pct"/>
            <w:tcBorders>
              <w:top w:val="single" w:sz="8" w:space="0" w:color="auto"/>
              <w:left w:val="nil"/>
              <w:bottom w:val="single" w:sz="8" w:space="0" w:color="auto"/>
              <w:right w:val="nil"/>
            </w:tcBorders>
            <w:noWrap/>
            <w:hideMark/>
          </w:tcPr>
          <w:p w14:paraId="3B792FEF" w14:textId="77777777" w:rsidR="007E34FA" w:rsidRDefault="007E34FA">
            <w:pPr>
              <w:rPr>
                <w:sz w:val="18"/>
                <w:szCs w:val="18"/>
              </w:rPr>
            </w:pPr>
            <w:r>
              <w:rPr>
                <w:sz w:val="18"/>
                <w:szCs w:val="18"/>
              </w:rPr>
              <w:t>11.5%</w:t>
            </w:r>
          </w:p>
        </w:tc>
        <w:tc>
          <w:tcPr>
            <w:tcW w:w="335" w:type="pct"/>
            <w:tcBorders>
              <w:top w:val="single" w:sz="8" w:space="0" w:color="auto"/>
              <w:left w:val="nil"/>
              <w:bottom w:val="single" w:sz="8" w:space="0" w:color="auto"/>
              <w:right w:val="nil"/>
            </w:tcBorders>
            <w:noWrap/>
            <w:hideMark/>
          </w:tcPr>
          <w:p w14:paraId="3330A7EF" w14:textId="77777777" w:rsidR="007E34FA" w:rsidRDefault="007E34FA">
            <w:pPr>
              <w:rPr>
                <w:sz w:val="18"/>
                <w:szCs w:val="18"/>
              </w:rPr>
            </w:pPr>
            <w:r>
              <w:rPr>
                <w:sz w:val="18"/>
                <w:szCs w:val="18"/>
              </w:rPr>
              <w:t>11.6%</w:t>
            </w:r>
          </w:p>
        </w:tc>
        <w:tc>
          <w:tcPr>
            <w:tcW w:w="335" w:type="pct"/>
            <w:tcBorders>
              <w:top w:val="single" w:sz="8" w:space="0" w:color="auto"/>
              <w:left w:val="nil"/>
              <w:bottom w:val="single" w:sz="8" w:space="0" w:color="auto"/>
              <w:right w:val="nil"/>
            </w:tcBorders>
            <w:noWrap/>
            <w:hideMark/>
          </w:tcPr>
          <w:p w14:paraId="6CA759EF" w14:textId="77777777" w:rsidR="007E34FA" w:rsidRDefault="007E34FA">
            <w:pPr>
              <w:rPr>
                <w:sz w:val="18"/>
                <w:szCs w:val="18"/>
              </w:rPr>
            </w:pPr>
            <w:r>
              <w:rPr>
                <w:sz w:val="18"/>
                <w:szCs w:val="18"/>
              </w:rPr>
              <w:t>10.1%</w:t>
            </w:r>
          </w:p>
        </w:tc>
        <w:tc>
          <w:tcPr>
            <w:tcW w:w="335" w:type="pct"/>
            <w:tcBorders>
              <w:top w:val="single" w:sz="8" w:space="0" w:color="auto"/>
              <w:left w:val="nil"/>
              <w:bottom w:val="single" w:sz="8" w:space="0" w:color="auto"/>
              <w:right w:val="nil"/>
            </w:tcBorders>
            <w:noWrap/>
            <w:hideMark/>
          </w:tcPr>
          <w:p w14:paraId="6B32050E" w14:textId="77777777" w:rsidR="007E34FA" w:rsidRDefault="007E34FA">
            <w:pPr>
              <w:rPr>
                <w:sz w:val="18"/>
                <w:szCs w:val="18"/>
              </w:rPr>
            </w:pPr>
            <w:r>
              <w:rPr>
                <w:sz w:val="18"/>
                <w:szCs w:val="18"/>
              </w:rPr>
              <w:t>9.3%</w:t>
            </w:r>
          </w:p>
        </w:tc>
        <w:tc>
          <w:tcPr>
            <w:tcW w:w="348" w:type="pct"/>
            <w:tcBorders>
              <w:top w:val="single" w:sz="8" w:space="0" w:color="auto"/>
              <w:left w:val="nil"/>
              <w:bottom w:val="single" w:sz="8" w:space="0" w:color="auto"/>
              <w:right w:val="nil"/>
            </w:tcBorders>
            <w:noWrap/>
            <w:hideMark/>
          </w:tcPr>
          <w:p w14:paraId="78F8E531" w14:textId="77777777" w:rsidR="007E34FA" w:rsidRDefault="007E34FA">
            <w:pPr>
              <w:rPr>
                <w:sz w:val="18"/>
                <w:szCs w:val="18"/>
              </w:rPr>
            </w:pPr>
            <w:r>
              <w:rPr>
                <w:sz w:val="18"/>
                <w:szCs w:val="18"/>
              </w:rPr>
              <w:t>9.0%</w:t>
            </w:r>
          </w:p>
        </w:tc>
        <w:tc>
          <w:tcPr>
            <w:tcW w:w="493" w:type="pct"/>
            <w:tcBorders>
              <w:top w:val="single" w:sz="8" w:space="0" w:color="auto"/>
              <w:left w:val="nil"/>
              <w:bottom w:val="single" w:sz="8" w:space="0" w:color="auto"/>
              <w:right w:val="nil"/>
            </w:tcBorders>
            <w:hideMark/>
          </w:tcPr>
          <w:p w14:paraId="7F7D736C" w14:textId="77777777" w:rsidR="007E34FA" w:rsidRDefault="007E34FA">
            <w:pPr>
              <w:rPr>
                <w:rFonts w:ascii="Calibri" w:hAnsi="Calibri"/>
                <w:color w:val="000000"/>
                <w:sz w:val="18"/>
                <w:szCs w:val="18"/>
              </w:rPr>
            </w:pPr>
            <w:r>
              <w:rPr>
                <w:rFonts w:ascii="Calibri" w:hAnsi="Calibri"/>
                <w:color w:val="000000"/>
                <w:sz w:val="18"/>
                <w:szCs w:val="18"/>
              </w:rPr>
              <w:t>13.4</w:t>
            </w:r>
            <w:r>
              <w:rPr>
                <w:sz w:val="18"/>
                <w:szCs w:val="18"/>
              </w:rPr>
              <w:t>%</w:t>
            </w:r>
          </w:p>
        </w:tc>
      </w:tr>
      <w:tr w:rsidR="007E34FA" w14:paraId="13687211" w14:textId="77777777" w:rsidTr="007E34FA">
        <w:trPr>
          <w:trHeight w:val="300"/>
        </w:trPr>
        <w:tc>
          <w:tcPr>
            <w:tcW w:w="807" w:type="pct"/>
            <w:tcBorders>
              <w:top w:val="single" w:sz="8" w:space="0" w:color="auto"/>
              <w:left w:val="nil"/>
              <w:bottom w:val="single" w:sz="8" w:space="0" w:color="auto"/>
              <w:right w:val="nil"/>
            </w:tcBorders>
            <w:noWrap/>
            <w:hideMark/>
          </w:tcPr>
          <w:p w14:paraId="4B159B18" w14:textId="77777777" w:rsidR="007E34FA" w:rsidRDefault="007E34FA">
            <w:pPr>
              <w:rPr>
                <w:sz w:val="18"/>
                <w:szCs w:val="18"/>
              </w:rPr>
            </w:pPr>
            <w:r>
              <w:rPr>
                <w:sz w:val="18"/>
                <w:szCs w:val="18"/>
              </w:rPr>
              <w:t>Smoking</w:t>
            </w:r>
          </w:p>
        </w:tc>
        <w:tc>
          <w:tcPr>
            <w:tcW w:w="335" w:type="pct"/>
            <w:tcBorders>
              <w:top w:val="single" w:sz="8" w:space="0" w:color="auto"/>
              <w:left w:val="nil"/>
              <w:bottom w:val="single" w:sz="8" w:space="0" w:color="auto"/>
              <w:right w:val="nil"/>
            </w:tcBorders>
            <w:noWrap/>
            <w:hideMark/>
          </w:tcPr>
          <w:p w14:paraId="16EBBFFD" w14:textId="77777777" w:rsidR="007E34FA" w:rsidRDefault="007E34FA">
            <w:pPr>
              <w:rPr>
                <w:sz w:val="18"/>
                <w:szCs w:val="18"/>
              </w:rPr>
            </w:pPr>
            <w:r>
              <w:rPr>
                <w:sz w:val="18"/>
                <w:szCs w:val="18"/>
              </w:rPr>
              <w:t>26.5%</w:t>
            </w:r>
          </w:p>
        </w:tc>
        <w:tc>
          <w:tcPr>
            <w:tcW w:w="335" w:type="pct"/>
            <w:tcBorders>
              <w:top w:val="single" w:sz="8" w:space="0" w:color="auto"/>
              <w:left w:val="nil"/>
              <w:bottom w:val="single" w:sz="8" w:space="0" w:color="auto"/>
              <w:right w:val="nil"/>
            </w:tcBorders>
            <w:noWrap/>
            <w:hideMark/>
          </w:tcPr>
          <w:p w14:paraId="6D30FF56" w14:textId="77777777" w:rsidR="007E34FA" w:rsidRDefault="007E34FA">
            <w:pPr>
              <w:rPr>
                <w:sz w:val="18"/>
                <w:szCs w:val="18"/>
              </w:rPr>
            </w:pPr>
            <w:r>
              <w:rPr>
                <w:sz w:val="18"/>
                <w:szCs w:val="18"/>
              </w:rPr>
              <w:t>29.1%</w:t>
            </w:r>
          </w:p>
        </w:tc>
        <w:tc>
          <w:tcPr>
            <w:tcW w:w="335" w:type="pct"/>
            <w:tcBorders>
              <w:top w:val="single" w:sz="8" w:space="0" w:color="auto"/>
              <w:left w:val="nil"/>
              <w:bottom w:val="single" w:sz="8" w:space="0" w:color="auto"/>
              <w:right w:val="nil"/>
            </w:tcBorders>
            <w:noWrap/>
            <w:hideMark/>
          </w:tcPr>
          <w:p w14:paraId="0BC06973" w14:textId="77777777" w:rsidR="007E34FA" w:rsidRDefault="007E34FA">
            <w:pPr>
              <w:rPr>
                <w:sz w:val="18"/>
                <w:szCs w:val="18"/>
              </w:rPr>
            </w:pPr>
            <w:r>
              <w:rPr>
                <w:sz w:val="18"/>
                <w:szCs w:val="18"/>
              </w:rPr>
              <w:t>30.5%</w:t>
            </w:r>
          </w:p>
        </w:tc>
        <w:tc>
          <w:tcPr>
            <w:tcW w:w="335" w:type="pct"/>
            <w:tcBorders>
              <w:top w:val="single" w:sz="8" w:space="0" w:color="auto"/>
              <w:left w:val="nil"/>
              <w:bottom w:val="single" w:sz="8" w:space="0" w:color="auto"/>
              <w:right w:val="nil"/>
            </w:tcBorders>
            <w:noWrap/>
            <w:hideMark/>
          </w:tcPr>
          <w:p w14:paraId="6F9A2722" w14:textId="77777777" w:rsidR="007E34FA" w:rsidRDefault="007E34FA">
            <w:pPr>
              <w:rPr>
                <w:sz w:val="18"/>
                <w:szCs w:val="18"/>
              </w:rPr>
            </w:pPr>
            <w:r>
              <w:rPr>
                <w:sz w:val="18"/>
                <w:szCs w:val="18"/>
              </w:rPr>
              <w:t>32.2%</w:t>
            </w:r>
          </w:p>
        </w:tc>
        <w:tc>
          <w:tcPr>
            <w:tcW w:w="335" w:type="pct"/>
            <w:tcBorders>
              <w:top w:val="single" w:sz="8" w:space="0" w:color="auto"/>
              <w:left w:val="nil"/>
              <w:bottom w:val="single" w:sz="8" w:space="0" w:color="auto"/>
              <w:right w:val="nil"/>
            </w:tcBorders>
            <w:noWrap/>
            <w:hideMark/>
          </w:tcPr>
          <w:p w14:paraId="07DC32B3" w14:textId="77777777" w:rsidR="007E34FA" w:rsidRDefault="007E34FA">
            <w:pPr>
              <w:rPr>
                <w:sz w:val="18"/>
                <w:szCs w:val="18"/>
              </w:rPr>
            </w:pPr>
            <w:r>
              <w:rPr>
                <w:sz w:val="18"/>
                <w:szCs w:val="18"/>
              </w:rPr>
              <w:t>34.6%</w:t>
            </w:r>
          </w:p>
        </w:tc>
        <w:tc>
          <w:tcPr>
            <w:tcW w:w="335" w:type="pct"/>
            <w:tcBorders>
              <w:top w:val="single" w:sz="8" w:space="0" w:color="auto"/>
              <w:left w:val="nil"/>
              <w:bottom w:val="single" w:sz="8" w:space="0" w:color="auto"/>
              <w:right w:val="nil"/>
            </w:tcBorders>
            <w:noWrap/>
            <w:hideMark/>
          </w:tcPr>
          <w:p w14:paraId="2591AD82" w14:textId="77777777" w:rsidR="007E34FA" w:rsidRDefault="007E34FA">
            <w:pPr>
              <w:rPr>
                <w:sz w:val="18"/>
                <w:szCs w:val="18"/>
              </w:rPr>
            </w:pPr>
            <w:r>
              <w:rPr>
                <w:sz w:val="18"/>
                <w:szCs w:val="18"/>
              </w:rPr>
              <w:t>36.5%</w:t>
            </w:r>
          </w:p>
        </w:tc>
        <w:tc>
          <w:tcPr>
            <w:tcW w:w="335" w:type="pct"/>
            <w:tcBorders>
              <w:top w:val="single" w:sz="8" w:space="0" w:color="auto"/>
              <w:left w:val="nil"/>
              <w:bottom w:val="single" w:sz="8" w:space="0" w:color="auto"/>
              <w:right w:val="nil"/>
            </w:tcBorders>
            <w:noWrap/>
            <w:hideMark/>
          </w:tcPr>
          <w:p w14:paraId="60BA1BB5" w14:textId="77777777" w:rsidR="007E34FA" w:rsidRDefault="007E34FA">
            <w:pPr>
              <w:rPr>
                <w:sz w:val="18"/>
                <w:szCs w:val="18"/>
              </w:rPr>
            </w:pPr>
            <w:r>
              <w:rPr>
                <w:sz w:val="18"/>
                <w:szCs w:val="18"/>
              </w:rPr>
              <w:t>38.2%</w:t>
            </w:r>
          </w:p>
        </w:tc>
        <w:tc>
          <w:tcPr>
            <w:tcW w:w="335" w:type="pct"/>
            <w:tcBorders>
              <w:top w:val="single" w:sz="8" w:space="0" w:color="auto"/>
              <w:left w:val="nil"/>
              <w:bottom w:val="single" w:sz="8" w:space="0" w:color="auto"/>
              <w:right w:val="nil"/>
            </w:tcBorders>
            <w:noWrap/>
            <w:hideMark/>
          </w:tcPr>
          <w:p w14:paraId="5EC5D388" w14:textId="77777777" w:rsidR="007E34FA" w:rsidRDefault="007E34FA">
            <w:pPr>
              <w:rPr>
                <w:sz w:val="18"/>
                <w:szCs w:val="18"/>
              </w:rPr>
            </w:pPr>
            <w:r>
              <w:rPr>
                <w:sz w:val="18"/>
                <w:szCs w:val="18"/>
              </w:rPr>
              <w:t>39.7%</w:t>
            </w:r>
          </w:p>
        </w:tc>
        <w:tc>
          <w:tcPr>
            <w:tcW w:w="335" w:type="pct"/>
            <w:tcBorders>
              <w:top w:val="single" w:sz="8" w:space="0" w:color="auto"/>
              <w:left w:val="nil"/>
              <w:bottom w:val="single" w:sz="8" w:space="0" w:color="auto"/>
              <w:right w:val="nil"/>
            </w:tcBorders>
            <w:noWrap/>
            <w:hideMark/>
          </w:tcPr>
          <w:p w14:paraId="6650EE02" w14:textId="77777777" w:rsidR="007E34FA" w:rsidRDefault="007E34FA">
            <w:pPr>
              <w:rPr>
                <w:sz w:val="18"/>
                <w:szCs w:val="18"/>
              </w:rPr>
            </w:pPr>
            <w:r>
              <w:rPr>
                <w:sz w:val="18"/>
                <w:szCs w:val="18"/>
              </w:rPr>
              <w:t>42.0%</w:t>
            </w:r>
          </w:p>
        </w:tc>
        <w:tc>
          <w:tcPr>
            <w:tcW w:w="335" w:type="pct"/>
            <w:tcBorders>
              <w:top w:val="single" w:sz="8" w:space="0" w:color="auto"/>
              <w:left w:val="nil"/>
              <w:bottom w:val="single" w:sz="8" w:space="0" w:color="auto"/>
              <w:right w:val="nil"/>
            </w:tcBorders>
            <w:noWrap/>
            <w:hideMark/>
          </w:tcPr>
          <w:p w14:paraId="49C7A841" w14:textId="77777777" w:rsidR="007E34FA" w:rsidRDefault="007E34FA">
            <w:pPr>
              <w:rPr>
                <w:sz w:val="18"/>
                <w:szCs w:val="18"/>
              </w:rPr>
            </w:pPr>
            <w:r>
              <w:rPr>
                <w:sz w:val="18"/>
                <w:szCs w:val="18"/>
              </w:rPr>
              <w:t>43.4%</w:t>
            </w:r>
          </w:p>
        </w:tc>
        <w:tc>
          <w:tcPr>
            <w:tcW w:w="348" w:type="pct"/>
            <w:tcBorders>
              <w:top w:val="single" w:sz="8" w:space="0" w:color="auto"/>
              <w:left w:val="nil"/>
              <w:bottom w:val="single" w:sz="8" w:space="0" w:color="auto"/>
              <w:right w:val="nil"/>
            </w:tcBorders>
            <w:noWrap/>
            <w:hideMark/>
          </w:tcPr>
          <w:p w14:paraId="0B8EA42D" w14:textId="77777777" w:rsidR="007E34FA" w:rsidRDefault="007E34FA">
            <w:pPr>
              <w:rPr>
                <w:sz w:val="18"/>
                <w:szCs w:val="18"/>
              </w:rPr>
            </w:pPr>
            <w:r>
              <w:rPr>
                <w:sz w:val="18"/>
                <w:szCs w:val="18"/>
              </w:rPr>
              <w:t>46.4%</w:t>
            </w:r>
          </w:p>
        </w:tc>
        <w:tc>
          <w:tcPr>
            <w:tcW w:w="493" w:type="pct"/>
            <w:tcBorders>
              <w:top w:val="single" w:sz="8" w:space="0" w:color="auto"/>
              <w:left w:val="nil"/>
              <w:bottom w:val="single" w:sz="8" w:space="0" w:color="auto"/>
              <w:right w:val="nil"/>
            </w:tcBorders>
            <w:hideMark/>
          </w:tcPr>
          <w:p w14:paraId="7A3D0EA9" w14:textId="77777777" w:rsidR="007E34FA" w:rsidRDefault="007E34FA">
            <w:pPr>
              <w:rPr>
                <w:rFonts w:ascii="Calibri" w:hAnsi="Calibri"/>
                <w:color w:val="000000"/>
                <w:sz w:val="18"/>
                <w:szCs w:val="18"/>
              </w:rPr>
            </w:pPr>
            <w:r>
              <w:rPr>
                <w:rFonts w:ascii="Calibri" w:hAnsi="Calibri"/>
                <w:color w:val="000000"/>
                <w:sz w:val="18"/>
                <w:szCs w:val="18"/>
              </w:rPr>
              <w:t>35.</w:t>
            </w:r>
            <w:r>
              <w:rPr>
                <w:sz w:val="18"/>
                <w:szCs w:val="18"/>
              </w:rPr>
              <w:t xml:space="preserve"> </w:t>
            </w:r>
            <w:r>
              <w:rPr>
                <w:rFonts w:ascii="Calibri" w:hAnsi="Calibri"/>
                <w:color w:val="000000"/>
                <w:sz w:val="18"/>
                <w:szCs w:val="18"/>
              </w:rPr>
              <w:t>1</w:t>
            </w:r>
            <w:r>
              <w:rPr>
                <w:sz w:val="18"/>
                <w:szCs w:val="18"/>
              </w:rPr>
              <w:t>%</w:t>
            </w:r>
          </w:p>
        </w:tc>
      </w:tr>
    </w:tbl>
    <w:p w14:paraId="28ECB5A4" w14:textId="77777777" w:rsidR="007E34FA" w:rsidRDefault="007E34FA" w:rsidP="007E34FA">
      <w:pPr>
        <w:spacing w:after="0" w:line="240" w:lineRule="auto"/>
      </w:pPr>
    </w:p>
    <w:p w14:paraId="1C0128A6" w14:textId="77777777" w:rsidR="007E34FA" w:rsidRDefault="007E34FA" w:rsidP="007E34FA">
      <w:pPr>
        <w:spacing w:after="0"/>
        <w:rPr>
          <w:b/>
        </w:rPr>
        <w:sectPr w:rsidR="007E34FA">
          <w:pgSz w:w="16838" w:h="11906" w:orient="landscape"/>
          <w:pgMar w:top="993" w:right="1440" w:bottom="993" w:left="1440" w:header="708" w:footer="708" w:gutter="0"/>
          <w:cols w:space="720"/>
        </w:sectPr>
      </w:pPr>
    </w:p>
    <w:p w14:paraId="73813A80" w14:textId="77777777" w:rsidR="007E34FA" w:rsidRDefault="007E34FA" w:rsidP="007E34FA">
      <w:r>
        <w:rPr>
          <w:b/>
        </w:rPr>
        <w:lastRenderedPageBreak/>
        <w:t>Table 2:</w:t>
      </w:r>
      <w:r>
        <w:t xml:space="preserve"> Patient demographics stratified by categorised Charlson Index Score (CCI)</w:t>
      </w:r>
    </w:p>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3004"/>
        <w:gridCol w:w="1473"/>
        <w:gridCol w:w="1473"/>
        <w:gridCol w:w="1473"/>
        <w:gridCol w:w="1593"/>
      </w:tblGrid>
      <w:tr w:rsidR="007E34FA" w14:paraId="037779A5" w14:textId="77777777" w:rsidTr="007E34FA">
        <w:trPr>
          <w:trHeight w:val="300"/>
        </w:trPr>
        <w:tc>
          <w:tcPr>
            <w:tcW w:w="3004" w:type="dxa"/>
            <w:tcBorders>
              <w:top w:val="single" w:sz="8" w:space="0" w:color="auto"/>
              <w:left w:val="nil"/>
              <w:bottom w:val="single" w:sz="8" w:space="0" w:color="auto"/>
              <w:right w:val="nil"/>
            </w:tcBorders>
            <w:noWrap/>
          </w:tcPr>
          <w:p w14:paraId="3FAE244E" w14:textId="77777777" w:rsidR="007E34FA" w:rsidRDefault="007E34FA"/>
        </w:tc>
        <w:tc>
          <w:tcPr>
            <w:tcW w:w="6012" w:type="dxa"/>
            <w:gridSpan w:val="4"/>
            <w:tcBorders>
              <w:top w:val="single" w:sz="8" w:space="0" w:color="auto"/>
              <w:left w:val="nil"/>
              <w:bottom w:val="single" w:sz="8" w:space="0" w:color="auto"/>
              <w:right w:val="nil"/>
            </w:tcBorders>
            <w:noWrap/>
            <w:hideMark/>
          </w:tcPr>
          <w:p w14:paraId="16B39C14" w14:textId="77777777" w:rsidR="007E34FA" w:rsidRDefault="007E34FA">
            <w:pPr>
              <w:jc w:val="center"/>
            </w:pPr>
            <w:r>
              <w:t>Charlson Comorbidity Index Score</w:t>
            </w:r>
          </w:p>
        </w:tc>
      </w:tr>
      <w:tr w:rsidR="007E34FA" w14:paraId="3A452040" w14:textId="77777777" w:rsidTr="007E34FA">
        <w:trPr>
          <w:trHeight w:val="300"/>
        </w:trPr>
        <w:tc>
          <w:tcPr>
            <w:tcW w:w="3004" w:type="dxa"/>
            <w:tcBorders>
              <w:top w:val="single" w:sz="8" w:space="0" w:color="auto"/>
              <w:left w:val="nil"/>
              <w:bottom w:val="single" w:sz="8" w:space="0" w:color="auto"/>
              <w:right w:val="nil"/>
            </w:tcBorders>
            <w:noWrap/>
            <w:hideMark/>
          </w:tcPr>
          <w:p w14:paraId="19826245" w14:textId="77777777" w:rsidR="007E34FA" w:rsidRDefault="007E34FA">
            <w:r>
              <w:t>Variables</w:t>
            </w:r>
          </w:p>
        </w:tc>
        <w:tc>
          <w:tcPr>
            <w:tcW w:w="1473" w:type="dxa"/>
            <w:tcBorders>
              <w:top w:val="single" w:sz="8" w:space="0" w:color="auto"/>
              <w:left w:val="nil"/>
              <w:bottom w:val="single" w:sz="8" w:space="0" w:color="auto"/>
              <w:right w:val="nil"/>
            </w:tcBorders>
            <w:noWrap/>
            <w:hideMark/>
          </w:tcPr>
          <w:p w14:paraId="3A00B4CD" w14:textId="77777777" w:rsidR="007E34FA" w:rsidRDefault="007E34FA">
            <w:pPr>
              <w:jc w:val="center"/>
            </w:pPr>
            <w:r>
              <w:t>0</w:t>
            </w:r>
          </w:p>
        </w:tc>
        <w:tc>
          <w:tcPr>
            <w:tcW w:w="1473" w:type="dxa"/>
            <w:tcBorders>
              <w:top w:val="single" w:sz="8" w:space="0" w:color="auto"/>
              <w:left w:val="nil"/>
              <w:bottom w:val="single" w:sz="8" w:space="0" w:color="auto"/>
              <w:right w:val="nil"/>
            </w:tcBorders>
            <w:noWrap/>
            <w:hideMark/>
          </w:tcPr>
          <w:p w14:paraId="4824FE1B" w14:textId="77777777" w:rsidR="007E34FA" w:rsidRDefault="007E34FA">
            <w:pPr>
              <w:jc w:val="center"/>
            </w:pPr>
            <w:r>
              <w:t>1</w:t>
            </w:r>
          </w:p>
        </w:tc>
        <w:tc>
          <w:tcPr>
            <w:tcW w:w="1473" w:type="dxa"/>
            <w:tcBorders>
              <w:top w:val="single" w:sz="8" w:space="0" w:color="auto"/>
              <w:left w:val="nil"/>
              <w:bottom w:val="single" w:sz="8" w:space="0" w:color="auto"/>
              <w:right w:val="nil"/>
            </w:tcBorders>
            <w:noWrap/>
            <w:hideMark/>
          </w:tcPr>
          <w:p w14:paraId="4E351F49" w14:textId="77777777" w:rsidR="007E34FA" w:rsidRDefault="007E34FA">
            <w:pPr>
              <w:jc w:val="center"/>
            </w:pPr>
            <w:r>
              <w:t>2</w:t>
            </w:r>
          </w:p>
        </w:tc>
        <w:tc>
          <w:tcPr>
            <w:tcW w:w="1593" w:type="dxa"/>
            <w:tcBorders>
              <w:top w:val="single" w:sz="8" w:space="0" w:color="auto"/>
              <w:left w:val="nil"/>
              <w:bottom w:val="single" w:sz="8" w:space="0" w:color="auto"/>
              <w:right w:val="nil"/>
            </w:tcBorders>
            <w:noWrap/>
            <w:hideMark/>
          </w:tcPr>
          <w:p w14:paraId="66FE0650" w14:textId="77777777" w:rsidR="007E34FA" w:rsidRDefault="007E34FA">
            <w:pPr>
              <w:jc w:val="center"/>
            </w:pPr>
            <w:r>
              <w:t>≥ 3</w:t>
            </w:r>
          </w:p>
        </w:tc>
      </w:tr>
      <w:tr w:rsidR="007E34FA" w14:paraId="7B6E74F0" w14:textId="77777777" w:rsidTr="007E34FA">
        <w:trPr>
          <w:trHeight w:val="300"/>
        </w:trPr>
        <w:tc>
          <w:tcPr>
            <w:tcW w:w="3004" w:type="dxa"/>
            <w:tcBorders>
              <w:top w:val="single" w:sz="8" w:space="0" w:color="auto"/>
              <w:left w:val="nil"/>
              <w:bottom w:val="single" w:sz="8" w:space="0" w:color="auto"/>
              <w:right w:val="nil"/>
            </w:tcBorders>
            <w:noWrap/>
            <w:hideMark/>
          </w:tcPr>
          <w:p w14:paraId="08F31464" w14:textId="77777777" w:rsidR="007E34FA" w:rsidRDefault="007E34FA">
            <w:r>
              <w:t>Discharges with PCI procedure</w:t>
            </w:r>
          </w:p>
        </w:tc>
        <w:tc>
          <w:tcPr>
            <w:tcW w:w="1473" w:type="dxa"/>
            <w:tcBorders>
              <w:top w:val="single" w:sz="8" w:space="0" w:color="auto"/>
              <w:left w:val="nil"/>
              <w:bottom w:val="single" w:sz="8" w:space="0" w:color="auto"/>
              <w:right w:val="nil"/>
            </w:tcBorders>
            <w:noWrap/>
            <w:hideMark/>
          </w:tcPr>
          <w:p w14:paraId="7061EB56" w14:textId="77777777" w:rsidR="007E34FA" w:rsidRDefault="007E34FA">
            <w:pPr>
              <w:jc w:val="center"/>
            </w:pPr>
            <w:r>
              <w:t>41.5%</w:t>
            </w:r>
          </w:p>
        </w:tc>
        <w:tc>
          <w:tcPr>
            <w:tcW w:w="1473" w:type="dxa"/>
            <w:tcBorders>
              <w:top w:val="single" w:sz="8" w:space="0" w:color="auto"/>
              <w:left w:val="nil"/>
              <w:bottom w:val="single" w:sz="8" w:space="0" w:color="auto"/>
              <w:right w:val="nil"/>
            </w:tcBorders>
            <w:noWrap/>
            <w:hideMark/>
          </w:tcPr>
          <w:p w14:paraId="778E261E" w14:textId="77777777" w:rsidR="007E34FA" w:rsidRDefault="007E34FA">
            <w:pPr>
              <w:jc w:val="center"/>
            </w:pPr>
            <w:r>
              <w:t>34.4%</w:t>
            </w:r>
          </w:p>
        </w:tc>
        <w:tc>
          <w:tcPr>
            <w:tcW w:w="1473" w:type="dxa"/>
            <w:tcBorders>
              <w:top w:val="single" w:sz="8" w:space="0" w:color="auto"/>
              <w:left w:val="nil"/>
              <w:bottom w:val="single" w:sz="8" w:space="0" w:color="auto"/>
              <w:right w:val="nil"/>
            </w:tcBorders>
            <w:noWrap/>
            <w:hideMark/>
          </w:tcPr>
          <w:p w14:paraId="2359520C" w14:textId="77777777" w:rsidR="007E34FA" w:rsidRDefault="007E34FA">
            <w:pPr>
              <w:jc w:val="center"/>
            </w:pPr>
            <w:r>
              <w:t>15.7%</w:t>
            </w:r>
          </w:p>
        </w:tc>
        <w:tc>
          <w:tcPr>
            <w:tcW w:w="1593" w:type="dxa"/>
            <w:tcBorders>
              <w:top w:val="single" w:sz="8" w:space="0" w:color="auto"/>
              <w:left w:val="nil"/>
              <w:bottom w:val="single" w:sz="8" w:space="0" w:color="auto"/>
              <w:right w:val="nil"/>
            </w:tcBorders>
            <w:noWrap/>
            <w:hideMark/>
          </w:tcPr>
          <w:p w14:paraId="34AD67A8" w14:textId="77777777" w:rsidR="007E34FA" w:rsidRDefault="007E34FA">
            <w:pPr>
              <w:jc w:val="center"/>
            </w:pPr>
            <w:r>
              <w:t>8.5%</w:t>
            </w:r>
          </w:p>
        </w:tc>
      </w:tr>
      <w:tr w:rsidR="007E34FA" w14:paraId="0FEFF4BA" w14:textId="77777777" w:rsidTr="007E34FA">
        <w:trPr>
          <w:trHeight w:val="300"/>
        </w:trPr>
        <w:tc>
          <w:tcPr>
            <w:tcW w:w="3004" w:type="dxa"/>
            <w:tcBorders>
              <w:top w:val="single" w:sz="8" w:space="0" w:color="auto"/>
              <w:left w:val="nil"/>
              <w:bottom w:val="single" w:sz="8" w:space="0" w:color="auto"/>
              <w:right w:val="nil"/>
            </w:tcBorders>
            <w:noWrap/>
            <w:hideMark/>
          </w:tcPr>
          <w:p w14:paraId="57892461" w14:textId="77777777" w:rsidR="007E34FA" w:rsidRDefault="007E34FA">
            <w:r>
              <w:t>Median age, [IQR] (years)</w:t>
            </w:r>
          </w:p>
        </w:tc>
        <w:tc>
          <w:tcPr>
            <w:tcW w:w="1473" w:type="dxa"/>
            <w:tcBorders>
              <w:top w:val="single" w:sz="8" w:space="0" w:color="auto"/>
              <w:left w:val="nil"/>
              <w:bottom w:val="single" w:sz="8" w:space="0" w:color="auto"/>
              <w:right w:val="nil"/>
            </w:tcBorders>
            <w:noWrap/>
            <w:hideMark/>
          </w:tcPr>
          <w:p w14:paraId="43458D8E" w14:textId="77777777" w:rsidR="007E34FA" w:rsidRDefault="007E34FA">
            <w:pPr>
              <w:jc w:val="center"/>
            </w:pPr>
            <w:r>
              <w:t>62 [54-72]</w:t>
            </w:r>
          </w:p>
        </w:tc>
        <w:tc>
          <w:tcPr>
            <w:tcW w:w="1473" w:type="dxa"/>
            <w:tcBorders>
              <w:top w:val="single" w:sz="8" w:space="0" w:color="auto"/>
              <w:left w:val="nil"/>
              <w:bottom w:val="single" w:sz="8" w:space="0" w:color="auto"/>
              <w:right w:val="nil"/>
            </w:tcBorders>
            <w:noWrap/>
            <w:hideMark/>
          </w:tcPr>
          <w:p w14:paraId="5E546523" w14:textId="77777777" w:rsidR="007E34FA" w:rsidRDefault="007E34FA">
            <w:pPr>
              <w:jc w:val="center"/>
            </w:pPr>
            <w:r>
              <w:t>65 [56-74]</w:t>
            </w:r>
          </w:p>
        </w:tc>
        <w:tc>
          <w:tcPr>
            <w:tcW w:w="1473" w:type="dxa"/>
            <w:tcBorders>
              <w:top w:val="single" w:sz="8" w:space="0" w:color="auto"/>
              <w:left w:val="nil"/>
              <w:bottom w:val="single" w:sz="8" w:space="0" w:color="auto"/>
              <w:right w:val="nil"/>
            </w:tcBorders>
            <w:noWrap/>
            <w:hideMark/>
          </w:tcPr>
          <w:p w14:paraId="66B8E6C6" w14:textId="77777777" w:rsidR="007E34FA" w:rsidRDefault="007E34FA">
            <w:pPr>
              <w:jc w:val="center"/>
            </w:pPr>
            <w:r>
              <w:t>67 [58-76]</w:t>
            </w:r>
          </w:p>
        </w:tc>
        <w:tc>
          <w:tcPr>
            <w:tcW w:w="1593" w:type="dxa"/>
            <w:tcBorders>
              <w:top w:val="single" w:sz="8" w:space="0" w:color="auto"/>
              <w:left w:val="nil"/>
              <w:bottom w:val="single" w:sz="8" w:space="0" w:color="auto"/>
              <w:right w:val="nil"/>
            </w:tcBorders>
            <w:noWrap/>
            <w:hideMark/>
          </w:tcPr>
          <w:p w14:paraId="5E7A2BD2" w14:textId="77777777" w:rsidR="007E34FA" w:rsidRDefault="007E34FA">
            <w:pPr>
              <w:jc w:val="center"/>
            </w:pPr>
            <w:r>
              <w:t>68 [60-76]</w:t>
            </w:r>
          </w:p>
        </w:tc>
      </w:tr>
      <w:tr w:rsidR="007E34FA" w14:paraId="543582E2" w14:textId="77777777" w:rsidTr="007E34FA">
        <w:trPr>
          <w:trHeight w:val="300"/>
        </w:trPr>
        <w:tc>
          <w:tcPr>
            <w:tcW w:w="3004" w:type="dxa"/>
            <w:tcBorders>
              <w:top w:val="single" w:sz="8" w:space="0" w:color="auto"/>
              <w:left w:val="nil"/>
              <w:bottom w:val="single" w:sz="8" w:space="0" w:color="auto"/>
              <w:right w:val="nil"/>
            </w:tcBorders>
            <w:noWrap/>
            <w:hideMark/>
          </w:tcPr>
          <w:p w14:paraId="038C4A75" w14:textId="77777777" w:rsidR="007E34FA" w:rsidRDefault="007E34FA">
            <w:r>
              <w:t>Men</w:t>
            </w:r>
          </w:p>
        </w:tc>
        <w:tc>
          <w:tcPr>
            <w:tcW w:w="1473" w:type="dxa"/>
            <w:tcBorders>
              <w:top w:val="single" w:sz="8" w:space="0" w:color="auto"/>
              <w:left w:val="nil"/>
              <w:bottom w:val="single" w:sz="8" w:space="0" w:color="auto"/>
              <w:right w:val="nil"/>
            </w:tcBorders>
            <w:noWrap/>
            <w:hideMark/>
          </w:tcPr>
          <w:p w14:paraId="38111789" w14:textId="77777777" w:rsidR="007E34FA" w:rsidRDefault="007E34FA">
            <w:pPr>
              <w:jc w:val="center"/>
            </w:pPr>
            <w:r>
              <w:t>70.9%</w:t>
            </w:r>
          </w:p>
        </w:tc>
        <w:tc>
          <w:tcPr>
            <w:tcW w:w="1473" w:type="dxa"/>
            <w:tcBorders>
              <w:top w:val="single" w:sz="8" w:space="0" w:color="auto"/>
              <w:left w:val="nil"/>
              <w:bottom w:val="single" w:sz="8" w:space="0" w:color="auto"/>
              <w:right w:val="nil"/>
            </w:tcBorders>
            <w:noWrap/>
            <w:hideMark/>
          </w:tcPr>
          <w:p w14:paraId="02C0C2FB" w14:textId="77777777" w:rsidR="007E34FA" w:rsidRDefault="007E34FA">
            <w:pPr>
              <w:jc w:val="center"/>
            </w:pPr>
            <w:r>
              <w:t>65.0%</w:t>
            </w:r>
          </w:p>
        </w:tc>
        <w:tc>
          <w:tcPr>
            <w:tcW w:w="1473" w:type="dxa"/>
            <w:tcBorders>
              <w:top w:val="single" w:sz="8" w:space="0" w:color="auto"/>
              <w:left w:val="nil"/>
              <w:bottom w:val="single" w:sz="8" w:space="0" w:color="auto"/>
              <w:right w:val="nil"/>
            </w:tcBorders>
            <w:noWrap/>
            <w:hideMark/>
          </w:tcPr>
          <w:p w14:paraId="3804D35A" w14:textId="77777777" w:rsidR="007E34FA" w:rsidRDefault="007E34FA">
            <w:pPr>
              <w:jc w:val="center"/>
            </w:pPr>
            <w:r>
              <w:t>60.9%</w:t>
            </w:r>
          </w:p>
        </w:tc>
        <w:tc>
          <w:tcPr>
            <w:tcW w:w="1593" w:type="dxa"/>
            <w:tcBorders>
              <w:top w:val="single" w:sz="8" w:space="0" w:color="auto"/>
              <w:left w:val="nil"/>
              <w:bottom w:val="single" w:sz="8" w:space="0" w:color="auto"/>
              <w:right w:val="nil"/>
            </w:tcBorders>
            <w:noWrap/>
            <w:hideMark/>
          </w:tcPr>
          <w:p w14:paraId="2C2CF812" w14:textId="77777777" w:rsidR="007E34FA" w:rsidRDefault="007E34FA">
            <w:pPr>
              <w:jc w:val="center"/>
            </w:pPr>
            <w:r>
              <w:t>59.4%</w:t>
            </w:r>
          </w:p>
        </w:tc>
      </w:tr>
      <w:tr w:rsidR="007E34FA" w14:paraId="43C860AD" w14:textId="77777777" w:rsidTr="007E34FA">
        <w:trPr>
          <w:trHeight w:val="300"/>
        </w:trPr>
        <w:tc>
          <w:tcPr>
            <w:tcW w:w="3004" w:type="dxa"/>
            <w:tcBorders>
              <w:top w:val="single" w:sz="8" w:space="0" w:color="auto"/>
              <w:left w:val="nil"/>
              <w:bottom w:val="single" w:sz="8" w:space="0" w:color="auto"/>
              <w:right w:val="nil"/>
            </w:tcBorders>
            <w:noWrap/>
            <w:hideMark/>
          </w:tcPr>
          <w:p w14:paraId="23EB08B9" w14:textId="77777777" w:rsidR="007E34FA" w:rsidRDefault="007E34FA">
            <w:r>
              <w:t>White</w:t>
            </w:r>
          </w:p>
        </w:tc>
        <w:tc>
          <w:tcPr>
            <w:tcW w:w="1473" w:type="dxa"/>
            <w:tcBorders>
              <w:top w:val="single" w:sz="8" w:space="0" w:color="auto"/>
              <w:left w:val="nil"/>
              <w:bottom w:val="single" w:sz="8" w:space="0" w:color="auto"/>
              <w:right w:val="nil"/>
            </w:tcBorders>
            <w:noWrap/>
            <w:hideMark/>
          </w:tcPr>
          <w:p w14:paraId="0ABA54E9" w14:textId="77777777" w:rsidR="007E34FA" w:rsidRDefault="007E34FA">
            <w:pPr>
              <w:jc w:val="center"/>
            </w:pPr>
            <w:r>
              <w:t>64.5%</w:t>
            </w:r>
          </w:p>
        </w:tc>
        <w:tc>
          <w:tcPr>
            <w:tcW w:w="1473" w:type="dxa"/>
            <w:tcBorders>
              <w:top w:val="single" w:sz="8" w:space="0" w:color="auto"/>
              <w:left w:val="nil"/>
              <w:bottom w:val="single" w:sz="8" w:space="0" w:color="auto"/>
              <w:right w:val="nil"/>
            </w:tcBorders>
            <w:noWrap/>
            <w:hideMark/>
          </w:tcPr>
          <w:p w14:paraId="29582EDC" w14:textId="77777777" w:rsidR="007E34FA" w:rsidRDefault="007E34FA">
            <w:pPr>
              <w:jc w:val="center"/>
            </w:pPr>
            <w:r>
              <w:t>62.0%</w:t>
            </w:r>
          </w:p>
        </w:tc>
        <w:tc>
          <w:tcPr>
            <w:tcW w:w="1473" w:type="dxa"/>
            <w:tcBorders>
              <w:top w:val="single" w:sz="8" w:space="0" w:color="auto"/>
              <w:left w:val="nil"/>
              <w:bottom w:val="single" w:sz="8" w:space="0" w:color="auto"/>
              <w:right w:val="nil"/>
            </w:tcBorders>
            <w:noWrap/>
            <w:hideMark/>
          </w:tcPr>
          <w:p w14:paraId="370A7AF3" w14:textId="77777777" w:rsidR="007E34FA" w:rsidRDefault="007E34FA">
            <w:pPr>
              <w:jc w:val="center"/>
            </w:pPr>
            <w:r>
              <w:t>62.5%</w:t>
            </w:r>
          </w:p>
        </w:tc>
        <w:tc>
          <w:tcPr>
            <w:tcW w:w="1593" w:type="dxa"/>
            <w:tcBorders>
              <w:top w:val="single" w:sz="8" w:space="0" w:color="auto"/>
              <w:left w:val="nil"/>
              <w:bottom w:val="single" w:sz="8" w:space="0" w:color="auto"/>
              <w:right w:val="nil"/>
            </w:tcBorders>
            <w:noWrap/>
            <w:hideMark/>
          </w:tcPr>
          <w:p w14:paraId="281B8BA1" w14:textId="77777777" w:rsidR="007E34FA" w:rsidRDefault="007E34FA">
            <w:pPr>
              <w:jc w:val="center"/>
            </w:pPr>
            <w:r>
              <w:t>63.1%</w:t>
            </w:r>
          </w:p>
        </w:tc>
      </w:tr>
      <w:tr w:rsidR="007E34FA" w14:paraId="79AEDAB7" w14:textId="77777777" w:rsidTr="007E34FA">
        <w:trPr>
          <w:trHeight w:val="300"/>
        </w:trPr>
        <w:tc>
          <w:tcPr>
            <w:tcW w:w="3004" w:type="dxa"/>
            <w:tcBorders>
              <w:top w:val="single" w:sz="8" w:space="0" w:color="auto"/>
              <w:left w:val="nil"/>
              <w:bottom w:val="single" w:sz="8" w:space="0" w:color="auto"/>
              <w:right w:val="nil"/>
            </w:tcBorders>
            <w:noWrap/>
            <w:hideMark/>
          </w:tcPr>
          <w:p w14:paraId="7931A7BC" w14:textId="77777777" w:rsidR="007E34FA" w:rsidRDefault="007E34FA">
            <w:r>
              <w:t>Black</w:t>
            </w:r>
          </w:p>
        </w:tc>
        <w:tc>
          <w:tcPr>
            <w:tcW w:w="1473" w:type="dxa"/>
            <w:tcBorders>
              <w:top w:val="single" w:sz="8" w:space="0" w:color="auto"/>
              <w:left w:val="nil"/>
              <w:bottom w:val="single" w:sz="8" w:space="0" w:color="auto"/>
              <w:right w:val="nil"/>
            </w:tcBorders>
            <w:noWrap/>
            <w:hideMark/>
          </w:tcPr>
          <w:p w14:paraId="00FCBDCE" w14:textId="77777777" w:rsidR="007E34FA" w:rsidRDefault="007E34FA">
            <w:pPr>
              <w:jc w:val="center"/>
            </w:pPr>
            <w:r>
              <w:t>4.9%</w:t>
            </w:r>
          </w:p>
        </w:tc>
        <w:tc>
          <w:tcPr>
            <w:tcW w:w="1473" w:type="dxa"/>
            <w:tcBorders>
              <w:top w:val="single" w:sz="8" w:space="0" w:color="auto"/>
              <w:left w:val="nil"/>
              <w:bottom w:val="single" w:sz="8" w:space="0" w:color="auto"/>
              <w:right w:val="nil"/>
            </w:tcBorders>
            <w:noWrap/>
            <w:hideMark/>
          </w:tcPr>
          <w:p w14:paraId="7B0A2787" w14:textId="77777777" w:rsidR="007E34FA" w:rsidRDefault="007E34FA">
            <w:pPr>
              <w:jc w:val="center"/>
            </w:pPr>
            <w:r>
              <w:t>6.7%</w:t>
            </w:r>
          </w:p>
        </w:tc>
        <w:tc>
          <w:tcPr>
            <w:tcW w:w="1473" w:type="dxa"/>
            <w:tcBorders>
              <w:top w:val="single" w:sz="8" w:space="0" w:color="auto"/>
              <w:left w:val="nil"/>
              <w:bottom w:val="single" w:sz="8" w:space="0" w:color="auto"/>
              <w:right w:val="nil"/>
            </w:tcBorders>
            <w:noWrap/>
            <w:hideMark/>
          </w:tcPr>
          <w:p w14:paraId="4F9B5FE0" w14:textId="77777777" w:rsidR="007E34FA" w:rsidRDefault="007E34FA">
            <w:pPr>
              <w:jc w:val="center"/>
            </w:pPr>
            <w:r>
              <w:t>8.0%</w:t>
            </w:r>
          </w:p>
        </w:tc>
        <w:tc>
          <w:tcPr>
            <w:tcW w:w="1593" w:type="dxa"/>
            <w:tcBorders>
              <w:top w:val="single" w:sz="8" w:space="0" w:color="auto"/>
              <w:left w:val="nil"/>
              <w:bottom w:val="single" w:sz="8" w:space="0" w:color="auto"/>
              <w:right w:val="nil"/>
            </w:tcBorders>
            <w:noWrap/>
            <w:hideMark/>
          </w:tcPr>
          <w:p w14:paraId="16BA0718" w14:textId="77777777" w:rsidR="007E34FA" w:rsidRDefault="007E34FA">
            <w:pPr>
              <w:jc w:val="center"/>
            </w:pPr>
            <w:r>
              <w:t>9.9%</w:t>
            </w:r>
          </w:p>
        </w:tc>
      </w:tr>
      <w:tr w:rsidR="007E34FA" w14:paraId="6128CAC1" w14:textId="77777777" w:rsidTr="007E34FA">
        <w:trPr>
          <w:trHeight w:val="300"/>
        </w:trPr>
        <w:tc>
          <w:tcPr>
            <w:tcW w:w="3004" w:type="dxa"/>
            <w:tcBorders>
              <w:top w:val="single" w:sz="8" w:space="0" w:color="auto"/>
              <w:left w:val="nil"/>
              <w:bottom w:val="single" w:sz="8" w:space="0" w:color="auto"/>
              <w:right w:val="nil"/>
            </w:tcBorders>
            <w:noWrap/>
            <w:hideMark/>
          </w:tcPr>
          <w:p w14:paraId="440984C2" w14:textId="77777777" w:rsidR="007E34FA" w:rsidRDefault="007E34FA">
            <w:r>
              <w:t>Hispanic</w:t>
            </w:r>
          </w:p>
        </w:tc>
        <w:tc>
          <w:tcPr>
            <w:tcW w:w="1473" w:type="dxa"/>
            <w:tcBorders>
              <w:top w:val="single" w:sz="8" w:space="0" w:color="auto"/>
              <w:left w:val="nil"/>
              <w:bottom w:val="single" w:sz="8" w:space="0" w:color="auto"/>
              <w:right w:val="nil"/>
            </w:tcBorders>
            <w:noWrap/>
            <w:hideMark/>
          </w:tcPr>
          <w:p w14:paraId="3C36DE11" w14:textId="77777777" w:rsidR="007E34FA" w:rsidRDefault="007E34FA">
            <w:pPr>
              <w:jc w:val="center"/>
            </w:pPr>
            <w:r>
              <w:t>4.3%</w:t>
            </w:r>
          </w:p>
        </w:tc>
        <w:tc>
          <w:tcPr>
            <w:tcW w:w="1473" w:type="dxa"/>
            <w:tcBorders>
              <w:top w:val="single" w:sz="8" w:space="0" w:color="auto"/>
              <w:left w:val="nil"/>
              <w:bottom w:val="single" w:sz="8" w:space="0" w:color="auto"/>
              <w:right w:val="nil"/>
            </w:tcBorders>
            <w:noWrap/>
            <w:hideMark/>
          </w:tcPr>
          <w:p w14:paraId="1FF218FB" w14:textId="77777777" w:rsidR="007E34FA" w:rsidRDefault="007E34FA">
            <w:pPr>
              <w:jc w:val="center"/>
            </w:pPr>
            <w:r>
              <w:t>5.9%</w:t>
            </w:r>
          </w:p>
        </w:tc>
        <w:tc>
          <w:tcPr>
            <w:tcW w:w="1473" w:type="dxa"/>
            <w:tcBorders>
              <w:top w:val="single" w:sz="8" w:space="0" w:color="auto"/>
              <w:left w:val="nil"/>
              <w:bottom w:val="single" w:sz="8" w:space="0" w:color="auto"/>
              <w:right w:val="nil"/>
            </w:tcBorders>
            <w:noWrap/>
            <w:hideMark/>
          </w:tcPr>
          <w:p w14:paraId="25B510C1" w14:textId="77777777" w:rsidR="007E34FA" w:rsidRDefault="007E34FA">
            <w:pPr>
              <w:jc w:val="center"/>
            </w:pPr>
            <w:r>
              <w:t>6.2%</w:t>
            </w:r>
          </w:p>
        </w:tc>
        <w:tc>
          <w:tcPr>
            <w:tcW w:w="1593" w:type="dxa"/>
            <w:tcBorders>
              <w:top w:val="single" w:sz="8" w:space="0" w:color="auto"/>
              <w:left w:val="nil"/>
              <w:bottom w:val="single" w:sz="8" w:space="0" w:color="auto"/>
              <w:right w:val="nil"/>
            </w:tcBorders>
            <w:noWrap/>
            <w:hideMark/>
          </w:tcPr>
          <w:p w14:paraId="2E507F1A" w14:textId="77777777" w:rsidR="007E34FA" w:rsidRDefault="007E34FA">
            <w:pPr>
              <w:jc w:val="center"/>
            </w:pPr>
            <w:r>
              <w:t>6.8%</w:t>
            </w:r>
          </w:p>
        </w:tc>
      </w:tr>
      <w:tr w:rsidR="007E34FA" w14:paraId="28721114" w14:textId="77777777" w:rsidTr="007E34FA">
        <w:trPr>
          <w:trHeight w:val="300"/>
        </w:trPr>
        <w:tc>
          <w:tcPr>
            <w:tcW w:w="3004" w:type="dxa"/>
            <w:tcBorders>
              <w:top w:val="single" w:sz="8" w:space="0" w:color="auto"/>
              <w:left w:val="nil"/>
              <w:bottom w:val="single" w:sz="8" w:space="0" w:color="auto"/>
              <w:right w:val="nil"/>
            </w:tcBorders>
            <w:noWrap/>
            <w:hideMark/>
          </w:tcPr>
          <w:p w14:paraId="74F744CC" w14:textId="77777777" w:rsidR="007E34FA" w:rsidRDefault="007E34FA">
            <w:r>
              <w:t>Asian/Pacific Islander</w:t>
            </w:r>
          </w:p>
        </w:tc>
        <w:tc>
          <w:tcPr>
            <w:tcW w:w="1473" w:type="dxa"/>
            <w:tcBorders>
              <w:top w:val="single" w:sz="8" w:space="0" w:color="auto"/>
              <w:left w:val="nil"/>
              <w:bottom w:val="single" w:sz="8" w:space="0" w:color="auto"/>
              <w:right w:val="nil"/>
            </w:tcBorders>
            <w:noWrap/>
            <w:hideMark/>
          </w:tcPr>
          <w:p w14:paraId="4D173B86" w14:textId="77777777" w:rsidR="007E34FA" w:rsidRDefault="007E34FA">
            <w:pPr>
              <w:jc w:val="center"/>
            </w:pPr>
            <w:r>
              <w:t>1.6%</w:t>
            </w:r>
          </w:p>
        </w:tc>
        <w:tc>
          <w:tcPr>
            <w:tcW w:w="1473" w:type="dxa"/>
            <w:tcBorders>
              <w:top w:val="single" w:sz="8" w:space="0" w:color="auto"/>
              <w:left w:val="nil"/>
              <w:bottom w:val="single" w:sz="8" w:space="0" w:color="auto"/>
              <w:right w:val="nil"/>
            </w:tcBorders>
            <w:noWrap/>
            <w:hideMark/>
          </w:tcPr>
          <w:p w14:paraId="0F534F6F" w14:textId="77777777" w:rsidR="007E34FA" w:rsidRDefault="007E34FA">
            <w:pPr>
              <w:jc w:val="center"/>
            </w:pPr>
            <w:r>
              <w:t>1.9%</w:t>
            </w:r>
          </w:p>
        </w:tc>
        <w:tc>
          <w:tcPr>
            <w:tcW w:w="1473" w:type="dxa"/>
            <w:tcBorders>
              <w:top w:val="single" w:sz="8" w:space="0" w:color="auto"/>
              <w:left w:val="nil"/>
              <w:bottom w:val="single" w:sz="8" w:space="0" w:color="auto"/>
              <w:right w:val="nil"/>
            </w:tcBorders>
            <w:noWrap/>
            <w:hideMark/>
          </w:tcPr>
          <w:p w14:paraId="0A1B214E" w14:textId="77777777" w:rsidR="007E34FA" w:rsidRDefault="007E34FA">
            <w:pPr>
              <w:jc w:val="center"/>
            </w:pPr>
            <w:r>
              <w:t>1.7%</w:t>
            </w:r>
          </w:p>
        </w:tc>
        <w:tc>
          <w:tcPr>
            <w:tcW w:w="1593" w:type="dxa"/>
            <w:tcBorders>
              <w:top w:val="single" w:sz="8" w:space="0" w:color="auto"/>
              <w:left w:val="nil"/>
              <w:bottom w:val="single" w:sz="8" w:space="0" w:color="auto"/>
              <w:right w:val="nil"/>
            </w:tcBorders>
            <w:noWrap/>
            <w:hideMark/>
          </w:tcPr>
          <w:p w14:paraId="4DD967DB" w14:textId="77777777" w:rsidR="007E34FA" w:rsidRDefault="007E34FA">
            <w:pPr>
              <w:jc w:val="center"/>
            </w:pPr>
            <w:r>
              <w:t>1.8%</w:t>
            </w:r>
          </w:p>
        </w:tc>
      </w:tr>
      <w:tr w:rsidR="007E34FA" w14:paraId="07AD3722" w14:textId="77777777" w:rsidTr="007E34FA">
        <w:trPr>
          <w:trHeight w:val="300"/>
        </w:trPr>
        <w:tc>
          <w:tcPr>
            <w:tcW w:w="3004" w:type="dxa"/>
            <w:tcBorders>
              <w:top w:val="single" w:sz="8" w:space="0" w:color="auto"/>
              <w:left w:val="nil"/>
              <w:bottom w:val="single" w:sz="8" w:space="0" w:color="auto"/>
              <w:right w:val="nil"/>
            </w:tcBorders>
            <w:noWrap/>
            <w:hideMark/>
          </w:tcPr>
          <w:p w14:paraId="3B0601E9" w14:textId="77777777" w:rsidR="007E34FA" w:rsidRDefault="007E34FA">
            <w:r>
              <w:t>Native American</w:t>
            </w:r>
          </w:p>
        </w:tc>
        <w:tc>
          <w:tcPr>
            <w:tcW w:w="1473" w:type="dxa"/>
            <w:tcBorders>
              <w:top w:val="single" w:sz="8" w:space="0" w:color="auto"/>
              <w:left w:val="nil"/>
              <w:bottom w:val="single" w:sz="8" w:space="0" w:color="auto"/>
              <w:right w:val="nil"/>
            </w:tcBorders>
            <w:noWrap/>
            <w:hideMark/>
          </w:tcPr>
          <w:p w14:paraId="708412B8" w14:textId="77777777" w:rsidR="007E34FA" w:rsidRDefault="007E34FA">
            <w:pPr>
              <w:jc w:val="center"/>
            </w:pPr>
            <w:r>
              <w:t>0.4%</w:t>
            </w:r>
          </w:p>
        </w:tc>
        <w:tc>
          <w:tcPr>
            <w:tcW w:w="1473" w:type="dxa"/>
            <w:tcBorders>
              <w:top w:val="single" w:sz="8" w:space="0" w:color="auto"/>
              <w:left w:val="nil"/>
              <w:bottom w:val="single" w:sz="8" w:space="0" w:color="auto"/>
              <w:right w:val="nil"/>
            </w:tcBorders>
            <w:noWrap/>
            <w:hideMark/>
          </w:tcPr>
          <w:p w14:paraId="15CF1D33" w14:textId="77777777" w:rsidR="007E34FA" w:rsidRDefault="007E34FA">
            <w:pPr>
              <w:jc w:val="center"/>
            </w:pPr>
            <w:r>
              <w:t>0.5%</w:t>
            </w:r>
          </w:p>
        </w:tc>
        <w:tc>
          <w:tcPr>
            <w:tcW w:w="1473" w:type="dxa"/>
            <w:tcBorders>
              <w:top w:val="single" w:sz="8" w:space="0" w:color="auto"/>
              <w:left w:val="nil"/>
              <w:bottom w:val="single" w:sz="8" w:space="0" w:color="auto"/>
              <w:right w:val="nil"/>
            </w:tcBorders>
            <w:noWrap/>
            <w:hideMark/>
          </w:tcPr>
          <w:p w14:paraId="459FE6D9" w14:textId="77777777" w:rsidR="007E34FA" w:rsidRDefault="007E34FA">
            <w:pPr>
              <w:jc w:val="center"/>
            </w:pPr>
            <w:r>
              <w:t>0.5%</w:t>
            </w:r>
          </w:p>
        </w:tc>
        <w:tc>
          <w:tcPr>
            <w:tcW w:w="1593" w:type="dxa"/>
            <w:tcBorders>
              <w:top w:val="single" w:sz="8" w:space="0" w:color="auto"/>
              <w:left w:val="nil"/>
              <w:bottom w:val="single" w:sz="8" w:space="0" w:color="auto"/>
              <w:right w:val="nil"/>
            </w:tcBorders>
            <w:noWrap/>
            <w:hideMark/>
          </w:tcPr>
          <w:p w14:paraId="2267EAF3" w14:textId="77777777" w:rsidR="007E34FA" w:rsidRDefault="007E34FA">
            <w:pPr>
              <w:jc w:val="center"/>
            </w:pPr>
            <w:r>
              <w:t>0.6%</w:t>
            </w:r>
          </w:p>
        </w:tc>
      </w:tr>
      <w:tr w:rsidR="007E34FA" w14:paraId="621A0227" w14:textId="77777777" w:rsidTr="007E34FA">
        <w:trPr>
          <w:trHeight w:val="300"/>
        </w:trPr>
        <w:tc>
          <w:tcPr>
            <w:tcW w:w="3004" w:type="dxa"/>
            <w:tcBorders>
              <w:top w:val="single" w:sz="8" w:space="0" w:color="auto"/>
              <w:left w:val="nil"/>
              <w:bottom w:val="single" w:sz="8" w:space="0" w:color="auto"/>
              <w:right w:val="nil"/>
            </w:tcBorders>
            <w:noWrap/>
            <w:hideMark/>
          </w:tcPr>
          <w:p w14:paraId="1B28D870" w14:textId="77777777" w:rsidR="007E34FA" w:rsidRDefault="007E34FA">
            <w:r>
              <w:t>Other</w:t>
            </w:r>
          </w:p>
        </w:tc>
        <w:tc>
          <w:tcPr>
            <w:tcW w:w="1473" w:type="dxa"/>
            <w:tcBorders>
              <w:top w:val="single" w:sz="8" w:space="0" w:color="auto"/>
              <w:left w:val="nil"/>
              <w:bottom w:val="single" w:sz="8" w:space="0" w:color="auto"/>
              <w:right w:val="nil"/>
            </w:tcBorders>
            <w:noWrap/>
            <w:hideMark/>
          </w:tcPr>
          <w:p w14:paraId="0904064D" w14:textId="77777777" w:rsidR="007E34FA" w:rsidRDefault="007E34FA">
            <w:pPr>
              <w:jc w:val="center"/>
            </w:pPr>
            <w:r>
              <w:t>2.8%</w:t>
            </w:r>
          </w:p>
        </w:tc>
        <w:tc>
          <w:tcPr>
            <w:tcW w:w="1473" w:type="dxa"/>
            <w:tcBorders>
              <w:top w:val="single" w:sz="8" w:space="0" w:color="auto"/>
              <w:left w:val="nil"/>
              <w:bottom w:val="single" w:sz="8" w:space="0" w:color="auto"/>
              <w:right w:val="nil"/>
            </w:tcBorders>
            <w:noWrap/>
            <w:hideMark/>
          </w:tcPr>
          <w:p w14:paraId="7A7261A1" w14:textId="77777777" w:rsidR="007E34FA" w:rsidRDefault="007E34FA">
            <w:pPr>
              <w:jc w:val="center"/>
            </w:pPr>
            <w:r>
              <w:t>3.0%</w:t>
            </w:r>
          </w:p>
        </w:tc>
        <w:tc>
          <w:tcPr>
            <w:tcW w:w="1473" w:type="dxa"/>
            <w:tcBorders>
              <w:top w:val="single" w:sz="8" w:space="0" w:color="auto"/>
              <w:left w:val="nil"/>
              <w:bottom w:val="single" w:sz="8" w:space="0" w:color="auto"/>
              <w:right w:val="nil"/>
            </w:tcBorders>
            <w:noWrap/>
            <w:hideMark/>
          </w:tcPr>
          <w:p w14:paraId="11185D65" w14:textId="77777777" w:rsidR="007E34FA" w:rsidRDefault="007E34FA">
            <w:pPr>
              <w:jc w:val="center"/>
            </w:pPr>
            <w:r>
              <w:t>2.7%</w:t>
            </w:r>
          </w:p>
        </w:tc>
        <w:tc>
          <w:tcPr>
            <w:tcW w:w="1593" w:type="dxa"/>
            <w:tcBorders>
              <w:top w:val="single" w:sz="8" w:space="0" w:color="auto"/>
              <w:left w:val="nil"/>
              <w:bottom w:val="single" w:sz="8" w:space="0" w:color="auto"/>
              <w:right w:val="nil"/>
            </w:tcBorders>
            <w:noWrap/>
            <w:hideMark/>
          </w:tcPr>
          <w:p w14:paraId="6EC3A190" w14:textId="77777777" w:rsidR="007E34FA" w:rsidRDefault="007E34FA">
            <w:pPr>
              <w:jc w:val="center"/>
            </w:pPr>
            <w:r>
              <w:t>2.7%</w:t>
            </w:r>
          </w:p>
        </w:tc>
      </w:tr>
      <w:tr w:rsidR="007E34FA" w14:paraId="27A5EE0C" w14:textId="77777777" w:rsidTr="007E34FA">
        <w:trPr>
          <w:trHeight w:val="300"/>
        </w:trPr>
        <w:tc>
          <w:tcPr>
            <w:tcW w:w="3004" w:type="dxa"/>
            <w:tcBorders>
              <w:top w:val="single" w:sz="8" w:space="0" w:color="auto"/>
              <w:left w:val="nil"/>
              <w:bottom w:val="single" w:sz="8" w:space="0" w:color="auto"/>
              <w:right w:val="nil"/>
            </w:tcBorders>
            <w:noWrap/>
            <w:hideMark/>
          </w:tcPr>
          <w:p w14:paraId="1AD1814A" w14:textId="77777777" w:rsidR="007E34FA" w:rsidRDefault="007E34FA">
            <w:r>
              <w:t>Missing Race</w:t>
            </w:r>
          </w:p>
        </w:tc>
        <w:tc>
          <w:tcPr>
            <w:tcW w:w="1473" w:type="dxa"/>
            <w:tcBorders>
              <w:top w:val="single" w:sz="8" w:space="0" w:color="auto"/>
              <w:left w:val="nil"/>
              <w:bottom w:val="single" w:sz="8" w:space="0" w:color="auto"/>
              <w:right w:val="nil"/>
            </w:tcBorders>
            <w:noWrap/>
            <w:hideMark/>
          </w:tcPr>
          <w:p w14:paraId="7259B5AB" w14:textId="77777777" w:rsidR="007E34FA" w:rsidRDefault="007E34FA">
            <w:pPr>
              <w:jc w:val="center"/>
            </w:pPr>
            <w:r>
              <w:t>21.5%</w:t>
            </w:r>
          </w:p>
        </w:tc>
        <w:tc>
          <w:tcPr>
            <w:tcW w:w="1473" w:type="dxa"/>
            <w:tcBorders>
              <w:top w:val="single" w:sz="8" w:space="0" w:color="auto"/>
              <w:left w:val="nil"/>
              <w:bottom w:val="single" w:sz="8" w:space="0" w:color="auto"/>
              <w:right w:val="nil"/>
            </w:tcBorders>
            <w:noWrap/>
            <w:hideMark/>
          </w:tcPr>
          <w:p w14:paraId="769B4D64" w14:textId="77777777" w:rsidR="007E34FA" w:rsidRDefault="007E34FA">
            <w:pPr>
              <w:jc w:val="center"/>
            </w:pPr>
            <w:r>
              <w:t>20.0%</w:t>
            </w:r>
          </w:p>
        </w:tc>
        <w:tc>
          <w:tcPr>
            <w:tcW w:w="1473" w:type="dxa"/>
            <w:tcBorders>
              <w:top w:val="single" w:sz="8" w:space="0" w:color="auto"/>
              <w:left w:val="nil"/>
              <w:bottom w:val="single" w:sz="8" w:space="0" w:color="auto"/>
              <w:right w:val="nil"/>
            </w:tcBorders>
            <w:noWrap/>
            <w:hideMark/>
          </w:tcPr>
          <w:p w14:paraId="3EF4E14D" w14:textId="77777777" w:rsidR="007E34FA" w:rsidRDefault="007E34FA">
            <w:pPr>
              <w:jc w:val="center"/>
            </w:pPr>
            <w:r>
              <w:t>18.4%</w:t>
            </w:r>
          </w:p>
        </w:tc>
        <w:tc>
          <w:tcPr>
            <w:tcW w:w="1593" w:type="dxa"/>
            <w:tcBorders>
              <w:top w:val="single" w:sz="8" w:space="0" w:color="auto"/>
              <w:left w:val="nil"/>
              <w:bottom w:val="single" w:sz="8" w:space="0" w:color="auto"/>
              <w:right w:val="nil"/>
            </w:tcBorders>
            <w:noWrap/>
            <w:hideMark/>
          </w:tcPr>
          <w:p w14:paraId="53741712" w14:textId="77777777" w:rsidR="007E34FA" w:rsidRDefault="007E34FA">
            <w:pPr>
              <w:jc w:val="center"/>
            </w:pPr>
            <w:r>
              <w:t>15.3%</w:t>
            </w:r>
          </w:p>
        </w:tc>
      </w:tr>
      <w:tr w:rsidR="007E34FA" w14:paraId="22A13E78" w14:textId="77777777" w:rsidTr="007E34FA">
        <w:trPr>
          <w:trHeight w:val="300"/>
        </w:trPr>
        <w:tc>
          <w:tcPr>
            <w:tcW w:w="3004" w:type="dxa"/>
            <w:tcBorders>
              <w:top w:val="single" w:sz="8" w:space="0" w:color="auto"/>
              <w:left w:val="nil"/>
              <w:bottom w:val="single" w:sz="8" w:space="0" w:color="auto"/>
              <w:right w:val="nil"/>
            </w:tcBorders>
            <w:noWrap/>
            <w:hideMark/>
          </w:tcPr>
          <w:p w14:paraId="23AA1A67" w14:textId="77777777" w:rsidR="007E34FA" w:rsidRDefault="007E34FA">
            <w:r>
              <w:t>Admission types - Elective admission</w:t>
            </w:r>
          </w:p>
        </w:tc>
        <w:tc>
          <w:tcPr>
            <w:tcW w:w="1473" w:type="dxa"/>
            <w:tcBorders>
              <w:top w:val="single" w:sz="8" w:space="0" w:color="auto"/>
              <w:left w:val="nil"/>
              <w:bottom w:val="single" w:sz="8" w:space="0" w:color="auto"/>
              <w:right w:val="nil"/>
            </w:tcBorders>
            <w:noWrap/>
            <w:hideMark/>
          </w:tcPr>
          <w:p w14:paraId="4FC3A54D" w14:textId="77777777" w:rsidR="007E34FA" w:rsidRDefault="007E34FA">
            <w:pPr>
              <w:jc w:val="center"/>
            </w:pPr>
            <w:r>
              <w:t>28.9%</w:t>
            </w:r>
          </w:p>
        </w:tc>
        <w:tc>
          <w:tcPr>
            <w:tcW w:w="1473" w:type="dxa"/>
            <w:tcBorders>
              <w:top w:val="single" w:sz="8" w:space="0" w:color="auto"/>
              <w:left w:val="nil"/>
              <w:bottom w:val="single" w:sz="8" w:space="0" w:color="auto"/>
              <w:right w:val="nil"/>
            </w:tcBorders>
            <w:noWrap/>
            <w:hideMark/>
          </w:tcPr>
          <w:p w14:paraId="1FA96A8B" w14:textId="77777777" w:rsidR="007E34FA" w:rsidRDefault="007E34FA">
            <w:pPr>
              <w:jc w:val="center"/>
            </w:pPr>
            <w:r>
              <w:t>28.6%</w:t>
            </w:r>
          </w:p>
        </w:tc>
        <w:tc>
          <w:tcPr>
            <w:tcW w:w="1473" w:type="dxa"/>
            <w:tcBorders>
              <w:top w:val="single" w:sz="8" w:space="0" w:color="auto"/>
              <w:left w:val="nil"/>
              <w:bottom w:val="single" w:sz="8" w:space="0" w:color="auto"/>
              <w:right w:val="nil"/>
            </w:tcBorders>
            <w:noWrap/>
            <w:hideMark/>
          </w:tcPr>
          <w:p w14:paraId="41691BBB" w14:textId="77777777" w:rsidR="007E34FA" w:rsidRDefault="007E34FA">
            <w:pPr>
              <w:jc w:val="center"/>
            </w:pPr>
            <w:r>
              <w:t>24.6%</w:t>
            </w:r>
          </w:p>
        </w:tc>
        <w:tc>
          <w:tcPr>
            <w:tcW w:w="1593" w:type="dxa"/>
            <w:tcBorders>
              <w:top w:val="single" w:sz="8" w:space="0" w:color="auto"/>
              <w:left w:val="nil"/>
              <w:bottom w:val="single" w:sz="8" w:space="0" w:color="auto"/>
              <w:right w:val="nil"/>
            </w:tcBorders>
            <w:noWrap/>
            <w:hideMark/>
          </w:tcPr>
          <w:p w14:paraId="7859A87A" w14:textId="77777777" w:rsidR="007E34FA" w:rsidRDefault="007E34FA">
            <w:pPr>
              <w:jc w:val="center"/>
            </w:pPr>
            <w:r>
              <w:t>19.7%</w:t>
            </w:r>
          </w:p>
        </w:tc>
      </w:tr>
      <w:tr w:rsidR="007E34FA" w14:paraId="709D1214" w14:textId="77777777" w:rsidTr="007E34FA">
        <w:trPr>
          <w:trHeight w:val="300"/>
        </w:trPr>
        <w:tc>
          <w:tcPr>
            <w:tcW w:w="3004" w:type="dxa"/>
            <w:tcBorders>
              <w:top w:val="single" w:sz="8" w:space="0" w:color="auto"/>
              <w:left w:val="nil"/>
              <w:bottom w:val="single" w:sz="8" w:space="0" w:color="auto"/>
              <w:right w:val="nil"/>
            </w:tcBorders>
            <w:noWrap/>
            <w:hideMark/>
          </w:tcPr>
          <w:p w14:paraId="1EE635AC" w14:textId="77777777" w:rsidR="007E34FA" w:rsidRDefault="007E34FA">
            <w:r>
              <w:t>Admission Day, Weekday</w:t>
            </w:r>
          </w:p>
        </w:tc>
        <w:tc>
          <w:tcPr>
            <w:tcW w:w="1473" w:type="dxa"/>
            <w:tcBorders>
              <w:top w:val="single" w:sz="8" w:space="0" w:color="auto"/>
              <w:left w:val="nil"/>
              <w:bottom w:val="single" w:sz="8" w:space="0" w:color="auto"/>
              <w:right w:val="nil"/>
            </w:tcBorders>
            <w:noWrap/>
            <w:hideMark/>
          </w:tcPr>
          <w:p w14:paraId="00A5C42E" w14:textId="77777777" w:rsidR="007E34FA" w:rsidRDefault="007E34FA">
            <w:pPr>
              <w:jc w:val="center"/>
            </w:pPr>
            <w:r>
              <w:t>84.3%</w:t>
            </w:r>
          </w:p>
        </w:tc>
        <w:tc>
          <w:tcPr>
            <w:tcW w:w="1473" w:type="dxa"/>
            <w:tcBorders>
              <w:top w:val="single" w:sz="8" w:space="0" w:color="auto"/>
              <w:left w:val="nil"/>
              <w:bottom w:val="single" w:sz="8" w:space="0" w:color="auto"/>
              <w:right w:val="nil"/>
            </w:tcBorders>
            <w:noWrap/>
            <w:hideMark/>
          </w:tcPr>
          <w:p w14:paraId="7263D121" w14:textId="77777777" w:rsidR="007E34FA" w:rsidRDefault="007E34FA">
            <w:pPr>
              <w:jc w:val="center"/>
            </w:pPr>
            <w:r>
              <w:t>84.6%</w:t>
            </w:r>
          </w:p>
        </w:tc>
        <w:tc>
          <w:tcPr>
            <w:tcW w:w="1473" w:type="dxa"/>
            <w:tcBorders>
              <w:top w:val="single" w:sz="8" w:space="0" w:color="auto"/>
              <w:left w:val="nil"/>
              <w:bottom w:val="single" w:sz="8" w:space="0" w:color="auto"/>
              <w:right w:val="nil"/>
            </w:tcBorders>
            <w:noWrap/>
            <w:hideMark/>
          </w:tcPr>
          <w:p w14:paraId="7A5AD692" w14:textId="77777777" w:rsidR="007E34FA" w:rsidRDefault="007E34FA">
            <w:pPr>
              <w:jc w:val="center"/>
            </w:pPr>
            <w:r>
              <w:t>83.2%</w:t>
            </w:r>
          </w:p>
        </w:tc>
        <w:tc>
          <w:tcPr>
            <w:tcW w:w="1593" w:type="dxa"/>
            <w:tcBorders>
              <w:top w:val="single" w:sz="8" w:space="0" w:color="auto"/>
              <w:left w:val="nil"/>
              <w:bottom w:val="single" w:sz="8" w:space="0" w:color="auto"/>
              <w:right w:val="nil"/>
            </w:tcBorders>
            <w:noWrap/>
            <w:hideMark/>
          </w:tcPr>
          <w:p w14:paraId="09E6A6E3" w14:textId="77777777" w:rsidR="007E34FA" w:rsidRDefault="007E34FA">
            <w:pPr>
              <w:jc w:val="center"/>
            </w:pPr>
            <w:r>
              <w:t>81.4%</w:t>
            </w:r>
          </w:p>
        </w:tc>
      </w:tr>
      <w:tr w:rsidR="007E34FA" w14:paraId="4555E5AC" w14:textId="77777777" w:rsidTr="007E34FA">
        <w:trPr>
          <w:trHeight w:val="300"/>
        </w:trPr>
        <w:tc>
          <w:tcPr>
            <w:tcW w:w="3004" w:type="dxa"/>
            <w:tcBorders>
              <w:top w:val="single" w:sz="8" w:space="0" w:color="auto"/>
              <w:left w:val="nil"/>
              <w:bottom w:val="single" w:sz="8" w:space="0" w:color="auto"/>
              <w:right w:val="nil"/>
            </w:tcBorders>
            <w:noWrap/>
            <w:hideMark/>
          </w:tcPr>
          <w:p w14:paraId="54CB6B45" w14:textId="77777777" w:rsidR="007E34FA" w:rsidRDefault="007E34FA">
            <w:r>
              <w:t>Median length of stay, [IQR] (days)</w:t>
            </w:r>
          </w:p>
        </w:tc>
        <w:tc>
          <w:tcPr>
            <w:tcW w:w="1473" w:type="dxa"/>
            <w:tcBorders>
              <w:top w:val="single" w:sz="8" w:space="0" w:color="auto"/>
              <w:left w:val="nil"/>
              <w:bottom w:val="single" w:sz="8" w:space="0" w:color="auto"/>
              <w:right w:val="nil"/>
            </w:tcBorders>
            <w:noWrap/>
            <w:hideMark/>
          </w:tcPr>
          <w:p w14:paraId="1ADF2663" w14:textId="77777777" w:rsidR="007E34FA" w:rsidRDefault="007E34FA">
            <w:pPr>
              <w:jc w:val="center"/>
            </w:pPr>
            <w:r>
              <w:t>2 [1-3]</w:t>
            </w:r>
          </w:p>
        </w:tc>
        <w:tc>
          <w:tcPr>
            <w:tcW w:w="1473" w:type="dxa"/>
            <w:tcBorders>
              <w:top w:val="single" w:sz="8" w:space="0" w:color="auto"/>
              <w:left w:val="nil"/>
              <w:bottom w:val="single" w:sz="8" w:space="0" w:color="auto"/>
              <w:right w:val="nil"/>
            </w:tcBorders>
            <w:noWrap/>
            <w:hideMark/>
          </w:tcPr>
          <w:p w14:paraId="7DD06227" w14:textId="77777777" w:rsidR="007E34FA" w:rsidRDefault="007E34FA">
            <w:pPr>
              <w:jc w:val="center"/>
            </w:pPr>
            <w:r>
              <w:t>2 [1-4]</w:t>
            </w:r>
          </w:p>
        </w:tc>
        <w:tc>
          <w:tcPr>
            <w:tcW w:w="1473" w:type="dxa"/>
            <w:tcBorders>
              <w:top w:val="single" w:sz="8" w:space="0" w:color="auto"/>
              <w:left w:val="nil"/>
              <w:bottom w:val="single" w:sz="8" w:space="0" w:color="auto"/>
              <w:right w:val="nil"/>
            </w:tcBorders>
            <w:noWrap/>
            <w:hideMark/>
          </w:tcPr>
          <w:p w14:paraId="3E52693B" w14:textId="77777777" w:rsidR="007E34FA" w:rsidRDefault="007E34FA">
            <w:pPr>
              <w:jc w:val="center"/>
            </w:pPr>
            <w:r>
              <w:t>3 [1-5]</w:t>
            </w:r>
          </w:p>
        </w:tc>
        <w:tc>
          <w:tcPr>
            <w:tcW w:w="1593" w:type="dxa"/>
            <w:tcBorders>
              <w:top w:val="single" w:sz="8" w:space="0" w:color="auto"/>
              <w:left w:val="nil"/>
              <w:bottom w:val="single" w:sz="8" w:space="0" w:color="auto"/>
              <w:right w:val="nil"/>
            </w:tcBorders>
            <w:noWrap/>
            <w:hideMark/>
          </w:tcPr>
          <w:p w14:paraId="7A9BC808" w14:textId="77777777" w:rsidR="007E34FA" w:rsidRDefault="007E34FA">
            <w:pPr>
              <w:jc w:val="center"/>
            </w:pPr>
            <w:r>
              <w:t>4 [2-7]</w:t>
            </w:r>
          </w:p>
        </w:tc>
      </w:tr>
      <w:tr w:rsidR="007E34FA" w14:paraId="3C864BDC" w14:textId="77777777" w:rsidTr="007E34FA">
        <w:trPr>
          <w:trHeight w:val="300"/>
        </w:trPr>
        <w:tc>
          <w:tcPr>
            <w:tcW w:w="3004" w:type="dxa"/>
            <w:tcBorders>
              <w:top w:val="single" w:sz="8" w:space="0" w:color="auto"/>
              <w:left w:val="nil"/>
              <w:bottom w:val="single" w:sz="8" w:space="0" w:color="auto"/>
              <w:right w:val="nil"/>
            </w:tcBorders>
            <w:noWrap/>
            <w:hideMark/>
          </w:tcPr>
          <w:p w14:paraId="0B58E09D" w14:textId="77777777" w:rsidR="007E34FA" w:rsidRDefault="007E34FA">
            <w:r>
              <w:t>Median total charge, [IQR] (dollars)</w:t>
            </w:r>
          </w:p>
        </w:tc>
        <w:tc>
          <w:tcPr>
            <w:tcW w:w="1473" w:type="dxa"/>
            <w:tcBorders>
              <w:top w:val="single" w:sz="8" w:space="0" w:color="auto"/>
              <w:left w:val="nil"/>
              <w:bottom w:val="single" w:sz="8" w:space="0" w:color="auto"/>
              <w:right w:val="nil"/>
            </w:tcBorders>
            <w:noWrap/>
            <w:hideMark/>
          </w:tcPr>
          <w:p w14:paraId="6BAD9470" w14:textId="77777777" w:rsidR="007E34FA" w:rsidRDefault="007E34FA">
            <w:pPr>
              <w:jc w:val="center"/>
            </w:pPr>
            <w:r>
              <w:t>$16522</w:t>
            </w:r>
          </w:p>
          <w:p w14:paraId="7D248FBC" w14:textId="77777777" w:rsidR="007E34FA" w:rsidRDefault="007E34FA">
            <w:pPr>
              <w:jc w:val="center"/>
            </w:pPr>
            <w:r>
              <w:t>[$12455-$22288]</w:t>
            </w:r>
          </w:p>
        </w:tc>
        <w:tc>
          <w:tcPr>
            <w:tcW w:w="1473" w:type="dxa"/>
            <w:tcBorders>
              <w:top w:val="single" w:sz="8" w:space="0" w:color="auto"/>
              <w:left w:val="nil"/>
              <w:bottom w:val="single" w:sz="8" w:space="0" w:color="auto"/>
              <w:right w:val="nil"/>
            </w:tcBorders>
            <w:noWrap/>
            <w:hideMark/>
          </w:tcPr>
          <w:p w14:paraId="7EAB13A8" w14:textId="77777777" w:rsidR="007E34FA" w:rsidRDefault="007E34FA">
            <w:pPr>
              <w:jc w:val="center"/>
            </w:pPr>
            <w:r>
              <w:t>$17277</w:t>
            </w:r>
          </w:p>
          <w:p w14:paraId="041E17AF" w14:textId="77777777" w:rsidR="007E34FA" w:rsidRDefault="007E34FA">
            <w:pPr>
              <w:jc w:val="center"/>
            </w:pPr>
            <w:r>
              <w:t>[$12854-$24022]</w:t>
            </w:r>
          </w:p>
        </w:tc>
        <w:tc>
          <w:tcPr>
            <w:tcW w:w="1473" w:type="dxa"/>
            <w:tcBorders>
              <w:top w:val="single" w:sz="8" w:space="0" w:color="auto"/>
              <w:left w:val="nil"/>
              <w:bottom w:val="single" w:sz="8" w:space="0" w:color="auto"/>
              <w:right w:val="nil"/>
            </w:tcBorders>
            <w:noWrap/>
            <w:hideMark/>
          </w:tcPr>
          <w:p w14:paraId="117F4D99" w14:textId="77777777" w:rsidR="007E34FA" w:rsidRDefault="007E34FA">
            <w:pPr>
              <w:jc w:val="center"/>
            </w:pPr>
            <w:r>
              <w:t>$18921</w:t>
            </w:r>
          </w:p>
          <w:p w14:paraId="5BD0A2D3" w14:textId="77777777" w:rsidR="007E34FA" w:rsidRDefault="007E34FA">
            <w:pPr>
              <w:jc w:val="center"/>
            </w:pPr>
            <w:r>
              <w:t>[$13801-$27211]</w:t>
            </w:r>
          </w:p>
        </w:tc>
        <w:tc>
          <w:tcPr>
            <w:tcW w:w="1593" w:type="dxa"/>
            <w:tcBorders>
              <w:top w:val="single" w:sz="8" w:space="0" w:color="auto"/>
              <w:left w:val="nil"/>
              <w:bottom w:val="single" w:sz="8" w:space="0" w:color="auto"/>
              <w:right w:val="nil"/>
            </w:tcBorders>
            <w:noWrap/>
            <w:hideMark/>
          </w:tcPr>
          <w:p w14:paraId="6E0353FD" w14:textId="77777777" w:rsidR="007E34FA" w:rsidRDefault="007E34FA">
            <w:pPr>
              <w:jc w:val="center"/>
            </w:pPr>
            <w:r>
              <w:t>$21635</w:t>
            </w:r>
          </w:p>
          <w:p w14:paraId="10B9FADD" w14:textId="77777777" w:rsidR="007E34FA" w:rsidRDefault="007E34FA">
            <w:pPr>
              <w:jc w:val="center"/>
            </w:pPr>
            <w:r>
              <w:t>[$15454-</w:t>
            </w:r>
          </w:p>
          <w:p w14:paraId="49D99DC4" w14:textId="77777777" w:rsidR="007E34FA" w:rsidRDefault="007E34FA">
            <w:pPr>
              <w:jc w:val="center"/>
            </w:pPr>
            <w:r>
              <w:t>$32150]</w:t>
            </w:r>
          </w:p>
        </w:tc>
      </w:tr>
      <w:tr w:rsidR="007E34FA" w14:paraId="39EDBF8E" w14:textId="77777777" w:rsidTr="007E34FA">
        <w:trPr>
          <w:trHeight w:val="300"/>
        </w:trPr>
        <w:tc>
          <w:tcPr>
            <w:tcW w:w="3004" w:type="dxa"/>
            <w:tcBorders>
              <w:top w:val="single" w:sz="8" w:space="0" w:color="auto"/>
              <w:left w:val="nil"/>
              <w:bottom w:val="single" w:sz="8" w:space="0" w:color="auto"/>
              <w:right w:val="nil"/>
            </w:tcBorders>
            <w:noWrap/>
            <w:hideMark/>
          </w:tcPr>
          <w:p w14:paraId="071900BB" w14:textId="77777777" w:rsidR="007E34FA" w:rsidRDefault="007E34FA">
            <w:r>
              <w:t>Median ZIP income 1st quartile</w:t>
            </w:r>
          </w:p>
        </w:tc>
        <w:tc>
          <w:tcPr>
            <w:tcW w:w="1473" w:type="dxa"/>
            <w:tcBorders>
              <w:top w:val="single" w:sz="8" w:space="0" w:color="auto"/>
              <w:left w:val="nil"/>
              <w:bottom w:val="single" w:sz="8" w:space="0" w:color="auto"/>
              <w:right w:val="nil"/>
            </w:tcBorders>
            <w:noWrap/>
            <w:hideMark/>
          </w:tcPr>
          <w:p w14:paraId="653DB62F" w14:textId="77777777" w:rsidR="007E34FA" w:rsidRDefault="007E34FA">
            <w:pPr>
              <w:jc w:val="center"/>
            </w:pPr>
            <w:r>
              <w:t>23.6%</w:t>
            </w:r>
          </w:p>
        </w:tc>
        <w:tc>
          <w:tcPr>
            <w:tcW w:w="1473" w:type="dxa"/>
            <w:tcBorders>
              <w:top w:val="single" w:sz="8" w:space="0" w:color="auto"/>
              <w:left w:val="nil"/>
              <w:bottom w:val="single" w:sz="8" w:space="0" w:color="auto"/>
              <w:right w:val="nil"/>
            </w:tcBorders>
            <w:noWrap/>
            <w:hideMark/>
          </w:tcPr>
          <w:p w14:paraId="0B832862" w14:textId="77777777" w:rsidR="007E34FA" w:rsidRDefault="007E34FA">
            <w:pPr>
              <w:jc w:val="center"/>
            </w:pPr>
            <w:r>
              <w:t>27.2%</w:t>
            </w:r>
          </w:p>
        </w:tc>
        <w:tc>
          <w:tcPr>
            <w:tcW w:w="1473" w:type="dxa"/>
            <w:tcBorders>
              <w:top w:val="single" w:sz="8" w:space="0" w:color="auto"/>
              <w:left w:val="nil"/>
              <w:bottom w:val="single" w:sz="8" w:space="0" w:color="auto"/>
              <w:right w:val="nil"/>
            </w:tcBorders>
            <w:noWrap/>
            <w:hideMark/>
          </w:tcPr>
          <w:p w14:paraId="41B0DC04" w14:textId="77777777" w:rsidR="007E34FA" w:rsidRDefault="007E34FA">
            <w:pPr>
              <w:jc w:val="center"/>
            </w:pPr>
            <w:r>
              <w:t>29.6%</w:t>
            </w:r>
          </w:p>
        </w:tc>
        <w:tc>
          <w:tcPr>
            <w:tcW w:w="1593" w:type="dxa"/>
            <w:tcBorders>
              <w:top w:val="single" w:sz="8" w:space="0" w:color="auto"/>
              <w:left w:val="nil"/>
              <w:bottom w:val="single" w:sz="8" w:space="0" w:color="auto"/>
              <w:right w:val="nil"/>
            </w:tcBorders>
            <w:noWrap/>
            <w:hideMark/>
          </w:tcPr>
          <w:p w14:paraId="38F569EF" w14:textId="77777777" w:rsidR="007E34FA" w:rsidRDefault="007E34FA">
            <w:pPr>
              <w:jc w:val="center"/>
            </w:pPr>
            <w:r>
              <w:t>31.1%</w:t>
            </w:r>
          </w:p>
        </w:tc>
      </w:tr>
      <w:tr w:rsidR="007E34FA" w14:paraId="1043AF0C" w14:textId="77777777" w:rsidTr="007E34FA">
        <w:trPr>
          <w:trHeight w:val="300"/>
        </w:trPr>
        <w:tc>
          <w:tcPr>
            <w:tcW w:w="3004" w:type="dxa"/>
            <w:tcBorders>
              <w:top w:val="single" w:sz="8" w:space="0" w:color="auto"/>
              <w:left w:val="nil"/>
              <w:bottom w:val="single" w:sz="8" w:space="0" w:color="auto"/>
              <w:right w:val="nil"/>
            </w:tcBorders>
            <w:noWrap/>
            <w:hideMark/>
          </w:tcPr>
          <w:p w14:paraId="70DA7A3B" w14:textId="77777777" w:rsidR="007E34FA" w:rsidRDefault="007E34FA">
            <w:r>
              <w:t>2nd quartile</w:t>
            </w:r>
          </w:p>
        </w:tc>
        <w:tc>
          <w:tcPr>
            <w:tcW w:w="1473" w:type="dxa"/>
            <w:tcBorders>
              <w:top w:val="single" w:sz="8" w:space="0" w:color="auto"/>
              <w:left w:val="nil"/>
              <w:bottom w:val="single" w:sz="8" w:space="0" w:color="auto"/>
              <w:right w:val="nil"/>
            </w:tcBorders>
            <w:noWrap/>
            <w:hideMark/>
          </w:tcPr>
          <w:p w14:paraId="08902CDD" w14:textId="77777777" w:rsidR="007E34FA" w:rsidRDefault="007E34FA">
            <w:pPr>
              <w:jc w:val="center"/>
            </w:pPr>
            <w:r>
              <w:t>26.1%</w:t>
            </w:r>
          </w:p>
        </w:tc>
        <w:tc>
          <w:tcPr>
            <w:tcW w:w="1473" w:type="dxa"/>
            <w:tcBorders>
              <w:top w:val="single" w:sz="8" w:space="0" w:color="auto"/>
              <w:left w:val="nil"/>
              <w:bottom w:val="single" w:sz="8" w:space="0" w:color="auto"/>
              <w:right w:val="nil"/>
            </w:tcBorders>
            <w:noWrap/>
            <w:hideMark/>
          </w:tcPr>
          <w:p w14:paraId="1E15BE7A" w14:textId="77777777" w:rsidR="007E34FA" w:rsidRDefault="007E34FA">
            <w:pPr>
              <w:jc w:val="center"/>
            </w:pPr>
            <w:r>
              <w:t>27.1%</w:t>
            </w:r>
          </w:p>
        </w:tc>
        <w:tc>
          <w:tcPr>
            <w:tcW w:w="1473" w:type="dxa"/>
            <w:tcBorders>
              <w:top w:val="single" w:sz="8" w:space="0" w:color="auto"/>
              <w:left w:val="nil"/>
              <w:bottom w:val="single" w:sz="8" w:space="0" w:color="auto"/>
              <w:right w:val="nil"/>
            </w:tcBorders>
            <w:noWrap/>
            <w:hideMark/>
          </w:tcPr>
          <w:p w14:paraId="43391DE5" w14:textId="77777777" w:rsidR="007E34FA" w:rsidRDefault="007E34FA">
            <w:pPr>
              <w:jc w:val="center"/>
            </w:pPr>
            <w:r>
              <w:t>27.7%</w:t>
            </w:r>
          </w:p>
        </w:tc>
        <w:tc>
          <w:tcPr>
            <w:tcW w:w="1593" w:type="dxa"/>
            <w:tcBorders>
              <w:top w:val="single" w:sz="8" w:space="0" w:color="auto"/>
              <w:left w:val="nil"/>
              <w:bottom w:val="single" w:sz="8" w:space="0" w:color="auto"/>
              <w:right w:val="nil"/>
            </w:tcBorders>
            <w:noWrap/>
            <w:hideMark/>
          </w:tcPr>
          <w:p w14:paraId="013CB04A" w14:textId="77777777" w:rsidR="007E34FA" w:rsidRDefault="007E34FA">
            <w:pPr>
              <w:jc w:val="center"/>
            </w:pPr>
            <w:r>
              <w:t>27.5%</w:t>
            </w:r>
          </w:p>
        </w:tc>
      </w:tr>
      <w:tr w:rsidR="007E34FA" w14:paraId="02FDFC12" w14:textId="77777777" w:rsidTr="007E34FA">
        <w:trPr>
          <w:trHeight w:val="300"/>
        </w:trPr>
        <w:tc>
          <w:tcPr>
            <w:tcW w:w="3004" w:type="dxa"/>
            <w:tcBorders>
              <w:top w:val="single" w:sz="8" w:space="0" w:color="auto"/>
              <w:left w:val="nil"/>
              <w:bottom w:val="single" w:sz="8" w:space="0" w:color="auto"/>
              <w:right w:val="nil"/>
            </w:tcBorders>
            <w:noWrap/>
            <w:hideMark/>
          </w:tcPr>
          <w:p w14:paraId="0F9F20A0" w14:textId="77777777" w:rsidR="007E34FA" w:rsidRDefault="007E34FA">
            <w:r>
              <w:t>3rd quartile</w:t>
            </w:r>
          </w:p>
        </w:tc>
        <w:tc>
          <w:tcPr>
            <w:tcW w:w="1473" w:type="dxa"/>
            <w:tcBorders>
              <w:top w:val="single" w:sz="8" w:space="0" w:color="auto"/>
              <w:left w:val="nil"/>
              <w:bottom w:val="single" w:sz="8" w:space="0" w:color="auto"/>
              <w:right w:val="nil"/>
            </w:tcBorders>
            <w:noWrap/>
            <w:hideMark/>
          </w:tcPr>
          <w:p w14:paraId="66B3611E" w14:textId="77777777" w:rsidR="007E34FA" w:rsidRDefault="007E34FA">
            <w:pPr>
              <w:jc w:val="center"/>
            </w:pPr>
            <w:r>
              <w:t>25.6%</w:t>
            </w:r>
          </w:p>
        </w:tc>
        <w:tc>
          <w:tcPr>
            <w:tcW w:w="1473" w:type="dxa"/>
            <w:tcBorders>
              <w:top w:val="single" w:sz="8" w:space="0" w:color="auto"/>
              <w:left w:val="nil"/>
              <w:bottom w:val="single" w:sz="8" w:space="0" w:color="auto"/>
              <w:right w:val="nil"/>
            </w:tcBorders>
            <w:noWrap/>
            <w:hideMark/>
          </w:tcPr>
          <w:p w14:paraId="0AA1ACEE" w14:textId="77777777" w:rsidR="007E34FA" w:rsidRDefault="007E34FA">
            <w:pPr>
              <w:jc w:val="center"/>
            </w:pPr>
            <w:r>
              <w:t>24.5%</w:t>
            </w:r>
          </w:p>
        </w:tc>
        <w:tc>
          <w:tcPr>
            <w:tcW w:w="1473" w:type="dxa"/>
            <w:tcBorders>
              <w:top w:val="single" w:sz="8" w:space="0" w:color="auto"/>
              <w:left w:val="nil"/>
              <w:bottom w:val="single" w:sz="8" w:space="0" w:color="auto"/>
              <w:right w:val="nil"/>
            </w:tcBorders>
            <w:noWrap/>
            <w:hideMark/>
          </w:tcPr>
          <w:p w14:paraId="7773ED57" w14:textId="77777777" w:rsidR="007E34FA" w:rsidRDefault="007E34FA">
            <w:pPr>
              <w:jc w:val="center"/>
            </w:pPr>
            <w:r>
              <w:t>23.8%</w:t>
            </w:r>
          </w:p>
        </w:tc>
        <w:tc>
          <w:tcPr>
            <w:tcW w:w="1593" w:type="dxa"/>
            <w:tcBorders>
              <w:top w:val="single" w:sz="8" w:space="0" w:color="auto"/>
              <w:left w:val="nil"/>
              <w:bottom w:val="single" w:sz="8" w:space="0" w:color="auto"/>
              <w:right w:val="nil"/>
            </w:tcBorders>
            <w:noWrap/>
            <w:hideMark/>
          </w:tcPr>
          <w:p w14:paraId="35651C5D" w14:textId="77777777" w:rsidR="007E34FA" w:rsidRDefault="007E34FA">
            <w:pPr>
              <w:jc w:val="center"/>
            </w:pPr>
            <w:r>
              <w:t>23.6%</w:t>
            </w:r>
          </w:p>
        </w:tc>
      </w:tr>
      <w:tr w:rsidR="007E34FA" w14:paraId="37CEC068" w14:textId="77777777" w:rsidTr="007E34FA">
        <w:trPr>
          <w:trHeight w:val="300"/>
        </w:trPr>
        <w:tc>
          <w:tcPr>
            <w:tcW w:w="3004" w:type="dxa"/>
            <w:tcBorders>
              <w:top w:val="single" w:sz="8" w:space="0" w:color="auto"/>
              <w:left w:val="nil"/>
              <w:bottom w:val="single" w:sz="8" w:space="0" w:color="auto"/>
              <w:right w:val="nil"/>
            </w:tcBorders>
            <w:noWrap/>
            <w:hideMark/>
          </w:tcPr>
          <w:p w14:paraId="64BC01AC" w14:textId="77777777" w:rsidR="007E34FA" w:rsidRDefault="007E34FA">
            <w:r>
              <w:t>4th quartile</w:t>
            </w:r>
          </w:p>
        </w:tc>
        <w:tc>
          <w:tcPr>
            <w:tcW w:w="1473" w:type="dxa"/>
            <w:tcBorders>
              <w:top w:val="single" w:sz="8" w:space="0" w:color="auto"/>
              <w:left w:val="nil"/>
              <w:bottom w:val="single" w:sz="8" w:space="0" w:color="auto"/>
              <w:right w:val="nil"/>
            </w:tcBorders>
            <w:noWrap/>
            <w:hideMark/>
          </w:tcPr>
          <w:p w14:paraId="1B991A1A" w14:textId="77777777" w:rsidR="007E34FA" w:rsidRDefault="007E34FA">
            <w:pPr>
              <w:jc w:val="center"/>
            </w:pPr>
            <w:r>
              <w:t>24.7%</w:t>
            </w:r>
          </w:p>
        </w:tc>
        <w:tc>
          <w:tcPr>
            <w:tcW w:w="1473" w:type="dxa"/>
            <w:tcBorders>
              <w:top w:val="single" w:sz="8" w:space="0" w:color="auto"/>
              <w:left w:val="nil"/>
              <w:bottom w:val="single" w:sz="8" w:space="0" w:color="auto"/>
              <w:right w:val="nil"/>
            </w:tcBorders>
            <w:noWrap/>
            <w:hideMark/>
          </w:tcPr>
          <w:p w14:paraId="5B8B102A" w14:textId="77777777" w:rsidR="007E34FA" w:rsidRDefault="007E34FA">
            <w:pPr>
              <w:jc w:val="center"/>
            </w:pPr>
            <w:r>
              <w:t>21.2%</w:t>
            </w:r>
          </w:p>
        </w:tc>
        <w:tc>
          <w:tcPr>
            <w:tcW w:w="1473" w:type="dxa"/>
            <w:tcBorders>
              <w:top w:val="single" w:sz="8" w:space="0" w:color="auto"/>
              <w:left w:val="nil"/>
              <w:bottom w:val="single" w:sz="8" w:space="0" w:color="auto"/>
              <w:right w:val="nil"/>
            </w:tcBorders>
            <w:noWrap/>
            <w:hideMark/>
          </w:tcPr>
          <w:p w14:paraId="00F8085C" w14:textId="77777777" w:rsidR="007E34FA" w:rsidRDefault="007E34FA">
            <w:pPr>
              <w:jc w:val="center"/>
            </w:pPr>
            <w:r>
              <w:t>18.8%</w:t>
            </w:r>
          </w:p>
        </w:tc>
        <w:tc>
          <w:tcPr>
            <w:tcW w:w="1593" w:type="dxa"/>
            <w:tcBorders>
              <w:top w:val="single" w:sz="8" w:space="0" w:color="auto"/>
              <w:left w:val="nil"/>
              <w:bottom w:val="single" w:sz="8" w:space="0" w:color="auto"/>
              <w:right w:val="nil"/>
            </w:tcBorders>
            <w:noWrap/>
            <w:hideMark/>
          </w:tcPr>
          <w:p w14:paraId="46655084" w14:textId="77777777" w:rsidR="007E34FA" w:rsidRDefault="007E34FA">
            <w:pPr>
              <w:jc w:val="center"/>
            </w:pPr>
            <w:r>
              <w:t>17.8%</w:t>
            </w:r>
          </w:p>
        </w:tc>
      </w:tr>
      <w:tr w:rsidR="007E34FA" w14:paraId="37DAAFE0" w14:textId="77777777" w:rsidTr="007E34FA">
        <w:trPr>
          <w:trHeight w:val="300"/>
        </w:trPr>
        <w:tc>
          <w:tcPr>
            <w:tcW w:w="3004" w:type="dxa"/>
            <w:tcBorders>
              <w:top w:val="single" w:sz="8" w:space="0" w:color="auto"/>
              <w:left w:val="nil"/>
              <w:bottom w:val="single" w:sz="8" w:space="0" w:color="auto"/>
              <w:right w:val="nil"/>
            </w:tcBorders>
            <w:noWrap/>
            <w:hideMark/>
          </w:tcPr>
          <w:p w14:paraId="11B81CAB" w14:textId="77777777" w:rsidR="007E34FA" w:rsidRDefault="007E34FA">
            <w:r>
              <w:t>Single vessel PCI</w:t>
            </w:r>
          </w:p>
        </w:tc>
        <w:tc>
          <w:tcPr>
            <w:tcW w:w="1473" w:type="dxa"/>
            <w:tcBorders>
              <w:top w:val="single" w:sz="8" w:space="0" w:color="auto"/>
              <w:left w:val="nil"/>
              <w:bottom w:val="single" w:sz="8" w:space="0" w:color="auto"/>
              <w:right w:val="nil"/>
            </w:tcBorders>
            <w:noWrap/>
            <w:hideMark/>
          </w:tcPr>
          <w:p w14:paraId="5F307927" w14:textId="77777777" w:rsidR="007E34FA" w:rsidRDefault="007E34FA">
            <w:pPr>
              <w:jc w:val="center"/>
            </w:pPr>
            <w:r>
              <w:t>73.3%</w:t>
            </w:r>
          </w:p>
        </w:tc>
        <w:tc>
          <w:tcPr>
            <w:tcW w:w="1473" w:type="dxa"/>
            <w:tcBorders>
              <w:top w:val="single" w:sz="8" w:space="0" w:color="auto"/>
              <w:left w:val="nil"/>
              <w:bottom w:val="single" w:sz="8" w:space="0" w:color="auto"/>
              <w:right w:val="nil"/>
            </w:tcBorders>
            <w:noWrap/>
            <w:hideMark/>
          </w:tcPr>
          <w:p w14:paraId="61A4AD60" w14:textId="77777777" w:rsidR="007E34FA" w:rsidRDefault="007E34FA">
            <w:pPr>
              <w:jc w:val="center"/>
            </w:pPr>
            <w:r>
              <w:t>72.4%</w:t>
            </w:r>
          </w:p>
        </w:tc>
        <w:tc>
          <w:tcPr>
            <w:tcW w:w="1473" w:type="dxa"/>
            <w:tcBorders>
              <w:top w:val="single" w:sz="8" w:space="0" w:color="auto"/>
              <w:left w:val="nil"/>
              <w:bottom w:val="single" w:sz="8" w:space="0" w:color="auto"/>
              <w:right w:val="nil"/>
            </w:tcBorders>
            <w:noWrap/>
            <w:hideMark/>
          </w:tcPr>
          <w:p w14:paraId="059C1E69" w14:textId="77777777" w:rsidR="007E34FA" w:rsidRDefault="007E34FA">
            <w:pPr>
              <w:jc w:val="center"/>
            </w:pPr>
            <w:r>
              <w:t>72.0%</w:t>
            </w:r>
          </w:p>
        </w:tc>
        <w:tc>
          <w:tcPr>
            <w:tcW w:w="1593" w:type="dxa"/>
            <w:tcBorders>
              <w:top w:val="single" w:sz="8" w:space="0" w:color="auto"/>
              <w:left w:val="nil"/>
              <w:bottom w:val="single" w:sz="8" w:space="0" w:color="auto"/>
              <w:right w:val="nil"/>
            </w:tcBorders>
            <w:noWrap/>
            <w:hideMark/>
          </w:tcPr>
          <w:p w14:paraId="51475026" w14:textId="77777777" w:rsidR="007E34FA" w:rsidRDefault="007E34FA">
            <w:pPr>
              <w:jc w:val="center"/>
            </w:pPr>
            <w:r>
              <w:t>71.9%</w:t>
            </w:r>
          </w:p>
        </w:tc>
      </w:tr>
      <w:tr w:rsidR="007E34FA" w14:paraId="673DF50F" w14:textId="77777777" w:rsidTr="007E34FA">
        <w:trPr>
          <w:trHeight w:val="300"/>
        </w:trPr>
        <w:tc>
          <w:tcPr>
            <w:tcW w:w="3004" w:type="dxa"/>
            <w:tcBorders>
              <w:top w:val="single" w:sz="8" w:space="0" w:color="auto"/>
              <w:left w:val="nil"/>
              <w:bottom w:val="single" w:sz="8" w:space="0" w:color="auto"/>
              <w:right w:val="nil"/>
            </w:tcBorders>
            <w:noWrap/>
            <w:hideMark/>
          </w:tcPr>
          <w:p w14:paraId="5B99F7B2" w14:textId="77777777" w:rsidR="007E34FA" w:rsidRDefault="007E34FA">
            <w:r>
              <w:t>Multi-vessel PCI</w:t>
            </w:r>
          </w:p>
        </w:tc>
        <w:tc>
          <w:tcPr>
            <w:tcW w:w="1473" w:type="dxa"/>
            <w:tcBorders>
              <w:top w:val="single" w:sz="8" w:space="0" w:color="auto"/>
              <w:left w:val="nil"/>
              <w:bottom w:val="single" w:sz="8" w:space="0" w:color="auto"/>
              <w:right w:val="nil"/>
            </w:tcBorders>
            <w:noWrap/>
            <w:hideMark/>
          </w:tcPr>
          <w:p w14:paraId="3CC040E7" w14:textId="77777777" w:rsidR="007E34FA" w:rsidRDefault="007E34FA">
            <w:pPr>
              <w:jc w:val="center"/>
            </w:pPr>
            <w:r>
              <w:t>16.8%</w:t>
            </w:r>
          </w:p>
        </w:tc>
        <w:tc>
          <w:tcPr>
            <w:tcW w:w="1473" w:type="dxa"/>
            <w:tcBorders>
              <w:top w:val="single" w:sz="8" w:space="0" w:color="auto"/>
              <w:left w:val="nil"/>
              <w:bottom w:val="single" w:sz="8" w:space="0" w:color="auto"/>
              <w:right w:val="nil"/>
            </w:tcBorders>
            <w:noWrap/>
            <w:hideMark/>
          </w:tcPr>
          <w:p w14:paraId="3686C492" w14:textId="77777777" w:rsidR="007E34FA" w:rsidRDefault="007E34FA">
            <w:pPr>
              <w:jc w:val="center"/>
            </w:pPr>
            <w:r>
              <w:t>18.1%</w:t>
            </w:r>
          </w:p>
        </w:tc>
        <w:tc>
          <w:tcPr>
            <w:tcW w:w="1473" w:type="dxa"/>
            <w:tcBorders>
              <w:top w:val="single" w:sz="8" w:space="0" w:color="auto"/>
              <w:left w:val="nil"/>
              <w:bottom w:val="single" w:sz="8" w:space="0" w:color="auto"/>
              <w:right w:val="nil"/>
            </w:tcBorders>
            <w:noWrap/>
            <w:hideMark/>
          </w:tcPr>
          <w:p w14:paraId="6B2FE908" w14:textId="77777777" w:rsidR="007E34FA" w:rsidRDefault="007E34FA">
            <w:pPr>
              <w:jc w:val="center"/>
            </w:pPr>
            <w:r>
              <w:t>18.9%</w:t>
            </w:r>
          </w:p>
        </w:tc>
        <w:tc>
          <w:tcPr>
            <w:tcW w:w="1593" w:type="dxa"/>
            <w:tcBorders>
              <w:top w:val="single" w:sz="8" w:space="0" w:color="auto"/>
              <w:left w:val="nil"/>
              <w:bottom w:val="single" w:sz="8" w:space="0" w:color="auto"/>
              <w:right w:val="nil"/>
            </w:tcBorders>
            <w:noWrap/>
            <w:hideMark/>
          </w:tcPr>
          <w:p w14:paraId="280BC980" w14:textId="77777777" w:rsidR="007E34FA" w:rsidRDefault="007E34FA">
            <w:pPr>
              <w:jc w:val="center"/>
            </w:pPr>
            <w:r>
              <w:t>20.3%</w:t>
            </w:r>
          </w:p>
        </w:tc>
      </w:tr>
      <w:tr w:rsidR="007E34FA" w14:paraId="27A8D3D9" w14:textId="77777777" w:rsidTr="007E34FA">
        <w:trPr>
          <w:trHeight w:val="300"/>
        </w:trPr>
        <w:tc>
          <w:tcPr>
            <w:tcW w:w="3004" w:type="dxa"/>
            <w:tcBorders>
              <w:top w:val="single" w:sz="8" w:space="0" w:color="auto"/>
              <w:left w:val="nil"/>
              <w:bottom w:val="single" w:sz="8" w:space="0" w:color="auto"/>
              <w:right w:val="nil"/>
            </w:tcBorders>
            <w:noWrap/>
            <w:hideMark/>
          </w:tcPr>
          <w:p w14:paraId="4EEF3E2E" w14:textId="77777777" w:rsidR="007E34FA" w:rsidRDefault="007E34FA">
            <w:r>
              <w:t>Unknown vessel number</w:t>
            </w:r>
          </w:p>
        </w:tc>
        <w:tc>
          <w:tcPr>
            <w:tcW w:w="1473" w:type="dxa"/>
            <w:tcBorders>
              <w:top w:val="single" w:sz="8" w:space="0" w:color="auto"/>
              <w:left w:val="nil"/>
              <w:bottom w:val="single" w:sz="8" w:space="0" w:color="auto"/>
              <w:right w:val="nil"/>
            </w:tcBorders>
            <w:noWrap/>
            <w:hideMark/>
          </w:tcPr>
          <w:p w14:paraId="4B313C9B" w14:textId="77777777" w:rsidR="007E34FA" w:rsidRDefault="007E34FA">
            <w:pPr>
              <w:jc w:val="center"/>
            </w:pPr>
            <w:r>
              <w:t>9.9%</w:t>
            </w:r>
          </w:p>
        </w:tc>
        <w:tc>
          <w:tcPr>
            <w:tcW w:w="1473" w:type="dxa"/>
            <w:tcBorders>
              <w:top w:val="single" w:sz="8" w:space="0" w:color="auto"/>
              <w:left w:val="nil"/>
              <w:bottom w:val="single" w:sz="8" w:space="0" w:color="auto"/>
              <w:right w:val="nil"/>
            </w:tcBorders>
            <w:noWrap/>
            <w:hideMark/>
          </w:tcPr>
          <w:p w14:paraId="3AEEF49B" w14:textId="77777777" w:rsidR="007E34FA" w:rsidRDefault="007E34FA">
            <w:pPr>
              <w:jc w:val="center"/>
            </w:pPr>
            <w:r>
              <w:t>9.5%</w:t>
            </w:r>
          </w:p>
        </w:tc>
        <w:tc>
          <w:tcPr>
            <w:tcW w:w="1473" w:type="dxa"/>
            <w:tcBorders>
              <w:top w:val="single" w:sz="8" w:space="0" w:color="auto"/>
              <w:left w:val="nil"/>
              <w:bottom w:val="single" w:sz="8" w:space="0" w:color="auto"/>
              <w:right w:val="nil"/>
            </w:tcBorders>
            <w:noWrap/>
            <w:hideMark/>
          </w:tcPr>
          <w:p w14:paraId="7C2AA02B" w14:textId="77777777" w:rsidR="007E34FA" w:rsidRDefault="007E34FA">
            <w:pPr>
              <w:jc w:val="center"/>
            </w:pPr>
            <w:r>
              <w:t>9.1%</w:t>
            </w:r>
          </w:p>
        </w:tc>
        <w:tc>
          <w:tcPr>
            <w:tcW w:w="1593" w:type="dxa"/>
            <w:tcBorders>
              <w:top w:val="single" w:sz="8" w:space="0" w:color="auto"/>
              <w:left w:val="nil"/>
              <w:bottom w:val="single" w:sz="8" w:space="0" w:color="auto"/>
              <w:right w:val="nil"/>
            </w:tcBorders>
            <w:noWrap/>
            <w:hideMark/>
          </w:tcPr>
          <w:p w14:paraId="0A4F84DD" w14:textId="77777777" w:rsidR="007E34FA" w:rsidRDefault="007E34FA">
            <w:pPr>
              <w:jc w:val="center"/>
            </w:pPr>
            <w:r>
              <w:t>7.8%</w:t>
            </w:r>
          </w:p>
        </w:tc>
      </w:tr>
      <w:tr w:rsidR="007E34FA" w14:paraId="3188E554" w14:textId="77777777" w:rsidTr="007E34FA">
        <w:trPr>
          <w:trHeight w:val="300"/>
        </w:trPr>
        <w:tc>
          <w:tcPr>
            <w:tcW w:w="3004" w:type="dxa"/>
            <w:tcBorders>
              <w:top w:val="single" w:sz="8" w:space="0" w:color="auto"/>
              <w:left w:val="nil"/>
              <w:bottom w:val="single" w:sz="8" w:space="0" w:color="auto"/>
              <w:right w:val="nil"/>
            </w:tcBorders>
            <w:noWrap/>
            <w:hideMark/>
          </w:tcPr>
          <w:p w14:paraId="12D40334" w14:textId="77777777" w:rsidR="007E34FA" w:rsidRDefault="007E34FA">
            <w:r>
              <w:t>Bifurcation stenting</w:t>
            </w:r>
          </w:p>
        </w:tc>
        <w:tc>
          <w:tcPr>
            <w:tcW w:w="1473" w:type="dxa"/>
            <w:tcBorders>
              <w:top w:val="single" w:sz="8" w:space="0" w:color="auto"/>
              <w:left w:val="nil"/>
              <w:bottom w:val="single" w:sz="8" w:space="0" w:color="auto"/>
              <w:right w:val="nil"/>
            </w:tcBorders>
            <w:noWrap/>
            <w:hideMark/>
          </w:tcPr>
          <w:p w14:paraId="6A8B8D6C" w14:textId="77777777" w:rsidR="007E34FA" w:rsidRDefault="007E34FA">
            <w:pPr>
              <w:jc w:val="center"/>
            </w:pPr>
            <w:r>
              <w:t>1.6%</w:t>
            </w:r>
          </w:p>
        </w:tc>
        <w:tc>
          <w:tcPr>
            <w:tcW w:w="1473" w:type="dxa"/>
            <w:tcBorders>
              <w:top w:val="single" w:sz="8" w:space="0" w:color="auto"/>
              <w:left w:val="nil"/>
              <w:bottom w:val="single" w:sz="8" w:space="0" w:color="auto"/>
              <w:right w:val="nil"/>
            </w:tcBorders>
            <w:noWrap/>
            <w:hideMark/>
          </w:tcPr>
          <w:p w14:paraId="06BD5688" w14:textId="77777777" w:rsidR="007E34FA" w:rsidRDefault="007E34FA">
            <w:pPr>
              <w:jc w:val="center"/>
            </w:pPr>
            <w:r>
              <w:t>1.7%</w:t>
            </w:r>
          </w:p>
        </w:tc>
        <w:tc>
          <w:tcPr>
            <w:tcW w:w="1473" w:type="dxa"/>
            <w:tcBorders>
              <w:top w:val="single" w:sz="8" w:space="0" w:color="auto"/>
              <w:left w:val="nil"/>
              <w:bottom w:val="single" w:sz="8" w:space="0" w:color="auto"/>
              <w:right w:val="nil"/>
            </w:tcBorders>
            <w:noWrap/>
            <w:hideMark/>
          </w:tcPr>
          <w:p w14:paraId="28AD6145" w14:textId="77777777" w:rsidR="007E34FA" w:rsidRDefault="007E34FA">
            <w:pPr>
              <w:jc w:val="center"/>
            </w:pPr>
            <w:r>
              <w:t>1.8%</w:t>
            </w:r>
          </w:p>
        </w:tc>
        <w:tc>
          <w:tcPr>
            <w:tcW w:w="1593" w:type="dxa"/>
            <w:tcBorders>
              <w:top w:val="single" w:sz="8" w:space="0" w:color="auto"/>
              <w:left w:val="nil"/>
              <w:bottom w:val="single" w:sz="8" w:space="0" w:color="auto"/>
              <w:right w:val="nil"/>
            </w:tcBorders>
            <w:noWrap/>
            <w:hideMark/>
          </w:tcPr>
          <w:p w14:paraId="1E7960F2" w14:textId="77777777" w:rsidR="007E34FA" w:rsidRDefault="007E34FA">
            <w:pPr>
              <w:jc w:val="center"/>
            </w:pPr>
            <w:r>
              <w:t>2.1%</w:t>
            </w:r>
          </w:p>
        </w:tc>
      </w:tr>
      <w:tr w:rsidR="007E34FA" w14:paraId="38853E05" w14:textId="77777777" w:rsidTr="007E34FA">
        <w:trPr>
          <w:trHeight w:val="300"/>
        </w:trPr>
        <w:tc>
          <w:tcPr>
            <w:tcW w:w="3004" w:type="dxa"/>
            <w:tcBorders>
              <w:top w:val="single" w:sz="8" w:space="0" w:color="auto"/>
              <w:left w:val="nil"/>
              <w:bottom w:val="single" w:sz="8" w:space="0" w:color="auto"/>
              <w:right w:val="nil"/>
            </w:tcBorders>
            <w:noWrap/>
            <w:hideMark/>
          </w:tcPr>
          <w:p w14:paraId="6BD290F1" w14:textId="77777777" w:rsidR="007E34FA" w:rsidRDefault="007E34FA">
            <w:r>
              <w:t>Use of assist devise or intra-aortic balloon pump</w:t>
            </w:r>
          </w:p>
        </w:tc>
        <w:tc>
          <w:tcPr>
            <w:tcW w:w="1473" w:type="dxa"/>
            <w:tcBorders>
              <w:top w:val="single" w:sz="8" w:space="0" w:color="auto"/>
              <w:left w:val="nil"/>
              <w:bottom w:val="single" w:sz="8" w:space="0" w:color="auto"/>
              <w:right w:val="nil"/>
            </w:tcBorders>
            <w:noWrap/>
            <w:hideMark/>
          </w:tcPr>
          <w:p w14:paraId="080F6E0E" w14:textId="77777777" w:rsidR="007E34FA" w:rsidRDefault="007E34FA">
            <w:pPr>
              <w:jc w:val="center"/>
            </w:pPr>
            <w:r>
              <w:t>2.3%</w:t>
            </w:r>
          </w:p>
        </w:tc>
        <w:tc>
          <w:tcPr>
            <w:tcW w:w="1473" w:type="dxa"/>
            <w:tcBorders>
              <w:top w:val="single" w:sz="8" w:space="0" w:color="auto"/>
              <w:left w:val="nil"/>
              <w:bottom w:val="single" w:sz="8" w:space="0" w:color="auto"/>
              <w:right w:val="nil"/>
            </w:tcBorders>
            <w:noWrap/>
            <w:hideMark/>
          </w:tcPr>
          <w:p w14:paraId="52FDD658" w14:textId="77777777" w:rsidR="007E34FA" w:rsidRDefault="007E34FA">
            <w:pPr>
              <w:jc w:val="center"/>
            </w:pPr>
            <w:r>
              <w:t>3.4%</w:t>
            </w:r>
          </w:p>
        </w:tc>
        <w:tc>
          <w:tcPr>
            <w:tcW w:w="1473" w:type="dxa"/>
            <w:tcBorders>
              <w:top w:val="single" w:sz="8" w:space="0" w:color="auto"/>
              <w:left w:val="nil"/>
              <w:bottom w:val="single" w:sz="8" w:space="0" w:color="auto"/>
              <w:right w:val="nil"/>
            </w:tcBorders>
            <w:noWrap/>
            <w:hideMark/>
          </w:tcPr>
          <w:p w14:paraId="6F14BDD7" w14:textId="77777777" w:rsidR="007E34FA" w:rsidRDefault="007E34FA">
            <w:pPr>
              <w:jc w:val="center"/>
            </w:pPr>
            <w:r>
              <w:t>4.5%</w:t>
            </w:r>
          </w:p>
        </w:tc>
        <w:tc>
          <w:tcPr>
            <w:tcW w:w="1593" w:type="dxa"/>
            <w:tcBorders>
              <w:top w:val="single" w:sz="8" w:space="0" w:color="auto"/>
              <w:left w:val="nil"/>
              <w:bottom w:val="single" w:sz="8" w:space="0" w:color="auto"/>
              <w:right w:val="nil"/>
            </w:tcBorders>
            <w:noWrap/>
            <w:hideMark/>
          </w:tcPr>
          <w:p w14:paraId="09C3D313" w14:textId="77777777" w:rsidR="007E34FA" w:rsidRDefault="007E34FA">
            <w:pPr>
              <w:jc w:val="center"/>
            </w:pPr>
            <w:r>
              <w:t>5.0%</w:t>
            </w:r>
          </w:p>
        </w:tc>
      </w:tr>
      <w:tr w:rsidR="007E34FA" w14:paraId="0A084670" w14:textId="77777777" w:rsidTr="007E34FA">
        <w:trPr>
          <w:trHeight w:val="300"/>
        </w:trPr>
        <w:tc>
          <w:tcPr>
            <w:tcW w:w="3004" w:type="dxa"/>
            <w:tcBorders>
              <w:top w:val="single" w:sz="8" w:space="0" w:color="auto"/>
              <w:left w:val="nil"/>
              <w:bottom w:val="single" w:sz="8" w:space="0" w:color="auto"/>
              <w:right w:val="nil"/>
            </w:tcBorders>
            <w:noWrap/>
            <w:hideMark/>
          </w:tcPr>
          <w:p w14:paraId="6AA90F8B" w14:textId="77777777" w:rsidR="007E34FA" w:rsidRDefault="007E34FA">
            <w:r>
              <w:t>Shock</w:t>
            </w:r>
          </w:p>
        </w:tc>
        <w:tc>
          <w:tcPr>
            <w:tcW w:w="1473" w:type="dxa"/>
            <w:tcBorders>
              <w:top w:val="single" w:sz="8" w:space="0" w:color="auto"/>
              <w:left w:val="nil"/>
              <w:bottom w:val="single" w:sz="8" w:space="0" w:color="auto"/>
              <w:right w:val="nil"/>
            </w:tcBorders>
            <w:noWrap/>
            <w:hideMark/>
          </w:tcPr>
          <w:p w14:paraId="72C63D81" w14:textId="77777777" w:rsidR="007E34FA" w:rsidRDefault="007E34FA">
            <w:pPr>
              <w:jc w:val="center"/>
            </w:pPr>
            <w:r>
              <w:t>1.7%</w:t>
            </w:r>
          </w:p>
        </w:tc>
        <w:tc>
          <w:tcPr>
            <w:tcW w:w="1473" w:type="dxa"/>
            <w:tcBorders>
              <w:top w:val="single" w:sz="8" w:space="0" w:color="auto"/>
              <w:left w:val="nil"/>
              <w:bottom w:val="single" w:sz="8" w:space="0" w:color="auto"/>
              <w:right w:val="nil"/>
            </w:tcBorders>
            <w:noWrap/>
            <w:hideMark/>
          </w:tcPr>
          <w:p w14:paraId="3A32814A" w14:textId="77777777" w:rsidR="007E34FA" w:rsidRDefault="007E34FA">
            <w:pPr>
              <w:jc w:val="center"/>
            </w:pPr>
            <w:r>
              <w:t>2.9%</w:t>
            </w:r>
          </w:p>
        </w:tc>
        <w:tc>
          <w:tcPr>
            <w:tcW w:w="1473" w:type="dxa"/>
            <w:tcBorders>
              <w:top w:val="single" w:sz="8" w:space="0" w:color="auto"/>
              <w:left w:val="nil"/>
              <w:bottom w:val="single" w:sz="8" w:space="0" w:color="auto"/>
              <w:right w:val="nil"/>
            </w:tcBorders>
            <w:noWrap/>
            <w:hideMark/>
          </w:tcPr>
          <w:p w14:paraId="3E96BE70" w14:textId="77777777" w:rsidR="007E34FA" w:rsidRDefault="007E34FA">
            <w:pPr>
              <w:jc w:val="center"/>
            </w:pPr>
            <w:r>
              <w:t>4.1%</w:t>
            </w:r>
          </w:p>
        </w:tc>
        <w:tc>
          <w:tcPr>
            <w:tcW w:w="1593" w:type="dxa"/>
            <w:tcBorders>
              <w:top w:val="single" w:sz="8" w:space="0" w:color="auto"/>
              <w:left w:val="nil"/>
              <w:bottom w:val="single" w:sz="8" w:space="0" w:color="auto"/>
              <w:right w:val="nil"/>
            </w:tcBorders>
            <w:noWrap/>
            <w:hideMark/>
          </w:tcPr>
          <w:p w14:paraId="38149E43" w14:textId="77777777" w:rsidR="007E34FA" w:rsidRDefault="007E34FA">
            <w:pPr>
              <w:jc w:val="center"/>
            </w:pPr>
            <w:r>
              <w:t>4.9%</w:t>
            </w:r>
          </w:p>
        </w:tc>
      </w:tr>
      <w:tr w:rsidR="007E34FA" w14:paraId="0E0C6F39" w14:textId="77777777" w:rsidTr="007E34FA">
        <w:trPr>
          <w:trHeight w:val="300"/>
        </w:trPr>
        <w:tc>
          <w:tcPr>
            <w:tcW w:w="3004" w:type="dxa"/>
            <w:tcBorders>
              <w:top w:val="single" w:sz="8" w:space="0" w:color="auto"/>
              <w:left w:val="nil"/>
              <w:bottom w:val="single" w:sz="8" w:space="0" w:color="auto"/>
              <w:right w:val="nil"/>
            </w:tcBorders>
            <w:noWrap/>
            <w:hideMark/>
          </w:tcPr>
          <w:p w14:paraId="7A82DED9" w14:textId="77777777" w:rsidR="007E34FA" w:rsidRDefault="007E34FA">
            <w:r>
              <w:t>Primary diagnosis acute myocardial infarction</w:t>
            </w:r>
          </w:p>
        </w:tc>
        <w:tc>
          <w:tcPr>
            <w:tcW w:w="1473" w:type="dxa"/>
            <w:tcBorders>
              <w:top w:val="single" w:sz="8" w:space="0" w:color="auto"/>
              <w:left w:val="nil"/>
              <w:bottom w:val="single" w:sz="8" w:space="0" w:color="auto"/>
              <w:right w:val="nil"/>
            </w:tcBorders>
            <w:noWrap/>
            <w:hideMark/>
          </w:tcPr>
          <w:p w14:paraId="09AC1276" w14:textId="77777777" w:rsidR="007E34FA" w:rsidRDefault="007E34FA">
            <w:pPr>
              <w:jc w:val="center"/>
            </w:pPr>
            <w:r>
              <w:t>44.4%</w:t>
            </w:r>
          </w:p>
        </w:tc>
        <w:tc>
          <w:tcPr>
            <w:tcW w:w="1473" w:type="dxa"/>
            <w:tcBorders>
              <w:top w:val="single" w:sz="8" w:space="0" w:color="auto"/>
              <w:left w:val="nil"/>
              <w:bottom w:val="single" w:sz="8" w:space="0" w:color="auto"/>
              <w:right w:val="nil"/>
            </w:tcBorders>
            <w:noWrap/>
            <w:hideMark/>
          </w:tcPr>
          <w:p w14:paraId="294CF470" w14:textId="77777777" w:rsidR="007E34FA" w:rsidRDefault="007E34FA">
            <w:pPr>
              <w:jc w:val="center"/>
            </w:pPr>
            <w:r>
              <w:t>38.4%</w:t>
            </w:r>
          </w:p>
        </w:tc>
        <w:tc>
          <w:tcPr>
            <w:tcW w:w="1473" w:type="dxa"/>
            <w:tcBorders>
              <w:top w:val="single" w:sz="8" w:space="0" w:color="auto"/>
              <w:left w:val="nil"/>
              <w:bottom w:val="single" w:sz="8" w:space="0" w:color="auto"/>
              <w:right w:val="nil"/>
            </w:tcBorders>
            <w:noWrap/>
            <w:hideMark/>
          </w:tcPr>
          <w:p w14:paraId="084A2FAD" w14:textId="77777777" w:rsidR="007E34FA" w:rsidRDefault="007E34FA">
            <w:pPr>
              <w:jc w:val="center"/>
            </w:pPr>
            <w:r>
              <w:t>37.9%</w:t>
            </w:r>
          </w:p>
        </w:tc>
        <w:tc>
          <w:tcPr>
            <w:tcW w:w="1593" w:type="dxa"/>
            <w:tcBorders>
              <w:top w:val="single" w:sz="8" w:space="0" w:color="auto"/>
              <w:left w:val="nil"/>
              <w:bottom w:val="single" w:sz="8" w:space="0" w:color="auto"/>
              <w:right w:val="nil"/>
            </w:tcBorders>
            <w:noWrap/>
            <w:hideMark/>
          </w:tcPr>
          <w:p w14:paraId="2113C229" w14:textId="77777777" w:rsidR="007E34FA" w:rsidRDefault="007E34FA">
            <w:pPr>
              <w:jc w:val="center"/>
            </w:pPr>
            <w:r>
              <w:t>39.4%</w:t>
            </w:r>
          </w:p>
        </w:tc>
      </w:tr>
      <w:tr w:rsidR="007E34FA" w14:paraId="27843EFE" w14:textId="77777777" w:rsidTr="007E34FA">
        <w:trPr>
          <w:trHeight w:val="300"/>
        </w:trPr>
        <w:tc>
          <w:tcPr>
            <w:tcW w:w="3004" w:type="dxa"/>
            <w:tcBorders>
              <w:top w:val="single" w:sz="8" w:space="0" w:color="auto"/>
              <w:left w:val="nil"/>
              <w:bottom w:val="single" w:sz="8" w:space="0" w:color="auto"/>
              <w:right w:val="nil"/>
            </w:tcBorders>
            <w:noWrap/>
            <w:hideMark/>
          </w:tcPr>
          <w:p w14:paraId="0E138665" w14:textId="77777777" w:rsidR="007E34FA" w:rsidRDefault="007E34FA">
            <w:r>
              <w:t>Fractional flow reserve</w:t>
            </w:r>
          </w:p>
        </w:tc>
        <w:tc>
          <w:tcPr>
            <w:tcW w:w="1473" w:type="dxa"/>
            <w:tcBorders>
              <w:top w:val="single" w:sz="8" w:space="0" w:color="auto"/>
              <w:left w:val="nil"/>
              <w:bottom w:val="single" w:sz="8" w:space="0" w:color="auto"/>
              <w:right w:val="nil"/>
            </w:tcBorders>
            <w:noWrap/>
            <w:hideMark/>
          </w:tcPr>
          <w:p w14:paraId="1E179C5F" w14:textId="77777777" w:rsidR="007E34FA" w:rsidRDefault="007E34FA">
            <w:pPr>
              <w:jc w:val="center"/>
            </w:pPr>
            <w:r>
              <w:t>0.6%</w:t>
            </w:r>
          </w:p>
        </w:tc>
        <w:tc>
          <w:tcPr>
            <w:tcW w:w="1473" w:type="dxa"/>
            <w:tcBorders>
              <w:top w:val="single" w:sz="8" w:space="0" w:color="auto"/>
              <w:left w:val="nil"/>
              <w:bottom w:val="single" w:sz="8" w:space="0" w:color="auto"/>
              <w:right w:val="nil"/>
            </w:tcBorders>
            <w:noWrap/>
            <w:hideMark/>
          </w:tcPr>
          <w:p w14:paraId="0AD6AD86" w14:textId="77777777" w:rsidR="007E34FA" w:rsidRDefault="007E34FA">
            <w:pPr>
              <w:jc w:val="center"/>
            </w:pPr>
            <w:r>
              <w:t>0.7%</w:t>
            </w:r>
          </w:p>
        </w:tc>
        <w:tc>
          <w:tcPr>
            <w:tcW w:w="1473" w:type="dxa"/>
            <w:tcBorders>
              <w:top w:val="single" w:sz="8" w:space="0" w:color="auto"/>
              <w:left w:val="nil"/>
              <w:bottom w:val="single" w:sz="8" w:space="0" w:color="auto"/>
              <w:right w:val="nil"/>
            </w:tcBorders>
            <w:noWrap/>
            <w:hideMark/>
          </w:tcPr>
          <w:p w14:paraId="68CBAC51" w14:textId="77777777" w:rsidR="007E34FA" w:rsidRDefault="007E34FA">
            <w:pPr>
              <w:jc w:val="center"/>
            </w:pPr>
            <w:r>
              <w:t>0.9%</w:t>
            </w:r>
          </w:p>
        </w:tc>
        <w:tc>
          <w:tcPr>
            <w:tcW w:w="1593" w:type="dxa"/>
            <w:tcBorders>
              <w:top w:val="single" w:sz="8" w:space="0" w:color="auto"/>
              <w:left w:val="nil"/>
              <w:bottom w:val="single" w:sz="8" w:space="0" w:color="auto"/>
              <w:right w:val="nil"/>
            </w:tcBorders>
            <w:noWrap/>
            <w:hideMark/>
          </w:tcPr>
          <w:p w14:paraId="689E99EE" w14:textId="77777777" w:rsidR="007E34FA" w:rsidRDefault="007E34FA">
            <w:pPr>
              <w:jc w:val="center"/>
            </w:pPr>
            <w:r>
              <w:t>1.3%</w:t>
            </w:r>
          </w:p>
        </w:tc>
      </w:tr>
      <w:tr w:rsidR="007E34FA" w14:paraId="2155085A" w14:textId="77777777" w:rsidTr="007E34FA">
        <w:trPr>
          <w:trHeight w:val="300"/>
        </w:trPr>
        <w:tc>
          <w:tcPr>
            <w:tcW w:w="3004" w:type="dxa"/>
            <w:tcBorders>
              <w:top w:val="single" w:sz="8" w:space="0" w:color="auto"/>
              <w:left w:val="nil"/>
              <w:bottom w:val="single" w:sz="8" w:space="0" w:color="auto"/>
              <w:right w:val="nil"/>
            </w:tcBorders>
            <w:noWrap/>
            <w:hideMark/>
          </w:tcPr>
          <w:p w14:paraId="17714F99" w14:textId="77777777" w:rsidR="007E34FA" w:rsidRDefault="007E34FA">
            <w:r>
              <w:t>Intravascular ultrasound</w:t>
            </w:r>
          </w:p>
        </w:tc>
        <w:tc>
          <w:tcPr>
            <w:tcW w:w="1473" w:type="dxa"/>
            <w:tcBorders>
              <w:top w:val="single" w:sz="8" w:space="0" w:color="auto"/>
              <w:left w:val="nil"/>
              <w:bottom w:val="single" w:sz="8" w:space="0" w:color="auto"/>
              <w:right w:val="nil"/>
            </w:tcBorders>
            <w:noWrap/>
            <w:hideMark/>
          </w:tcPr>
          <w:p w14:paraId="71075255" w14:textId="77777777" w:rsidR="007E34FA" w:rsidRDefault="007E34FA">
            <w:pPr>
              <w:jc w:val="center"/>
            </w:pPr>
            <w:r>
              <w:t>4.7%</w:t>
            </w:r>
          </w:p>
        </w:tc>
        <w:tc>
          <w:tcPr>
            <w:tcW w:w="1473" w:type="dxa"/>
            <w:tcBorders>
              <w:top w:val="single" w:sz="8" w:space="0" w:color="auto"/>
              <w:left w:val="nil"/>
              <w:bottom w:val="single" w:sz="8" w:space="0" w:color="auto"/>
              <w:right w:val="nil"/>
            </w:tcBorders>
            <w:noWrap/>
            <w:hideMark/>
          </w:tcPr>
          <w:p w14:paraId="40EE7819" w14:textId="77777777" w:rsidR="007E34FA" w:rsidRDefault="007E34FA">
            <w:pPr>
              <w:jc w:val="center"/>
            </w:pPr>
            <w:r>
              <w:t>4.9%</w:t>
            </w:r>
          </w:p>
        </w:tc>
        <w:tc>
          <w:tcPr>
            <w:tcW w:w="1473" w:type="dxa"/>
            <w:tcBorders>
              <w:top w:val="single" w:sz="8" w:space="0" w:color="auto"/>
              <w:left w:val="nil"/>
              <w:bottom w:val="single" w:sz="8" w:space="0" w:color="auto"/>
              <w:right w:val="nil"/>
            </w:tcBorders>
            <w:noWrap/>
            <w:hideMark/>
          </w:tcPr>
          <w:p w14:paraId="17821C3E" w14:textId="77777777" w:rsidR="007E34FA" w:rsidRDefault="007E34FA">
            <w:pPr>
              <w:jc w:val="center"/>
            </w:pPr>
            <w:r>
              <w:t>5.0%</w:t>
            </w:r>
          </w:p>
        </w:tc>
        <w:tc>
          <w:tcPr>
            <w:tcW w:w="1593" w:type="dxa"/>
            <w:tcBorders>
              <w:top w:val="single" w:sz="8" w:space="0" w:color="auto"/>
              <w:left w:val="nil"/>
              <w:bottom w:val="single" w:sz="8" w:space="0" w:color="auto"/>
              <w:right w:val="nil"/>
            </w:tcBorders>
            <w:noWrap/>
            <w:hideMark/>
          </w:tcPr>
          <w:p w14:paraId="75824319" w14:textId="77777777" w:rsidR="007E34FA" w:rsidRDefault="007E34FA">
            <w:pPr>
              <w:jc w:val="center"/>
            </w:pPr>
            <w:r>
              <w:t>5.5%</w:t>
            </w:r>
          </w:p>
        </w:tc>
      </w:tr>
      <w:tr w:rsidR="007E34FA" w14:paraId="2A7D2B8E" w14:textId="77777777" w:rsidTr="007E34FA">
        <w:trPr>
          <w:trHeight w:val="300"/>
        </w:trPr>
        <w:tc>
          <w:tcPr>
            <w:tcW w:w="3004" w:type="dxa"/>
            <w:tcBorders>
              <w:top w:val="single" w:sz="8" w:space="0" w:color="auto"/>
              <w:left w:val="nil"/>
              <w:bottom w:val="single" w:sz="8" w:space="0" w:color="auto"/>
              <w:right w:val="nil"/>
            </w:tcBorders>
            <w:noWrap/>
            <w:hideMark/>
          </w:tcPr>
          <w:p w14:paraId="562E1852" w14:textId="77777777" w:rsidR="007E34FA" w:rsidRDefault="007E34FA">
            <w:r>
              <w:t>Bare Metal Stent</w:t>
            </w:r>
          </w:p>
        </w:tc>
        <w:tc>
          <w:tcPr>
            <w:tcW w:w="1473" w:type="dxa"/>
            <w:tcBorders>
              <w:top w:val="single" w:sz="8" w:space="0" w:color="auto"/>
              <w:left w:val="nil"/>
              <w:bottom w:val="single" w:sz="8" w:space="0" w:color="auto"/>
              <w:right w:val="nil"/>
            </w:tcBorders>
            <w:noWrap/>
            <w:hideMark/>
          </w:tcPr>
          <w:p w14:paraId="4167E166" w14:textId="77777777" w:rsidR="007E34FA" w:rsidRDefault="007E34FA">
            <w:pPr>
              <w:jc w:val="center"/>
            </w:pPr>
            <w:r>
              <w:t>21.1%</w:t>
            </w:r>
          </w:p>
        </w:tc>
        <w:tc>
          <w:tcPr>
            <w:tcW w:w="1473" w:type="dxa"/>
            <w:tcBorders>
              <w:top w:val="single" w:sz="8" w:space="0" w:color="auto"/>
              <w:left w:val="nil"/>
              <w:bottom w:val="single" w:sz="8" w:space="0" w:color="auto"/>
              <w:right w:val="nil"/>
            </w:tcBorders>
            <w:noWrap/>
            <w:hideMark/>
          </w:tcPr>
          <w:p w14:paraId="493ED734" w14:textId="77777777" w:rsidR="007E34FA" w:rsidRDefault="007E34FA">
            <w:pPr>
              <w:jc w:val="center"/>
            </w:pPr>
            <w:r>
              <w:t>21.5%</w:t>
            </w:r>
          </w:p>
        </w:tc>
        <w:tc>
          <w:tcPr>
            <w:tcW w:w="1473" w:type="dxa"/>
            <w:tcBorders>
              <w:top w:val="single" w:sz="8" w:space="0" w:color="auto"/>
              <w:left w:val="nil"/>
              <w:bottom w:val="single" w:sz="8" w:space="0" w:color="auto"/>
              <w:right w:val="nil"/>
            </w:tcBorders>
            <w:noWrap/>
            <w:hideMark/>
          </w:tcPr>
          <w:p w14:paraId="0AD2B4DE" w14:textId="77777777" w:rsidR="007E34FA" w:rsidRDefault="007E34FA">
            <w:pPr>
              <w:jc w:val="center"/>
            </w:pPr>
            <w:r>
              <w:t>23.4%</w:t>
            </w:r>
          </w:p>
        </w:tc>
        <w:tc>
          <w:tcPr>
            <w:tcW w:w="1593" w:type="dxa"/>
            <w:tcBorders>
              <w:top w:val="single" w:sz="8" w:space="0" w:color="auto"/>
              <w:left w:val="nil"/>
              <w:bottom w:val="single" w:sz="8" w:space="0" w:color="auto"/>
              <w:right w:val="nil"/>
            </w:tcBorders>
            <w:noWrap/>
            <w:hideMark/>
          </w:tcPr>
          <w:p w14:paraId="50716D5B" w14:textId="77777777" w:rsidR="007E34FA" w:rsidRDefault="007E34FA">
            <w:pPr>
              <w:jc w:val="center"/>
            </w:pPr>
            <w:r>
              <w:t>26.7%</w:t>
            </w:r>
          </w:p>
        </w:tc>
      </w:tr>
      <w:tr w:rsidR="007E34FA" w14:paraId="0EBFF859" w14:textId="77777777" w:rsidTr="007E34FA">
        <w:trPr>
          <w:trHeight w:val="300"/>
        </w:trPr>
        <w:tc>
          <w:tcPr>
            <w:tcW w:w="3004" w:type="dxa"/>
            <w:tcBorders>
              <w:top w:val="single" w:sz="8" w:space="0" w:color="auto"/>
              <w:left w:val="nil"/>
              <w:bottom w:val="single" w:sz="8" w:space="0" w:color="auto"/>
              <w:right w:val="nil"/>
            </w:tcBorders>
            <w:noWrap/>
            <w:hideMark/>
          </w:tcPr>
          <w:p w14:paraId="1EFCA4DB" w14:textId="77777777" w:rsidR="007E34FA" w:rsidRDefault="007E34FA">
            <w:r>
              <w:t>Drug Eluting Stent</w:t>
            </w:r>
          </w:p>
        </w:tc>
        <w:tc>
          <w:tcPr>
            <w:tcW w:w="1473" w:type="dxa"/>
            <w:tcBorders>
              <w:top w:val="single" w:sz="8" w:space="0" w:color="auto"/>
              <w:left w:val="nil"/>
              <w:bottom w:val="single" w:sz="8" w:space="0" w:color="auto"/>
              <w:right w:val="nil"/>
            </w:tcBorders>
            <w:noWrap/>
            <w:hideMark/>
          </w:tcPr>
          <w:p w14:paraId="5D4D16DC" w14:textId="77777777" w:rsidR="007E34FA" w:rsidRDefault="007E34FA">
            <w:pPr>
              <w:jc w:val="center"/>
            </w:pPr>
            <w:r>
              <w:t>75.4%</w:t>
            </w:r>
          </w:p>
        </w:tc>
        <w:tc>
          <w:tcPr>
            <w:tcW w:w="1473" w:type="dxa"/>
            <w:tcBorders>
              <w:top w:val="single" w:sz="8" w:space="0" w:color="auto"/>
              <w:left w:val="nil"/>
              <w:bottom w:val="single" w:sz="8" w:space="0" w:color="auto"/>
              <w:right w:val="nil"/>
            </w:tcBorders>
            <w:noWrap/>
            <w:hideMark/>
          </w:tcPr>
          <w:p w14:paraId="7172E3B0" w14:textId="77777777" w:rsidR="007E34FA" w:rsidRDefault="007E34FA">
            <w:pPr>
              <w:jc w:val="center"/>
            </w:pPr>
            <w:r>
              <w:t>73.6%</w:t>
            </w:r>
          </w:p>
        </w:tc>
        <w:tc>
          <w:tcPr>
            <w:tcW w:w="1473" w:type="dxa"/>
            <w:tcBorders>
              <w:top w:val="single" w:sz="8" w:space="0" w:color="auto"/>
              <w:left w:val="nil"/>
              <w:bottom w:val="single" w:sz="8" w:space="0" w:color="auto"/>
              <w:right w:val="nil"/>
            </w:tcBorders>
            <w:noWrap/>
            <w:hideMark/>
          </w:tcPr>
          <w:p w14:paraId="5F95DB1C" w14:textId="77777777" w:rsidR="007E34FA" w:rsidRDefault="007E34FA">
            <w:pPr>
              <w:jc w:val="center"/>
            </w:pPr>
            <w:r>
              <w:t>70.3%</w:t>
            </w:r>
          </w:p>
        </w:tc>
        <w:tc>
          <w:tcPr>
            <w:tcW w:w="1593" w:type="dxa"/>
            <w:tcBorders>
              <w:top w:val="single" w:sz="8" w:space="0" w:color="auto"/>
              <w:left w:val="nil"/>
              <w:bottom w:val="single" w:sz="8" w:space="0" w:color="auto"/>
              <w:right w:val="nil"/>
            </w:tcBorders>
            <w:noWrap/>
            <w:hideMark/>
          </w:tcPr>
          <w:p w14:paraId="1303AAE6" w14:textId="77777777" w:rsidR="007E34FA" w:rsidRDefault="007E34FA">
            <w:pPr>
              <w:jc w:val="center"/>
            </w:pPr>
            <w:r>
              <w:t>65.7%</w:t>
            </w:r>
          </w:p>
        </w:tc>
      </w:tr>
      <w:tr w:rsidR="007E34FA" w14:paraId="2B8D055A" w14:textId="77777777" w:rsidTr="007E34FA">
        <w:trPr>
          <w:trHeight w:val="300"/>
        </w:trPr>
        <w:tc>
          <w:tcPr>
            <w:tcW w:w="3004" w:type="dxa"/>
            <w:tcBorders>
              <w:top w:val="single" w:sz="8" w:space="0" w:color="auto"/>
              <w:left w:val="nil"/>
              <w:bottom w:val="single" w:sz="8" w:space="0" w:color="auto"/>
              <w:right w:val="nil"/>
            </w:tcBorders>
            <w:noWrap/>
            <w:hideMark/>
          </w:tcPr>
          <w:p w14:paraId="75A72A0C" w14:textId="77777777" w:rsidR="007E34FA" w:rsidRDefault="007E34FA">
            <w:r>
              <w:t>Unknown Stent Type</w:t>
            </w:r>
          </w:p>
        </w:tc>
        <w:tc>
          <w:tcPr>
            <w:tcW w:w="1473" w:type="dxa"/>
            <w:tcBorders>
              <w:top w:val="single" w:sz="8" w:space="0" w:color="auto"/>
              <w:left w:val="nil"/>
              <w:bottom w:val="single" w:sz="8" w:space="0" w:color="auto"/>
              <w:right w:val="nil"/>
            </w:tcBorders>
            <w:noWrap/>
            <w:hideMark/>
          </w:tcPr>
          <w:p w14:paraId="290505A6" w14:textId="77777777" w:rsidR="007E34FA" w:rsidRDefault="007E34FA">
            <w:pPr>
              <w:jc w:val="center"/>
            </w:pPr>
            <w:r>
              <w:t>5.7%</w:t>
            </w:r>
          </w:p>
        </w:tc>
        <w:tc>
          <w:tcPr>
            <w:tcW w:w="1473" w:type="dxa"/>
            <w:tcBorders>
              <w:top w:val="single" w:sz="8" w:space="0" w:color="auto"/>
              <w:left w:val="nil"/>
              <w:bottom w:val="single" w:sz="8" w:space="0" w:color="auto"/>
              <w:right w:val="nil"/>
            </w:tcBorders>
            <w:noWrap/>
            <w:hideMark/>
          </w:tcPr>
          <w:p w14:paraId="40B66B60" w14:textId="77777777" w:rsidR="007E34FA" w:rsidRDefault="007E34FA">
            <w:pPr>
              <w:jc w:val="center"/>
            </w:pPr>
            <w:r>
              <w:t>7.3%</w:t>
            </w:r>
          </w:p>
        </w:tc>
        <w:tc>
          <w:tcPr>
            <w:tcW w:w="1473" w:type="dxa"/>
            <w:tcBorders>
              <w:top w:val="single" w:sz="8" w:space="0" w:color="auto"/>
              <w:left w:val="nil"/>
              <w:bottom w:val="single" w:sz="8" w:space="0" w:color="auto"/>
              <w:right w:val="nil"/>
            </w:tcBorders>
            <w:noWrap/>
            <w:hideMark/>
          </w:tcPr>
          <w:p w14:paraId="314212F3" w14:textId="77777777" w:rsidR="007E34FA" w:rsidRDefault="007E34FA">
            <w:pPr>
              <w:jc w:val="center"/>
            </w:pPr>
            <w:r>
              <w:t>8.5%</w:t>
            </w:r>
          </w:p>
        </w:tc>
        <w:tc>
          <w:tcPr>
            <w:tcW w:w="1593" w:type="dxa"/>
            <w:tcBorders>
              <w:top w:val="single" w:sz="8" w:space="0" w:color="auto"/>
              <w:left w:val="nil"/>
              <w:bottom w:val="single" w:sz="8" w:space="0" w:color="auto"/>
              <w:right w:val="nil"/>
            </w:tcBorders>
            <w:noWrap/>
            <w:hideMark/>
          </w:tcPr>
          <w:p w14:paraId="4EDDBC48" w14:textId="77777777" w:rsidR="007E34FA" w:rsidRDefault="007E34FA">
            <w:pPr>
              <w:jc w:val="center"/>
            </w:pPr>
            <w:r>
              <w:t>9.6%</w:t>
            </w:r>
          </w:p>
        </w:tc>
      </w:tr>
      <w:tr w:rsidR="007E34FA" w14:paraId="592A942B" w14:textId="77777777" w:rsidTr="007E34FA">
        <w:trPr>
          <w:trHeight w:val="300"/>
        </w:trPr>
        <w:tc>
          <w:tcPr>
            <w:tcW w:w="3004" w:type="dxa"/>
            <w:tcBorders>
              <w:top w:val="single" w:sz="8" w:space="0" w:color="auto"/>
              <w:left w:val="nil"/>
              <w:bottom w:val="single" w:sz="8" w:space="0" w:color="auto"/>
              <w:right w:val="nil"/>
            </w:tcBorders>
            <w:noWrap/>
            <w:hideMark/>
          </w:tcPr>
          <w:p w14:paraId="5C131673" w14:textId="77777777" w:rsidR="007E34FA" w:rsidRDefault="007E34FA">
            <w:r>
              <w:t>Both stent types used</w:t>
            </w:r>
          </w:p>
        </w:tc>
        <w:tc>
          <w:tcPr>
            <w:tcW w:w="1473" w:type="dxa"/>
            <w:tcBorders>
              <w:top w:val="single" w:sz="8" w:space="0" w:color="auto"/>
              <w:left w:val="nil"/>
              <w:bottom w:val="single" w:sz="8" w:space="0" w:color="auto"/>
              <w:right w:val="nil"/>
            </w:tcBorders>
            <w:noWrap/>
            <w:hideMark/>
          </w:tcPr>
          <w:p w14:paraId="635121ED" w14:textId="77777777" w:rsidR="007E34FA" w:rsidRDefault="007E34FA">
            <w:pPr>
              <w:jc w:val="center"/>
            </w:pPr>
            <w:r>
              <w:t>2.2%</w:t>
            </w:r>
          </w:p>
        </w:tc>
        <w:tc>
          <w:tcPr>
            <w:tcW w:w="1473" w:type="dxa"/>
            <w:tcBorders>
              <w:top w:val="single" w:sz="8" w:space="0" w:color="auto"/>
              <w:left w:val="nil"/>
              <w:bottom w:val="single" w:sz="8" w:space="0" w:color="auto"/>
              <w:right w:val="nil"/>
            </w:tcBorders>
            <w:noWrap/>
            <w:hideMark/>
          </w:tcPr>
          <w:p w14:paraId="3A8F6D5F" w14:textId="77777777" w:rsidR="007E34FA" w:rsidRDefault="007E34FA">
            <w:pPr>
              <w:jc w:val="center"/>
            </w:pPr>
            <w:r>
              <w:t>2.2%</w:t>
            </w:r>
          </w:p>
        </w:tc>
        <w:tc>
          <w:tcPr>
            <w:tcW w:w="1473" w:type="dxa"/>
            <w:tcBorders>
              <w:top w:val="single" w:sz="8" w:space="0" w:color="auto"/>
              <w:left w:val="nil"/>
              <w:bottom w:val="single" w:sz="8" w:space="0" w:color="auto"/>
              <w:right w:val="nil"/>
            </w:tcBorders>
            <w:noWrap/>
            <w:hideMark/>
          </w:tcPr>
          <w:p w14:paraId="2B639B0C" w14:textId="77777777" w:rsidR="007E34FA" w:rsidRDefault="007E34FA">
            <w:pPr>
              <w:jc w:val="center"/>
            </w:pPr>
            <w:r>
              <w:t>2.2%</w:t>
            </w:r>
          </w:p>
        </w:tc>
        <w:tc>
          <w:tcPr>
            <w:tcW w:w="1593" w:type="dxa"/>
            <w:tcBorders>
              <w:top w:val="single" w:sz="8" w:space="0" w:color="auto"/>
              <w:left w:val="nil"/>
              <w:bottom w:val="single" w:sz="8" w:space="0" w:color="auto"/>
              <w:right w:val="nil"/>
            </w:tcBorders>
            <w:noWrap/>
            <w:hideMark/>
          </w:tcPr>
          <w:p w14:paraId="273FE46B" w14:textId="77777777" w:rsidR="007E34FA" w:rsidRDefault="007E34FA">
            <w:pPr>
              <w:jc w:val="center"/>
            </w:pPr>
            <w:r>
              <w:t>2.0%</w:t>
            </w:r>
          </w:p>
        </w:tc>
      </w:tr>
      <w:tr w:rsidR="007E34FA" w14:paraId="65A2B8E3" w14:textId="77777777" w:rsidTr="007E34FA">
        <w:trPr>
          <w:trHeight w:val="300"/>
        </w:trPr>
        <w:tc>
          <w:tcPr>
            <w:tcW w:w="3004" w:type="dxa"/>
            <w:tcBorders>
              <w:top w:val="single" w:sz="8" w:space="0" w:color="auto"/>
              <w:left w:val="nil"/>
              <w:bottom w:val="single" w:sz="8" w:space="0" w:color="auto"/>
              <w:right w:val="nil"/>
            </w:tcBorders>
            <w:noWrap/>
            <w:hideMark/>
          </w:tcPr>
          <w:p w14:paraId="51831168" w14:textId="77777777" w:rsidR="007E34FA" w:rsidRDefault="007E34FA">
            <w:r>
              <w:t>Hypertension</w:t>
            </w:r>
          </w:p>
        </w:tc>
        <w:tc>
          <w:tcPr>
            <w:tcW w:w="1473" w:type="dxa"/>
            <w:tcBorders>
              <w:top w:val="single" w:sz="8" w:space="0" w:color="auto"/>
              <w:left w:val="nil"/>
              <w:bottom w:val="single" w:sz="8" w:space="0" w:color="auto"/>
              <w:right w:val="nil"/>
            </w:tcBorders>
            <w:noWrap/>
            <w:hideMark/>
          </w:tcPr>
          <w:p w14:paraId="2C3FB02E" w14:textId="77777777" w:rsidR="007E34FA" w:rsidRDefault="007E34FA">
            <w:pPr>
              <w:jc w:val="center"/>
            </w:pPr>
            <w:r>
              <w:t>62.6%</w:t>
            </w:r>
          </w:p>
        </w:tc>
        <w:tc>
          <w:tcPr>
            <w:tcW w:w="1473" w:type="dxa"/>
            <w:tcBorders>
              <w:top w:val="single" w:sz="8" w:space="0" w:color="auto"/>
              <w:left w:val="nil"/>
              <w:bottom w:val="single" w:sz="8" w:space="0" w:color="auto"/>
              <w:right w:val="nil"/>
            </w:tcBorders>
            <w:noWrap/>
            <w:hideMark/>
          </w:tcPr>
          <w:p w14:paraId="22568FAF" w14:textId="77777777" w:rsidR="007E34FA" w:rsidRDefault="007E34FA">
            <w:pPr>
              <w:jc w:val="center"/>
            </w:pPr>
            <w:r>
              <w:t>73.8%</w:t>
            </w:r>
          </w:p>
        </w:tc>
        <w:tc>
          <w:tcPr>
            <w:tcW w:w="1473" w:type="dxa"/>
            <w:tcBorders>
              <w:top w:val="single" w:sz="8" w:space="0" w:color="auto"/>
              <w:left w:val="nil"/>
              <w:bottom w:val="single" w:sz="8" w:space="0" w:color="auto"/>
              <w:right w:val="nil"/>
            </w:tcBorders>
            <w:noWrap/>
            <w:hideMark/>
          </w:tcPr>
          <w:p w14:paraId="6DD2DE2D" w14:textId="77777777" w:rsidR="007E34FA" w:rsidRDefault="007E34FA">
            <w:pPr>
              <w:jc w:val="center"/>
            </w:pPr>
            <w:r>
              <w:t>76.0%</w:t>
            </w:r>
          </w:p>
        </w:tc>
        <w:tc>
          <w:tcPr>
            <w:tcW w:w="1593" w:type="dxa"/>
            <w:tcBorders>
              <w:top w:val="single" w:sz="8" w:space="0" w:color="auto"/>
              <w:left w:val="nil"/>
              <w:bottom w:val="single" w:sz="8" w:space="0" w:color="auto"/>
              <w:right w:val="nil"/>
            </w:tcBorders>
            <w:noWrap/>
            <w:hideMark/>
          </w:tcPr>
          <w:p w14:paraId="4DA247A1" w14:textId="77777777" w:rsidR="007E34FA" w:rsidRDefault="007E34FA">
            <w:pPr>
              <w:jc w:val="center"/>
            </w:pPr>
            <w:r>
              <w:t>76.3%</w:t>
            </w:r>
          </w:p>
        </w:tc>
      </w:tr>
      <w:tr w:rsidR="007E34FA" w14:paraId="7E3ED3C0" w14:textId="77777777" w:rsidTr="007E34FA">
        <w:trPr>
          <w:trHeight w:val="300"/>
        </w:trPr>
        <w:tc>
          <w:tcPr>
            <w:tcW w:w="3004" w:type="dxa"/>
            <w:tcBorders>
              <w:top w:val="single" w:sz="8" w:space="0" w:color="auto"/>
              <w:left w:val="nil"/>
              <w:bottom w:val="single" w:sz="8" w:space="0" w:color="auto"/>
              <w:right w:val="nil"/>
            </w:tcBorders>
            <w:noWrap/>
            <w:hideMark/>
          </w:tcPr>
          <w:p w14:paraId="2E9BCEA8" w14:textId="77777777" w:rsidR="007E34FA" w:rsidRDefault="007E34FA">
            <w:r>
              <w:t>Hypercholesterolemia</w:t>
            </w:r>
          </w:p>
        </w:tc>
        <w:tc>
          <w:tcPr>
            <w:tcW w:w="1473" w:type="dxa"/>
            <w:tcBorders>
              <w:top w:val="single" w:sz="8" w:space="0" w:color="auto"/>
              <w:left w:val="nil"/>
              <w:bottom w:val="single" w:sz="8" w:space="0" w:color="auto"/>
              <w:right w:val="nil"/>
            </w:tcBorders>
            <w:noWrap/>
            <w:hideMark/>
          </w:tcPr>
          <w:p w14:paraId="2A53D5FB" w14:textId="77777777" w:rsidR="007E34FA" w:rsidRDefault="007E34FA">
            <w:pPr>
              <w:jc w:val="center"/>
            </w:pPr>
            <w:r>
              <w:t>13.5%</w:t>
            </w:r>
          </w:p>
        </w:tc>
        <w:tc>
          <w:tcPr>
            <w:tcW w:w="1473" w:type="dxa"/>
            <w:tcBorders>
              <w:top w:val="single" w:sz="8" w:space="0" w:color="auto"/>
              <w:left w:val="nil"/>
              <w:bottom w:val="single" w:sz="8" w:space="0" w:color="auto"/>
              <w:right w:val="nil"/>
            </w:tcBorders>
            <w:noWrap/>
            <w:hideMark/>
          </w:tcPr>
          <w:p w14:paraId="6D44B494" w14:textId="77777777" w:rsidR="007E34FA" w:rsidRDefault="007E34FA">
            <w:pPr>
              <w:jc w:val="center"/>
            </w:pPr>
            <w:r>
              <w:t>14.2%</w:t>
            </w:r>
          </w:p>
        </w:tc>
        <w:tc>
          <w:tcPr>
            <w:tcW w:w="1473" w:type="dxa"/>
            <w:tcBorders>
              <w:top w:val="single" w:sz="8" w:space="0" w:color="auto"/>
              <w:left w:val="nil"/>
              <w:bottom w:val="single" w:sz="8" w:space="0" w:color="auto"/>
              <w:right w:val="nil"/>
            </w:tcBorders>
            <w:noWrap/>
            <w:hideMark/>
          </w:tcPr>
          <w:p w14:paraId="7FD08D05" w14:textId="77777777" w:rsidR="007E34FA" w:rsidRDefault="007E34FA">
            <w:pPr>
              <w:jc w:val="center"/>
            </w:pPr>
            <w:r>
              <w:t>13.1%</w:t>
            </w:r>
          </w:p>
        </w:tc>
        <w:tc>
          <w:tcPr>
            <w:tcW w:w="1593" w:type="dxa"/>
            <w:tcBorders>
              <w:top w:val="single" w:sz="8" w:space="0" w:color="auto"/>
              <w:left w:val="nil"/>
              <w:bottom w:val="single" w:sz="8" w:space="0" w:color="auto"/>
              <w:right w:val="nil"/>
            </w:tcBorders>
            <w:noWrap/>
            <w:hideMark/>
          </w:tcPr>
          <w:p w14:paraId="7EBEF15F" w14:textId="77777777" w:rsidR="007E34FA" w:rsidRDefault="007E34FA">
            <w:pPr>
              <w:jc w:val="center"/>
            </w:pPr>
            <w:r>
              <w:t>11.4%</w:t>
            </w:r>
          </w:p>
        </w:tc>
      </w:tr>
      <w:tr w:rsidR="007E34FA" w14:paraId="5FD01A16" w14:textId="77777777" w:rsidTr="007E34FA">
        <w:trPr>
          <w:trHeight w:val="300"/>
        </w:trPr>
        <w:tc>
          <w:tcPr>
            <w:tcW w:w="3004" w:type="dxa"/>
            <w:tcBorders>
              <w:top w:val="single" w:sz="8" w:space="0" w:color="auto"/>
              <w:left w:val="nil"/>
              <w:bottom w:val="single" w:sz="8" w:space="0" w:color="auto"/>
              <w:right w:val="nil"/>
            </w:tcBorders>
            <w:noWrap/>
            <w:hideMark/>
          </w:tcPr>
          <w:p w14:paraId="4B4E71E6" w14:textId="77777777" w:rsidR="007E34FA" w:rsidRDefault="007E34FA">
            <w:r>
              <w:t>Smoking</w:t>
            </w:r>
          </w:p>
        </w:tc>
        <w:tc>
          <w:tcPr>
            <w:tcW w:w="1473" w:type="dxa"/>
            <w:tcBorders>
              <w:top w:val="single" w:sz="8" w:space="0" w:color="auto"/>
              <w:left w:val="nil"/>
              <w:bottom w:val="single" w:sz="8" w:space="0" w:color="auto"/>
              <w:right w:val="nil"/>
            </w:tcBorders>
            <w:noWrap/>
            <w:hideMark/>
          </w:tcPr>
          <w:p w14:paraId="1B7455DB" w14:textId="77777777" w:rsidR="007E34FA" w:rsidRDefault="007E34FA">
            <w:pPr>
              <w:jc w:val="center"/>
            </w:pPr>
            <w:r>
              <w:t>35.6%</w:t>
            </w:r>
          </w:p>
        </w:tc>
        <w:tc>
          <w:tcPr>
            <w:tcW w:w="1473" w:type="dxa"/>
            <w:tcBorders>
              <w:top w:val="single" w:sz="8" w:space="0" w:color="auto"/>
              <w:left w:val="nil"/>
              <w:bottom w:val="single" w:sz="8" w:space="0" w:color="auto"/>
              <w:right w:val="nil"/>
            </w:tcBorders>
            <w:noWrap/>
            <w:hideMark/>
          </w:tcPr>
          <w:p w14:paraId="590E691B" w14:textId="77777777" w:rsidR="007E34FA" w:rsidRDefault="007E34FA">
            <w:pPr>
              <w:jc w:val="center"/>
            </w:pPr>
            <w:r>
              <w:t>34.9%</w:t>
            </w:r>
          </w:p>
        </w:tc>
        <w:tc>
          <w:tcPr>
            <w:tcW w:w="1473" w:type="dxa"/>
            <w:tcBorders>
              <w:top w:val="single" w:sz="8" w:space="0" w:color="auto"/>
              <w:left w:val="nil"/>
              <w:bottom w:val="single" w:sz="8" w:space="0" w:color="auto"/>
              <w:right w:val="nil"/>
            </w:tcBorders>
            <w:noWrap/>
            <w:hideMark/>
          </w:tcPr>
          <w:p w14:paraId="18E313A4" w14:textId="77777777" w:rsidR="007E34FA" w:rsidRDefault="007E34FA">
            <w:pPr>
              <w:jc w:val="center"/>
            </w:pPr>
            <w:r>
              <w:t>35.5%</w:t>
            </w:r>
          </w:p>
        </w:tc>
        <w:tc>
          <w:tcPr>
            <w:tcW w:w="1593" w:type="dxa"/>
            <w:tcBorders>
              <w:top w:val="single" w:sz="8" w:space="0" w:color="auto"/>
              <w:left w:val="nil"/>
              <w:bottom w:val="single" w:sz="8" w:space="0" w:color="auto"/>
              <w:right w:val="nil"/>
            </w:tcBorders>
            <w:noWrap/>
            <w:hideMark/>
          </w:tcPr>
          <w:p w14:paraId="5A754475" w14:textId="77777777" w:rsidR="007E34FA" w:rsidRDefault="007E34FA">
            <w:pPr>
              <w:jc w:val="center"/>
            </w:pPr>
            <w:r>
              <w:t>35.7%</w:t>
            </w:r>
          </w:p>
        </w:tc>
      </w:tr>
      <w:tr w:rsidR="007E34FA" w14:paraId="5F151E6E" w14:textId="77777777" w:rsidTr="007E34FA">
        <w:trPr>
          <w:trHeight w:val="300"/>
        </w:trPr>
        <w:tc>
          <w:tcPr>
            <w:tcW w:w="3004" w:type="dxa"/>
            <w:tcBorders>
              <w:top w:val="single" w:sz="8" w:space="0" w:color="auto"/>
              <w:left w:val="nil"/>
              <w:bottom w:val="single" w:sz="8" w:space="0" w:color="auto"/>
              <w:right w:val="nil"/>
            </w:tcBorders>
            <w:noWrap/>
            <w:hideMark/>
          </w:tcPr>
          <w:p w14:paraId="4D85B92C" w14:textId="77777777" w:rsidR="007E34FA" w:rsidRDefault="007E34FA">
            <w:r>
              <w:t>Charlson Index Components</w:t>
            </w:r>
          </w:p>
        </w:tc>
        <w:tc>
          <w:tcPr>
            <w:tcW w:w="1473" w:type="dxa"/>
            <w:tcBorders>
              <w:top w:val="single" w:sz="8" w:space="0" w:color="auto"/>
              <w:left w:val="nil"/>
              <w:bottom w:val="single" w:sz="8" w:space="0" w:color="auto"/>
              <w:right w:val="nil"/>
            </w:tcBorders>
            <w:noWrap/>
          </w:tcPr>
          <w:p w14:paraId="1E1DBE81" w14:textId="77777777" w:rsidR="007E34FA" w:rsidRDefault="007E34FA">
            <w:pPr>
              <w:jc w:val="center"/>
            </w:pPr>
          </w:p>
        </w:tc>
        <w:tc>
          <w:tcPr>
            <w:tcW w:w="1473" w:type="dxa"/>
            <w:tcBorders>
              <w:top w:val="single" w:sz="8" w:space="0" w:color="auto"/>
              <w:left w:val="nil"/>
              <w:bottom w:val="single" w:sz="8" w:space="0" w:color="auto"/>
              <w:right w:val="nil"/>
            </w:tcBorders>
            <w:noWrap/>
          </w:tcPr>
          <w:p w14:paraId="76221574" w14:textId="77777777" w:rsidR="007E34FA" w:rsidRDefault="007E34FA">
            <w:pPr>
              <w:jc w:val="center"/>
            </w:pPr>
          </w:p>
        </w:tc>
        <w:tc>
          <w:tcPr>
            <w:tcW w:w="1473" w:type="dxa"/>
            <w:tcBorders>
              <w:top w:val="single" w:sz="8" w:space="0" w:color="auto"/>
              <w:left w:val="nil"/>
              <w:bottom w:val="single" w:sz="8" w:space="0" w:color="auto"/>
              <w:right w:val="nil"/>
            </w:tcBorders>
            <w:noWrap/>
          </w:tcPr>
          <w:p w14:paraId="149E04FF" w14:textId="77777777" w:rsidR="007E34FA" w:rsidRDefault="007E34FA">
            <w:pPr>
              <w:jc w:val="center"/>
            </w:pPr>
          </w:p>
        </w:tc>
        <w:tc>
          <w:tcPr>
            <w:tcW w:w="1593" w:type="dxa"/>
            <w:tcBorders>
              <w:top w:val="single" w:sz="8" w:space="0" w:color="auto"/>
              <w:left w:val="nil"/>
              <w:bottom w:val="single" w:sz="8" w:space="0" w:color="auto"/>
              <w:right w:val="nil"/>
            </w:tcBorders>
            <w:noWrap/>
          </w:tcPr>
          <w:p w14:paraId="0D3255E0" w14:textId="77777777" w:rsidR="007E34FA" w:rsidRDefault="007E34FA">
            <w:pPr>
              <w:jc w:val="center"/>
            </w:pPr>
          </w:p>
        </w:tc>
      </w:tr>
      <w:tr w:rsidR="007E34FA" w14:paraId="5B26F522" w14:textId="77777777" w:rsidTr="007E34FA">
        <w:trPr>
          <w:trHeight w:val="300"/>
        </w:trPr>
        <w:tc>
          <w:tcPr>
            <w:tcW w:w="3004" w:type="dxa"/>
            <w:tcBorders>
              <w:top w:val="single" w:sz="8" w:space="0" w:color="auto"/>
              <w:left w:val="nil"/>
              <w:bottom w:val="single" w:sz="8" w:space="0" w:color="auto"/>
              <w:right w:val="nil"/>
            </w:tcBorders>
            <w:noWrap/>
            <w:hideMark/>
          </w:tcPr>
          <w:p w14:paraId="483D5AAC" w14:textId="77777777" w:rsidR="007E34FA" w:rsidRDefault="007E34FA">
            <w:r>
              <w:lastRenderedPageBreak/>
              <w:t>Myocardial infarction</w:t>
            </w:r>
          </w:p>
        </w:tc>
        <w:tc>
          <w:tcPr>
            <w:tcW w:w="1473" w:type="dxa"/>
            <w:tcBorders>
              <w:top w:val="single" w:sz="8" w:space="0" w:color="auto"/>
              <w:left w:val="nil"/>
              <w:bottom w:val="single" w:sz="8" w:space="0" w:color="auto"/>
              <w:right w:val="nil"/>
            </w:tcBorders>
            <w:noWrap/>
            <w:hideMark/>
          </w:tcPr>
          <w:p w14:paraId="74CC43DC"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5B5444C8" w14:textId="77777777" w:rsidR="007E34FA" w:rsidRDefault="007E34FA">
            <w:pPr>
              <w:jc w:val="center"/>
            </w:pPr>
            <w:r>
              <w:t>15.9%</w:t>
            </w:r>
          </w:p>
        </w:tc>
        <w:tc>
          <w:tcPr>
            <w:tcW w:w="1473" w:type="dxa"/>
            <w:tcBorders>
              <w:top w:val="single" w:sz="8" w:space="0" w:color="auto"/>
              <w:left w:val="nil"/>
              <w:bottom w:val="single" w:sz="8" w:space="0" w:color="auto"/>
              <w:right w:val="nil"/>
            </w:tcBorders>
            <w:noWrap/>
            <w:hideMark/>
          </w:tcPr>
          <w:p w14:paraId="4ADFA238" w14:textId="77777777" w:rsidR="007E34FA" w:rsidRDefault="007E34FA">
            <w:pPr>
              <w:jc w:val="center"/>
            </w:pPr>
            <w:r>
              <w:t>29.1%</w:t>
            </w:r>
          </w:p>
        </w:tc>
        <w:tc>
          <w:tcPr>
            <w:tcW w:w="1593" w:type="dxa"/>
            <w:tcBorders>
              <w:top w:val="single" w:sz="8" w:space="0" w:color="auto"/>
              <w:left w:val="nil"/>
              <w:bottom w:val="single" w:sz="8" w:space="0" w:color="auto"/>
              <w:right w:val="nil"/>
            </w:tcBorders>
            <w:noWrap/>
            <w:hideMark/>
          </w:tcPr>
          <w:p w14:paraId="005F17F6" w14:textId="77777777" w:rsidR="007E34FA" w:rsidRDefault="007E34FA">
            <w:pPr>
              <w:jc w:val="center"/>
            </w:pPr>
            <w:r>
              <w:t>37.4%</w:t>
            </w:r>
          </w:p>
        </w:tc>
      </w:tr>
      <w:tr w:rsidR="007E34FA" w14:paraId="583B739C" w14:textId="77777777" w:rsidTr="007E34FA">
        <w:trPr>
          <w:trHeight w:val="300"/>
        </w:trPr>
        <w:tc>
          <w:tcPr>
            <w:tcW w:w="3004" w:type="dxa"/>
            <w:tcBorders>
              <w:top w:val="single" w:sz="8" w:space="0" w:color="auto"/>
              <w:left w:val="nil"/>
              <w:bottom w:val="single" w:sz="8" w:space="0" w:color="auto"/>
              <w:right w:val="nil"/>
            </w:tcBorders>
            <w:noWrap/>
            <w:hideMark/>
          </w:tcPr>
          <w:p w14:paraId="0096FF1C" w14:textId="77777777" w:rsidR="007E34FA" w:rsidRDefault="007E34FA">
            <w:r>
              <w:t>Heart failure</w:t>
            </w:r>
          </w:p>
        </w:tc>
        <w:tc>
          <w:tcPr>
            <w:tcW w:w="1473" w:type="dxa"/>
            <w:tcBorders>
              <w:top w:val="single" w:sz="8" w:space="0" w:color="auto"/>
              <w:left w:val="nil"/>
              <w:bottom w:val="single" w:sz="8" w:space="0" w:color="auto"/>
              <w:right w:val="nil"/>
            </w:tcBorders>
            <w:noWrap/>
            <w:hideMark/>
          </w:tcPr>
          <w:p w14:paraId="3BC58A4C"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24575722" w14:textId="77777777" w:rsidR="007E34FA" w:rsidRDefault="007E34FA">
            <w:pPr>
              <w:jc w:val="center"/>
            </w:pPr>
            <w:r>
              <w:t>13.1%</w:t>
            </w:r>
          </w:p>
        </w:tc>
        <w:tc>
          <w:tcPr>
            <w:tcW w:w="1473" w:type="dxa"/>
            <w:tcBorders>
              <w:top w:val="single" w:sz="8" w:space="0" w:color="auto"/>
              <w:left w:val="nil"/>
              <w:bottom w:val="single" w:sz="8" w:space="0" w:color="auto"/>
              <w:right w:val="nil"/>
            </w:tcBorders>
            <w:noWrap/>
            <w:hideMark/>
          </w:tcPr>
          <w:p w14:paraId="45B68A45" w14:textId="77777777" w:rsidR="007E34FA" w:rsidRDefault="007E34FA">
            <w:pPr>
              <w:jc w:val="center"/>
            </w:pPr>
            <w:r>
              <w:t>37.6%</w:t>
            </w:r>
          </w:p>
        </w:tc>
        <w:tc>
          <w:tcPr>
            <w:tcW w:w="1593" w:type="dxa"/>
            <w:tcBorders>
              <w:top w:val="single" w:sz="8" w:space="0" w:color="auto"/>
              <w:left w:val="nil"/>
              <w:bottom w:val="single" w:sz="8" w:space="0" w:color="auto"/>
              <w:right w:val="nil"/>
            </w:tcBorders>
            <w:noWrap/>
            <w:hideMark/>
          </w:tcPr>
          <w:p w14:paraId="06E34785" w14:textId="77777777" w:rsidR="007E34FA" w:rsidRDefault="007E34FA">
            <w:pPr>
              <w:jc w:val="center"/>
            </w:pPr>
            <w:r>
              <w:t>61.6%</w:t>
            </w:r>
          </w:p>
        </w:tc>
      </w:tr>
      <w:tr w:rsidR="007E34FA" w14:paraId="1BDCE634" w14:textId="77777777" w:rsidTr="007E34FA">
        <w:trPr>
          <w:trHeight w:val="300"/>
        </w:trPr>
        <w:tc>
          <w:tcPr>
            <w:tcW w:w="3004" w:type="dxa"/>
            <w:tcBorders>
              <w:top w:val="single" w:sz="8" w:space="0" w:color="auto"/>
              <w:left w:val="nil"/>
              <w:bottom w:val="single" w:sz="8" w:space="0" w:color="auto"/>
              <w:right w:val="nil"/>
            </w:tcBorders>
            <w:noWrap/>
            <w:hideMark/>
          </w:tcPr>
          <w:p w14:paraId="7BCF0DA5" w14:textId="77777777" w:rsidR="007E34FA" w:rsidRDefault="007E34FA">
            <w:r>
              <w:t>Peripheral vascular disease</w:t>
            </w:r>
          </w:p>
        </w:tc>
        <w:tc>
          <w:tcPr>
            <w:tcW w:w="1473" w:type="dxa"/>
            <w:tcBorders>
              <w:top w:val="single" w:sz="8" w:space="0" w:color="auto"/>
              <w:left w:val="nil"/>
              <w:bottom w:val="single" w:sz="8" w:space="0" w:color="auto"/>
              <w:right w:val="nil"/>
            </w:tcBorders>
            <w:noWrap/>
            <w:hideMark/>
          </w:tcPr>
          <w:p w14:paraId="514B7B4F"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57C67604" w14:textId="77777777" w:rsidR="007E34FA" w:rsidRDefault="007E34FA">
            <w:pPr>
              <w:jc w:val="center"/>
            </w:pPr>
            <w:r>
              <w:t>1.3%</w:t>
            </w:r>
          </w:p>
        </w:tc>
        <w:tc>
          <w:tcPr>
            <w:tcW w:w="1473" w:type="dxa"/>
            <w:tcBorders>
              <w:top w:val="single" w:sz="8" w:space="0" w:color="auto"/>
              <w:left w:val="nil"/>
              <w:bottom w:val="single" w:sz="8" w:space="0" w:color="auto"/>
              <w:right w:val="nil"/>
            </w:tcBorders>
            <w:noWrap/>
            <w:hideMark/>
          </w:tcPr>
          <w:p w14:paraId="73AA5C01" w14:textId="77777777" w:rsidR="007E34FA" w:rsidRDefault="007E34FA">
            <w:pPr>
              <w:jc w:val="center"/>
            </w:pPr>
            <w:r>
              <w:t>2.9%</w:t>
            </w:r>
          </w:p>
        </w:tc>
        <w:tc>
          <w:tcPr>
            <w:tcW w:w="1593" w:type="dxa"/>
            <w:tcBorders>
              <w:top w:val="single" w:sz="8" w:space="0" w:color="auto"/>
              <w:left w:val="nil"/>
              <w:bottom w:val="single" w:sz="8" w:space="0" w:color="auto"/>
              <w:right w:val="nil"/>
            </w:tcBorders>
            <w:noWrap/>
            <w:hideMark/>
          </w:tcPr>
          <w:p w14:paraId="6998896C" w14:textId="77777777" w:rsidR="007E34FA" w:rsidRDefault="007E34FA">
            <w:pPr>
              <w:jc w:val="center"/>
            </w:pPr>
            <w:r>
              <w:t>4.6%</w:t>
            </w:r>
          </w:p>
        </w:tc>
      </w:tr>
      <w:tr w:rsidR="007E34FA" w14:paraId="4FCB49D6" w14:textId="77777777" w:rsidTr="007E34FA">
        <w:trPr>
          <w:trHeight w:val="300"/>
        </w:trPr>
        <w:tc>
          <w:tcPr>
            <w:tcW w:w="3004" w:type="dxa"/>
            <w:tcBorders>
              <w:top w:val="single" w:sz="8" w:space="0" w:color="auto"/>
              <w:left w:val="nil"/>
              <w:bottom w:val="single" w:sz="8" w:space="0" w:color="auto"/>
              <w:right w:val="nil"/>
            </w:tcBorders>
            <w:noWrap/>
            <w:hideMark/>
          </w:tcPr>
          <w:p w14:paraId="047816EF" w14:textId="77777777" w:rsidR="007E34FA" w:rsidRDefault="007E34FA">
            <w:r>
              <w:t>Stroke</w:t>
            </w:r>
          </w:p>
        </w:tc>
        <w:tc>
          <w:tcPr>
            <w:tcW w:w="1473" w:type="dxa"/>
            <w:tcBorders>
              <w:top w:val="single" w:sz="8" w:space="0" w:color="auto"/>
              <w:left w:val="nil"/>
              <w:bottom w:val="single" w:sz="8" w:space="0" w:color="auto"/>
              <w:right w:val="nil"/>
            </w:tcBorders>
            <w:noWrap/>
            <w:hideMark/>
          </w:tcPr>
          <w:p w14:paraId="0E149197"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4621FB43" w14:textId="77777777" w:rsidR="007E34FA" w:rsidRDefault="007E34FA">
            <w:pPr>
              <w:jc w:val="center"/>
            </w:pPr>
            <w:r>
              <w:t>2.8%</w:t>
            </w:r>
          </w:p>
        </w:tc>
        <w:tc>
          <w:tcPr>
            <w:tcW w:w="1473" w:type="dxa"/>
            <w:tcBorders>
              <w:top w:val="single" w:sz="8" w:space="0" w:color="auto"/>
              <w:left w:val="nil"/>
              <w:bottom w:val="single" w:sz="8" w:space="0" w:color="auto"/>
              <w:right w:val="nil"/>
            </w:tcBorders>
            <w:noWrap/>
            <w:hideMark/>
          </w:tcPr>
          <w:p w14:paraId="20B11607" w14:textId="77777777" w:rsidR="007E34FA" w:rsidRDefault="007E34FA">
            <w:pPr>
              <w:jc w:val="center"/>
            </w:pPr>
            <w:r>
              <w:t>8.6%</w:t>
            </w:r>
          </w:p>
        </w:tc>
        <w:tc>
          <w:tcPr>
            <w:tcW w:w="1593" w:type="dxa"/>
            <w:tcBorders>
              <w:top w:val="single" w:sz="8" w:space="0" w:color="auto"/>
              <w:left w:val="nil"/>
              <w:bottom w:val="single" w:sz="8" w:space="0" w:color="auto"/>
              <w:right w:val="nil"/>
            </w:tcBorders>
            <w:noWrap/>
            <w:hideMark/>
          </w:tcPr>
          <w:p w14:paraId="44A6D878" w14:textId="77777777" w:rsidR="007E34FA" w:rsidRDefault="007E34FA">
            <w:pPr>
              <w:jc w:val="center"/>
            </w:pPr>
            <w:r>
              <w:t>17.7%</w:t>
            </w:r>
          </w:p>
        </w:tc>
      </w:tr>
      <w:tr w:rsidR="007E34FA" w14:paraId="405EC0AC" w14:textId="77777777" w:rsidTr="007E34FA">
        <w:trPr>
          <w:trHeight w:val="300"/>
        </w:trPr>
        <w:tc>
          <w:tcPr>
            <w:tcW w:w="3004" w:type="dxa"/>
            <w:tcBorders>
              <w:top w:val="single" w:sz="8" w:space="0" w:color="auto"/>
              <w:left w:val="nil"/>
              <w:bottom w:val="single" w:sz="8" w:space="0" w:color="auto"/>
              <w:right w:val="nil"/>
            </w:tcBorders>
            <w:noWrap/>
            <w:hideMark/>
          </w:tcPr>
          <w:p w14:paraId="44DC7334" w14:textId="77777777" w:rsidR="007E34FA" w:rsidRDefault="007E34FA">
            <w:r>
              <w:t>Dementia</w:t>
            </w:r>
          </w:p>
        </w:tc>
        <w:tc>
          <w:tcPr>
            <w:tcW w:w="1473" w:type="dxa"/>
            <w:tcBorders>
              <w:top w:val="single" w:sz="8" w:space="0" w:color="auto"/>
              <w:left w:val="nil"/>
              <w:bottom w:val="single" w:sz="8" w:space="0" w:color="auto"/>
              <w:right w:val="nil"/>
            </w:tcBorders>
            <w:noWrap/>
            <w:hideMark/>
          </w:tcPr>
          <w:p w14:paraId="583C7146"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21D26D0A" w14:textId="77777777" w:rsidR="007E34FA" w:rsidRDefault="007E34FA">
            <w:pPr>
              <w:jc w:val="center"/>
            </w:pPr>
            <w:r>
              <w:t>0.1%</w:t>
            </w:r>
          </w:p>
        </w:tc>
        <w:tc>
          <w:tcPr>
            <w:tcW w:w="1473" w:type="dxa"/>
            <w:tcBorders>
              <w:top w:val="single" w:sz="8" w:space="0" w:color="auto"/>
              <w:left w:val="nil"/>
              <w:bottom w:val="single" w:sz="8" w:space="0" w:color="auto"/>
              <w:right w:val="nil"/>
            </w:tcBorders>
            <w:noWrap/>
            <w:hideMark/>
          </w:tcPr>
          <w:p w14:paraId="20ADCD9C" w14:textId="77777777" w:rsidR="007E34FA" w:rsidRDefault="007E34FA">
            <w:pPr>
              <w:jc w:val="center"/>
            </w:pPr>
            <w:r>
              <w:t>0.3%</w:t>
            </w:r>
          </w:p>
        </w:tc>
        <w:tc>
          <w:tcPr>
            <w:tcW w:w="1593" w:type="dxa"/>
            <w:tcBorders>
              <w:top w:val="single" w:sz="8" w:space="0" w:color="auto"/>
              <w:left w:val="nil"/>
              <w:bottom w:val="single" w:sz="8" w:space="0" w:color="auto"/>
              <w:right w:val="nil"/>
            </w:tcBorders>
            <w:noWrap/>
            <w:hideMark/>
          </w:tcPr>
          <w:p w14:paraId="46B59D42" w14:textId="77777777" w:rsidR="007E34FA" w:rsidRDefault="007E34FA">
            <w:pPr>
              <w:jc w:val="center"/>
            </w:pPr>
            <w:r>
              <w:t>0.8%</w:t>
            </w:r>
          </w:p>
        </w:tc>
      </w:tr>
      <w:tr w:rsidR="007E34FA" w14:paraId="3D1A89C6" w14:textId="77777777" w:rsidTr="007E34FA">
        <w:trPr>
          <w:trHeight w:val="300"/>
        </w:trPr>
        <w:tc>
          <w:tcPr>
            <w:tcW w:w="3004" w:type="dxa"/>
            <w:tcBorders>
              <w:top w:val="single" w:sz="8" w:space="0" w:color="auto"/>
              <w:left w:val="nil"/>
              <w:bottom w:val="single" w:sz="8" w:space="0" w:color="auto"/>
              <w:right w:val="nil"/>
            </w:tcBorders>
            <w:noWrap/>
            <w:hideMark/>
          </w:tcPr>
          <w:p w14:paraId="0E125C35" w14:textId="77777777" w:rsidR="007E34FA" w:rsidRDefault="007E34FA">
            <w:r>
              <w:t>Chronic obstructive disease</w:t>
            </w:r>
          </w:p>
        </w:tc>
        <w:tc>
          <w:tcPr>
            <w:tcW w:w="1473" w:type="dxa"/>
            <w:tcBorders>
              <w:top w:val="single" w:sz="8" w:space="0" w:color="auto"/>
              <w:left w:val="nil"/>
              <w:bottom w:val="single" w:sz="8" w:space="0" w:color="auto"/>
              <w:right w:val="nil"/>
            </w:tcBorders>
            <w:noWrap/>
            <w:hideMark/>
          </w:tcPr>
          <w:p w14:paraId="716808EF"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3F2BB50E" w14:textId="77777777" w:rsidR="007E34FA" w:rsidRDefault="007E34FA">
            <w:pPr>
              <w:jc w:val="center"/>
            </w:pPr>
            <w:r>
              <w:t>16.8%</w:t>
            </w:r>
          </w:p>
        </w:tc>
        <w:tc>
          <w:tcPr>
            <w:tcW w:w="1473" w:type="dxa"/>
            <w:tcBorders>
              <w:top w:val="single" w:sz="8" w:space="0" w:color="auto"/>
              <w:left w:val="nil"/>
              <w:bottom w:val="single" w:sz="8" w:space="0" w:color="auto"/>
              <w:right w:val="nil"/>
            </w:tcBorders>
            <w:noWrap/>
            <w:hideMark/>
          </w:tcPr>
          <w:p w14:paraId="0ACDBA39" w14:textId="77777777" w:rsidR="007E34FA" w:rsidRDefault="007E34FA">
            <w:pPr>
              <w:jc w:val="center"/>
            </w:pPr>
            <w:r>
              <w:t>35.8%</w:t>
            </w:r>
          </w:p>
        </w:tc>
        <w:tc>
          <w:tcPr>
            <w:tcW w:w="1593" w:type="dxa"/>
            <w:tcBorders>
              <w:top w:val="single" w:sz="8" w:space="0" w:color="auto"/>
              <w:left w:val="nil"/>
              <w:bottom w:val="single" w:sz="8" w:space="0" w:color="auto"/>
              <w:right w:val="nil"/>
            </w:tcBorders>
            <w:noWrap/>
            <w:hideMark/>
          </w:tcPr>
          <w:p w14:paraId="116DD1E9" w14:textId="77777777" w:rsidR="007E34FA" w:rsidRDefault="007E34FA">
            <w:pPr>
              <w:jc w:val="center"/>
            </w:pPr>
            <w:r>
              <w:t>50.0%</w:t>
            </w:r>
          </w:p>
        </w:tc>
      </w:tr>
      <w:tr w:rsidR="007E34FA" w14:paraId="08194B7F" w14:textId="77777777" w:rsidTr="007E34FA">
        <w:trPr>
          <w:trHeight w:val="300"/>
        </w:trPr>
        <w:tc>
          <w:tcPr>
            <w:tcW w:w="3004" w:type="dxa"/>
            <w:tcBorders>
              <w:top w:val="single" w:sz="8" w:space="0" w:color="auto"/>
              <w:left w:val="nil"/>
              <w:bottom w:val="single" w:sz="8" w:space="0" w:color="auto"/>
              <w:right w:val="nil"/>
            </w:tcBorders>
            <w:noWrap/>
            <w:hideMark/>
          </w:tcPr>
          <w:p w14:paraId="3E243843" w14:textId="77777777" w:rsidR="007E34FA" w:rsidRDefault="007E34FA">
            <w:r>
              <w:t>Connective tissue disease</w:t>
            </w:r>
          </w:p>
        </w:tc>
        <w:tc>
          <w:tcPr>
            <w:tcW w:w="1473" w:type="dxa"/>
            <w:tcBorders>
              <w:top w:val="single" w:sz="8" w:space="0" w:color="auto"/>
              <w:left w:val="nil"/>
              <w:bottom w:val="single" w:sz="8" w:space="0" w:color="auto"/>
              <w:right w:val="nil"/>
            </w:tcBorders>
            <w:noWrap/>
            <w:hideMark/>
          </w:tcPr>
          <w:p w14:paraId="0E8F392F"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2791878F" w14:textId="77777777" w:rsidR="007E34FA" w:rsidRDefault="007E34FA">
            <w:pPr>
              <w:jc w:val="center"/>
            </w:pPr>
            <w:r>
              <w:t>1.8%</w:t>
            </w:r>
          </w:p>
        </w:tc>
        <w:tc>
          <w:tcPr>
            <w:tcW w:w="1473" w:type="dxa"/>
            <w:tcBorders>
              <w:top w:val="single" w:sz="8" w:space="0" w:color="auto"/>
              <w:left w:val="nil"/>
              <w:bottom w:val="single" w:sz="8" w:space="0" w:color="auto"/>
              <w:right w:val="nil"/>
            </w:tcBorders>
            <w:noWrap/>
            <w:hideMark/>
          </w:tcPr>
          <w:p w14:paraId="150A375E" w14:textId="77777777" w:rsidR="007E34FA" w:rsidRDefault="007E34FA">
            <w:pPr>
              <w:jc w:val="center"/>
            </w:pPr>
            <w:r>
              <w:t>3.6%</w:t>
            </w:r>
          </w:p>
        </w:tc>
        <w:tc>
          <w:tcPr>
            <w:tcW w:w="1593" w:type="dxa"/>
            <w:tcBorders>
              <w:top w:val="single" w:sz="8" w:space="0" w:color="auto"/>
              <w:left w:val="nil"/>
              <w:bottom w:val="single" w:sz="8" w:space="0" w:color="auto"/>
              <w:right w:val="nil"/>
            </w:tcBorders>
            <w:noWrap/>
            <w:hideMark/>
          </w:tcPr>
          <w:p w14:paraId="43FAD063" w14:textId="77777777" w:rsidR="007E34FA" w:rsidRDefault="007E34FA">
            <w:pPr>
              <w:jc w:val="center"/>
            </w:pPr>
            <w:r>
              <w:t>5.5%</w:t>
            </w:r>
          </w:p>
        </w:tc>
      </w:tr>
      <w:tr w:rsidR="007E34FA" w14:paraId="48CF9B54" w14:textId="77777777" w:rsidTr="007E34FA">
        <w:trPr>
          <w:trHeight w:val="300"/>
        </w:trPr>
        <w:tc>
          <w:tcPr>
            <w:tcW w:w="3004" w:type="dxa"/>
            <w:tcBorders>
              <w:top w:val="single" w:sz="8" w:space="0" w:color="auto"/>
              <w:left w:val="nil"/>
              <w:bottom w:val="single" w:sz="8" w:space="0" w:color="auto"/>
              <w:right w:val="nil"/>
            </w:tcBorders>
            <w:noWrap/>
            <w:hideMark/>
          </w:tcPr>
          <w:p w14:paraId="4D71FF55" w14:textId="77777777" w:rsidR="007E34FA" w:rsidRDefault="007E34FA">
            <w:r>
              <w:t>Peptic ulcer</w:t>
            </w:r>
          </w:p>
        </w:tc>
        <w:tc>
          <w:tcPr>
            <w:tcW w:w="1473" w:type="dxa"/>
            <w:tcBorders>
              <w:top w:val="single" w:sz="8" w:space="0" w:color="auto"/>
              <w:left w:val="nil"/>
              <w:bottom w:val="single" w:sz="8" w:space="0" w:color="auto"/>
              <w:right w:val="nil"/>
            </w:tcBorders>
            <w:noWrap/>
            <w:hideMark/>
          </w:tcPr>
          <w:p w14:paraId="295D4290"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79CF4A40" w14:textId="77777777" w:rsidR="007E34FA" w:rsidRDefault="007E34FA">
            <w:pPr>
              <w:jc w:val="center"/>
            </w:pPr>
            <w:r>
              <w:t>0.7%</w:t>
            </w:r>
          </w:p>
        </w:tc>
        <w:tc>
          <w:tcPr>
            <w:tcW w:w="1473" w:type="dxa"/>
            <w:tcBorders>
              <w:top w:val="single" w:sz="8" w:space="0" w:color="auto"/>
              <w:left w:val="nil"/>
              <w:bottom w:val="single" w:sz="8" w:space="0" w:color="auto"/>
              <w:right w:val="nil"/>
            </w:tcBorders>
            <w:noWrap/>
            <w:hideMark/>
          </w:tcPr>
          <w:p w14:paraId="20608571" w14:textId="77777777" w:rsidR="007E34FA" w:rsidRDefault="007E34FA">
            <w:pPr>
              <w:jc w:val="center"/>
            </w:pPr>
            <w:r>
              <w:t>1.6%</w:t>
            </w:r>
          </w:p>
        </w:tc>
        <w:tc>
          <w:tcPr>
            <w:tcW w:w="1593" w:type="dxa"/>
            <w:tcBorders>
              <w:top w:val="single" w:sz="8" w:space="0" w:color="auto"/>
              <w:left w:val="nil"/>
              <w:bottom w:val="single" w:sz="8" w:space="0" w:color="auto"/>
              <w:right w:val="nil"/>
            </w:tcBorders>
            <w:noWrap/>
            <w:hideMark/>
          </w:tcPr>
          <w:p w14:paraId="31EC1432" w14:textId="77777777" w:rsidR="007E34FA" w:rsidRDefault="007E34FA">
            <w:pPr>
              <w:jc w:val="center"/>
            </w:pPr>
            <w:r>
              <w:t>2.8%</w:t>
            </w:r>
          </w:p>
        </w:tc>
      </w:tr>
      <w:tr w:rsidR="007E34FA" w14:paraId="7BAA12C4" w14:textId="77777777" w:rsidTr="007E34FA">
        <w:trPr>
          <w:trHeight w:val="300"/>
        </w:trPr>
        <w:tc>
          <w:tcPr>
            <w:tcW w:w="3004" w:type="dxa"/>
            <w:tcBorders>
              <w:top w:val="single" w:sz="8" w:space="0" w:color="auto"/>
              <w:left w:val="nil"/>
              <w:bottom w:val="single" w:sz="8" w:space="0" w:color="auto"/>
              <w:right w:val="nil"/>
            </w:tcBorders>
            <w:noWrap/>
            <w:hideMark/>
          </w:tcPr>
          <w:p w14:paraId="5F86C533" w14:textId="77777777" w:rsidR="007E34FA" w:rsidRDefault="007E34FA">
            <w:r>
              <w:t>Mild liver disease</w:t>
            </w:r>
          </w:p>
        </w:tc>
        <w:tc>
          <w:tcPr>
            <w:tcW w:w="1473" w:type="dxa"/>
            <w:tcBorders>
              <w:top w:val="single" w:sz="8" w:space="0" w:color="auto"/>
              <w:left w:val="nil"/>
              <w:bottom w:val="single" w:sz="8" w:space="0" w:color="auto"/>
              <w:right w:val="nil"/>
            </w:tcBorders>
            <w:noWrap/>
            <w:hideMark/>
          </w:tcPr>
          <w:p w14:paraId="50480DA4"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77403DCB" w14:textId="77777777" w:rsidR="007E34FA" w:rsidRDefault="007E34FA">
            <w:pPr>
              <w:jc w:val="center"/>
            </w:pPr>
            <w:r>
              <w:t>0.2%</w:t>
            </w:r>
          </w:p>
        </w:tc>
        <w:tc>
          <w:tcPr>
            <w:tcW w:w="1473" w:type="dxa"/>
            <w:tcBorders>
              <w:top w:val="single" w:sz="8" w:space="0" w:color="auto"/>
              <w:left w:val="nil"/>
              <w:bottom w:val="single" w:sz="8" w:space="0" w:color="auto"/>
              <w:right w:val="nil"/>
            </w:tcBorders>
            <w:noWrap/>
            <w:hideMark/>
          </w:tcPr>
          <w:p w14:paraId="768F8031" w14:textId="77777777" w:rsidR="007E34FA" w:rsidRDefault="007E34FA">
            <w:pPr>
              <w:jc w:val="center"/>
            </w:pPr>
            <w:r>
              <w:t>0.6%</w:t>
            </w:r>
          </w:p>
        </w:tc>
        <w:tc>
          <w:tcPr>
            <w:tcW w:w="1593" w:type="dxa"/>
            <w:tcBorders>
              <w:top w:val="single" w:sz="8" w:space="0" w:color="auto"/>
              <w:left w:val="nil"/>
              <w:bottom w:val="single" w:sz="8" w:space="0" w:color="auto"/>
              <w:right w:val="nil"/>
            </w:tcBorders>
            <w:noWrap/>
            <w:hideMark/>
          </w:tcPr>
          <w:p w14:paraId="7A35C3EB" w14:textId="77777777" w:rsidR="007E34FA" w:rsidRDefault="007E34FA">
            <w:pPr>
              <w:jc w:val="center"/>
            </w:pPr>
            <w:r>
              <w:t>1.6%</w:t>
            </w:r>
          </w:p>
        </w:tc>
      </w:tr>
      <w:tr w:rsidR="007E34FA" w14:paraId="5D360786" w14:textId="77777777" w:rsidTr="007E34FA">
        <w:trPr>
          <w:trHeight w:val="300"/>
        </w:trPr>
        <w:tc>
          <w:tcPr>
            <w:tcW w:w="3004" w:type="dxa"/>
            <w:tcBorders>
              <w:top w:val="single" w:sz="8" w:space="0" w:color="auto"/>
              <w:left w:val="nil"/>
              <w:bottom w:val="single" w:sz="8" w:space="0" w:color="auto"/>
              <w:right w:val="nil"/>
            </w:tcBorders>
            <w:noWrap/>
            <w:hideMark/>
          </w:tcPr>
          <w:p w14:paraId="469EE7E8" w14:textId="77777777" w:rsidR="007E34FA" w:rsidRDefault="007E34FA">
            <w:r>
              <w:t>Moderate-severe liver disease</w:t>
            </w:r>
          </w:p>
        </w:tc>
        <w:tc>
          <w:tcPr>
            <w:tcW w:w="1473" w:type="dxa"/>
            <w:tcBorders>
              <w:top w:val="single" w:sz="8" w:space="0" w:color="auto"/>
              <w:left w:val="nil"/>
              <w:bottom w:val="single" w:sz="8" w:space="0" w:color="auto"/>
              <w:right w:val="nil"/>
            </w:tcBorders>
            <w:noWrap/>
            <w:hideMark/>
          </w:tcPr>
          <w:p w14:paraId="59338F1D"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2A063197" w14:textId="77777777" w:rsidR="007E34FA" w:rsidRDefault="007E34FA">
            <w:pPr>
              <w:jc w:val="center"/>
            </w:pPr>
            <w:r>
              <w:t>0</w:t>
            </w:r>
          </w:p>
        </w:tc>
        <w:tc>
          <w:tcPr>
            <w:tcW w:w="1473" w:type="dxa"/>
            <w:tcBorders>
              <w:top w:val="single" w:sz="8" w:space="0" w:color="auto"/>
              <w:left w:val="nil"/>
              <w:bottom w:val="single" w:sz="8" w:space="0" w:color="auto"/>
              <w:right w:val="nil"/>
            </w:tcBorders>
            <w:noWrap/>
            <w:hideMark/>
          </w:tcPr>
          <w:p w14:paraId="4AA93077" w14:textId="77777777" w:rsidR="007E34FA" w:rsidRDefault="007E34FA">
            <w:pPr>
              <w:jc w:val="center"/>
            </w:pPr>
            <w:r>
              <w:t>0</w:t>
            </w:r>
          </w:p>
        </w:tc>
        <w:tc>
          <w:tcPr>
            <w:tcW w:w="1593" w:type="dxa"/>
            <w:tcBorders>
              <w:top w:val="single" w:sz="8" w:space="0" w:color="auto"/>
              <w:left w:val="nil"/>
              <w:bottom w:val="single" w:sz="8" w:space="0" w:color="auto"/>
              <w:right w:val="nil"/>
            </w:tcBorders>
            <w:noWrap/>
            <w:hideMark/>
          </w:tcPr>
          <w:p w14:paraId="57B5316D" w14:textId="77777777" w:rsidR="007E34FA" w:rsidRDefault="007E34FA">
            <w:pPr>
              <w:jc w:val="center"/>
            </w:pPr>
            <w:r>
              <w:t>0.9%</w:t>
            </w:r>
          </w:p>
        </w:tc>
      </w:tr>
      <w:tr w:rsidR="007E34FA" w14:paraId="34AF163F" w14:textId="77777777" w:rsidTr="007E34FA">
        <w:trPr>
          <w:trHeight w:val="300"/>
        </w:trPr>
        <w:tc>
          <w:tcPr>
            <w:tcW w:w="3004" w:type="dxa"/>
            <w:tcBorders>
              <w:top w:val="single" w:sz="8" w:space="0" w:color="auto"/>
              <w:left w:val="nil"/>
              <w:bottom w:val="single" w:sz="8" w:space="0" w:color="auto"/>
              <w:right w:val="nil"/>
            </w:tcBorders>
            <w:noWrap/>
            <w:hideMark/>
          </w:tcPr>
          <w:p w14:paraId="7CCB9337" w14:textId="77777777" w:rsidR="007E34FA" w:rsidRDefault="007E34FA">
            <w:r>
              <w:t>Hemiplegia</w:t>
            </w:r>
          </w:p>
        </w:tc>
        <w:tc>
          <w:tcPr>
            <w:tcW w:w="1473" w:type="dxa"/>
            <w:tcBorders>
              <w:top w:val="single" w:sz="8" w:space="0" w:color="auto"/>
              <w:left w:val="nil"/>
              <w:bottom w:val="single" w:sz="8" w:space="0" w:color="auto"/>
              <w:right w:val="nil"/>
            </w:tcBorders>
            <w:noWrap/>
            <w:hideMark/>
          </w:tcPr>
          <w:p w14:paraId="28DBA8A2"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0DE107E0" w14:textId="77777777" w:rsidR="007E34FA" w:rsidRDefault="007E34FA">
            <w:pPr>
              <w:jc w:val="center"/>
            </w:pPr>
            <w:r>
              <w:t>0</w:t>
            </w:r>
          </w:p>
        </w:tc>
        <w:tc>
          <w:tcPr>
            <w:tcW w:w="1473" w:type="dxa"/>
            <w:tcBorders>
              <w:top w:val="single" w:sz="8" w:space="0" w:color="auto"/>
              <w:left w:val="nil"/>
              <w:bottom w:val="single" w:sz="8" w:space="0" w:color="auto"/>
              <w:right w:val="nil"/>
            </w:tcBorders>
            <w:noWrap/>
            <w:hideMark/>
          </w:tcPr>
          <w:p w14:paraId="0CF7D89F" w14:textId="77777777" w:rsidR="007E34FA" w:rsidRDefault="007E34FA">
            <w:pPr>
              <w:jc w:val="center"/>
            </w:pPr>
            <w:r>
              <w:t>0.4%</w:t>
            </w:r>
          </w:p>
        </w:tc>
        <w:tc>
          <w:tcPr>
            <w:tcW w:w="1593" w:type="dxa"/>
            <w:tcBorders>
              <w:top w:val="single" w:sz="8" w:space="0" w:color="auto"/>
              <w:left w:val="nil"/>
              <w:bottom w:val="single" w:sz="8" w:space="0" w:color="auto"/>
              <w:right w:val="nil"/>
            </w:tcBorders>
            <w:noWrap/>
            <w:hideMark/>
          </w:tcPr>
          <w:p w14:paraId="1B3E00BD" w14:textId="77777777" w:rsidR="007E34FA" w:rsidRDefault="007E34FA">
            <w:pPr>
              <w:jc w:val="center"/>
            </w:pPr>
            <w:r>
              <w:t>1.7%</w:t>
            </w:r>
          </w:p>
        </w:tc>
      </w:tr>
      <w:tr w:rsidR="007E34FA" w14:paraId="788372DE" w14:textId="77777777" w:rsidTr="007E34FA">
        <w:trPr>
          <w:trHeight w:val="300"/>
        </w:trPr>
        <w:tc>
          <w:tcPr>
            <w:tcW w:w="3004" w:type="dxa"/>
            <w:tcBorders>
              <w:top w:val="single" w:sz="8" w:space="0" w:color="auto"/>
              <w:left w:val="nil"/>
              <w:bottom w:val="single" w:sz="8" w:space="0" w:color="auto"/>
              <w:right w:val="nil"/>
            </w:tcBorders>
            <w:noWrap/>
            <w:hideMark/>
          </w:tcPr>
          <w:p w14:paraId="3BF54295" w14:textId="77777777" w:rsidR="007E34FA" w:rsidRDefault="007E34FA">
            <w:r>
              <w:t>Moderate-severe chronic kidney disease</w:t>
            </w:r>
          </w:p>
        </w:tc>
        <w:tc>
          <w:tcPr>
            <w:tcW w:w="1473" w:type="dxa"/>
            <w:tcBorders>
              <w:top w:val="single" w:sz="8" w:space="0" w:color="auto"/>
              <w:left w:val="nil"/>
              <w:bottom w:val="single" w:sz="8" w:space="0" w:color="auto"/>
              <w:right w:val="nil"/>
            </w:tcBorders>
            <w:noWrap/>
            <w:hideMark/>
          </w:tcPr>
          <w:p w14:paraId="4B0823D9"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12540DE2" w14:textId="77777777" w:rsidR="007E34FA" w:rsidRDefault="007E34FA">
            <w:pPr>
              <w:jc w:val="center"/>
            </w:pPr>
            <w:r>
              <w:t>0</w:t>
            </w:r>
          </w:p>
        </w:tc>
        <w:tc>
          <w:tcPr>
            <w:tcW w:w="1473" w:type="dxa"/>
            <w:tcBorders>
              <w:top w:val="single" w:sz="8" w:space="0" w:color="auto"/>
              <w:left w:val="nil"/>
              <w:bottom w:val="single" w:sz="8" w:space="0" w:color="auto"/>
              <w:right w:val="nil"/>
            </w:tcBorders>
            <w:noWrap/>
            <w:hideMark/>
          </w:tcPr>
          <w:p w14:paraId="3DA5469B" w14:textId="77777777" w:rsidR="007E34FA" w:rsidRDefault="007E34FA">
            <w:pPr>
              <w:jc w:val="center"/>
            </w:pPr>
            <w:r>
              <w:t>0.6%</w:t>
            </w:r>
          </w:p>
        </w:tc>
        <w:tc>
          <w:tcPr>
            <w:tcW w:w="1593" w:type="dxa"/>
            <w:tcBorders>
              <w:top w:val="single" w:sz="8" w:space="0" w:color="auto"/>
              <w:left w:val="nil"/>
              <w:bottom w:val="single" w:sz="8" w:space="0" w:color="auto"/>
              <w:right w:val="nil"/>
            </w:tcBorders>
            <w:noWrap/>
            <w:hideMark/>
          </w:tcPr>
          <w:p w14:paraId="0892884C" w14:textId="77777777" w:rsidR="007E34FA" w:rsidRDefault="007E34FA">
            <w:pPr>
              <w:jc w:val="center"/>
            </w:pPr>
            <w:r>
              <w:t>5.9%</w:t>
            </w:r>
          </w:p>
        </w:tc>
      </w:tr>
      <w:tr w:rsidR="007E34FA" w14:paraId="7EC4CF95" w14:textId="77777777" w:rsidTr="007E34FA">
        <w:trPr>
          <w:trHeight w:val="300"/>
        </w:trPr>
        <w:tc>
          <w:tcPr>
            <w:tcW w:w="3004" w:type="dxa"/>
            <w:tcBorders>
              <w:top w:val="single" w:sz="8" w:space="0" w:color="auto"/>
              <w:left w:val="nil"/>
              <w:bottom w:val="single" w:sz="8" w:space="0" w:color="auto"/>
              <w:right w:val="nil"/>
            </w:tcBorders>
            <w:noWrap/>
            <w:hideMark/>
          </w:tcPr>
          <w:p w14:paraId="65DAB5BE" w14:textId="77777777" w:rsidR="007E34FA" w:rsidRDefault="007E34FA">
            <w:r>
              <w:t>Diabetes – controlled</w:t>
            </w:r>
          </w:p>
        </w:tc>
        <w:tc>
          <w:tcPr>
            <w:tcW w:w="1473" w:type="dxa"/>
            <w:tcBorders>
              <w:top w:val="single" w:sz="8" w:space="0" w:color="auto"/>
              <w:left w:val="nil"/>
              <w:bottom w:val="single" w:sz="8" w:space="0" w:color="auto"/>
              <w:right w:val="nil"/>
            </w:tcBorders>
            <w:noWrap/>
            <w:hideMark/>
          </w:tcPr>
          <w:p w14:paraId="127B270C"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1995B5DA" w14:textId="77777777" w:rsidR="007E34FA" w:rsidRDefault="007E34FA">
            <w:pPr>
              <w:jc w:val="center"/>
            </w:pPr>
            <w:r>
              <w:t>47.3%</w:t>
            </w:r>
          </w:p>
        </w:tc>
        <w:tc>
          <w:tcPr>
            <w:tcW w:w="1473" w:type="dxa"/>
            <w:tcBorders>
              <w:top w:val="single" w:sz="8" w:space="0" w:color="auto"/>
              <w:left w:val="nil"/>
              <w:bottom w:val="single" w:sz="8" w:space="0" w:color="auto"/>
              <w:right w:val="nil"/>
            </w:tcBorders>
            <w:noWrap/>
            <w:hideMark/>
          </w:tcPr>
          <w:p w14:paraId="1F6E3268" w14:textId="77777777" w:rsidR="007E34FA" w:rsidRDefault="007E34FA">
            <w:pPr>
              <w:jc w:val="center"/>
            </w:pPr>
            <w:r>
              <w:t>56.1%</w:t>
            </w:r>
          </w:p>
        </w:tc>
        <w:tc>
          <w:tcPr>
            <w:tcW w:w="1593" w:type="dxa"/>
            <w:tcBorders>
              <w:top w:val="single" w:sz="8" w:space="0" w:color="auto"/>
              <w:left w:val="nil"/>
              <w:bottom w:val="single" w:sz="8" w:space="0" w:color="auto"/>
              <w:right w:val="nil"/>
            </w:tcBorders>
            <w:noWrap/>
            <w:hideMark/>
          </w:tcPr>
          <w:p w14:paraId="61907AD3" w14:textId="77777777" w:rsidR="007E34FA" w:rsidRDefault="007E34FA">
            <w:pPr>
              <w:jc w:val="center"/>
            </w:pPr>
            <w:r>
              <w:t>53.1%</w:t>
            </w:r>
          </w:p>
        </w:tc>
      </w:tr>
      <w:tr w:rsidR="007E34FA" w14:paraId="2858BB93" w14:textId="77777777" w:rsidTr="007E34FA">
        <w:trPr>
          <w:trHeight w:val="300"/>
        </w:trPr>
        <w:tc>
          <w:tcPr>
            <w:tcW w:w="3004" w:type="dxa"/>
            <w:tcBorders>
              <w:top w:val="single" w:sz="8" w:space="0" w:color="auto"/>
              <w:left w:val="nil"/>
              <w:bottom w:val="single" w:sz="8" w:space="0" w:color="auto"/>
              <w:right w:val="nil"/>
            </w:tcBorders>
            <w:noWrap/>
            <w:hideMark/>
          </w:tcPr>
          <w:p w14:paraId="5F5C8CA6" w14:textId="77777777" w:rsidR="007E34FA" w:rsidRDefault="007E34FA">
            <w:r>
              <w:t>Diabetes – uncontrolled</w:t>
            </w:r>
          </w:p>
        </w:tc>
        <w:tc>
          <w:tcPr>
            <w:tcW w:w="1473" w:type="dxa"/>
            <w:tcBorders>
              <w:top w:val="single" w:sz="8" w:space="0" w:color="auto"/>
              <w:left w:val="nil"/>
              <w:bottom w:val="single" w:sz="8" w:space="0" w:color="auto"/>
              <w:right w:val="nil"/>
            </w:tcBorders>
            <w:noWrap/>
            <w:hideMark/>
          </w:tcPr>
          <w:p w14:paraId="7C8CB084"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3C5CAD97" w14:textId="77777777" w:rsidR="007E34FA" w:rsidRDefault="007E34FA">
            <w:pPr>
              <w:jc w:val="center"/>
            </w:pPr>
            <w:r>
              <w:t>0</w:t>
            </w:r>
          </w:p>
        </w:tc>
        <w:tc>
          <w:tcPr>
            <w:tcW w:w="1473" w:type="dxa"/>
            <w:tcBorders>
              <w:top w:val="single" w:sz="8" w:space="0" w:color="auto"/>
              <w:left w:val="nil"/>
              <w:bottom w:val="single" w:sz="8" w:space="0" w:color="auto"/>
              <w:right w:val="nil"/>
            </w:tcBorders>
            <w:noWrap/>
            <w:hideMark/>
          </w:tcPr>
          <w:p w14:paraId="4A7C5A96" w14:textId="77777777" w:rsidR="007E34FA" w:rsidRDefault="007E34FA">
            <w:pPr>
              <w:jc w:val="center"/>
            </w:pPr>
            <w:r>
              <w:t>7.6%</w:t>
            </w:r>
          </w:p>
        </w:tc>
        <w:tc>
          <w:tcPr>
            <w:tcW w:w="1593" w:type="dxa"/>
            <w:tcBorders>
              <w:top w:val="single" w:sz="8" w:space="0" w:color="auto"/>
              <w:left w:val="nil"/>
              <w:bottom w:val="single" w:sz="8" w:space="0" w:color="auto"/>
              <w:right w:val="nil"/>
            </w:tcBorders>
            <w:noWrap/>
            <w:hideMark/>
          </w:tcPr>
          <w:p w14:paraId="1FAC1971" w14:textId="77777777" w:rsidR="007E34FA" w:rsidRDefault="007E34FA">
            <w:pPr>
              <w:jc w:val="center"/>
            </w:pPr>
            <w:r>
              <w:t>25.2%</w:t>
            </w:r>
          </w:p>
        </w:tc>
      </w:tr>
      <w:tr w:rsidR="007E34FA" w14:paraId="186A7CFA" w14:textId="77777777" w:rsidTr="007E34FA">
        <w:trPr>
          <w:trHeight w:val="300"/>
        </w:trPr>
        <w:tc>
          <w:tcPr>
            <w:tcW w:w="3004" w:type="dxa"/>
            <w:tcBorders>
              <w:top w:val="single" w:sz="8" w:space="0" w:color="auto"/>
              <w:left w:val="nil"/>
              <w:bottom w:val="single" w:sz="8" w:space="0" w:color="auto"/>
              <w:right w:val="nil"/>
            </w:tcBorders>
            <w:noWrap/>
            <w:hideMark/>
          </w:tcPr>
          <w:p w14:paraId="6F20C0BB" w14:textId="77777777" w:rsidR="007E34FA" w:rsidRDefault="007E34FA">
            <w:r>
              <w:t>Leukaemia &amp; lymphoma</w:t>
            </w:r>
          </w:p>
        </w:tc>
        <w:tc>
          <w:tcPr>
            <w:tcW w:w="1473" w:type="dxa"/>
            <w:tcBorders>
              <w:top w:val="single" w:sz="8" w:space="0" w:color="auto"/>
              <w:left w:val="nil"/>
              <w:bottom w:val="single" w:sz="8" w:space="0" w:color="auto"/>
              <w:right w:val="nil"/>
            </w:tcBorders>
            <w:noWrap/>
            <w:hideMark/>
          </w:tcPr>
          <w:p w14:paraId="568EA6F7"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39A83443" w14:textId="77777777" w:rsidR="007E34FA" w:rsidRDefault="007E34FA">
            <w:pPr>
              <w:jc w:val="center"/>
            </w:pPr>
            <w:r>
              <w:t>0</w:t>
            </w:r>
          </w:p>
        </w:tc>
        <w:tc>
          <w:tcPr>
            <w:tcW w:w="1473" w:type="dxa"/>
            <w:tcBorders>
              <w:top w:val="single" w:sz="8" w:space="0" w:color="auto"/>
              <w:left w:val="nil"/>
              <w:bottom w:val="single" w:sz="8" w:space="0" w:color="auto"/>
              <w:right w:val="nil"/>
            </w:tcBorders>
            <w:noWrap/>
            <w:hideMark/>
          </w:tcPr>
          <w:p w14:paraId="04E9C2B7" w14:textId="77777777" w:rsidR="007E34FA" w:rsidRDefault="007E34FA">
            <w:pPr>
              <w:jc w:val="center"/>
            </w:pPr>
            <w:r>
              <w:t>3.4%</w:t>
            </w:r>
          </w:p>
        </w:tc>
        <w:tc>
          <w:tcPr>
            <w:tcW w:w="1593" w:type="dxa"/>
            <w:tcBorders>
              <w:top w:val="single" w:sz="8" w:space="0" w:color="auto"/>
              <w:left w:val="nil"/>
              <w:bottom w:val="single" w:sz="8" w:space="0" w:color="auto"/>
              <w:right w:val="nil"/>
            </w:tcBorders>
            <w:noWrap/>
            <w:hideMark/>
          </w:tcPr>
          <w:p w14:paraId="16DF87D4" w14:textId="77777777" w:rsidR="007E34FA" w:rsidRDefault="007E34FA">
            <w:pPr>
              <w:jc w:val="center"/>
            </w:pPr>
            <w:r>
              <w:t>13.9%</w:t>
            </w:r>
          </w:p>
        </w:tc>
      </w:tr>
      <w:tr w:rsidR="007E34FA" w14:paraId="7D78F21C" w14:textId="77777777" w:rsidTr="007E34FA">
        <w:trPr>
          <w:trHeight w:val="300"/>
        </w:trPr>
        <w:tc>
          <w:tcPr>
            <w:tcW w:w="3004" w:type="dxa"/>
            <w:tcBorders>
              <w:top w:val="single" w:sz="8" w:space="0" w:color="auto"/>
              <w:left w:val="nil"/>
              <w:bottom w:val="single" w:sz="8" w:space="0" w:color="auto"/>
              <w:right w:val="nil"/>
            </w:tcBorders>
            <w:noWrap/>
            <w:hideMark/>
          </w:tcPr>
          <w:p w14:paraId="484935B2" w14:textId="77777777" w:rsidR="007E34FA" w:rsidRDefault="007E34FA">
            <w:r>
              <w:t>Solid  tumour + metastasis</w:t>
            </w:r>
          </w:p>
        </w:tc>
        <w:tc>
          <w:tcPr>
            <w:tcW w:w="1473" w:type="dxa"/>
            <w:tcBorders>
              <w:top w:val="single" w:sz="8" w:space="0" w:color="auto"/>
              <w:left w:val="nil"/>
              <w:bottom w:val="single" w:sz="8" w:space="0" w:color="auto"/>
              <w:right w:val="nil"/>
            </w:tcBorders>
            <w:noWrap/>
            <w:hideMark/>
          </w:tcPr>
          <w:p w14:paraId="3B9DD451"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30E6FB6C" w14:textId="77777777" w:rsidR="007E34FA" w:rsidRDefault="007E34FA">
            <w:pPr>
              <w:jc w:val="center"/>
            </w:pPr>
            <w:r>
              <w:t>0</w:t>
            </w:r>
          </w:p>
        </w:tc>
        <w:tc>
          <w:tcPr>
            <w:tcW w:w="1473" w:type="dxa"/>
            <w:tcBorders>
              <w:top w:val="single" w:sz="8" w:space="0" w:color="auto"/>
              <w:left w:val="nil"/>
              <w:bottom w:val="single" w:sz="8" w:space="0" w:color="auto"/>
              <w:right w:val="nil"/>
            </w:tcBorders>
            <w:noWrap/>
            <w:hideMark/>
          </w:tcPr>
          <w:p w14:paraId="28482977" w14:textId="77777777" w:rsidR="007E34FA" w:rsidRDefault="007E34FA">
            <w:pPr>
              <w:jc w:val="center"/>
            </w:pPr>
            <w:r>
              <w:t>0</w:t>
            </w:r>
          </w:p>
        </w:tc>
        <w:tc>
          <w:tcPr>
            <w:tcW w:w="1593" w:type="dxa"/>
            <w:tcBorders>
              <w:top w:val="single" w:sz="8" w:space="0" w:color="auto"/>
              <w:left w:val="nil"/>
              <w:bottom w:val="single" w:sz="8" w:space="0" w:color="auto"/>
              <w:right w:val="nil"/>
            </w:tcBorders>
            <w:noWrap/>
            <w:hideMark/>
          </w:tcPr>
          <w:p w14:paraId="736B7BCA" w14:textId="77777777" w:rsidR="007E34FA" w:rsidRDefault="007E34FA">
            <w:pPr>
              <w:jc w:val="center"/>
            </w:pPr>
            <w:r>
              <w:t>3.7%</w:t>
            </w:r>
          </w:p>
        </w:tc>
      </w:tr>
      <w:tr w:rsidR="007E34FA" w14:paraId="070B62FC" w14:textId="77777777" w:rsidTr="007E34FA">
        <w:trPr>
          <w:trHeight w:val="300"/>
        </w:trPr>
        <w:tc>
          <w:tcPr>
            <w:tcW w:w="3004" w:type="dxa"/>
            <w:tcBorders>
              <w:top w:val="single" w:sz="8" w:space="0" w:color="auto"/>
              <w:left w:val="nil"/>
              <w:bottom w:val="single" w:sz="8" w:space="0" w:color="auto"/>
              <w:right w:val="nil"/>
            </w:tcBorders>
            <w:noWrap/>
            <w:hideMark/>
          </w:tcPr>
          <w:p w14:paraId="23ED1495" w14:textId="77777777" w:rsidR="007E34FA" w:rsidRDefault="007E34FA">
            <w:r>
              <w:t>AIDS</w:t>
            </w:r>
          </w:p>
        </w:tc>
        <w:tc>
          <w:tcPr>
            <w:tcW w:w="1473" w:type="dxa"/>
            <w:tcBorders>
              <w:top w:val="single" w:sz="8" w:space="0" w:color="auto"/>
              <w:left w:val="nil"/>
              <w:bottom w:val="single" w:sz="8" w:space="0" w:color="auto"/>
              <w:right w:val="nil"/>
            </w:tcBorders>
            <w:noWrap/>
            <w:hideMark/>
          </w:tcPr>
          <w:p w14:paraId="593B6E12" w14:textId="77777777" w:rsidR="007E34FA" w:rsidRDefault="007E34FA">
            <w:pPr>
              <w:jc w:val="center"/>
            </w:pPr>
            <w:r>
              <w:t>N/A</w:t>
            </w:r>
          </w:p>
        </w:tc>
        <w:tc>
          <w:tcPr>
            <w:tcW w:w="1473" w:type="dxa"/>
            <w:tcBorders>
              <w:top w:val="single" w:sz="8" w:space="0" w:color="auto"/>
              <w:left w:val="nil"/>
              <w:bottom w:val="single" w:sz="8" w:space="0" w:color="auto"/>
              <w:right w:val="nil"/>
            </w:tcBorders>
            <w:noWrap/>
            <w:hideMark/>
          </w:tcPr>
          <w:p w14:paraId="57FA8F7D" w14:textId="77777777" w:rsidR="007E34FA" w:rsidRDefault="007E34FA">
            <w:pPr>
              <w:jc w:val="center"/>
            </w:pPr>
            <w:r>
              <w:t>0</w:t>
            </w:r>
          </w:p>
        </w:tc>
        <w:tc>
          <w:tcPr>
            <w:tcW w:w="1473" w:type="dxa"/>
            <w:tcBorders>
              <w:top w:val="single" w:sz="8" w:space="0" w:color="auto"/>
              <w:left w:val="nil"/>
              <w:bottom w:val="single" w:sz="8" w:space="0" w:color="auto"/>
              <w:right w:val="nil"/>
            </w:tcBorders>
            <w:noWrap/>
            <w:hideMark/>
          </w:tcPr>
          <w:p w14:paraId="425F9E47" w14:textId="77777777" w:rsidR="007E34FA" w:rsidRDefault="007E34FA">
            <w:pPr>
              <w:jc w:val="center"/>
            </w:pPr>
            <w:r>
              <w:t>0</w:t>
            </w:r>
          </w:p>
        </w:tc>
        <w:tc>
          <w:tcPr>
            <w:tcW w:w="1593" w:type="dxa"/>
            <w:tcBorders>
              <w:top w:val="single" w:sz="8" w:space="0" w:color="auto"/>
              <w:left w:val="nil"/>
              <w:bottom w:val="single" w:sz="8" w:space="0" w:color="auto"/>
              <w:right w:val="nil"/>
            </w:tcBorders>
            <w:noWrap/>
            <w:hideMark/>
          </w:tcPr>
          <w:p w14:paraId="6947EAE6" w14:textId="77777777" w:rsidR="007E34FA" w:rsidRDefault="007E34FA">
            <w:pPr>
              <w:jc w:val="center"/>
            </w:pPr>
            <w:r>
              <w:t>1.2%</w:t>
            </w:r>
          </w:p>
        </w:tc>
      </w:tr>
    </w:tbl>
    <w:p w14:paraId="5AE10076" w14:textId="77777777" w:rsidR="007E34FA" w:rsidRDefault="007E34FA" w:rsidP="007E34FA">
      <w:pPr>
        <w:spacing w:after="0" w:line="240" w:lineRule="auto"/>
      </w:pPr>
    </w:p>
    <w:p w14:paraId="04DBA170" w14:textId="77777777" w:rsidR="007E34FA" w:rsidRDefault="007E34FA" w:rsidP="007E34FA">
      <w:pPr>
        <w:spacing w:after="0"/>
        <w:rPr>
          <w:b/>
        </w:rPr>
        <w:sectPr w:rsidR="007E34FA">
          <w:pgSz w:w="11906" w:h="16838"/>
          <w:pgMar w:top="1440" w:right="993" w:bottom="1440" w:left="993" w:header="708" w:footer="708" w:gutter="0"/>
          <w:cols w:space="720"/>
        </w:sectPr>
      </w:pPr>
    </w:p>
    <w:p w14:paraId="78CCEEBF" w14:textId="77777777" w:rsidR="007E34FA" w:rsidRDefault="007E34FA" w:rsidP="007E34FA">
      <w:r>
        <w:rPr>
          <w:b/>
        </w:rPr>
        <w:lastRenderedPageBreak/>
        <w:t>Table 3:</w:t>
      </w:r>
      <w:r>
        <w:t xml:space="preserve"> Percentage of patients with in-hospital mortality and post procedural complications by Charlson score</w:t>
      </w:r>
    </w:p>
    <w:tbl>
      <w:tblPr>
        <w:tblStyle w:val="TableGrid"/>
        <w:tblW w:w="7935" w:type="dxa"/>
        <w:tblBorders>
          <w:top w:val="single" w:sz="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2691"/>
        <w:gridCol w:w="1417"/>
        <w:gridCol w:w="1276"/>
        <w:gridCol w:w="1276"/>
        <w:gridCol w:w="1275"/>
      </w:tblGrid>
      <w:tr w:rsidR="007E34FA" w14:paraId="60083D1B" w14:textId="77777777" w:rsidTr="007E34FA">
        <w:trPr>
          <w:trHeight w:val="300"/>
        </w:trPr>
        <w:tc>
          <w:tcPr>
            <w:tcW w:w="2689" w:type="dxa"/>
            <w:tcBorders>
              <w:top w:val="single" w:sz="8" w:space="0" w:color="auto"/>
              <w:left w:val="nil"/>
              <w:bottom w:val="single" w:sz="8" w:space="0" w:color="auto"/>
              <w:right w:val="nil"/>
            </w:tcBorders>
            <w:noWrap/>
          </w:tcPr>
          <w:p w14:paraId="68F003E7" w14:textId="77777777" w:rsidR="007E34FA" w:rsidRDefault="007E34FA">
            <w:pPr>
              <w:rPr>
                <w:rFonts w:ascii="Calibri" w:eastAsia="Times New Roman" w:hAnsi="Calibri" w:cs="Times New Roman"/>
                <w:color w:val="000000"/>
                <w:lang w:eastAsia="en-GB"/>
              </w:rPr>
            </w:pPr>
          </w:p>
        </w:tc>
        <w:tc>
          <w:tcPr>
            <w:tcW w:w="5244" w:type="dxa"/>
            <w:gridSpan w:val="4"/>
            <w:tcBorders>
              <w:top w:val="single" w:sz="8" w:space="0" w:color="auto"/>
              <w:left w:val="nil"/>
              <w:bottom w:val="single" w:sz="8" w:space="0" w:color="auto"/>
              <w:right w:val="nil"/>
            </w:tcBorders>
            <w:noWrap/>
            <w:hideMark/>
          </w:tcPr>
          <w:p w14:paraId="5AD2B21F" w14:textId="77777777" w:rsidR="007E34FA" w:rsidRDefault="007E34FA">
            <w:pPr>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Charlson Comorbidity Index Score</w:t>
            </w:r>
          </w:p>
        </w:tc>
      </w:tr>
      <w:tr w:rsidR="007E34FA" w14:paraId="0D70FEEB" w14:textId="77777777" w:rsidTr="007E34FA">
        <w:trPr>
          <w:trHeight w:val="300"/>
        </w:trPr>
        <w:tc>
          <w:tcPr>
            <w:tcW w:w="2689" w:type="dxa"/>
            <w:tcBorders>
              <w:top w:val="single" w:sz="8" w:space="0" w:color="auto"/>
              <w:left w:val="nil"/>
              <w:bottom w:val="single" w:sz="8" w:space="0" w:color="auto"/>
              <w:right w:val="nil"/>
            </w:tcBorders>
            <w:noWrap/>
            <w:hideMark/>
          </w:tcPr>
          <w:p w14:paraId="371D1997" w14:textId="77777777" w:rsidR="007E34FA" w:rsidRDefault="007E34FA">
            <w:pPr>
              <w:rPr>
                <w:rFonts w:ascii="Calibri" w:eastAsia="Times New Roman" w:hAnsi="Calibri" w:cs="Times New Roman"/>
                <w:b/>
                <w:color w:val="000000"/>
                <w:lang w:eastAsia="en-GB"/>
              </w:rPr>
            </w:pPr>
            <w:r>
              <w:rPr>
                <w:rFonts w:ascii="Calibri" w:eastAsia="Times New Roman" w:hAnsi="Calibri" w:cs="Times New Roman"/>
                <w:b/>
                <w:color w:val="000000"/>
                <w:lang w:eastAsia="en-GB"/>
              </w:rPr>
              <w:t>Variables</w:t>
            </w:r>
          </w:p>
        </w:tc>
        <w:tc>
          <w:tcPr>
            <w:tcW w:w="1417" w:type="dxa"/>
            <w:tcBorders>
              <w:top w:val="single" w:sz="8" w:space="0" w:color="auto"/>
              <w:left w:val="nil"/>
              <w:bottom w:val="single" w:sz="8" w:space="0" w:color="auto"/>
              <w:right w:val="nil"/>
            </w:tcBorders>
            <w:noWrap/>
            <w:hideMark/>
          </w:tcPr>
          <w:p w14:paraId="726B7518" w14:textId="77777777" w:rsidR="007E34FA" w:rsidRDefault="007E34FA">
            <w:pPr>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0</w:t>
            </w:r>
          </w:p>
        </w:tc>
        <w:tc>
          <w:tcPr>
            <w:tcW w:w="1276" w:type="dxa"/>
            <w:tcBorders>
              <w:top w:val="single" w:sz="8" w:space="0" w:color="auto"/>
              <w:left w:val="nil"/>
              <w:bottom w:val="single" w:sz="8" w:space="0" w:color="auto"/>
              <w:right w:val="nil"/>
            </w:tcBorders>
            <w:noWrap/>
            <w:hideMark/>
          </w:tcPr>
          <w:p w14:paraId="1F77FF40" w14:textId="77777777" w:rsidR="007E34FA" w:rsidRDefault="007E34FA">
            <w:pPr>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Borders>
              <w:top w:val="single" w:sz="8" w:space="0" w:color="auto"/>
              <w:left w:val="nil"/>
              <w:bottom w:val="single" w:sz="8" w:space="0" w:color="auto"/>
              <w:right w:val="nil"/>
            </w:tcBorders>
            <w:noWrap/>
            <w:hideMark/>
          </w:tcPr>
          <w:p w14:paraId="5987F285" w14:textId="77777777" w:rsidR="007E34FA" w:rsidRDefault="007E34FA">
            <w:pPr>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2 </w:t>
            </w:r>
          </w:p>
        </w:tc>
        <w:tc>
          <w:tcPr>
            <w:tcW w:w="1275" w:type="dxa"/>
            <w:tcBorders>
              <w:top w:val="single" w:sz="8" w:space="0" w:color="auto"/>
              <w:left w:val="nil"/>
              <w:bottom w:val="single" w:sz="8" w:space="0" w:color="auto"/>
              <w:right w:val="nil"/>
            </w:tcBorders>
            <w:noWrap/>
            <w:hideMark/>
          </w:tcPr>
          <w:p w14:paraId="4F6FC1F7" w14:textId="77777777" w:rsidR="007E34FA" w:rsidRDefault="007E34FA">
            <w:pPr>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7E34FA" w14:paraId="30028955" w14:textId="77777777" w:rsidTr="007E34FA">
        <w:trPr>
          <w:trHeight w:val="300"/>
        </w:trPr>
        <w:tc>
          <w:tcPr>
            <w:tcW w:w="2689" w:type="dxa"/>
            <w:tcBorders>
              <w:top w:val="single" w:sz="8" w:space="0" w:color="auto"/>
              <w:left w:val="nil"/>
              <w:bottom w:val="single" w:sz="8" w:space="0" w:color="auto"/>
              <w:right w:val="nil"/>
            </w:tcBorders>
            <w:noWrap/>
            <w:hideMark/>
          </w:tcPr>
          <w:p w14:paraId="42F03D36" w14:textId="77777777" w:rsidR="007E34FA" w:rsidRDefault="007E34FA">
            <w:pPr>
              <w:rPr>
                <w:rFonts w:ascii="Calibri" w:eastAsia="Times New Roman" w:hAnsi="Calibri" w:cs="Times New Roman"/>
                <w:b/>
                <w:color w:val="000000"/>
                <w:lang w:eastAsia="en-GB"/>
              </w:rPr>
            </w:pPr>
            <w:r>
              <w:rPr>
                <w:rFonts w:ascii="Calibri" w:eastAsia="Times New Roman" w:hAnsi="Calibri" w:cs="Times New Roman"/>
                <w:b/>
                <w:color w:val="000000"/>
                <w:lang w:eastAsia="en-GB"/>
              </w:rPr>
              <w:t>Death</w:t>
            </w:r>
          </w:p>
        </w:tc>
        <w:tc>
          <w:tcPr>
            <w:tcW w:w="1417" w:type="dxa"/>
            <w:tcBorders>
              <w:top w:val="single" w:sz="8" w:space="0" w:color="auto"/>
              <w:left w:val="nil"/>
              <w:bottom w:val="single" w:sz="8" w:space="0" w:color="auto"/>
              <w:right w:val="nil"/>
            </w:tcBorders>
            <w:noWrap/>
            <w:hideMark/>
          </w:tcPr>
          <w:p w14:paraId="1569112B"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276" w:type="dxa"/>
            <w:tcBorders>
              <w:top w:val="single" w:sz="8" w:space="0" w:color="auto"/>
              <w:left w:val="nil"/>
              <w:bottom w:val="single" w:sz="8" w:space="0" w:color="auto"/>
              <w:right w:val="nil"/>
            </w:tcBorders>
            <w:noWrap/>
            <w:hideMark/>
          </w:tcPr>
          <w:p w14:paraId="7AC45C35"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276" w:type="dxa"/>
            <w:tcBorders>
              <w:top w:val="single" w:sz="8" w:space="0" w:color="auto"/>
              <w:left w:val="nil"/>
              <w:bottom w:val="single" w:sz="8" w:space="0" w:color="auto"/>
              <w:right w:val="nil"/>
            </w:tcBorders>
            <w:noWrap/>
            <w:hideMark/>
          </w:tcPr>
          <w:p w14:paraId="5A12694B"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1275" w:type="dxa"/>
            <w:tcBorders>
              <w:top w:val="single" w:sz="8" w:space="0" w:color="auto"/>
              <w:left w:val="nil"/>
              <w:bottom w:val="single" w:sz="8" w:space="0" w:color="auto"/>
              <w:right w:val="nil"/>
            </w:tcBorders>
            <w:noWrap/>
            <w:hideMark/>
          </w:tcPr>
          <w:p w14:paraId="0F5E4ED2"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w:t>
            </w:r>
          </w:p>
        </w:tc>
      </w:tr>
      <w:tr w:rsidR="007E34FA" w14:paraId="161D6478" w14:textId="77777777" w:rsidTr="007E34FA">
        <w:trPr>
          <w:trHeight w:val="300"/>
        </w:trPr>
        <w:tc>
          <w:tcPr>
            <w:tcW w:w="2689" w:type="dxa"/>
            <w:tcBorders>
              <w:top w:val="single" w:sz="8" w:space="0" w:color="auto"/>
              <w:left w:val="nil"/>
              <w:bottom w:val="single" w:sz="8" w:space="0" w:color="auto"/>
              <w:right w:val="nil"/>
            </w:tcBorders>
            <w:noWrap/>
            <w:hideMark/>
          </w:tcPr>
          <w:p w14:paraId="6C5B60D0" w14:textId="77777777" w:rsidR="007E34FA" w:rsidRDefault="007E34FA">
            <w:pPr>
              <w:rPr>
                <w:rFonts w:ascii="Calibri" w:eastAsia="Times New Roman" w:hAnsi="Calibri" w:cs="Times New Roman"/>
                <w:b/>
                <w:color w:val="000000"/>
                <w:lang w:eastAsia="en-GB"/>
              </w:rPr>
            </w:pPr>
            <w:r>
              <w:rPr>
                <w:rFonts w:ascii="Calibri" w:eastAsia="Times New Roman" w:hAnsi="Calibri" w:cs="Times New Roman"/>
                <w:b/>
                <w:color w:val="000000"/>
                <w:lang w:eastAsia="en-GB"/>
              </w:rPr>
              <w:t>Any complications</w:t>
            </w:r>
          </w:p>
        </w:tc>
        <w:tc>
          <w:tcPr>
            <w:tcW w:w="1417" w:type="dxa"/>
            <w:tcBorders>
              <w:top w:val="single" w:sz="8" w:space="0" w:color="auto"/>
              <w:left w:val="nil"/>
              <w:bottom w:val="single" w:sz="8" w:space="0" w:color="auto"/>
              <w:right w:val="nil"/>
            </w:tcBorders>
            <w:noWrap/>
            <w:hideMark/>
          </w:tcPr>
          <w:p w14:paraId="089DEABA"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6.0%</w:t>
            </w:r>
          </w:p>
        </w:tc>
        <w:tc>
          <w:tcPr>
            <w:tcW w:w="1276" w:type="dxa"/>
            <w:tcBorders>
              <w:top w:val="single" w:sz="8" w:space="0" w:color="auto"/>
              <w:left w:val="nil"/>
              <w:bottom w:val="single" w:sz="8" w:space="0" w:color="auto"/>
              <w:right w:val="nil"/>
            </w:tcBorders>
            <w:noWrap/>
            <w:hideMark/>
          </w:tcPr>
          <w:p w14:paraId="2D42890F"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w:t>
            </w:r>
          </w:p>
        </w:tc>
        <w:tc>
          <w:tcPr>
            <w:tcW w:w="1276" w:type="dxa"/>
            <w:tcBorders>
              <w:top w:val="single" w:sz="8" w:space="0" w:color="auto"/>
              <w:left w:val="nil"/>
              <w:bottom w:val="single" w:sz="8" w:space="0" w:color="auto"/>
              <w:right w:val="nil"/>
            </w:tcBorders>
            <w:noWrap/>
            <w:hideMark/>
          </w:tcPr>
          <w:p w14:paraId="6C90D3B9"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11.3%</w:t>
            </w:r>
          </w:p>
        </w:tc>
        <w:tc>
          <w:tcPr>
            <w:tcW w:w="1275" w:type="dxa"/>
            <w:tcBorders>
              <w:top w:val="single" w:sz="8" w:space="0" w:color="auto"/>
              <w:left w:val="nil"/>
              <w:bottom w:val="single" w:sz="8" w:space="0" w:color="auto"/>
              <w:right w:val="nil"/>
            </w:tcBorders>
            <w:noWrap/>
            <w:hideMark/>
          </w:tcPr>
          <w:p w14:paraId="0B1740CB"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16.5%</w:t>
            </w:r>
          </w:p>
        </w:tc>
      </w:tr>
      <w:tr w:rsidR="007E34FA" w14:paraId="5D931DC6" w14:textId="77777777" w:rsidTr="007E34FA">
        <w:trPr>
          <w:trHeight w:val="300"/>
        </w:trPr>
        <w:tc>
          <w:tcPr>
            <w:tcW w:w="2689" w:type="dxa"/>
            <w:tcBorders>
              <w:top w:val="single" w:sz="8" w:space="0" w:color="auto"/>
              <w:left w:val="nil"/>
              <w:bottom w:val="single" w:sz="8" w:space="0" w:color="auto"/>
              <w:right w:val="nil"/>
            </w:tcBorders>
            <w:noWrap/>
            <w:hideMark/>
          </w:tcPr>
          <w:p w14:paraId="00A41655" w14:textId="77777777" w:rsidR="007E34FA" w:rsidRDefault="007E34FA">
            <w:pPr>
              <w:rPr>
                <w:rFonts w:ascii="Calibri" w:eastAsia="Times New Roman" w:hAnsi="Calibri" w:cs="Times New Roman"/>
                <w:b/>
                <w:color w:val="000000"/>
                <w:lang w:eastAsia="en-GB"/>
              </w:rPr>
            </w:pPr>
            <w:r>
              <w:rPr>
                <w:rFonts w:ascii="Calibri" w:eastAsia="Times New Roman" w:hAnsi="Calibri" w:cs="Times New Roman"/>
                <w:b/>
                <w:color w:val="000000"/>
                <w:lang w:eastAsia="en-GB"/>
              </w:rPr>
              <w:t>Bleeding Complications</w:t>
            </w:r>
          </w:p>
        </w:tc>
        <w:tc>
          <w:tcPr>
            <w:tcW w:w="1417" w:type="dxa"/>
            <w:tcBorders>
              <w:top w:val="single" w:sz="8" w:space="0" w:color="auto"/>
              <w:left w:val="nil"/>
              <w:bottom w:val="single" w:sz="8" w:space="0" w:color="auto"/>
              <w:right w:val="nil"/>
            </w:tcBorders>
            <w:noWrap/>
            <w:hideMark/>
          </w:tcPr>
          <w:p w14:paraId="31F959FA"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276" w:type="dxa"/>
            <w:tcBorders>
              <w:top w:val="single" w:sz="8" w:space="0" w:color="auto"/>
              <w:left w:val="nil"/>
              <w:bottom w:val="single" w:sz="8" w:space="0" w:color="auto"/>
              <w:right w:val="nil"/>
            </w:tcBorders>
            <w:noWrap/>
            <w:hideMark/>
          </w:tcPr>
          <w:p w14:paraId="45FD8DE8"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1276" w:type="dxa"/>
            <w:tcBorders>
              <w:top w:val="single" w:sz="8" w:space="0" w:color="auto"/>
              <w:left w:val="nil"/>
              <w:bottom w:val="single" w:sz="8" w:space="0" w:color="auto"/>
              <w:right w:val="nil"/>
            </w:tcBorders>
            <w:noWrap/>
            <w:hideMark/>
          </w:tcPr>
          <w:p w14:paraId="2B39EA91"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w:t>
            </w:r>
          </w:p>
        </w:tc>
        <w:tc>
          <w:tcPr>
            <w:tcW w:w="1275" w:type="dxa"/>
            <w:tcBorders>
              <w:top w:val="single" w:sz="8" w:space="0" w:color="auto"/>
              <w:left w:val="nil"/>
              <w:bottom w:val="single" w:sz="8" w:space="0" w:color="auto"/>
              <w:right w:val="nil"/>
            </w:tcBorders>
            <w:noWrap/>
            <w:hideMark/>
          </w:tcPr>
          <w:p w14:paraId="67E88069"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r>
      <w:tr w:rsidR="007E34FA" w14:paraId="10B34E20" w14:textId="77777777" w:rsidTr="007E34FA">
        <w:trPr>
          <w:trHeight w:val="300"/>
        </w:trPr>
        <w:tc>
          <w:tcPr>
            <w:tcW w:w="2689" w:type="dxa"/>
            <w:tcBorders>
              <w:top w:val="single" w:sz="8" w:space="0" w:color="auto"/>
              <w:left w:val="nil"/>
              <w:bottom w:val="single" w:sz="8" w:space="0" w:color="auto"/>
              <w:right w:val="nil"/>
            </w:tcBorders>
            <w:noWrap/>
            <w:hideMark/>
          </w:tcPr>
          <w:p w14:paraId="6FEA28C4" w14:textId="77777777" w:rsidR="007E34FA" w:rsidRDefault="007E34FA">
            <w:pPr>
              <w:rPr>
                <w:rFonts w:ascii="Calibri" w:eastAsia="Times New Roman" w:hAnsi="Calibri" w:cs="Times New Roman"/>
                <w:b/>
                <w:color w:val="000000"/>
                <w:lang w:eastAsia="en-GB"/>
              </w:rPr>
            </w:pPr>
            <w:r>
              <w:rPr>
                <w:rFonts w:ascii="Calibri" w:eastAsia="Times New Roman" w:hAnsi="Calibri" w:cs="Times New Roman"/>
                <w:b/>
                <w:color w:val="000000"/>
                <w:lang w:eastAsia="en-GB"/>
              </w:rPr>
              <w:t>Vascular complications</w:t>
            </w:r>
          </w:p>
        </w:tc>
        <w:tc>
          <w:tcPr>
            <w:tcW w:w="1417" w:type="dxa"/>
            <w:tcBorders>
              <w:top w:val="single" w:sz="8" w:space="0" w:color="auto"/>
              <w:left w:val="nil"/>
              <w:bottom w:val="single" w:sz="8" w:space="0" w:color="auto"/>
              <w:right w:val="nil"/>
            </w:tcBorders>
            <w:noWrap/>
            <w:hideMark/>
          </w:tcPr>
          <w:p w14:paraId="052AE05E"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276" w:type="dxa"/>
            <w:tcBorders>
              <w:top w:val="single" w:sz="8" w:space="0" w:color="auto"/>
              <w:left w:val="nil"/>
              <w:bottom w:val="single" w:sz="8" w:space="0" w:color="auto"/>
              <w:right w:val="nil"/>
            </w:tcBorders>
            <w:noWrap/>
            <w:hideMark/>
          </w:tcPr>
          <w:p w14:paraId="58EE1EAF"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276" w:type="dxa"/>
            <w:tcBorders>
              <w:top w:val="single" w:sz="8" w:space="0" w:color="auto"/>
              <w:left w:val="nil"/>
              <w:bottom w:val="single" w:sz="8" w:space="0" w:color="auto"/>
              <w:right w:val="nil"/>
            </w:tcBorders>
            <w:noWrap/>
            <w:hideMark/>
          </w:tcPr>
          <w:p w14:paraId="421C03AE"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275" w:type="dxa"/>
            <w:tcBorders>
              <w:top w:val="single" w:sz="8" w:space="0" w:color="auto"/>
              <w:left w:val="nil"/>
              <w:bottom w:val="single" w:sz="8" w:space="0" w:color="auto"/>
              <w:right w:val="nil"/>
            </w:tcBorders>
            <w:noWrap/>
            <w:hideMark/>
          </w:tcPr>
          <w:p w14:paraId="47C5F776"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r>
      <w:tr w:rsidR="007E34FA" w14:paraId="31A50A64" w14:textId="77777777" w:rsidTr="007E34FA">
        <w:trPr>
          <w:trHeight w:val="300"/>
        </w:trPr>
        <w:tc>
          <w:tcPr>
            <w:tcW w:w="2689" w:type="dxa"/>
            <w:tcBorders>
              <w:top w:val="single" w:sz="8" w:space="0" w:color="auto"/>
              <w:left w:val="nil"/>
              <w:bottom w:val="single" w:sz="8" w:space="0" w:color="auto"/>
              <w:right w:val="nil"/>
            </w:tcBorders>
            <w:noWrap/>
            <w:hideMark/>
          </w:tcPr>
          <w:p w14:paraId="49C8D673" w14:textId="77777777" w:rsidR="007E34FA" w:rsidRDefault="007E34FA">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Post-op haemorrhage requiring transfusion</w:t>
            </w:r>
          </w:p>
        </w:tc>
        <w:tc>
          <w:tcPr>
            <w:tcW w:w="1417" w:type="dxa"/>
            <w:tcBorders>
              <w:top w:val="single" w:sz="8" w:space="0" w:color="auto"/>
              <w:left w:val="nil"/>
              <w:bottom w:val="single" w:sz="8" w:space="0" w:color="auto"/>
              <w:right w:val="nil"/>
            </w:tcBorders>
            <w:noWrap/>
            <w:hideMark/>
          </w:tcPr>
          <w:p w14:paraId="38D7D5CA"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c>
          <w:tcPr>
            <w:tcW w:w="1276" w:type="dxa"/>
            <w:tcBorders>
              <w:top w:val="single" w:sz="8" w:space="0" w:color="auto"/>
              <w:left w:val="nil"/>
              <w:bottom w:val="single" w:sz="8" w:space="0" w:color="auto"/>
              <w:right w:val="nil"/>
            </w:tcBorders>
            <w:noWrap/>
            <w:hideMark/>
          </w:tcPr>
          <w:p w14:paraId="4B318252"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c>
          <w:tcPr>
            <w:tcW w:w="1276" w:type="dxa"/>
            <w:tcBorders>
              <w:top w:val="single" w:sz="8" w:space="0" w:color="auto"/>
              <w:left w:val="nil"/>
              <w:bottom w:val="single" w:sz="8" w:space="0" w:color="auto"/>
              <w:right w:val="nil"/>
            </w:tcBorders>
            <w:noWrap/>
            <w:hideMark/>
          </w:tcPr>
          <w:p w14:paraId="456158C2"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c>
          <w:tcPr>
            <w:tcW w:w="1275" w:type="dxa"/>
            <w:tcBorders>
              <w:top w:val="single" w:sz="8" w:space="0" w:color="auto"/>
              <w:left w:val="nil"/>
              <w:bottom w:val="single" w:sz="8" w:space="0" w:color="auto"/>
              <w:right w:val="nil"/>
            </w:tcBorders>
            <w:noWrap/>
            <w:hideMark/>
          </w:tcPr>
          <w:p w14:paraId="4296E391"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r>
      <w:tr w:rsidR="007E34FA" w14:paraId="13A925D3" w14:textId="77777777" w:rsidTr="007E34FA">
        <w:trPr>
          <w:trHeight w:val="300"/>
        </w:trPr>
        <w:tc>
          <w:tcPr>
            <w:tcW w:w="2689" w:type="dxa"/>
            <w:tcBorders>
              <w:top w:val="single" w:sz="8" w:space="0" w:color="auto"/>
              <w:left w:val="nil"/>
              <w:bottom w:val="single" w:sz="8" w:space="0" w:color="auto"/>
              <w:right w:val="nil"/>
            </w:tcBorders>
            <w:noWrap/>
            <w:hideMark/>
          </w:tcPr>
          <w:p w14:paraId="238C7A91" w14:textId="77777777" w:rsidR="007E34FA" w:rsidRDefault="007E34FA">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Vascular injury</w:t>
            </w:r>
          </w:p>
        </w:tc>
        <w:tc>
          <w:tcPr>
            <w:tcW w:w="1417" w:type="dxa"/>
            <w:tcBorders>
              <w:top w:val="single" w:sz="8" w:space="0" w:color="auto"/>
              <w:left w:val="nil"/>
              <w:bottom w:val="single" w:sz="8" w:space="0" w:color="auto"/>
              <w:right w:val="nil"/>
            </w:tcBorders>
            <w:noWrap/>
            <w:hideMark/>
          </w:tcPr>
          <w:p w14:paraId="5F46D727"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0.9%</w:t>
            </w:r>
          </w:p>
        </w:tc>
        <w:tc>
          <w:tcPr>
            <w:tcW w:w="1276" w:type="dxa"/>
            <w:tcBorders>
              <w:top w:val="single" w:sz="8" w:space="0" w:color="auto"/>
              <w:left w:val="nil"/>
              <w:bottom w:val="single" w:sz="8" w:space="0" w:color="auto"/>
              <w:right w:val="nil"/>
            </w:tcBorders>
            <w:noWrap/>
            <w:hideMark/>
          </w:tcPr>
          <w:p w14:paraId="3BB8E223"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276" w:type="dxa"/>
            <w:tcBorders>
              <w:top w:val="single" w:sz="8" w:space="0" w:color="auto"/>
              <w:left w:val="nil"/>
              <w:bottom w:val="single" w:sz="8" w:space="0" w:color="auto"/>
              <w:right w:val="nil"/>
            </w:tcBorders>
            <w:noWrap/>
            <w:hideMark/>
          </w:tcPr>
          <w:p w14:paraId="3EC832EE"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275" w:type="dxa"/>
            <w:tcBorders>
              <w:top w:val="single" w:sz="8" w:space="0" w:color="auto"/>
              <w:left w:val="nil"/>
              <w:bottom w:val="single" w:sz="8" w:space="0" w:color="auto"/>
              <w:right w:val="nil"/>
            </w:tcBorders>
            <w:noWrap/>
            <w:hideMark/>
          </w:tcPr>
          <w:p w14:paraId="2156A29D"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r>
      <w:tr w:rsidR="007E34FA" w14:paraId="020F469D" w14:textId="77777777" w:rsidTr="007E34FA">
        <w:trPr>
          <w:trHeight w:val="300"/>
        </w:trPr>
        <w:tc>
          <w:tcPr>
            <w:tcW w:w="2689" w:type="dxa"/>
            <w:tcBorders>
              <w:top w:val="single" w:sz="8" w:space="0" w:color="auto"/>
              <w:left w:val="nil"/>
              <w:bottom w:val="single" w:sz="8" w:space="0" w:color="auto"/>
              <w:right w:val="nil"/>
            </w:tcBorders>
            <w:noWrap/>
            <w:hideMark/>
          </w:tcPr>
          <w:p w14:paraId="5B1CB963" w14:textId="77777777" w:rsidR="007E34FA" w:rsidRDefault="007E34FA">
            <w:pPr>
              <w:rPr>
                <w:rFonts w:ascii="Calibri" w:eastAsia="Times New Roman" w:hAnsi="Calibri" w:cs="Times New Roman"/>
                <w:b/>
                <w:color w:val="000000"/>
                <w:lang w:eastAsia="en-GB"/>
              </w:rPr>
            </w:pPr>
            <w:r>
              <w:rPr>
                <w:rFonts w:ascii="Calibri" w:eastAsia="Times New Roman" w:hAnsi="Calibri" w:cs="Times New Roman"/>
                <w:b/>
                <w:color w:val="000000"/>
                <w:lang w:eastAsia="en-GB"/>
              </w:rPr>
              <w:t>Cardiac complications</w:t>
            </w:r>
          </w:p>
        </w:tc>
        <w:tc>
          <w:tcPr>
            <w:tcW w:w="1417" w:type="dxa"/>
            <w:tcBorders>
              <w:top w:val="single" w:sz="8" w:space="0" w:color="auto"/>
              <w:left w:val="nil"/>
              <w:bottom w:val="single" w:sz="8" w:space="0" w:color="auto"/>
              <w:right w:val="nil"/>
            </w:tcBorders>
            <w:noWrap/>
            <w:hideMark/>
          </w:tcPr>
          <w:p w14:paraId="7800EB78"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1276" w:type="dxa"/>
            <w:tcBorders>
              <w:top w:val="single" w:sz="8" w:space="0" w:color="auto"/>
              <w:left w:val="nil"/>
              <w:bottom w:val="single" w:sz="8" w:space="0" w:color="auto"/>
              <w:right w:val="nil"/>
            </w:tcBorders>
            <w:noWrap/>
            <w:hideMark/>
          </w:tcPr>
          <w:p w14:paraId="565658FF"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1276" w:type="dxa"/>
            <w:tcBorders>
              <w:top w:val="single" w:sz="8" w:space="0" w:color="auto"/>
              <w:left w:val="nil"/>
              <w:bottom w:val="single" w:sz="8" w:space="0" w:color="auto"/>
              <w:right w:val="nil"/>
            </w:tcBorders>
            <w:noWrap/>
            <w:hideMark/>
          </w:tcPr>
          <w:p w14:paraId="49A118F6"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1275" w:type="dxa"/>
            <w:tcBorders>
              <w:top w:val="single" w:sz="8" w:space="0" w:color="auto"/>
              <w:left w:val="nil"/>
              <w:bottom w:val="single" w:sz="8" w:space="0" w:color="auto"/>
              <w:right w:val="nil"/>
            </w:tcBorders>
            <w:noWrap/>
            <w:hideMark/>
          </w:tcPr>
          <w:p w14:paraId="4447658A"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r>
      <w:tr w:rsidR="007E34FA" w14:paraId="26821CD1" w14:textId="77777777" w:rsidTr="007E34FA">
        <w:trPr>
          <w:trHeight w:val="300"/>
        </w:trPr>
        <w:tc>
          <w:tcPr>
            <w:tcW w:w="2689" w:type="dxa"/>
            <w:tcBorders>
              <w:top w:val="single" w:sz="8" w:space="0" w:color="auto"/>
              <w:left w:val="nil"/>
              <w:bottom w:val="single" w:sz="8" w:space="0" w:color="auto"/>
              <w:right w:val="nil"/>
            </w:tcBorders>
            <w:noWrap/>
            <w:hideMark/>
          </w:tcPr>
          <w:p w14:paraId="1F14A298" w14:textId="77777777" w:rsidR="007E34FA" w:rsidRDefault="007E34FA">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Iatrogenic cardiac </w:t>
            </w:r>
          </w:p>
        </w:tc>
        <w:tc>
          <w:tcPr>
            <w:tcW w:w="1417" w:type="dxa"/>
            <w:tcBorders>
              <w:top w:val="single" w:sz="8" w:space="0" w:color="auto"/>
              <w:left w:val="nil"/>
              <w:bottom w:val="single" w:sz="8" w:space="0" w:color="auto"/>
              <w:right w:val="nil"/>
            </w:tcBorders>
            <w:noWrap/>
            <w:hideMark/>
          </w:tcPr>
          <w:p w14:paraId="75AE657A"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1276" w:type="dxa"/>
            <w:tcBorders>
              <w:top w:val="single" w:sz="8" w:space="0" w:color="auto"/>
              <w:left w:val="nil"/>
              <w:bottom w:val="single" w:sz="8" w:space="0" w:color="auto"/>
              <w:right w:val="nil"/>
            </w:tcBorders>
            <w:noWrap/>
            <w:hideMark/>
          </w:tcPr>
          <w:p w14:paraId="3E77FC5F"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1276" w:type="dxa"/>
            <w:tcBorders>
              <w:top w:val="single" w:sz="8" w:space="0" w:color="auto"/>
              <w:left w:val="nil"/>
              <w:bottom w:val="single" w:sz="8" w:space="0" w:color="auto"/>
              <w:right w:val="nil"/>
            </w:tcBorders>
            <w:noWrap/>
            <w:hideMark/>
          </w:tcPr>
          <w:p w14:paraId="1C199684"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1275" w:type="dxa"/>
            <w:tcBorders>
              <w:top w:val="single" w:sz="8" w:space="0" w:color="auto"/>
              <w:left w:val="nil"/>
              <w:bottom w:val="single" w:sz="8" w:space="0" w:color="auto"/>
              <w:right w:val="nil"/>
            </w:tcBorders>
            <w:noWrap/>
            <w:hideMark/>
          </w:tcPr>
          <w:p w14:paraId="1CAFFCCE"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r>
      <w:tr w:rsidR="007E34FA" w14:paraId="0919FAF9" w14:textId="77777777" w:rsidTr="007E34FA">
        <w:trPr>
          <w:trHeight w:val="300"/>
        </w:trPr>
        <w:tc>
          <w:tcPr>
            <w:tcW w:w="2689" w:type="dxa"/>
            <w:tcBorders>
              <w:top w:val="single" w:sz="8" w:space="0" w:color="auto"/>
              <w:left w:val="nil"/>
              <w:bottom w:val="single" w:sz="8" w:space="0" w:color="auto"/>
              <w:right w:val="nil"/>
            </w:tcBorders>
            <w:noWrap/>
            <w:hideMark/>
          </w:tcPr>
          <w:p w14:paraId="68983752" w14:textId="77777777" w:rsidR="007E34FA" w:rsidRDefault="007E34FA">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Pericardial complication</w:t>
            </w:r>
          </w:p>
        </w:tc>
        <w:tc>
          <w:tcPr>
            <w:tcW w:w="1417" w:type="dxa"/>
            <w:tcBorders>
              <w:top w:val="single" w:sz="8" w:space="0" w:color="auto"/>
              <w:left w:val="nil"/>
              <w:bottom w:val="single" w:sz="8" w:space="0" w:color="auto"/>
              <w:right w:val="nil"/>
            </w:tcBorders>
            <w:noWrap/>
            <w:hideMark/>
          </w:tcPr>
          <w:p w14:paraId="328F23E0"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c>
          <w:tcPr>
            <w:tcW w:w="1276" w:type="dxa"/>
            <w:tcBorders>
              <w:top w:val="single" w:sz="8" w:space="0" w:color="auto"/>
              <w:left w:val="nil"/>
              <w:bottom w:val="single" w:sz="8" w:space="0" w:color="auto"/>
              <w:right w:val="nil"/>
            </w:tcBorders>
            <w:noWrap/>
            <w:hideMark/>
          </w:tcPr>
          <w:p w14:paraId="38600F1C"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c>
          <w:tcPr>
            <w:tcW w:w="1276" w:type="dxa"/>
            <w:tcBorders>
              <w:top w:val="single" w:sz="8" w:space="0" w:color="auto"/>
              <w:left w:val="nil"/>
              <w:bottom w:val="single" w:sz="8" w:space="0" w:color="auto"/>
              <w:right w:val="nil"/>
            </w:tcBorders>
            <w:noWrap/>
            <w:hideMark/>
          </w:tcPr>
          <w:p w14:paraId="58306AA1"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c>
          <w:tcPr>
            <w:tcW w:w="1275" w:type="dxa"/>
            <w:tcBorders>
              <w:top w:val="single" w:sz="8" w:space="0" w:color="auto"/>
              <w:left w:val="nil"/>
              <w:bottom w:val="single" w:sz="8" w:space="0" w:color="auto"/>
              <w:right w:val="nil"/>
            </w:tcBorders>
            <w:noWrap/>
            <w:hideMark/>
          </w:tcPr>
          <w:p w14:paraId="54778AF0"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w:t>
            </w:r>
          </w:p>
        </w:tc>
      </w:tr>
      <w:tr w:rsidR="007E34FA" w14:paraId="720C044D" w14:textId="77777777" w:rsidTr="007E34FA">
        <w:trPr>
          <w:trHeight w:val="300"/>
        </w:trPr>
        <w:tc>
          <w:tcPr>
            <w:tcW w:w="2689" w:type="dxa"/>
            <w:tcBorders>
              <w:top w:val="single" w:sz="8" w:space="0" w:color="auto"/>
              <w:left w:val="nil"/>
              <w:bottom w:val="single" w:sz="8" w:space="0" w:color="auto"/>
              <w:right w:val="nil"/>
            </w:tcBorders>
            <w:noWrap/>
            <w:hideMark/>
          </w:tcPr>
          <w:p w14:paraId="44BDD782" w14:textId="77777777" w:rsidR="007E34FA" w:rsidRDefault="007E34FA">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Requiring coronary artery bypass graft</w:t>
            </w:r>
          </w:p>
        </w:tc>
        <w:tc>
          <w:tcPr>
            <w:tcW w:w="1417" w:type="dxa"/>
            <w:tcBorders>
              <w:top w:val="single" w:sz="8" w:space="0" w:color="auto"/>
              <w:left w:val="nil"/>
              <w:bottom w:val="single" w:sz="8" w:space="0" w:color="auto"/>
              <w:right w:val="nil"/>
            </w:tcBorders>
            <w:noWrap/>
            <w:hideMark/>
          </w:tcPr>
          <w:p w14:paraId="420160C8"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276" w:type="dxa"/>
            <w:tcBorders>
              <w:top w:val="single" w:sz="8" w:space="0" w:color="auto"/>
              <w:left w:val="nil"/>
              <w:bottom w:val="single" w:sz="8" w:space="0" w:color="auto"/>
              <w:right w:val="nil"/>
            </w:tcBorders>
            <w:noWrap/>
            <w:hideMark/>
          </w:tcPr>
          <w:p w14:paraId="49EAA83B"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276" w:type="dxa"/>
            <w:tcBorders>
              <w:top w:val="single" w:sz="8" w:space="0" w:color="auto"/>
              <w:left w:val="nil"/>
              <w:bottom w:val="single" w:sz="8" w:space="0" w:color="auto"/>
              <w:right w:val="nil"/>
            </w:tcBorders>
            <w:noWrap/>
            <w:hideMark/>
          </w:tcPr>
          <w:p w14:paraId="4A44B587"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275" w:type="dxa"/>
            <w:tcBorders>
              <w:top w:val="single" w:sz="8" w:space="0" w:color="auto"/>
              <w:left w:val="nil"/>
              <w:bottom w:val="single" w:sz="8" w:space="0" w:color="auto"/>
              <w:right w:val="nil"/>
            </w:tcBorders>
            <w:noWrap/>
            <w:hideMark/>
          </w:tcPr>
          <w:p w14:paraId="48F4CA91"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r>
      <w:tr w:rsidR="007E34FA" w14:paraId="2A95FA14" w14:textId="77777777" w:rsidTr="007E34FA">
        <w:trPr>
          <w:trHeight w:val="300"/>
        </w:trPr>
        <w:tc>
          <w:tcPr>
            <w:tcW w:w="2689" w:type="dxa"/>
            <w:tcBorders>
              <w:top w:val="single" w:sz="8" w:space="0" w:color="auto"/>
              <w:left w:val="nil"/>
              <w:bottom w:val="nil"/>
              <w:right w:val="nil"/>
            </w:tcBorders>
            <w:noWrap/>
            <w:hideMark/>
          </w:tcPr>
          <w:p w14:paraId="520DDFD4" w14:textId="77777777" w:rsidR="007E34FA" w:rsidRDefault="007E34FA">
            <w:pPr>
              <w:rPr>
                <w:rFonts w:ascii="Calibri" w:eastAsia="Times New Roman" w:hAnsi="Calibri" w:cs="Times New Roman"/>
                <w:b/>
                <w:color w:val="000000"/>
                <w:lang w:eastAsia="en-GB"/>
              </w:rPr>
            </w:pPr>
            <w:r>
              <w:rPr>
                <w:rFonts w:ascii="Calibri" w:eastAsia="Times New Roman" w:hAnsi="Calibri" w:cs="Times New Roman"/>
                <w:b/>
                <w:color w:val="000000"/>
                <w:lang w:eastAsia="en-GB"/>
              </w:rPr>
              <w:t>Post-op stroke/Transient ischemic attack</w:t>
            </w:r>
          </w:p>
        </w:tc>
        <w:tc>
          <w:tcPr>
            <w:tcW w:w="1417" w:type="dxa"/>
            <w:tcBorders>
              <w:top w:val="single" w:sz="8" w:space="0" w:color="auto"/>
              <w:left w:val="nil"/>
              <w:bottom w:val="nil"/>
              <w:right w:val="nil"/>
            </w:tcBorders>
            <w:noWrap/>
            <w:hideMark/>
          </w:tcPr>
          <w:p w14:paraId="7950AA8B"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1276" w:type="dxa"/>
            <w:tcBorders>
              <w:top w:val="single" w:sz="8" w:space="0" w:color="auto"/>
              <w:left w:val="nil"/>
              <w:bottom w:val="nil"/>
              <w:right w:val="nil"/>
            </w:tcBorders>
            <w:noWrap/>
            <w:hideMark/>
          </w:tcPr>
          <w:p w14:paraId="26AB913B" w14:textId="77777777" w:rsidR="007E34FA" w:rsidRDefault="007E34FA">
            <w:pPr>
              <w:jc w:val="center"/>
              <w:rPr>
                <w:rFonts w:ascii="Calibri" w:hAnsi="Calibri"/>
                <w:color w:val="000000"/>
              </w:rPr>
            </w:pPr>
            <w:r>
              <w:rPr>
                <w:rFonts w:ascii="Calibri" w:hAnsi="Calibri"/>
                <w:color w:val="000000"/>
              </w:rPr>
              <w:t>2.8%</w:t>
            </w:r>
          </w:p>
        </w:tc>
        <w:tc>
          <w:tcPr>
            <w:tcW w:w="1276" w:type="dxa"/>
            <w:tcBorders>
              <w:top w:val="single" w:sz="8" w:space="0" w:color="auto"/>
              <w:left w:val="nil"/>
              <w:bottom w:val="nil"/>
              <w:right w:val="nil"/>
            </w:tcBorders>
            <w:noWrap/>
            <w:hideMark/>
          </w:tcPr>
          <w:p w14:paraId="1EEF4C4B"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w:t>
            </w:r>
          </w:p>
        </w:tc>
        <w:tc>
          <w:tcPr>
            <w:tcW w:w="1275" w:type="dxa"/>
            <w:tcBorders>
              <w:top w:val="single" w:sz="8" w:space="0" w:color="auto"/>
              <w:left w:val="nil"/>
              <w:bottom w:val="nil"/>
              <w:right w:val="nil"/>
            </w:tcBorders>
            <w:noWrap/>
            <w:hideMark/>
          </w:tcPr>
          <w:p w14:paraId="5D4E9423" w14:textId="77777777" w:rsidR="007E34FA" w:rsidRDefault="007E34FA">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5.8%</w:t>
            </w:r>
          </w:p>
        </w:tc>
      </w:tr>
    </w:tbl>
    <w:p w14:paraId="56A7924D" w14:textId="77777777" w:rsidR="007E34FA" w:rsidRDefault="007E34FA" w:rsidP="007E34FA">
      <w:pPr>
        <w:spacing w:after="0" w:line="240" w:lineRule="auto"/>
      </w:pPr>
    </w:p>
    <w:p w14:paraId="75A48749" w14:textId="77777777" w:rsidR="007E34FA" w:rsidRDefault="007E34FA" w:rsidP="007E34FA">
      <w:pPr>
        <w:spacing w:after="0"/>
        <w:rPr>
          <w:b/>
        </w:rPr>
        <w:sectPr w:rsidR="007E34FA">
          <w:pgSz w:w="11906" w:h="16838"/>
          <w:pgMar w:top="1440" w:right="993" w:bottom="1440" w:left="993" w:header="708" w:footer="708" w:gutter="0"/>
          <w:cols w:space="720"/>
        </w:sectPr>
      </w:pPr>
    </w:p>
    <w:p w14:paraId="43E6EA43" w14:textId="77777777" w:rsidR="007E34FA" w:rsidRDefault="007E34FA" w:rsidP="007E34FA">
      <w:r>
        <w:rPr>
          <w:b/>
        </w:rPr>
        <w:lastRenderedPageBreak/>
        <w:t>Table 4:</w:t>
      </w:r>
      <w:r>
        <w:t xml:space="preserve"> Association between increasing comorbidity burden and in-hospital complications after PCI (odds ratio and 95% confidence intervals), adjusted for potential confounding</w:t>
      </w:r>
    </w:p>
    <w:tbl>
      <w:tblPr>
        <w:tblStyle w:val="TableGrid"/>
        <w:tblW w:w="0" w:type="auto"/>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196"/>
        <w:gridCol w:w="1674"/>
        <w:gridCol w:w="1674"/>
        <w:gridCol w:w="1674"/>
      </w:tblGrid>
      <w:tr w:rsidR="007E34FA" w14:paraId="1FEB82C1" w14:textId="77777777" w:rsidTr="007E34FA">
        <w:trPr>
          <w:trHeight w:val="300"/>
          <w:jc w:val="center"/>
        </w:trPr>
        <w:tc>
          <w:tcPr>
            <w:tcW w:w="0" w:type="auto"/>
            <w:tcBorders>
              <w:top w:val="single" w:sz="8" w:space="0" w:color="auto"/>
              <w:left w:val="nil"/>
              <w:bottom w:val="single" w:sz="8" w:space="0" w:color="auto"/>
              <w:right w:val="nil"/>
            </w:tcBorders>
            <w:noWrap/>
          </w:tcPr>
          <w:p w14:paraId="0CB5F82A" w14:textId="77777777" w:rsidR="007E34FA" w:rsidRDefault="007E34FA"/>
        </w:tc>
        <w:tc>
          <w:tcPr>
            <w:tcW w:w="0" w:type="auto"/>
            <w:gridSpan w:val="3"/>
            <w:tcBorders>
              <w:top w:val="single" w:sz="8" w:space="0" w:color="auto"/>
              <w:left w:val="nil"/>
              <w:bottom w:val="single" w:sz="8" w:space="0" w:color="auto"/>
              <w:right w:val="nil"/>
            </w:tcBorders>
            <w:noWrap/>
            <w:hideMark/>
          </w:tcPr>
          <w:p w14:paraId="3BFE2558" w14:textId="77777777" w:rsidR="007E34FA" w:rsidRDefault="007E34FA">
            <w:pPr>
              <w:jc w:val="center"/>
            </w:pPr>
            <w:r>
              <w:t xml:space="preserve">Charlson Comorbidity Index Score </w:t>
            </w:r>
          </w:p>
        </w:tc>
      </w:tr>
      <w:tr w:rsidR="007E34FA" w14:paraId="5A965EB9" w14:textId="77777777" w:rsidTr="007E34FA">
        <w:trPr>
          <w:trHeight w:val="300"/>
          <w:jc w:val="center"/>
        </w:trPr>
        <w:tc>
          <w:tcPr>
            <w:tcW w:w="0" w:type="auto"/>
            <w:tcBorders>
              <w:top w:val="single" w:sz="8" w:space="0" w:color="auto"/>
              <w:left w:val="nil"/>
              <w:bottom w:val="single" w:sz="8" w:space="0" w:color="auto"/>
              <w:right w:val="nil"/>
            </w:tcBorders>
            <w:noWrap/>
            <w:hideMark/>
          </w:tcPr>
          <w:p w14:paraId="2903DB2A" w14:textId="77777777" w:rsidR="007E34FA" w:rsidRDefault="007E34FA"/>
        </w:tc>
        <w:tc>
          <w:tcPr>
            <w:tcW w:w="0" w:type="auto"/>
            <w:tcBorders>
              <w:top w:val="single" w:sz="8" w:space="0" w:color="auto"/>
              <w:left w:val="nil"/>
              <w:bottom w:val="single" w:sz="8" w:space="0" w:color="auto"/>
              <w:right w:val="nil"/>
            </w:tcBorders>
            <w:noWrap/>
            <w:hideMark/>
          </w:tcPr>
          <w:p w14:paraId="13FBA4D1" w14:textId="77777777" w:rsidR="007E34FA" w:rsidRDefault="007E34FA">
            <w:pPr>
              <w:jc w:val="center"/>
            </w:pPr>
            <w:r>
              <w:t>1 v 0</w:t>
            </w:r>
          </w:p>
        </w:tc>
        <w:tc>
          <w:tcPr>
            <w:tcW w:w="0" w:type="auto"/>
            <w:tcBorders>
              <w:top w:val="single" w:sz="8" w:space="0" w:color="auto"/>
              <w:left w:val="nil"/>
              <w:bottom w:val="single" w:sz="8" w:space="0" w:color="auto"/>
              <w:right w:val="nil"/>
            </w:tcBorders>
            <w:noWrap/>
            <w:hideMark/>
          </w:tcPr>
          <w:p w14:paraId="37EE8F23" w14:textId="77777777" w:rsidR="007E34FA" w:rsidRDefault="007E34FA">
            <w:pPr>
              <w:jc w:val="center"/>
            </w:pPr>
            <w:r>
              <w:t>2 v 0</w:t>
            </w:r>
          </w:p>
        </w:tc>
        <w:tc>
          <w:tcPr>
            <w:tcW w:w="0" w:type="auto"/>
            <w:tcBorders>
              <w:top w:val="single" w:sz="8" w:space="0" w:color="auto"/>
              <w:left w:val="nil"/>
              <w:bottom w:val="single" w:sz="8" w:space="0" w:color="auto"/>
              <w:right w:val="nil"/>
            </w:tcBorders>
            <w:noWrap/>
            <w:hideMark/>
          </w:tcPr>
          <w:p w14:paraId="55F607CE" w14:textId="77777777" w:rsidR="007E34FA" w:rsidRDefault="007E34FA">
            <w:pPr>
              <w:jc w:val="center"/>
            </w:pPr>
            <w:r>
              <w:t>≥3 v 0</w:t>
            </w:r>
          </w:p>
        </w:tc>
      </w:tr>
      <w:tr w:rsidR="007E34FA" w14:paraId="18F60165" w14:textId="77777777" w:rsidTr="007E34FA">
        <w:trPr>
          <w:trHeight w:val="300"/>
          <w:jc w:val="center"/>
        </w:trPr>
        <w:tc>
          <w:tcPr>
            <w:tcW w:w="0" w:type="auto"/>
            <w:tcBorders>
              <w:top w:val="single" w:sz="8" w:space="0" w:color="auto"/>
              <w:left w:val="nil"/>
              <w:bottom w:val="single" w:sz="8" w:space="0" w:color="auto"/>
              <w:right w:val="nil"/>
            </w:tcBorders>
            <w:noWrap/>
            <w:hideMark/>
          </w:tcPr>
          <w:p w14:paraId="55BCC6D5" w14:textId="77777777" w:rsidR="007E34FA" w:rsidRDefault="007E34FA">
            <w:r>
              <w:t>In-hospital mortality</w:t>
            </w:r>
          </w:p>
        </w:tc>
        <w:tc>
          <w:tcPr>
            <w:tcW w:w="0" w:type="auto"/>
            <w:tcBorders>
              <w:top w:val="single" w:sz="8" w:space="0" w:color="auto"/>
              <w:left w:val="nil"/>
              <w:bottom w:val="single" w:sz="8" w:space="0" w:color="auto"/>
              <w:right w:val="nil"/>
            </w:tcBorders>
            <w:noWrap/>
            <w:hideMark/>
          </w:tcPr>
          <w:p w14:paraId="4624BB3C" w14:textId="77777777" w:rsidR="007E34FA" w:rsidRDefault="007E34FA">
            <w:pPr>
              <w:jc w:val="center"/>
            </w:pPr>
            <w:r>
              <w:t>1.19 (1.15,1.25)</w:t>
            </w:r>
          </w:p>
        </w:tc>
        <w:tc>
          <w:tcPr>
            <w:tcW w:w="0" w:type="auto"/>
            <w:tcBorders>
              <w:top w:val="single" w:sz="8" w:space="0" w:color="auto"/>
              <w:left w:val="nil"/>
              <w:bottom w:val="single" w:sz="8" w:space="0" w:color="auto"/>
              <w:right w:val="nil"/>
            </w:tcBorders>
            <w:noWrap/>
            <w:hideMark/>
          </w:tcPr>
          <w:p w14:paraId="0A2FCF2E" w14:textId="77777777" w:rsidR="007E34FA" w:rsidRDefault="007E34FA">
            <w:pPr>
              <w:jc w:val="center"/>
            </w:pPr>
            <w:r>
              <w:t>1.41 (1.34,1.48)</w:t>
            </w:r>
          </w:p>
        </w:tc>
        <w:tc>
          <w:tcPr>
            <w:tcW w:w="0" w:type="auto"/>
            <w:tcBorders>
              <w:top w:val="single" w:sz="8" w:space="0" w:color="auto"/>
              <w:left w:val="nil"/>
              <w:bottom w:val="single" w:sz="8" w:space="0" w:color="auto"/>
              <w:right w:val="nil"/>
            </w:tcBorders>
            <w:noWrap/>
            <w:hideMark/>
          </w:tcPr>
          <w:p w14:paraId="672BDE24" w14:textId="77777777" w:rsidR="007E34FA" w:rsidRDefault="007E34FA">
            <w:pPr>
              <w:jc w:val="center"/>
            </w:pPr>
            <w:r>
              <w:t>1.96 (1.86,2.07)</w:t>
            </w:r>
          </w:p>
        </w:tc>
      </w:tr>
      <w:tr w:rsidR="007E34FA" w14:paraId="47A2C703" w14:textId="77777777" w:rsidTr="007E34FA">
        <w:trPr>
          <w:trHeight w:val="300"/>
          <w:jc w:val="center"/>
        </w:trPr>
        <w:tc>
          <w:tcPr>
            <w:tcW w:w="0" w:type="auto"/>
            <w:tcBorders>
              <w:top w:val="single" w:sz="8" w:space="0" w:color="auto"/>
              <w:left w:val="nil"/>
              <w:bottom w:val="single" w:sz="8" w:space="0" w:color="auto"/>
              <w:right w:val="nil"/>
            </w:tcBorders>
            <w:noWrap/>
            <w:hideMark/>
          </w:tcPr>
          <w:p w14:paraId="30A02BE6" w14:textId="77777777" w:rsidR="007E34FA" w:rsidRDefault="007E34FA">
            <w:r>
              <w:t>Any complication</w:t>
            </w:r>
          </w:p>
        </w:tc>
        <w:tc>
          <w:tcPr>
            <w:tcW w:w="0" w:type="auto"/>
            <w:tcBorders>
              <w:top w:val="single" w:sz="8" w:space="0" w:color="auto"/>
              <w:left w:val="nil"/>
              <w:bottom w:val="single" w:sz="8" w:space="0" w:color="auto"/>
              <w:right w:val="nil"/>
            </w:tcBorders>
            <w:noWrap/>
            <w:hideMark/>
          </w:tcPr>
          <w:p w14:paraId="0BC0F6D7" w14:textId="77777777" w:rsidR="007E34FA" w:rsidRDefault="007E34FA">
            <w:pPr>
              <w:jc w:val="center"/>
            </w:pPr>
            <w:r>
              <w:t>1.23 (1.21,1.27)</w:t>
            </w:r>
          </w:p>
        </w:tc>
        <w:tc>
          <w:tcPr>
            <w:tcW w:w="0" w:type="auto"/>
            <w:tcBorders>
              <w:top w:val="single" w:sz="8" w:space="0" w:color="auto"/>
              <w:left w:val="nil"/>
              <w:bottom w:val="single" w:sz="8" w:space="0" w:color="auto"/>
              <w:right w:val="nil"/>
            </w:tcBorders>
            <w:noWrap/>
            <w:hideMark/>
          </w:tcPr>
          <w:p w14:paraId="04CA593F" w14:textId="77777777" w:rsidR="007E34FA" w:rsidRDefault="007E34FA">
            <w:pPr>
              <w:jc w:val="center"/>
            </w:pPr>
            <w:r>
              <w:t>1.66 (1.61,1.70)</w:t>
            </w:r>
          </w:p>
        </w:tc>
        <w:tc>
          <w:tcPr>
            <w:tcW w:w="0" w:type="auto"/>
            <w:tcBorders>
              <w:top w:val="single" w:sz="8" w:space="0" w:color="auto"/>
              <w:left w:val="nil"/>
              <w:bottom w:val="single" w:sz="8" w:space="0" w:color="auto"/>
              <w:right w:val="nil"/>
            </w:tcBorders>
            <w:noWrap/>
            <w:hideMark/>
          </w:tcPr>
          <w:p w14:paraId="61CE6FC5" w14:textId="77777777" w:rsidR="007E34FA" w:rsidRDefault="007E34FA">
            <w:pPr>
              <w:jc w:val="center"/>
            </w:pPr>
            <w:r>
              <w:t>2.47 (2.38,2.56)</w:t>
            </w:r>
          </w:p>
        </w:tc>
      </w:tr>
      <w:tr w:rsidR="007E34FA" w14:paraId="1A895E8F" w14:textId="77777777" w:rsidTr="007E34FA">
        <w:trPr>
          <w:trHeight w:val="300"/>
          <w:jc w:val="center"/>
        </w:trPr>
        <w:tc>
          <w:tcPr>
            <w:tcW w:w="0" w:type="auto"/>
            <w:tcBorders>
              <w:top w:val="single" w:sz="8" w:space="0" w:color="auto"/>
              <w:left w:val="nil"/>
              <w:bottom w:val="single" w:sz="8" w:space="0" w:color="auto"/>
              <w:right w:val="nil"/>
            </w:tcBorders>
            <w:noWrap/>
            <w:hideMark/>
          </w:tcPr>
          <w:p w14:paraId="4AB98DE3" w14:textId="77777777" w:rsidR="007E34FA" w:rsidRDefault="007E34FA">
            <w:r>
              <w:t>Bleeding complication</w:t>
            </w:r>
          </w:p>
        </w:tc>
        <w:tc>
          <w:tcPr>
            <w:tcW w:w="0" w:type="auto"/>
            <w:tcBorders>
              <w:top w:val="single" w:sz="8" w:space="0" w:color="auto"/>
              <w:left w:val="nil"/>
              <w:bottom w:val="single" w:sz="8" w:space="0" w:color="auto"/>
              <w:right w:val="nil"/>
            </w:tcBorders>
            <w:noWrap/>
            <w:hideMark/>
          </w:tcPr>
          <w:p w14:paraId="4B852876" w14:textId="77777777" w:rsidR="007E34FA" w:rsidRDefault="007E34FA">
            <w:pPr>
              <w:jc w:val="center"/>
            </w:pPr>
            <w:r>
              <w:t>1.57 (1.52,1.61)</w:t>
            </w:r>
          </w:p>
        </w:tc>
        <w:tc>
          <w:tcPr>
            <w:tcW w:w="0" w:type="auto"/>
            <w:tcBorders>
              <w:top w:val="single" w:sz="8" w:space="0" w:color="auto"/>
              <w:left w:val="nil"/>
              <w:bottom w:val="single" w:sz="8" w:space="0" w:color="auto"/>
              <w:right w:val="nil"/>
            </w:tcBorders>
            <w:noWrap/>
            <w:hideMark/>
          </w:tcPr>
          <w:p w14:paraId="4E6E1F64" w14:textId="77777777" w:rsidR="007E34FA" w:rsidRDefault="007E34FA">
            <w:pPr>
              <w:jc w:val="center"/>
            </w:pPr>
            <w:r>
              <w:t>2.47 (2.39, 2.56)</w:t>
            </w:r>
          </w:p>
        </w:tc>
        <w:tc>
          <w:tcPr>
            <w:tcW w:w="0" w:type="auto"/>
            <w:tcBorders>
              <w:top w:val="single" w:sz="8" w:space="0" w:color="auto"/>
              <w:left w:val="nil"/>
              <w:bottom w:val="single" w:sz="8" w:space="0" w:color="auto"/>
              <w:right w:val="nil"/>
            </w:tcBorders>
            <w:noWrap/>
            <w:hideMark/>
          </w:tcPr>
          <w:p w14:paraId="71B72813" w14:textId="77777777" w:rsidR="007E34FA" w:rsidRDefault="007E34FA">
            <w:pPr>
              <w:jc w:val="center"/>
            </w:pPr>
            <w:r>
              <w:t>4.26 (4.09, 4.42)</w:t>
            </w:r>
          </w:p>
        </w:tc>
      </w:tr>
      <w:tr w:rsidR="007E34FA" w14:paraId="16438380" w14:textId="77777777" w:rsidTr="007E34FA">
        <w:trPr>
          <w:trHeight w:val="300"/>
          <w:jc w:val="center"/>
        </w:trPr>
        <w:tc>
          <w:tcPr>
            <w:tcW w:w="0" w:type="auto"/>
            <w:tcBorders>
              <w:top w:val="single" w:sz="8" w:space="0" w:color="auto"/>
              <w:left w:val="nil"/>
              <w:bottom w:val="single" w:sz="8" w:space="0" w:color="auto"/>
              <w:right w:val="nil"/>
            </w:tcBorders>
            <w:noWrap/>
            <w:hideMark/>
          </w:tcPr>
          <w:p w14:paraId="22FD5EF4" w14:textId="77777777" w:rsidR="007E34FA" w:rsidRDefault="007E34FA">
            <w:r>
              <w:t>Vascular complication</w:t>
            </w:r>
          </w:p>
        </w:tc>
        <w:tc>
          <w:tcPr>
            <w:tcW w:w="0" w:type="auto"/>
            <w:tcBorders>
              <w:top w:val="single" w:sz="8" w:space="0" w:color="auto"/>
              <w:left w:val="nil"/>
              <w:bottom w:val="single" w:sz="8" w:space="0" w:color="auto"/>
              <w:right w:val="nil"/>
            </w:tcBorders>
            <w:noWrap/>
            <w:hideMark/>
          </w:tcPr>
          <w:p w14:paraId="6D3089A9" w14:textId="77777777" w:rsidR="007E34FA" w:rsidRDefault="007E34FA">
            <w:pPr>
              <w:jc w:val="center"/>
            </w:pPr>
            <w:r>
              <w:t>1.06 (1.02, 1.10)</w:t>
            </w:r>
          </w:p>
        </w:tc>
        <w:tc>
          <w:tcPr>
            <w:tcW w:w="0" w:type="auto"/>
            <w:tcBorders>
              <w:top w:val="single" w:sz="8" w:space="0" w:color="auto"/>
              <w:left w:val="nil"/>
              <w:bottom w:val="single" w:sz="8" w:space="0" w:color="auto"/>
              <w:right w:val="nil"/>
            </w:tcBorders>
            <w:noWrap/>
            <w:hideMark/>
          </w:tcPr>
          <w:p w14:paraId="7A1DFC1F" w14:textId="77777777" w:rsidR="007E34FA" w:rsidRDefault="007E34FA">
            <w:pPr>
              <w:jc w:val="center"/>
            </w:pPr>
            <w:r>
              <w:t>1.09 (1.03, 1.15)</w:t>
            </w:r>
          </w:p>
        </w:tc>
        <w:tc>
          <w:tcPr>
            <w:tcW w:w="0" w:type="auto"/>
            <w:tcBorders>
              <w:top w:val="single" w:sz="8" w:space="0" w:color="auto"/>
              <w:left w:val="nil"/>
              <w:bottom w:val="single" w:sz="8" w:space="0" w:color="auto"/>
              <w:right w:val="nil"/>
            </w:tcBorders>
            <w:noWrap/>
            <w:hideMark/>
          </w:tcPr>
          <w:p w14:paraId="6B5E2878" w14:textId="77777777" w:rsidR="007E34FA" w:rsidRDefault="007E34FA">
            <w:pPr>
              <w:jc w:val="center"/>
            </w:pPr>
            <w:r>
              <w:t>1.12 (1.05,1.20)</w:t>
            </w:r>
          </w:p>
        </w:tc>
      </w:tr>
      <w:tr w:rsidR="007E34FA" w14:paraId="5456949B" w14:textId="77777777" w:rsidTr="007E34FA">
        <w:trPr>
          <w:trHeight w:val="300"/>
          <w:jc w:val="center"/>
        </w:trPr>
        <w:tc>
          <w:tcPr>
            <w:tcW w:w="0" w:type="auto"/>
            <w:tcBorders>
              <w:top w:val="single" w:sz="8" w:space="0" w:color="auto"/>
              <w:left w:val="nil"/>
              <w:bottom w:val="single" w:sz="8" w:space="0" w:color="auto"/>
              <w:right w:val="nil"/>
            </w:tcBorders>
            <w:noWrap/>
            <w:hideMark/>
          </w:tcPr>
          <w:p w14:paraId="37187B60" w14:textId="77777777" w:rsidR="007E34FA" w:rsidRDefault="007E34FA">
            <w:r>
              <w:t>Cardiac complication</w:t>
            </w:r>
          </w:p>
        </w:tc>
        <w:tc>
          <w:tcPr>
            <w:tcW w:w="0" w:type="auto"/>
            <w:tcBorders>
              <w:top w:val="single" w:sz="8" w:space="0" w:color="auto"/>
              <w:left w:val="nil"/>
              <w:bottom w:val="single" w:sz="8" w:space="0" w:color="auto"/>
              <w:right w:val="nil"/>
            </w:tcBorders>
            <w:noWrap/>
            <w:hideMark/>
          </w:tcPr>
          <w:p w14:paraId="4141DC5B" w14:textId="77777777" w:rsidR="007E34FA" w:rsidRDefault="007E34FA">
            <w:pPr>
              <w:jc w:val="center"/>
            </w:pPr>
            <w:r>
              <w:t>0.94 (0.91, 0.97)</w:t>
            </w:r>
          </w:p>
        </w:tc>
        <w:tc>
          <w:tcPr>
            <w:tcW w:w="0" w:type="auto"/>
            <w:tcBorders>
              <w:top w:val="single" w:sz="8" w:space="0" w:color="auto"/>
              <w:left w:val="nil"/>
              <w:bottom w:val="single" w:sz="8" w:space="0" w:color="auto"/>
              <w:right w:val="nil"/>
            </w:tcBorders>
            <w:noWrap/>
            <w:hideMark/>
          </w:tcPr>
          <w:p w14:paraId="16AF57AB" w14:textId="77777777" w:rsidR="007E34FA" w:rsidRDefault="007E34FA">
            <w:pPr>
              <w:jc w:val="center"/>
            </w:pPr>
            <w:r>
              <w:t>0.94 (0.90, 0.99)</w:t>
            </w:r>
          </w:p>
        </w:tc>
        <w:tc>
          <w:tcPr>
            <w:tcW w:w="0" w:type="auto"/>
            <w:tcBorders>
              <w:top w:val="single" w:sz="8" w:space="0" w:color="auto"/>
              <w:left w:val="nil"/>
              <w:bottom w:val="single" w:sz="8" w:space="0" w:color="auto"/>
              <w:right w:val="nil"/>
            </w:tcBorders>
            <w:noWrap/>
            <w:hideMark/>
          </w:tcPr>
          <w:p w14:paraId="5FC2EEF8" w14:textId="77777777" w:rsidR="007E34FA" w:rsidRDefault="007E34FA">
            <w:pPr>
              <w:jc w:val="center"/>
            </w:pPr>
            <w:r>
              <w:t>1.00 (0.95, 1.04)</w:t>
            </w:r>
          </w:p>
        </w:tc>
      </w:tr>
      <w:tr w:rsidR="007E34FA" w14:paraId="309D65F6" w14:textId="77777777" w:rsidTr="007E34FA">
        <w:trPr>
          <w:trHeight w:val="300"/>
          <w:jc w:val="center"/>
        </w:trPr>
        <w:tc>
          <w:tcPr>
            <w:tcW w:w="0" w:type="auto"/>
            <w:tcBorders>
              <w:top w:val="single" w:sz="8" w:space="0" w:color="auto"/>
              <w:left w:val="nil"/>
              <w:bottom w:val="single" w:sz="8" w:space="0" w:color="auto"/>
              <w:right w:val="nil"/>
            </w:tcBorders>
            <w:noWrap/>
            <w:hideMark/>
          </w:tcPr>
          <w:p w14:paraId="188FE975" w14:textId="77777777" w:rsidR="007E34FA" w:rsidRDefault="007E34FA">
            <w:r>
              <w:t>Stroke</w:t>
            </w:r>
          </w:p>
        </w:tc>
        <w:tc>
          <w:tcPr>
            <w:tcW w:w="0" w:type="auto"/>
            <w:tcBorders>
              <w:top w:val="single" w:sz="8" w:space="0" w:color="auto"/>
              <w:left w:val="nil"/>
              <w:bottom w:val="single" w:sz="8" w:space="0" w:color="auto"/>
              <w:right w:val="nil"/>
            </w:tcBorders>
            <w:noWrap/>
            <w:hideMark/>
          </w:tcPr>
          <w:p w14:paraId="63FBFD9A" w14:textId="77777777" w:rsidR="007E34FA" w:rsidRDefault="007E34FA">
            <w:pPr>
              <w:jc w:val="center"/>
            </w:pPr>
            <w:r>
              <w:t>1.30 (1.26, 1.34)</w:t>
            </w:r>
          </w:p>
        </w:tc>
        <w:tc>
          <w:tcPr>
            <w:tcW w:w="0" w:type="auto"/>
            <w:tcBorders>
              <w:top w:val="single" w:sz="8" w:space="0" w:color="auto"/>
              <w:left w:val="nil"/>
              <w:bottom w:val="single" w:sz="8" w:space="0" w:color="auto"/>
              <w:right w:val="nil"/>
            </w:tcBorders>
            <w:noWrap/>
            <w:hideMark/>
          </w:tcPr>
          <w:p w14:paraId="553CDD74" w14:textId="77777777" w:rsidR="007E34FA" w:rsidRDefault="007E34FA">
            <w:pPr>
              <w:jc w:val="center"/>
            </w:pPr>
            <w:r>
              <w:t>1.72 (1.67, 1.79)</w:t>
            </w:r>
          </w:p>
        </w:tc>
        <w:tc>
          <w:tcPr>
            <w:tcW w:w="0" w:type="auto"/>
            <w:tcBorders>
              <w:top w:val="single" w:sz="8" w:space="0" w:color="auto"/>
              <w:left w:val="nil"/>
              <w:bottom w:val="single" w:sz="8" w:space="0" w:color="auto"/>
              <w:right w:val="nil"/>
            </w:tcBorders>
            <w:noWrap/>
            <w:hideMark/>
          </w:tcPr>
          <w:p w14:paraId="1B08832F" w14:textId="77777777" w:rsidR="007E34FA" w:rsidRDefault="007E34FA">
            <w:pPr>
              <w:jc w:val="center"/>
            </w:pPr>
            <w:r>
              <w:t>2.40 (2.30, 2.51)</w:t>
            </w:r>
          </w:p>
        </w:tc>
      </w:tr>
    </w:tbl>
    <w:p w14:paraId="215D5793" w14:textId="77777777" w:rsidR="007E34FA" w:rsidRDefault="007E34FA" w:rsidP="007E34FA">
      <w:pPr>
        <w:rPr>
          <w:rFonts w:cs="Times New Roman"/>
        </w:rPr>
      </w:pPr>
      <w:r>
        <w:t xml:space="preserve">*Adjustment for </w:t>
      </w:r>
      <w:r>
        <w:rPr>
          <w:rFonts w:cs="Times New Roman"/>
        </w:rPr>
        <w:t>age, gender, ethnicity, median income, elective admission, day of admission (weekend/weekday) primary diagnosis of MI, diagnosis of shock, hypertension, or h</w:t>
      </w:r>
      <w:r>
        <w:t>ypercholesterolemia</w:t>
      </w:r>
      <w:r>
        <w:rPr>
          <w:rFonts w:cs="Times New Roman"/>
        </w:rPr>
        <w:t>, if the patient smokes, use of an assist device or intra-aortic balloon pump, use of a bare metal or drug eluting stent, bifurcation stenting, fractional flow reserve, single or multi-vessel PCI and year of hospitalisation</w:t>
      </w:r>
    </w:p>
    <w:p w14:paraId="14F567A4" w14:textId="77777777" w:rsidR="007E34FA" w:rsidRDefault="007E34FA" w:rsidP="007E34FA">
      <w:pPr>
        <w:rPr>
          <w:rFonts w:cs="Times New Roman"/>
        </w:rPr>
      </w:pPr>
    </w:p>
    <w:p w14:paraId="2595ABC3" w14:textId="77777777" w:rsidR="007E34FA" w:rsidRDefault="007E34FA" w:rsidP="007E34FA">
      <w:pPr>
        <w:spacing w:after="0"/>
        <w:sectPr w:rsidR="007E34FA">
          <w:pgSz w:w="11906" w:h="16838"/>
          <w:pgMar w:top="1440" w:right="993" w:bottom="1440" w:left="993" w:header="708" w:footer="708" w:gutter="0"/>
          <w:cols w:space="720"/>
        </w:sectPr>
      </w:pPr>
    </w:p>
    <w:p w14:paraId="79EB1F9E" w14:textId="219E62AE" w:rsidR="007E34FA" w:rsidRDefault="007E34FA" w:rsidP="007E34FA">
      <w:r>
        <w:rPr>
          <w:noProof/>
          <w:lang w:eastAsia="en-GB"/>
        </w:rPr>
        <w:lastRenderedPageBreak/>
        <mc:AlternateContent>
          <mc:Choice Requires="wpg">
            <w:drawing>
              <wp:anchor distT="0" distB="0" distL="114300" distR="114300" simplePos="0" relativeHeight="251659264" behindDoc="0" locked="0" layoutInCell="1" allowOverlap="1" wp14:anchorId="476C72E1" wp14:editId="4A43AF06">
                <wp:simplePos x="0" y="0"/>
                <wp:positionH relativeFrom="column">
                  <wp:posOffset>323850</wp:posOffset>
                </wp:positionH>
                <wp:positionV relativeFrom="paragraph">
                  <wp:posOffset>285750</wp:posOffset>
                </wp:positionV>
                <wp:extent cx="5553075" cy="6419850"/>
                <wp:effectExtent l="0" t="0" r="28575" b="19050"/>
                <wp:wrapNone/>
                <wp:docPr id="23" name="Group 23"/>
                <wp:cNvGraphicFramePr/>
                <a:graphic xmlns:a="http://schemas.openxmlformats.org/drawingml/2006/main">
                  <a:graphicData uri="http://schemas.microsoft.com/office/word/2010/wordprocessingGroup">
                    <wpg:wgp>
                      <wpg:cNvGrpSpPr/>
                      <wpg:grpSpPr>
                        <a:xfrm>
                          <a:off x="0" y="0"/>
                          <a:ext cx="5553075" cy="6419850"/>
                          <a:chOff x="0" y="0"/>
                          <a:chExt cx="5553075" cy="6419850"/>
                        </a:xfrm>
                      </wpg:grpSpPr>
                      <wps:wsp>
                        <wps:cNvPr id="4" name="Text Box 24"/>
                        <wps:cNvSpPr txBox="1"/>
                        <wps:spPr>
                          <a:xfrm>
                            <a:off x="2505075" y="4181475"/>
                            <a:ext cx="304800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D07D5" w14:textId="77777777" w:rsidR="007E34FA" w:rsidRDefault="007E34FA" w:rsidP="007E34FA">
                              <w:pPr>
                                <w:pStyle w:val="NoSpacing"/>
                              </w:pPr>
                              <w:r>
                                <w:t xml:space="preserve">Age – 44 missing </w:t>
                              </w:r>
                            </w:p>
                            <w:p w14:paraId="4DE26D24" w14:textId="77777777" w:rsidR="007E34FA" w:rsidRDefault="007E34FA" w:rsidP="007E34FA">
                              <w:pPr>
                                <w:pStyle w:val="NoSpacing"/>
                              </w:pPr>
                              <w:r>
                                <w:t>Gender – 109 missing</w:t>
                              </w:r>
                            </w:p>
                            <w:p w14:paraId="0281D42D" w14:textId="77777777" w:rsidR="007E34FA" w:rsidRDefault="007E34FA" w:rsidP="007E34FA">
                              <w:pPr>
                                <w:pStyle w:val="NoSpacing"/>
                              </w:pPr>
                              <w:r>
                                <w:t>Elective procedure – 4,360 missing</w:t>
                              </w:r>
                            </w:p>
                            <w:p w14:paraId="49B56A82" w14:textId="77777777" w:rsidR="007E34FA" w:rsidRDefault="007E34FA" w:rsidP="007E34FA">
                              <w:pPr>
                                <w:pStyle w:val="NoSpacing"/>
                              </w:pPr>
                              <w:r>
                                <w:t>Length of Stay – 6 missing</w:t>
                              </w:r>
                            </w:p>
                            <w:p w14:paraId="4FC3E4DB" w14:textId="77777777" w:rsidR="007E34FA" w:rsidRDefault="007E34FA" w:rsidP="007E34FA">
                              <w:pPr>
                                <w:pStyle w:val="NoSpacing"/>
                              </w:pPr>
                              <w:r>
                                <w:t>Median Zip code income – 33,387 missing</w:t>
                              </w:r>
                            </w:p>
                            <w:p w14:paraId="292F780E" w14:textId="77777777" w:rsidR="007E34FA" w:rsidRDefault="007E34FA" w:rsidP="007E34FA">
                              <w:pPr>
                                <w:pStyle w:val="NoSpacing"/>
                              </w:pPr>
                              <w:r>
                                <w:t>Death – 282 missing</w:t>
                              </w:r>
                            </w:p>
                            <w:p w14:paraId="1D1D8A67" w14:textId="77777777" w:rsidR="007E34FA" w:rsidRDefault="007E34FA" w:rsidP="007E34FA">
                              <w:pPr>
                                <w:pStyle w:val="NoSpacing"/>
                              </w:pPr>
                              <w:r>
                                <w:t xml:space="preserve">Total charge – 13,451 charge missing </w:t>
                              </w:r>
                            </w:p>
                            <w:p w14:paraId="115358AE" w14:textId="77777777" w:rsidR="007E34FA" w:rsidRDefault="007E34FA" w:rsidP="007E34FA">
                              <w:pPr>
                                <w:pStyle w:val="NoSpacing"/>
                              </w:pPr>
                              <w:r>
                                <w:tab/>
                                <w:t xml:space="preserve">             53, 368 Cost-Charge ratio missing</w:t>
                              </w:r>
                            </w:p>
                            <w:p w14:paraId="457DB4B9" w14:textId="77777777" w:rsidR="007E34FA" w:rsidRDefault="007E34FA" w:rsidP="007E34FA">
                              <w:r>
                                <w:tab/>
                              </w:r>
                            </w:p>
                            <w:p w14:paraId="028AE8D0" w14:textId="77777777" w:rsidR="007E34FA" w:rsidRDefault="007E34FA" w:rsidP="007E34FA"/>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0"/>
                            <a:ext cx="2505075" cy="6419850"/>
                            <a:chOff x="0" y="0"/>
                            <a:chExt cx="2505075" cy="6419850"/>
                          </a:xfrm>
                        </wpg:grpSpPr>
                        <wps:wsp>
                          <wps:cNvPr id="6" name="Text Box 26"/>
                          <wps:cNvSpPr txBox="1"/>
                          <wps:spPr>
                            <a:xfrm>
                              <a:off x="0" y="0"/>
                              <a:ext cx="20859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5CA13" w14:textId="77777777" w:rsidR="007E34FA" w:rsidRDefault="007E34FA" w:rsidP="007E34FA">
                                <w:r>
                                  <w:t>All records taken from NIS database from 2004 - 2014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7"/>
                          <wps:cNvSpPr txBox="1"/>
                          <wps:spPr>
                            <a:xfrm>
                              <a:off x="0" y="4429125"/>
                              <a:ext cx="208597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C073AF" w14:textId="77777777" w:rsidR="007E34FA" w:rsidRDefault="007E34FA" w:rsidP="007E34FA">
                                <w:r>
                                  <w:t>Excluded records with covariate information that was greater than 10% missing data (n=1,379,384 – unweighted)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28"/>
                          <wps:cNvSpPr txBox="1"/>
                          <wps:spPr>
                            <a:xfrm>
                              <a:off x="0" y="2181225"/>
                              <a:ext cx="20859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87952" w14:textId="77777777" w:rsidR="007E34FA" w:rsidRDefault="007E34FA" w:rsidP="007E34FA">
                                <w:r>
                                  <w:t>Unweighted 1,485,048 records were identified with PCI procedure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9"/>
                          <wps:cNvSpPr txBox="1"/>
                          <wps:spPr>
                            <a:xfrm>
                              <a:off x="0" y="3305175"/>
                              <a:ext cx="20859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BDF1A9" w14:textId="77777777" w:rsidR="007E34FA" w:rsidRDefault="007E34FA" w:rsidP="007E34FA">
                                <w:r>
                                  <w:t>Restricted to Adult over the age of 18 (n=1,484,391 – unweighted)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30"/>
                          <wps:cNvSpPr txBox="1"/>
                          <wps:spPr>
                            <a:xfrm>
                              <a:off x="0" y="1047750"/>
                              <a:ext cx="20859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F352FB" w14:textId="77777777" w:rsidR="007E34FA" w:rsidRDefault="007E34FA" w:rsidP="007E34FA">
                                <w:r>
                                  <w:t>Identified records with a PCI using ICD-9 codes including 0.66, 36.01, 36.02, 36.05, 36.06, 36.07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31"/>
                          <wps:cNvSpPr txBox="1"/>
                          <wps:spPr>
                            <a:xfrm>
                              <a:off x="0" y="5667375"/>
                              <a:ext cx="20859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8954B" w14:textId="77777777" w:rsidR="007E34FA" w:rsidRDefault="007E34FA" w:rsidP="007E34FA">
                                <w:r>
                                  <w:t>Records with a PCI procedure included in analysis (N= 6,601,526 - weighted)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1019175" y="676275"/>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1019175" y="1800225"/>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1000125" y="293370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1000125" y="405765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1019175" y="529590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2085975" y="489585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476C72E1" id="Group 23" o:spid="_x0000_s1026" style="position:absolute;margin-left:25.5pt;margin-top:22.5pt;width:437.25pt;height:505.5pt;z-index:251659264" coordsize="55530,6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">
                <v:shapetype id="_x0000_t202" coordsize="21600,21600" o:spt="202" path="m,l,21600r21600,l21600,xe">
                  <v:stroke joinstyle="miter"/>
                  <v:path gradientshapeok="t" o:connecttype="rect"/>
                </v:shapetype>
                <v:shape id="Text Box 24" o:spid="_x0000_s1027" type="#_x0000_t202" style="position:absolute;left:25050;top:41814;width:3048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6BBD07D5" w14:textId="77777777" w:rsidR="007E34FA" w:rsidRDefault="007E34FA" w:rsidP="007E34FA">
                        <w:pPr>
                          <w:pStyle w:val="NoSpacing"/>
                        </w:pPr>
                        <w:r>
                          <w:t xml:space="preserve">Age – 44 missing </w:t>
                        </w:r>
                      </w:p>
                      <w:p w14:paraId="4DE26D24" w14:textId="77777777" w:rsidR="007E34FA" w:rsidRDefault="007E34FA" w:rsidP="007E34FA">
                        <w:pPr>
                          <w:pStyle w:val="NoSpacing"/>
                        </w:pPr>
                        <w:r>
                          <w:t>Gender – 109 missing</w:t>
                        </w:r>
                      </w:p>
                      <w:p w14:paraId="0281D42D" w14:textId="77777777" w:rsidR="007E34FA" w:rsidRDefault="007E34FA" w:rsidP="007E34FA">
                        <w:pPr>
                          <w:pStyle w:val="NoSpacing"/>
                        </w:pPr>
                        <w:r>
                          <w:t>Elective procedure – 4,360 missing</w:t>
                        </w:r>
                      </w:p>
                      <w:p w14:paraId="49B56A82" w14:textId="77777777" w:rsidR="007E34FA" w:rsidRDefault="007E34FA" w:rsidP="007E34FA">
                        <w:pPr>
                          <w:pStyle w:val="NoSpacing"/>
                        </w:pPr>
                        <w:r>
                          <w:t>Length of Stay – 6 missing</w:t>
                        </w:r>
                      </w:p>
                      <w:p w14:paraId="4FC3E4DB" w14:textId="77777777" w:rsidR="007E34FA" w:rsidRDefault="007E34FA" w:rsidP="007E34FA">
                        <w:pPr>
                          <w:pStyle w:val="NoSpacing"/>
                        </w:pPr>
                        <w:r>
                          <w:t>Median Zip code income – 33,387 missing</w:t>
                        </w:r>
                      </w:p>
                      <w:p w14:paraId="292F780E" w14:textId="77777777" w:rsidR="007E34FA" w:rsidRDefault="007E34FA" w:rsidP="007E34FA">
                        <w:pPr>
                          <w:pStyle w:val="NoSpacing"/>
                        </w:pPr>
                        <w:r>
                          <w:t>Death – 282 missing</w:t>
                        </w:r>
                      </w:p>
                      <w:p w14:paraId="1D1D8A67" w14:textId="77777777" w:rsidR="007E34FA" w:rsidRDefault="007E34FA" w:rsidP="007E34FA">
                        <w:pPr>
                          <w:pStyle w:val="NoSpacing"/>
                        </w:pPr>
                        <w:r>
                          <w:t xml:space="preserve">Total charge – 13,451 charge missing </w:t>
                        </w:r>
                      </w:p>
                      <w:p w14:paraId="115358AE" w14:textId="77777777" w:rsidR="007E34FA" w:rsidRDefault="007E34FA" w:rsidP="007E34FA">
                        <w:pPr>
                          <w:pStyle w:val="NoSpacing"/>
                        </w:pPr>
                        <w:r>
                          <w:tab/>
                          <w:t xml:space="preserve">             53, 368 Cost-Charge ratio missing</w:t>
                        </w:r>
                      </w:p>
                      <w:p w14:paraId="457DB4B9" w14:textId="77777777" w:rsidR="007E34FA" w:rsidRDefault="007E34FA" w:rsidP="007E34FA">
                        <w:r>
                          <w:tab/>
                        </w:r>
                      </w:p>
                      <w:p w14:paraId="028AE8D0" w14:textId="77777777" w:rsidR="007E34FA" w:rsidRDefault="007E34FA" w:rsidP="007E34FA"/>
                    </w:txbxContent>
                  </v:textbox>
                </v:shape>
                <v:group id="Group 5" o:spid="_x0000_s1028" style="position:absolute;width:25050;height:64198" coordsize="25050,6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6" o:spid="_x0000_s1029" type="#_x0000_t202" style="position:absolute;width:20859;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2305CA13" w14:textId="77777777" w:rsidR="007E34FA" w:rsidRDefault="007E34FA" w:rsidP="007E34FA">
                          <w:r>
                            <w:t>All records taken from NIS database from 2004 - 2014</w:t>
                          </w:r>
                        </w:p>
                      </w:txbxContent>
                    </v:textbox>
                  </v:shape>
                  <v:shape id="Text Box 27" o:spid="_x0000_s1030" type="#_x0000_t202" style="position:absolute;top:44291;width:20859;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CC073AF" w14:textId="77777777" w:rsidR="007E34FA" w:rsidRDefault="007E34FA" w:rsidP="007E34FA">
                          <w:r>
                            <w:t>Excluded records with covariate information that was greater than 10% missing data (n=1,379,384 – unweighted)</w:t>
                          </w:r>
                        </w:p>
                      </w:txbxContent>
                    </v:textbox>
                  </v:shape>
                  <v:shape id="Text Box 28" o:spid="_x0000_s1031" type="#_x0000_t202" style="position:absolute;top:21812;width:20859;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58787952" w14:textId="77777777" w:rsidR="007E34FA" w:rsidRDefault="007E34FA" w:rsidP="007E34FA">
                          <w:r>
                            <w:t>Unweighted 1,485,048 records were identified with PCI procedure</w:t>
                          </w:r>
                        </w:p>
                      </w:txbxContent>
                    </v:textbox>
                  </v:shape>
                  <v:shape id="Text Box 29" o:spid="_x0000_s1032" type="#_x0000_t202" style="position:absolute;top:33051;width:20859;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5CBDF1A9" w14:textId="77777777" w:rsidR="007E34FA" w:rsidRDefault="007E34FA" w:rsidP="007E34FA">
                          <w:r>
                            <w:t>Restricted to Adult over the age of 18 (n=1,484,391 – unweighted)</w:t>
                          </w:r>
                        </w:p>
                      </w:txbxContent>
                    </v:textbox>
                  </v:shape>
                  <v:shape id="Text Box 30" o:spid="_x0000_s1033" type="#_x0000_t202" style="position:absolute;top:10477;width:20859;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7EF352FB" w14:textId="77777777" w:rsidR="007E34FA" w:rsidRDefault="007E34FA" w:rsidP="007E34FA">
                          <w:r>
                            <w:t>Identified records with a PCI using ICD-9 codes including 0.66, 36.01, 36.02, 36.05, 36.06, 36.07</w:t>
                          </w:r>
                        </w:p>
                      </w:txbxContent>
                    </v:textbox>
                  </v:shape>
                  <v:shape id="Text Box 31" o:spid="_x0000_s1034" type="#_x0000_t202" style="position:absolute;top:56673;width:20859;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7E28954B" w14:textId="77777777" w:rsidR="007E34FA" w:rsidRDefault="007E34FA" w:rsidP="007E34FA">
                          <w:r>
                            <w:t>Records with a PCI procedure included in analysis (N= 6,601,526 - weighted)</w:t>
                          </w:r>
                        </w:p>
                      </w:txbxContent>
                    </v:textbox>
                  </v:shape>
                  <v:shapetype id="_x0000_t32" coordsize="21600,21600" o:spt="32" o:oned="t" path="m,l21600,21600e" filled="f">
                    <v:path arrowok="t" fillok="f" o:connecttype="none"/>
                    <o:lock v:ext="edit" shapetype="t"/>
                  </v:shapetype>
                  <v:shape id="Straight Arrow Connector 12" o:spid="_x0000_s1035" type="#_x0000_t32" style="position:absolute;left:10191;top:6762;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" strokecolor="black [3200]" strokeweight=".5pt">
                    <v:stroke endarrow="open" joinstyle="miter"/>
                  </v:shape>
                  <v:shape id="Straight Arrow Connector 13" o:spid="_x0000_s1036" type="#_x0000_t32" style="position:absolute;left:10191;top:18002;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" strokecolor="black [3200]" strokeweight=".5pt">
                    <v:stroke endarrow="open" joinstyle="miter"/>
                  </v:shape>
                  <v:shape id="Straight Arrow Connector 14" o:spid="_x0000_s1037" type="#_x0000_t32" style="position:absolute;left:10001;top:29337;width:0;height: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" strokecolor="black [3200]" strokeweight=".5pt">
                    <v:stroke endarrow="open" joinstyle="miter"/>
                  </v:shape>
                  <v:shape id="Straight Arrow Connector 15" o:spid="_x0000_s1038" type="#_x0000_t32" style="position:absolute;left:10001;top:40576;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" strokecolor="black [3200]" strokeweight=".5pt">
                    <v:stroke endarrow="open" joinstyle="miter"/>
                  </v:shape>
                  <v:shape id="Straight Arrow Connector 17" o:spid="_x0000_s1039" type="#_x0000_t32" style="position:absolute;left:10191;top:52959;width:0;height: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" strokecolor="black [3200]" strokeweight=".5pt">
                    <v:stroke endarrow="open" joinstyle="miter"/>
                  </v:shape>
                  <v:shape id="Straight Arrow Connector 18" o:spid="_x0000_s1040" type="#_x0000_t32" style="position:absolute;left:20859;top:48958;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" strokecolor="black [3200]" strokeweight=".5pt">
                    <v:stroke endarrow="open" joinstyle="miter"/>
                  </v:shape>
                </v:group>
              </v:group>
            </w:pict>
          </mc:Fallback>
        </mc:AlternateContent>
      </w:r>
      <w:r>
        <w:t>Figure 1: Flow diagram of included/excluded records</w:t>
      </w:r>
      <w:r>
        <w:br w:type="page"/>
      </w:r>
    </w:p>
    <w:p w14:paraId="4C28F10D" w14:textId="77777777" w:rsidR="007E34FA" w:rsidRDefault="007E34FA" w:rsidP="007E34FA"/>
    <w:p w14:paraId="59B454EA" w14:textId="77777777" w:rsidR="007E34FA" w:rsidRDefault="007E34FA" w:rsidP="007E34FA">
      <w:r>
        <w:t>Figure 2</w:t>
      </w:r>
      <w:r>
        <w:rPr>
          <w:color w:val="000000" w:themeColor="text1"/>
        </w:rPr>
        <w:t xml:space="preserve">: The percentages of each </w:t>
      </w:r>
      <w:r>
        <w:t>category of the Charlson score for each PCI procedure by year</w:t>
      </w:r>
    </w:p>
    <w:p w14:paraId="762A8300" w14:textId="6FB85E7F" w:rsidR="007E34FA" w:rsidRDefault="007E34FA" w:rsidP="007E34FA">
      <w:r>
        <w:rPr>
          <w:noProof/>
          <w:lang w:eastAsia="en-GB"/>
        </w:rPr>
        <w:drawing>
          <wp:inline distT="0" distB="0" distL="0" distR="0" wp14:anchorId="267FECAB" wp14:editId="681C40C9">
            <wp:extent cx="6276975" cy="2847975"/>
            <wp:effectExtent l="0" t="0" r="9525" b="9525"/>
            <wp:docPr id="1" name="Chart 1" title="Percentage spread of the Charlson Comorbidity Index for each PCI procedure by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F089B7" w14:textId="77777777" w:rsidR="007E34FA" w:rsidRDefault="007E34FA" w:rsidP="007E34FA">
      <w:pPr>
        <w:spacing w:after="0" w:line="240" w:lineRule="auto"/>
      </w:pPr>
    </w:p>
    <w:p w14:paraId="4DD84266" w14:textId="77777777" w:rsidR="007E34FA" w:rsidRDefault="007E34FA" w:rsidP="007E34FA">
      <w:pPr>
        <w:sectPr w:rsidR="007E34FA" w:rsidSect="00E14ED9">
          <w:headerReference w:type="default" r:id="rId13"/>
          <w:pgSz w:w="11906" w:h="16838"/>
          <w:pgMar w:top="1440" w:right="1440" w:bottom="1440" w:left="1440" w:header="708" w:footer="708" w:gutter="0"/>
          <w:cols w:space="708"/>
          <w:docGrid w:linePitch="360"/>
        </w:sectPr>
      </w:pPr>
    </w:p>
    <w:p w14:paraId="41E00EEB" w14:textId="07E3EBC3" w:rsidR="007E34FA" w:rsidRDefault="007E34FA" w:rsidP="007E34FA">
      <w:r>
        <w:lastRenderedPageBreak/>
        <w:t>Figure 3: Association between increasing comorbidity burden and length of stay, median (IQR)</w:t>
      </w:r>
    </w:p>
    <w:p w14:paraId="4BA91441" w14:textId="25306A87" w:rsidR="007E34FA" w:rsidRDefault="007E34FA" w:rsidP="007E34FA">
      <w:r>
        <w:rPr>
          <w:noProof/>
          <w:lang w:eastAsia="en-GB"/>
        </w:rPr>
        <w:drawing>
          <wp:inline distT="0" distB="0" distL="0" distR="0" wp14:anchorId="14A7282D" wp14:editId="79DCC2F7">
            <wp:extent cx="5495925" cy="4038600"/>
            <wp:effectExtent l="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7AD502" w14:textId="77777777" w:rsidR="007E34FA" w:rsidRDefault="007E34FA" w:rsidP="007E34FA"/>
    <w:p w14:paraId="2A98CA4A" w14:textId="77777777" w:rsidR="007E34FA" w:rsidRDefault="007E34FA" w:rsidP="007E34FA">
      <w:pPr>
        <w:sectPr w:rsidR="007E34FA" w:rsidSect="00E14ED9">
          <w:pgSz w:w="11906" w:h="16838"/>
          <w:pgMar w:top="1440" w:right="1440" w:bottom="1440" w:left="1440" w:header="708" w:footer="708" w:gutter="0"/>
          <w:cols w:space="708"/>
          <w:docGrid w:linePitch="360"/>
        </w:sectPr>
      </w:pPr>
    </w:p>
    <w:p w14:paraId="734A8DEF" w14:textId="0F9036F3" w:rsidR="007E34FA" w:rsidRDefault="007E34FA" w:rsidP="007E34FA">
      <w:r>
        <w:lastRenderedPageBreak/>
        <w:t>Figure 4: Association between increasing comorbidity burden and total cost of hospitalisation, median (IQR)</w:t>
      </w:r>
    </w:p>
    <w:p w14:paraId="555546F0" w14:textId="1127290B" w:rsidR="007E34FA" w:rsidRDefault="007E34FA" w:rsidP="007E34FA">
      <w:pPr>
        <w:spacing w:line="360" w:lineRule="auto"/>
        <w:rPr>
          <w:rFonts w:ascii="Times New Roman" w:hAnsi="Times New Roman" w:cs="Times New Roman"/>
        </w:rPr>
      </w:pPr>
      <w:r>
        <w:rPr>
          <w:noProof/>
          <w:lang w:eastAsia="en-GB"/>
        </w:rPr>
        <w:drawing>
          <wp:inline distT="0" distB="0" distL="0" distR="0" wp14:anchorId="67B454C4" wp14:editId="53E499CA">
            <wp:extent cx="5731510" cy="2833874"/>
            <wp:effectExtent l="0" t="0" r="254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5E4AE9" w14:textId="5E9CC591" w:rsidR="00395E28" w:rsidRDefault="00395E28" w:rsidP="007E34FA">
      <w:pPr>
        <w:spacing w:line="360" w:lineRule="auto"/>
        <w:rPr>
          <w:rFonts w:ascii="Times New Roman" w:hAnsi="Times New Roman" w:cs="Times New Roman"/>
        </w:rPr>
      </w:pPr>
    </w:p>
    <w:p w14:paraId="3812B3FA" w14:textId="77777777" w:rsidR="00395E28" w:rsidRDefault="00395E28" w:rsidP="00395E28">
      <w:pPr>
        <w:rPr>
          <w:b/>
        </w:rPr>
      </w:pPr>
    </w:p>
    <w:p w14:paraId="00B5F2E3" w14:textId="77777777" w:rsidR="00395E28" w:rsidRDefault="00395E28" w:rsidP="00395E28">
      <w:pPr>
        <w:rPr>
          <w:b/>
        </w:rPr>
        <w:sectPr w:rsidR="00395E28" w:rsidSect="00E14ED9">
          <w:pgSz w:w="11906" w:h="16838"/>
          <w:pgMar w:top="1440" w:right="1440" w:bottom="1440" w:left="1440" w:header="708" w:footer="708" w:gutter="0"/>
          <w:cols w:space="708"/>
          <w:docGrid w:linePitch="360"/>
        </w:sectPr>
      </w:pPr>
    </w:p>
    <w:p w14:paraId="7AD9B2FF" w14:textId="6453DF9A" w:rsidR="00395E28" w:rsidRDefault="00395E28" w:rsidP="00395E28">
      <w:bookmarkStart w:id="0" w:name="_GoBack"/>
      <w:bookmarkEnd w:id="0"/>
      <w:r w:rsidRPr="000A4C32">
        <w:rPr>
          <w:b/>
        </w:rPr>
        <w:lastRenderedPageBreak/>
        <w:t>Supplementary Table 1:</w:t>
      </w:r>
      <w:r>
        <w:t xml:space="preserve"> </w:t>
      </w:r>
      <w:proofErr w:type="spellStart"/>
      <w:r>
        <w:t>Deyo’s</w:t>
      </w:r>
      <w:proofErr w:type="spellEnd"/>
      <w:r>
        <w:t xml:space="preserve"> modification of </w:t>
      </w:r>
      <w:proofErr w:type="spellStart"/>
      <w:r>
        <w:t>Charlson’s</w:t>
      </w:r>
      <w:proofErr w:type="spellEnd"/>
      <w:r>
        <w:t xml:space="preserve"> co-morbidity index (CCI).</w:t>
      </w:r>
    </w:p>
    <w:tbl>
      <w:tblPr>
        <w:tblStyle w:val="TableGrid"/>
        <w:tblW w:w="0" w:type="auto"/>
        <w:tblLook w:val="04A0" w:firstRow="1" w:lastRow="0" w:firstColumn="1" w:lastColumn="0" w:noHBand="0" w:noVBand="1"/>
      </w:tblPr>
      <w:tblGrid>
        <w:gridCol w:w="3681"/>
        <w:gridCol w:w="3685"/>
        <w:gridCol w:w="1650"/>
      </w:tblGrid>
      <w:tr w:rsidR="00395E28" w14:paraId="1D6148EB"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0CB4CBDD" w14:textId="77777777" w:rsidR="00395E28" w:rsidRDefault="00395E28" w:rsidP="005E27C3">
            <w:r>
              <w:t>Reported ICD-9 codes</w:t>
            </w:r>
          </w:p>
        </w:tc>
        <w:tc>
          <w:tcPr>
            <w:tcW w:w="3685" w:type="dxa"/>
            <w:tcBorders>
              <w:top w:val="single" w:sz="4" w:space="0" w:color="auto"/>
              <w:left w:val="single" w:sz="4" w:space="0" w:color="auto"/>
              <w:bottom w:val="single" w:sz="4" w:space="0" w:color="auto"/>
              <w:right w:val="single" w:sz="4" w:space="0" w:color="auto"/>
            </w:tcBorders>
            <w:hideMark/>
          </w:tcPr>
          <w:p w14:paraId="0EFD8E11" w14:textId="77777777" w:rsidR="00395E28" w:rsidRDefault="00395E28" w:rsidP="005E27C3">
            <w:r>
              <w:t>Condition</w:t>
            </w:r>
          </w:p>
        </w:tc>
        <w:tc>
          <w:tcPr>
            <w:tcW w:w="1650" w:type="dxa"/>
            <w:tcBorders>
              <w:top w:val="single" w:sz="4" w:space="0" w:color="auto"/>
              <w:left w:val="single" w:sz="4" w:space="0" w:color="auto"/>
              <w:bottom w:val="single" w:sz="4" w:space="0" w:color="auto"/>
              <w:right w:val="single" w:sz="4" w:space="0" w:color="auto"/>
            </w:tcBorders>
            <w:hideMark/>
          </w:tcPr>
          <w:p w14:paraId="303FDF2B" w14:textId="77777777" w:rsidR="00395E28" w:rsidRDefault="00395E28" w:rsidP="005E27C3">
            <w:r>
              <w:t>Charlson score</w:t>
            </w:r>
          </w:p>
        </w:tc>
      </w:tr>
      <w:tr w:rsidR="00395E28" w14:paraId="729895BA"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3837201C" w14:textId="77777777" w:rsidR="00395E28" w:rsidRDefault="00395E28" w:rsidP="005E27C3">
            <w:r>
              <w:t>412</w:t>
            </w:r>
          </w:p>
        </w:tc>
        <w:tc>
          <w:tcPr>
            <w:tcW w:w="3685" w:type="dxa"/>
            <w:tcBorders>
              <w:top w:val="single" w:sz="4" w:space="0" w:color="auto"/>
              <w:left w:val="single" w:sz="4" w:space="0" w:color="auto"/>
              <w:bottom w:val="single" w:sz="4" w:space="0" w:color="auto"/>
              <w:right w:val="single" w:sz="4" w:space="0" w:color="auto"/>
            </w:tcBorders>
            <w:hideMark/>
          </w:tcPr>
          <w:p w14:paraId="35D7A99D" w14:textId="77777777" w:rsidR="00395E28" w:rsidRDefault="00395E28" w:rsidP="005E27C3">
            <w:r>
              <w:t>Previous Myocardial infarction</w:t>
            </w:r>
          </w:p>
        </w:tc>
        <w:tc>
          <w:tcPr>
            <w:tcW w:w="1650" w:type="dxa"/>
            <w:tcBorders>
              <w:top w:val="single" w:sz="4" w:space="0" w:color="auto"/>
              <w:left w:val="single" w:sz="4" w:space="0" w:color="auto"/>
              <w:bottom w:val="single" w:sz="4" w:space="0" w:color="auto"/>
              <w:right w:val="single" w:sz="4" w:space="0" w:color="auto"/>
            </w:tcBorders>
            <w:hideMark/>
          </w:tcPr>
          <w:p w14:paraId="2D92C4E7" w14:textId="77777777" w:rsidR="00395E28" w:rsidRDefault="00395E28" w:rsidP="005E27C3">
            <w:r>
              <w:t>1</w:t>
            </w:r>
          </w:p>
        </w:tc>
      </w:tr>
      <w:tr w:rsidR="00395E28" w14:paraId="089C3F9A"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62B4E92B" w14:textId="77777777" w:rsidR="00395E28" w:rsidRDefault="00395E28" w:rsidP="005E27C3">
            <w:r>
              <w:t>428 – 428.9</w:t>
            </w:r>
          </w:p>
        </w:tc>
        <w:tc>
          <w:tcPr>
            <w:tcW w:w="3685" w:type="dxa"/>
            <w:tcBorders>
              <w:top w:val="single" w:sz="4" w:space="0" w:color="auto"/>
              <w:left w:val="single" w:sz="4" w:space="0" w:color="auto"/>
              <w:bottom w:val="single" w:sz="4" w:space="0" w:color="auto"/>
              <w:right w:val="single" w:sz="4" w:space="0" w:color="auto"/>
            </w:tcBorders>
            <w:hideMark/>
          </w:tcPr>
          <w:p w14:paraId="51620657" w14:textId="77777777" w:rsidR="00395E28" w:rsidRDefault="00395E28" w:rsidP="005E27C3">
            <w:r>
              <w:t>Congestive heart failure</w:t>
            </w:r>
          </w:p>
        </w:tc>
        <w:tc>
          <w:tcPr>
            <w:tcW w:w="1650" w:type="dxa"/>
            <w:tcBorders>
              <w:top w:val="single" w:sz="4" w:space="0" w:color="auto"/>
              <w:left w:val="single" w:sz="4" w:space="0" w:color="auto"/>
              <w:bottom w:val="single" w:sz="4" w:space="0" w:color="auto"/>
              <w:right w:val="single" w:sz="4" w:space="0" w:color="auto"/>
            </w:tcBorders>
            <w:hideMark/>
          </w:tcPr>
          <w:p w14:paraId="389A0AC7" w14:textId="77777777" w:rsidR="00395E28" w:rsidRDefault="00395E28" w:rsidP="005E27C3">
            <w:r>
              <w:t>1</w:t>
            </w:r>
          </w:p>
        </w:tc>
      </w:tr>
      <w:tr w:rsidR="00395E28" w14:paraId="0ABF70BF"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6D40991C" w14:textId="77777777" w:rsidR="00395E28" w:rsidRDefault="00395E28" w:rsidP="005E27C3">
            <w:r>
              <w:t>433.9, 441 – 441.9, 785.4 V43.4</w:t>
            </w:r>
          </w:p>
        </w:tc>
        <w:tc>
          <w:tcPr>
            <w:tcW w:w="3685" w:type="dxa"/>
            <w:tcBorders>
              <w:top w:val="single" w:sz="4" w:space="0" w:color="auto"/>
              <w:left w:val="single" w:sz="4" w:space="0" w:color="auto"/>
              <w:bottom w:val="single" w:sz="4" w:space="0" w:color="auto"/>
              <w:right w:val="single" w:sz="4" w:space="0" w:color="auto"/>
            </w:tcBorders>
            <w:hideMark/>
          </w:tcPr>
          <w:p w14:paraId="623EC0C7" w14:textId="77777777" w:rsidR="00395E28" w:rsidRDefault="00395E28" w:rsidP="005E27C3">
            <w:r>
              <w:t>Peripheral vascular disease</w:t>
            </w:r>
          </w:p>
        </w:tc>
        <w:tc>
          <w:tcPr>
            <w:tcW w:w="1650" w:type="dxa"/>
            <w:tcBorders>
              <w:top w:val="single" w:sz="4" w:space="0" w:color="auto"/>
              <w:left w:val="single" w:sz="4" w:space="0" w:color="auto"/>
              <w:bottom w:val="single" w:sz="4" w:space="0" w:color="auto"/>
              <w:right w:val="single" w:sz="4" w:space="0" w:color="auto"/>
            </w:tcBorders>
            <w:hideMark/>
          </w:tcPr>
          <w:p w14:paraId="1C768B01" w14:textId="77777777" w:rsidR="00395E28" w:rsidRDefault="00395E28" w:rsidP="005E27C3">
            <w:r>
              <w:t>1</w:t>
            </w:r>
          </w:p>
        </w:tc>
      </w:tr>
      <w:tr w:rsidR="00395E28" w14:paraId="5416B602"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6D54F885" w14:textId="77777777" w:rsidR="00395E28" w:rsidRDefault="00395E28" w:rsidP="005E27C3"/>
        </w:tc>
        <w:tc>
          <w:tcPr>
            <w:tcW w:w="3685" w:type="dxa"/>
            <w:tcBorders>
              <w:top w:val="single" w:sz="4" w:space="0" w:color="auto"/>
              <w:left w:val="single" w:sz="4" w:space="0" w:color="auto"/>
              <w:bottom w:val="single" w:sz="4" w:space="0" w:color="auto"/>
              <w:right w:val="single" w:sz="4" w:space="0" w:color="auto"/>
            </w:tcBorders>
            <w:hideMark/>
          </w:tcPr>
          <w:p w14:paraId="6FCEFBCD" w14:textId="77777777" w:rsidR="00395E28" w:rsidRDefault="00395E28" w:rsidP="005E27C3">
            <w:r>
              <w:t>Previous Cerebrovascular disease</w:t>
            </w:r>
          </w:p>
        </w:tc>
        <w:tc>
          <w:tcPr>
            <w:tcW w:w="1650" w:type="dxa"/>
            <w:tcBorders>
              <w:top w:val="single" w:sz="4" w:space="0" w:color="auto"/>
              <w:left w:val="single" w:sz="4" w:space="0" w:color="auto"/>
              <w:bottom w:val="single" w:sz="4" w:space="0" w:color="auto"/>
              <w:right w:val="single" w:sz="4" w:space="0" w:color="auto"/>
            </w:tcBorders>
            <w:hideMark/>
          </w:tcPr>
          <w:p w14:paraId="729EE07B" w14:textId="77777777" w:rsidR="00395E28" w:rsidRDefault="00395E28" w:rsidP="005E27C3">
            <w:r>
              <w:t>1</w:t>
            </w:r>
          </w:p>
        </w:tc>
      </w:tr>
      <w:tr w:rsidR="00395E28" w14:paraId="74C58CCA"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06515727" w14:textId="77777777" w:rsidR="00395E28" w:rsidRDefault="00395E28" w:rsidP="005E27C3">
            <w:r>
              <w:t>290 – 290.9</w:t>
            </w:r>
          </w:p>
        </w:tc>
        <w:tc>
          <w:tcPr>
            <w:tcW w:w="3685" w:type="dxa"/>
            <w:tcBorders>
              <w:top w:val="single" w:sz="4" w:space="0" w:color="auto"/>
              <w:left w:val="single" w:sz="4" w:space="0" w:color="auto"/>
              <w:bottom w:val="single" w:sz="4" w:space="0" w:color="auto"/>
              <w:right w:val="single" w:sz="4" w:space="0" w:color="auto"/>
            </w:tcBorders>
            <w:hideMark/>
          </w:tcPr>
          <w:p w14:paraId="79892046" w14:textId="77777777" w:rsidR="00395E28" w:rsidRDefault="00395E28" w:rsidP="005E27C3">
            <w:r>
              <w:t>Dementia</w:t>
            </w:r>
          </w:p>
        </w:tc>
        <w:tc>
          <w:tcPr>
            <w:tcW w:w="1650" w:type="dxa"/>
            <w:tcBorders>
              <w:top w:val="single" w:sz="4" w:space="0" w:color="auto"/>
              <w:left w:val="single" w:sz="4" w:space="0" w:color="auto"/>
              <w:bottom w:val="single" w:sz="4" w:space="0" w:color="auto"/>
              <w:right w:val="single" w:sz="4" w:space="0" w:color="auto"/>
            </w:tcBorders>
            <w:hideMark/>
          </w:tcPr>
          <w:p w14:paraId="1CA8049C" w14:textId="77777777" w:rsidR="00395E28" w:rsidRDefault="00395E28" w:rsidP="005E27C3">
            <w:r>
              <w:t>1</w:t>
            </w:r>
          </w:p>
        </w:tc>
      </w:tr>
      <w:tr w:rsidR="00395E28" w14:paraId="3213E89A"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59B72375" w14:textId="77777777" w:rsidR="00395E28" w:rsidRDefault="00395E28" w:rsidP="005E27C3">
            <w:r>
              <w:t>490 – 496, 500 –505, 506.4</w:t>
            </w:r>
          </w:p>
        </w:tc>
        <w:tc>
          <w:tcPr>
            <w:tcW w:w="3685" w:type="dxa"/>
            <w:tcBorders>
              <w:top w:val="single" w:sz="4" w:space="0" w:color="auto"/>
              <w:left w:val="single" w:sz="4" w:space="0" w:color="auto"/>
              <w:bottom w:val="single" w:sz="4" w:space="0" w:color="auto"/>
              <w:right w:val="single" w:sz="4" w:space="0" w:color="auto"/>
            </w:tcBorders>
            <w:hideMark/>
          </w:tcPr>
          <w:p w14:paraId="61D825EE" w14:textId="77777777" w:rsidR="00395E28" w:rsidRDefault="00395E28" w:rsidP="005E27C3">
            <w:r>
              <w:t>Chronic pulmonary disease</w:t>
            </w:r>
          </w:p>
        </w:tc>
        <w:tc>
          <w:tcPr>
            <w:tcW w:w="1650" w:type="dxa"/>
            <w:tcBorders>
              <w:top w:val="single" w:sz="4" w:space="0" w:color="auto"/>
              <w:left w:val="single" w:sz="4" w:space="0" w:color="auto"/>
              <w:bottom w:val="single" w:sz="4" w:space="0" w:color="auto"/>
              <w:right w:val="single" w:sz="4" w:space="0" w:color="auto"/>
            </w:tcBorders>
            <w:hideMark/>
          </w:tcPr>
          <w:p w14:paraId="3C3400EA" w14:textId="77777777" w:rsidR="00395E28" w:rsidRDefault="00395E28" w:rsidP="005E27C3">
            <w:r>
              <w:t>1</w:t>
            </w:r>
          </w:p>
        </w:tc>
      </w:tr>
      <w:tr w:rsidR="00395E28" w14:paraId="5EDB1BC9"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40CF1C62" w14:textId="77777777" w:rsidR="00395E28" w:rsidRDefault="00395E28" w:rsidP="005E27C3">
            <w:r>
              <w:t>710.0, 710.1, 710.4, 714 – 714.2, 714.81, 725</w:t>
            </w:r>
          </w:p>
        </w:tc>
        <w:tc>
          <w:tcPr>
            <w:tcW w:w="3685" w:type="dxa"/>
            <w:tcBorders>
              <w:top w:val="single" w:sz="4" w:space="0" w:color="auto"/>
              <w:left w:val="single" w:sz="4" w:space="0" w:color="auto"/>
              <w:bottom w:val="single" w:sz="4" w:space="0" w:color="auto"/>
              <w:right w:val="single" w:sz="4" w:space="0" w:color="auto"/>
            </w:tcBorders>
            <w:hideMark/>
          </w:tcPr>
          <w:p w14:paraId="6480BD88" w14:textId="77777777" w:rsidR="00395E28" w:rsidRDefault="00395E28" w:rsidP="005E27C3">
            <w:r>
              <w:t>Rheumatologic disease</w:t>
            </w:r>
          </w:p>
        </w:tc>
        <w:tc>
          <w:tcPr>
            <w:tcW w:w="1650" w:type="dxa"/>
            <w:tcBorders>
              <w:top w:val="single" w:sz="4" w:space="0" w:color="auto"/>
              <w:left w:val="single" w:sz="4" w:space="0" w:color="auto"/>
              <w:bottom w:val="single" w:sz="4" w:space="0" w:color="auto"/>
              <w:right w:val="single" w:sz="4" w:space="0" w:color="auto"/>
            </w:tcBorders>
            <w:hideMark/>
          </w:tcPr>
          <w:p w14:paraId="39F3F3C2" w14:textId="77777777" w:rsidR="00395E28" w:rsidRDefault="00395E28" w:rsidP="005E27C3">
            <w:r>
              <w:t>1</w:t>
            </w:r>
          </w:p>
        </w:tc>
      </w:tr>
      <w:tr w:rsidR="00395E28" w14:paraId="4C46A0F6"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16C5E4B5" w14:textId="77777777" w:rsidR="00395E28" w:rsidRDefault="00395E28" w:rsidP="005E27C3">
            <w:r>
              <w:t>531 – 534.9</w:t>
            </w:r>
          </w:p>
        </w:tc>
        <w:tc>
          <w:tcPr>
            <w:tcW w:w="3685" w:type="dxa"/>
            <w:tcBorders>
              <w:top w:val="single" w:sz="4" w:space="0" w:color="auto"/>
              <w:left w:val="single" w:sz="4" w:space="0" w:color="auto"/>
              <w:bottom w:val="single" w:sz="4" w:space="0" w:color="auto"/>
              <w:right w:val="single" w:sz="4" w:space="0" w:color="auto"/>
            </w:tcBorders>
            <w:hideMark/>
          </w:tcPr>
          <w:p w14:paraId="40E3C2CE" w14:textId="77777777" w:rsidR="00395E28" w:rsidRDefault="00395E28" w:rsidP="005E27C3">
            <w:r>
              <w:t>Peptic ulcer</w:t>
            </w:r>
          </w:p>
        </w:tc>
        <w:tc>
          <w:tcPr>
            <w:tcW w:w="1650" w:type="dxa"/>
            <w:tcBorders>
              <w:top w:val="single" w:sz="4" w:space="0" w:color="auto"/>
              <w:left w:val="single" w:sz="4" w:space="0" w:color="auto"/>
              <w:bottom w:val="single" w:sz="4" w:space="0" w:color="auto"/>
              <w:right w:val="single" w:sz="4" w:space="0" w:color="auto"/>
            </w:tcBorders>
            <w:hideMark/>
          </w:tcPr>
          <w:p w14:paraId="7CB52483" w14:textId="77777777" w:rsidR="00395E28" w:rsidRDefault="00395E28" w:rsidP="005E27C3">
            <w:r>
              <w:t>1</w:t>
            </w:r>
          </w:p>
        </w:tc>
      </w:tr>
      <w:tr w:rsidR="00395E28" w14:paraId="50B5D60D"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4C99E272" w14:textId="77777777" w:rsidR="00395E28" w:rsidRDefault="00395E28" w:rsidP="005E27C3">
            <w:r>
              <w:t>571.2, 571.5, 571.6, 571.4 –571.49</w:t>
            </w:r>
          </w:p>
        </w:tc>
        <w:tc>
          <w:tcPr>
            <w:tcW w:w="3685" w:type="dxa"/>
            <w:tcBorders>
              <w:top w:val="single" w:sz="4" w:space="0" w:color="auto"/>
              <w:left w:val="single" w:sz="4" w:space="0" w:color="auto"/>
              <w:bottom w:val="single" w:sz="4" w:space="0" w:color="auto"/>
              <w:right w:val="single" w:sz="4" w:space="0" w:color="auto"/>
            </w:tcBorders>
            <w:hideMark/>
          </w:tcPr>
          <w:p w14:paraId="46910A87" w14:textId="77777777" w:rsidR="00395E28" w:rsidRDefault="00395E28" w:rsidP="005E27C3">
            <w:r>
              <w:t>Mild liver disease</w:t>
            </w:r>
          </w:p>
        </w:tc>
        <w:tc>
          <w:tcPr>
            <w:tcW w:w="1650" w:type="dxa"/>
            <w:tcBorders>
              <w:top w:val="single" w:sz="4" w:space="0" w:color="auto"/>
              <w:left w:val="single" w:sz="4" w:space="0" w:color="auto"/>
              <w:bottom w:val="single" w:sz="4" w:space="0" w:color="auto"/>
              <w:right w:val="single" w:sz="4" w:space="0" w:color="auto"/>
            </w:tcBorders>
            <w:hideMark/>
          </w:tcPr>
          <w:p w14:paraId="454DB216" w14:textId="77777777" w:rsidR="00395E28" w:rsidRDefault="00395E28" w:rsidP="005E27C3">
            <w:r>
              <w:t>1</w:t>
            </w:r>
          </w:p>
        </w:tc>
      </w:tr>
      <w:tr w:rsidR="00395E28" w14:paraId="2EA78238"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6AE18550" w14:textId="77777777" w:rsidR="00395E28" w:rsidRDefault="00395E28" w:rsidP="005E27C3">
            <w:r>
              <w:t>250 – 250.3, 250.7</w:t>
            </w:r>
          </w:p>
        </w:tc>
        <w:tc>
          <w:tcPr>
            <w:tcW w:w="3685" w:type="dxa"/>
            <w:tcBorders>
              <w:top w:val="single" w:sz="4" w:space="0" w:color="auto"/>
              <w:left w:val="single" w:sz="4" w:space="0" w:color="auto"/>
              <w:bottom w:val="single" w:sz="4" w:space="0" w:color="auto"/>
              <w:right w:val="single" w:sz="4" w:space="0" w:color="auto"/>
            </w:tcBorders>
            <w:hideMark/>
          </w:tcPr>
          <w:p w14:paraId="68C45109" w14:textId="77777777" w:rsidR="00395E28" w:rsidRDefault="00395E28" w:rsidP="005E27C3">
            <w:r>
              <w:t>Diabetes</w:t>
            </w:r>
          </w:p>
        </w:tc>
        <w:tc>
          <w:tcPr>
            <w:tcW w:w="1650" w:type="dxa"/>
            <w:tcBorders>
              <w:top w:val="single" w:sz="4" w:space="0" w:color="auto"/>
              <w:left w:val="single" w:sz="4" w:space="0" w:color="auto"/>
              <w:bottom w:val="single" w:sz="4" w:space="0" w:color="auto"/>
              <w:right w:val="single" w:sz="4" w:space="0" w:color="auto"/>
            </w:tcBorders>
            <w:hideMark/>
          </w:tcPr>
          <w:p w14:paraId="4E65B397" w14:textId="77777777" w:rsidR="00395E28" w:rsidRDefault="00395E28" w:rsidP="005E27C3">
            <w:r>
              <w:t>1</w:t>
            </w:r>
          </w:p>
        </w:tc>
      </w:tr>
      <w:tr w:rsidR="00395E28" w14:paraId="09E9B29B"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6B3B7A6E" w14:textId="77777777" w:rsidR="00395E28" w:rsidRDefault="00395E28" w:rsidP="005E27C3">
            <w:r>
              <w:t>250.4 – 250.6</w:t>
            </w:r>
          </w:p>
        </w:tc>
        <w:tc>
          <w:tcPr>
            <w:tcW w:w="3685" w:type="dxa"/>
            <w:tcBorders>
              <w:top w:val="single" w:sz="4" w:space="0" w:color="auto"/>
              <w:left w:val="single" w:sz="4" w:space="0" w:color="auto"/>
              <w:bottom w:val="single" w:sz="4" w:space="0" w:color="auto"/>
              <w:right w:val="single" w:sz="4" w:space="0" w:color="auto"/>
            </w:tcBorders>
            <w:hideMark/>
          </w:tcPr>
          <w:p w14:paraId="63D4B0DD" w14:textId="77777777" w:rsidR="00395E28" w:rsidRDefault="00395E28" w:rsidP="005E27C3">
            <w:r>
              <w:t>Diabetes with chronic complications</w:t>
            </w:r>
          </w:p>
        </w:tc>
        <w:tc>
          <w:tcPr>
            <w:tcW w:w="1650" w:type="dxa"/>
            <w:tcBorders>
              <w:top w:val="single" w:sz="4" w:space="0" w:color="auto"/>
              <w:left w:val="single" w:sz="4" w:space="0" w:color="auto"/>
              <w:bottom w:val="single" w:sz="4" w:space="0" w:color="auto"/>
              <w:right w:val="single" w:sz="4" w:space="0" w:color="auto"/>
            </w:tcBorders>
            <w:hideMark/>
          </w:tcPr>
          <w:p w14:paraId="7192057E" w14:textId="77777777" w:rsidR="00395E28" w:rsidRDefault="00395E28" w:rsidP="005E27C3">
            <w:r>
              <w:t>2</w:t>
            </w:r>
          </w:p>
        </w:tc>
      </w:tr>
      <w:tr w:rsidR="00395E28" w14:paraId="70D66E5B"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65759349" w14:textId="77777777" w:rsidR="00395E28" w:rsidRDefault="00395E28" w:rsidP="005E27C3">
            <w:r>
              <w:t>344.1, 342 – 342.9</w:t>
            </w:r>
          </w:p>
        </w:tc>
        <w:tc>
          <w:tcPr>
            <w:tcW w:w="3685" w:type="dxa"/>
            <w:tcBorders>
              <w:top w:val="single" w:sz="4" w:space="0" w:color="auto"/>
              <w:left w:val="single" w:sz="4" w:space="0" w:color="auto"/>
              <w:bottom w:val="single" w:sz="4" w:space="0" w:color="auto"/>
              <w:right w:val="single" w:sz="4" w:space="0" w:color="auto"/>
            </w:tcBorders>
            <w:hideMark/>
          </w:tcPr>
          <w:p w14:paraId="6AA05373" w14:textId="77777777" w:rsidR="00395E28" w:rsidRDefault="00395E28" w:rsidP="005E27C3">
            <w:r>
              <w:t>Hemiplegia or paraplegia</w:t>
            </w:r>
          </w:p>
        </w:tc>
        <w:tc>
          <w:tcPr>
            <w:tcW w:w="1650" w:type="dxa"/>
            <w:tcBorders>
              <w:top w:val="single" w:sz="4" w:space="0" w:color="auto"/>
              <w:left w:val="single" w:sz="4" w:space="0" w:color="auto"/>
              <w:bottom w:val="single" w:sz="4" w:space="0" w:color="auto"/>
              <w:right w:val="single" w:sz="4" w:space="0" w:color="auto"/>
            </w:tcBorders>
            <w:hideMark/>
          </w:tcPr>
          <w:p w14:paraId="23AE4D41" w14:textId="77777777" w:rsidR="00395E28" w:rsidRDefault="00395E28" w:rsidP="005E27C3">
            <w:r>
              <w:t>2</w:t>
            </w:r>
          </w:p>
        </w:tc>
      </w:tr>
      <w:tr w:rsidR="00395E28" w14:paraId="62896A44"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6D549EA7" w14:textId="77777777" w:rsidR="00395E28" w:rsidRDefault="00395E28" w:rsidP="005E27C3">
            <w:r>
              <w:t>582 – 582.9, 583 – 583.7, 585, 586, 588 – 588.9</w:t>
            </w:r>
          </w:p>
        </w:tc>
        <w:tc>
          <w:tcPr>
            <w:tcW w:w="3685" w:type="dxa"/>
            <w:tcBorders>
              <w:top w:val="single" w:sz="4" w:space="0" w:color="auto"/>
              <w:left w:val="single" w:sz="4" w:space="0" w:color="auto"/>
              <w:bottom w:val="single" w:sz="4" w:space="0" w:color="auto"/>
              <w:right w:val="single" w:sz="4" w:space="0" w:color="auto"/>
            </w:tcBorders>
            <w:hideMark/>
          </w:tcPr>
          <w:p w14:paraId="625767C6" w14:textId="77777777" w:rsidR="00395E28" w:rsidRDefault="00395E28" w:rsidP="005E27C3">
            <w:r>
              <w:t>Renal Disease</w:t>
            </w:r>
          </w:p>
        </w:tc>
        <w:tc>
          <w:tcPr>
            <w:tcW w:w="1650" w:type="dxa"/>
            <w:tcBorders>
              <w:top w:val="single" w:sz="4" w:space="0" w:color="auto"/>
              <w:left w:val="single" w:sz="4" w:space="0" w:color="auto"/>
              <w:bottom w:val="single" w:sz="4" w:space="0" w:color="auto"/>
              <w:right w:val="single" w:sz="4" w:space="0" w:color="auto"/>
            </w:tcBorders>
            <w:hideMark/>
          </w:tcPr>
          <w:p w14:paraId="4E35018D" w14:textId="77777777" w:rsidR="00395E28" w:rsidRDefault="00395E28" w:rsidP="005E27C3">
            <w:r>
              <w:t>2</w:t>
            </w:r>
          </w:p>
        </w:tc>
      </w:tr>
      <w:tr w:rsidR="00395E28" w14:paraId="2990126E"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4CBEB00F" w14:textId="77777777" w:rsidR="00395E28" w:rsidRDefault="00395E28" w:rsidP="005E27C3">
            <w:r>
              <w:t>140 – 172.9, 174 –195.8, 200 – 208.9</w:t>
            </w:r>
          </w:p>
        </w:tc>
        <w:tc>
          <w:tcPr>
            <w:tcW w:w="3685" w:type="dxa"/>
            <w:tcBorders>
              <w:top w:val="single" w:sz="4" w:space="0" w:color="auto"/>
              <w:left w:val="single" w:sz="4" w:space="0" w:color="auto"/>
              <w:bottom w:val="single" w:sz="4" w:space="0" w:color="auto"/>
              <w:right w:val="single" w:sz="4" w:space="0" w:color="auto"/>
            </w:tcBorders>
            <w:hideMark/>
          </w:tcPr>
          <w:p w14:paraId="4A7504DE" w14:textId="77777777" w:rsidR="00395E28" w:rsidRDefault="00395E28" w:rsidP="005E27C3">
            <w:r>
              <w:t>Any malignancy including leukaemia and lymphoma</w:t>
            </w:r>
          </w:p>
        </w:tc>
        <w:tc>
          <w:tcPr>
            <w:tcW w:w="1650" w:type="dxa"/>
            <w:tcBorders>
              <w:top w:val="single" w:sz="4" w:space="0" w:color="auto"/>
              <w:left w:val="single" w:sz="4" w:space="0" w:color="auto"/>
              <w:bottom w:val="single" w:sz="4" w:space="0" w:color="auto"/>
              <w:right w:val="single" w:sz="4" w:space="0" w:color="auto"/>
            </w:tcBorders>
            <w:hideMark/>
          </w:tcPr>
          <w:p w14:paraId="06489530" w14:textId="77777777" w:rsidR="00395E28" w:rsidRDefault="00395E28" w:rsidP="005E27C3">
            <w:r>
              <w:t>2</w:t>
            </w:r>
          </w:p>
        </w:tc>
      </w:tr>
      <w:tr w:rsidR="00395E28" w14:paraId="7676C75B"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171FBE16" w14:textId="77777777" w:rsidR="00395E28" w:rsidRDefault="00395E28" w:rsidP="005E27C3">
            <w:r>
              <w:t xml:space="preserve">572.2 – 572.8 </w:t>
            </w:r>
          </w:p>
        </w:tc>
        <w:tc>
          <w:tcPr>
            <w:tcW w:w="3685" w:type="dxa"/>
            <w:tcBorders>
              <w:top w:val="single" w:sz="4" w:space="0" w:color="auto"/>
              <w:left w:val="single" w:sz="4" w:space="0" w:color="auto"/>
              <w:bottom w:val="single" w:sz="4" w:space="0" w:color="auto"/>
              <w:right w:val="single" w:sz="4" w:space="0" w:color="auto"/>
            </w:tcBorders>
            <w:hideMark/>
          </w:tcPr>
          <w:p w14:paraId="37CC0758" w14:textId="77777777" w:rsidR="00395E28" w:rsidRDefault="00395E28" w:rsidP="005E27C3">
            <w:r>
              <w:t>Moderate or severe liver disease</w:t>
            </w:r>
          </w:p>
        </w:tc>
        <w:tc>
          <w:tcPr>
            <w:tcW w:w="1650" w:type="dxa"/>
            <w:tcBorders>
              <w:top w:val="single" w:sz="4" w:space="0" w:color="auto"/>
              <w:left w:val="single" w:sz="4" w:space="0" w:color="auto"/>
              <w:bottom w:val="single" w:sz="4" w:space="0" w:color="auto"/>
              <w:right w:val="single" w:sz="4" w:space="0" w:color="auto"/>
            </w:tcBorders>
            <w:hideMark/>
          </w:tcPr>
          <w:p w14:paraId="29427B09" w14:textId="77777777" w:rsidR="00395E28" w:rsidRDefault="00395E28" w:rsidP="005E27C3">
            <w:r>
              <w:t>3</w:t>
            </w:r>
          </w:p>
        </w:tc>
      </w:tr>
      <w:tr w:rsidR="00395E28" w14:paraId="4DD63EB7"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45CAEC03" w14:textId="77777777" w:rsidR="00395E28" w:rsidRDefault="00395E28" w:rsidP="005E27C3">
            <w:r>
              <w:t>196 – 199.1</w:t>
            </w:r>
          </w:p>
        </w:tc>
        <w:tc>
          <w:tcPr>
            <w:tcW w:w="3685" w:type="dxa"/>
            <w:tcBorders>
              <w:top w:val="single" w:sz="4" w:space="0" w:color="auto"/>
              <w:left w:val="single" w:sz="4" w:space="0" w:color="auto"/>
              <w:bottom w:val="single" w:sz="4" w:space="0" w:color="auto"/>
              <w:right w:val="single" w:sz="4" w:space="0" w:color="auto"/>
            </w:tcBorders>
            <w:hideMark/>
          </w:tcPr>
          <w:p w14:paraId="14CD15F8" w14:textId="77777777" w:rsidR="00395E28" w:rsidRDefault="00395E28" w:rsidP="005E27C3">
            <w:r>
              <w:t>Metastatic solid tumour</w:t>
            </w:r>
          </w:p>
        </w:tc>
        <w:tc>
          <w:tcPr>
            <w:tcW w:w="1650" w:type="dxa"/>
            <w:tcBorders>
              <w:top w:val="single" w:sz="4" w:space="0" w:color="auto"/>
              <w:left w:val="single" w:sz="4" w:space="0" w:color="auto"/>
              <w:bottom w:val="single" w:sz="4" w:space="0" w:color="auto"/>
              <w:right w:val="single" w:sz="4" w:space="0" w:color="auto"/>
            </w:tcBorders>
            <w:hideMark/>
          </w:tcPr>
          <w:p w14:paraId="1AD08DA2" w14:textId="77777777" w:rsidR="00395E28" w:rsidRDefault="00395E28" w:rsidP="005E27C3">
            <w:r>
              <w:t>6</w:t>
            </w:r>
          </w:p>
        </w:tc>
      </w:tr>
      <w:tr w:rsidR="00395E28" w14:paraId="3EDAE25D" w14:textId="77777777" w:rsidTr="005E27C3">
        <w:tc>
          <w:tcPr>
            <w:tcW w:w="3681" w:type="dxa"/>
            <w:tcBorders>
              <w:top w:val="single" w:sz="4" w:space="0" w:color="auto"/>
              <w:left w:val="single" w:sz="4" w:space="0" w:color="auto"/>
              <w:bottom w:val="single" w:sz="4" w:space="0" w:color="auto"/>
              <w:right w:val="single" w:sz="4" w:space="0" w:color="auto"/>
            </w:tcBorders>
            <w:hideMark/>
          </w:tcPr>
          <w:p w14:paraId="2F30DB88" w14:textId="77777777" w:rsidR="00395E28" w:rsidRDefault="00395E28" w:rsidP="005E27C3">
            <w:r>
              <w:t>042 – 044.9</w:t>
            </w:r>
          </w:p>
        </w:tc>
        <w:tc>
          <w:tcPr>
            <w:tcW w:w="3685" w:type="dxa"/>
            <w:tcBorders>
              <w:top w:val="single" w:sz="4" w:space="0" w:color="auto"/>
              <w:left w:val="single" w:sz="4" w:space="0" w:color="auto"/>
              <w:bottom w:val="single" w:sz="4" w:space="0" w:color="auto"/>
              <w:right w:val="single" w:sz="4" w:space="0" w:color="auto"/>
            </w:tcBorders>
            <w:hideMark/>
          </w:tcPr>
          <w:p w14:paraId="0062BD36" w14:textId="77777777" w:rsidR="00395E28" w:rsidRDefault="00395E28" w:rsidP="005E27C3">
            <w:r>
              <w:t>AIDS</w:t>
            </w:r>
          </w:p>
        </w:tc>
        <w:tc>
          <w:tcPr>
            <w:tcW w:w="1650" w:type="dxa"/>
            <w:tcBorders>
              <w:top w:val="single" w:sz="4" w:space="0" w:color="auto"/>
              <w:left w:val="single" w:sz="4" w:space="0" w:color="auto"/>
              <w:bottom w:val="single" w:sz="4" w:space="0" w:color="auto"/>
              <w:right w:val="single" w:sz="4" w:space="0" w:color="auto"/>
            </w:tcBorders>
            <w:hideMark/>
          </w:tcPr>
          <w:p w14:paraId="67017B0F" w14:textId="77777777" w:rsidR="00395E28" w:rsidRDefault="00395E28" w:rsidP="005E27C3">
            <w:r>
              <w:t>6</w:t>
            </w:r>
          </w:p>
        </w:tc>
      </w:tr>
    </w:tbl>
    <w:p w14:paraId="6E2AF1EF" w14:textId="77777777" w:rsidR="00395E28" w:rsidRDefault="00395E28" w:rsidP="00395E28"/>
    <w:p w14:paraId="00904A1A" w14:textId="77777777" w:rsidR="00395E28" w:rsidRDefault="00395E28" w:rsidP="00395E28">
      <w:pPr>
        <w:rPr>
          <w:b/>
        </w:rPr>
      </w:pPr>
      <w:r>
        <w:rPr>
          <w:b/>
        </w:rPr>
        <w:br w:type="page"/>
      </w:r>
    </w:p>
    <w:p w14:paraId="3A7766B1" w14:textId="77777777" w:rsidR="00395E28" w:rsidRDefault="00395E28" w:rsidP="00395E28">
      <w:r w:rsidRPr="000A4C32">
        <w:rPr>
          <w:b/>
        </w:rPr>
        <w:lastRenderedPageBreak/>
        <w:t>Supplementary Table 2:</w:t>
      </w:r>
      <w:r>
        <w:t xml:space="preserve"> ICD-9-CM codes for post procedural complications</w:t>
      </w:r>
    </w:p>
    <w:tbl>
      <w:tblPr>
        <w:tblStyle w:val="TableGrid"/>
        <w:tblW w:w="0" w:type="auto"/>
        <w:tblLook w:val="04A0" w:firstRow="1" w:lastRow="0" w:firstColumn="1" w:lastColumn="0" w:noHBand="0" w:noVBand="1"/>
      </w:tblPr>
      <w:tblGrid>
        <w:gridCol w:w="4508"/>
        <w:gridCol w:w="4508"/>
      </w:tblGrid>
      <w:tr w:rsidR="00395E28" w14:paraId="3A4A37AD" w14:textId="77777777" w:rsidTr="005E27C3">
        <w:trPr>
          <w:trHeight w:val="177"/>
        </w:trPr>
        <w:tc>
          <w:tcPr>
            <w:tcW w:w="4508" w:type="dxa"/>
            <w:tcBorders>
              <w:top w:val="single" w:sz="4" w:space="0" w:color="auto"/>
              <w:left w:val="single" w:sz="4" w:space="0" w:color="auto"/>
              <w:bottom w:val="single" w:sz="4" w:space="0" w:color="auto"/>
              <w:right w:val="single" w:sz="4" w:space="0" w:color="auto"/>
            </w:tcBorders>
            <w:hideMark/>
          </w:tcPr>
          <w:p w14:paraId="11AB6454" w14:textId="77777777" w:rsidR="00395E28" w:rsidRDefault="00395E28" w:rsidP="005E27C3">
            <w:pPr>
              <w:rPr>
                <w:b/>
              </w:rPr>
            </w:pPr>
            <w:r>
              <w:rPr>
                <w:b/>
              </w:rPr>
              <w:t>Post-procedural Complication</w:t>
            </w:r>
          </w:p>
        </w:tc>
        <w:tc>
          <w:tcPr>
            <w:tcW w:w="4508" w:type="dxa"/>
            <w:tcBorders>
              <w:top w:val="single" w:sz="4" w:space="0" w:color="auto"/>
              <w:left w:val="single" w:sz="4" w:space="0" w:color="auto"/>
              <w:bottom w:val="single" w:sz="4" w:space="0" w:color="auto"/>
              <w:right w:val="single" w:sz="4" w:space="0" w:color="auto"/>
            </w:tcBorders>
            <w:hideMark/>
          </w:tcPr>
          <w:p w14:paraId="7734A927" w14:textId="77777777" w:rsidR="00395E28" w:rsidRDefault="00395E28" w:rsidP="005E27C3">
            <w:pPr>
              <w:rPr>
                <w:b/>
              </w:rPr>
            </w:pPr>
            <w:r>
              <w:rPr>
                <w:b/>
              </w:rPr>
              <w:t>ICD-9-CM codes</w:t>
            </w:r>
          </w:p>
        </w:tc>
      </w:tr>
      <w:tr w:rsidR="00395E28" w14:paraId="767E40EF"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4C46C116" w14:textId="77777777" w:rsidR="00395E28" w:rsidRDefault="00395E28" w:rsidP="005E27C3">
            <w:pPr>
              <w:rPr>
                <w:b/>
              </w:rPr>
            </w:pPr>
            <w:r>
              <w:rPr>
                <w:b/>
              </w:rPr>
              <w:t>Bleeding complication</w:t>
            </w:r>
          </w:p>
        </w:tc>
        <w:tc>
          <w:tcPr>
            <w:tcW w:w="4508" w:type="dxa"/>
            <w:tcBorders>
              <w:top w:val="single" w:sz="4" w:space="0" w:color="auto"/>
              <w:left w:val="single" w:sz="4" w:space="0" w:color="auto"/>
              <w:bottom w:val="single" w:sz="4" w:space="0" w:color="auto"/>
              <w:right w:val="single" w:sz="4" w:space="0" w:color="auto"/>
            </w:tcBorders>
          </w:tcPr>
          <w:p w14:paraId="516A4FA5" w14:textId="77777777" w:rsidR="00395E28" w:rsidRDefault="00395E28" w:rsidP="005E27C3"/>
        </w:tc>
      </w:tr>
      <w:tr w:rsidR="00395E28" w14:paraId="03886DB2"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648E026A" w14:textId="77777777" w:rsidR="00395E28" w:rsidRDefault="00395E28" w:rsidP="005E27C3">
            <w:pPr>
              <w:jc w:val="right"/>
            </w:pPr>
            <w:r>
              <w:t>Gastrointestinal</w:t>
            </w:r>
          </w:p>
        </w:tc>
        <w:tc>
          <w:tcPr>
            <w:tcW w:w="4508" w:type="dxa"/>
            <w:tcBorders>
              <w:top w:val="single" w:sz="4" w:space="0" w:color="auto"/>
              <w:left w:val="single" w:sz="4" w:space="0" w:color="auto"/>
              <w:bottom w:val="single" w:sz="4" w:space="0" w:color="auto"/>
              <w:right w:val="single" w:sz="4" w:space="0" w:color="auto"/>
            </w:tcBorders>
            <w:hideMark/>
          </w:tcPr>
          <w:p w14:paraId="36FF846F" w14:textId="77777777" w:rsidR="00395E28" w:rsidRDefault="00395E28" w:rsidP="005E27C3">
            <w:r>
              <w:t>578.9</w:t>
            </w:r>
          </w:p>
        </w:tc>
      </w:tr>
      <w:tr w:rsidR="00395E28" w14:paraId="7D3FE5BA"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23E4F133" w14:textId="77777777" w:rsidR="00395E28" w:rsidRDefault="00395E28" w:rsidP="005E27C3">
            <w:pPr>
              <w:jc w:val="right"/>
            </w:pPr>
            <w:r>
              <w:t>Unspecified haemorrhage</w:t>
            </w:r>
          </w:p>
        </w:tc>
        <w:tc>
          <w:tcPr>
            <w:tcW w:w="4508" w:type="dxa"/>
            <w:tcBorders>
              <w:top w:val="single" w:sz="4" w:space="0" w:color="auto"/>
              <w:left w:val="single" w:sz="4" w:space="0" w:color="auto"/>
              <w:bottom w:val="single" w:sz="4" w:space="0" w:color="auto"/>
              <w:right w:val="single" w:sz="4" w:space="0" w:color="auto"/>
            </w:tcBorders>
            <w:hideMark/>
          </w:tcPr>
          <w:p w14:paraId="2105F976" w14:textId="77777777" w:rsidR="00395E28" w:rsidRDefault="00395E28" w:rsidP="005E27C3">
            <w:r>
              <w:t>459.0</w:t>
            </w:r>
          </w:p>
        </w:tc>
      </w:tr>
      <w:tr w:rsidR="00395E28" w14:paraId="3F7316FE"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175D03D0" w14:textId="77777777" w:rsidR="00395E28" w:rsidRDefault="00395E28" w:rsidP="005E27C3">
            <w:pPr>
              <w:jc w:val="right"/>
            </w:pPr>
            <w:r>
              <w:t>Retroperitoneal haemorrhage</w:t>
            </w:r>
          </w:p>
        </w:tc>
        <w:tc>
          <w:tcPr>
            <w:tcW w:w="4508" w:type="dxa"/>
            <w:tcBorders>
              <w:top w:val="single" w:sz="4" w:space="0" w:color="auto"/>
              <w:left w:val="single" w:sz="4" w:space="0" w:color="auto"/>
              <w:bottom w:val="single" w:sz="4" w:space="0" w:color="auto"/>
              <w:right w:val="single" w:sz="4" w:space="0" w:color="auto"/>
            </w:tcBorders>
            <w:hideMark/>
          </w:tcPr>
          <w:p w14:paraId="6668041F" w14:textId="77777777" w:rsidR="00395E28" w:rsidRDefault="00395E28" w:rsidP="005E27C3">
            <w:r>
              <w:t>568.81</w:t>
            </w:r>
          </w:p>
        </w:tc>
      </w:tr>
      <w:tr w:rsidR="00395E28" w14:paraId="23905C3C"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3D45E02C" w14:textId="77777777" w:rsidR="00395E28" w:rsidRDefault="00395E28" w:rsidP="005E27C3">
            <w:pPr>
              <w:jc w:val="right"/>
            </w:pPr>
            <w:r>
              <w:t>Intracranial haemorrhage</w:t>
            </w:r>
          </w:p>
        </w:tc>
        <w:tc>
          <w:tcPr>
            <w:tcW w:w="4508" w:type="dxa"/>
            <w:tcBorders>
              <w:top w:val="single" w:sz="4" w:space="0" w:color="auto"/>
              <w:left w:val="single" w:sz="4" w:space="0" w:color="auto"/>
              <w:bottom w:val="single" w:sz="4" w:space="0" w:color="auto"/>
              <w:right w:val="single" w:sz="4" w:space="0" w:color="auto"/>
            </w:tcBorders>
            <w:hideMark/>
          </w:tcPr>
          <w:p w14:paraId="3CB5BFEB" w14:textId="77777777" w:rsidR="00395E28" w:rsidRDefault="00395E28" w:rsidP="005E27C3">
            <w:r>
              <w:t>432.9</w:t>
            </w:r>
          </w:p>
        </w:tc>
      </w:tr>
      <w:tr w:rsidR="00395E28" w14:paraId="13E76FD9"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742F36AC" w14:textId="77777777" w:rsidR="00395E28" w:rsidRDefault="00395E28" w:rsidP="005E27C3">
            <w:pPr>
              <w:jc w:val="right"/>
            </w:pPr>
            <w:r>
              <w:t>Intracerebral haemorrhage</w:t>
            </w:r>
          </w:p>
        </w:tc>
        <w:tc>
          <w:tcPr>
            <w:tcW w:w="4508" w:type="dxa"/>
            <w:tcBorders>
              <w:top w:val="single" w:sz="4" w:space="0" w:color="auto"/>
              <w:left w:val="single" w:sz="4" w:space="0" w:color="auto"/>
              <w:bottom w:val="single" w:sz="4" w:space="0" w:color="auto"/>
              <w:right w:val="single" w:sz="4" w:space="0" w:color="auto"/>
            </w:tcBorders>
            <w:hideMark/>
          </w:tcPr>
          <w:p w14:paraId="52514C42" w14:textId="77777777" w:rsidR="00395E28" w:rsidRDefault="00395E28" w:rsidP="005E27C3">
            <w:r>
              <w:t>431</w:t>
            </w:r>
          </w:p>
        </w:tc>
      </w:tr>
      <w:tr w:rsidR="00395E28" w14:paraId="14C4604C"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30BA9294" w14:textId="77777777" w:rsidR="00395E28" w:rsidRDefault="00395E28" w:rsidP="005E27C3">
            <w:pPr>
              <w:jc w:val="right"/>
            </w:pPr>
            <w:r>
              <w:t>Blood transfusion</w:t>
            </w:r>
          </w:p>
        </w:tc>
        <w:tc>
          <w:tcPr>
            <w:tcW w:w="4508" w:type="dxa"/>
            <w:tcBorders>
              <w:top w:val="single" w:sz="4" w:space="0" w:color="auto"/>
              <w:left w:val="single" w:sz="4" w:space="0" w:color="auto"/>
              <w:bottom w:val="single" w:sz="4" w:space="0" w:color="auto"/>
              <w:right w:val="single" w:sz="4" w:space="0" w:color="auto"/>
            </w:tcBorders>
            <w:hideMark/>
          </w:tcPr>
          <w:p w14:paraId="0095FAD5" w14:textId="77777777" w:rsidR="00395E28" w:rsidRDefault="00395E28" w:rsidP="005E27C3">
            <w:r>
              <w:t>V58.2, 99.0x (procedure)</w:t>
            </w:r>
          </w:p>
        </w:tc>
      </w:tr>
      <w:tr w:rsidR="00395E28" w14:paraId="2787872E"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4CAF0FD0" w14:textId="77777777" w:rsidR="00395E28" w:rsidRDefault="00395E28" w:rsidP="005E27C3">
            <w:pPr>
              <w:rPr>
                <w:rFonts w:ascii="Calibri" w:eastAsia="Times New Roman" w:hAnsi="Calibri" w:cs="Times New Roman"/>
                <w:b/>
                <w:color w:val="000000"/>
                <w:lang w:eastAsia="en-GB"/>
              </w:rPr>
            </w:pPr>
            <w:r>
              <w:rPr>
                <w:rFonts w:ascii="Calibri" w:eastAsia="Times New Roman" w:hAnsi="Calibri" w:cs="Times New Roman"/>
                <w:b/>
                <w:color w:val="000000"/>
                <w:lang w:eastAsia="en-GB"/>
              </w:rPr>
              <w:t>Vascular complications</w:t>
            </w:r>
          </w:p>
        </w:tc>
        <w:tc>
          <w:tcPr>
            <w:tcW w:w="4508" w:type="dxa"/>
            <w:tcBorders>
              <w:top w:val="single" w:sz="4" w:space="0" w:color="auto"/>
              <w:left w:val="single" w:sz="4" w:space="0" w:color="auto"/>
              <w:bottom w:val="single" w:sz="4" w:space="0" w:color="auto"/>
              <w:right w:val="single" w:sz="4" w:space="0" w:color="auto"/>
            </w:tcBorders>
          </w:tcPr>
          <w:p w14:paraId="72FE797C" w14:textId="77777777" w:rsidR="00395E28" w:rsidRDefault="00395E28" w:rsidP="005E27C3"/>
        </w:tc>
      </w:tr>
      <w:tr w:rsidR="00395E28" w14:paraId="47E8EA51"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1559B061" w14:textId="77777777" w:rsidR="00395E28" w:rsidRDefault="00395E28" w:rsidP="005E27C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Post-op haemorrhage requiring transfusion</w:t>
            </w:r>
          </w:p>
        </w:tc>
        <w:tc>
          <w:tcPr>
            <w:tcW w:w="4508" w:type="dxa"/>
            <w:tcBorders>
              <w:top w:val="single" w:sz="4" w:space="0" w:color="auto"/>
              <w:left w:val="single" w:sz="4" w:space="0" w:color="auto"/>
              <w:bottom w:val="single" w:sz="4" w:space="0" w:color="auto"/>
              <w:right w:val="single" w:sz="4" w:space="0" w:color="auto"/>
            </w:tcBorders>
            <w:hideMark/>
          </w:tcPr>
          <w:p w14:paraId="2CD02359" w14:textId="77777777" w:rsidR="00395E28" w:rsidRDefault="00395E28" w:rsidP="005E27C3">
            <w:r>
              <w:t>99.0 (procedure)</w:t>
            </w:r>
          </w:p>
        </w:tc>
      </w:tr>
      <w:tr w:rsidR="00395E28" w14:paraId="3C5F131E"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4D720F39" w14:textId="77777777" w:rsidR="00395E28" w:rsidRDefault="00395E28" w:rsidP="005E27C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Vascular injury</w:t>
            </w:r>
          </w:p>
        </w:tc>
        <w:tc>
          <w:tcPr>
            <w:tcW w:w="4508" w:type="dxa"/>
            <w:tcBorders>
              <w:top w:val="single" w:sz="4" w:space="0" w:color="auto"/>
              <w:left w:val="single" w:sz="4" w:space="0" w:color="auto"/>
              <w:bottom w:val="single" w:sz="4" w:space="0" w:color="auto"/>
              <w:right w:val="single" w:sz="4" w:space="0" w:color="auto"/>
            </w:tcBorders>
            <w:hideMark/>
          </w:tcPr>
          <w:p w14:paraId="2BBEE9D5" w14:textId="77777777" w:rsidR="00395E28" w:rsidRDefault="00395E28" w:rsidP="005E27C3">
            <w:r>
              <w:t>900-904, 998.2, 447, 868.04, 999.7 (diagnosis)</w:t>
            </w:r>
          </w:p>
          <w:p w14:paraId="561D47FA" w14:textId="77777777" w:rsidR="00395E28" w:rsidRDefault="00395E28" w:rsidP="005E27C3">
            <w:r>
              <w:t>39.31, 39.41, 39.49, 39.52, 39.53, 39.56 - 39.59 39.79</w:t>
            </w:r>
          </w:p>
        </w:tc>
      </w:tr>
      <w:tr w:rsidR="00395E28" w14:paraId="11F416CA"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266D42D0" w14:textId="77777777" w:rsidR="00395E28" w:rsidRDefault="00395E28" w:rsidP="005E27C3">
            <w:pPr>
              <w:rPr>
                <w:rFonts w:ascii="Calibri" w:eastAsia="Times New Roman" w:hAnsi="Calibri" w:cs="Times New Roman"/>
                <w:b/>
                <w:color w:val="000000"/>
                <w:lang w:eastAsia="en-GB"/>
              </w:rPr>
            </w:pPr>
            <w:r>
              <w:rPr>
                <w:rFonts w:ascii="Calibri" w:eastAsia="Times New Roman" w:hAnsi="Calibri" w:cs="Times New Roman"/>
                <w:b/>
                <w:color w:val="000000"/>
                <w:lang w:eastAsia="en-GB"/>
              </w:rPr>
              <w:t>Cardiac complications</w:t>
            </w:r>
          </w:p>
        </w:tc>
        <w:tc>
          <w:tcPr>
            <w:tcW w:w="4508" w:type="dxa"/>
            <w:tcBorders>
              <w:top w:val="single" w:sz="4" w:space="0" w:color="auto"/>
              <w:left w:val="single" w:sz="4" w:space="0" w:color="auto"/>
              <w:bottom w:val="single" w:sz="4" w:space="0" w:color="auto"/>
              <w:right w:val="single" w:sz="4" w:space="0" w:color="auto"/>
            </w:tcBorders>
          </w:tcPr>
          <w:p w14:paraId="48A8E208" w14:textId="77777777" w:rsidR="00395E28" w:rsidRDefault="00395E28" w:rsidP="005E27C3"/>
        </w:tc>
      </w:tr>
      <w:tr w:rsidR="00395E28" w14:paraId="13257A25"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5C1AFA9B" w14:textId="77777777" w:rsidR="00395E28" w:rsidRDefault="00395E28" w:rsidP="005E27C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Iatrogenic cardiac </w:t>
            </w:r>
          </w:p>
        </w:tc>
        <w:tc>
          <w:tcPr>
            <w:tcW w:w="4508" w:type="dxa"/>
            <w:tcBorders>
              <w:top w:val="single" w:sz="4" w:space="0" w:color="auto"/>
              <w:left w:val="single" w:sz="4" w:space="0" w:color="auto"/>
              <w:bottom w:val="single" w:sz="4" w:space="0" w:color="auto"/>
              <w:right w:val="single" w:sz="4" w:space="0" w:color="auto"/>
            </w:tcBorders>
            <w:hideMark/>
          </w:tcPr>
          <w:p w14:paraId="120CE121" w14:textId="77777777" w:rsidR="00395E28" w:rsidRDefault="00395E28" w:rsidP="005E27C3">
            <w:r>
              <w:t>997.1</w:t>
            </w:r>
          </w:p>
        </w:tc>
      </w:tr>
      <w:tr w:rsidR="00395E28" w14:paraId="391D2000"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1FCB980A" w14:textId="77777777" w:rsidR="00395E28" w:rsidRDefault="00395E28" w:rsidP="005E27C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Pericardial comp</w:t>
            </w:r>
          </w:p>
        </w:tc>
        <w:tc>
          <w:tcPr>
            <w:tcW w:w="4508" w:type="dxa"/>
            <w:tcBorders>
              <w:top w:val="single" w:sz="4" w:space="0" w:color="auto"/>
              <w:left w:val="single" w:sz="4" w:space="0" w:color="auto"/>
              <w:bottom w:val="single" w:sz="4" w:space="0" w:color="auto"/>
              <w:right w:val="single" w:sz="4" w:space="0" w:color="auto"/>
            </w:tcBorders>
            <w:hideMark/>
          </w:tcPr>
          <w:p w14:paraId="60946CC1" w14:textId="77777777" w:rsidR="00395E28" w:rsidRDefault="00395E28" w:rsidP="005E27C3">
            <w:r>
              <w:t>423.0, 423.3, 47.0</w:t>
            </w:r>
          </w:p>
        </w:tc>
      </w:tr>
      <w:tr w:rsidR="00395E28" w14:paraId="53EA86AD"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2D616B74" w14:textId="77777777" w:rsidR="00395E28" w:rsidRDefault="00395E28" w:rsidP="005E27C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Requiring CABG</w:t>
            </w:r>
          </w:p>
        </w:tc>
        <w:tc>
          <w:tcPr>
            <w:tcW w:w="4508" w:type="dxa"/>
            <w:tcBorders>
              <w:top w:val="single" w:sz="4" w:space="0" w:color="auto"/>
              <w:left w:val="single" w:sz="4" w:space="0" w:color="auto"/>
              <w:bottom w:val="single" w:sz="4" w:space="0" w:color="auto"/>
              <w:right w:val="single" w:sz="4" w:space="0" w:color="auto"/>
            </w:tcBorders>
            <w:hideMark/>
          </w:tcPr>
          <w:p w14:paraId="0D64179C" w14:textId="77777777" w:rsidR="00395E28" w:rsidRDefault="00395E28" w:rsidP="005E27C3">
            <w:r>
              <w:t>36.1x, 36.2, 36.31, 36.32, 36.9x</w:t>
            </w:r>
          </w:p>
        </w:tc>
      </w:tr>
      <w:tr w:rsidR="00395E28" w14:paraId="10837704" w14:textId="77777777" w:rsidTr="005E27C3">
        <w:tc>
          <w:tcPr>
            <w:tcW w:w="4508" w:type="dxa"/>
            <w:tcBorders>
              <w:top w:val="single" w:sz="4" w:space="0" w:color="auto"/>
              <w:left w:val="single" w:sz="4" w:space="0" w:color="auto"/>
              <w:bottom w:val="single" w:sz="4" w:space="0" w:color="auto"/>
              <w:right w:val="single" w:sz="4" w:space="0" w:color="auto"/>
            </w:tcBorders>
            <w:hideMark/>
          </w:tcPr>
          <w:p w14:paraId="673D6DDE" w14:textId="77777777" w:rsidR="00395E28" w:rsidRDefault="00395E28" w:rsidP="005E27C3">
            <w:pPr>
              <w:rPr>
                <w:rFonts w:ascii="Calibri" w:eastAsia="Times New Roman" w:hAnsi="Calibri" w:cs="Times New Roman"/>
                <w:b/>
                <w:color w:val="000000"/>
                <w:lang w:eastAsia="en-GB"/>
              </w:rPr>
            </w:pPr>
            <w:r>
              <w:rPr>
                <w:rFonts w:ascii="Calibri" w:eastAsia="Times New Roman" w:hAnsi="Calibri" w:cs="Times New Roman"/>
                <w:b/>
                <w:color w:val="000000"/>
                <w:lang w:eastAsia="en-GB"/>
              </w:rPr>
              <w:t>Post-op stroke/TIA</w:t>
            </w:r>
          </w:p>
        </w:tc>
        <w:tc>
          <w:tcPr>
            <w:tcW w:w="4508" w:type="dxa"/>
            <w:tcBorders>
              <w:top w:val="single" w:sz="4" w:space="0" w:color="auto"/>
              <w:left w:val="single" w:sz="4" w:space="0" w:color="auto"/>
              <w:bottom w:val="single" w:sz="4" w:space="0" w:color="auto"/>
              <w:right w:val="single" w:sz="4" w:space="0" w:color="auto"/>
            </w:tcBorders>
            <w:hideMark/>
          </w:tcPr>
          <w:p w14:paraId="3AACC161" w14:textId="77777777" w:rsidR="00395E28" w:rsidRDefault="00395E28" w:rsidP="005E27C3">
            <w:r>
              <w:t>997.00-997.03, 435.9, 438.0, 4381.1, 4381.2, 4381.9, 4382.0, 4382.1, 4381.2, 4384.0, 4384.1 4384.2, 4385.0, 4385.1, 4385.2, 4385.3, 4388.1, 4388.2, 4388.9, 438.9</w:t>
            </w:r>
          </w:p>
        </w:tc>
      </w:tr>
    </w:tbl>
    <w:p w14:paraId="1E798097" w14:textId="77777777" w:rsidR="00395E28" w:rsidRDefault="00395E28" w:rsidP="00395E28">
      <w:pPr>
        <w:jc w:val="center"/>
      </w:pPr>
    </w:p>
    <w:p w14:paraId="3646D3CF" w14:textId="77777777" w:rsidR="00395E28" w:rsidRDefault="00395E28" w:rsidP="00395E28"/>
    <w:p w14:paraId="56387374" w14:textId="77777777" w:rsidR="00395E28" w:rsidRDefault="00395E28" w:rsidP="00395E28">
      <w:pPr>
        <w:rPr>
          <w:b/>
        </w:rPr>
      </w:pPr>
      <w:r>
        <w:rPr>
          <w:b/>
        </w:rPr>
        <w:br w:type="page"/>
      </w:r>
    </w:p>
    <w:p w14:paraId="4EB21F60" w14:textId="77777777" w:rsidR="00395E28" w:rsidRDefault="00395E28" w:rsidP="00395E28">
      <w:r w:rsidRPr="000A4C32">
        <w:rPr>
          <w:b/>
        </w:rPr>
        <w:lastRenderedPageBreak/>
        <w:t>Supplementary Figure 1:</w:t>
      </w:r>
      <w:r>
        <w:t xml:space="preserve"> Number of PCI procedures performed in each of the study years from 2004 – 2014</w:t>
      </w:r>
    </w:p>
    <w:p w14:paraId="226A97D8" w14:textId="77777777" w:rsidR="00395E28" w:rsidRDefault="00395E28" w:rsidP="00395E28">
      <w:r>
        <w:rPr>
          <w:noProof/>
          <w:lang w:eastAsia="en-GB"/>
        </w:rPr>
        <w:drawing>
          <wp:inline distT="0" distB="0" distL="0" distR="0" wp14:anchorId="4D637EFD" wp14:editId="7D0B8EFE">
            <wp:extent cx="5731510" cy="3479320"/>
            <wp:effectExtent l="0" t="0" r="254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4FF782" w14:textId="77777777" w:rsidR="00395E28" w:rsidRDefault="00395E28" w:rsidP="00395E28"/>
    <w:p w14:paraId="0CD71F5B" w14:textId="77777777" w:rsidR="00395E28" w:rsidRDefault="00395E28" w:rsidP="00395E28">
      <w:r>
        <w:br w:type="page"/>
      </w:r>
    </w:p>
    <w:p w14:paraId="33DA938B" w14:textId="77777777" w:rsidR="00395E28" w:rsidRDefault="00395E28" w:rsidP="00395E28">
      <w:pPr>
        <w:rPr>
          <w:bCs/>
          <w:lang w:val="en-US"/>
        </w:rPr>
      </w:pPr>
      <w:r w:rsidRPr="000A4C32">
        <w:rPr>
          <w:b/>
        </w:rPr>
        <w:lastRenderedPageBreak/>
        <w:t>Supplemental Figure 2:</w:t>
      </w:r>
      <w:r w:rsidRPr="00866F95">
        <w:t xml:space="preserve"> </w:t>
      </w:r>
      <w:r w:rsidRPr="00866F95">
        <w:rPr>
          <w:bCs/>
          <w:lang w:val="en-US"/>
        </w:rPr>
        <w:t>Number of PCI discharges with each score of the Charlson Comorbidity index</w:t>
      </w:r>
    </w:p>
    <w:p w14:paraId="635AF8C9" w14:textId="77777777" w:rsidR="00395E28" w:rsidRDefault="00395E28" w:rsidP="00395E28">
      <w:r>
        <w:rPr>
          <w:noProof/>
          <w:lang w:eastAsia="en-GB"/>
        </w:rPr>
        <w:drawing>
          <wp:inline distT="0" distB="0" distL="0" distR="0" wp14:anchorId="3F79935F" wp14:editId="361768F9">
            <wp:extent cx="5943600" cy="33528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072730" w14:textId="77777777" w:rsidR="00395E28" w:rsidRDefault="00395E28" w:rsidP="00395E28"/>
    <w:p w14:paraId="1177330F" w14:textId="77777777" w:rsidR="00395E28" w:rsidRDefault="00395E28" w:rsidP="00395E28">
      <w:r>
        <w:br w:type="page"/>
      </w:r>
    </w:p>
    <w:p w14:paraId="24EE7907" w14:textId="77777777" w:rsidR="00395E28" w:rsidRPr="00953440" w:rsidRDefault="00395E28" w:rsidP="00395E28">
      <w:r w:rsidRPr="000A4C32">
        <w:rPr>
          <w:b/>
        </w:rPr>
        <w:lastRenderedPageBreak/>
        <w:t>Supplementary Figure 3:</w:t>
      </w:r>
      <w:r w:rsidRPr="00953440">
        <w:t xml:space="preserve"> </w:t>
      </w:r>
      <w:r w:rsidRPr="00953440">
        <w:rPr>
          <w:bCs/>
          <w:lang w:val="en-US"/>
        </w:rPr>
        <w:t>Average length of stay each year stratified by Charlson comorbidity index</w:t>
      </w:r>
    </w:p>
    <w:p w14:paraId="6BA5CC52" w14:textId="77777777" w:rsidR="00395E28" w:rsidRDefault="00395E28" w:rsidP="00395E28">
      <w:pPr>
        <w:jc w:val="center"/>
      </w:pPr>
      <w:r>
        <w:rPr>
          <w:noProof/>
          <w:lang w:eastAsia="en-GB"/>
        </w:rPr>
        <w:drawing>
          <wp:inline distT="0" distB="0" distL="0" distR="0" wp14:anchorId="3B22DA8B" wp14:editId="4326E847">
            <wp:extent cx="45720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9C4A44" w14:textId="77777777" w:rsidR="00395E28" w:rsidRDefault="00395E28" w:rsidP="00395E28"/>
    <w:p w14:paraId="50DA02DF" w14:textId="77777777" w:rsidR="00395E28" w:rsidRDefault="00395E28" w:rsidP="00395E28"/>
    <w:p w14:paraId="56ACFBA1" w14:textId="77777777" w:rsidR="00395E28" w:rsidRDefault="00395E28" w:rsidP="00395E28"/>
    <w:p w14:paraId="453E286E" w14:textId="77777777" w:rsidR="00395E28" w:rsidRDefault="00395E28" w:rsidP="00395E28"/>
    <w:p w14:paraId="7CA1CEBC" w14:textId="77777777" w:rsidR="00395E28" w:rsidRDefault="00395E28" w:rsidP="00395E28"/>
    <w:p w14:paraId="66850D23" w14:textId="77777777" w:rsidR="00395E28" w:rsidRDefault="00395E28" w:rsidP="00395E28"/>
    <w:p w14:paraId="1955E7E3" w14:textId="77777777" w:rsidR="00395E28" w:rsidRDefault="00395E28" w:rsidP="00395E28"/>
    <w:p w14:paraId="0FAD9FB9" w14:textId="77777777" w:rsidR="00395E28" w:rsidRDefault="00395E28" w:rsidP="00395E28"/>
    <w:p w14:paraId="12D52EC9" w14:textId="77777777" w:rsidR="00395E28" w:rsidRDefault="00395E28" w:rsidP="00395E28"/>
    <w:p w14:paraId="17709FCD" w14:textId="77777777" w:rsidR="00395E28" w:rsidRDefault="00395E28" w:rsidP="00395E28">
      <w:pPr>
        <w:rPr>
          <w:b/>
        </w:rPr>
      </w:pPr>
      <w:r>
        <w:rPr>
          <w:b/>
        </w:rPr>
        <w:br w:type="page"/>
      </w:r>
    </w:p>
    <w:p w14:paraId="56AF3996" w14:textId="77777777" w:rsidR="00395E28" w:rsidRPr="00F243A3" w:rsidRDefault="00395E28" w:rsidP="00395E28">
      <w:r w:rsidRPr="000A4C32">
        <w:rPr>
          <w:b/>
        </w:rPr>
        <w:lastRenderedPageBreak/>
        <w:t>Supplementary Figure 4:</w:t>
      </w:r>
      <w:r w:rsidRPr="00F243A3">
        <w:t xml:space="preserve"> </w:t>
      </w:r>
      <w:r w:rsidRPr="00F243A3">
        <w:rPr>
          <w:bCs/>
        </w:rPr>
        <w:t>Average cost of stay each year stratified by Charlson comorbidity index</w:t>
      </w:r>
    </w:p>
    <w:p w14:paraId="1B411F96" w14:textId="77777777" w:rsidR="00395E28" w:rsidRDefault="00395E28" w:rsidP="00395E28">
      <w:pPr>
        <w:jc w:val="center"/>
      </w:pPr>
      <w:r>
        <w:rPr>
          <w:noProof/>
          <w:lang w:eastAsia="en-GB"/>
        </w:rPr>
        <w:drawing>
          <wp:inline distT="0" distB="0" distL="0" distR="0" wp14:anchorId="46A9C735" wp14:editId="7A4C06CE">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658D24" w14:textId="77777777" w:rsidR="00395E28" w:rsidRDefault="00395E28" w:rsidP="00395E28">
      <w:pPr>
        <w:jc w:val="center"/>
      </w:pPr>
    </w:p>
    <w:p w14:paraId="4EE47B23" w14:textId="77777777" w:rsidR="00395E28" w:rsidRDefault="00395E28" w:rsidP="00395E28">
      <w:r>
        <w:br w:type="page"/>
      </w:r>
    </w:p>
    <w:p w14:paraId="2E54DE7C" w14:textId="77777777" w:rsidR="00395E28" w:rsidRDefault="00395E28" w:rsidP="00395E28">
      <w:pPr>
        <w:jc w:val="both"/>
      </w:pPr>
      <w:r w:rsidRPr="000A4C32">
        <w:rPr>
          <w:b/>
        </w:rPr>
        <w:lastRenderedPageBreak/>
        <w:t>Supplementary Table 3:</w:t>
      </w:r>
      <w:r>
        <w:t xml:space="preserve"> Impact of a 1-unit unit increase of CCI </w:t>
      </w:r>
      <w:r w:rsidRPr="004E70EF">
        <w:rPr>
          <w:color w:val="000000" w:themeColor="text1"/>
        </w:rPr>
        <w:t xml:space="preserve">score on the odds of </w:t>
      </w:r>
      <w:r>
        <w:t>mortality and other complications after adjustment*.</w:t>
      </w:r>
    </w:p>
    <w:tbl>
      <w:tblPr>
        <w:tblStyle w:val="TableGrid"/>
        <w:tblW w:w="0" w:type="auto"/>
        <w:jc w:val="center"/>
        <w:tblLook w:val="04A0" w:firstRow="1" w:lastRow="0" w:firstColumn="1" w:lastColumn="0" w:noHBand="0" w:noVBand="1"/>
      </w:tblPr>
      <w:tblGrid>
        <w:gridCol w:w="2196"/>
        <w:gridCol w:w="3388"/>
      </w:tblGrid>
      <w:tr w:rsidR="00395E28" w:rsidRPr="00BD063E" w14:paraId="0CFDEF6C" w14:textId="77777777" w:rsidTr="005E27C3">
        <w:trPr>
          <w:trHeight w:val="300"/>
          <w:jc w:val="center"/>
        </w:trPr>
        <w:tc>
          <w:tcPr>
            <w:tcW w:w="0" w:type="auto"/>
            <w:noWrap/>
            <w:hideMark/>
          </w:tcPr>
          <w:p w14:paraId="08E7FCB0" w14:textId="77777777" w:rsidR="00395E28" w:rsidRPr="00FD5D1D" w:rsidRDefault="00395E28" w:rsidP="005E27C3"/>
        </w:tc>
        <w:tc>
          <w:tcPr>
            <w:tcW w:w="0" w:type="auto"/>
            <w:noWrap/>
            <w:hideMark/>
          </w:tcPr>
          <w:p w14:paraId="46D5A3E9" w14:textId="77777777" w:rsidR="00395E28" w:rsidRPr="00BD063E" w:rsidRDefault="00395E28" w:rsidP="005E27C3">
            <w:pPr>
              <w:jc w:val="center"/>
            </w:pPr>
            <w:r>
              <w:t>Increase of 1 CCI score, OR (95% CI)</w:t>
            </w:r>
          </w:p>
        </w:tc>
      </w:tr>
      <w:tr w:rsidR="00395E28" w:rsidRPr="00BD063E" w14:paraId="07D19461" w14:textId="77777777" w:rsidTr="005E27C3">
        <w:trPr>
          <w:trHeight w:val="300"/>
          <w:jc w:val="center"/>
        </w:trPr>
        <w:tc>
          <w:tcPr>
            <w:tcW w:w="0" w:type="auto"/>
            <w:noWrap/>
            <w:hideMark/>
          </w:tcPr>
          <w:p w14:paraId="04D6CA8B" w14:textId="77777777" w:rsidR="00395E28" w:rsidRPr="00BD063E" w:rsidRDefault="00395E28" w:rsidP="005E27C3">
            <w:r w:rsidRPr="00BD063E">
              <w:t>In hospital mortality</w:t>
            </w:r>
          </w:p>
        </w:tc>
        <w:tc>
          <w:tcPr>
            <w:tcW w:w="0" w:type="auto"/>
            <w:noWrap/>
          </w:tcPr>
          <w:p w14:paraId="3F24F4D6" w14:textId="77777777" w:rsidR="00395E28" w:rsidRPr="00BD063E" w:rsidRDefault="00395E28" w:rsidP="005E27C3">
            <w:pPr>
              <w:jc w:val="center"/>
            </w:pPr>
            <w:r>
              <w:rPr>
                <w:rFonts w:ascii="Calibri" w:hAnsi="Calibri"/>
                <w:color w:val="000000"/>
              </w:rPr>
              <w:t>1.18 (1.17, 1.19)</w:t>
            </w:r>
          </w:p>
        </w:tc>
      </w:tr>
      <w:tr w:rsidR="00395E28" w:rsidRPr="00BD063E" w14:paraId="5C547E7C" w14:textId="77777777" w:rsidTr="005E27C3">
        <w:trPr>
          <w:trHeight w:val="300"/>
          <w:jc w:val="center"/>
        </w:trPr>
        <w:tc>
          <w:tcPr>
            <w:tcW w:w="0" w:type="auto"/>
            <w:noWrap/>
            <w:hideMark/>
          </w:tcPr>
          <w:p w14:paraId="0E361087" w14:textId="77777777" w:rsidR="00395E28" w:rsidRPr="00BD063E" w:rsidRDefault="00395E28" w:rsidP="005E27C3">
            <w:r w:rsidRPr="00BD063E">
              <w:t>Any complication</w:t>
            </w:r>
          </w:p>
        </w:tc>
        <w:tc>
          <w:tcPr>
            <w:tcW w:w="0" w:type="auto"/>
            <w:noWrap/>
          </w:tcPr>
          <w:p w14:paraId="4B24C2DD" w14:textId="77777777" w:rsidR="00395E28" w:rsidRPr="00BD063E" w:rsidRDefault="00395E28" w:rsidP="005E27C3">
            <w:pPr>
              <w:jc w:val="center"/>
            </w:pPr>
            <w:r>
              <w:rPr>
                <w:rFonts w:ascii="Calibri" w:hAnsi="Calibri"/>
                <w:color w:val="000000"/>
              </w:rPr>
              <w:t>1.21 (1.20, 1.22)</w:t>
            </w:r>
          </w:p>
        </w:tc>
      </w:tr>
      <w:tr w:rsidR="00395E28" w:rsidRPr="00BD063E" w14:paraId="4D8C27AE" w14:textId="77777777" w:rsidTr="005E27C3">
        <w:trPr>
          <w:trHeight w:val="300"/>
          <w:jc w:val="center"/>
        </w:trPr>
        <w:tc>
          <w:tcPr>
            <w:tcW w:w="0" w:type="auto"/>
            <w:noWrap/>
            <w:hideMark/>
          </w:tcPr>
          <w:p w14:paraId="308551F6" w14:textId="77777777" w:rsidR="00395E28" w:rsidRPr="00BD063E" w:rsidRDefault="00395E28" w:rsidP="005E27C3">
            <w:r w:rsidRPr="00BD063E">
              <w:t>Bleeding complication</w:t>
            </w:r>
          </w:p>
        </w:tc>
        <w:tc>
          <w:tcPr>
            <w:tcW w:w="0" w:type="auto"/>
            <w:noWrap/>
          </w:tcPr>
          <w:p w14:paraId="05A607F6" w14:textId="77777777" w:rsidR="00395E28" w:rsidRPr="00BD063E" w:rsidRDefault="00395E28" w:rsidP="005E27C3">
            <w:pPr>
              <w:jc w:val="center"/>
            </w:pPr>
            <w:r>
              <w:rPr>
                <w:rFonts w:ascii="Calibri" w:hAnsi="Calibri"/>
                <w:color w:val="000000"/>
              </w:rPr>
              <w:t>1.37 (1.36, 1.38)</w:t>
            </w:r>
          </w:p>
        </w:tc>
      </w:tr>
      <w:tr w:rsidR="00395E28" w:rsidRPr="00BD063E" w14:paraId="6BCC06DB" w14:textId="77777777" w:rsidTr="005E27C3">
        <w:trPr>
          <w:trHeight w:val="300"/>
          <w:jc w:val="center"/>
        </w:trPr>
        <w:tc>
          <w:tcPr>
            <w:tcW w:w="0" w:type="auto"/>
            <w:noWrap/>
            <w:hideMark/>
          </w:tcPr>
          <w:p w14:paraId="14DB2AB6" w14:textId="77777777" w:rsidR="00395E28" w:rsidRPr="00BD063E" w:rsidRDefault="00395E28" w:rsidP="005E27C3">
            <w:r w:rsidRPr="00BD063E">
              <w:t>Vascular complication</w:t>
            </w:r>
          </w:p>
        </w:tc>
        <w:tc>
          <w:tcPr>
            <w:tcW w:w="0" w:type="auto"/>
            <w:noWrap/>
          </w:tcPr>
          <w:p w14:paraId="37023C31" w14:textId="77777777" w:rsidR="00395E28" w:rsidRPr="00BD063E" w:rsidRDefault="00395E28" w:rsidP="005E27C3">
            <w:pPr>
              <w:jc w:val="center"/>
            </w:pPr>
            <w:r>
              <w:rPr>
                <w:rFonts w:ascii="Calibri" w:hAnsi="Calibri"/>
                <w:color w:val="000000"/>
              </w:rPr>
              <w:t>1.03 (1.02, 1.05)</w:t>
            </w:r>
          </w:p>
        </w:tc>
      </w:tr>
      <w:tr w:rsidR="00395E28" w:rsidRPr="00BD063E" w14:paraId="232AB89E" w14:textId="77777777" w:rsidTr="005E27C3">
        <w:trPr>
          <w:trHeight w:val="300"/>
          <w:jc w:val="center"/>
        </w:trPr>
        <w:tc>
          <w:tcPr>
            <w:tcW w:w="0" w:type="auto"/>
            <w:noWrap/>
            <w:hideMark/>
          </w:tcPr>
          <w:p w14:paraId="0D2FDE59" w14:textId="77777777" w:rsidR="00395E28" w:rsidRPr="00BD063E" w:rsidRDefault="00395E28" w:rsidP="005E27C3">
            <w:r w:rsidRPr="00BD063E">
              <w:t>Cardiac complication</w:t>
            </w:r>
          </w:p>
        </w:tc>
        <w:tc>
          <w:tcPr>
            <w:tcW w:w="0" w:type="auto"/>
            <w:noWrap/>
          </w:tcPr>
          <w:p w14:paraId="0071A745" w14:textId="77777777" w:rsidR="00395E28" w:rsidRPr="00BD063E" w:rsidRDefault="00395E28" w:rsidP="005E27C3">
            <w:pPr>
              <w:jc w:val="center"/>
            </w:pPr>
            <w:r>
              <w:rPr>
                <w:rFonts w:ascii="Calibri" w:hAnsi="Calibri"/>
                <w:color w:val="000000"/>
              </w:rPr>
              <w:t>1.00 (0.99, 1.02)</w:t>
            </w:r>
          </w:p>
        </w:tc>
      </w:tr>
      <w:tr w:rsidR="00395E28" w:rsidRPr="00BD063E" w14:paraId="125A73BE" w14:textId="77777777" w:rsidTr="005E27C3">
        <w:trPr>
          <w:trHeight w:val="300"/>
          <w:jc w:val="center"/>
        </w:trPr>
        <w:tc>
          <w:tcPr>
            <w:tcW w:w="0" w:type="auto"/>
            <w:noWrap/>
            <w:hideMark/>
          </w:tcPr>
          <w:p w14:paraId="38F941DE" w14:textId="77777777" w:rsidR="00395E28" w:rsidRPr="00BD063E" w:rsidRDefault="00395E28" w:rsidP="005E27C3">
            <w:r w:rsidRPr="00BD063E">
              <w:t>Stroke</w:t>
            </w:r>
          </w:p>
        </w:tc>
        <w:tc>
          <w:tcPr>
            <w:tcW w:w="0" w:type="auto"/>
            <w:noWrap/>
          </w:tcPr>
          <w:p w14:paraId="4D60B707" w14:textId="77777777" w:rsidR="00395E28" w:rsidRPr="00BD063E" w:rsidRDefault="00395E28" w:rsidP="005E27C3">
            <w:pPr>
              <w:jc w:val="center"/>
            </w:pPr>
            <w:r>
              <w:rPr>
                <w:rFonts w:ascii="Calibri" w:hAnsi="Calibri"/>
                <w:color w:val="000000"/>
              </w:rPr>
              <w:t>1.22 (1.21, 1.23)</w:t>
            </w:r>
          </w:p>
        </w:tc>
      </w:tr>
    </w:tbl>
    <w:p w14:paraId="3316FE97" w14:textId="77777777" w:rsidR="00395E28" w:rsidRDefault="00395E28" w:rsidP="00395E28">
      <w:r>
        <w:t>*A</w:t>
      </w:r>
      <w:r w:rsidRPr="00C958A8">
        <w:t xml:space="preserve">djustment for </w:t>
      </w:r>
      <w:r w:rsidRPr="00C958A8">
        <w:rPr>
          <w:rFonts w:cs="Times New Roman"/>
        </w:rPr>
        <w:t>age, gender, ethnicity, median income, elective admission,</w:t>
      </w:r>
      <w:r>
        <w:rPr>
          <w:rFonts w:cs="Times New Roman"/>
        </w:rPr>
        <w:t xml:space="preserve"> day of admission (weekend/weekday)</w:t>
      </w:r>
      <w:r w:rsidRPr="00C958A8">
        <w:rPr>
          <w:rFonts w:cs="Times New Roman"/>
        </w:rPr>
        <w:t xml:space="preserve"> primary diagnosis of MI, diagnosis of shock, </w:t>
      </w:r>
      <w:r>
        <w:rPr>
          <w:rFonts w:cs="Times New Roman"/>
        </w:rPr>
        <w:t>hypertension, or h</w:t>
      </w:r>
      <w:r>
        <w:t>ypercholesterolemia</w:t>
      </w:r>
      <w:r>
        <w:rPr>
          <w:rFonts w:cs="Times New Roman"/>
        </w:rPr>
        <w:t xml:space="preserve">, if the patient smokes, </w:t>
      </w:r>
      <w:r w:rsidRPr="00C958A8">
        <w:rPr>
          <w:rFonts w:cs="Times New Roman"/>
        </w:rPr>
        <w:t xml:space="preserve">use of an assist device or IABP, use of a bare metal </w:t>
      </w:r>
      <w:r>
        <w:rPr>
          <w:rFonts w:cs="Times New Roman"/>
        </w:rPr>
        <w:t xml:space="preserve">or drug eluting </w:t>
      </w:r>
      <w:r w:rsidRPr="00C958A8">
        <w:rPr>
          <w:rFonts w:cs="Times New Roman"/>
        </w:rPr>
        <w:t xml:space="preserve">stent, </w:t>
      </w:r>
      <w:r>
        <w:rPr>
          <w:rFonts w:cs="Times New Roman"/>
        </w:rPr>
        <w:t xml:space="preserve">bifurcation stenting, fractional flow reserve, single or </w:t>
      </w:r>
      <w:r w:rsidRPr="00C958A8">
        <w:rPr>
          <w:rFonts w:cs="Times New Roman"/>
        </w:rPr>
        <w:t>multi-vessel PCI and year of hospitalisation</w:t>
      </w:r>
    </w:p>
    <w:p w14:paraId="1431B409" w14:textId="77777777" w:rsidR="00395E28" w:rsidRDefault="00395E28" w:rsidP="00395E28">
      <w:pPr>
        <w:jc w:val="center"/>
      </w:pPr>
    </w:p>
    <w:p w14:paraId="51D47431" w14:textId="77777777" w:rsidR="00395E28" w:rsidRDefault="00395E28" w:rsidP="00395E28">
      <w:pPr>
        <w:jc w:val="both"/>
      </w:pPr>
    </w:p>
    <w:p w14:paraId="5E7A5B1C" w14:textId="77777777" w:rsidR="00395E28" w:rsidRDefault="00395E28" w:rsidP="00395E28">
      <w:pPr>
        <w:jc w:val="both"/>
      </w:pPr>
    </w:p>
    <w:p w14:paraId="17061CD0" w14:textId="77777777" w:rsidR="00395E28" w:rsidRDefault="00395E28" w:rsidP="00395E28">
      <w:pPr>
        <w:jc w:val="both"/>
      </w:pPr>
    </w:p>
    <w:p w14:paraId="608C10A8" w14:textId="77777777" w:rsidR="00395E28" w:rsidRDefault="00395E28" w:rsidP="00395E28">
      <w:pPr>
        <w:jc w:val="both"/>
      </w:pPr>
    </w:p>
    <w:p w14:paraId="7867E69A" w14:textId="77777777" w:rsidR="00395E28" w:rsidRDefault="00395E28" w:rsidP="00395E28">
      <w:pPr>
        <w:jc w:val="both"/>
      </w:pPr>
    </w:p>
    <w:p w14:paraId="45069F86" w14:textId="77777777" w:rsidR="00395E28" w:rsidRDefault="00395E28" w:rsidP="00395E28">
      <w:pPr>
        <w:jc w:val="both"/>
      </w:pPr>
    </w:p>
    <w:p w14:paraId="2A22C201" w14:textId="77777777" w:rsidR="00395E28" w:rsidRDefault="00395E28" w:rsidP="00395E28">
      <w:pPr>
        <w:jc w:val="both"/>
      </w:pPr>
    </w:p>
    <w:p w14:paraId="1279708A" w14:textId="77777777" w:rsidR="00395E28" w:rsidRDefault="00395E28" w:rsidP="00395E28">
      <w:pPr>
        <w:jc w:val="both"/>
      </w:pPr>
    </w:p>
    <w:p w14:paraId="57DF1F3F" w14:textId="77777777" w:rsidR="00395E28" w:rsidRDefault="00395E28" w:rsidP="00395E28">
      <w:pPr>
        <w:jc w:val="both"/>
      </w:pPr>
    </w:p>
    <w:p w14:paraId="25BE87CF" w14:textId="77777777" w:rsidR="00395E28" w:rsidRDefault="00395E28" w:rsidP="00395E28">
      <w:pPr>
        <w:jc w:val="both"/>
      </w:pPr>
    </w:p>
    <w:p w14:paraId="196CD476" w14:textId="77777777" w:rsidR="00395E28" w:rsidRDefault="00395E28" w:rsidP="00395E28">
      <w:pPr>
        <w:jc w:val="both"/>
      </w:pPr>
    </w:p>
    <w:p w14:paraId="7F1F788C" w14:textId="77777777" w:rsidR="00395E28" w:rsidRDefault="00395E28" w:rsidP="00395E28">
      <w:pPr>
        <w:rPr>
          <w:b/>
        </w:rPr>
      </w:pPr>
      <w:r>
        <w:rPr>
          <w:b/>
        </w:rPr>
        <w:br w:type="page"/>
      </w:r>
    </w:p>
    <w:p w14:paraId="75609036" w14:textId="77777777" w:rsidR="00395E28" w:rsidRDefault="00395E28" w:rsidP="00395E28">
      <w:pPr>
        <w:jc w:val="both"/>
        <w:rPr>
          <w:rFonts w:ascii="Calibri" w:hAnsi="Calibri"/>
          <w:color w:val="000000"/>
          <w:shd w:val="clear" w:color="auto" w:fill="FFFFFF"/>
        </w:rPr>
      </w:pPr>
      <w:r>
        <w:rPr>
          <w:b/>
        </w:rPr>
        <w:lastRenderedPageBreak/>
        <w:t>Supplementary T</w:t>
      </w:r>
      <w:r w:rsidRPr="000A4C32">
        <w:rPr>
          <w:b/>
        </w:rPr>
        <w:t>able 4:</w:t>
      </w:r>
      <w:r>
        <w:t xml:space="preserve"> </w:t>
      </w:r>
      <w:r>
        <w:rPr>
          <w:rFonts w:ascii="Calibri" w:hAnsi="Calibri"/>
          <w:color w:val="000000"/>
          <w:shd w:val="clear" w:color="auto" w:fill="FFFFFF"/>
        </w:rPr>
        <w:t>Association (OR, 95% CI) between individual Charlson components and clinical outcomes, after adjustment* for each other and other covariates included in multivariate analysis</w:t>
      </w:r>
    </w:p>
    <w:tbl>
      <w:tblPr>
        <w:tblStyle w:val="TableGrid"/>
        <w:tblW w:w="5000" w:type="pct"/>
        <w:jc w:val="center"/>
        <w:tblLayout w:type="fixed"/>
        <w:tblLook w:val="04A0" w:firstRow="1" w:lastRow="0" w:firstColumn="1" w:lastColumn="0" w:noHBand="0" w:noVBand="1"/>
      </w:tblPr>
      <w:tblGrid>
        <w:gridCol w:w="1648"/>
        <w:gridCol w:w="1159"/>
        <w:gridCol w:w="1223"/>
        <w:gridCol w:w="1100"/>
        <w:gridCol w:w="1302"/>
        <w:gridCol w:w="1316"/>
        <w:gridCol w:w="1268"/>
      </w:tblGrid>
      <w:tr w:rsidR="00395E28" w:rsidRPr="00EC2BE6" w14:paraId="78136272" w14:textId="77777777" w:rsidTr="005E27C3">
        <w:trPr>
          <w:trHeight w:val="315"/>
          <w:jc w:val="center"/>
        </w:trPr>
        <w:tc>
          <w:tcPr>
            <w:tcW w:w="914" w:type="pct"/>
            <w:noWrap/>
            <w:hideMark/>
          </w:tcPr>
          <w:p w14:paraId="1489637A" w14:textId="77777777" w:rsidR="00395E28" w:rsidRPr="00EC2BE6" w:rsidRDefault="00395E28" w:rsidP="005E27C3">
            <w:pPr>
              <w:jc w:val="center"/>
              <w:rPr>
                <w:rFonts w:ascii="Calibri" w:eastAsia="Times New Roman" w:hAnsi="Calibri" w:cs="Times New Roman"/>
                <w:color w:val="000000"/>
                <w:lang w:eastAsia="en-GB"/>
              </w:rPr>
            </w:pPr>
          </w:p>
        </w:tc>
        <w:tc>
          <w:tcPr>
            <w:tcW w:w="643" w:type="pct"/>
            <w:noWrap/>
            <w:hideMark/>
          </w:tcPr>
          <w:p w14:paraId="75B9FC89"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Mortality</w:t>
            </w:r>
          </w:p>
        </w:tc>
        <w:tc>
          <w:tcPr>
            <w:tcW w:w="678" w:type="pct"/>
            <w:noWrap/>
            <w:hideMark/>
          </w:tcPr>
          <w:p w14:paraId="7B19FCF7"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Any complication</w:t>
            </w:r>
          </w:p>
        </w:tc>
        <w:tc>
          <w:tcPr>
            <w:tcW w:w="610" w:type="pct"/>
            <w:noWrap/>
            <w:hideMark/>
          </w:tcPr>
          <w:p w14:paraId="2F0A90D5"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Bleeding</w:t>
            </w:r>
          </w:p>
        </w:tc>
        <w:tc>
          <w:tcPr>
            <w:tcW w:w="722" w:type="pct"/>
            <w:noWrap/>
            <w:hideMark/>
          </w:tcPr>
          <w:p w14:paraId="43631405"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Vascular complication</w:t>
            </w:r>
          </w:p>
        </w:tc>
        <w:tc>
          <w:tcPr>
            <w:tcW w:w="730" w:type="pct"/>
            <w:noWrap/>
            <w:hideMark/>
          </w:tcPr>
          <w:p w14:paraId="4B03D916"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Cardiac complication</w:t>
            </w:r>
          </w:p>
        </w:tc>
        <w:tc>
          <w:tcPr>
            <w:tcW w:w="703" w:type="pct"/>
            <w:noWrap/>
            <w:hideMark/>
          </w:tcPr>
          <w:p w14:paraId="6DABEF97"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Post -op Stroke/TIA</w:t>
            </w:r>
          </w:p>
        </w:tc>
      </w:tr>
      <w:tr w:rsidR="00395E28" w:rsidRPr="00EC2BE6" w14:paraId="68684ED3" w14:textId="77777777" w:rsidTr="005E27C3">
        <w:trPr>
          <w:trHeight w:val="315"/>
          <w:jc w:val="center"/>
        </w:trPr>
        <w:tc>
          <w:tcPr>
            <w:tcW w:w="914" w:type="pct"/>
            <w:noWrap/>
            <w:hideMark/>
          </w:tcPr>
          <w:p w14:paraId="1AB4B384"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Myocardial infarction</w:t>
            </w:r>
          </w:p>
        </w:tc>
        <w:tc>
          <w:tcPr>
            <w:tcW w:w="643" w:type="pct"/>
            <w:noWrap/>
          </w:tcPr>
          <w:p w14:paraId="21578B6C"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0.78</w:t>
            </w:r>
          </w:p>
          <w:p w14:paraId="368C781D"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(0.74, 0.82)</w:t>
            </w:r>
          </w:p>
        </w:tc>
        <w:tc>
          <w:tcPr>
            <w:tcW w:w="678" w:type="pct"/>
            <w:noWrap/>
          </w:tcPr>
          <w:p w14:paraId="45E8CE1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0.95</w:t>
            </w:r>
          </w:p>
          <w:p w14:paraId="0F38501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(0.93, 0.98)</w:t>
            </w:r>
          </w:p>
        </w:tc>
        <w:tc>
          <w:tcPr>
            <w:tcW w:w="610" w:type="pct"/>
            <w:noWrap/>
          </w:tcPr>
          <w:p w14:paraId="7E6500C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0.96</w:t>
            </w:r>
          </w:p>
          <w:p w14:paraId="03DBD99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(0.92, 0.99)</w:t>
            </w:r>
          </w:p>
        </w:tc>
        <w:tc>
          <w:tcPr>
            <w:tcW w:w="722" w:type="pct"/>
            <w:noWrap/>
          </w:tcPr>
          <w:p w14:paraId="243837AD"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0.84</w:t>
            </w:r>
          </w:p>
          <w:p w14:paraId="1BBCA0F2"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(0.78, 0.89)</w:t>
            </w:r>
          </w:p>
        </w:tc>
        <w:tc>
          <w:tcPr>
            <w:tcW w:w="730" w:type="pct"/>
            <w:noWrap/>
          </w:tcPr>
          <w:p w14:paraId="2E77272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0.82</w:t>
            </w:r>
          </w:p>
          <w:p w14:paraId="2C24CDD8"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(0.79, 0.86)</w:t>
            </w:r>
          </w:p>
        </w:tc>
        <w:tc>
          <w:tcPr>
            <w:tcW w:w="703" w:type="pct"/>
            <w:noWrap/>
          </w:tcPr>
          <w:p w14:paraId="1AF99B6E"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1.03</w:t>
            </w:r>
          </w:p>
          <w:p w14:paraId="74CC9B22"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(1.00, 1.07)</w:t>
            </w:r>
          </w:p>
        </w:tc>
      </w:tr>
      <w:tr w:rsidR="00395E28" w:rsidRPr="00EC2BE6" w14:paraId="222972D4" w14:textId="77777777" w:rsidTr="005E27C3">
        <w:trPr>
          <w:trHeight w:val="315"/>
          <w:jc w:val="center"/>
        </w:trPr>
        <w:tc>
          <w:tcPr>
            <w:tcW w:w="914" w:type="pct"/>
            <w:noWrap/>
            <w:hideMark/>
          </w:tcPr>
          <w:p w14:paraId="04A4EF04"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Heart failure</w:t>
            </w:r>
          </w:p>
        </w:tc>
        <w:tc>
          <w:tcPr>
            <w:tcW w:w="643" w:type="pct"/>
            <w:noWrap/>
          </w:tcPr>
          <w:p w14:paraId="46721151"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1.42</w:t>
            </w:r>
          </w:p>
          <w:p w14:paraId="210F385B"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(1.36, 1.47)</w:t>
            </w:r>
          </w:p>
        </w:tc>
        <w:tc>
          <w:tcPr>
            <w:tcW w:w="678" w:type="pct"/>
            <w:noWrap/>
          </w:tcPr>
          <w:p w14:paraId="5FF1AC0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1.70</w:t>
            </w:r>
          </w:p>
          <w:p w14:paraId="5562B3B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(1.66, 1.75)</w:t>
            </w:r>
          </w:p>
        </w:tc>
        <w:tc>
          <w:tcPr>
            <w:tcW w:w="610" w:type="pct"/>
            <w:noWrap/>
          </w:tcPr>
          <w:p w14:paraId="4695150C"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2.50</w:t>
            </w:r>
          </w:p>
          <w:p w14:paraId="6055559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(2.43, 2.58)</w:t>
            </w:r>
          </w:p>
        </w:tc>
        <w:tc>
          <w:tcPr>
            <w:tcW w:w="722" w:type="pct"/>
            <w:noWrap/>
          </w:tcPr>
          <w:p w14:paraId="44C1285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1.25</w:t>
            </w:r>
          </w:p>
          <w:p w14:paraId="413685ED"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(1.20, 1.31)</w:t>
            </w:r>
          </w:p>
        </w:tc>
        <w:tc>
          <w:tcPr>
            <w:tcW w:w="730" w:type="pct"/>
            <w:noWrap/>
          </w:tcPr>
          <w:p w14:paraId="63BC9E8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1.11</w:t>
            </w:r>
          </w:p>
          <w:p w14:paraId="561A7B2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(1.07, 1.15)</w:t>
            </w:r>
          </w:p>
        </w:tc>
        <w:tc>
          <w:tcPr>
            <w:tcW w:w="703" w:type="pct"/>
            <w:noWrap/>
          </w:tcPr>
          <w:p w14:paraId="50F48141"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1.29</w:t>
            </w:r>
          </w:p>
          <w:p w14:paraId="4F0F89E2"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(1.25, 1.32)</w:t>
            </w:r>
          </w:p>
        </w:tc>
      </w:tr>
      <w:tr w:rsidR="00395E28" w:rsidRPr="00EC2BE6" w14:paraId="1AC575A5" w14:textId="77777777" w:rsidTr="005E27C3">
        <w:trPr>
          <w:trHeight w:val="315"/>
          <w:jc w:val="center"/>
        </w:trPr>
        <w:tc>
          <w:tcPr>
            <w:tcW w:w="914" w:type="pct"/>
            <w:noWrap/>
            <w:hideMark/>
          </w:tcPr>
          <w:p w14:paraId="2B26ECAF"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Peripheral vascular disease</w:t>
            </w:r>
          </w:p>
        </w:tc>
        <w:tc>
          <w:tcPr>
            <w:tcW w:w="643" w:type="pct"/>
            <w:noWrap/>
          </w:tcPr>
          <w:p w14:paraId="0F52BBDC"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1.75</w:t>
            </w:r>
          </w:p>
          <w:p w14:paraId="73FDA8E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(1.58, 1.93)</w:t>
            </w:r>
          </w:p>
        </w:tc>
        <w:tc>
          <w:tcPr>
            <w:tcW w:w="678" w:type="pct"/>
            <w:noWrap/>
          </w:tcPr>
          <w:p w14:paraId="6546B3A3"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1.88</w:t>
            </w:r>
          </w:p>
          <w:p w14:paraId="646653B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(1.80, 1.97)</w:t>
            </w:r>
          </w:p>
        </w:tc>
        <w:tc>
          <w:tcPr>
            <w:tcW w:w="610" w:type="pct"/>
            <w:noWrap/>
          </w:tcPr>
          <w:p w14:paraId="44A7B6E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1.56</w:t>
            </w:r>
          </w:p>
          <w:p w14:paraId="71219B8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(1.45, 1.68)</w:t>
            </w:r>
          </w:p>
        </w:tc>
        <w:tc>
          <w:tcPr>
            <w:tcW w:w="722" w:type="pct"/>
            <w:noWrap/>
          </w:tcPr>
          <w:p w14:paraId="31598149"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2.25</w:t>
            </w:r>
          </w:p>
          <w:p w14:paraId="51C19A2C"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(2.02, 2.50)</w:t>
            </w:r>
          </w:p>
        </w:tc>
        <w:tc>
          <w:tcPr>
            <w:tcW w:w="730" w:type="pct"/>
            <w:noWrap/>
          </w:tcPr>
          <w:p w14:paraId="0B445CDC"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1.66</w:t>
            </w:r>
          </w:p>
          <w:p w14:paraId="58AB135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(1.52, 1.81)</w:t>
            </w:r>
          </w:p>
        </w:tc>
        <w:tc>
          <w:tcPr>
            <w:tcW w:w="703" w:type="pct"/>
            <w:noWrap/>
          </w:tcPr>
          <w:p w14:paraId="36123CB6"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2.10</w:t>
            </w:r>
          </w:p>
          <w:p w14:paraId="74AFE3DC"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(1.98, 2.24)</w:t>
            </w:r>
          </w:p>
        </w:tc>
      </w:tr>
      <w:tr w:rsidR="00395E28" w:rsidRPr="00EC2BE6" w14:paraId="224794CF" w14:textId="77777777" w:rsidTr="005E27C3">
        <w:trPr>
          <w:trHeight w:val="315"/>
          <w:jc w:val="center"/>
        </w:trPr>
        <w:tc>
          <w:tcPr>
            <w:tcW w:w="914" w:type="pct"/>
            <w:noWrap/>
            <w:hideMark/>
          </w:tcPr>
          <w:p w14:paraId="243F0533"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Stroke</w:t>
            </w:r>
          </w:p>
        </w:tc>
        <w:tc>
          <w:tcPr>
            <w:tcW w:w="643" w:type="pct"/>
            <w:noWrap/>
          </w:tcPr>
          <w:p w14:paraId="20B7293B"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1.18</w:t>
            </w:r>
          </w:p>
          <w:p w14:paraId="2DB57CA6"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(1.10, 1.26)</w:t>
            </w:r>
          </w:p>
        </w:tc>
        <w:tc>
          <w:tcPr>
            <w:tcW w:w="678" w:type="pct"/>
            <w:noWrap/>
          </w:tcPr>
          <w:p w14:paraId="267BB95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1.75</w:t>
            </w:r>
          </w:p>
          <w:p w14:paraId="7381C13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(1.70, 1.80)</w:t>
            </w:r>
          </w:p>
        </w:tc>
        <w:tc>
          <w:tcPr>
            <w:tcW w:w="610" w:type="pct"/>
            <w:noWrap/>
          </w:tcPr>
          <w:p w14:paraId="53DEB59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1.25</w:t>
            </w:r>
          </w:p>
          <w:p w14:paraId="21EA6FCD"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(1.20, 1.31)</w:t>
            </w:r>
          </w:p>
        </w:tc>
        <w:tc>
          <w:tcPr>
            <w:tcW w:w="722" w:type="pct"/>
            <w:noWrap/>
          </w:tcPr>
          <w:p w14:paraId="39CFD98C"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0.98</w:t>
            </w:r>
          </w:p>
          <w:p w14:paraId="75D9B409"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(0.90, 1.07)</w:t>
            </w:r>
          </w:p>
        </w:tc>
        <w:tc>
          <w:tcPr>
            <w:tcW w:w="730" w:type="pct"/>
            <w:noWrap/>
          </w:tcPr>
          <w:p w14:paraId="3BDCB7D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0.96</w:t>
            </w:r>
          </w:p>
          <w:p w14:paraId="1D86065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(0.90, 1.03)</w:t>
            </w:r>
          </w:p>
        </w:tc>
        <w:tc>
          <w:tcPr>
            <w:tcW w:w="703" w:type="pct"/>
            <w:noWrap/>
          </w:tcPr>
          <w:p w14:paraId="39ADA014"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2.79</w:t>
            </w:r>
          </w:p>
          <w:p w14:paraId="54E2F7C1"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(2.69, 2.89)</w:t>
            </w:r>
          </w:p>
        </w:tc>
      </w:tr>
      <w:tr w:rsidR="00395E28" w:rsidRPr="00EC2BE6" w14:paraId="762975E1" w14:textId="77777777" w:rsidTr="005E27C3">
        <w:trPr>
          <w:trHeight w:val="315"/>
          <w:jc w:val="center"/>
        </w:trPr>
        <w:tc>
          <w:tcPr>
            <w:tcW w:w="914" w:type="pct"/>
            <w:noWrap/>
            <w:hideMark/>
          </w:tcPr>
          <w:p w14:paraId="2F24A00B"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Dementia</w:t>
            </w:r>
          </w:p>
        </w:tc>
        <w:tc>
          <w:tcPr>
            <w:tcW w:w="643" w:type="pct"/>
            <w:noWrap/>
          </w:tcPr>
          <w:p w14:paraId="2B1C8D7B"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1.27</w:t>
            </w:r>
          </w:p>
          <w:p w14:paraId="016C661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(0.97, 1.65)</w:t>
            </w:r>
          </w:p>
        </w:tc>
        <w:tc>
          <w:tcPr>
            <w:tcW w:w="678" w:type="pct"/>
            <w:noWrap/>
          </w:tcPr>
          <w:p w14:paraId="3695B2B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6.11</w:t>
            </w:r>
          </w:p>
          <w:p w14:paraId="27F4C91B"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(5.29, 7.07)</w:t>
            </w:r>
          </w:p>
        </w:tc>
        <w:tc>
          <w:tcPr>
            <w:tcW w:w="610" w:type="pct"/>
            <w:noWrap/>
          </w:tcPr>
          <w:p w14:paraId="74D3D47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1.44</w:t>
            </w:r>
          </w:p>
          <w:p w14:paraId="7D8ADA41"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(1.20, 1.74)</w:t>
            </w:r>
          </w:p>
        </w:tc>
        <w:tc>
          <w:tcPr>
            <w:tcW w:w="722" w:type="pct"/>
            <w:noWrap/>
          </w:tcPr>
          <w:p w14:paraId="52E3E7B9"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1.00</w:t>
            </w:r>
          </w:p>
          <w:p w14:paraId="0C3D84A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(0.69, 1.47)</w:t>
            </w:r>
          </w:p>
        </w:tc>
        <w:tc>
          <w:tcPr>
            <w:tcW w:w="730" w:type="pct"/>
            <w:noWrap/>
          </w:tcPr>
          <w:p w14:paraId="2F1658A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0.92</w:t>
            </w:r>
          </w:p>
          <w:p w14:paraId="0753C6A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(0.68, 1.24)</w:t>
            </w:r>
          </w:p>
        </w:tc>
        <w:tc>
          <w:tcPr>
            <w:tcW w:w="703" w:type="pct"/>
            <w:noWrap/>
          </w:tcPr>
          <w:p w14:paraId="33F9A3AE"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14.5</w:t>
            </w:r>
          </w:p>
          <w:p w14:paraId="0B0912F8"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(12.5, 16.9)</w:t>
            </w:r>
          </w:p>
        </w:tc>
      </w:tr>
      <w:tr w:rsidR="00395E28" w:rsidRPr="00EC2BE6" w14:paraId="5B78A606" w14:textId="77777777" w:rsidTr="005E27C3">
        <w:trPr>
          <w:trHeight w:val="315"/>
          <w:jc w:val="center"/>
        </w:trPr>
        <w:tc>
          <w:tcPr>
            <w:tcW w:w="914" w:type="pct"/>
            <w:noWrap/>
            <w:hideMark/>
          </w:tcPr>
          <w:p w14:paraId="2F9C2503"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Chronic obstructive disease</w:t>
            </w:r>
          </w:p>
        </w:tc>
        <w:tc>
          <w:tcPr>
            <w:tcW w:w="643" w:type="pct"/>
            <w:noWrap/>
          </w:tcPr>
          <w:p w14:paraId="1444A9B4"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1.30</w:t>
            </w:r>
          </w:p>
          <w:p w14:paraId="292F080D"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(1.25, 1.35)</w:t>
            </w:r>
          </w:p>
        </w:tc>
        <w:tc>
          <w:tcPr>
            <w:tcW w:w="678" w:type="pct"/>
            <w:noWrap/>
          </w:tcPr>
          <w:p w14:paraId="0C54B444"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1.38</w:t>
            </w:r>
          </w:p>
          <w:p w14:paraId="28944A81"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(1.36, 1.41)</w:t>
            </w:r>
          </w:p>
        </w:tc>
        <w:tc>
          <w:tcPr>
            <w:tcW w:w="610" w:type="pct"/>
            <w:noWrap/>
          </w:tcPr>
          <w:p w14:paraId="5BFAFA5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1.69</w:t>
            </w:r>
          </w:p>
          <w:p w14:paraId="4664019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(1.65, 1.74)</w:t>
            </w:r>
          </w:p>
        </w:tc>
        <w:tc>
          <w:tcPr>
            <w:tcW w:w="722" w:type="pct"/>
            <w:noWrap/>
          </w:tcPr>
          <w:p w14:paraId="059E4AC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1.21</w:t>
            </w:r>
          </w:p>
          <w:p w14:paraId="24A7D2B2"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(1.15, 1.26)</w:t>
            </w:r>
          </w:p>
        </w:tc>
        <w:tc>
          <w:tcPr>
            <w:tcW w:w="730" w:type="pct"/>
            <w:noWrap/>
          </w:tcPr>
          <w:p w14:paraId="554AA9B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1.06</w:t>
            </w:r>
          </w:p>
          <w:p w14:paraId="2C5CB98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(1.02, 1.11)</w:t>
            </w:r>
          </w:p>
        </w:tc>
        <w:tc>
          <w:tcPr>
            <w:tcW w:w="703" w:type="pct"/>
            <w:noWrap/>
          </w:tcPr>
          <w:p w14:paraId="7C463BCB"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1.29</w:t>
            </w:r>
          </w:p>
          <w:p w14:paraId="2D70CD17"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(1.25, 1.33)</w:t>
            </w:r>
          </w:p>
        </w:tc>
      </w:tr>
      <w:tr w:rsidR="00395E28" w:rsidRPr="00EC2BE6" w14:paraId="5442DE34" w14:textId="77777777" w:rsidTr="005E27C3">
        <w:trPr>
          <w:trHeight w:val="315"/>
          <w:jc w:val="center"/>
        </w:trPr>
        <w:tc>
          <w:tcPr>
            <w:tcW w:w="914" w:type="pct"/>
            <w:noWrap/>
            <w:hideMark/>
          </w:tcPr>
          <w:p w14:paraId="3E8616A3"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Connective tissue disease</w:t>
            </w:r>
          </w:p>
        </w:tc>
        <w:tc>
          <w:tcPr>
            <w:tcW w:w="643" w:type="pct"/>
            <w:noWrap/>
          </w:tcPr>
          <w:p w14:paraId="391F389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0.99</w:t>
            </w:r>
          </w:p>
          <w:p w14:paraId="7DCBD139"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(0.88, 1.11)</w:t>
            </w:r>
          </w:p>
        </w:tc>
        <w:tc>
          <w:tcPr>
            <w:tcW w:w="678" w:type="pct"/>
            <w:noWrap/>
          </w:tcPr>
          <w:p w14:paraId="0F26710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1.21</w:t>
            </w:r>
          </w:p>
          <w:p w14:paraId="50CA834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(1.15, 1.26)</w:t>
            </w:r>
          </w:p>
        </w:tc>
        <w:tc>
          <w:tcPr>
            <w:tcW w:w="610" w:type="pct"/>
            <w:noWrap/>
          </w:tcPr>
          <w:p w14:paraId="041B89C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1.47</w:t>
            </w:r>
          </w:p>
          <w:p w14:paraId="2F803263"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(1.38, 1.56)</w:t>
            </w:r>
          </w:p>
        </w:tc>
        <w:tc>
          <w:tcPr>
            <w:tcW w:w="722" w:type="pct"/>
            <w:noWrap/>
          </w:tcPr>
          <w:p w14:paraId="6419DD2C"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0.98</w:t>
            </w:r>
          </w:p>
          <w:p w14:paraId="4F46DFB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(0.87, 1.11)</w:t>
            </w:r>
          </w:p>
        </w:tc>
        <w:tc>
          <w:tcPr>
            <w:tcW w:w="730" w:type="pct"/>
            <w:noWrap/>
          </w:tcPr>
          <w:p w14:paraId="6D0042B2"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1.03</w:t>
            </w:r>
          </w:p>
          <w:p w14:paraId="3E0B85C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(0.94, 1.13)</w:t>
            </w:r>
          </w:p>
        </w:tc>
        <w:tc>
          <w:tcPr>
            <w:tcW w:w="703" w:type="pct"/>
            <w:noWrap/>
          </w:tcPr>
          <w:p w14:paraId="5B16DD8E"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1.06</w:t>
            </w:r>
          </w:p>
          <w:p w14:paraId="173E8361"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(0.98, 1.14)</w:t>
            </w:r>
          </w:p>
        </w:tc>
      </w:tr>
      <w:tr w:rsidR="00395E28" w:rsidRPr="00EC2BE6" w14:paraId="163EC74C" w14:textId="77777777" w:rsidTr="005E27C3">
        <w:trPr>
          <w:trHeight w:val="315"/>
          <w:jc w:val="center"/>
        </w:trPr>
        <w:tc>
          <w:tcPr>
            <w:tcW w:w="914" w:type="pct"/>
            <w:noWrap/>
            <w:hideMark/>
          </w:tcPr>
          <w:p w14:paraId="2453530C"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Peptic ulcer</w:t>
            </w:r>
          </w:p>
        </w:tc>
        <w:tc>
          <w:tcPr>
            <w:tcW w:w="643" w:type="pct"/>
            <w:noWrap/>
          </w:tcPr>
          <w:p w14:paraId="2BA5CB4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1.11</w:t>
            </w:r>
          </w:p>
          <w:p w14:paraId="12733291"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(0.96, 1.30)</w:t>
            </w:r>
          </w:p>
        </w:tc>
        <w:tc>
          <w:tcPr>
            <w:tcW w:w="678" w:type="pct"/>
            <w:noWrap/>
          </w:tcPr>
          <w:p w14:paraId="68678FC2"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2.55</w:t>
            </w:r>
          </w:p>
          <w:p w14:paraId="6802F052"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(2.39, 2.72)</w:t>
            </w:r>
          </w:p>
        </w:tc>
        <w:tc>
          <w:tcPr>
            <w:tcW w:w="610" w:type="pct"/>
            <w:noWrap/>
          </w:tcPr>
          <w:p w14:paraId="53CA7ABD"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4.55</w:t>
            </w:r>
          </w:p>
          <w:p w14:paraId="19D395A8"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(4.13, 4.79)</w:t>
            </w:r>
          </w:p>
        </w:tc>
        <w:tc>
          <w:tcPr>
            <w:tcW w:w="722" w:type="pct"/>
            <w:noWrap/>
          </w:tcPr>
          <w:p w14:paraId="6520FE3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1.29</w:t>
            </w:r>
          </w:p>
          <w:p w14:paraId="3DC52F9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(1.10, 1.53)</w:t>
            </w:r>
          </w:p>
        </w:tc>
        <w:tc>
          <w:tcPr>
            <w:tcW w:w="730" w:type="pct"/>
            <w:noWrap/>
          </w:tcPr>
          <w:p w14:paraId="50BF82C1"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1.14</w:t>
            </w:r>
          </w:p>
          <w:p w14:paraId="5E080A3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(1.00, 1.30)</w:t>
            </w:r>
          </w:p>
        </w:tc>
        <w:tc>
          <w:tcPr>
            <w:tcW w:w="703" w:type="pct"/>
            <w:noWrap/>
          </w:tcPr>
          <w:p w14:paraId="757CD398"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1.24</w:t>
            </w:r>
          </w:p>
          <w:p w14:paraId="50CE5279"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(1.12, 1.38)</w:t>
            </w:r>
          </w:p>
        </w:tc>
      </w:tr>
      <w:tr w:rsidR="00395E28" w:rsidRPr="00EC2BE6" w14:paraId="50DF3B93" w14:textId="77777777" w:rsidTr="005E27C3">
        <w:trPr>
          <w:trHeight w:val="315"/>
          <w:jc w:val="center"/>
        </w:trPr>
        <w:tc>
          <w:tcPr>
            <w:tcW w:w="914" w:type="pct"/>
            <w:noWrap/>
            <w:hideMark/>
          </w:tcPr>
          <w:p w14:paraId="01707233"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Mild liver disease</w:t>
            </w:r>
          </w:p>
        </w:tc>
        <w:tc>
          <w:tcPr>
            <w:tcW w:w="643" w:type="pct"/>
            <w:noWrap/>
          </w:tcPr>
          <w:p w14:paraId="51D9BBDC"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2.59</w:t>
            </w:r>
          </w:p>
          <w:p w14:paraId="2908BCA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(2.15, 3.11)</w:t>
            </w:r>
          </w:p>
        </w:tc>
        <w:tc>
          <w:tcPr>
            <w:tcW w:w="678" w:type="pct"/>
            <w:noWrap/>
          </w:tcPr>
          <w:p w14:paraId="4F39BD1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2.28</w:t>
            </w:r>
          </w:p>
          <w:p w14:paraId="7517E934"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(2.08, 2.51)</w:t>
            </w:r>
          </w:p>
        </w:tc>
        <w:tc>
          <w:tcPr>
            <w:tcW w:w="610" w:type="pct"/>
            <w:noWrap/>
          </w:tcPr>
          <w:p w14:paraId="315A658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4.15</w:t>
            </w:r>
          </w:p>
          <w:p w14:paraId="73F5CCC6"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(3.72, 4.63)</w:t>
            </w:r>
          </w:p>
        </w:tc>
        <w:tc>
          <w:tcPr>
            <w:tcW w:w="722" w:type="pct"/>
            <w:noWrap/>
          </w:tcPr>
          <w:p w14:paraId="37BDB4E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0.93</w:t>
            </w:r>
          </w:p>
          <w:p w14:paraId="03D0D36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(0.68, 1.27)</w:t>
            </w:r>
          </w:p>
        </w:tc>
        <w:tc>
          <w:tcPr>
            <w:tcW w:w="730" w:type="pct"/>
            <w:noWrap/>
          </w:tcPr>
          <w:p w14:paraId="7D4B3B68"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0.99</w:t>
            </w:r>
          </w:p>
          <w:p w14:paraId="4A3303E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(0.79, 1.23)</w:t>
            </w:r>
          </w:p>
        </w:tc>
        <w:tc>
          <w:tcPr>
            <w:tcW w:w="703" w:type="pct"/>
            <w:noWrap/>
          </w:tcPr>
          <w:p w14:paraId="222ACB1B"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1.26</w:t>
            </w:r>
          </w:p>
          <w:p w14:paraId="5EBE9822"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(1.06, 1.50)</w:t>
            </w:r>
          </w:p>
        </w:tc>
      </w:tr>
      <w:tr w:rsidR="00395E28" w:rsidRPr="00EC2BE6" w14:paraId="02E22032" w14:textId="77777777" w:rsidTr="005E27C3">
        <w:trPr>
          <w:trHeight w:val="315"/>
          <w:jc w:val="center"/>
        </w:trPr>
        <w:tc>
          <w:tcPr>
            <w:tcW w:w="914" w:type="pct"/>
            <w:noWrap/>
            <w:hideMark/>
          </w:tcPr>
          <w:p w14:paraId="1EFD4D79"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Moderate-severe liver disease</w:t>
            </w:r>
          </w:p>
        </w:tc>
        <w:tc>
          <w:tcPr>
            <w:tcW w:w="643" w:type="pct"/>
            <w:noWrap/>
          </w:tcPr>
          <w:p w14:paraId="7691D0F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6.19</w:t>
            </w:r>
          </w:p>
          <w:p w14:paraId="530B0599"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(4.77, 8.05)</w:t>
            </w:r>
          </w:p>
        </w:tc>
        <w:tc>
          <w:tcPr>
            <w:tcW w:w="678" w:type="pct"/>
            <w:noWrap/>
          </w:tcPr>
          <w:p w14:paraId="68E2A54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3.29</w:t>
            </w:r>
          </w:p>
          <w:p w14:paraId="59ECA2A9"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(2.82, 3.83)</w:t>
            </w:r>
          </w:p>
        </w:tc>
        <w:tc>
          <w:tcPr>
            <w:tcW w:w="610" w:type="pct"/>
            <w:noWrap/>
          </w:tcPr>
          <w:p w14:paraId="66291ADD"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6.21</w:t>
            </w:r>
          </w:p>
          <w:p w14:paraId="51F87896"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(5.20, 7.42)</w:t>
            </w:r>
          </w:p>
        </w:tc>
        <w:tc>
          <w:tcPr>
            <w:tcW w:w="722" w:type="pct"/>
            <w:noWrap/>
          </w:tcPr>
          <w:p w14:paraId="4436E656"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1.75</w:t>
            </w:r>
          </w:p>
          <w:p w14:paraId="092F54E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(1.17, 2.62)</w:t>
            </w:r>
          </w:p>
        </w:tc>
        <w:tc>
          <w:tcPr>
            <w:tcW w:w="730" w:type="pct"/>
            <w:noWrap/>
          </w:tcPr>
          <w:p w14:paraId="77D8C55B"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1.10</w:t>
            </w:r>
          </w:p>
          <w:p w14:paraId="5218310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(0.79, 1.54)</w:t>
            </w:r>
          </w:p>
        </w:tc>
        <w:tc>
          <w:tcPr>
            <w:tcW w:w="703" w:type="pct"/>
            <w:noWrap/>
          </w:tcPr>
          <w:p w14:paraId="051E2594"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1.16</w:t>
            </w:r>
          </w:p>
          <w:p w14:paraId="7094432E"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(0.85, 1.58)</w:t>
            </w:r>
          </w:p>
        </w:tc>
      </w:tr>
      <w:tr w:rsidR="00395E28" w:rsidRPr="00EC2BE6" w14:paraId="0C17358F" w14:textId="77777777" w:rsidTr="005E27C3">
        <w:trPr>
          <w:trHeight w:val="315"/>
          <w:jc w:val="center"/>
        </w:trPr>
        <w:tc>
          <w:tcPr>
            <w:tcW w:w="914" w:type="pct"/>
            <w:noWrap/>
            <w:hideMark/>
          </w:tcPr>
          <w:p w14:paraId="37F9C19B"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Hemiplegia</w:t>
            </w:r>
          </w:p>
        </w:tc>
        <w:tc>
          <w:tcPr>
            <w:tcW w:w="643" w:type="pct"/>
            <w:noWrap/>
          </w:tcPr>
          <w:p w14:paraId="03852DE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3.78</w:t>
            </w:r>
          </w:p>
          <w:p w14:paraId="273FCD0B"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(3.08, 4.62)</w:t>
            </w:r>
          </w:p>
        </w:tc>
        <w:tc>
          <w:tcPr>
            <w:tcW w:w="678" w:type="pct"/>
            <w:noWrap/>
          </w:tcPr>
          <w:p w14:paraId="55A9E0B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15.1</w:t>
            </w:r>
          </w:p>
          <w:p w14:paraId="711E650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(13.8, 16.5)</w:t>
            </w:r>
          </w:p>
        </w:tc>
        <w:tc>
          <w:tcPr>
            <w:tcW w:w="610" w:type="pct"/>
            <w:noWrap/>
          </w:tcPr>
          <w:p w14:paraId="3617BA1B"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3.00</w:t>
            </w:r>
          </w:p>
          <w:p w14:paraId="474B669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(2.64, 3.42)</w:t>
            </w:r>
          </w:p>
        </w:tc>
        <w:tc>
          <w:tcPr>
            <w:tcW w:w="722" w:type="pct"/>
            <w:noWrap/>
          </w:tcPr>
          <w:p w14:paraId="32AA8A7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1.79</w:t>
            </w:r>
          </w:p>
          <w:p w14:paraId="538EBD23"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(1.39, 2.31)</w:t>
            </w:r>
          </w:p>
        </w:tc>
        <w:tc>
          <w:tcPr>
            <w:tcW w:w="730" w:type="pct"/>
            <w:noWrap/>
          </w:tcPr>
          <w:p w14:paraId="25FAD39D"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1.65</w:t>
            </w:r>
          </w:p>
          <w:p w14:paraId="2294F718"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(1.37, 1.98)</w:t>
            </w:r>
          </w:p>
        </w:tc>
        <w:tc>
          <w:tcPr>
            <w:tcW w:w="703" w:type="pct"/>
            <w:noWrap/>
          </w:tcPr>
          <w:p w14:paraId="47D80B04"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42.9</w:t>
            </w:r>
          </w:p>
          <w:p w14:paraId="462B743D"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(39.2, 47.1)</w:t>
            </w:r>
          </w:p>
        </w:tc>
      </w:tr>
      <w:tr w:rsidR="00395E28" w:rsidRPr="00EC2BE6" w14:paraId="708E02FE" w14:textId="77777777" w:rsidTr="005E27C3">
        <w:trPr>
          <w:trHeight w:val="315"/>
          <w:jc w:val="center"/>
        </w:trPr>
        <w:tc>
          <w:tcPr>
            <w:tcW w:w="914" w:type="pct"/>
            <w:noWrap/>
            <w:hideMark/>
          </w:tcPr>
          <w:p w14:paraId="716E69EA"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Moderate-severe chronic kidney disease</w:t>
            </w:r>
          </w:p>
        </w:tc>
        <w:tc>
          <w:tcPr>
            <w:tcW w:w="643" w:type="pct"/>
            <w:noWrap/>
          </w:tcPr>
          <w:p w14:paraId="33E2345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2.16</w:t>
            </w:r>
          </w:p>
          <w:p w14:paraId="07FEAAAD"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(1.87, 2.49)</w:t>
            </w:r>
          </w:p>
        </w:tc>
        <w:tc>
          <w:tcPr>
            <w:tcW w:w="678" w:type="pct"/>
            <w:noWrap/>
          </w:tcPr>
          <w:p w14:paraId="4FE663B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2.35</w:t>
            </w:r>
          </w:p>
          <w:p w14:paraId="548D795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(2.19, 2.50)</w:t>
            </w:r>
          </w:p>
        </w:tc>
        <w:tc>
          <w:tcPr>
            <w:tcW w:w="610" w:type="pct"/>
            <w:noWrap/>
          </w:tcPr>
          <w:p w14:paraId="5275E2F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3.76</w:t>
            </w:r>
          </w:p>
          <w:p w14:paraId="0F90F314"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(3.48, 4.06)</w:t>
            </w:r>
          </w:p>
        </w:tc>
        <w:tc>
          <w:tcPr>
            <w:tcW w:w="722" w:type="pct"/>
            <w:noWrap/>
          </w:tcPr>
          <w:p w14:paraId="46C9F578"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1.39</w:t>
            </w:r>
          </w:p>
          <w:p w14:paraId="4CDAE711"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(1.14, 1.68)</w:t>
            </w:r>
          </w:p>
        </w:tc>
        <w:tc>
          <w:tcPr>
            <w:tcW w:w="730" w:type="pct"/>
            <w:noWrap/>
          </w:tcPr>
          <w:p w14:paraId="04DF554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0.93</w:t>
            </w:r>
          </w:p>
          <w:p w14:paraId="06D7B0C2"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(0.79, 1.08)</w:t>
            </w:r>
          </w:p>
        </w:tc>
        <w:tc>
          <w:tcPr>
            <w:tcW w:w="703" w:type="pct"/>
            <w:noWrap/>
          </w:tcPr>
          <w:p w14:paraId="1BA4B0C9"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1.44</w:t>
            </w:r>
          </w:p>
          <w:p w14:paraId="181ECC3D"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(1.29, 1.62)</w:t>
            </w:r>
          </w:p>
        </w:tc>
      </w:tr>
      <w:tr w:rsidR="00395E28" w:rsidRPr="00EC2BE6" w14:paraId="76DE0A6D" w14:textId="77777777" w:rsidTr="005E27C3">
        <w:trPr>
          <w:trHeight w:val="315"/>
          <w:jc w:val="center"/>
        </w:trPr>
        <w:tc>
          <w:tcPr>
            <w:tcW w:w="914" w:type="pct"/>
            <w:noWrap/>
            <w:hideMark/>
          </w:tcPr>
          <w:p w14:paraId="1315CB61"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Diabetes – controlled</w:t>
            </w:r>
          </w:p>
        </w:tc>
        <w:tc>
          <w:tcPr>
            <w:tcW w:w="643" w:type="pct"/>
            <w:noWrap/>
          </w:tcPr>
          <w:p w14:paraId="4627FA84"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0.99</w:t>
            </w:r>
          </w:p>
          <w:p w14:paraId="06C26F3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(0.96, 1.03)</w:t>
            </w:r>
          </w:p>
        </w:tc>
        <w:tc>
          <w:tcPr>
            <w:tcW w:w="678" w:type="pct"/>
            <w:noWrap/>
          </w:tcPr>
          <w:p w14:paraId="6C31AC4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0.99</w:t>
            </w:r>
          </w:p>
          <w:p w14:paraId="48AC1AE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(0.97, 1.00)</w:t>
            </w:r>
          </w:p>
        </w:tc>
        <w:tc>
          <w:tcPr>
            <w:tcW w:w="610" w:type="pct"/>
            <w:noWrap/>
          </w:tcPr>
          <w:p w14:paraId="0D91FA33"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1.08</w:t>
            </w:r>
          </w:p>
          <w:p w14:paraId="343832EC"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(1.06, 1.11)</w:t>
            </w:r>
          </w:p>
        </w:tc>
        <w:tc>
          <w:tcPr>
            <w:tcW w:w="722" w:type="pct"/>
            <w:noWrap/>
          </w:tcPr>
          <w:p w14:paraId="6B064AA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0.81</w:t>
            </w:r>
          </w:p>
          <w:p w14:paraId="6B6A7DA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(0.78, 0.85)</w:t>
            </w:r>
          </w:p>
        </w:tc>
        <w:tc>
          <w:tcPr>
            <w:tcW w:w="730" w:type="pct"/>
            <w:noWrap/>
          </w:tcPr>
          <w:p w14:paraId="6F631DB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0.78</w:t>
            </w:r>
          </w:p>
          <w:p w14:paraId="48791D8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(0.76, 0.81)</w:t>
            </w:r>
          </w:p>
        </w:tc>
        <w:tc>
          <w:tcPr>
            <w:tcW w:w="703" w:type="pct"/>
            <w:noWrap/>
          </w:tcPr>
          <w:p w14:paraId="696D8DBE"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w:t>
            </w:r>
          </w:p>
          <w:p w14:paraId="2AE38E7D"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(1.04, 1.09)</w:t>
            </w:r>
          </w:p>
        </w:tc>
      </w:tr>
      <w:tr w:rsidR="00395E28" w:rsidRPr="00EC2BE6" w14:paraId="7A78DCD4" w14:textId="77777777" w:rsidTr="005E27C3">
        <w:trPr>
          <w:trHeight w:val="315"/>
          <w:jc w:val="center"/>
        </w:trPr>
        <w:tc>
          <w:tcPr>
            <w:tcW w:w="914" w:type="pct"/>
            <w:noWrap/>
            <w:hideMark/>
          </w:tcPr>
          <w:p w14:paraId="3F430091"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Diabetes – uncontrolled</w:t>
            </w:r>
          </w:p>
        </w:tc>
        <w:tc>
          <w:tcPr>
            <w:tcW w:w="643" w:type="pct"/>
            <w:noWrap/>
          </w:tcPr>
          <w:p w14:paraId="08799604"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1.39</w:t>
            </w:r>
          </w:p>
          <w:p w14:paraId="3B7CDB0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(1.29, 1.50)</w:t>
            </w:r>
          </w:p>
        </w:tc>
        <w:tc>
          <w:tcPr>
            <w:tcW w:w="678" w:type="pct"/>
            <w:noWrap/>
          </w:tcPr>
          <w:p w14:paraId="3FEBE254"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1.95</w:t>
            </w:r>
          </w:p>
          <w:p w14:paraId="5756863C"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(1.89, 2.02)</w:t>
            </w:r>
          </w:p>
        </w:tc>
        <w:tc>
          <w:tcPr>
            <w:tcW w:w="610" w:type="pct"/>
            <w:noWrap/>
          </w:tcPr>
          <w:p w14:paraId="2D687DD8"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2.85</w:t>
            </w:r>
          </w:p>
          <w:p w14:paraId="1CB09D57"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(2.73, 2.97)</w:t>
            </w:r>
          </w:p>
        </w:tc>
        <w:tc>
          <w:tcPr>
            <w:tcW w:w="722" w:type="pct"/>
            <w:noWrap/>
          </w:tcPr>
          <w:p w14:paraId="3E90CC3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1.08</w:t>
            </w:r>
          </w:p>
          <w:p w14:paraId="53F79AB2"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(0.99, 1.18)</w:t>
            </w:r>
          </w:p>
        </w:tc>
        <w:tc>
          <w:tcPr>
            <w:tcW w:w="730" w:type="pct"/>
            <w:noWrap/>
          </w:tcPr>
          <w:p w14:paraId="5CF67F6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0.90</w:t>
            </w:r>
          </w:p>
          <w:p w14:paraId="778232A2"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(0.83, 0.97)</w:t>
            </w:r>
          </w:p>
        </w:tc>
        <w:tc>
          <w:tcPr>
            <w:tcW w:w="703" w:type="pct"/>
            <w:noWrap/>
          </w:tcPr>
          <w:p w14:paraId="58DD7519"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1.68</w:t>
            </w:r>
          </w:p>
          <w:p w14:paraId="42E230D9"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(1.60, 1.76)</w:t>
            </w:r>
          </w:p>
        </w:tc>
      </w:tr>
      <w:tr w:rsidR="00395E28" w:rsidRPr="00EC2BE6" w14:paraId="43DC51AF" w14:textId="77777777" w:rsidTr="005E27C3">
        <w:trPr>
          <w:trHeight w:val="315"/>
          <w:jc w:val="center"/>
        </w:trPr>
        <w:tc>
          <w:tcPr>
            <w:tcW w:w="914" w:type="pct"/>
            <w:noWrap/>
            <w:hideMark/>
          </w:tcPr>
          <w:p w14:paraId="09BCB5B8"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Leukaemia &amp; lymphoma</w:t>
            </w:r>
          </w:p>
        </w:tc>
        <w:tc>
          <w:tcPr>
            <w:tcW w:w="643" w:type="pct"/>
            <w:noWrap/>
          </w:tcPr>
          <w:p w14:paraId="2793FB5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1.79</w:t>
            </w:r>
          </w:p>
          <w:p w14:paraId="731DBB26"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lastRenderedPageBreak/>
              <w:t>(1.65, 1.94)</w:t>
            </w:r>
          </w:p>
        </w:tc>
        <w:tc>
          <w:tcPr>
            <w:tcW w:w="678" w:type="pct"/>
            <w:noWrap/>
          </w:tcPr>
          <w:p w14:paraId="56A1A7C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lastRenderedPageBreak/>
              <w:t>1.74</w:t>
            </w:r>
          </w:p>
          <w:p w14:paraId="12AD4FD6"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lastRenderedPageBreak/>
              <w:t>(1.67, 1.81)</w:t>
            </w:r>
          </w:p>
        </w:tc>
        <w:tc>
          <w:tcPr>
            <w:tcW w:w="610" w:type="pct"/>
            <w:noWrap/>
          </w:tcPr>
          <w:p w14:paraId="1DDC8B7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lastRenderedPageBreak/>
              <w:t>2.61</w:t>
            </w:r>
          </w:p>
          <w:p w14:paraId="30DF8CC8"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lastRenderedPageBreak/>
              <w:t>(2.48, 2.75)</w:t>
            </w:r>
          </w:p>
        </w:tc>
        <w:tc>
          <w:tcPr>
            <w:tcW w:w="722" w:type="pct"/>
            <w:noWrap/>
          </w:tcPr>
          <w:p w14:paraId="0B2896B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lastRenderedPageBreak/>
              <w:t>1.04</w:t>
            </w:r>
          </w:p>
          <w:p w14:paraId="2F2BD8CE"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(0.93, 1.18)</w:t>
            </w:r>
          </w:p>
        </w:tc>
        <w:tc>
          <w:tcPr>
            <w:tcW w:w="730" w:type="pct"/>
            <w:noWrap/>
          </w:tcPr>
          <w:p w14:paraId="40293240"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1.61</w:t>
            </w:r>
          </w:p>
          <w:p w14:paraId="07798BC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(1.50, 1.74)</w:t>
            </w:r>
          </w:p>
        </w:tc>
        <w:tc>
          <w:tcPr>
            <w:tcW w:w="703" w:type="pct"/>
            <w:noWrap/>
          </w:tcPr>
          <w:p w14:paraId="5CF52D69"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0.98</w:t>
            </w:r>
          </w:p>
          <w:p w14:paraId="44DBEB3D"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(0.91, 1.05)</w:t>
            </w:r>
          </w:p>
        </w:tc>
      </w:tr>
      <w:tr w:rsidR="00395E28" w:rsidRPr="00EC2BE6" w14:paraId="292DF83B" w14:textId="77777777" w:rsidTr="005E27C3">
        <w:trPr>
          <w:trHeight w:val="315"/>
          <w:jc w:val="center"/>
        </w:trPr>
        <w:tc>
          <w:tcPr>
            <w:tcW w:w="914" w:type="pct"/>
            <w:noWrap/>
            <w:hideMark/>
          </w:tcPr>
          <w:p w14:paraId="76368E32"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lastRenderedPageBreak/>
              <w:t>Solid  tumour + metastasis</w:t>
            </w:r>
          </w:p>
        </w:tc>
        <w:tc>
          <w:tcPr>
            <w:tcW w:w="643" w:type="pct"/>
            <w:noWrap/>
          </w:tcPr>
          <w:p w14:paraId="25FA1C63"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3.15</w:t>
            </w:r>
          </w:p>
          <w:p w14:paraId="071FBE23"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(2.71, 3.65)</w:t>
            </w:r>
          </w:p>
        </w:tc>
        <w:tc>
          <w:tcPr>
            <w:tcW w:w="678" w:type="pct"/>
            <w:noWrap/>
          </w:tcPr>
          <w:p w14:paraId="67CDF2B8"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2.24</w:t>
            </w:r>
          </w:p>
          <w:p w14:paraId="62E56AE9"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(2.07, 2.43)</w:t>
            </w:r>
          </w:p>
        </w:tc>
        <w:tc>
          <w:tcPr>
            <w:tcW w:w="610" w:type="pct"/>
            <w:noWrap/>
          </w:tcPr>
          <w:p w14:paraId="1643665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3.35</w:t>
            </w:r>
          </w:p>
          <w:p w14:paraId="32B97DC2"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(3.04, 3.68)</w:t>
            </w:r>
          </w:p>
        </w:tc>
        <w:tc>
          <w:tcPr>
            <w:tcW w:w="722" w:type="pct"/>
            <w:noWrap/>
          </w:tcPr>
          <w:p w14:paraId="111A3BC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1.24</w:t>
            </w:r>
          </w:p>
          <w:p w14:paraId="3673A233"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(0.98, 1.57)</w:t>
            </w:r>
          </w:p>
        </w:tc>
        <w:tc>
          <w:tcPr>
            <w:tcW w:w="730" w:type="pct"/>
            <w:noWrap/>
          </w:tcPr>
          <w:p w14:paraId="0D2249C2"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1.82</w:t>
            </w:r>
          </w:p>
          <w:p w14:paraId="77745909"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(1.57, 2.12)</w:t>
            </w:r>
          </w:p>
        </w:tc>
        <w:tc>
          <w:tcPr>
            <w:tcW w:w="703" w:type="pct"/>
            <w:noWrap/>
          </w:tcPr>
          <w:p w14:paraId="4588AC00"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w:t>
            </w:r>
          </w:p>
          <w:p w14:paraId="273B4E0C"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(0.92, 1.25)</w:t>
            </w:r>
          </w:p>
        </w:tc>
      </w:tr>
      <w:tr w:rsidR="00395E28" w:rsidRPr="00EC2BE6" w14:paraId="5B3480A0" w14:textId="77777777" w:rsidTr="005E27C3">
        <w:trPr>
          <w:trHeight w:val="315"/>
          <w:jc w:val="center"/>
        </w:trPr>
        <w:tc>
          <w:tcPr>
            <w:tcW w:w="914" w:type="pct"/>
            <w:noWrap/>
            <w:hideMark/>
          </w:tcPr>
          <w:p w14:paraId="6398A90D" w14:textId="77777777" w:rsidR="00395E28" w:rsidRPr="00EC2BE6" w:rsidRDefault="00395E28" w:rsidP="005E27C3">
            <w:pPr>
              <w:jc w:val="center"/>
              <w:rPr>
                <w:rFonts w:ascii="Calibri" w:eastAsia="Times New Roman" w:hAnsi="Calibri" w:cs="Times New Roman"/>
                <w:color w:val="000000"/>
                <w:lang w:eastAsia="en-GB"/>
              </w:rPr>
            </w:pPr>
            <w:r w:rsidRPr="00EC2BE6">
              <w:rPr>
                <w:rFonts w:ascii="Calibri" w:eastAsia="Times New Roman" w:hAnsi="Calibri" w:cs="Times New Roman"/>
                <w:color w:val="000000"/>
                <w:lang w:eastAsia="en-GB"/>
              </w:rPr>
              <w:t>AIDS</w:t>
            </w:r>
          </w:p>
        </w:tc>
        <w:tc>
          <w:tcPr>
            <w:tcW w:w="643" w:type="pct"/>
            <w:noWrap/>
          </w:tcPr>
          <w:p w14:paraId="729A4BB5"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1.23</w:t>
            </w:r>
          </w:p>
          <w:p w14:paraId="245765D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(0.76, 1.98)</w:t>
            </w:r>
          </w:p>
        </w:tc>
        <w:tc>
          <w:tcPr>
            <w:tcW w:w="678" w:type="pct"/>
            <w:noWrap/>
          </w:tcPr>
          <w:p w14:paraId="47EB22D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1.14</w:t>
            </w:r>
          </w:p>
          <w:p w14:paraId="22A4EA0D"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(0.92, 1.42)</w:t>
            </w:r>
          </w:p>
        </w:tc>
        <w:tc>
          <w:tcPr>
            <w:tcW w:w="610" w:type="pct"/>
            <w:noWrap/>
          </w:tcPr>
          <w:p w14:paraId="2BB3BAE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1.72</w:t>
            </w:r>
          </w:p>
          <w:p w14:paraId="29171DDF"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(1.30, 2.28)</w:t>
            </w:r>
          </w:p>
        </w:tc>
        <w:tc>
          <w:tcPr>
            <w:tcW w:w="722" w:type="pct"/>
            <w:noWrap/>
          </w:tcPr>
          <w:p w14:paraId="76E1AC94"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1.10</w:t>
            </w:r>
          </w:p>
          <w:p w14:paraId="4AA6AF4A"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(0.63, 1.91)</w:t>
            </w:r>
          </w:p>
        </w:tc>
        <w:tc>
          <w:tcPr>
            <w:tcW w:w="730" w:type="pct"/>
            <w:noWrap/>
          </w:tcPr>
          <w:p w14:paraId="779F77BB"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0.63</w:t>
            </w:r>
          </w:p>
          <w:p w14:paraId="3BC13692" w14:textId="77777777" w:rsidR="00395E28" w:rsidRPr="00955EA9" w:rsidRDefault="00395E28" w:rsidP="005E27C3">
            <w:pPr>
              <w:jc w:val="center"/>
              <w:rPr>
                <w:rFonts w:ascii="Calibri" w:eastAsia="Times New Roman" w:hAnsi="Calibri" w:cs="Times New Roman"/>
                <w:color w:val="000000"/>
                <w:lang w:eastAsia="en-GB"/>
              </w:rPr>
            </w:pPr>
            <w:r w:rsidRPr="00955EA9">
              <w:rPr>
                <w:rFonts w:ascii="Calibri" w:eastAsia="Times New Roman" w:hAnsi="Calibri" w:cs="Times New Roman"/>
                <w:color w:val="000000"/>
                <w:lang w:eastAsia="en-GB"/>
              </w:rPr>
              <w:t>(0.40, 1.00)</w:t>
            </w:r>
          </w:p>
        </w:tc>
        <w:tc>
          <w:tcPr>
            <w:tcW w:w="703" w:type="pct"/>
            <w:noWrap/>
          </w:tcPr>
          <w:p w14:paraId="7E575FC5" w14:textId="77777777" w:rsidR="00395E28"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0.71</w:t>
            </w:r>
          </w:p>
          <w:p w14:paraId="7901F582" w14:textId="77777777" w:rsidR="00395E28" w:rsidRPr="00EC2BE6" w:rsidRDefault="00395E28" w:rsidP="005E27C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(0.43, 1.17)</w:t>
            </w:r>
          </w:p>
        </w:tc>
      </w:tr>
    </w:tbl>
    <w:p w14:paraId="08375278" w14:textId="77777777" w:rsidR="00395E28" w:rsidRDefault="00395E28" w:rsidP="00395E28">
      <w:r>
        <w:t>*A</w:t>
      </w:r>
      <w:r w:rsidRPr="00C958A8">
        <w:t xml:space="preserve">djustment for </w:t>
      </w:r>
      <w:r w:rsidRPr="00C958A8">
        <w:rPr>
          <w:rFonts w:cs="Times New Roman"/>
        </w:rPr>
        <w:t>age, gender, ethnicity, median income, elective admission,</w:t>
      </w:r>
      <w:r>
        <w:rPr>
          <w:rFonts w:cs="Times New Roman"/>
        </w:rPr>
        <w:t xml:space="preserve"> day of admission (weekend/weekday)</w:t>
      </w:r>
      <w:r w:rsidRPr="00C958A8">
        <w:rPr>
          <w:rFonts w:cs="Times New Roman"/>
        </w:rPr>
        <w:t xml:space="preserve"> primary diagnosis of MI, diagnosis of shock, </w:t>
      </w:r>
      <w:r>
        <w:rPr>
          <w:rFonts w:cs="Times New Roman"/>
        </w:rPr>
        <w:t>hypertension, or h</w:t>
      </w:r>
      <w:r>
        <w:t>ypercholesterolemia</w:t>
      </w:r>
      <w:r>
        <w:rPr>
          <w:rFonts w:cs="Times New Roman"/>
        </w:rPr>
        <w:t xml:space="preserve">, if the patient smokes, </w:t>
      </w:r>
      <w:r w:rsidRPr="00C958A8">
        <w:rPr>
          <w:rFonts w:cs="Times New Roman"/>
        </w:rPr>
        <w:t xml:space="preserve">use of an assist device or IABP, use of a bare metal </w:t>
      </w:r>
      <w:r>
        <w:rPr>
          <w:rFonts w:cs="Times New Roman"/>
        </w:rPr>
        <w:t xml:space="preserve">or drug eluting </w:t>
      </w:r>
      <w:r w:rsidRPr="00C958A8">
        <w:rPr>
          <w:rFonts w:cs="Times New Roman"/>
        </w:rPr>
        <w:t xml:space="preserve">stent, </w:t>
      </w:r>
      <w:r>
        <w:rPr>
          <w:rFonts w:cs="Times New Roman"/>
        </w:rPr>
        <w:t xml:space="preserve">bifurcation stenting, fractional flow reserve, single or </w:t>
      </w:r>
      <w:r w:rsidRPr="00C958A8">
        <w:rPr>
          <w:rFonts w:cs="Times New Roman"/>
        </w:rPr>
        <w:t>multi-vessel PCI and year of</w:t>
      </w:r>
    </w:p>
    <w:p w14:paraId="3F5428F6" w14:textId="77777777" w:rsidR="00395E28" w:rsidRPr="007E34FA" w:rsidRDefault="00395E28" w:rsidP="007E34FA">
      <w:pPr>
        <w:spacing w:line="360" w:lineRule="auto"/>
        <w:rPr>
          <w:rFonts w:ascii="Times New Roman" w:hAnsi="Times New Roman" w:cs="Times New Roman"/>
        </w:rPr>
      </w:pPr>
    </w:p>
    <w:sectPr w:rsidR="00395E28" w:rsidRPr="007E34FA" w:rsidSect="00E14E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49C26" w16cid:durableId="1EA097F2"/>
  <w16cid:commentId w16cid:paraId="675A02D7" w16cid:durableId="1EA0980A"/>
  <w16cid:commentId w16cid:paraId="4AD65BDD" w16cid:durableId="1EA099D5"/>
  <w16cid:commentId w16cid:paraId="1B515AA9" w16cid:durableId="1EA09A6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D3601" w14:textId="77777777" w:rsidR="00846C6E" w:rsidRDefault="00846C6E" w:rsidP="00BB28B4">
      <w:pPr>
        <w:spacing w:after="0" w:line="240" w:lineRule="auto"/>
      </w:pPr>
      <w:r>
        <w:separator/>
      </w:r>
    </w:p>
  </w:endnote>
  <w:endnote w:type="continuationSeparator" w:id="0">
    <w:p w14:paraId="32385274" w14:textId="77777777" w:rsidR="00846C6E" w:rsidRDefault="00846C6E" w:rsidP="00BB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80FC3" w14:textId="77777777" w:rsidR="00846C6E" w:rsidRDefault="00846C6E" w:rsidP="00BB28B4">
      <w:pPr>
        <w:spacing w:after="0" w:line="240" w:lineRule="auto"/>
      </w:pPr>
      <w:r>
        <w:separator/>
      </w:r>
    </w:p>
  </w:footnote>
  <w:footnote w:type="continuationSeparator" w:id="0">
    <w:p w14:paraId="35FC9300" w14:textId="77777777" w:rsidR="00846C6E" w:rsidRDefault="00846C6E" w:rsidP="00BB2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040738"/>
      <w:docPartObj>
        <w:docPartGallery w:val="Page Numbers (Top of Page)"/>
        <w:docPartUnique/>
      </w:docPartObj>
    </w:sdtPr>
    <w:sdtEndPr>
      <w:rPr>
        <w:noProof/>
      </w:rPr>
    </w:sdtEndPr>
    <w:sdtContent>
      <w:p w14:paraId="3DF94B6D" w14:textId="3B28AB59" w:rsidR="001D351C" w:rsidRDefault="001D351C">
        <w:pPr>
          <w:pStyle w:val="Header"/>
          <w:jc w:val="right"/>
        </w:pPr>
        <w:r>
          <w:fldChar w:fldCharType="begin"/>
        </w:r>
        <w:r>
          <w:instrText xml:space="preserve"> PAGE   \* MERGEFORMAT </w:instrText>
        </w:r>
        <w:r>
          <w:fldChar w:fldCharType="separate"/>
        </w:r>
        <w:r w:rsidR="00395E28">
          <w:rPr>
            <w:noProof/>
          </w:rPr>
          <w:t>29</w:t>
        </w:r>
        <w:r>
          <w:rPr>
            <w:noProof/>
          </w:rPr>
          <w:fldChar w:fldCharType="end"/>
        </w:r>
      </w:p>
    </w:sdtContent>
  </w:sdt>
  <w:p w14:paraId="5412CFEC" w14:textId="77777777" w:rsidR="001D351C" w:rsidRDefault="001D35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F1FB7"/>
    <w:multiLevelType w:val="hybridMultilevel"/>
    <w:tmpl w:val="9A264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24284A"/>
    <w:multiLevelType w:val="hybridMultilevel"/>
    <w:tmpl w:val="BE9A8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9ts0tvjferaqe5azfvf5s89t925pspr5dx&quot;&gt;My EndNote Library copy&lt;record-ids&gt;&lt;item&gt;36&lt;/item&gt;&lt;item&gt;44&lt;/item&gt;&lt;item&gt;183&lt;/item&gt;&lt;item&gt;198&lt;/item&gt;&lt;item&gt;229&lt;/item&gt;&lt;item&gt;232&lt;/item&gt;&lt;item&gt;279&lt;/item&gt;&lt;item&gt;366&lt;/item&gt;&lt;item&gt;466&lt;/item&gt;&lt;item&gt;619&lt;/item&gt;&lt;item&gt;630&lt;/item&gt;&lt;item&gt;631&lt;/item&gt;&lt;/record-ids&gt;&lt;/item&gt;&lt;/Libraries&gt;"/>
  </w:docVars>
  <w:rsids>
    <w:rsidRoot w:val="008A581E"/>
    <w:rsid w:val="00000F22"/>
    <w:rsid w:val="00003FEE"/>
    <w:rsid w:val="00006B8B"/>
    <w:rsid w:val="00010F84"/>
    <w:rsid w:val="00015C90"/>
    <w:rsid w:val="0002238B"/>
    <w:rsid w:val="0004711C"/>
    <w:rsid w:val="00051105"/>
    <w:rsid w:val="00052DF2"/>
    <w:rsid w:val="0005510C"/>
    <w:rsid w:val="00057D5E"/>
    <w:rsid w:val="00062035"/>
    <w:rsid w:val="00064FDF"/>
    <w:rsid w:val="00066994"/>
    <w:rsid w:val="000679C1"/>
    <w:rsid w:val="0007122A"/>
    <w:rsid w:val="000744FE"/>
    <w:rsid w:val="00074D69"/>
    <w:rsid w:val="00083A54"/>
    <w:rsid w:val="00085174"/>
    <w:rsid w:val="000909FB"/>
    <w:rsid w:val="000910AD"/>
    <w:rsid w:val="00097242"/>
    <w:rsid w:val="000A0D98"/>
    <w:rsid w:val="000A4ED5"/>
    <w:rsid w:val="000A7765"/>
    <w:rsid w:val="000A7AD7"/>
    <w:rsid w:val="000C0AED"/>
    <w:rsid w:val="000C26DD"/>
    <w:rsid w:val="000C26F1"/>
    <w:rsid w:val="000D5B22"/>
    <w:rsid w:val="000D5DA6"/>
    <w:rsid w:val="000E3A59"/>
    <w:rsid w:val="000E3EDD"/>
    <w:rsid w:val="000F23A9"/>
    <w:rsid w:val="000F7450"/>
    <w:rsid w:val="00102107"/>
    <w:rsid w:val="00102993"/>
    <w:rsid w:val="00112D91"/>
    <w:rsid w:val="00123B11"/>
    <w:rsid w:val="00123E4C"/>
    <w:rsid w:val="00123E4F"/>
    <w:rsid w:val="00124995"/>
    <w:rsid w:val="001341ED"/>
    <w:rsid w:val="00140FBA"/>
    <w:rsid w:val="0014496C"/>
    <w:rsid w:val="00147CB0"/>
    <w:rsid w:val="00147E4E"/>
    <w:rsid w:val="0015153B"/>
    <w:rsid w:val="00153329"/>
    <w:rsid w:val="001548DF"/>
    <w:rsid w:val="00154FB2"/>
    <w:rsid w:val="001608FB"/>
    <w:rsid w:val="0016230A"/>
    <w:rsid w:val="00165631"/>
    <w:rsid w:val="0017139E"/>
    <w:rsid w:val="0017156A"/>
    <w:rsid w:val="00173E03"/>
    <w:rsid w:val="001755C2"/>
    <w:rsid w:val="00177B25"/>
    <w:rsid w:val="001866B7"/>
    <w:rsid w:val="0019154B"/>
    <w:rsid w:val="001949F1"/>
    <w:rsid w:val="00196AAF"/>
    <w:rsid w:val="00196D93"/>
    <w:rsid w:val="001A20A5"/>
    <w:rsid w:val="001B0705"/>
    <w:rsid w:val="001C2F98"/>
    <w:rsid w:val="001C4B71"/>
    <w:rsid w:val="001C65BC"/>
    <w:rsid w:val="001D351C"/>
    <w:rsid w:val="001E0CF8"/>
    <w:rsid w:val="001E3C6F"/>
    <w:rsid w:val="001E6595"/>
    <w:rsid w:val="001F0CD9"/>
    <w:rsid w:val="001F1366"/>
    <w:rsid w:val="002077E6"/>
    <w:rsid w:val="002119F1"/>
    <w:rsid w:val="00216527"/>
    <w:rsid w:val="00225CCB"/>
    <w:rsid w:val="00226121"/>
    <w:rsid w:val="0023106A"/>
    <w:rsid w:val="00232939"/>
    <w:rsid w:val="002353AE"/>
    <w:rsid w:val="00237D05"/>
    <w:rsid w:val="00240989"/>
    <w:rsid w:val="00254D75"/>
    <w:rsid w:val="00263637"/>
    <w:rsid w:val="002751E9"/>
    <w:rsid w:val="002757C1"/>
    <w:rsid w:val="00276114"/>
    <w:rsid w:val="00292C42"/>
    <w:rsid w:val="00292FAD"/>
    <w:rsid w:val="002A56E6"/>
    <w:rsid w:val="002B1D17"/>
    <w:rsid w:val="002B1E0A"/>
    <w:rsid w:val="002B3ABF"/>
    <w:rsid w:val="002B53DB"/>
    <w:rsid w:val="002C0EE9"/>
    <w:rsid w:val="002C1E7E"/>
    <w:rsid w:val="002C28F2"/>
    <w:rsid w:val="002C56C9"/>
    <w:rsid w:val="002C6A3D"/>
    <w:rsid w:val="002C6EDD"/>
    <w:rsid w:val="002D0F96"/>
    <w:rsid w:val="002D567A"/>
    <w:rsid w:val="002E18CC"/>
    <w:rsid w:val="002E3427"/>
    <w:rsid w:val="002E399D"/>
    <w:rsid w:val="002E4678"/>
    <w:rsid w:val="002E554F"/>
    <w:rsid w:val="002E649D"/>
    <w:rsid w:val="002F1895"/>
    <w:rsid w:val="00303C79"/>
    <w:rsid w:val="0031183B"/>
    <w:rsid w:val="003122EC"/>
    <w:rsid w:val="003177D6"/>
    <w:rsid w:val="00326200"/>
    <w:rsid w:val="0033597A"/>
    <w:rsid w:val="00336B40"/>
    <w:rsid w:val="00336EEA"/>
    <w:rsid w:val="003517F5"/>
    <w:rsid w:val="00364A2F"/>
    <w:rsid w:val="00365817"/>
    <w:rsid w:val="003704B0"/>
    <w:rsid w:val="00371D78"/>
    <w:rsid w:val="00374BD2"/>
    <w:rsid w:val="00375DE0"/>
    <w:rsid w:val="00376A09"/>
    <w:rsid w:val="003816E2"/>
    <w:rsid w:val="00381B5A"/>
    <w:rsid w:val="00386CF7"/>
    <w:rsid w:val="00393FC3"/>
    <w:rsid w:val="00395E28"/>
    <w:rsid w:val="003A1DCE"/>
    <w:rsid w:val="003B0104"/>
    <w:rsid w:val="003B51D3"/>
    <w:rsid w:val="003C0C7C"/>
    <w:rsid w:val="003D261E"/>
    <w:rsid w:val="003D328D"/>
    <w:rsid w:val="003E10DF"/>
    <w:rsid w:val="003F0F08"/>
    <w:rsid w:val="003F126E"/>
    <w:rsid w:val="003F6EFF"/>
    <w:rsid w:val="0040078E"/>
    <w:rsid w:val="004014CD"/>
    <w:rsid w:val="004048B6"/>
    <w:rsid w:val="00411654"/>
    <w:rsid w:val="00413350"/>
    <w:rsid w:val="00420324"/>
    <w:rsid w:val="00422562"/>
    <w:rsid w:val="00422F1C"/>
    <w:rsid w:val="00424D77"/>
    <w:rsid w:val="00426681"/>
    <w:rsid w:val="00427AE0"/>
    <w:rsid w:val="00434588"/>
    <w:rsid w:val="00434FD2"/>
    <w:rsid w:val="0045005C"/>
    <w:rsid w:val="004503EE"/>
    <w:rsid w:val="004547AA"/>
    <w:rsid w:val="0045667E"/>
    <w:rsid w:val="004619D7"/>
    <w:rsid w:val="004715EC"/>
    <w:rsid w:val="00471AC1"/>
    <w:rsid w:val="00473A9D"/>
    <w:rsid w:val="00475265"/>
    <w:rsid w:val="00476B14"/>
    <w:rsid w:val="00485F52"/>
    <w:rsid w:val="00487020"/>
    <w:rsid w:val="004873C3"/>
    <w:rsid w:val="00487C84"/>
    <w:rsid w:val="004926A3"/>
    <w:rsid w:val="00497471"/>
    <w:rsid w:val="004B1172"/>
    <w:rsid w:val="004B4286"/>
    <w:rsid w:val="004B6FEB"/>
    <w:rsid w:val="004C3441"/>
    <w:rsid w:val="004C4D3E"/>
    <w:rsid w:val="004D51D3"/>
    <w:rsid w:val="004D5C20"/>
    <w:rsid w:val="004D616E"/>
    <w:rsid w:val="004E3467"/>
    <w:rsid w:val="004E4232"/>
    <w:rsid w:val="004F16D0"/>
    <w:rsid w:val="004F504E"/>
    <w:rsid w:val="00501BE2"/>
    <w:rsid w:val="0050248D"/>
    <w:rsid w:val="00503DCA"/>
    <w:rsid w:val="00513CF1"/>
    <w:rsid w:val="0051695A"/>
    <w:rsid w:val="005206DC"/>
    <w:rsid w:val="00525C93"/>
    <w:rsid w:val="005309E6"/>
    <w:rsid w:val="00535BAC"/>
    <w:rsid w:val="00541CEA"/>
    <w:rsid w:val="005477EE"/>
    <w:rsid w:val="005525FB"/>
    <w:rsid w:val="00552938"/>
    <w:rsid w:val="005559AC"/>
    <w:rsid w:val="00567F2F"/>
    <w:rsid w:val="005712F8"/>
    <w:rsid w:val="00571432"/>
    <w:rsid w:val="0057285B"/>
    <w:rsid w:val="0057747F"/>
    <w:rsid w:val="00585607"/>
    <w:rsid w:val="005863C7"/>
    <w:rsid w:val="00594EB9"/>
    <w:rsid w:val="00595DB5"/>
    <w:rsid w:val="005A7448"/>
    <w:rsid w:val="005A79DF"/>
    <w:rsid w:val="005B23DC"/>
    <w:rsid w:val="005B3682"/>
    <w:rsid w:val="005B546A"/>
    <w:rsid w:val="005C6418"/>
    <w:rsid w:val="005C7927"/>
    <w:rsid w:val="005D43F3"/>
    <w:rsid w:val="005D7419"/>
    <w:rsid w:val="005D7A97"/>
    <w:rsid w:val="005E2079"/>
    <w:rsid w:val="005E3AD3"/>
    <w:rsid w:val="005E3C50"/>
    <w:rsid w:val="005E5DD8"/>
    <w:rsid w:val="005E617F"/>
    <w:rsid w:val="005F06A8"/>
    <w:rsid w:val="005F1931"/>
    <w:rsid w:val="005F7993"/>
    <w:rsid w:val="00617424"/>
    <w:rsid w:val="00621E52"/>
    <w:rsid w:val="00621E97"/>
    <w:rsid w:val="00623E49"/>
    <w:rsid w:val="0063321E"/>
    <w:rsid w:val="006347F7"/>
    <w:rsid w:val="00634B3E"/>
    <w:rsid w:val="006407A9"/>
    <w:rsid w:val="00640838"/>
    <w:rsid w:val="00652166"/>
    <w:rsid w:val="00661848"/>
    <w:rsid w:val="00661932"/>
    <w:rsid w:val="006650D5"/>
    <w:rsid w:val="00665A7A"/>
    <w:rsid w:val="00676075"/>
    <w:rsid w:val="00683820"/>
    <w:rsid w:val="006860E3"/>
    <w:rsid w:val="00696E8A"/>
    <w:rsid w:val="0069757B"/>
    <w:rsid w:val="006A10E3"/>
    <w:rsid w:val="006A1B53"/>
    <w:rsid w:val="006A7EA5"/>
    <w:rsid w:val="006B0056"/>
    <w:rsid w:val="006B42EC"/>
    <w:rsid w:val="006C2B1A"/>
    <w:rsid w:val="006C63C9"/>
    <w:rsid w:val="006D0A10"/>
    <w:rsid w:val="006D0E91"/>
    <w:rsid w:val="006D307E"/>
    <w:rsid w:val="006D5D3E"/>
    <w:rsid w:val="006D7ECC"/>
    <w:rsid w:val="006E1AC9"/>
    <w:rsid w:val="006E354D"/>
    <w:rsid w:val="006F1805"/>
    <w:rsid w:val="006F1A0B"/>
    <w:rsid w:val="006F2110"/>
    <w:rsid w:val="006F49CC"/>
    <w:rsid w:val="006F5CF3"/>
    <w:rsid w:val="006F749A"/>
    <w:rsid w:val="00701047"/>
    <w:rsid w:val="00704F88"/>
    <w:rsid w:val="00711990"/>
    <w:rsid w:val="00714311"/>
    <w:rsid w:val="00715408"/>
    <w:rsid w:val="00723001"/>
    <w:rsid w:val="00725034"/>
    <w:rsid w:val="007252C6"/>
    <w:rsid w:val="00732AB8"/>
    <w:rsid w:val="00740A2B"/>
    <w:rsid w:val="00741621"/>
    <w:rsid w:val="007435DE"/>
    <w:rsid w:val="00750704"/>
    <w:rsid w:val="00751EB5"/>
    <w:rsid w:val="00753761"/>
    <w:rsid w:val="00763E2D"/>
    <w:rsid w:val="007766BF"/>
    <w:rsid w:val="00776953"/>
    <w:rsid w:val="00781B72"/>
    <w:rsid w:val="00790458"/>
    <w:rsid w:val="00792CA5"/>
    <w:rsid w:val="00795E66"/>
    <w:rsid w:val="007A2E86"/>
    <w:rsid w:val="007A2F27"/>
    <w:rsid w:val="007A5494"/>
    <w:rsid w:val="007A558C"/>
    <w:rsid w:val="007A73BE"/>
    <w:rsid w:val="007A74D5"/>
    <w:rsid w:val="007B0311"/>
    <w:rsid w:val="007C0314"/>
    <w:rsid w:val="007C3ED6"/>
    <w:rsid w:val="007D06AB"/>
    <w:rsid w:val="007D1D6D"/>
    <w:rsid w:val="007D3571"/>
    <w:rsid w:val="007E34FA"/>
    <w:rsid w:val="007E62E2"/>
    <w:rsid w:val="007E7DA1"/>
    <w:rsid w:val="007F421D"/>
    <w:rsid w:val="007F4E9D"/>
    <w:rsid w:val="007F7623"/>
    <w:rsid w:val="00800788"/>
    <w:rsid w:val="00802D43"/>
    <w:rsid w:val="0080336A"/>
    <w:rsid w:val="00806AAF"/>
    <w:rsid w:val="0082249C"/>
    <w:rsid w:val="00824595"/>
    <w:rsid w:val="0082628A"/>
    <w:rsid w:val="008274EE"/>
    <w:rsid w:val="00827DF9"/>
    <w:rsid w:val="0083430C"/>
    <w:rsid w:val="008364FD"/>
    <w:rsid w:val="008376D1"/>
    <w:rsid w:val="008469E6"/>
    <w:rsid w:val="00846C6E"/>
    <w:rsid w:val="008500C4"/>
    <w:rsid w:val="00850A5A"/>
    <w:rsid w:val="008557DB"/>
    <w:rsid w:val="00861CAF"/>
    <w:rsid w:val="00861DEC"/>
    <w:rsid w:val="008666EE"/>
    <w:rsid w:val="00871CE1"/>
    <w:rsid w:val="00876557"/>
    <w:rsid w:val="00881091"/>
    <w:rsid w:val="0088234A"/>
    <w:rsid w:val="0088248F"/>
    <w:rsid w:val="0088303A"/>
    <w:rsid w:val="00886305"/>
    <w:rsid w:val="008866E6"/>
    <w:rsid w:val="00892E6C"/>
    <w:rsid w:val="00893429"/>
    <w:rsid w:val="00897670"/>
    <w:rsid w:val="008A581E"/>
    <w:rsid w:val="008B0B16"/>
    <w:rsid w:val="008B0C04"/>
    <w:rsid w:val="008B3FBE"/>
    <w:rsid w:val="008B5CBD"/>
    <w:rsid w:val="008B607A"/>
    <w:rsid w:val="008B7B72"/>
    <w:rsid w:val="008C159E"/>
    <w:rsid w:val="008C2016"/>
    <w:rsid w:val="008C4A25"/>
    <w:rsid w:val="008D0877"/>
    <w:rsid w:val="008E25DC"/>
    <w:rsid w:val="008E4E73"/>
    <w:rsid w:val="008E664A"/>
    <w:rsid w:val="008F365A"/>
    <w:rsid w:val="008F50BD"/>
    <w:rsid w:val="008F5BAF"/>
    <w:rsid w:val="008F6E2C"/>
    <w:rsid w:val="00900BE2"/>
    <w:rsid w:val="0090207F"/>
    <w:rsid w:val="00906520"/>
    <w:rsid w:val="00931A96"/>
    <w:rsid w:val="00931CC1"/>
    <w:rsid w:val="00931EA2"/>
    <w:rsid w:val="0093588E"/>
    <w:rsid w:val="009376ED"/>
    <w:rsid w:val="009446B1"/>
    <w:rsid w:val="0095030F"/>
    <w:rsid w:val="009511E0"/>
    <w:rsid w:val="00951D4B"/>
    <w:rsid w:val="0095330D"/>
    <w:rsid w:val="00972117"/>
    <w:rsid w:val="00980B16"/>
    <w:rsid w:val="00985326"/>
    <w:rsid w:val="00987354"/>
    <w:rsid w:val="009928D3"/>
    <w:rsid w:val="0099325A"/>
    <w:rsid w:val="00993D72"/>
    <w:rsid w:val="009A0747"/>
    <w:rsid w:val="009A0A22"/>
    <w:rsid w:val="009A309F"/>
    <w:rsid w:val="009A3DA1"/>
    <w:rsid w:val="009A7C18"/>
    <w:rsid w:val="009B29D8"/>
    <w:rsid w:val="009B3662"/>
    <w:rsid w:val="009B44D3"/>
    <w:rsid w:val="009B5F78"/>
    <w:rsid w:val="009B6537"/>
    <w:rsid w:val="009B6BE1"/>
    <w:rsid w:val="009B7841"/>
    <w:rsid w:val="009B7CE3"/>
    <w:rsid w:val="009C11EA"/>
    <w:rsid w:val="009C34FA"/>
    <w:rsid w:val="009D1B6D"/>
    <w:rsid w:val="009D2954"/>
    <w:rsid w:val="009E03DA"/>
    <w:rsid w:val="009E06A5"/>
    <w:rsid w:val="009F1188"/>
    <w:rsid w:val="009F4E8A"/>
    <w:rsid w:val="009F7AB2"/>
    <w:rsid w:val="00A017F2"/>
    <w:rsid w:val="00A03A19"/>
    <w:rsid w:val="00A04DBE"/>
    <w:rsid w:val="00A04FE8"/>
    <w:rsid w:val="00A11260"/>
    <w:rsid w:val="00A16473"/>
    <w:rsid w:val="00A16D05"/>
    <w:rsid w:val="00A26F88"/>
    <w:rsid w:val="00A318B2"/>
    <w:rsid w:val="00A31E1E"/>
    <w:rsid w:val="00A3588F"/>
    <w:rsid w:val="00A3763A"/>
    <w:rsid w:val="00A402C6"/>
    <w:rsid w:val="00A40E93"/>
    <w:rsid w:val="00A41A0E"/>
    <w:rsid w:val="00A5323B"/>
    <w:rsid w:val="00A53659"/>
    <w:rsid w:val="00A53920"/>
    <w:rsid w:val="00A55422"/>
    <w:rsid w:val="00A56085"/>
    <w:rsid w:val="00A62E67"/>
    <w:rsid w:val="00A658B5"/>
    <w:rsid w:val="00A666E2"/>
    <w:rsid w:val="00A675E3"/>
    <w:rsid w:val="00A714E2"/>
    <w:rsid w:val="00A71F9B"/>
    <w:rsid w:val="00A72BB2"/>
    <w:rsid w:val="00A73AB0"/>
    <w:rsid w:val="00A73E5B"/>
    <w:rsid w:val="00A767ED"/>
    <w:rsid w:val="00A848BD"/>
    <w:rsid w:val="00A869D5"/>
    <w:rsid w:val="00A92228"/>
    <w:rsid w:val="00A966FA"/>
    <w:rsid w:val="00AA47E2"/>
    <w:rsid w:val="00AB04E0"/>
    <w:rsid w:val="00AB1C79"/>
    <w:rsid w:val="00AB4702"/>
    <w:rsid w:val="00AC262A"/>
    <w:rsid w:val="00AC2BB4"/>
    <w:rsid w:val="00AC2CA1"/>
    <w:rsid w:val="00AC4E35"/>
    <w:rsid w:val="00AC7CFA"/>
    <w:rsid w:val="00AD384A"/>
    <w:rsid w:val="00AE058F"/>
    <w:rsid w:val="00AE1A3A"/>
    <w:rsid w:val="00AE3790"/>
    <w:rsid w:val="00AF1BF0"/>
    <w:rsid w:val="00AF2131"/>
    <w:rsid w:val="00AF7555"/>
    <w:rsid w:val="00B02B82"/>
    <w:rsid w:val="00B05470"/>
    <w:rsid w:val="00B0709A"/>
    <w:rsid w:val="00B07351"/>
    <w:rsid w:val="00B1238D"/>
    <w:rsid w:val="00B1557A"/>
    <w:rsid w:val="00B23141"/>
    <w:rsid w:val="00B263EB"/>
    <w:rsid w:val="00B272BA"/>
    <w:rsid w:val="00B31699"/>
    <w:rsid w:val="00B6370E"/>
    <w:rsid w:val="00B6797B"/>
    <w:rsid w:val="00B71245"/>
    <w:rsid w:val="00B84192"/>
    <w:rsid w:val="00B911A1"/>
    <w:rsid w:val="00B949F8"/>
    <w:rsid w:val="00B95D35"/>
    <w:rsid w:val="00B97233"/>
    <w:rsid w:val="00B978E4"/>
    <w:rsid w:val="00B97B22"/>
    <w:rsid w:val="00BA2834"/>
    <w:rsid w:val="00BA5D6A"/>
    <w:rsid w:val="00BB28B4"/>
    <w:rsid w:val="00BC05BB"/>
    <w:rsid w:val="00BC0A3F"/>
    <w:rsid w:val="00BC3C6C"/>
    <w:rsid w:val="00BC3DDA"/>
    <w:rsid w:val="00BC6B85"/>
    <w:rsid w:val="00BC6E03"/>
    <w:rsid w:val="00BC7ACE"/>
    <w:rsid w:val="00BD1D71"/>
    <w:rsid w:val="00BD21F7"/>
    <w:rsid w:val="00BD2C9E"/>
    <w:rsid w:val="00BD6D92"/>
    <w:rsid w:val="00BD7E3A"/>
    <w:rsid w:val="00BE2257"/>
    <w:rsid w:val="00BE63D9"/>
    <w:rsid w:val="00C123DE"/>
    <w:rsid w:val="00C12967"/>
    <w:rsid w:val="00C12E93"/>
    <w:rsid w:val="00C22772"/>
    <w:rsid w:val="00C22965"/>
    <w:rsid w:val="00C23836"/>
    <w:rsid w:val="00C23A73"/>
    <w:rsid w:val="00C24B1D"/>
    <w:rsid w:val="00C33CBE"/>
    <w:rsid w:val="00C42E14"/>
    <w:rsid w:val="00C443F6"/>
    <w:rsid w:val="00C45069"/>
    <w:rsid w:val="00C50BD8"/>
    <w:rsid w:val="00C51904"/>
    <w:rsid w:val="00C54C6B"/>
    <w:rsid w:val="00C561FC"/>
    <w:rsid w:val="00C56EBC"/>
    <w:rsid w:val="00C62E91"/>
    <w:rsid w:val="00C631A0"/>
    <w:rsid w:val="00C6515F"/>
    <w:rsid w:val="00C65D6C"/>
    <w:rsid w:val="00C6601B"/>
    <w:rsid w:val="00C800EF"/>
    <w:rsid w:val="00C864CE"/>
    <w:rsid w:val="00C8756F"/>
    <w:rsid w:val="00CA4A8A"/>
    <w:rsid w:val="00CA57F3"/>
    <w:rsid w:val="00CB331B"/>
    <w:rsid w:val="00CB5FBB"/>
    <w:rsid w:val="00CC6A5C"/>
    <w:rsid w:val="00CD782E"/>
    <w:rsid w:val="00CE07C9"/>
    <w:rsid w:val="00CE5838"/>
    <w:rsid w:val="00CE6584"/>
    <w:rsid w:val="00CF1B4C"/>
    <w:rsid w:val="00CF2682"/>
    <w:rsid w:val="00CF690F"/>
    <w:rsid w:val="00D013C9"/>
    <w:rsid w:val="00D1270C"/>
    <w:rsid w:val="00D13194"/>
    <w:rsid w:val="00D1604B"/>
    <w:rsid w:val="00D21E8A"/>
    <w:rsid w:val="00D23E0A"/>
    <w:rsid w:val="00D27EC1"/>
    <w:rsid w:val="00D311E5"/>
    <w:rsid w:val="00D328AE"/>
    <w:rsid w:val="00D34E0E"/>
    <w:rsid w:val="00D45D6A"/>
    <w:rsid w:val="00D47A4C"/>
    <w:rsid w:val="00D47F01"/>
    <w:rsid w:val="00D5175A"/>
    <w:rsid w:val="00D562FC"/>
    <w:rsid w:val="00D6133B"/>
    <w:rsid w:val="00D6152D"/>
    <w:rsid w:val="00D6159B"/>
    <w:rsid w:val="00D65854"/>
    <w:rsid w:val="00D66906"/>
    <w:rsid w:val="00D70211"/>
    <w:rsid w:val="00D75183"/>
    <w:rsid w:val="00D81CB4"/>
    <w:rsid w:val="00D85015"/>
    <w:rsid w:val="00D90445"/>
    <w:rsid w:val="00D92B36"/>
    <w:rsid w:val="00D96D00"/>
    <w:rsid w:val="00D9785D"/>
    <w:rsid w:val="00DA387F"/>
    <w:rsid w:val="00DA3C62"/>
    <w:rsid w:val="00DA7C23"/>
    <w:rsid w:val="00DB2262"/>
    <w:rsid w:val="00DB362E"/>
    <w:rsid w:val="00DB6567"/>
    <w:rsid w:val="00DB6940"/>
    <w:rsid w:val="00DB70A2"/>
    <w:rsid w:val="00DC3C4F"/>
    <w:rsid w:val="00DC44B7"/>
    <w:rsid w:val="00DD3CE0"/>
    <w:rsid w:val="00DD65D6"/>
    <w:rsid w:val="00DD7C54"/>
    <w:rsid w:val="00DE1AF2"/>
    <w:rsid w:val="00DE1C19"/>
    <w:rsid w:val="00DF1788"/>
    <w:rsid w:val="00DF449A"/>
    <w:rsid w:val="00E01F1C"/>
    <w:rsid w:val="00E04326"/>
    <w:rsid w:val="00E070CD"/>
    <w:rsid w:val="00E100F9"/>
    <w:rsid w:val="00E14ED9"/>
    <w:rsid w:val="00E15D94"/>
    <w:rsid w:val="00E16226"/>
    <w:rsid w:val="00E2191B"/>
    <w:rsid w:val="00E21D45"/>
    <w:rsid w:val="00E23E6A"/>
    <w:rsid w:val="00E26D8D"/>
    <w:rsid w:val="00E311D0"/>
    <w:rsid w:val="00E31358"/>
    <w:rsid w:val="00E357C0"/>
    <w:rsid w:val="00E43D2C"/>
    <w:rsid w:val="00E54127"/>
    <w:rsid w:val="00E54FC9"/>
    <w:rsid w:val="00E55F2E"/>
    <w:rsid w:val="00E63E36"/>
    <w:rsid w:val="00E70224"/>
    <w:rsid w:val="00E7184C"/>
    <w:rsid w:val="00E812CB"/>
    <w:rsid w:val="00E86173"/>
    <w:rsid w:val="00E958AE"/>
    <w:rsid w:val="00E97A38"/>
    <w:rsid w:val="00EA627D"/>
    <w:rsid w:val="00EA6664"/>
    <w:rsid w:val="00EB16E4"/>
    <w:rsid w:val="00EB4A4A"/>
    <w:rsid w:val="00EC29AE"/>
    <w:rsid w:val="00EC378F"/>
    <w:rsid w:val="00EC6FDC"/>
    <w:rsid w:val="00ED117E"/>
    <w:rsid w:val="00ED1BD3"/>
    <w:rsid w:val="00ED409A"/>
    <w:rsid w:val="00EE2409"/>
    <w:rsid w:val="00EE3592"/>
    <w:rsid w:val="00EE5997"/>
    <w:rsid w:val="00EE7165"/>
    <w:rsid w:val="00EF11BE"/>
    <w:rsid w:val="00EF3D3F"/>
    <w:rsid w:val="00EF5AF2"/>
    <w:rsid w:val="00F068D4"/>
    <w:rsid w:val="00F070D3"/>
    <w:rsid w:val="00F0742E"/>
    <w:rsid w:val="00F122B4"/>
    <w:rsid w:val="00F17963"/>
    <w:rsid w:val="00F26508"/>
    <w:rsid w:val="00F316D4"/>
    <w:rsid w:val="00F339E7"/>
    <w:rsid w:val="00F35B45"/>
    <w:rsid w:val="00F3642F"/>
    <w:rsid w:val="00F43CD8"/>
    <w:rsid w:val="00F466C1"/>
    <w:rsid w:val="00F46B4E"/>
    <w:rsid w:val="00F473F4"/>
    <w:rsid w:val="00F50A16"/>
    <w:rsid w:val="00F557E3"/>
    <w:rsid w:val="00F60619"/>
    <w:rsid w:val="00F611CF"/>
    <w:rsid w:val="00F64D0A"/>
    <w:rsid w:val="00F702E4"/>
    <w:rsid w:val="00F749BA"/>
    <w:rsid w:val="00F74C87"/>
    <w:rsid w:val="00F74EE5"/>
    <w:rsid w:val="00F75F24"/>
    <w:rsid w:val="00F84525"/>
    <w:rsid w:val="00F8540C"/>
    <w:rsid w:val="00F85C38"/>
    <w:rsid w:val="00F968AC"/>
    <w:rsid w:val="00F973C6"/>
    <w:rsid w:val="00FA1EE3"/>
    <w:rsid w:val="00FA43F2"/>
    <w:rsid w:val="00FB1531"/>
    <w:rsid w:val="00FD304B"/>
    <w:rsid w:val="00FD4DA1"/>
    <w:rsid w:val="00FF0F30"/>
    <w:rsid w:val="00FF2993"/>
    <w:rsid w:val="00FF75EA"/>
    <w:rsid w:val="00FF7D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40E98E"/>
  <w15:docId w15:val="{5B5BEEA7-A525-7449-BE33-22724E3F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581E"/>
  </w:style>
  <w:style w:type="table" w:styleId="TableGrid">
    <w:name w:val="Table Grid"/>
    <w:basedOn w:val="TableNormal"/>
    <w:uiPriority w:val="39"/>
    <w:rsid w:val="006F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65BC"/>
    <w:rPr>
      <w:sz w:val="18"/>
      <w:szCs w:val="18"/>
    </w:rPr>
  </w:style>
  <w:style w:type="paragraph" w:styleId="CommentText">
    <w:name w:val="annotation text"/>
    <w:basedOn w:val="Normal"/>
    <w:link w:val="CommentTextChar"/>
    <w:uiPriority w:val="99"/>
    <w:semiHidden/>
    <w:unhideWhenUsed/>
    <w:rsid w:val="001C65BC"/>
    <w:pPr>
      <w:spacing w:line="240" w:lineRule="auto"/>
    </w:pPr>
    <w:rPr>
      <w:sz w:val="24"/>
      <w:szCs w:val="24"/>
    </w:rPr>
  </w:style>
  <w:style w:type="character" w:customStyle="1" w:styleId="CommentTextChar">
    <w:name w:val="Comment Text Char"/>
    <w:basedOn w:val="DefaultParagraphFont"/>
    <w:link w:val="CommentText"/>
    <w:uiPriority w:val="99"/>
    <w:semiHidden/>
    <w:rsid w:val="001C65BC"/>
    <w:rPr>
      <w:sz w:val="24"/>
      <w:szCs w:val="24"/>
    </w:rPr>
  </w:style>
  <w:style w:type="paragraph" w:styleId="CommentSubject">
    <w:name w:val="annotation subject"/>
    <w:basedOn w:val="CommentText"/>
    <w:next w:val="CommentText"/>
    <w:link w:val="CommentSubjectChar"/>
    <w:uiPriority w:val="99"/>
    <w:semiHidden/>
    <w:unhideWhenUsed/>
    <w:rsid w:val="001C65BC"/>
    <w:rPr>
      <w:b/>
      <w:bCs/>
      <w:sz w:val="20"/>
      <w:szCs w:val="20"/>
    </w:rPr>
  </w:style>
  <w:style w:type="character" w:customStyle="1" w:styleId="CommentSubjectChar">
    <w:name w:val="Comment Subject Char"/>
    <w:basedOn w:val="CommentTextChar"/>
    <w:link w:val="CommentSubject"/>
    <w:uiPriority w:val="99"/>
    <w:semiHidden/>
    <w:rsid w:val="001C65BC"/>
    <w:rPr>
      <w:b/>
      <w:bCs/>
      <w:sz w:val="20"/>
      <w:szCs w:val="20"/>
    </w:rPr>
  </w:style>
  <w:style w:type="paragraph" w:styleId="BalloonText">
    <w:name w:val="Balloon Text"/>
    <w:basedOn w:val="Normal"/>
    <w:link w:val="BalloonTextChar"/>
    <w:uiPriority w:val="99"/>
    <w:semiHidden/>
    <w:unhideWhenUsed/>
    <w:rsid w:val="001C65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65BC"/>
    <w:rPr>
      <w:rFonts w:ascii="Lucida Grande" w:hAnsi="Lucida Grande" w:cs="Lucida Grande"/>
      <w:sz w:val="18"/>
      <w:szCs w:val="18"/>
    </w:rPr>
  </w:style>
  <w:style w:type="character" w:styleId="Hyperlink">
    <w:name w:val="Hyperlink"/>
    <w:uiPriority w:val="99"/>
    <w:semiHidden/>
    <w:unhideWhenUsed/>
    <w:rsid w:val="00B272BA"/>
    <w:rPr>
      <w:color w:val="0000FF"/>
      <w:u w:val="single"/>
    </w:rPr>
  </w:style>
  <w:style w:type="paragraph" w:customStyle="1" w:styleId="EndNoteBibliographyTitle">
    <w:name w:val="EndNote Bibliography Title"/>
    <w:basedOn w:val="Normal"/>
    <w:rsid w:val="00B911A1"/>
    <w:pPr>
      <w:spacing w:after="0"/>
      <w:jc w:val="center"/>
    </w:pPr>
    <w:rPr>
      <w:rFonts w:ascii="Calibri" w:hAnsi="Calibri"/>
      <w:lang w:val="en-US"/>
    </w:rPr>
  </w:style>
  <w:style w:type="paragraph" w:customStyle="1" w:styleId="EndNoteBibliography">
    <w:name w:val="EndNote Bibliography"/>
    <w:basedOn w:val="Normal"/>
    <w:rsid w:val="00B911A1"/>
    <w:pPr>
      <w:spacing w:line="240" w:lineRule="auto"/>
    </w:pPr>
    <w:rPr>
      <w:rFonts w:ascii="Calibri" w:hAnsi="Calibri"/>
      <w:lang w:val="en-US"/>
    </w:rPr>
  </w:style>
  <w:style w:type="paragraph" w:styleId="Revision">
    <w:name w:val="Revision"/>
    <w:hidden/>
    <w:uiPriority w:val="99"/>
    <w:semiHidden/>
    <w:rsid w:val="0023106A"/>
    <w:pPr>
      <w:spacing w:after="0" w:line="240" w:lineRule="auto"/>
    </w:pPr>
  </w:style>
  <w:style w:type="paragraph" w:styleId="ListParagraph">
    <w:name w:val="List Paragraph"/>
    <w:basedOn w:val="Normal"/>
    <w:uiPriority w:val="34"/>
    <w:qFormat/>
    <w:rsid w:val="0080336A"/>
    <w:pPr>
      <w:ind w:left="720"/>
      <w:contextualSpacing/>
    </w:pPr>
  </w:style>
  <w:style w:type="paragraph" w:styleId="Header">
    <w:name w:val="header"/>
    <w:basedOn w:val="Normal"/>
    <w:link w:val="HeaderChar"/>
    <w:uiPriority w:val="99"/>
    <w:unhideWhenUsed/>
    <w:rsid w:val="00BB2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4"/>
  </w:style>
  <w:style w:type="paragraph" w:styleId="Footer">
    <w:name w:val="footer"/>
    <w:basedOn w:val="Normal"/>
    <w:link w:val="FooterChar"/>
    <w:uiPriority w:val="99"/>
    <w:unhideWhenUsed/>
    <w:rsid w:val="00BB2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4"/>
  </w:style>
  <w:style w:type="paragraph" w:customStyle="1" w:styleId="Title1">
    <w:name w:val="Title1"/>
    <w:basedOn w:val="Normal"/>
    <w:rsid w:val="00A67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A67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A67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A675E3"/>
  </w:style>
  <w:style w:type="paragraph" w:styleId="EndnoteText">
    <w:name w:val="endnote text"/>
    <w:basedOn w:val="Normal"/>
    <w:link w:val="EndnoteTextChar"/>
    <w:uiPriority w:val="99"/>
    <w:unhideWhenUsed/>
    <w:rsid w:val="00E04326"/>
    <w:pPr>
      <w:spacing w:after="0" w:line="240" w:lineRule="auto"/>
    </w:pPr>
    <w:rPr>
      <w:rFonts w:ascii="Calibri" w:eastAsia="MS Mincho" w:hAnsi="Calibri" w:cs="Times New Roman"/>
      <w:sz w:val="20"/>
      <w:szCs w:val="20"/>
      <w:lang w:val="en-US"/>
    </w:rPr>
  </w:style>
  <w:style w:type="character" w:customStyle="1" w:styleId="EndnoteTextChar">
    <w:name w:val="Endnote Text Char"/>
    <w:basedOn w:val="DefaultParagraphFont"/>
    <w:link w:val="EndnoteText"/>
    <w:uiPriority w:val="99"/>
    <w:rsid w:val="00E04326"/>
    <w:rPr>
      <w:rFonts w:ascii="Calibri" w:eastAsia="MS Mincho" w:hAnsi="Calibri" w:cs="Times New Roman"/>
      <w:sz w:val="20"/>
      <w:szCs w:val="20"/>
      <w:lang w:val="en-US"/>
    </w:rPr>
  </w:style>
  <w:style w:type="paragraph" w:customStyle="1" w:styleId="msonormal0">
    <w:name w:val="msonormal"/>
    <w:basedOn w:val="Normal"/>
    <w:uiPriority w:val="99"/>
    <w:semiHidden/>
    <w:rsid w:val="007E34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E34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E3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1712">
      <w:bodyDiv w:val="1"/>
      <w:marLeft w:val="0"/>
      <w:marRight w:val="0"/>
      <w:marTop w:val="0"/>
      <w:marBottom w:val="0"/>
      <w:divBdr>
        <w:top w:val="none" w:sz="0" w:space="0" w:color="auto"/>
        <w:left w:val="none" w:sz="0" w:space="0" w:color="auto"/>
        <w:bottom w:val="none" w:sz="0" w:space="0" w:color="auto"/>
        <w:right w:val="none" w:sz="0" w:space="0" w:color="auto"/>
      </w:divBdr>
      <w:divsChild>
        <w:div w:id="163934229">
          <w:marLeft w:val="0"/>
          <w:marRight w:val="0"/>
          <w:marTop w:val="0"/>
          <w:marBottom w:val="0"/>
          <w:divBdr>
            <w:top w:val="none" w:sz="0" w:space="0" w:color="auto"/>
            <w:left w:val="none" w:sz="0" w:space="0" w:color="auto"/>
            <w:bottom w:val="none" w:sz="0" w:space="0" w:color="auto"/>
            <w:right w:val="none" w:sz="0" w:space="0" w:color="auto"/>
          </w:divBdr>
        </w:div>
        <w:div w:id="299112677">
          <w:marLeft w:val="0"/>
          <w:marRight w:val="0"/>
          <w:marTop w:val="0"/>
          <w:marBottom w:val="0"/>
          <w:divBdr>
            <w:top w:val="none" w:sz="0" w:space="0" w:color="auto"/>
            <w:left w:val="none" w:sz="0" w:space="0" w:color="auto"/>
            <w:bottom w:val="none" w:sz="0" w:space="0" w:color="auto"/>
            <w:right w:val="none" w:sz="0" w:space="0" w:color="auto"/>
          </w:divBdr>
        </w:div>
        <w:div w:id="482284038">
          <w:marLeft w:val="0"/>
          <w:marRight w:val="0"/>
          <w:marTop w:val="0"/>
          <w:marBottom w:val="0"/>
          <w:divBdr>
            <w:top w:val="none" w:sz="0" w:space="0" w:color="auto"/>
            <w:left w:val="none" w:sz="0" w:space="0" w:color="auto"/>
            <w:bottom w:val="none" w:sz="0" w:space="0" w:color="auto"/>
            <w:right w:val="none" w:sz="0" w:space="0" w:color="auto"/>
          </w:divBdr>
        </w:div>
        <w:div w:id="1322320028">
          <w:marLeft w:val="0"/>
          <w:marRight w:val="0"/>
          <w:marTop w:val="0"/>
          <w:marBottom w:val="0"/>
          <w:divBdr>
            <w:top w:val="none" w:sz="0" w:space="0" w:color="auto"/>
            <w:left w:val="none" w:sz="0" w:space="0" w:color="auto"/>
            <w:bottom w:val="none" w:sz="0" w:space="0" w:color="auto"/>
            <w:right w:val="none" w:sz="0" w:space="0" w:color="auto"/>
          </w:divBdr>
        </w:div>
        <w:div w:id="1471944254">
          <w:marLeft w:val="0"/>
          <w:marRight w:val="0"/>
          <w:marTop w:val="0"/>
          <w:marBottom w:val="0"/>
          <w:divBdr>
            <w:top w:val="none" w:sz="0" w:space="0" w:color="auto"/>
            <w:left w:val="none" w:sz="0" w:space="0" w:color="auto"/>
            <w:bottom w:val="none" w:sz="0" w:space="0" w:color="auto"/>
            <w:right w:val="none" w:sz="0" w:space="0" w:color="auto"/>
          </w:divBdr>
        </w:div>
        <w:div w:id="1588735276">
          <w:marLeft w:val="0"/>
          <w:marRight w:val="0"/>
          <w:marTop w:val="0"/>
          <w:marBottom w:val="0"/>
          <w:divBdr>
            <w:top w:val="none" w:sz="0" w:space="0" w:color="auto"/>
            <w:left w:val="none" w:sz="0" w:space="0" w:color="auto"/>
            <w:bottom w:val="none" w:sz="0" w:space="0" w:color="auto"/>
            <w:right w:val="none" w:sz="0" w:space="0" w:color="auto"/>
          </w:divBdr>
        </w:div>
      </w:divsChild>
    </w:div>
    <w:div w:id="154300562">
      <w:bodyDiv w:val="1"/>
      <w:marLeft w:val="0"/>
      <w:marRight w:val="0"/>
      <w:marTop w:val="0"/>
      <w:marBottom w:val="0"/>
      <w:divBdr>
        <w:top w:val="none" w:sz="0" w:space="0" w:color="auto"/>
        <w:left w:val="none" w:sz="0" w:space="0" w:color="auto"/>
        <w:bottom w:val="none" w:sz="0" w:space="0" w:color="auto"/>
        <w:right w:val="none" w:sz="0" w:space="0" w:color="auto"/>
      </w:divBdr>
    </w:div>
    <w:div w:id="331762102">
      <w:bodyDiv w:val="1"/>
      <w:marLeft w:val="0"/>
      <w:marRight w:val="0"/>
      <w:marTop w:val="0"/>
      <w:marBottom w:val="0"/>
      <w:divBdr>
        <w:top w:val="none" w:sz="0" w:space="0" w:color="auto"/>
        <w:left w:val="none" w:sz="0" w:space="0" w:color="auto"/>
        <w:bottom w:val="none" w:sz="0" w:space="0" w:color="auto"/>
        <w:right w:val="none" w:sz="0" w:space="0" w:color="auto"/>
      </w:divBdr>
    </w:div>
    <w:div w:id="406805368">
      <w:bodyDiv w:val="1"/>
      <w:marLeft w:val="0"/>
      <w:marRight w:val="0"/>
      <w:marTop w:val="0"/>
      <w:marBottom w:val="0"/>
      <w:divBdr>
        <w:top w:val="none" w:sz="0" w:space="0" w:color="auto"/>
        <w:left w:val="none" w:sz="0" w:space="0" w:color="auto"/>
        <w:bottom w:val="none" w:sz="0" w:space="0" w:color="auto"/>
        <w:right w:val="none" w:sz="0" w:space="0" w:color="auto"/>
      </w:divBdr>
    </w:div>
    <w:div w:id="500386943">
      <w:bodyDiv w:val="1"/>
      <w:marLeft w:val="0"/>
      <w:marRight w:val="0"/>
      <w:marTop w:val="0"/>
      <w:marBottom w:val="0"/>
      <w:divBdr>
        <w:top w:val="none" w:sz="0" w:space="0" w:color="auto"/>
        <w:left w:val="none" w:sz="0" w:space="0" w:color="auto"/>
        <w:bottom w:val="none" w:sz="0" w:space="0" w:color="auto"/>
        <w:right w:val="none" w:sz="0" w:space="0" w:color="auto"/>
      </w:divBdr>
      <w:divsChild>
        <w:div w:id="316349056">
          <w:marLeft w:val="0"/>
          <w:marRight w:val="0"/>
          <w:marTop w:val="0"/>
          <w:marBottom w:val="0"/>
          <w:divBdr>
            <w:top w:val="none" w:sz="0" w:space="0" w:color="auto"/>
            <w:left w:val="none" w:sz="0" w:space="0" w:color="auto"/>
            <w:bottom w:val="none" w:sz="0" w:space="0" w:color="auto"/>
            <w:right w:val="none" w:sz="0" w:space="0" w:color="auto"/>
          </w:divBdr>
        </w:div>
      </w:divsChild>
    </w:div>
    <w:div w:id="658772137">
      <w:bodyDiv w:val="1"/>
      <w:marLeft w:val="0"/>
      <w:marRight w:val="0"/>
      <w:marTop w:val="0"/>
      <w:marBottom w:val="0"/>
      <w:divBdr>
        <w:top w:val="none" w:sz="0" w:space="0" w:color="auto"/>
        <w:left w:val="none" w:sz="0" w:space="0" w:color="auto"/>
        <w:bottom w:val="none" w:sz="0" w:space="0" w:color="auto"/>
        <w:right w:val="none" w:sz="0" w:space="0" w:color="auto"/>
      </w:divBdr>
      <w:divsChild>
        <w:div w:id="1865944567">
          <w:marLeft w:val="0"/>
          <w:marRight w:val="0"/>
          <w:marTop w:val="0"/>
          <w:marBottom w:val="0"/>
          <w:divBdr>
            <w:top w:val="none" w:sz="0" w:space="0" w:color="auto"/>
            <w:left w:val="none" w:sz="0" w:space="0" w:color="auto"/>
            <w:bottom w:val="none" w:sz="0" w:space="0" w:color="auto"/>
            <w:right w:val="none" w:sz="0" w:space="0" w:color="auto"/>
          </w:divBdr>
        </w:div>
        <w:div w:id="1980718371">
          <w:marLeft w:val="0"/>
          <w:marRight w:val="0"/>
          <w:marTop w:val="0"/>
          <w:marBottom w:val="0"/>
          <w:divBdr>
            <w:top w:val="none" w:sz="0" w:space="0" w:color="auto"/>
            <w:left w:val="none" w:sz="0" w:space="0" w:color="auto"/>
            <w:bottom w:val="none" w:sz="0" w:space="0" w:color="auto"/>
            <w:right w:val="none" w:sz="0" w:space="0" w:color="auto"/>
          </w:divBdr>
          <w:divsChild>
            <w:div w:id="10679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9999">
      <w:bodyDiv w:val="1"/>
      <w:marLeft w:val="0"/>
      <w:marRight w:val="0"/>
      <w:marTop w:val="0"/>
      <w:marBottom w:val="0"/>
      <w:divBdr>
        <w:top w:val="none" w:sz="0" w:space="0" w:color="auto"/>
        <w:left w:val="none" w:sz="0" w:space="0" w:color="auto"/>
        <w:bottom w:val="none" w:sz="0" w:space="0" w:color="auto"/>
        <w:right w:val="none" w:sz="0" w:space="0" w:color="auto"/>
      </w:divBdr>
    </w:div>
    <w:div w:id="1511336887">
      <w:bodyDiv w:val="1"/>
      <w:marLeft w:val="0"/>
      <w:marRight w:val="0"/>
      <w:marTop w:val="0"/>
      <w:marBottom w:val="0"/>
      <w:divBdr>
        <w:top w:val="none" w:sz="0" w:space="0" w:color="auto"/>
        <w:left w:val="none" w:sz="0" w:space="0" w:color="auto"/>
        <w:bottom w:val="none" w:sz="0" w:space="0" w:color="auto"/>
        <w:right w:val="none" w:sz="0" w:space="0" w:color="auto"/>
      </w:divBdr>
    </w:div>
    <w:div w:id="1643804453">
      <w:bodyDiv w:val="1"/>
      <w:marLeft w:val="0"/>
      <w:marRight w:val="0"/>
      <w:marTop w:val="0"/>
      <w:marBottom w:val="0"/>
      <w:divBdr>
        <w:top w:val="none" w:sz="0" w:space="0" w:color="auto"/>
        <w:left w:val="none" w:sz="0" w:space="0" w:color="auto"/>
        <w:bottom w:val="none" w:sz="0" w:space="0" w:color="auto"/>
        <w:right w:val="none" w:sz="0" w:space="0" w:color="auto"/>
      </w:divBdr>
      <w:divsChild>
        <w:div w:id="84885651">
          <w:marLeft w:val="0"/>
          <w:marRight w:val="0"/>
          <w:marTop w:val="0"/>
          <w:marBottom w:val="0"/>
          <w:divBdr>
            <w:top w:val="none" w:sz="0" w:space="0" w:color="auto"/>
            <w:left w:val="none" w:sz="0" w:space="0" w:color="auto"/>
            <w:bottom w:val="none" w:sz="0" w:space="0" w:color="auto"/>
            <w:right w:val="none" w:sz="0" w:space="0" w:color="auto"/>
          </w:divBdr>
        </w:div>
        <w:div w:id="867065511">
          <w:marLeft w:val="0"/>
          <w:marRight w:val="0"/>
          <w:marTop w:val="0"/>
          <w:marBottom w:val="0"/>
          <w:divBdr>
            <w:top w:val="none" w:sz="0" w:space="0" w:color="auto"/>
            <w:left w:val="none" w:sz="0" w:space="0" w:color="auto"/>
            <w:bottom w:val="none" w:sz="0" w:space="0" w:color="auto"/>
            <w:right w:val="none" w:sz="0" w:space="0" w:color="auto"/>
          </w:divBdr>
        </w:div>
        <w:div w:id="989140956">
          <w:marLeft w:val="0"/>
          <w:marRight w:val="0"/>
          <w:marTop w:val="0"/>
          <w:marBottom w:val="0"/>
          <w:divBdr>
            <w:top w:val="none" w:sz="0" w:space="0" w:color="auto"/>
            <w:left w:val="none" w:sz="0" w:space="0" w:color="auto"/>
            <w:bottom w:val="none" w:sz="0" w:space="0" w:color="auto"/>
            <w:right w:val="none" w:sz="0" w:space="0" w:color="auto"/>
          </w:divBdr>
        </w:div>
        <w:div w:id="1157110112">
          <w:marLeft w:val="0"/>
          <w:marRight w:val="0"/>
          <w:marTop w:val="0"/>
          <w:marBottom w:val="0"/>
          <w:divBdr>
            <w:top w:val="none" w:sz="0" w:space="0" w:color="auto"/>
            <w:left w:val="none" w:sz="0" w:space="0" w:color="auto"/>
            <w:bottom w:val="none" w:sz="0" w:space="0" w:color="auto"/>
            <w:right w:val="none" w:sz="0" w:space="0" w:color="auto"/>
          </w:divBdr>
        </w:div>
        <w:div w:id="1241259863">
          <w:marLeft w:val="0"/>
          <w:marRight w:val="0"/>
          <w:marTop w:val="0"/>
          <w:marBottom w:val="0"/>
          <w:divBdr>
            <w:top w:val="none" w:sz="0" w:space="0" w:color="auto"/>
            <w:left w:val="none" w:sz="0" w:space="0" w:color="auto"/>
            <w:bottom w:val="none" w:sz="0" w:space="0" w:color="auto"/>
            <w:right w:val="none" w:sz="0" w:space="0" w:color="auto"/>
          </w:divBdr>
        </w:div>
        <w:div w:id="1361082594">
          <w:marLeft w:val="0"/>
          <w:marRight w:val="0"/>
          <w:marTop w:val="0"/>
          <w:marBottom w:val="0"/>
          <w:divBdr>
            <w:top w:val="none" w:sz="0" w:space="0" w:color="auto"/>
            <w:left w:val="none" w:sz="0" w:space="0" w:color="auto"/>
            <w:bottom w:val="none" w:sz="0" w:space="0" w:color="auto"/>
            <w:right w:val="none" w:sz="0" w:space="0" w:color="auto"/>
          </w:divBdr>
        </w:div>
        <w:div w:id="1698770872">
          <w:marLeft w:val="0"/>
          <w:marRight w:val="0"/>
          <w:marTop w:val="0"/>
          <w:marBottom w:val="0"/>
          <w:divBdr>
            <w:top w:val="none" w:sz="0" w:space="0" w:color="auto"/>
            <w:left w:val="none" w:sz="0" w:space="0" w:color="auto"/>
            <w:bottom w:val="none" w:sz="0" w:space="0" w:color="auto"/>
            <w:right w:val="none" w:sz="0" w:space="0" w:color="auto"/>
          </w:divBdr>
        </w:div>
        <w:div w:id="1736004333">
          <w:marLeft w:val="0"/>
          <w:marRight w:val="0"/>
          <w:marTop w:val="0"/>
          <w:marBottom w:val="0"/>
          <w:divBdr>
            <w:top w:val="none" w:sz="0" w:space="0" w:color="auto"/>
            <w:left w:val="none" w:sz="0" w:space="0" w:color="auto"/>
            <w:bottom w:val="none" w:sz="0" w:space="0" w:color="auto"/>
            <w:right w:val="none" w:sz="0" w:space="0" w:color="auto"/>
          </w:divBdr>
        </w:div>
        <w:div w:id="1837766209">
          <w:marLeft w:val="0"/>
          <w:marRight w:val="0"/>
          <w:marTop w:val="0"/>
          <w:marBottom w:val="0"/>
          <w:divBdr>
            <w:top w:val="none" w:sz="0" w:space="0" w:color="auto"/>
            <w:left w:val="none" w:sz="0" w:space="0" w:color="auto"/>
            <w:bottom w:val="none" w:sz="0" w:space="0" w:color="auto"/>
            <w:right w:val="none" w:sz="0" w:space="0" w:color="auto"/>
          </w:divBdr>
        </w:div>
        <w:div w:id="1841239368">
          <w:marLeft w:val="0"/>
          <w:marRight w:val="0"/>
          <w:marTop w:val="0"/>
          <w:marBottom w:val="0"/>
          <w:divBdr>
            <w:top w:val="none" w:sz="0" w:space="0" w:color="auto"/>
            <w:left w:val="none" w:sz="0" w:space="0" w:color="auto"/>
            <w:bottom w:val="none" w:sz="0" w:space="0" w:color="auto"/>
            <w:right w:val="none" w:sz="0" w:space="0" w:color="auto"/>
          </w:divBdr>
        </w:div>
      </w:divsChild>
    </w:div>
    <w:div w:id="1870800493">
      <w:bodyDiv w:val="1"/>
      <w:marLeft w:val="0"/>
      <w:marRight w:val="0"/>
      <w:marTop w:val="0"/>
      <w:marBottom w:val="0"/>
      <w:divBdr>
        <w:top w:val="none" w:sz="0" w:space="0" w:color="auto"/>
        <w:left w:val="none" w:sz="0" w:space="0" w:color="auto"/>
        <w:bottom w:val="none" w:sz="0" w:space="0" w:color="auto"/>
        <w:right w:val="none" w:sz="0" w:space="0" w:color="auto"/>
      </w:divBdr>
      <w:divsChild>
        <w:div w:id="771901057">
          <w:marLeft w:val="0"/>
          <w:marRight w:val="0"/>
          <w:marTop w:val="0"/>
          <w:marBottom w:val="0"/>
          <w:divBdr>
            <w:top w:val="none" w:sz="0" w:space="0" w:color="auto"/>
            <w:left w:val="none" w:sz="0" w:space="0" w:color="auto"/>
            <w:bottom w:val="none" w:sz="0" w:space="0" w:color="auto"/>
            <w:right w:val="none" w:sz="0" w:space="0" w:color="auto"/>
          </w:divBdr>
        </w:div>
      </w:divsChild>
    </w:div>
    <w:div w:id="2056270823">
      <w:bodyDiv w:val="1"/>
      <w:marLeft w:val="0"/>
      <w:marRight w:val="0"/>
      <w:marTop w:val="0"/>
      <w:marBottom w:val="0"/>
      <w:divBdr>
        <w:top w:val="none" w:sz="0" w:space="0" w:color="auto"/>
        <w:left w:val="none" w:sz="0" w:space="0" w:color="auto"/>
        <w:bottom w:val="none" w:sz="0" w:space="0" w:color="auto"/>
        <w:right w:val="none" w:sz="0" w:space="0" w:color="auto"/>
      </w:divBdr>
      <w:divsChild>
        <w:div w:id="146226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smamas1@yahoo.co.uk" TargetMode="External"/><Relationship Id="rId13" Type="http://schemas.openxmlformats.org/officeDocument/2006/relationships/header" Target="header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up-us.ahrq.gov/db/hcupdatapartners.jsp"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www.hcup-us.ahrq.gov/nisoverview.jsp"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s://www.hcup-us.ahrq.gov/nisoverview.jsp" TargetMode="External"/><Relationship Id="rId14" Type="http://schemas.openxmlformats.org/officeDocument/2006/relationships/chart" Target="charts/chart2.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file:///\\ufs.istm.keele.ac.uk\homes\My%20Documents\NIS%20project\PCI%20comorbidity\Charlson\Documents\Tables\NIS%20Charlson%20Paper%20Graphs%20and%20Tables%203.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ufs.istm.keele.ac.uk\homes\My%20Documents\NIS%20project\PCI%20comorbidity\Charlson\Documents\Tables\LOS%20and%20COST.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ufs.istm.keele.ac.uk\homes\My%20Documents\NIS%20project\PCI%20comorbidity\Charlson\Documents\Tables\LOS%20and%20COST.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file:///\\ufs.istm.keele.ac.uk\Homes\My%20Documents\NIS%20project\PCI%20comorbidity\Tables\NIS%20Charlson%20Paper%20Graphs%20and%20Tables%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fs.istm.keele.ac.uk\Homes\My%20Documents\NIS%20project\PCI%20comorbidity\Tables\NIS%20Charlson%20Paper%20Graphs%20and%20Tables%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fs.istm.keele.ac.uk\homes\My%20Documents\NIS%20project\PCI%20comorbidity\Tables\Outcomes%20stratified%20by%20CCI%20and%20yea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fs.istm.keele.ac.uk\homes\My%20Documents\NIS%20project\PCI%20comorbidity\Tables\Outcomes%20stratified%20by%20CCI%20and%20ye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'[NIS Charlson Paper Graphs and Tables 3.xlsx]Categorised CCI over time'!$A$9</c:f>
              <c:strCache>
                <c:ptCount val="1"/>
                <c:pt idx="0">
                  <c:v>CCI = 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'[NIS Charlson Paper Graphs and Tables 3.xlsx]Categorised CCI over time'!$B$8:$L$8</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'[NIS Charlson Paper Graphs and Tables 3.xlsx]Categorised CCI over time'!$B$9:$L$9</c:f>
              <c:numCache>
                <c:formatCode>0.00%</c:formatCode>
                <c:ptCount val="11"/>
                <c:pt idx="0">
                  <c:v>0.46600000000000003</c:v>
                </c:pt>
                <c:pt idx="1">
                  <c:v>0.46800000000000003</c:v>
                </c:pt>
                <c:pt idx="2">
                  <c:v>0.45600000000000002</c:v>
                </c:pt>
                <c:pt idx="3">
                  <c:v>0.435</c:v>
                </c:pt>
                <c:pt idx="4">
                  <c:v>0.41799999999999998</c:v>
                </c:pt>
                <c:pt idx="5">
                  <c:v>0.39800000000000002</c:v>
                </c:pt>
                <c:pt idx="6">
                  <c:v>0.39300000000000002</c:v>
                </c:pt>
                <c:pt idx="7">
                  <c:v>0.373</c:v>
                </c:pt>
                <c:pt idx="8">
                  <c:v>0.36599999999999999</c:v>
                </c:pt>
                <c:pt idx="9">
                  <c:v>0.35599999999999998</c:v>
                </c:pt>
                <c:pt idx="10">
                  <c:v>0.34200000000000003</c:v>
                </c:pt>
              </c:numCache>
            </c:numRef>
          </c:val>
          <c:extLst>
            <c:ext xmlns:c16="http://schemas.microsoft.com/office/drawing/2014/chart" uri="{C3380CC4-5D6E-409C-BE32-E72D297353CC}">
              <c16:uniqueId val="{00000000-E9C0-4408-B306-DC1F57AAA106}"/>
            </c:ext>
          </c:extLst>
        </c:ser>
        <c:ser>
          <c:idx val="2"/>
          <c:order val="1"/>
          <c:tx>
            <c:strRef>
              <c:f>'[NIS Charlson Paper Graphs and Tables 3.xlsx]Categorised CCI over time'!$A$10</c:f>
              <c:strCache>
                <c:ptCount val="1"/>
                <c:pt idx="0">
                  <c:v>CCI =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'[NIS Charlson Paper Graphs and Tables 3.xlsx]Categorised CCI over time'!$B$8:$L$8</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'[NIS Charlson Paper Graphs and Tables 3.xlsx]Categorised CCI over time'!$B$10:$L$10</c:f>
              <c:numCache>
                <c:formatCode>0.00%</c:formatCode>
                <c:ptCount val="11"/>
                <c:pt idx="0">
                  <c:v>0.34599999999999997</c:v>
                </c:pt>
                <c:pt idx="1">
                  <c:v>0.34499999999999997</c:v>
                </c:pt>
                <c:pt idx="2">
                  <c:v>0.35199999999999998</c:v>
                </c:pt>
                <c:pt idx="3">
                  <c:v>0.35299999999999998</c:v>
                </c:pt>
                <c:pt idx="4">
                  <c:v>0.35299999999999998</c:v>
                </c:pt>
                <c:pt idx="5">
                  <c:v>0.34499999999999997</c:v>
                </c:pt>
                <c:pt idx="6">
                  <c:v>0.34</c:v>
                </c:pt>
                <c:pt idx="7">
                  <c:v>0.33500000000000002</c:v>
                </c:pt>
                <c:pt idx="8">
                  <c:v>0.33500000000000002</c:v>
                </c:pt>
                <c:pt idx="9">
                  <c:v>0.32900000000000001</c:v>
                </c:pt>
                <c:pt idx="10">
                  <c:v>0.32800000000000001</c:v>
                </c:pt>
              </c:numCache>
            </c:numRef>
          </c:val>
          <c:extLst>
            <c:ext xmlns:c16="http://schemas.microsoft.com/office/drawing/2014/chart" uri="{C3380CC4-5D6E-409C-BE32-E72D297353CC}">
              <c16:uniqueId val="{00000001-E9C0-4408-B306-DC1F57AAA106}"/>
            </c:ext>
          </c:extLst>
        </c:ser>
        <c:ser>
          <c:idx val="3"/>
          <c:order val="2"/>
          <c:tx>
            <c:strRef>
              <c:f>'[NIS Charlson Paper Graphs and Tables 3.xlsx]Categorised CCI over time'!$A$11</c:f>
              <c:strCache>
                <c:ptCount val="1"/>
                <c:pt idx="0">
                  <c:v>CCI =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'[NIS Charlson Paper Graphs and Tables 3.xlsx]Categorised CCI over time'!$B$8:$L$8</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'[NIS Charlson Paper Graphs and Tables 3.xlsx]Categorised CCI over time'!$B$11:$L$11</c:f>
              <c:numCache>
                <c:formatCode>0.00%</c:formatCode>
                <c:ptCount val="11"/>
                <c:pt idx="0">
                  <c:v>0.13500000000000001</c:v>
                </c:pt>
                <c:pt idx="1">
                  <c:v>0.13400000000000001</c:v>
                </c:pt>
                <c:pt idx="2">
                  <c:v>0.13800000000000001</c:v>
                </c:pt>
                <c:pt idx="3">
                  <c:v>0.14799999999999999</c:v>
                </c:pt>
                <c:pt idx="4">
                  <c:v>0.154</c:v>
                </c:pt>
                <c:pt idx="5">
                  <c:v>0.16300000000000001</c:v>
                </c:pt>
                <c:pt idx="6">
                  <c:v>0.16600000000000001</c:v>
                </c:pt>
                <c:pt idx="7">
                  <c:v>0.17599999999999999</c:v>
                </c:pt>
                <c:pt idx="8">
                  <c:v>0.18</c:v>
                </c:pt>
                <c:pt idx="9">
                  <c:v>0.185</c:v>
                </c:pt>
                <c:pt idx="10">
                  <c:v>0.188</c:v>
                </c:pt>
              </c:numCache>
            </c:numRef>
          </c:val>
          <c:extLst>
            <c:ext xmlns:c16="http://schemas.microsoft.com/office/drawing/2014/chart" uri="{C3380CC4-5D6E-409C-BE32-E72D297353CC}">
              <c16:uniqueId val="{00000002-E9C0-4408-B306-DC1F57AAA106}"/>
            </c:ext>
          </c:extLst>
        </c:ser>
        <c:ser>
          <c:idx val="4"/>
          <c:order val="3"/>
          <c:tx>
            <c:strRef>
              <c:f>'[NIS Charlson Paper Graphs and Tables 3.xlsx]Categorised CCI over time'!$A$12</c:f>
              <c:strCache>
                <c:ptCount val="1"/>
                <c:pt idx="0">
                  <c:v>CCI ≥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'[NIS Charlson Paper Graphs and Tables 3.xlsx]Categorised CCI over time'!$B$8:$L$8</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'[NIS Charlson Paper Graphs and Tables 3.xlsx]Categorised CCI over time'!$B$12:$L$12</c:f>
              <c:numCache>
                <c:formatCode>0.00%</c:formatCode>
                <c:ptCount val="11"/>
                <c:pt idx="0">
                  <c:v>5.2999999999999999E-2</c:v>
                </c:pt>
                <c:pt idx="1">
                  <c:v>5.3999999999999999E-2</c:v>
                </c:pt>
                <c:pt idx="2">
                  <c:v>5.3999999999999999E-2</c:v>
                </c:pt>
                <c:pt idx="3">
                  <c:v>6.4000000000000001E-2</c:v>
                </c:pt>
                <c:pt idx="4">
                  <c:v>7.4999999999999997E-2</c:v>
                </c:pt>
                <c:pt idx="5">
                  <c:v>7.4999999999999997E-2</c:v>
                </c:pt>
                <c:pt idx="6">
                  <c:v>0.10100000000000001</c:v>
                </c:pt>
                <c:pt idx="7">
                  <c:v>0.115</c:v>
                </c:pt>
                <c:pt idx="8">
                  <c:v>0.11899999999999999</c:v>
                </c:pt>
                <c:pt idx="9">
                  <c:v>0.13</c:v>
                </c:pt>
                <c:pt idx="10">
                  <c:v>0.14199999999999999</c:v>
                </c:pt>
              </c:numCache>
            </c:numRef>
          </c:val>
          <c:extLst>
            <c:ext xmlns:c16="http://schemas.microsoft.com/office/drawing/2014/chart" uri="{C3380CC4-5D6E-409C-BE32-E72D297353CC}">
              <c16:uniqueId val="{00000003-E9C0-4408-B306-DC1F57AAA106}"/>
            </c:ext>
          </c:extLst>
        </c:ser>
        <c:dLbls>
          <c:showLegendKey val="0"/>
          <c:showVal val="1"/>
          <c:showCatName val="0"/>
          <c:showSerName val="0"/>
          <c:showPercent val="0"/>
          <c:showBubbleSize val="0"/>
        </c:dLbls>
        <c:gapWidth val="75"/>
        <c:overlap val="100"/>
        <c:axId val="97907072"/>
        <c:axId val="97908992"/>
      </c:barChart>
      <c:catAx>
        <c:axId val="97907072"/>
        <c:scaling>
          <c:orientation val="minMax"/>
        </c:scaling>
        <c:delete val="0"/>
        <c:axPos val="b"/>
        <c:numFmt formatCode="General" sourceLinked="1"/>
        <c:majorTickMark val="none"/>
        <c:minorTickMark val="none"/>
        <c:tickLblPos val="nextTo"/>
        <c:crossAx val="97908992"/>
        <c:crosses val="autoZero"/>
        <c:auto val="1"/>
        <c:lblAlgn val="ctr"/>
        <c:lblOffset val="100"/>
        <c:noMultiLvlLbl val="0"/>
      </c:catAx>
      <c:valAx>
        <c:axId val="97908992"/>
        <c:scaling>
          <c:orientation val="minMax"/>
          <c:max val="1"/>
        </c:scaling>
        <c:delete val="0"/>
        <c:axPos val="l"/>
        <c:numFmt formatCode="0.00%" sourceLinked="1"/>
        <c:majorTickMark val="none"/>
        <c:minorTickMark val="none"/>
        <c:tickLblPos val="nextTo"/>
        <c:crossAx val="9790707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tockChart>
        <c:ser>
          <c:idx val="0"/>
          <c:order val="0"/>
          <c:tx>
            <c:strRef>
              <c:f>'[LOS and COST.xlsx]Sheet1'!$A$2</c:f>
              <c:strCache>
                <c:ptCount val="1"/>
                <c:pt idx="0">
                  <c:v>Lower Quartile</c:v>
                </c:pt>
              </c:strCache>
            </c:strRef>
          </c:tx>
          <c:spPr>
            <a:ln w="19050" cap="rnd">
              <a:noFill/>
              <a:round/>
            </a:ln>
            <a:effectLst/>
          </c:spPr>
          <c:marker>
            <c:symbol val="dash"/>
            <c:size val="6"/>
            <c:spPr>
              <a:solidFill>
                <a:schemeClr val="tx1"/>
              </a:solidFill>
              <a:ln w="9525">
                <a:solidFill>
                  <a:schemeClr val="tx1"/>
                </a:solidFill>
              </a:ln>
              <a:effectLst/>
            </c:spPr>
          </c:marker>
          <c:cat>
            <c:strRef>
              <c:f>'[LOS and COST.xlsx]Sheet1'!$B$1:$E$1</c:f>
              <c:strCache>
                <c:ptCount val="4"/>
                <c:pt idx="0">
                  <c:v>CCI = 0</c:v>
                </c:pt>
                <c:pt idx="1">
                  <c:v>CCI = 1</c:v>
                </c:pt>
                <c:pt idx="2">
                  <c:v>CCI = 2</c:v>
                </c:pt>
                <c:pt idx="3">
                  <c:v>CCI ≥ 3</c:v>
                </c:pt>
              </c:strCache>
            </c:strRef>
          </c:cat>
          <c:val>
            <c:numRef>
              <c:f>'[LOS and COST.xlsx]Sheet1'!$B$2:$E$2</c:f>
              <c:numCache>
                <c:formatCode>General</c:formatCode>
                <c:ptCount val="4"/>
                <c:pt idx="0">
                  <c:v>1</c:v>
                </c:pt>
                <c:pt idx="1">
                  <c:v>1</c:v>
                </c:pt>
                <c:pt idx="2">
                  <c:v>1</c:v>
                </c:pt>
                <c:pt idx="3">
                  <c:v>2</c:v>
                </c:pt>
              </c:numCache>
            </c:numRef>
          </c:val>
          <c:smooth val="0"/>
          <c:extLst>
            <c:ext xmlns:c16="http://schemas.microsoft.com/office/drawing/2014/chart" uri="{C3380CC4-5D6E-409C-BE32-E72D297353CC}">
              <c16:uniqueId val="{00000000-05AA-4225-BA2F-44B502C6B334}"/>
            </c:ext>
          </c:extLst>
        </c:ser>
        <c:ser>
          <c:idx val="1"/>
          <c:order val="1"/>
          <c:tx>
            <c:strRef>
              <c:f>'[LOS and COST.xlsx]Sheet1'!$A$3</c:f>
              <c:strCache>
                <c:ptCount val="1"/>
                <c:pt idx="0">
                  <c:v>Upper Quartile</c:v>
                </c:pt>
              </c:strCache>
            </c:strRef>
          </c:tx>
          <c:spPr>
            <a:ln w="19050" cap="rnd">
              <a:noFill/>
              <a:round/>
            </a:ln>
            <a:effectLst/>
          </c:spPr>
          <c:marker>
            <c:symbol val="dash"/>
            <c:size val="6"/>
            <c:spPr>
              <a:solidFill>
                <a:schemeClr val="tx1"/>
              </a:solidFill>
              <a:ln w="9525">
                <a:solidFill>
                  <a:schemeClr val="tx1"/>
                </a:solidFill>
              </a:ln>
              <a:effectLst/>
            </c:spPr>
          </c:marker>
          <c:cat>
            <c:strRef>
              <c:f>'[LOS and COST.xlsx]Sheet1'!$B$1:$E$1</c:f>
              <c:strCache>
                <c:ptCount val="4"/>
                <c:pt idx="0">
                  <c:v>CCI = 0</c:v>
                </c:pt>
                <c:pt idx="1">
                  <c:v>CCI = 1</c:v>
                </c:pt>
                <c:pt idx="2">
                  <c:v>CCI = 2</c:v>
                </c:pt>
                <c:pt idx="3">
                  <c:v>CCI ≥ 3</c:v>
                </c:pt>
              </c:strCache>
            </c:strRef>
          </c:cat>
          <c:val>
            <c:numRef>
              <c:f>'[LOS and COST.xlsx]Sheet1'!$B$3:$E$3</c:f>
              <c:numCache>
                <c:formatCode>General</c:formatCode>
                <c:ptCount val="4"/>
                <c:pt idx="0">
                  <c:v>3</c:v>
                </c:pt>
                <c:pt idx="1">
                  <c:v>4</c:v>
                </c:pt>
                <c:pt idx="2">
                  <c:v>5</c:v>
                </c:pt>
                <c:pt idx="3">
                  <c:v>7</c:v>
                </c:pt>
              </c:numCache>
            </c:numRef>
          </c:val>
          <c:smooth val="0"/>
          <c:extLst>
            <c:ext xmlns:c16="http://schemas.microsoft.com/office/drawing/2014/chart" uri="{C3380CC4-5D6E-409C-BE32-E72D297353CC}">
              <c16:uniqueId val="{00000001-05AA-4225-BA2F-44B502C6B334}"/>
            </c:ext>
          </c:extLst>
        </c:ser>
        <c:ser>
          <c:idx val="2"/>
          <c:order val="2"/>
          <c:tx>
            <c:strRef>
              <c:f>'[LOS and COST.xlsx]Sheet1'!$A$4</c:f>
              <c:strCache>
                <c:ptCount val="1"/>
                <c:pt idx="0">
                  <c:v>Median</c:v>
                </c:pt>
              </c:strCache>
            </c:strRef>
          </c:tx>
          <c:spPr>
            <a:ln w="19050" cap="rnd">
              <a:noFill/>
              <a:round/>
            </a:ln>
            <a:effectLst/>
          </c:spPr>
          <c:marker>
            <c:symbol val="diamond"/>
            <c:size val="5"/>
            <c:spPr>
              <a:solidFill>
                <a:schemeClr val="tx1"/>
              </a:solidFill>
              <a:ln w="9525">
                <a:solidFill>
                  <a:schemeClr val="tx1"/>
                </a:solidFill>
              </a:ln>
              <a:effectLst/>
            </c:spPr>
          </c:marker>
          <c:cat>
            <c:strRef>
              <c:f>'[LOS and COST.xlsx]Sheet1'!$B$1:$E$1</c:f>
              <c:strCache>
                <c:ptCount val="4"/>
                <c:pt idx="0">
                  <c:v>CCI = 0</c:v>
                </c:pt>
                <c:pt idx="1">
                  <c:v>CCI = 1</c:v>
                </c:pt>
                <c:pt idx="2">
                  <c:v>CCI = 2</c:v>
                </c:pt>
                <c:pt idx="3">
                  <c:v>CCI ≥ 3</c:v>
                </c:pt>
              </c:strCache>
            </c:strRef>
          </c:cat>
          <c:val>
            <c:numRef>
              <c:f>'[LOS and COST.xlsx]Sheet1'!$B$4:$E$4</c:f>
              <c:numCache>
                <c:formatCode>General</c:formatCode>
                <c:ptCount val="4"/>
                <c:pt idx="0">
                  <c:v>2</c:v>
                </c:pt>
                <c:pt idx="1">
                  <c:v>2</c:v>
                </c:pt>
                <c:pt idx="2">
                  <c:v>3</c:v>
                </c:pt>
                <c:pt idx="3">
                  <c:v>4</c:v>
                </c:pt>
              </c:numCache>
            </c:numRef>
          </c:val>
          <c:smooth val="0"/>
          <c:extLst>
            <c:ext xmlns:c16="http://schemas.microsoft.com/office/drawing/2014/chart" uri="{C3380CC4-5D6E-409C-BE32-E72D297353CC}">
              <c16:uniqueId val="{00000002-05AA-4225-BA2F-44B502C6B334}"/>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axId val="178978832"/>
        <c:axId val="179387232"/>
      </c:stockChart>
      <c:catAx>
        <c:axId val="178978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Charlson</a:t>
                </a:r>
                <a:r>
                  <a:rPr lang="en-GB" baseline="0"/>
                  <a:t> Comorbidity Index</a:t>
                </a:r>
                <a:endParaRPr lang="en-GB"/>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87232"/>
        <c:crosses val="autoZero"/>
        <c:auto val="1"/>
        <c:lblAlgn val="ctr"/>
        <c:lblOffset val="100"/>
        <c:noMultiLvlLbl val="0"/>
      </c:catAx>
      <c:valAx>
        <c:axId val="179387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Length</a:t>
                </a:r>
                <a:r>
                  <a:rPr lang="en-GB" baseline="0"/>
                  <a:t> of Stay (days)</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97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tockChart>
        <c:ser>
          <c:idx val="0"/>
          <c:order val="0"/>
          <c:tx>
            <c:strRef>
              <c:f>'[LOS and COST.xlsx]Sheet1'!$A$8</c:f>
              <c:strCache>
                <c:ptCount val="1"/>
                <c:pt idx="0">
                  <c:v>Lower Quartile</c:v>
                </c:pt>
              </c:strCache>
            </c:strRef>
          </c:tx>
          <c:spPr>
            <a:ln w="19050" cap="rnd">
              <a:noFill/>
              <a:round/>
            </a:ln>
            <a:effectLst/>
          </c:spPr>
          <c:marker>
            <c:symbol val="diamond"/>
            <c:size val="5"/>
            <c:spPr>
              <a:solidFill>
                <a:schemeClr val="tx1"/>
              </a:solidFill>
              <a:ln w="9525">
                <a:solidFill>
                  <a:schemeClr val="tx1"/>
                </a:solidFill>
              </a:ln>
              <a:effectLst/>
            </c:spPr>
          </c:marker>
          <c:cat>
            <c:strRef>
              <c:f>'[LOS and COST.xlsx]Sheet1'!$B$7:$E$7</c:f>
              <c:strCache>
                <c:ptCount val="4"/>
                <c:pt idx="0">
                  <c:v>CCI = 0</c:v>
                </c:pt>
                <c:pt idx="1">
                  <c:v>CCI = 1</c:v>
                </c:pt>
                <c:pt idx="2">
                  <c:v>CCI = 2</c:v>
                </c:pt>
                <c:pt idx="3">
                  <c:v>CCI ≥ 3</c:v>
                </c:pt>
              </c:strCache>
            </c:strRef>
          </c:cat>
          <c:val>
            <c:numRef>
              <c:f>'[LOS and COST.xlsx]Sheet1'!$B$8:$E$8</c:f>
              <c:numCache>
                <c:formatCode>General</c:formatCode>
                <c:ptCount val="4"/>
                <c:pt idx="0">
                  <c:v>16522</c:v>
                </c:pt>
                <c:pt idx="1">
                  <c:v>17277</c:v>
                </c:pt>
                <c:pt idx="2">
                  <c:v>18921</c:v>
                </c:pt>
                <c:pt idx="3">
                  <c:v>21635</c:v>
                </c:pt>
              </c:numCache>
            </c:numRef>
          </c:val>
          <c:smooth val="0"/>
          <c:extLst>
            <c:ext xmlns:c16="http://schemas.microsoft.com/office/drawing/2014/chart" uri="{C3380CC4-5D6E-409C-BE32-E72D297353CC}">
              <c16:uniqueId val="{00000000-D110-4888-8C80-74552035E01C}"/>
            </c:ext>
          </c:extLst>
        </c:ser>
        <c:ser>
          <c:idx val="1"/>
          <c:order val="1"/>
          <c:tx>
            <c:strRef>
              <c:f>'[LOS and COST.xlsx]Sheet1'!$A$9</c:f>
              <c:strCache>
                <c:ptCount val="1"/>
                <c:pt idx="0">
                  <c:v>Upper Quartile</c:v>
                </c:pt>
              </c:strCache>
            </c:strRef>
          </c:tx>
          <c:spPr>
            <a:ln w="19050" cap="rnd">
              <a:noFill/>
              <a:round/>
            </a:ln>
            <a:effectLst/>
          </c:spPr>
          <c:marker>
            <c:symbol val="dash"/>
            <c:size val="6"/>
            <c:spPr>
              <a:solidFill>
                <a:schemeClr val="tx1"/>
              </a:solidFill>
              <a:ln w="9525">
                <a:solidFill>
                  <a:schemeClr val="tx1"/>
                </a:solidFill>
              </a:ln>
              <a:effectLst/>
            </c:spPr>
          </c:marker>
          <c:cat>
            <c:strRef>
              <c:f>'[LOS and COST.xlsx]Sheet1'!$B$7:$E$7</c:f>
              <c:strCache>
                <c:ptCount val="4"/>
                <c:pt idx="0">
                  <c:v>CCI = 0</c:v>
                </c:pt>
                <c:pt idx="1">
                  <c:v>CCI = 1</c:v>
                </c:pt>
                <c:pt idx="2">
                  <c:v>CCI = 2</c:v>
                </c:pt>
                <c:pt idx="3">
                  <c:v>CCI ≥ 3</c:v>
                </c:pt>
              </c:strCache>
            </c:strRef>
          </c:cat>
          <c:val>
            <c:numRef>
              <c:f>'[LOS and COST.xlsx]Sheet1'!$B$9:$E$9</c:f>
              <c:numCache>
                <c:formatCode>General</c:formatCode>
                <c:ptCount val="4"/>
                <c:pt idx="0">
                  <c:v>12455</c:v>
                </c:pt>
                <c:pt idx="1">
                  <c:v>12854</c:v>
                </c:pt>
                <c:pt idx="2">
                  <c:v>13801</c:v>
                </c:pt>
                <c:pt idx="3">
                  <c:v>15454</c:v>
                </c:pt>
              </c:numCache>
            </c:numRef>
          </c:val>
          <c:smooth val="0"/>
          <c:extLst>
            <c:ext xmlns:c16="http://schemas.microsoft.com/office/drawing/2014/chart" uri="{C3380CC4-5D6E-409C-BE32-E72D297353CC}">
              <c16:uniqueId val="{00000001-D110-4888-8C80-74552035E01C}"/>
            </c:ext>
          </c:extLst>
        </c:ser>
        <c:ser>
          <c:idx val="2"/>
          <c:order val="2"/>
          <c:tx>
            <c:strRef>
              <c:f>'[LOS and COST.xlsx]Sheet1'!$A$10</c:f>
              <c:strCache>
                <c:ptCount val="1"/>
                <c:pt idx="0">
                  <c:v>Median</c:v>
                </c:pt>
              </c:strCache>
            </c:strRef>
          </c:tx>
          <c:spPr>
            <a:ln w="19050" cap="rnd">
              <a:noFill/>
              <a:round/>
            </a:ln>
            <a:effectLst/>
          </c:spPr>
          <c:marker>
            <c:symbol val="dash"/>
            <c:size val="6"/>
            <c:spPr>
              <a:solidFill>
                <a:schemeClr val="accent3"/>
              </a:solidFill>
              <a:ln w="9525">
                <a:solidFill>
                  <a:schemeClr val="tx1"/>
                </a:solidFill>
              </a:ln>
              <a:effectLst/>
            </c:spPr>
          </c:marker>
          <c:cat>
            <c:strRef>
              <c:f>'[LOS and COST.xlsx]Sheet1'!$B$7:$E$7</c:f>
              <c:strCache>
                <c:ptCount val="4"/>
                <c:pt idx="0">
                  <c:v>CCI = 0</c:v>
                </c:pt>
                <c:pt idx="1">
                  <c:v>CCI = 1</c:v>
                </c:pt>
                <c:pt idx="2">
                  <c:v>CCI = 2</c:v>
                </c:pt>
                <c:pt idx="3">
                  <c:v>CCI ≥ 3</c:v>
                </c:pt>
              </c:strCache>
            </c:strRef>
          </c:cat>
          <c:val>
            <c:numRef>
              <c:f>'[LOS and COST.xlsx]Sheet1'!$B$10:$E$10</c:f>
              <c:numCache>
                <c:formatCode>General</c:formatCode>
                <c:ptCount val="4"/>
                <c:pt idx="0">
                  <c:v>22288</c:v>
                </c:pt>
                <c:pt idx="1">
                  <c:v>24022</c:v>
                </c:pt>
                <c:pt idx="2">
                  <c:v>27211</c:v>
                </c:pt>
                <c:pt idx="3">
                  <c:v>32150</c:v>
                </c:pt>
              </c:numCache>
            </c:numRef>
          </c:val>
          <c:smooth val="0"/>
          <c:extLst>
            <c:ext xmlns:c16="http://schemas.microsoft.com/office/drawing/2014/chart" uri="{C3380CC4-5D6E-409C-BE32-E72D297353CC}">
              <c16:uniqueId val="{00000002-D110-4888-8C80-74552035E01C}"/>
            </c:ext>
          </c:extLst>
        </c:ser>
        <c:dLbls>
          <c:showLegendKey val="0"/>
          <c:showVal val="0"/>
          <c:showCatName val="0"/>
          <c:showSerName val="0"/>
          <c:showPercent val="0"/>
          <c:showBubbleSize val="0"/>
        </c:dLbls>
        <c:hiLowLines>
          <c:spPr>
            <a:ln w="9525" cap="flat" cmpd="sng" algn="ctr">
              <a:solidFill>
                <a:schemeClr val="tx1"/>
              </a:solidFill>
              <a:round/>
            </a:ln>
            <a:effectLst/>
          </c:spPr>
        </c:hiLowLines>
        <c:axId val="1536385232"/>
        <c:axId val="1532556720"/>
      </c:stockChart>
      <c:catAx>
        <c:axId val="1536385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Charlson</a:t>
                </a:r>
                <a:r>
                  <a:rPr lang="en-GB" baseline="0"/>
                  <a:t> Comorbidity Score</a:t>
                </a:r>
                <a:endParaRPr lang="en-GB"/>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556720"/>
        <c:crosses val="autoZero"/>
        <c:auto val="1"/>
        <c:lblAlgn val="ctr"/>
        <c:lblOffset val="100"/>
        <c:noMultiLvlLbl val="0"/>
      </c:catAx>
      <c:valAx>
        <c:axId val="1532556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 cost</a:t>
                </a:r>
                <a:r>
                  <a:rPr lang="en-GB" baseline="0"/>
                  <a:t> of hospitalisation, $</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638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'[NIS Charlson Paper Graphs and Tables 3.xlsx]No of PCI over time'!$B$2</c:f>
              <c:strCache>
                <c:ptCount val="1"/>
                <c:pt idx="0">
                  <c:v>No of PCI procedures</c:v>
                </c:pt>
              </c:strCache>
            </c:strRef>
          </c:tx>
          <c:xVal>
            <c:numRef>
              <c:f>'[NIS Charlson Paper Graphs and Tables 3.xlsx]No of PCI over time'!$A$3:$A$13</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'[NIS Charlson Paper Graphs and Tables 3.xlsx]No of PCI over time'!$B$3:$B$13</c:f>
              <c:numCache>
                <c:formatCode>#,##0</c:formatCode>
                <c:ptCount val="11"/>
                <c:pt idx="0">
                  <c:v>747129</c:v>
                </c:pt>
                <c:pt idx="1">
                  <c:v>755355</c:v>
                </c:pt>
                <c:pt idx="2">
                  <c:v>875307</c:v>
                </c:pt>
                <c:pt idx="3">
                  <c:v>671046</c:v>
                </c:pt>
                <c:pt idx="4">
                  <c:v>719712</c:v>
                </c:pt>
                <c:pt idx="5">
                  <c:v>642943</c:v>
                </c:pt>
                <c:pt idx="6">
                  <c:v>519563</c:v>
                </c:pt>
                <c:pt idx="7">
                  <c:v>546981</c:v>
                </c:pt>
                <c:pt idx="8">
                  <c:v>489404</c:v>
                </c:pt>
                <c:pt idx="9">
                  <c:v>458559</c:v>
                </c:pt>
                <c:pt idx="10">
                  <c:v>428400</c:v>
                </c:pt>
              </c:numCache>
            </c:numRef>
          </c:yVal>
          <c:smooth val="0"/>
          <c:extLst>
            <c:ext xmlns:c16="http://schemas.microsoft.com/office/drawing/2014/chart" uri="{C3380CC4-5D6E-409C-BE32-E72D297353CC}">
              <c16:uniqueId val="{00000000-DF94-4C86-8382-DDC5EDA36C2A}"/>
            </c:ext>
          </c:extLst>
        </c:ser>
        <c:dLbls>
          <c:showLegendKey val="0"/>
          <c:showVal val="0"/>
          <c:showCatName val="0"/>
          <c:showSerName val="0"/>
          <c:showPercent val="0"/>
          <c:showBubbleSize val="0"/>
        </c:dLbls>
        <c:axId val="2103806952"/>
        <c:axId val="-2134157288"/>
      </c:scatterChart>
      <c:valAx>
        <c:axId val="2103806952"/>
        <c:scaling>
          <c:orientation val="minMax"/>
        </c:scaling>
        <c:delete val="0"/>
        <c:axPos val="b"/>
        <c:title>
          <c:tx>
            <c:rich>
              <a:bodyPr/>
              <a:lstStyle/>
              <a:p>
                <a:pPr>
                  <a:defRPr/>
                </a:pPr>
                <a:r>
                  <a:rPr lang="en-GB"/>
                  <a:t>Year</a:t>
                </a:r>
              </a:p>
            </c:rich>
          </c:tx>
          <c:layout/>
          <c:overlay val="0"/>
        </c:title>
        <c:numFmt formatCode="General" sourceLinked="1"/>
        <c:majorTickMark val="out"/>
        <c:minorTickMark val="none"/>
        <c:tickLblPos val="nextTo"/>
        <c:crossAx val="-2134157288"/>
        <c:crosses val="autoZero"/>
        <c:crossBetween val="midCat"/>
      </c:valAx>
      <c:valAx>
        <c:axId val="-2134157288"/>
        <c:scaling>
          <c:orientation val="minMax"/>
        </c:scaling>
        <c:delete val="0"/>
        <c:axPos val="l"/>
        <c:majorGridlines/>
        <c:title>
          <c:tx>
            <c:rich>
              <a:bodyPr/>
              <a:lstStyle/>
              <a:p>
                <a:pPr>
                  <a:defRPr/>
                </a:pPr>
                <a:r>
                  <a:rPr lang="en-GB"/>
                  <a:t>Number of PCI precedures</a:t>
                </a:r>
              </a:p>
            </c:rich>
          </c:tx>
          <c:layout/>
          <c:overlay val="0"/>
        </c:title>
        <c:numFmt formatCode="#,##0" sourceLinked="1"/>
        <c:majorTickMark val="out"/>
        <c:minorTickMark val="none"/>
        <c:tickLblPos val="nextTo"/>
        <c:crossAx val="2103806952"/>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296296296296"/>
          <c:y val="0.13187913801953999"/>
          <c:w val="0.76549649054049296"/>
          <c:h val="0.72197297780959202"/>
        </c:manualLayout>
      </c:layout>
      <c:barChart>
        <c:barDir val="col"/>
        <c:grouping val="clustered"/>
        <c:varyColors val="0"/>
        <c:ser>
          <c:idx val="3"/>
          <c:order val="0"/>
          <c:invertIfNegative val="0"/>
          <c:dLbls>
            <c:delete val="1"/>
          </c:dLbls>
          <c:val>
            <c:numRef>
              <c:f>'[NIS Charlson Paper Graphs and Tables 3.xlsx]CCI over time'!$M$20:$M$30</c:f>
              <c:numCache>
                <c:formatCode>0.0</c:formatCode>
                <c:ptCount val="11"/>
                <c:pt idx="0">
                  <c:v>24.810349856372181</c:v>
                </c:pt>
                <c:pt idx="1">
                  <c:v>40.556785991551102</c:v>
                </c:pt>
                <c:pt idx="2">
                  <c:v>21.897894872587131</c:v>
                </c:pt>
                <c:pt idx="3">
                  <c:v>8.4791897643880993</c:v>
                </c:pt>
                <c:pt idx="4">
                  <c:v>2.7677453248480841</c:v>
                </c:pt>
                <c:pt idx="5">
                  <c:v>0.776429635361086</c:v>
                </c:pt>
                <c:pt idx="6">
                  <c:v>0.25125127984095802</c:v>
                </c:pt>
                <c:pt idx="7">
                  <c:v>0.14297868215544701</c:v>
                </c:pt>
                <c:pt idx="8">
                  <c:v>9.5203722984861697E-2</c:v>
                </c:pt>
                <c:pt idx="9">
                  <c:v>0.105503034835042</c:v>
                </c:pt>
                <c:pt idx="10">
                  <c:v>0.116667835075994</c:v>
                </c:pt>
              </c:numCache>
            </c:numRef>
          </c:val>
          <c:extLst>
            <c:ext xmlns:c16="http://schemas.microsoft.com/office/drawing/2014/chart" uri="{C3380CC4-5D6E-409C-BE32-E72D297353CC}">
              <c16:uniqueId val="{00000000-C7F9-4E9A-B492-CD9181265ED9}"/>
            </c:ext>
          </c:extLst>
        </c:ser>
        <c:dLbls>
          <c:dLblPos val="outEnd"/>
          <c:showLegendKey val="0"/>
          <c:showVal val="1"/>
          <c:showCatName val="0"/>
          <c:showSerName val="0"/>
          <c:showPercent val="0"/>
          <c:showBubbleSize val="0"/>
        </c:dLbls>
        <c:gapWidth val="150"/>
        <c:axId val="2029526984"/>
        <c:axId val="2133550488"/>
      </c:barChart>
      <c:catAx>
        <c:axId val="2029526984"/>
        <c:scaling>
          <c:orientation val="minMax"/>
        </c:scaling>
        <c:delete val="0"/>
        <c:axPos val="b"/>
        <c:title>
          <c:tx>
            <c:rich>
              <a:bodyPr/>
              <a:lstStyle/>
              <a:p>
                <a:pPr>
                  <a:defRPr sz="1100"/>
                </a:pPr>
                <a:r>
                  <a:rPr lang="en-US" sz="1100"/>
                  <a:t>Charlson Comorbidity Index</a:t>
                </a:r>
              </a:p>
            </c:rich>
          </c:tx>
          <c:layout/>
          <c:overlay val="0"/>
        </c:title>
        <c:numFmt formatCode="General" sourceLinked="1"/>
        <c:majorTickMark val="out"/>
        <c:minorTickMark val="none"/>
        <c:tickLblPos val="nextTo"/>
        <c:crossAx val="2133550488"/>
        <c:crosses val="autoZero"/>
        <c:auto val="1"/>
        <c:lblAlgn val="ctr"/>
        <c:lblOffset val="100"/>
        <c:noMultiLvlLbl val="0"/>
      </c:catAx>
      <c:valAx>
        <c:axId val="2133550488"/>
        <c:scaling>
          <c:orientation val="minMax"/>
        </c:scaling>
        <c:delete val="0"/>
        <c:axPos val="l"/>
        <c:majorGridlines/>
        <c:title>
          <c:tx>
            <c:rich>
              <a:bodyPr rot="-5400000" vert="horz"/>
              <a:lstStyle/>
              <a:p>
                <a:pPr>
                  <a:defRPr sz="1100"/>
                </a:pPr>
                <a:r>
                  <a:rPr lang="en-US" sz="1100"/>
                  <a:t>Percentage of PCI procedures</a:t>
                </a:r>
              </a:p>
            </c:rich>
          </c:tx>
          <c:layout>
            <c:manualLayout>
              <c:xMode val="edge"/>
              <c:yMode val="edge"/>
              <c:x val="1.54021131973888E-2"/>
              <c:y val="0.20510349558577901"/>
            </c:manualLayout>
          </c:layout>
          <c:overlay val="0"/>
        </c:title>
        <c:numFmt formatCode="0.0" sourceLinked="1"/>
        <c:majorTickMark val="out"/>
        <c:minorTickMark val="none"/>
        <c:tickLblPos val="nextTo"/>
        <c:crossAx val="202952698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Sheet5!$B$23</c:f>
              <c:strCache>
                <c:ptCount val="1"/>
                <c:pt idx="0">
                  <c:v>CCI=0</c:v>
                </c:pt>
              </c:strCache>
            </c:strRef>
          </c:tx>
          <c:spPr>
            <a:ln w="28575">
              <a:noFill/>
            </a:ln>
          </c:spPr>
          <c:xVal>
            <c:numRef>
              <c:f>Sheet5!$C$22:$M$22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Sheet5!$C$23:$M$23</c:f>
              <c:numCache>
                <c:formatCode>General</c:formatCode>
                <c:ptCount val="11"/>
                <c:pt idx="0">
                  <c:v>1.82</c:v>
                </c:pt>
                <c:pt idx="1">
                  <c:v>1.74</c:v>
                </c:pt>
                <c:pt idx="2">
                  <c:v>1.67</c:v>
                </c:pt>
                <c:pt idx="3">
                  <c:v>1.73</c:v>
                </c:pt>
                <c:pt idx="4">
                  <c:v>1.76</c:v>
                </c:pt>
                <c:pt idx="5">
                  <c:v>1.85</c:v>
                </c:pt>
                <c:pt idx="6">
                  <c:v>2.0299999999999998</c:v>
                </c:pt>
                <c:pt idx="7">
                  <c:v>2.0099999999999998</c:v>
                </c:pt>
                <c:pt idx="8">
                  <c:v>2.09</c:v>
                </c:pt>
                <c:pt idx="9">
                  <c:v>2.21</c:v>
                </c:pt>
                <c:pt idx="10">
                  <c:v>2.59</c:v>
                </c:pt>
              </c:numCache>
            </c:numRef>
          </c:yVal>
          <c:smooth val="0"/>
          <c:extLst>
            <c:ext xmlns:c16="http://schemas.microsoft.com/office/drawing/2014/chart" uri="{C3380CC4-5D6E-409C-BE32-E72D297353CC}">
              <c16:uniqueId val="{00000000-7996-4B01-80F3-A2B444CF3F8A}"/>
            </c:ext>
          </c:extLst>
        </c:ser>
        <c:ser>
          <c:idx val="1"/>
          <c:order val="1"/>
          <c:tx>
            <c:strRef>
              <c:f>Sheet5!$B$24</c:f>
              <c:strCache>
                <c:ptCount val="1"/>
                <c:pt idx="0">
                  <c:v>CCI=1</c:v>
                </c:pt>
              </c:strCache>
            </c:strRef>
          </c:tx>
          <c:spPr>
            <a:ln w="28575">
              <a:noFill/>
            </a:ln>
          </c:spPr>
          <c:xVal>
            <c:numRef>
              <c:f>Sheet5!$C$22:$M$22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Sheet5!$C$24:$M$24</c:f>
              <c:numCache>
                <c:formatCode>General</c:formatCode>
                <c:ptCount val="11"/>
                <c:pt idx="0">
                  <c:v>2.87</c:v>
                </c:pt>
                <c:pt idx="1">
                  <c:v>2.77</c:v>
                </c:pt>
                <c:pt idx="2">
                  <c:v>2.66</c:v>
                </c:pt>
                <c:pt idx="3">
                  <c:v>2.69</c:v>
                </c:pt>
                <c:pt idx="4">
                  <c:v>2.82</c:v>
                </c:pt>
                <c:pt idx="5">
                  <c:v>2.84</c:v>
                </c:pt>
                <c:pt idx="6">
                  <c:v>2.97</c:v>
                </c:pt>
                <c:pt idx="7">
                  <c:v>2.88</c:v>
                </c:pt>
                <c:pt idx="8">
                  <c:v>2.82</c:v>
                </c:pt>
                <c:pt idx="9">
                  <c:v>2.89</c:v>
                </c:pt>
                <c:pt idx="10">
                  <c:v>2.93</c:v>
                </c:pt>
              </c:numCache>
            </c:numRef>
          </c:yVal>
          <c:smooth val="0"/>
          <c:extLst>
            <c:ext xmlns:c16="http://schemas.microsoft.com/office/drawing/2014/chart" uri="{C3380CC4-5D6E-409C-BE32-E72D297353CC}">
              <c16:uniqueId val="{00000001-7996-4B01-80F3-A2B444CF3F8A}"/>
            </c:ext>
          </c:extLst>
        </c:ser>
        <c:ser>
          <c:idx val="2"/>
          <c:order val="2"/>
          <c:tx>
            <c:strRef>
              <c:f>Sheet5!$B$25</c:f>
              <c:strCache>
                <c:ptCount val="1"/>
                <c:pt idx="0">
                  <c:v>CCI=2</c:v>
                </c:pt>
              </c:strCache>
            </c:strRef>
          </c:tx>
          <c:spPr>
            <a:ln w="28575">
              <a:noFill/>
            </a:ln>
          </c:spPr>
          <c:xVal>
            <c:numRef>
              <c:f>Sheet5!$C$22:$M$22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Sheet5!$C$25:$M$25</c:f>
              <c:numCache>
                <c:formatCode>General</c:formatCode>
                <c:ptCount val="11"/>
                <c:pt idx="0">
                  <c:v>4.53</c:v>
                </c:pt>
                <c:pt idx="1">
                  <c:v>4.37</c:v>
                </c:pt>
                <c:pt idx="2">
                  <c:v>4.1899999999999986</c:v>
                </c:pt>
                <c:pt idx="3">
                  <c:v>4.0999999999999996</c:v>
                </c:pt>
                <c:pt idx="4">
                  <c:v>4.0599999999999996</c:v>
                </c:pt>
                <c:pt idx="5">
                  <c:v>4.1199999999999974</c:v>
                </c:pt>
                <c:pt idx="6">
                  <c:v>4.1899999999999986</c:v>
                </c:pt>
                <c:pt idx="7">
                  <c:v>4.1099999999999994</c:v>
                </c:pt>
                <c:pt idx="8">
                  <c:v>4.0199999999999996</c:v>
                </c:pt>
                <c:pt idx="9">
                  <c:v>4.01</c:v>
                </c:pt>
                <c:pt idx="10">
                  <c:v>4.0999999999999996</c:v>
                </c:pt>
              </c:numCache>
            </c:numRef>
          </c:yVal>
          <c:smooth val="0"/>
          <c:extLst>
            <c:ext xmlns:c16="http://schemas.microsoft.com/office/drawing/2014/chart" uri="{C3380CC4-5D6E-409C-BE32-E72D297353CC}">
              <c16:uniqueId val="{00000002-7996-4B01-80F3-A2B444CF3F8A}"/>
            </c:ext>
          </c:extLst>
        </c:ser>
        <c:ser>
          <c:idx val="3"/>
          <c:order val="3"/>
          <c:tx>
            <c:strRef>
              <c:f>Sheet5!$B$26</c:f>
              <c:strCache>
                <c:ptCount val="1"/>
                <c:pt idx="0">
                  <c:v>CCI≥3</c:v>
                </c:pt>
              </c:strCache>
            </c:strRef>
          </c:tx>
          <c:spPr>
            <a:ln w="28575">
              <a:noFill/>
            </a:ln>
          </c:spPr>
          <c:xVal>
            <c:numRef>
              <c:f>Sheet5!$C$22:$M$22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Sheet5!$C$26:$M$26</c:f>
              <c:numCache>
                <c:formatCode>General</c:formatCode>
                <c:ptCount val="11"/>
                <c:pt idx="0">
                  <c:v>6.7</c:v>
                </c:pt>
                <c:pt idx="1">
                  <c:v>6.51</c:v>
                </c:pt>
                <c:pt idx="2">
                  <c:v>6.25</c:v>
                </c:pt>
                <c:pt idx="3">
                  <c:v>6.17</c:v>
                </c:pt>
                <c:pt idx="4">
                  <c:v>5.94</c:v>
                </c:pt>
                <c:pt idx="5">
                  <c:v>6.42</c:v>
                </c:pt>
                <c:pt idx="6">
                  <c:v>6.43</c:v>
                </c:pt>
                <c:pt idx="7">
                  <c:v>6.34</c:v>
                </c:pt>
                <c:pt idx="8">
                  <c:v>6.18</c:v>
                </c:pt>
                <c:pt idx="9">
                  <c:v>6.25</c:v>
                </c:pt>
                <c:pt idx="10">
                  <c:v>6.2</c:v>
                </c:pt>
              </c:numCache>
            </c:numRef>
          </c:yVal>
          <c:smooth val="0"/>
          <c:extLst>
            <c:ext xmlns:c16="http://schemas.microsoft.com/office/drawing/2014/chart" uri="{C3380CC4-5D6E-409C-BE32-E72D297353CC}">
              <c16:uniqueId val="{00000003-7996-4B01-80F3-A2B444CF3F8A}"/>
            </c:ext>
          </c:extLst>
        </c:ser>
        <c:dLbls>
          <c:showLegendKey val="0"/>
          <c:showVal val="0"/>
          <c:showCatName val="0"/>
          <c:showSerName val="0"/>
          <c:showPercent val="0"/>
          <c:showBubbleSize val="0"/>
        </c:dLbls>
        <c:axId val="2029170104"/>
        <c:axId val="2029171528"/>
      </c:scatterChart>
      <c:valAx>
        <c:axId val="2029170104"/>
        <c:scaling>
          <c:orientation val="minMax"/>
        </c:scaling>
        <c:delete val="0"/>
        <c:axPos val="b"/>
        <c:numFmt formatCode="General" sourceLinked="1"/>
        <c:majorTickMark val="out"/>
        <c:minorTickMark val="none"/>
        <c:tickLblPos val="nextTo"/>
        <c:crossAx val="2029171528"/>
        <c:crosses val="autoZero"/>
        <c:crossBetween val="midCat"/>
      </c:valAx>
      <c:valAx>
        <c:axId val="2029171528"/>
        <c:scaling>
          <c:orientation val="minMax"/>
        </c:scaling>
        <c:delete val="0"/>
        <c:axPos val="l"/>
        <c:majorGridlines/>
        <c:numFmt formatCode="General" sourceLinked="1"/>
        <c:majorTickMark val="out"/>
        <c:minorTickMark val="none"/>
        <c:tickLblPos val="nextTo"/>
        <c:crossAx val="2029170104"/>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Sheet5!$B$29</c:f>
              <c:strCache>
                <c:ptCount val="1"/>
                <c:pt idx="0">
                  <c:v>CCI=0</c:v>
                </c:pt>
              </c:strCache>
            </c:strRef>
          </c:tx>
          <c:spPr>
            <a:ln w="28575">
              <a:noFill/>
            </a:ln>
          </c:spPr>
          <c:xVal>
            <c:numRef>
              <c:f>Sheet5!$C$28:$M$28</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Sheet5!$C$29:$M$29</c:f>
              <c:numCache>
                <c:formatCode>General</c:formatCode>
                <c:ptCount val="11"/>
                <c:pt idx="0">
                  <c:v>40102.9</c:v>
                </c:pt>
                <c:pt idx="1">
                  <c:v>42570.76</c:v>
                </c:pt>
                <c:pt idx="2">
                  <c:v>42288.54</c:v>
                </c:pt>
                <c:pt idx="3">
                  <c:v>45821.87</c:v>
                </c:pt>
                <c:pt idx="4">
                  <c:v>48902.98</c:v>
                </c:pt>
                <c:pt idx="5">
                  <c:v>51295.87</c:v>
                </c:pt>
                <c:pt idx="6">
                  <c:v>57797.82</c:v>
                </c:pt>
                <c:pt idx="7">
                  <c:v>58897.09</c:v>
                </c:pt>
                <c:pt idx="8">
                  <c:v>64599.23</c:v>
                </c:pt>
                <c:pt idx="9">
                  <c:v>72640.61</c:v>
                </c:pt>
                <c:pt idx="10">
                  <c:v>82678.59</c:v>
                </c:pt>
              </c:numCache>
            </c:numRef>
          </c:yVal>
          <c:smooth val="0"/>
          <c:extLst>
            <c:ext xmlns:c16="http://schemas.microsoft.com/office/drawing/2014/chart" uri="{C3380CC4-5D6E-409C-BE32-E72D297353CC}">
              <c16:uniqueId val="{00000000-1A4C-4BCD-962C-537F71E8D3A1}"/>
            </c:ext>
          </c:extLst>
        </c:ser>
        <c:ser>
          <c:idx val="1"/>
          <c:order val="1"/>
          <c:tx>
            <c:strRef>
              <c:f>Sheet5!$B$30</c:f>
              <c:strCache>
                <c:ptCount val="1"/>
                <c:pt idx="0">
                  <c:v>CCI=1</c:v>
                </c:pt>
              </c:strCache>
            </c:strRef>
          </c:tx>
          <c:spPr>
            <a:ln w="28575">
              <a:noFill/>
            </a:ln>
          </c:spPr>
          <c:xVal>
            <c:numRef>
              <c:f>Sheet5!$C$28:$M$28</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Sheet5!$C$30:$M$30</c:f>
              <c:numCache>
                <c:formatCode>General</c:formatCode>
                <c:ptCount val="11"/>
                <c:pt idx="0">
                  <c:v>46135.96</c:v>
                </c:pt>
                <c:pt idx="1">
                  <c:v>49189.38</c:v>
                </c:pt>
                <c:pt idx="2">
                  <c:v>50372.06</c:v>
                </c:pt>
                <c:pt idx="3">
                  <c:v>53207.37</c:v>
                </c:pt>
                <c:pt idx="4">
                  <c:v>58753.58</c:v>
                </c:pt>
                <c:pt idx="5">
                  <c:v>61014.18</c:v>
                </c:pt>
                <c:pt idx="6">
                  <c:v>67014.95</c:v>
                </c:pt>
                <c:pt idx="7">
                  <c:v>69266.210000000006</c:v>
                </c:pt>
                <c:pt idx="8">
                  <c:v>71745.67</c:v>
                </c:pt>
                <c:pt idx="9">
                  <c:v>79105.97</c:v>
                </c:pt>
                <c:pt idx="10">
                  <c:v>83375.899999999994</c:v>
                </c:pt>
              </c:numCache>
            </c:numRef>
          </c:yVal>
          <c:smooth val="0"/>
          <c:extLst>
            <c:ext xmlns:c16="http://schemas.microsoft.com/office/drawing/2014/chart" uri="{C3380CC4-5D6E-409C-BE32-E72D297353CC}">
              <c16:uniqueId val="{00000001-1A4C-4BCD-962C-537F71E8D3A1}"/>
            </c:ext>
          </c:extLst>
        </c:ser>
        <c:ser>
          <c:idx val="2"/>
          <c:order val="2"/>
          <c:tx>
            <c:strRef>
              <c:f>Sheet5!$B$31</c:f>
              <c:strCache>
                <c:ptCount val="1"/>
                <c:pt idx="0">
                  <c:v>CCI=2</c:v>
                </c:pt>
              </c:strCache>
            </c:strRef>
          </c:tx>
          <c:spPr>
            <a:ln w="28575">
              <a:noFill/>
            </a:ln>
          </c:spPr>
          <c:xVal>
            <c:numRef>
              <c:f>Sheet5!$C$28:$M$28</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Sheet5!$C$31:$M$31</c:f>
              <c:numCache>
                <c:formatCode>General</c:formatCode>
                <c:ptCount val="11"/>
                <c:pt idx="0">
                  <c:v>56654.59</c:v>
                </c:pt>
                <c:pt idx="1">
                  <c:v>60892.41</c:v>
                </c:pt>
                <c:pt idx="2">
                  <c:v>61588.76</c:v>
                </c:pt>
                <c:pt idx="3">
                  <c:v>64695.61</c:v>
                </c:pt>
                <c:pt idx="4">
                  <c:v>69538.080000000002</c:v>
                </c:pt>
                <c:pt idx="5">
                  <c:v>73284.97</c:v>
                </c:pt>
                <c:pt idx="6">
                  <c:v>80522.03</c:v>
                </c:pt>
                <c:pt idx="7">
                  <c:v>83142.600000000006</c:v>
                </c:pt>
                <c:pt idx="8">
                  <c:v>84854.51</c:v>
                </c:pt>
                <c:pt idx="9">
                  <c:v>92563.48</c:v>
                </c:pt>
                <c:pt idx="10">
                  <c:v>98346.38</c:v>
                </c:pt>
              </c:numCache>
            </c:numRef>
          </c:yVal>
          <c:smooth val="0"/>
          <c:extLst>
            <c:ext xmlns:c16="http://schemas.microsoft.com/office/drawing/2014/chart" uri="{C3380CC4-5D6E-409C-BE32-E72D297353CC}">
              <c16:uniqueId val="{00000002-1A4C-4BCD-962C-537F71E8D3A1}"/>
            </c:ext>
          </c:extLst>
        </c:ser>
        <c:ser>
          <c:idx val="3"/>
          <c:order val="3"/>
          <c:tx>
            <c:strRef>
              <c:f>Sheet5!$B$32</c:f>
              <c:strCache>
                <c:ptCount val="1"/>
                <c:pt idx="0">
                  <c:v>CCI≥3</c:v>
                </c:pt>
              </c:strCache>
            </c:strRef>
          </c:tx>
          <c:spPr>
            <a:ln w="28575">
              <a:noFill/>
            </a:ln>
          </c:spPr>
          <c:xVal>
            <c:numRef>
              <c:f>Sheet5!$C$28:$M$28</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Sheet5!$C$32:$M$32</c:f>
              <c:numCache>
                <c:formatCode>General</c:formatCode>
                <c:ptCount val="11"/>
                <c:pt idx="0">
                  <c:v>69781.570000000007</c:v>
                </c:pt>
                <c:pt idx="1">
                  <c:v>75770.92</c:v>
                </c:pt>
                <c:pt idx="2">
                  <c:v>76322.64</c:v>
                </c:pt>
                <c:pt idx="3">
                  <c:v>79112.52</c:v>
                </c:pt>
                <c:pt idx="4">
                  <c:v>85128.320000000007</c:v>
                </c:pt>
                <c:pt idx="5">
                  <c:v>95582.07</c:v>
                </c:pt>
                <c:pt idx="6">
                  <c:v>103714.6</c:v>
                </c:pt>
                <c:pt idx="7">
                  <c:v>107444.5</c:v>
                </c:pt>
                <c:pt idx="8">
                  <c:v>108616.1</c:v>
                </c:pt>
                <c:pt idx="9">
                  <c:v>117780.1</c:v>
                </c:pt>
                <c:pt idx="10">
                  <c:v>121759.5</c:v>
                </c:pt>
              </c:numCache>
            </c:numRef>
          </c:yVal>
          <c:smooth val="0"/>
          <c:extLst>
            <c:ext xmlns:c16="http://schemas.microsoft.com/office/drawing/2014/chart" uri="{C3380CC4-5D6E-409C-BE32-E72D297353CC}">
              <c16:uniqueId val="{00000003-1A4C-4BCD-962C-537F71E8D3A1}"/>
            </c:ext>
          </c:extLst>
        </c:ser>
        <c:dLbls>
          <c:showLegendKey val="0"/>
          <c:showVal val="0"/>
          <c:showCatName val="0"/>
          <c:showSerName val="0"/>
          <c:showPercent val="0"/>
          <c:showBubbleSize val="0"/>
        </c:dLbls>
        <c:axId val="2133548488"/>
        <c:axId val="2133581640"/>
      </c:scatterChart>
      <c:valAx>
        <c:axId val="2133548488"/>
        <c:scaling>
          <c:orientation val="minMax"/>
        </c:scaling>
        <c:delete val="0"/>
        <c:axPos val="b"/>
        <c:numFmt formatCode="General" sourceLinked="1"/>
        <c:majorTickMark val="out"/>
        <c:minorTickMark val="none"/>
        <c:tickLblPos val="nextTo"/>
        <c:crossAx val="2133581640"/>
        <c:crosses val="autoZero"/>
        <c:crossBetween val="midCat"/>
      </c:valAx>
      <c:valAx>
        <c:axId val="2133581640"/>
        <c:scaling>
          <c:orientation val="minMax"/>
        </c:scaling>
        <c:delete val="0"/>
        <c:axPos val="l"/>
        <c:majorGridlines/>
        <c:numFmt formatCode="General" sourceLinked="1"/>
        <c:majorTickMark val="out"/>
        <c:minorTickMark val="none"/>
        <c:tickLblPos val="nextTo"/>
        <c:crossAx val="2133548488"/>
        <c:crosses val="autoZero"/>
        <c:crossBetween val="midCat"/>
      </c:valAx>
    </c:plotArea>
    <c:legend>
      <c:legendPos val="r"/>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F69E4-388E-42F9-8B5C-E8996CA2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8162</Words>
  <Characters>46530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rsj58</dc:creator>
  <cp:keywords/>
  <dc:description/>
  <cp:lastModifiedBy>Jessica Potts</cp:lastModifiedBy>
  <cp:revision>4</cp:revision>
  <dcterms:created xsi:type="dcterms:W3CDTF">2018-05-25T09:23:00Z</dcterms:created>
  <dcterms:modified xsi:type="dcterms:W3CDTF">2018-05-31T09:24:00Z</dcterms:modified>
</cp:coreProperties>
</file>